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2331E" w14:textId="066F6563" w:rsidR="005B3330" w:rsidRPr="0051561F" w:rsidRDefault="002A6D33" w:rsidP="002A6D33">
      <w:pPr>
        <w:pStyle w:val="Pagedecouverture"/>
        <w:rPr>
          <w:noProof/>
        </w:rPr>
      </w:pPr>
      <w:r>
        <w:rPr>
          <w:noProof/>
        </w:rPr>
        <w:pict w14:anchorId="12BAD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CD3A814-9DF3-45B2-BA04-C329A9A46CD9" style="width:455.25pt;height:426pt">
            <v:imagedata r:id="rId8" o:title=""/>
          </v:shape>
        </w:pict>
      </w:r>
    </w:p>
    <w:p w14:paraId="7EBFDFA9" w14:textId="77777777" w:rsidR="005B3330" w:rsidRPr="0051561F" w:rsidRDefault="005B3330" w:rsidP="005B3330">
      <w:pPr>
        <w:rPr>
          <w:noProof/>
        </w:rPr>
        <w:sectPr w:rsidR="005B3330" w:rsidRPr="0051561F" w:rsidSect="002A6D33">
          <w:footerReference w:type="default" r:id="rId9"/>
          <w:pgSz w:w="11907" w:h="16839"/>
          <w:pgMar w:top="1134" w:right="1417" w:bottom="1134" w:left="1417" w:header="709" w:footer="709" w:gutter="0"/>
          <w:pgNumType w:start="0"/>
          <w:cols w:space="720"/>
          <w:docGrid w:linePitch="360"/>
        </w:sectPr>
      </w:pPr>
    </w:p>
    <w:p w14:paraId="21F44777" w14:textId="77777777" w:rsidR="005B3330" w:rsidRPr="0051561F" w:rsidRDefault="005B3330" w:rsidP="007800DD">
      <w:pPr>
        <w:pStyle w:val="Exposdesmotifstitre"/>
        <w:rPr>
          <w:noProof/>
        </w:rPr>
      </w:pPr>
      <w:bookmarkStart w:id="0" w:name="_GoBack"/>
      <w:bookmarkEnd w:id="0"/>
      <w:r w:rsidRPr="0051561F">
        <w:rPr>
          <w:noProof/>
        </w:rPr>
        <w:lastRenderedPageBreak/>
        <w:t>UZASADNIENIE</w:t>
      </w:r>
    </w:p>
    <w:p w14:paraId="33665774" w14:textId="77777777" w:rsidR="005B3330" w:rsidRPr="0051561F" w:rsidRDefault="005B3330" w:rsidP="007800DD">
      <w:pPr>
        <w:pStyle w:val="ManualHeading1"/>
        <w:rPr>
          <w:noProof/>
        </w:rPr>
      </w:pPr>
      <w:r w:rsidRPr="0051561F">
        <w:rPr>
          <w:noProof/>
        </w:rPr>
        <w:t>1.</w:t>
      </w:r>
      <w:r w:rsidRPr="0051561F">
        <w:rPr>
          <w:noProof/>
        </w:rPr>
        <w:tab/>
        <w:t>KONTEKST WNIOSKU</w:t>
      </w:r>
    </w:p>
    <w:p w14:paraId="7835D1F5" w14:textId="098B9932" w:rsidR="005B3330" w:rsidRPr="0051561F" w:rsidRDefault="005B3330" w:rsidP="007800DD">
      <w:pPr>
        <w:pStyle w:val="ManualHeading2"/>
        <w:rPr>
          <w:rFonts w:eastAsia="Arial Unicode MS"/>
          <w:noProof/>
        </w:rPr>
      </w:pPr>
      <w:r w:rsidRPr="0051561F">
        <w:rPr>
          <w:noProof/>
          <w:color w:val="000000"/>
          <w:u w:color="000000"/>
          <w:bdr w:val="nil"/>
        </w:rPr>
        <w:t>•</w:t>
      </w:r>
      <w:r w:rsidRPr="0051561F">
        <w:rPr>
          <w:noProof/>
        </w:rPr>
        <w:tab/>
        <w:t>Przyczyny</w:t>
      </w:r>
      <w:r w:rsidR="006E0B7E" w:rsidRPr="0051561F">
        <w:rPr>
          <w:noProof/>
        </w:rPr>
        <w:t xml:space="preserve"> i</w:t>
      </w:r>
      <w:r w:rsidR="006E0B7E">
        <w:rPr>
          <w:noProof/>
        </w:rPr>
        <w:t> </w:t>
      </w:r>
      <w:r w:rsidR="006E0B7E" w:rsidRPr="0051561F">
        <w:rPr>
          <w:noProof/>
        </w:rPr>
        <w:t>cel</w:t>
      </w:r>
      <w:r w:rsidRPr="0051561F">
        <w:rPr>
          <w:noProof/>
        </w:rPr>
        <w:t>e wniosku</w:t>
      </w:r>
    </w:p>
    <w:p w14:paraId="43C49585" w14:textId="5C8EA729" w:rsidR="00FB1146" w:rsidRPr="0051561F" w:rsidRDefault="00FB1146" w:rsidP="007800DD">
      <w:pPr>
        <w:pBdr>
          <w:top w:val="nil"/>
          <w:left w:val="nil"/>
          <w:bottom w:val="nil"/>
          <w:right w:val="nil"/>
          <w:between w:val="nil"/>
          <w:bar w:val="nil"/>
        </w:pBdr>
        <w:spacing w:before="0" w:after="240"/>
        <w:rPr>
          <w:rFonts w:eastAsia="Arial Unicode MS"/>
          <w:noProof/>
        </w:rPr>
      </w:pPr>
      <w:r w:rsidRPr="0051561F">
        <w:rPr>
          <w:noProof/>
        </w:rPr>
        <w:t>Niniejszy wniosek dotyczy modyfikacji dyrektywy 2003/25/WE Parlamentu Europejskiego</w:t>
      </w:r>
      <w:r w:rsidR="006E0B7E" w:rsidRPr="0051561F">
        <w:rPr>
          <w:noProof/>
        </w:rPr>
        <w:t xml:space="preserve"> i</w:t>
      </w:r>
      <w:r w:rsidR="006E0B7E">
        <w:rPr>
          <w:noProof/>
        </w:rPr>
        <w:t> </w:t>
      </w:r>
      <w:r w:rsidR="006E0B7E" w:rsidRPr="0051561F">
        <w:rPr>
          <w:noProof/>
        </w:rPr>
        <w:t>Rad</w:t>
      </w:r>
      <w:r w:rsidRPr="0051561F">
        <w:rPr>
          <w:noProof/>
        </w:rPr>
        <w:t>y</w:t>
      </w:r>
      <w:r w:rsidR="006E0B7E" w:rsidRPr="0051561F">
        <w:rPr>
          <w:noProof/>
        </w:rPr>
        <w:t xml:space="preserve"> z</w:t>
      </w:r>
      <w:r w:rsidR="006E0B7E">
        <w:rPr>
          <w:noProof/>
        </w:rPr>
        <w:t> </w:t>
      </w:r>
      <w:r w:rsidR="006E0B7E" w:rsidRPr="0051561F">
        <w:rPr>
          <w:noProof/>
        </w:rPr>
        <w:t>dni</w:t>
      </w:r>
      <w:r w:rsidRPr="0051561F">
        <w:rPr>
          <w:noProof/>
        </w:rPr>
        <w:t>a 14 kwietnia 20</w:t>
      </w:r>
      <w:r w:rsidRPr="006E0B7E">
        <w:rPr>
          <w:noProof/>
        </w:rPr>
        <w:t>03</w:t>
      </w:r>
      <w:r w:rsidR="006E0B7E" w:rsidRPr="006E0B7E">
        <w:rPr>
          <w:noProof/>
        </w:rPr>
        <w:t> </w:t>
      </w:r>
      <w:r w:rsidRPr="006E0B7E">
        <w:rPr>
          <w:noProof/>
        </w:rPr>
        <w:t>r.</w:t>
      </w:r>
      <w:r w:rsidR="006E0B7E" w:rsidRPr="0051561F">
        <w:rPr>
          <w:noProof/>
        </w:rPr>
        <w:t xml:space="preserve"> w</w:t>
      </w:r>
      <w:r w:rsidR="006E0B7E">
        <w:rPr>
          <w:noProof/>
        </w:rPr>
        <w:t> </w:t>
      </w:r>
      <w:r w:rsidR="006E0B7E" w:rsidRPr="0051561F">
        <w:rPr>
          <w:noProof/>
        </w:rPr>
        <w:t>spr</w:t>
      </w:r>
      <w:r w:rsidRPr="0051561F">
        <w:rPr>
          <w:noProof/>
        </w:rPr>
        <w:t>awie szczególnych wymogów stateczności dotyczących statków pasażerskich typu ro-ro</w:t>
      </w:r>
      <w:r w:rsidRPr="0051561F">
        <w:rPr>
          <w:rStyle w:val="FootnoteReference"/>
          <w:noProof/>
        </w:rPr>
        <w:footnoteReference w:id="1"/>
      </w:r>
      <w:r w:rsidRPr="0051561F">
        <w:rPr>
          <w:noProof/>
        </w:rPr>
        <w:t>.</w:t>
      </w:r>
    </w:p>
    <w:p w14:paraId="67A8F059" w14:textId="4F825282" w:rsidR="00351C23" w:rsidRPr="0051561F" w:rsidRDefault="001B6F72" w:rsidP="007800DD">
      <w:pPr>
        <w:pBdr>
          <w:top w:val="nil"/>
          <w:left w:val="nil"/>
          <w:bottom w:val="nil"/>
          <w:right w:val="nil"/>
          <w:between w:val="nil"/>
          <w:bar w:val="nil"/>
        </w:pBdr>
        <w:spacing w:before="0" w:after="240"/>
        <w:rPr>
          <w:noProof/>
        </w:rPr>
      </w:pPr>
      <w:r w:rsidRPr="0051561F">
        <w:rPr>
          <w:noProof/>
        </w:rPr>
        <w:t>W ramach programu sprawności</w:t>
      </w:r>
      <w:r w:rsidR="006E0B7E" w:rsidRPr="0051561F">
        <w:rPr>
          <w:noProof/>
        </w:rPr>
        <w:t xml:space="preserve"> i</w:t>
      </w:r>
      <w:r w:rsidR="006E0B7E">
        <w:rPr>
          <w:noProof/>
        </w:rPr>
        <w:t> </w:t>
      </w:r>
      <w:r w:rsidR="006E0B7E" w:rsidRPr="0051561F">
        <w:rPr>
          <w:noProof/>
        </w:rPr>
        <w:t>wyd</w:t>
      </w:r>
      <w:r w:rsidRPr="0051561F">
        <w:rPr>
          <w:noProof/>
        </w:rPr>
        <w:t>ajności regulacyjnej (REFIT) oraz Programu lepszego stanowienia prawa, realizowanych przez Komisję,</w:t>
      </w:r>
      <w:r w:rsidR="006E0B7E" w:rsidRPr="0051561F">
        <w:rPr>
          <w:noProof/>
        </w:rPr>
        <w:t xml:space="preserve"> a</w:t>
      </w:r>
      <w:r w:rsidR="006E0B7E">
        <w:rPr>
          <w:noProof/>
        </w:rPr>
        <w:t> </w:t>
      </w:r>
      <w:r w:rsidR="006E0B7E" w:rsidRPr="0051561F">
        <w:rPr>
          <w:noProof/>
        </w:rPr>
        <w:t>tak</w:t>
      </w:r>
      <w:r w:rsidRPr="0051561F">
        <w:rPr>
          <w:noProof/>
        </w:rPr>
        <w:t>że jako element bezpośredniej reakcji</w:t>
      </w:r>
      <w:r w:rsidR="006E0B7E" w:rsidRPr="0051561F">
        <w:rPr>
          <w:noProof/>
        </w:rPr>
        <w:t xml:space="preserve"> w</w:t>
      </w:r>
      <w:r w:rsidR="006E0B7E">
        <w:rPr>
          <w:noProof/>
        </w:rPr>
        <w:t> </w:t>
      </w:r>
      <w:r w:rsidR="006E0B7E" w:rsidRPr="0051561F">
        <w:rPr>
          <w:noProof/>
        </w:rPr>
        <w:t>zwi</w:t>
      </w:r>
      <w:r w:rsidRPr="0051561F">
        <w:rPr>
          <w:noProof/>
        </w:rPr>
        <w:t>ązku</w:t>
      </w:r>
      <w:r w:rsidR="006E0B7E" w:rsidRPr="0051561F">
        <w:rPr>
          <w:noProof/>
        </w:rPr>
        <w:t xml:space="preserve"> z</w:t>
      </w:r>
      <w:r w:rsidR="006E0B7E">
        <w:rPr>
          <w:noProof/>
        </w:rPr>
        <w:t> </w:t>
      </w:r>
      <w:r w:rsidR="006E0B7E" w:rsidRPr="0051561F">
        <w:rPr>
          <w:noProof/>
        </w:rPr>
        <w:t>kon</w:t>
      </w:r>
      <w:r w:rsidRPr="0051561F">
        <w:rPr>
          <w:noProof/>
        </w:rPr>
        <w:t>trolą sprawności unijnych przepisów dotyczących bezpieczeństwa statków pasażerskich</w:t>
      </w:r>
      <w:r w:rsidRPr="0051561F">
        <w:rPr>
          <w:rStyle w:val="FootnoteReference"/>
          <w:rFonts w:eastAsia="Arial Unicode MS"/>
          <w:noProof/>
        </w:rPr>
        <w:footnoteReference w:id="2"/>
      </w:r>
      <w:r w:rsidRPr="0051561F">
        <w:rPr>
          <w:noProof/>
        </w:rPr>
        <w:t xml:space="preserve"> Komisja przedstawiła</w:t>
      </w:r>
      <w:r w:rsidR="006E0B7E" w:rsidRPr="0051561F">
        <w:rPr>
          <w:noProof/>
        </w:rPr>
        <w:t xml:space="preserve"> w</w:t>
      </w:r>
      <w:r w:rsidR="006E0B7E">
        <w:rPr>
          <w:noProof/>
        </w:rPr>
        <w:t> </w:t>
      </w:r>
      <w:r w:rsidR="006E0B7E" w:rsidRPr="0051561F">
        <w:rPr>
          <w:noProof/>
        </w:rPr>
        <w:t>2</w:t>
      </w:r>
      <w:r w:rsidRPr="0051561F">
        <w:rPr>
          <w:noProof/>
        </w:rPr>
        <w:t>0</w:t>
      </w:r>
      <w:r w:rsidRPr="006E0B7E">
        <w:rPr>
          <w:noProof/>
        </w:rPr>
        <w:t>17</w:t>
      </w:r>
      <w:r w:rsidR="006E0B7E" w:rsidRPr="006E0B7E">
        <w:rPr>
          <w:noProof/>
        </w:rPr>
        <w:t> </w:t>
      </w:r>
      <w:r w:rsidRPr="006E0B7E">
        <w:rPr>
          <w:noProof/>
        </w:rPr>
        <w:t>r.</w:t>
      </w:r>
      <w:r w:rsidRPr="0051561F">
        <w:rPr>
          <w:noProof/>
        </w:rPr>
        <w:t xml:space="preserve"> trzy wnioski dotyczące zmiany wspomnianych przepisów</w:t>
      </w:r>
      <w:r w:rsidR="006E0B7E" w:rsidRPr="0051561F">
        <w:rPr>
          <w:noProof/>
        </w:rPr>
        <w:t>. W</w:t>
      </w:r>
      <w:r w:rsidR="006E0B7E">
        <w:rPr>
          <w:noProof/>
        </w:rPr>
        <w:t> </w:t>
      </w:r>
      <w:r w:rsidR="006E0B7E" w:rsidRPr="0051561F">
        <w:rPr>
          <w:noProof/>
        </w:rPr>
        <w:t>dni</w:t>
      </w:r>
      <w:r w:rsidRPr="0051561F">
        <w:rPr>
          <w:noProof/>
        </w:rPr>
        <w:t>u 15 listopada 20</w:t>
      </w:r>
      <w:r w:rsidRPr="006E0B7E">
        <w:rPr>
          <w:noProof/>
        </w:rPr>
        <w:t>17</w:t>
      </w:r>
      <w:r w:rsidR="006E0B7E" w:rsidRPr="006E0B7E">
        <w:rPr>
          <w:noProof/>
        </w:rPr>
        <w:t> </w:t>
      </w:r>
      <w:r w:rsidRPr="006E0B7E">
        <w:rPr>
          <w:noProof/>
        </w:rPr>
        <w:t>r.</w:t>
      </w:r>
      <w:r w:rsidRPr="0051561F">
        <w:rPr>
          <w:noProof/>
        </w:rPr>
        <w:t xml:space="preserve"> Parlament Europejski</w:t>
      </w:r>
      <w:r w:rsidR="006E0B7E" w:rsidRPr="0051561F">
        <w:rPr>
          <w:noProof/>
        </w:rPr>
        <w:t xml:space="preserve"> i</w:t>
      </w:r>
      <w:r w:rsidR="006E0B7E">
        <w:rPr>
          <w:noProof/>
        </w:rPr>
        <w:t> </w:t>
      </w:r>
      <w:r w:rsidR="006E0B7E" w:rsidRPr="0051561F">
        <w:rPr>
          <w:noProof/>
        </w:rPr>
        <w:t>Rad</w:t>
      </w:r>
      <w:r w:rsidRPr="0051561F">
        <w:rPr>
          <w:noProof/>
        </w:rPr>
        <w:t>a przyjęły dyrektywę 2017/2108</w:t>
      </w:r>
      <w:r w:rsidRPr="0051561F">
        <w:rPr>
          <w:rStyle w:val="FootnoteReference"/>
          <w:noProof/>
        </w:rPr>
        <w:footnoteReference w:id="3"/>
      </w:r>
      <w:r w:rsidRPr="0051561F">
        <w:rPr>
          <w:noProof/>
        </w:rPr>
        <w:t>, dyrektywę 2017/2109</w:t>
      </w:r>
      <w:r w:rsidRPr="0051561F">
        <w:rPr>
          <w:rStyle w:val="FootnoteReference"/>
          <w:noProof/>
        </w:rPr>
        <w:footnoteReference w:id="4"/>
      </w:r>
      <w:r w:rsidR="006E0B7E" w:rsidRPr="0051561F">
        <w:rPr>
          <w:noProof/>
        </w:rPr>
        <w:t xml:space="preserve"> i</w:t>
      </w:r>
      <w:r w:rsidR="006E0B7E">
        <w:rPr>
          <w:noProof/>
        </w:rPr>
        <w:t> </w:t>
      </w:r>
      <w:r w:rsidR="006E0B7E" w:rsidRPr="0051561F">
        <w:rPr>
          <w:noProof/>
        </w:rPr>
        <w:t>dyr</w:t>
      </w:r>
      <w:r w:rsidRPr="0051561F">
        <w:rPr>
          <w:noProof/>
        </w:rPr>
        <w:t>ektywę 2017/2110</w:t>
      </w:r>
      <w:r w:rsidRPr="0051561F">
        <w:rPr>
          <w:rStyle w:val="FootnoteReference"/>
          <w:noProof/>
        </w:rPr>
        <w:footnoteReference w:id="5"/>
      </w:r>
      <w:r w:rsidRPr="0051561F">
        <w:rPr>
          <w:noProof/>
        </w:rPr>
        <w:t xml:space="preserve">. </w:t>
      </w:r>
    </w:p>
    <w:p w14:paraId="571968C9" w14:textId="773E0228" w:rsidR="005B3330" w:rsidRPr="0051561F" w:rsidRDefault="001B6F72" w:rsidP="007800DD">
      <w:pPr>
        <w:pBdr>
          <w:top w:val="nil"/>
          <w:left w:val="nil"/>
          <w:bottom w:val="nil"/>
          <w:right w:val="nil"/>
          <w:between w:val="nil"/>
          <w:bar w:val="nil"/>
        </w:pBdr>
        <w:spacing w:before="0" w:after="240"/>
        <w:rPr>
          <w:noProof/>
        </w:rPr>
      </w:pPr>
      <w:r w:rsidRPr="0051561F">
        <w:rPr>
          <w:noProof/>
        </w:rPr>
        <w:t>Wspomniana kontrola sprawności obejmowała również dyrektywę 2003/25/WE regulującą szczególne wymogi stateczności dotyczące pasażerskich statków typu ro-ro. Komisja nie przedstawiła jednak wniosku dotyczącego modyfikacji dyrektywy, ponieważ</w:t>
      </w:r>
      <w:r w:rsidR="006E0B7E" w:rsidRPr="0051561F">
        <w:rPr>
          <w:noProof/>
        </w:rPr>
        <w:t xml:space="preserve"> w</w:t>
      </w:r>
      <w:r w:rsidR="006E0B7E">
        <w:rPr>
          <w:noProof/>
        </w:rPr>
        <w:t> </w:t>
      </w:r>
      <w:r w:rsidR="006E0B7E" w:rsidRPr="0051561F">
        <w:rPr>
          <w:noProof/>
        </w:rPr>
        <w:t>tam</w:t>
      </w:r>
      <w:r w:rsidRPr="0051561F">
        <w:rPr>
          <w:noProof/>
        </w:rPr>
        <w:t>tym czasie toczyły się</w:t>
      </w:r>
      <w:r w:rsidR="006E0B7E" w:rsidRPr="0051561F">
        <w:rPr>
          <w:noProof/>
        </w:rPr>
        <w:t xml:space="preserve"> w</w:t>
      </w:r>
      <w:r w:rsidR="006E0B7E">
        <w:rPr>
          <w:noProof/>
        </w:rPr>
        <w:t> </w:t>
      </w:r>
      <w:r w:rsidR="006E0B7E" w:rsidRPr="0051561F">
        <w:rPr>
          <w:noProof/>
        </w:rPr>
        <w:t>ram</w:t>
      </w:r>
      <w:r w:rsidRPr="0051561F">
        <w:rPr>
          <w:noProof/>
        </w:rPr>
        <w:t>ach Międzynarodowej Organizacji Morskiej (IMO) dyskusje na temat norm stateczności dla statków</w:t>
      </w:r>
      <w:r w:rsidR="006E0B7E" w:rsidRPr="0051561F">
        <w:rPr>
          <w:noProof/>
        </w:rPr>
        <w:t xml:space="preserve"> w</w:t>
      </w:r>
      <w:r w:rsidR="006E0B7E">
        <w:rPr>
          <w:noProof/>
        </w:rPr>
        <w:t> </w:t>
      </w:r>
      <w:r w:rsidR="006E0B7E" w:rsidRPr="0051561F">
        <w:rPr>
          <w:noProof/>
        </w:rPr>
        <w:t>sta</w:t>
      </w:r>
      <w:r w:rsidRPr="0051561F">
        <w:rPr>
          <w:noProof/>
        </w:rPr>
        <w:t>nie uszkodzonym</w:t>
      </w:r>
      <w:r w:rsidR="006E0B7E" w:rsidRPr="0051561F">
        <w:rPr>
          <w:noProof/>
        </w:rPr>
        <w:t>. W</w:t>
      </w:r>
      <w:r w:rsidR="006E0B7E">
        <w:rPr>
          <w:noProof/>
        </w:rPr>
        <w:t> </w:t>
      </w:r>
      <w:r w:rsidR="006E0B7E" w:rsidRPr="0051561F">
        <w:rPr>
          <w:noProof/>
        </w:rPr>
        <w:t>nas</w:t>
      </w:r>
      <w:r w:rsidRPr="0051561F">
        <w:rPr>
          <w:noProof/>
        </w:rPr>
        <w:t>tępstwie przyjęcia znowelizowanych przepisów międzynarodowych</w:t>
      </w:r>
      <w:r w:rsidRPr="0051561F">
        <w:rPr>
          <w:rStyle w:val="FootnoteReference"/>
          <w:noProof/>
        </w:rPr>
        <w:footnoteReference w:id="6"/>
      </w:r>
      <w:r w:rsidRPr="0051561F">
        <w:rPr>
          <w:noProof/>
        </w:rPr>
        <w:t xml:space="preserve"> Komisja jest gotowa zaproponować zmianę unijnych wymogów stateczności</w:t>
      </w:r>
      <w:r w:rsidR="006E0B7E" w:rsidRPr="0051561F">
        <w:rPr>
          <w:noProof/>
        </w:rPr>
        <w:t xml:space="preserve"> w</w:t>
      </w:r>
      <w:r w:rsidR="006E0B7E">
        <w:rPr>
          <w:noProof/>
        </w:rPr>
        <w:t> </w:t>
      </w:r>
      <w:r w:rsidR="006E0B7E" w:rsidRPr="0051561F">
        <w:rPr>
          <w:noProof/>
        </w:rPr>
        <w:t>sta</w:t>
      </w:r>
      <w:r w:rsidRPr="0051561F">
        <w:rPr>
          <w:noProof/>
        </w:rPr>
        <w:t>nie uszkodzonym.</w:t>
      </w:r>
    </w:p>
    <w:p w14:paraId="04D5DACA" w14:textId="12FB8292" w:rsidR="001B6F72" w:rsidRPr="0051561F" w:rsidRDefault="001B6F72" w:rsidP="001B6F72">
      <w:pPr>
        <w:rPr>
          <w:noProof/>
        </w:rPr>
      </w:pPr>
      <w:r w:rsidRPr="0051561F">
        <w:rPr>
          <w:noProof/>
        </w:rPr>
        <w:t>Ogólnym celem nowelizacji unijnych przepisów dotyczących bezpieczeństwa statków pasażerskich jest uproszczenie</w:t>
      </w:r>
      <w:r w:rsidR="006E0B7E" w:rsidRPr="0051561F">
        <w:rPr>
          <w:noProof/>
        </w:rPr>
        <w:t xml:space="preserve"> i</w:t>
      </w:r>
      <w:r w:rsidR="006E0B7E">
        <w:rPr>
          <w:noProof/>
        </w:rPr>
        <w:t> </w:t>
      </w:r>
      <w:r w:rsidR="006E0B7E" w:rsidRPr="0051561F">
        <w:rPr>
          <w:noProof/>
        </w:rPr>
        <w:t>usp</w:t>
      </w:r>
      <w:r w:rsidRPr="0051561F">
        <w:rPr>
          <w:noProof/>
        </w:rPr>
        <w:t>rawnienie istniejących ram regulacyjnych</w:t>
      </w:r>
      <w:r w:rsidR="006E0B7E" w:rsidRPr="0051561F">
        <w:rPr>
          <w:noProof/>
        </w:rPr>
        <w:t xml:space="preserve"> w</w:t>
      </w:r>
      <w:r w:rsidR="006E0B7E">
        <w:rPr>
          <w:noProof/>
        </w:rPr>
        <w:t> </w:t>
      </w:r>
      <w:r w:rsidR="006E0B7E" w:rsidRPr="0051561F">
        <w:rPr>
          <w:noProof/>
        </w:rPr>
        <w:t>cel</w:t>
      </w:r>
      <w:r w:rsidRPr="0051561F">
        <w:rPr>
          <w:noProof/>
        </w:rPr>
        <w:t>u: (i) utrzymania przepisów UE</w:t>
      </w:r>
      <w:r w:rsidR="006E0B7E" w:rsidRPr="0051561F">
        <w:rPr>
          <w:noProof/>
        </w:rPr>
        <w:t xml:space="preserve"> w</w:t>
      </w:r>
      <w:r w:rsidR="006E0B7E">
        <w:rPr>
          <w:noProof/>
        </w:rPr>
        <w:t> </w:t>
      </w:r>
      <w:r w:rsidR="006E0B7E" w:rsidRPr="0051561F">
        <w:rPr>
          <w:noProof/>
        </w:rPr>
        <w:t>zak</w:t>
      </w:r>
      <w:r w:rsidRPr="0051561F">
        <w:rPr>
          <w:noProof/>
        </w:rPr>
        <w:t>resie,</w:t>
      </w:r>
      <w:r w:rsidR="006E0B7E" w:rsidRPr="0051561F">
        <w:rPr>
          <w:noProof/>
        </w:rPr>
        <w:t xml:space="preserve"> w</w:t>
      </w:r>
      <w:r w:rsidR="006E0B7E">
        <w:rPr>
          <w:noProof/>
        </w:rPr>
        <w:t> </w:t>
      </w:r>
      <w:r w:rsidR="006E0B7E" w:rsidRPr="0051561F">
        <w:rPr>
          <w:noProof/>
        </w:rPr>
        <w:t>jak</w:t>
      </w:r>
      <w:r w:rsidRPr="0051561F">
        <w:rPr>
          <w:noProof/>
        </w:rPr>
        <w:t>im jest to konieczne</w:t>
      </w:r>
      <w:r w:rsidR="006E0B7E" w:rsidRPr="0051561F">
        <w:rPr>
          <w:noProof/>
        </w:rPr>
        <w:t xml:space="preserve"> i</w:t>
      </w:r>
      <w:r w:rsidR="006E0B7E">
        <w:rPr>
          <w:noProof/>
        </w:rPr>
        <w:t> </w:t>
      </w:r>
      <w:r w:rsidR="006E0B7E" w:rsidRPr="0051561F">
        <w:rPr>
          <w:noProof/>
        </w:rPr>
        <w:t>pro</w:t>
      </w:r>
      <w:r w:rsidRPr="0051561F">
        <w:rPr>
          <w:noProof/>
        </w:rPr>
        <w:t>porcjonalne; (ii) zapewnienia ich prawidłowego wdrożenia; oraz (iii) wyeliminowania potencjalnego nakładania się obowiązków</w:t>
      </w:r>
      <w:r w:rsidR="006E0B7E" w:rsidRPr="0051561F">
        <w:rPr>
          <w:noProof/>
        </w:rPr>
        <w:t xml:space="preserve"> i</w:t>
      </w:r>
      <w:r w:rsidR="006E0B7E">
        <w:rPr>
          <w:noProof/>
        </w:rPr>
        <w:t> </w:t>
      </w:r>
      <w:r w:rsidR="006E0B7E" w:rsidRPr="0051561F">
        <w:rPr>
          <w:noProof/>
        </w:rPr>
        <w:t>wys</w:t>
      </w:r>
      <w:r w:rsidRPr="0051561F">
        <w:rPr>
          <w:noProof/>
        </w:rPr>
        <w:t>tępowania niespójności między powiązanymi aktami prawnymi. Nadrzędnym celem jest stworzenie jasnych, prostych</w:t>
      </w:r>
      <w:r w:rsidR="006E0B7E" w:rsidRPr="0051561F">
        <w:rPr>
          <w:noProof/>
        </w:rPr>
        <w:t xml:space="preserve"> i</w:t>
      </w:r>
      <w:r w:rsidR="006E0B7E">
        <w:rPr>
          <w:noProof/>
        </w:rPr>
        <w:t> </w:t>
      </w:r>
      <w:r w:rsidR="006E0B7E" w:rsidRPr="0051561F">
        <w:rPr>
          <w:noProof/>
        </w:rPr>
        <w:t>akt</w:t>
      </w:r>
      <w:r w:rsidRPr="0051561F">
        <w:rPr>
          <w:noProof/>
        </w:rPr>
        <w:t>ualnych ram prawnych, które byłyby łatwiejsze do stosowania, monitorowania oraz egzekwowania</w:t>
      </w:r>
      <w:r w:rsidR="006E0B7E" w:rsidRPr="0051561F">
        <w:rPr>
          <w:noProof/>
        </w:rPr>
        <w:t xml:space="preserve"> i</w:t>
      </w:r>
      <w:r w:rsidR="006E0B7E">
        <w:rPr>
          <w:noProof/>
        </w:rPr>
        <w:t> </w:t>
      </w:r>
      <w:r w:rsidR="006E0B7E" w:rsidRPr="0051561F">
        <w:rPr>
          <w:noProof/>
        </w:rPr>
        <w:t>tym</w:t>
      </w:r>
      <w:r w:rsidRPr="0051561F">
        <w:rPr>
          <w:noProof/>
        </w:rPr>
        <w:t xml:space="preserve"> samym zwiększenia ogólnego poziomu bezpieczeństwa.</w:t>
      </w:r>
    </w:p>
    <w:p w14:paraId="1B371CD9" w14:textId="5EA6CD0D" w:rsidR="006F1E15" w:rsidRPr="0051561F" w:rsidRDefault="001B6F72" w:rsidP="00BB364D">
      <w:pPr>
        <w:pStyle w:val="doc-ti"/>
        <w:shd w:val="clear" w:color="auto" w:fill="FFFFFF"/>
        <w:spacing w:before="240" w:beforeAutospacing="0" w:after="120" w:afterAutospacing="0"/>
        <w:jc w:val="both"/>
        <w:rPr>
          <w:bCs/>
          <w:noProof/>
          <w:color w:val="000000"/>
        </w:rPr>
      </w:pPr>
      <w:r w:rsidRPr="0051561F">
        <w:rPr>
          <w:noProof/>
        </w:rPr>
        <w:t>W przypadku statków zaangażowanych</w:t>
      </w:r>
      <w:r w:rsidR="006E0B7E" w:rsidRPr="0051561F">
        <w:rPr>
          <w:noProof/>
        </w:rPr>
        <w:t xml:space="preserve"> w</w:t>
      </w:r>
      <w:r w:rsidR="006E0B7E">
        <w:rPr>
          <w:noProof/>
        </w:rPr>
        <w:t> </w:t>
      </w:r>
      <w:r w:rsidR="006E0B7E" w:rsidRPr="0051561F">
        <w:rPr>
          <w:noProof/>
        </w:rPr>
        <w:t>rej</w:t>
      </w:r>
      <w:r w:rsidRPr="0051561F">
        <w:rPr>
          <w:noProof/>
        </w:rPr>
        <w:t>sy międzynarodowe, co obejmuje rejsy między dwoma państwami członkowskimi, zastosowanie mają konwencje międzynarodowe (w ramach kompetencji IMO) oraz niektóre przepisy UE. Najważniejszą konwencją, jeśli chodzi</w:t>
      </w:r>
      <w:r w:rsidR="006E0B7E" w:rsidRPr="0051561F">
        <w:rPr>
          <w:noProof/>
        </w:rPr>
        <w:t xml:space="preserve"> o</w:t>
      </w:r>
      <w:r w:rsidR="006E0B7E">
        <w:rPr>
          <w:noProof/>
        </w:rPr>
        <w:t> </w:t>
      </w:r>
      <w:r w:rsidR="006E0B7E" w:rsidRPr="0051561F">
        <w:rPr>
          <w:noProof/>
        </w:rPr>
        <w:t>kwe</w:t>
      </w:r>
      <w:r w:rsidRPr="0051561F">
        <w:rPr>
          <w:noProof/>
        </w:rPr>
        <w:t>stie bezpieczeństwa, jest Międzynarodowa konwencja</w:t>
      </w:r>
      <w:r w:rsidR="006E0B7E" w:rsidRPr="0051561F">
        <w:rPr>
          <w:noProof/>
        </w:rPr>
        <w:t xml:space="preserve"> o</w:t>
      </w:r>
      <w:r w:rsidR="006E0B7E">
        <w:rPr>
          <w:noProof/>
        </w:rPr>
        <w:t> </w:t>
      </w:r>
      <w:r w:rsidR="006E0B7E" w:rsidRPr="0051561F">
        <w:rPr>
          <w:noProof/>
        </w:rPr>
        <w:t>bez</w:t>
      </w:r>
      <w:r w:rsidRPr="0051561F">
        <w:rPr>
          <w:noProof/>
        </w:rPr>
        <w:t>pieczeństwie życia na morzu (SOLAS)</w:t>
      </w:r>
      <w:r w:rsidR="006E0B7E" w:rsidRPr="0051561F">
        <w:rPr>
          <w:noProof/>
        </w:rPr>
        <w:t xml:space="preserve"> z</w:t>
      </w:r>
      <w:r w:rsidR="006E0B7E">
        <w:rPr>
          <w:noProof/>
        </w:rPr>
        <w:t> </w:t>
      </w:r>
      <w:r w:rsidR="006E0B7E" w:rsidRPr="0051561F">
        <w:rPr>
          <w:noProof/>
        </w:rPr>
        <w:t>1</w:t>
      </w:r>
      <w:r w:rsidRPr="0051561F">
        <w:rPr>
          <w:noProof/>
        </w:rPr>
        <w:t>974 r. oraz protokół do tej konwencji</w:t>
      </w:r>
      <w:r w:rsidR="006E0B7E" w:rsidRPr="0051561F">
        <w:rPr>
          <w:noProof/>
        </w:rPr>
        <w:t xml:space="preserve"> z</w:t>
      </w:r>
      <w:r w:rsidR="006E0B7E">
        <w:rPr>
          <w:noProof/>
        </w:rPr>
        <w:t> </w:t>
      </w:r>
      <w:r w:rsidR="006E0B7E" w:rsidRPr="0051561F">
        <w:rPr>
          <w:noProof/>
        </w:rPr>
        <w:t>1</w:t>
      </w:r>
      <w:r w:rsidRPr="0051561F">
        <w:rPr>
          <w:noProof/>
        </w:rPr>
        <w:t>988 r. Ogólne wymogi stateczności zawarte</w:t>
      </w:r>
      <w:r w:rsidR="006E0B7E" w:rsidRPr="0051561F">
        <w:rPr>
          <w:noProof/>
        </w:rPr>
        <w:t xml:space="preserve"> w</w:t>
      </w:r>
      <w:r w:rsidR="006E0B7E">
        <w:rPr>
          <w:noProof/>
        </w:rPr>
        <w:t> </w:t>
      </w:r>
      <w:r w:rsidR="006E0B7E" w:rsidRPr="0051561F">
        <w:rPr>
          <w:noProof/>
        </w:rPr>
        <w:t>kon</w:t>
      </w:r>
      <w:r w:rsidRPr="0051561F">
        <w:rPr>
          <w:noProof/>
        </w:rPr>
        <w:t>wencji SOLAS 90 (w postaci określonej</w:t>
      </w:r>
      <w:r w:rsidR="006E0B7E" w:rsidRPr="0051561F">
        <w:rPr>
          <w:noProof/>
        </w:rPr>
        <w:t xml:space="preserve"> w</w:t>
      </w:r>
      <w:r w:rsidR="006E0B7E">
        <w:rPr>
          <w:noProof/>
        </w:rPr>
        <w:t> </w:t>
      </w:r>
      <w:r w:rsidR="006E0B7E" w:rsidRPr="0051561F">
        <w:rPr>
          <w:noProof/>
        </w:rPr>
        <w:t>tek</w:t>
      </w:r>
      <w:r w:rsidRPr="0051561F">
        <w:rPr>
          <w:noProof/>
        </w:rPr>
        <w:t>ście dyrektywy wraz ze wszystkimi obowiązującymi zmianami) zostały ustanowione zostały ustalone</w:t>
      </w:r>
      <w:r w:rsidR="006E0B7E" w:rsidRPr="0051561F">
        <w:rPr>
          <w:noProof/>
        </w:rPr>
        <w:t xml:space="preserve"> w</w:t>
      </w:r>
      <w:r w:rsidR="006E0B7E">
        <w:rPr>
          <w:noProof/>
        </w:rPr>
        <w:t> </w:t>
      </w:r>
      <w:r w:rsidR="006E0B7E" w:rsidRPr="0051561F">
        <w:rPr>
          <w:noProof/>
        </w:rPr>
        <w:t>spo</w:t>
      </w:r>
      <w:r w:rsidRPr="0051561F">
        <w:rPr>
          <w:noProof/>
        </w:rPr>
        <w:t>sób deterministyczny</w:t>
      </w:r>
      <w:r w:rsidR="006E0B7E" w:rsidRPr="0051561F">
        <w:rPr>
          <w:noProof/>
        </w:rPr>
        <w:t xml:space="preserve"> i</w:t>
      </w:r>
      <w:r w:rsidR="006E0B7E">
        <w:rPr>
          <w:noProof/>
        </w:rPr>
        <w:t> </w:t>
      </w:r>
      <w:r w:rsidR="006E0B7E" w:rsidRPr="0051561F">
        <w:rPr>
          <w:noProof/>
        </w:rPr>
        <w:t>włą</w:t>
      </w:r>
      <w:r w:rsidRPr="0051561F">
        <w:rPr>
          <w:noProof/>
        </w:rPr>
        <w:t>czone do prawidła II-1/B/8 konwencji SOLAS. Wymogi te mają zastosowanie do całej Unii</w:t>
      </w:r>
      <w:r w:rsidR="006E0B7E" w:rsidRPr="0051561F">
        <w:rPr>
          <w:noProof/>
        </w:rPr>
        <w:t xml:space="preserve"> z</w:t>
      </w:r>
      <w:r w:rsidR="006E0B7E">
        <w:rPr>
          <w:noProof/>
        </w:rPr>
        <w:t> </w:t>
      </w:r>
      <w:r w:rsidR="006E0B7E" w:rsidRPr="0051561F">
        <w:rPr>
          <w:noProof/>
        </w:rPr>
        <w:t>uwa</w:t>
      </w:r>
      <w:r w:rsidRPr="0051561F">
        <w:rPr>
          <w:noProof/>
        </w:rPr>
        <w:t xml:space="preserve">gi na bezpośrednie stosowanie konwencji SOLAS do rejsów międzynarodowych oraz zastosowanie do rejsów krajowych </w:t>
      </w:r>
      <w:r w:rsidRPr="0051561F">
        <w:rPr>
          <w:bCs/>
          <w:noProof/>
          <w:color w:val="000000"/>
        </w:rPr>
        <w:t>dyrektywy Parlamentu Europejskiego</w:t>
      </w:r>
      <w:r w:rsidR="006E0B7E" w:rsidRPr="0051561F">
        <w:rPr>
          <w:bCs/>
          <w:noProof/>
          <w:color w:val="000000"/>
        </w:rPr>
        <w:t xml:space="preserve"> i</w:t>
      </w:r>
      <w:r w:rsidR="006E0B7E">
        <w:rPr>
          <w:bCs/>
          <w:noProof/>
          <w:color w:val="000000"/>
        </w:rPr>
        <w:t> </w:t>
      </w:r>
      <w:r w:rsidR="006E0B7E" w:rsidRPr="0051561F">
        <w:rPr>
          <w:bCs/>
          <w:noProof/>
          <w:color w:val="000000"/>
        </w:rPr>
        <w:t>Rad</w:t>
      </w:r>
      <w:r w:rsidRPr="0051561F">
        <w:rPr>
          <w:bCs/>
          <w:noProof/>
          <w:color w:val="000000"/>
        </w:rPr>
        <w:t>y 2009/45/WE</w:t>
      </w:r>
      <w:r w:rsidR="006E0B7E" w:rsidRPr="0051561F">
        <w:rPr>
          <w:bCs/>
          <w:noProof/>
          <w:color w:val="000000"/>
        </w:rPr>
        <w:t xml:space="preserve"> z</w:t>
      </w:r>
      <w:r w:rsidR="006E0B7E">
        <w:rPr>
          <w:bCs/>
          <w:noProof/>
          <w:color w:val="000000"/>
        </w:rPr>
        <w:t> </w:t>
      </w:r>
      <w:r w:rsidR="006E0B7E" w:rsidRPr="0051561F">
        <w:rPr>
          <w:bCs/>
          <w:noProof/>
          <w:color w:val="000000"/>
        </w:rPr>
        <w:t>dni</w:t>
      </w:r>
      <w:r w:rsidRPr="0051561F">
        <w:rPr>
          <w:bCs/>
          <w:noProof/>
          <w:color w:val="000000"/>
        </w:rPr>
        <w:t>a 6 maja 20</w:t>
      </w:r>
      <w:r w:rsidRPr="006E0B7E">
        <w:rPr>
          <w:bCs/>
          <w:noProof/>
          <w:color w:val="000000"/>
        </w:rPr>
        <w:t>09</w:t>
      </w:r>
      <w:r w:rsidR="006E0B7E" w:rsidRPr="006E0B7E">
        <w:rPr>
          <w:bCs/>
          <w:noProof/>
          <w:color w:val="000000"/>
        </w:rPr>
        <w:t> </w:t>
      </w:r>
      <w:r w:rsidRPr="006E0B7E">
        <w:rPr>
          <w:bCs/>
          <w:noProof/>
          <w:color w:val="000000"/>
        </w:rPr>
        <w:t>r.</w:t>
      </w:r>
      <w:r w:rsidR="006E0B7E" w:rsidRPr="0051561F">
        <w:rPr>
          <w:bCs/>
          <w:noProof/>
          <w:color w:val="000000"/>
        </w:rPr>
        <w:t xml:space="preserve"> w</w:t>
      </w:r>
      <w:r w:rsidR="006E0B7E">
        <w:rPr>
          <w:bCs/>
          <w:noProof/>
          <w:color w:val="000000"/>
        </w:rPr>
        <w:t> </w:t>
      </w:r>
      <w:r w:rsidR="006E0B7E" w:rsidRPr="0051561F">
        <w:rPr>
          <w:bCs/>
          <w:noProof/>
          <w:color w:val="000000"/>
        </w:rPr>
        <w:t>spr</w:t>
      </w:r>
      <w:r w:rsidRPr="0051561F">
        <w:rPr>
          <w:bCs/>
          <w:noProof/>
          <w:color w:val="000000"/>
        </w:rPr>
        <w:t>awie reguł</w:t>
      </w:r>
      <w:r w:rsidR="006E0B7E" w:rsidRPr="0051561F">
        <w:rPr>
          <w:bCs/>
          <w:noProof/>
          <w:color w:val="000000"/>
        </w:rPr>
        <w:t xml:space="preserve"> i</w:t>
      </w:r>
      <w:r w:rsidR="006E0B7E">
        <w:rPr>
          <w:bCs/>
          <w:noProof/>
          <w:color w:val="000000"/>
        </w:rPr>
        <w:t> </w:t>
      </w:r>
      <w:r w:rsidR="006E0B7E" w:rsidRPr="0051561F">
        <w:rPr>
          <w:bCs/>
          <w:noProof/>
          <w:color w:val="000000"/>
        </w:rPr>
        <w:t>nor</w:t>
      </w:r>
      <w:r w:rsidRPr="0051561F">
        <w:rPr>
          <w:bCs/>
          <w:noProof/>
          <w:color w:val="000000"/>
        </w:rPr>
        <w:t>m bezpieczeństwa statków pasażerskich (Wersja przekształcona)</w:t>
      </w:r>
      <w:r w:rsidRPr="0051561F">
        <w:rPr>
          <w:rStyle w:val="FootnoteReference"/>
          <w:bCs/>
          <w:noProof/>
          <w:color w:val="000000"/>
        </w:rPr>
        <w:footnoteReference w:id="7"/>
      </w:r>
      <w:r w:rsidRPr="0051561F">
        <w:rPr>
          <w:noProof/>
        </w:rPr>
        <w:t>.</w:t>
      </w:r>
    </w:p>
    <w:p w14:paraId="2C5A83C7" w14:textId="40A9BD2B" w:rsidR="006F1E15" w:rsidRPr="0051561F" w:rsidRDefault="001B6F72" w:rsidP="00CC4F35">
      <w:pPr>
        <w:pBdr>
          <w:top w:val="nil"/>
          <w:left w:val="nil"/>
          <w:bottom w:val="nil"/>
          <w:right w:val="nil"/>
          <w:between w:val="nil"/>
          <w:bar w:val="nil"/>
        </w:pBdr>
        <w:spacing w:before="0" w:after="240"/>
        <w:rPr>
          <w:noProof/>
        </w:rPr>
      </w:pPr>
      <w:r w:rsidRPr="0051561F">
        <w:rPr>
          <w:noProof/>
        </w:rPr>
        <w:t>Oprócz wymogów międzynarodowych szczególne przepisy UE mają zastosowanie do statków pasażerskich, pasażerskich statków typu ro-ro</w:t>
      </w:r>
      <w:r w:rsidR="006E0B7E" w:rsidRPr="0051561F">
        <w:rPr>
          <w:noProof/>
        </w:rPr>
        <w:t xml:space="preserve"> i</w:t>
      </w:r>
      <w:r w:rsidR="006E0B7E">
        <w:rPr>
          <w:noProof/>
        </w:rPr>
        <w:t> </w:t>
      </w:r>
      <w:r w:rsidR="006E0B7E" w:rsidRPr="0051561F">
        <w:rPr>
          <w:noProof/>
        </w:rPr>
        <w:t>jed</w:t>
      </w:r>
      <w:r w:rsidRPr="0051561F">
        <w:rPr>
          <w:noProof/>
        </w:rPr>
        <w:t>nostek szybkich</w:t>
      </w:r>
      <w:r w:rsidR="006E0B7E" w:rsidRPr="0051561F">
        <w:rPr>
          <w:noProof/>
        </w:rPr>
        <w:t>. W</w:t>
      </w:r>
      <w:r w:rsidR="006E0B7E">
        <w:rPr>
          <w:noProof/>
        </w:rPr>
        <w:t> </w:t>
      </w:r>
      <w:r w:rsidR="006E0B7E" w:rsidRPr="0051561F">
        <w:rPr>
          <w:noProof/>
        </w:rPr>
        <w:t>dyr</w:t>
      </w:r>
      <w:r w:rsidRPr="0051561F">
        <w:rPr>
          <w:noProof/>
        </w:rPr>
        <w:t>ektywie 2003/25/WE określono wymogi stateczności dla statków pasażerskich typu ro-ro</w:t>
      </w:r>
      <w:r w:rsidR="006E0B7E" w:rsidRPr="0051561F">
        <w:rPr>
          <w:noProof/>
        </w:rPr>
        <w:t xml:space="preserve"> w</w:t>
      </w:r>
      <w:r w:rsidR="006E0B7E">
        <w:rPr>
          <w:noProof/>
        </w:rPr>
        <w:t> </w:t>
      </w:r>
      <w:r w:rsidR="006E0B7E" w:rsidRPr="0051561F">
        <w:rPr>
          <w:noProof/>
        </w:rPr>
        <w:t>sta</w:t>
      </w:r>
      <w:r w:rsidRPr="0051561F">
        <w:rPr>
          <w:noProof/>
        </w:rPr>
        <w:t>nie uszkodzonym, które dotyczą wszystkich pasażerskich statków typu ro-ro realizujących usługi rozkładowe do lub</w:t>
      </w:r>
      <w:r w:rsidR="006E0B7E" w:rsidRPr="0051561F">
        <w:rPr>
          <w:noProof/>
        </w:rPr>
        <w:t xml:space="preserve"> z</w:t>
      </w:r>
      <w:r w:rsidR="006E0B7E">
        <w:rPr>
          <w:noProof/>
        </w:rPr>
        <w:t> </w:t>
      </w:r>
      <w:r w:rsidR="006E0B7E" w:rsidRPr="0051561F">
        <w:rPr>
          <w:noProof/>
        </w:rPr>
        <w:t>por</w:t>
      </w:r>
      <w:r w:rsidRPr="0051561F">
        <w:rPr>
          <w:noProof/>
        </w:rPr>
        <w:t>tu państwa członkowskiego, niezależnie od ich bandery,</w:t>
      </w:r>
      <w:r w:rsidR="006E0B7E" w:rsidRPr="0051561F">
        <w:rPr>
          <w:noProof/>
        </w:rPr>
        <w:t xml:space="preserve"> w</w:t>
      </w:r>
      <w:r w:rsidR="006E0B7E">
        <w:rPr>
          <w:noProof/>
        </w:rPr>
        <w:t> </w:t>
      </w:r>
      <w:r w:rsidR="006E0B7E" w:rsidRPr="0051561F">
        <w:rPr>
          <w:noProof/>
        </w:rPr>
        <w:t>prz</w:t>
      </w:r>
      <w:r w:rsidRPr="0051561F">
        <w:rPr>
          <w:noProof/>
        </w:rPr>
        <w:t>ypadku gdy uprawiają one żeglugę międzynarodową. Jej celem jest zapewnienie ich stateczności po uszkodzeniu, co ma poprawić zdolność tego typu statków do przetrwania</w:t>
      </w:r>
      <w:r w:rsidR="006E0B7E" w:rsidRPr="0051561F">
        <w:rPr>
          <w:noProof/>
        </w:rPr>
        <w:t xml:space="preserve"> w</w:t>
      </w:r>
      <w:r w:rsidR="006E0B7E">
        <w:rPr>
          <w:noProof/>
        </w:rPr>
        <w:t> </w:t>
      </w:r>
      <w:r w:rsidR="006E0B7E" w:rsidRPr="0051561F">
        <w:rPr>
          <w:noProof/>
        </w:rPr>
        <w:t>prz</w:t>
      </w:r>
      <w:r w:rsidRPr="0051561F">
        <w:rPr>
          <w:noProof/>
        </w:rPr>
        <w:t>ypadku uszkodzenia spowodowanego zderzeniem</w:t>
      </w:r>
      <w:r w:rsidR="006E0B7E" w:rsidRPr="0051561F">
        <w:rPr>
          <w:noProof/>
        </w:rPr>
        <w:t>. W</w:t>
      </w:r>
      <w:r w:rsidR="006E0B7E">
        <w:rPr>
          <w:noProof/>
        </w:rPr>
        <w:t> </w:t>
      </w:r>
      <w:r w:rsidR="006E0B7E" w:rsidRPr="0051561F">
        <w:rPr>
          <w:noProof/>
        </w:rPr>
        <w:t>nas</w:t>
      </w:r>
      <w:r w:rsidRPr="0051561F">
        <w:rPr>
          <w:noProof/>
        </w:rPr>
        <w:t>tępstwie katastrofy promu „MS Estonia”</w:t>
      </w:r>
      <w:r w:rsidR="006E0B7E" w:rsidRPr="0051561F">
        <w:rPr>
          <w:noProof/>
        </w:rPr>
        <w:t xml:space="preserve"> w</w:t>
      </w:r>
      <w:r w:rsidR="006E0B7E">
        <w:rPr>
          <w:noProof/>
        </w:rPr>
        <w:t> </w:t>
      </w:r>
      <w:r w:rsidR="006E0B7E" w:rsidRPr="0051561F">
        <w:rPr>
          <w:noProof/>
        </w:rPr>
        <w:t>dni</w:t>
      </w:r>
      <w:r w:rsidRPr="0051561F">
        <w:rPr>
          <w:noProof/>
        </w:rPr>
        <w:t>u 28 września 19</w:t>
      </w:r>
      <w:r w:rsidRPr="006E0B7E">
        <w:rPr>
          <w:noProof/>
        </w:rPr>
        <w:t>94</w:t>
      </w:r>
      <w:r w:rsidR="006E0B7E" w:rsidRPr="006E0B7E">
        <w:rPr>
          <w:noProof/>
        </w:rPr>
        <w:t> </w:t>
      </w:r>
      <w:r w:rsidRPr="006E0B7E">
        <w:rPr>
          <w:noProof/>
        </w:rPr>
        <w:t>r.</w:t>
      </w:r>
      <w:r w:rsidRPr="0051561F">
        <w:rPr>
          <w:noProof/>
        </w:rPr>
        <w:t xml:space="preserve"> osiem krajów europejskich (w tym siedem państw członkowskich) uruchomiło inicjatywę (Porozumienie sztokholmskie</w:t>
      </w:r>
      <w:r w:rsidR="006E0B7E" w:rsidRPr="0051561F">
        <w:rPr>
          <w:noProof/>
        </w:rPr>
        <w:t xml:space="preserve"> z</w:t>
      </w:r>
      <w:r w:rsidR="006E0B7E">
        <w:rPr>
          <w:noProof/>
        </w:rPr>
        <w:t> </w:t>
      </w:r>
      <w:r w:rsidR="006E0B7E" w:rsidRPr="0051561F">
        <w:rPr>
          <w:noProof/>
        </w:rPr>
        <w:t>dni</w:t>
      </w:r>
      <w:r w:rsidRPr="0051561F">
        <w:rPr>
          <w:noProof/>
        </w:rPr>
        <w:t>a 28 lutego 19</w:t>
      </w:r>
      <w:r w:rsidRPr="006E0B7E">
        <w:rPr>
          <w:noProof/>
        </w:rPr>
        <w:t>96</w:t>
      </w:r>
      <w:r w:rsidR="006E0B7E" w:rsidRPr="006E0B7E">
        <w:rPr>
          <w:noProof/>
        </w:rPr>
        <w:t> </w:t>
      </w:r>
      <w:r w:rsidRPr="006E0B7E">
        <w:rPr>
          <w:noProof/>
        </w:rPr>
        <w:t>r.</w:t>
      </w:r>
      <w:r w:rsidRPr="0051561F">
        <w:rPr>
          <w:noProof/>
        </w:rPr>
        <w:t>) na rzecz wprowadzenia wyższej normy stateczności</w:t>
      </w:r>
      <w:r w:rsidR="006E0B7E" w:rsidRPr="0051561F">
        <w:rPr>
          <w:noProof/>
        </w:rPr>
        <w:t xml:space="preserve"> w</w:t>
      </w:r>
      <w:r w:rsidR="006E0B7E">
        <w:rPr>
          <w:noProof/>
        </w:rPr>
        <w:t> </w:t>
      </w:r>
      <w:r w:rsidR="006E0B7E" w:rsidRPr="0051561F">
        <w:rPr>
          <w:noProof/>
        </w:rPr>
        <w:t>sta</w:t>
      </w:r>
      <w:r w:rsidRPr="0051561F">
        <w:rPr>
          <w:noProof/>
        </w:rPr>
        <w:t>nie uszkodzonym dla pasażerskich statków typu ro-ro,</w:t>
      </w:r>
      <w:r w:rsidR="006E0B7E" w:rsidRPr="0051561F">
        <w:rPr>
          <w:noProof/>
        </w:rPr>
        <w:t xml:space="preserve"> w</w:t>
      </w:r>
      <w:r w:rsidR="006E0B7E">
        <w:rPr>
          <w:noProof/>
        </w:rPr>
        <w:t> </w:t>
      </w:r>
      <w:r w:rsidR="006E0B7E" w:rsidRPr="0051561F">
        <w:rPr>
          <w:noProof/>
        </w:rPr>
        <w:t>cel</w:t>
      </w:r>
      <w:r w:rsidRPr="0051561F">
        <w:rPr>
          <w:noProof/>
        </w:rPr>
        <w:t>u uwzględnienia skutku gromadzenia się wody na pokładzie ro-ro oraz umożliwienia statkom przetrwania</w:t>
      </w:r>
      <w:r w:rsidR="006E0B7E" w:rsidRPr="0051561F">
        <w:rPr>
          <w:noProof/>
        </w:rPr>
        <w:t xml:space="preserve"> w</w:t>
      </w:r>
      <w:r w:rsidR="006E0B7E">
        <w:rPr>
          <w:noProof/>
        </w:rPr>
        <w:t> </w:t>
      </w:r>
      <w:r w:rsidR="006E0B7E" w:rsidRPr="0051561F">
        <w:rPr>
          <w:noProof/>
        </w:rPr>
        <w:t>gro</w:t>
      </w:r>
      <w:r w:rsidRPr="0051561F">
        <w:rPr>
          <w:noProof/>
        </w:rPr>
        <w:t>źniejszych sytuacjach niż te, które określono</w:t>
      </w:r>
      <w:r w:rsidR="006E0B7E" w:rsidRPr="0051561F">
        <w:rPr>
          <w:noProof/>
        </w:rPr>
        <w:t xml:space="preserve"> w</w:t>
      </w:r>
      <w:r w:rsidR="006E0B7E">
        <w:rPr>
          <w:noProof/>
        </w:rPr>
        <w:t> </w:t>
      </w:r>
      <w:r w:rsidR="006E0B7E" w:rsidRPr="0051561F">
        <w:rPr>
          <w:noProof/>
        </w:rPr>
        <w:t>nor</w:t>
      </w:r>
      <w:r w:rsidRPr="0051561F">
        <w:rPr>
          <w:noProof/>
        </w:rPr>
        <w:t xml:space="preserve">mie SOLAS 90, przy stanie morza charakteryzującym się znaczącą wysokością fali </w:t>
      </w:r>
      <w:r w:rsidRPr="006E0B7E">
        <w:rPr>
          <w:noProof/>
        </w:rPr>
        <w:t>do</w:t>
      </w:r>
      <w:r w:rsidR="006E0B7E" w:rsidRPr="006E0B7E">
        <w:rPr>
          <w:noProof/>
        </w:rPr>
        <w:t> </w:t>
      </w:r>
      <w:r w:rsidRPr="006E0B7E">
        <w:rPr>
          <w:noProof/>
        </w:rPr>
        <w:t>4</w:t>
      </w:r>
      <w:r w:rsidRPr="0051561F">
        <w:rPr>
          <w:noProof/>
        </w:rPr>
        <w:t xml:space="preserve"> m. Inicjatywa ta doprowadziła do przedstawienia przez Komisję wniosku dotyczącego dyrektywy,</w:t>
      </w:r>
      <w:r w:rsidR="006E0B7E" w:rsidRPr="0051561F">
        <w:rPr>
          <w:noProof/>
        </w:rPr>
        <w:t xml:space="preserve"> a</w:t>
      </w:r>
      <w:r w:rsidR="006E0B7E">
        <w:rPr>
          <w:noProof/>
        </w:rPr>
        <w:t> </w:t>
      </w:r>
      <w:r w:rsidR="006E0B7E" w:rsidRPr="0051561F">
        <w:rPr>
          <w:noProof/>
        </w:rPr>
        <w:t>nas</w:t>
      </w:r>
      <w:r w:rsidRPr="0051561F">
        <w:rPr>
          <w:noProof/>
        </w:rPr>
        <w:t>tępnie do przyjęcia przez Parlament Europejski</w:t>
      </w:r>
      <w:r w:rsidR="006E0B7E" w:rsidRPr="0051561F">
        <w:rPr>
          <w:noProof/>
        </w:rPr>
        <w:t xml:space="preserve"> i</w:t>
      </w:r>
      <w:r w:rsidR="006E0B7E">
        <w:rPr>
          <w:noProof/>
        </w:rPr>
        <w:t> </w:t>
      </w:r>
      <w:r w:rsidR="006E0B7E" w:rsidRPr="0051561F">
        <w:rPr>
          <w:noProof/>
        </w:rPr>
        <w:t>Rad</w:t>
      </w:r>
      <w:r w:rsidRPr="0051561F">
        <w:rPr>
          <w:noProof/>
        </w:rPr>
        <w:t>ę dyrektywy 2003/25/WE.</w:t>
      </w:r>
    </w:p>
    <w:p w14:paraId="277E460E" w14:textId="30E62237" w:rsidR="001B6F72" w:rsidRPr="0051561F" w:rsidRDefault="002260BE" w:rsidP="001B6F72">
      <w:pPr>
        <w:rPr>
          <w:noProof/>
        </w:rPr>
      </w:pPr>
      <w:r w:rsidRPr="0051561F">
        <w:rPr>
          <w:noProof/>
        </w:rPr>
        <w:t>Unijne szczególne wymogi stateczności uzupełniają wymogi SOLAS dotyczące stateczności</w:t>
      </w:r>
      <w:r w:rsidR="006E0B7E" w:rsidRPr="0051561F">
        <w:rPr>
          <w:noProof/>
        </w:rPr>
        <w:t xml:space="preserve"> w</w:t>
      </w:r>
      <w:r w:rsidR="006E0B7E">
        <w:rPr>
          <w:noProof/>
        </w:rPr>
        <w:t> </w:t>
      </w:r>
      <w:r w:rsidR="006E0B7E" w:rsidRPr="0051561F">
        <w:rPr>
          <w:noProof/>
        </w:rPr>
        <w:t>sta</w:t>
      </w:r>
      <w:r w:rsidRPr="0051561F">
        <w:rPr>
          <w:noProof/>
        </w:rPr>
        <w:t>nie uszkodzonym, aby uwzględnić –</w:t>
      </w:r>
      <w:r w:rsidR="006E0B7E" w:rsidRPr="0051561F">
        <w:rPr>
          <w:noProof/>
        </w:rPr>
        <w:t xml:space="preserve"> w</w:t>
      </w:r>
      <w:r w:rsidR="006E0B7E">
        <w:rPr>
          <w:noProof/>
        </w:rPr>
        <w:t> </w:t>
      </w:r>
      <w:r w:rsidR="006E0B7E" w:rsidRPr="0051561F">
        <w:rPr>
          <w:noProof/>
        </w:rPr>
        <w:t>prz</w:t>
      </w:r>
      <w:r w:rsidRPr="0051561F">
        <w:rPr>
          <w:noProof/>
        </w:rPr>
        <w:t>ypadku uszkodzenia statku – obecność na pokładzie ro-ro wody, której ilość zależy od wolnej burty</w:t>
      </w:r>
      <w:r w:rsidR="006E0B7E" w:rsidRPr="0051561F">
        <w:rPr>
          <w:noProof/>
        </w:rPr>
        <w:t xml:space="preserve"> w</w:t>
      </w:r>
      <w:r w:rsidR="006E0B7E">
        <w:rPr>
          <w:noProof/>
        </w:rPr>
        <w:t> </w:t>
      </w:r>
      <w:r w:rsidR="006E0B7E" w:rsidRPr="0051561F">
        <w:rPr>
          <w:noProof/>
        </w:rPr>
        <w:t>sta</w:t>
      </w:r>
      <w:r w:rsidRPr="0051561F">
        <w:rPr>
          <w:noProof/>
        </w:rPr>
        <w:t>nie uszkodzonym oraz znaczącej wysokości fali</w:t>
      </w:r>
      <w:r w:rsidR="006E0B7E" w:rsidRPr="0051561F">
        <w:rPr>
          <w:noProof/>
        </w:rPr>
        <w:t xml:space="preserve"> w</w:t>
      </w:r>
      <w:r w:rsidR="006E0B7E">
        <w:rPr>
          <w:noProof/>
        </w:rPr>
        <w:t> </w:t>
      </w:r>
      <w:r w:rsidR="006E0B7E" w:rsidRPr="0051561F">
        <w:rPr>
          <w:noProof/>
        </w:rPr>
        <w:t>obs</w:t>
      </w:r>
      <w:r w:rsidRPr="0051561F">
        <w:rPr>
          <w:noProof/>
        </w:rPr>
        <w:t>zarze działania. Wymogi ustanowione</w:t>
      </w:r>
      <w:r w:rsidR="006E0B7E" w:rsidRPr="0051561F">
        <w:rPr>
          <w:noProof/>
        </w:rPr>
        <w:t xml:space="preserve"> w</w:t>
      </w:r>
      <w:r w:rsidR="006E0B7E">
        <w:rPr>
          <w:noProof/>
        </w:rPr>
        <w:t> </w:t>
      </w:r>
      <w:r w:rsidR="006E0B7E" w:rsidRPr="0051561F">
        <w:rPr>
          <w:noProof/>
        </w:rPr>
        <w:t>dyr</w:t>
      </w:r>
      <w:r w:rsidRPr="0051561F">
        <w:rPr>
          <w:noProof/>
        </w:rPr>
        <w:t>ektywie 2003/25/WE mają również zastosowanie do pasażerskich statków typu ro-ro zaangażowanych</w:t>
      </w:r>
      <w:r w:rsidR="006E0B7E" w:rsidRPr="0051561F">
        <w:rPr>
          <w:noProof/>
        </w:rPr>
        <w:t xml:space="preserve"> w</w:t>
      </w:r>
      <w:r w:rsidR="006E0B7E">
        <w:rPr>
          <w:noProof/>
        </w:rPr>
        <w:t> </w:t>
      </w:r>
      <w:r w:rsidR="006E0B7E" w:rsidRPr="0051561F">
        <w:rPr>
          <w:noProof/>
        </w:rPr>
        <w:t>wyk</w:t>
      </w:r>
      <w:r w:rsidRPr="0051561F">
        <w:rPr>
          <w:noProof/>
        </w:rPr>
        <w:t>onywanie działalności gospodarczej</w:t>
      </w:r>
      <w:r w:rsidR="006E0B7E" w:rsidRPr="0051561F">
        <w:rPr>
          <w:noProof/>
        </w:rPr>
        <w:t xml:space="preserve"> w</w:t>
      </w:r>
      <w:r w:rsidR="006E0B7E">
        <w:rPr>
          <w:noProof/>
        </w:rPr>
        <w:t> </w:t>
      </w:r>
      <w:r w:rsidR="006E0B7E" w:rsidRPr="0051561F">
        <w:rPr>
          <w:noProof/>
        </w:rPr>
        <w:t>obr</w:t>
      </w:r>
      <w:r w:rsidRPr="0051561F">
        <w:rPr>
          <w:noProof/>
        </w:rPr>
        <w:t>ębie Unii Europejskiej na podstawie dyrektywy 2009/45/WE. Przedmiotowa dyrektywa dzieli statki</w:t>
      </w:r>
      <w:r w:rsidR="006E0B7E" w:rsidRPr="0051561F">
        <w:rPr>
          <w:noProof/>
        </w:rPr>
        <w:t xml:space="preserve"> i</w:t>
      </w:r>
      <w:r w:rsidR="006E0B7E">
        <w:rPr>
          <w:noProof/>
        </w:rPr>
        <w:t> </w:t>
      </w:r>
      <w:r w:rsidR="006E0B7E" w:rsidRPr="0051561F">
        <w:rPr>
          <w:noProof/>
        </w:rPr>
        <w:t>obs</w:t>
      </w:r>
      <w:r w:rsidRPr="0051561F">
        <w:rPr>
          <w:noProof/>
        </w:rPr>
        <w:t>zary morskie na cztery kategorie (A, B C i D)</w:t>
      </w:r>
      <w:r w:rsidR="006E0B7E" w:rsidRPr="0051561F">
        <w:rPr>
          <w:noProof/>
        </w:rPr>
        <w:t xml:space="preserve"> w</w:t>
      </w:r>
      <w:r w:rsidR="006E0B7E">
        <w:rPr>
          <w:noProof/>
        </w:rPr>
        <w:t> </w:t>
      </w:r>
      <w:r w:rsidR="006E0B7E" w:rsidRPr="0051561F">
        <w:rPr>
          <w:noProof/>
        </w:rPr>
        <w:t>zal</w:t>
      </w:r>
      <w:r w:rsidRPr="0051561F">
        <w:rPr>
          <w:noProof/>
        </w:rPr>
        <w:t>eżności od odległości od brzegu</w:t>
      </w:r>
      <w:r w:rsidR="006E0B7E" w:rsidRPr="0051561F">
        <w:rPr>
          <w:noProof/>
        </w:rPr>
        <w:t xml:space="preserve"> i</w:t>
      </w:r>
      <w:r w:rsidR="006E0B7E">
        <w:rPr>
          <w:noProof/>
        </w:rPr>
        <w:t> </w:t>
      </w:r>
      <w:r w:rsidR="006E0B7E" w:rsidRPr="0051561F">
        <w:rPr>
          <w:noProof/>
        </w:rPr>
        <w:t>kry</w:t>
      </w:r>
      <w:r w:rsidRPr="0051561F">
        <w:rPr>
          <w:noProof/>
        </w:rPr>
        <w:t>tycznej wysokości fali</w:t>
      </w:r>
      <w:r w:rsidR="006E0B7E" w:rsidRPr="0051561F">
        <w:rPr>
          <w:noProof/>
        </w:rPr>
        <w:t>. W</w:t>
      </w:r>
      <w:r w:rsidR="006E0B7E">
        <w:rPr>
          <w:noProof/>
        </w:rPr>
        <w:t> </w:t>
      </w:r>
      <w:r w:rsidR="006E0B7E" w:rsidRPr="0051561F">
        <w:rPr>
          <w:noProof/>
        </w:rPr>
        <w:t>prz</w:t>
      </w:r>
      <w:r w:rsidRPr="0051561F">
        <w:rPr>
          <w:noProof/>
        </w:rPr>
        <w:t xml:space="preserve">ypadku pasażerskich statków typu ro-ro klasy A, B i C należy stosować wymogi dyrektywy 2003/25/WE. </w:t>
      </w:r>
    </w:p>
    <w:p w14:paraId="32525BFB" w14:textId="1B9B5330" w:rsidR="00E87653" w:rsidRPr="0051561F" w:rsidRDefault="00E87653" w:rsidP="00A4372D">
      <w:pPr>
        <w:rPr>
          <w:noProof/>
        </w:rPr>
      </w:pPr>
      <w:r w:rsidRPr="0051561F">
        <w:rPr>
          <w:noProof/>
        </w:rPr>
        <w:t>W następstwie oceny REFIT dotyczącej przepisów</w:t>
      </w:r>
      <w:r w:rsidR="006E0B7E" w:rsidRPr="0051561F">
        <w:rPr>
          <w:noProof/>
        </w:rPr>
        <w:t xml:space="preserve"> w</w:t>
      </w:r>
      <w:r w:rsidR="006E0B7E">
        <w:rPr>
          <w:noProof/>
        </w:rPr>
        <w:t> </w:t>
      </w:r>
      <w:r w:rsidR="006E0B7E" w:rsidRPr="0051561F">
        <w:rPr>
          <w:noProof/>
        </w:rPr>
        <w:t>zak</w:t>
      </w:r>
      <w:r w:rsidRPr="0051561F">
        <w:rPr>
          <w:noProof/>
        </w:rPr>
        <w:t>resie bezpieczeństwa statków pasażerskich wydano zalecenie mające na celu ocenę możliwości dostosowania podejścia regulacyjnego UE</w:t>
      </w:r>
      <w:r w:rsidR="006E0B7E" w:rsidRPr="0051561F">
        <w:rPr>
          <w:noProof/>
        </w:rPr>
        <w:t xml:space="preserve"> w</w:t>
      </w:r>
      <w:r w:rsidR="006E0B7E">
        <w:rPr>
          <w:noProof/>
        </w:rPr>
        <w:t> </w:t>
      </w:r>
      <w:r w:rsidR="006E0B7E" w:rsidRPr="0051561F">
        <w:rPr>
          <w:noProof/>
        </w:rPr>
        <w:t>kwe</w:t>
      </w:r>
      <w:r w:rsidRPr="0051561F">
        <w:rPr>
          <w:noProof/>
        </w:rPr>
        <w:t>stii szczególnych wymogów stateczności dla pasażerskich statków typu ro-ro do przepisów międzynarodowych, pod warunkiem że obecny poziom bezpieczeństwa określony</w:t>
      </w:r>
      <w:r w:rsidR="006E0B7E" w:rsidRPr="0051561F">
        <w:rPr>
          <w:noProof/>
        </w:rPr>
        <w:t xml:space="preserve"> w</w:t>
      </w:r>
      <w:r w:rsidR="006E0B7E">
        <w:rPr>
          <w:noProof/>
        </w:rPr>
        <w:t> </w:t>
      </w:r>
      <w:r w:rsidR="006E0B7E" w:rsidRPr="0051561F">
        <w:rPr>
          <w:noProof/>
        </w:rPr>
        <w:t>dyr</w:t>
      </w:r>
      <w:r w:rsidRPr="0051561F">
        <w:rPr>
          <w:noProof/>
        </w:rPr>
        <w:t>ektywie 2003/25/WE zostanie co najmniej utrzymany.</w:t>
      </w:r>
    </w:p>
    <w:p w14:paraId="1C9F7E4F" w14:textId="6677DC44" w:rsidR="006F1E15" w:rsidRPr="0051561F" w:rsidRDefault="00E87653" w:rsidP="00A4372D">
      <w:pPr>
        <w:rPr>
          <w:noProof/>
        </w:rPr>
      </w:pPr>
      <w:r w:rsidRPr="0051561F">
        <w:rPr>
          <w:noProof/>
        </w:rPr>
        <w:t xml:space="preserve">Biorąc pod uwagę różnice między zmienioną konwencją SOLAS (wersją mającą zastosowanie </w:t>
      </w:r>
      <w:r w:rsidRPr="006E0B7E">
        <w:rPr>
          <w:noProof/>
        </w:rPr>
        <w:t>od</w:t>
      </w:r>
      <w:r w:rsidR="006E0B7E" w:rsidRPr="006E0B7E">
        <w:rPr>
          <w:noProof/>
        </w:rPr>
        <w:t> </w:t>
      </w:r>
      <w:r w:rsidRPr="006E0B7E">
        <w:rPr>
          <w:noProof/>
        </w:rPr>
        <w:t>2</w:t>
      </w:r>
      <w:r w:rsidRPr="0051561F">
        <w:rPr>
          <w:noProof/>
        </w:rPr>
        <w:t>0</w:t>
      </w:r>
      <w:r w:rsidRPr="006E0B7E">
        <w:rPr>
          <w:noProof/>
        </w:rPr>
        <w:t>20</w:t>
      </w:r>
      <w:r w:rsidR="006E0B7E" w:rsidRPr="006E0B7E">
        <w:rPr>
          <w:noProof/>
        </w:rPr>
        <w:t> </w:t>
      </w:r>
      <w:r w:rsidRPr="006E0B7E">
        <w:rPr>
          <w:noProof/>
        </w:rPr>
        <w:t>r.</w:t>
      </w:r>
      <w:r w:rsidRPr="0051561F">
        <w:rPr>
          <w:noProof/>
        </w:rPr>
        <w:t>)</w:t>
      </w:r>
      <w:r w:rsidR="006E0B7E" w:rsidRPr="0051561F">
        <w:rPr>
          <w:noProof/>
        </w:rPr>
        <w:t xml:space="preserve"> a</w:t>
      </w:r>
      <w:r w:rsidR="006E0B7E">
        <w:rPr>
          <w:noProof/>
        </w:rPr>
        <w:t> </w:t>
      </w:r>
      <w:r w:rsidR="006E0B7E" w:rsidRPr="0051561F">
        <w:rPr>
          <w:noProof/>
        </w:rPr>
        <w:t>szc</w:t>
      </w:r>
      <w:r w:rsidRPr="0051561F">
        <w:rPr>
          <w:noProof/>
        </w:rPr>
        <w:t>zególnymi unijnymi wymogami stateczności</w:t>
      </w:r>
      <w:r w:rsidR="006E0B7E" w:rsidRPr="0051561F">
        <w:rPr>
          <w:noProof/>
        </w:rPr>
        <w:t xml:space="preserve"> w</w:t>
      </w:r>
      <w:r w:rsidR="006E0B7E">
        <w:rPr>
          <w:noProof/>
        </w:rPr>
        <w:t> </w:t>
      </w:r>
      <w:r w:rsidR="006E0B7E" w:rsidRPr="0051561F">
        <w:rPr>
          <w:noProof/>
        </w:rPr>
        <w:t>sta</w:t>
      </w:r>
      <w:r w:rsidRPr="0051561F">
        <w:rPr>
          <w:noProof/>
        </w:rPr>
        <w:t>nie uszkodzonym dla pasażerskich statków typu ro-ro, konieczność stosowania dyrektywy 2003/25/WE</w:t>
      </w:r>
      <w:r w:rsidR="006E0B7E" w:rsidRPr="0051561F">
        <w:rPr>
          <w:noProof/>
        </w:rPr>
        <w:t xml:space="preserve"> i</w:t>
      </w:r>
      <w:r w:rsidR="006E0B7E">
        <w:rPr>
          <w:noProof/>
        </w:rPr>
        <w:t> </w:t>
      </w:r>
      <w:r w:rsidR="006E0B7E" w:rsidRPr="0051561F">
        <w:rPr>
          <w:noProof/>
        </w:rPr>
        <w:t>jej</w:t>
      </w:r>
      <w:r w:rsidRPr="0051561F">
        <w:rPr>
          <w:noProof/>
        </w:rPr>
        <w:t xml:space="preserve"> wartość dodaną oceniono na podstawie tego, czy wymogi konwencji SOLAS zapewniają taki sam poziom bezpieczeństwa. </w:t>
      </w:r>
    </w:p>
    <w:p w14:paraId="2DBD532C" w14:textId="178CB000" w:rsidR="00EB1327" w:rsidRPr="0051561F" w:rsidRDefault="006F1E15" w:rsidP="00EB1327">
      <w:pPr>
        <w:pBdr>
          <w:top w:val="nil"/>
          <w:left w:val="nil"/>
          <w:bottom w:val="nil"/>
          <w:right w:val="nil"/>
          <w:between w:val="nil"/>
          <w:bar w:val="nil"/>
        </w:pBdr>
        <w:spacing w:after="240"/>
        <w:rPr>
          <w:rFonts w:eastAsia="Arial Unicode MS"/>
          <w:noProof/>
        </w:rPr>
      </w:pPr>
      <w:r w:rsidRPr="0051561F">
        <w:rPr>
          <w:noProof/>
        </w:rPr>
        <w:t>Uwzględniając wnioski</w:t>
      </w:r>
      <w:r w:rsidR="006E0B7E" w:rsidRPr="0051561F">
        <w:rPr>
          <w:noProof/>
        </w:rPr>
        <w:t xml:space="preserve"> z</w:t>
      </w:r>
      <w:r w:rsidR="006E0B7E">
        <w:rPr>
          <w:noProof/>
        </w:rPr>
        <w:t> </w:t>
      </w:r>
      <w:r w:rsidR="006E0B7E" w:rsidRPr="0051561F">
        <w:rPr>
          <w:noProof/>
        </w:rPr>
        <w:t>oce</w:t>
      </w:r>
      <w:r w:rsidRPr="0051561F">
        <w:rPr>
          <w:noProof/>
        </w:rPr>
        <w:t>ny REFIT przeprowadzonej przez Komisję oraz rozwój sytuacji na szczeblu międzynarodowym, powierzono Komisji zadanie oceny możliwości zaproponowania zmiany lub uchylenia szczególnych unijnych wymogów stateczności dla pasażerskich statków typu ro-ro,</w:t>
      </w:r>
      <w:r w:rsidR="006E0B7E" w:rsidRPr="0051561F">
        <w:rPr>
          <w:noProof/>
        </w:rPr>
        <w:t xml:space="preserve"> w</w:t>
      </w:r>
      <w:r w:rsidR="006E0B7E">
        <w:rPr>
          <w:noProof/>
        </w:rPr>
        <w:t> </w:t>
      </w:r>
      <w:r w:rsidR="006E0B7E" w:rsidRPr="0051561F">
        <w:rPr>
          <w:noProof/>
        </w:rPr>
        <w:t>opa</w:t>
      </w:r>
      <w:r w:rsidRPr="0051561F">
        <w:rPr>
          <w:noProof/>
        </w:rPr>
        <w:t>rciu</w:t>
      </w:r>
      <w:r w:rsidR="006E0B7E" w:rsidRPr="0051561F">
        <w:rPr>
          <w:noProof/>
        </w:rPr>
        <w:t xml:space="preserve"> o</w:t>
      </w:r>
      <w:r w:rsidR="006E0B7E">
        <w:rPr>
          <w:noProof/>
        </w:rPr>
        <w:t> </w:t>
      </w:r>
      <w:r w:rsidR="006E0B7E" w:rsidRPr="0051561F">
        <w:rPr>
          <w:noProof/>
        </w:rPr>
        <w:t>nor</w:t>
      </w:r>
      <w:r w:rsidRPr="0051561F">
        <w:rPr>
          <w:noProof/>
        </w:rPr>
        <w:t xml:space="preserve">my międzynarodowe, jeżeli zostaną one zmodernizowane (począwszy </w:t>
      </w:r>
      <w:r w:rsidRPr="006E0B7E">
        <w:rPr>
          <w:noProof/>
        </w:rPr>
        <w:t>od</w:t>
      </w:r>
      <w:r w:rsidR="006E0B7E" w:rsidRPr="006E0B7E">
        <w:rPr>
          <w:noProof/>
        </w:rPr>
        <w:t> </w:t>
      </w:r>
      <w:r w:rsidRPr="006E0B7E">
        <w:rPr>
          <w:noProof/>
        </w:rPr>
        <w:t>2</w:t>
      </w:r>
      <w:r w:rsidRPr="0051561F">
        <w:rPr>
          <w:noProof/>
        </w:rPr>
        <w:t>0</w:t>
      </w:r>
      <w:r w:rsidRPr="006E0B7E">
        <w:rPr>
          <w:noProof/>
        </w:rPr>
        <w:t>20</w:t>
      </w:r>
      <w:r w:rsidR="006E0B7E" w:rsidRPr="006E0B7E">
        <w:rPr>
          <w:noProof/>
        </w:rPr>
        <w:t> </w:t>
      </w:r>
      <w:r w:rsidRPr="006E0B7E">
        <w:rPr>
          <w:noProof/>
        </w:rPr>
        <w:t>r.</w:t>
      </w:r>
      <w:r w:rsidRPr="0051561F">
        <w:rPr>
          <w:noProof/>
        </w:rPr>
        <w:t>)</w:t>
      </w:r>
      <w:r w:rsidR="006E0B7E" w:rsidRPr="0051561F">
        <w:rPr>
          <w:noProof/>
        </w:rPr>
        <w:t xml:space="preserve"> w</w:t>
      </w:r>
      <w:r w:rsidR="006E0B7E">
        <w:rPr>
          <w:noProof/>
        </w:rPr>
        <w:t> </w:t>
      </w:r>
      <w:r w:rsidR="006E0B7E" w:rsidRPr="0051561F">
        <w:rPr>
          <w:noProof/>
        </w:rPr>
        <w:t>zad</w:t>
      </w:r>
      <w:r w:rsidRPr="0051561F">
        <w:rPr>
          <w:noProof/>
        </w:rPr>
        <w:t>owalający dla Unii sposób</w:t>
      </w:r>
      <w:r w:rsidR="006E0B7E" w:rsidRPr="0051561F">
        <w:rPr>
          <w:noProof/>
        </w:rPr>
        <w:t>. W</w:t>
      </w:r>
      <w:r w:rsidR="006E0B7E">
        <w:rPr>
          <w:noProof/>
        </w:rPr>
        <w:t> </w:t>
      </w:r>
      <w:r w:rsidR="006E0B7E" w:rsidRPr="0051561F">
        <w:rPr>
          <w:noProof/>
        </w:rPr>
        <w:t>tym</w:t>
      </w:r>
      <w:r w:rsidRPr="0051561F">
        <w:rPr>
          <w:noProof/>
        </w:rPr>
        <w:t xml:space="preserve"> celu przeprowadzono ekspertyzę,</w:t>
      </w:r>
      <w:r w:rsidR="006E0B7E" w:rsidRPr="0051561F">
        <w:rPr>
          <w:noProof/>
        </w:rPr>
        <w:t xml:space="preserve"> w</w:t>
      </w:r>
      <w:r w:rsidR="006E0B7E">
        <w:rPr>
          <w:noProof/>
        </w:rPr>
        <w:t> </w:t>
      </w:r>
      <w:r w:rsidR="006E0B7E" w:rsidRPr="0051561F">
        <w:rPr>
          <w:noProof/>
        </w:rPr>
        <w:t>ram</w:t>
      </w:r>
      <w:r w:rsidRPr="0051561F">
        <w:rPr>
          <w:noProof/>
        </w:rPr>
        <w:t>ach której przeanalizowano warianty techniczne</w:t>
      </w:r>
      <w:r w:rsidR="006E0B7E" w:rsidRPr="0051561F">
        <w:rPr>
          <w:noProof/>
        </w:rPr>
        <w:t xml:space="preserve"> i</w:t>
      </w:r>
      <w:r w:rsidR="006E0B7E">
        <w:rPr>
          <w:noProof/>
        </w:rPr>
        <w:t> </w:t>
      </w:r>
      <w:r w:rsidR="006E0B7E" w:rsidRPr="0051561F">
        <w:rPr>
          <w:noProof/>
        </w:rPr>
        <w:t>str</w:t>
      </w:r>
      <w:r w:rsidRPr="0051561F">
        <w:rPr>
          <w:noProof/>
        </w:rPr>
        <w:t>ategiczne,</w:t>
      </w:r>
      <w:r w:rsidR="006E0B7E" w:rsidRPr="0051561F">
        <w:rPr>
          <w:noProof/>
        </w:rPr>
        <w:t xml:space="preserve"> a</w:t>
      </w:r>
      <w:r w:rsidR="006E0B7E">
        <w:rPr>
          <w:noProof/>
        </w:rPr>
        <w:t> </w:t>
      </w:r>
      <w:r w:rsidR="006E0B7E" w:rsidRPr="0051561F">
        <w:rPr>
          <w:noProof/>
        </w:rPr>
        <w:t>mia</w:t>
      </w:r>
      <w:r w:rsidRPr="0051561F">
        <w:rPr>
          <w:noProof/>
        </w:rPr>
        <w:t>nowicie różne opcje dotyczące wymaganego wskaźnika podziału grodziowego R, ograniczeń dotyczących wysokości fali nałożonych dyrektywą 2009/45/WE</w:t>
      </w:r>
      <w:r w:rsidR="006E0B7E" w:rsidRPr="0051561F">
        <w:rPr>
          <w:noProof/>
        </w:rPr>
        <w:t xml:space="preserve"> w</w:t>
      </w:r>
      <w:r w:rsidR="006E0B7E">
        <w:rPr>
          <w:noProof/>
        </w:rPr>
        <w:t> </w:t>
      </w:r>
      <w:r w:rsidR="006E0B7E" w:rsidRPr="0051561F">
        <w:rPr>
          <w:noProof/>
        </w:rPr>
        <w:t>spo</w:t>
      </w:r>
      <w:r w:rsidRPr="0051561F">
        <w:rPr>
          <w:noProof/>
        </w:rPr>
        <w:t>sób probabilistyczny oraz rozwiązań alternatywnych względem dodatkowych wymogów deterministycznych. Komisja oceniła również, czy wymogi zawarte</w:t>
      </w:r>
      <w:r w:rsidR="006E0B7E" w:rsidRPr="0051561F">
        <w:rPr>
          <w:noProof/>
        </w:rPr>
        <w:t xml:space="preserve"> w</w:t>
      </w:r>
      <w:r w:rsidR="006E0B7E">
        <w:rPr>
          <w:noProof/>
        </w:rPr>
        <w:t> </w:t>
      </w:r>
      <w:r w:rsidR="006E0B7E" w:rsidRPr="0051561F">
        <w:rPr>
          <w:noProof/>
        </w:rPr>
        <w:t>dyr</w:t>
      </w:r>
      <w:r w:rsidRPr="0051561F">
        <w:rPr>
          <w:noProof/>
        </w:rPr>
        <w:t xml:space="preserve">ektywie 2003/25/WE pozostałyby aktualne do czasu, aż zostanie wykazane, że odpowiedni poziom bezpieczeństwa ustalony na szczeblu międzynarodowym zapewni równoważną lub wyższą ochronę. </w:t>
      </w:r>
    </w:p>
    <w:p w14:paraId="532C9AD8" w14:textId="2419FA97" w:rsidR="00F97253" w:rsidRPr="0051561F" w:rsidRDefault="00EB1327" w:rsidP="00A4372D">
      <w:pPr>
        <w:rPr>
          <w:noProof/>
        </w:rPr>
      </w:pPr>
      <w:r w:rsidRPr="0051561F">
        <w:rPr>
          <w:noProof/>
        </w:rPr>
        <w:t>Poza rozwiązaniami technicznymi służącymi do obliczania stateczności</w:t>
      </w:r>
      <w:r w:rsidR="006E0B7E" w:rsidRPr="0051561F">
        <w:rPr>
          <w:noProof/>
        </w:rPr>
        <w:t xml:space="preserve"> w</w:t>
      </w:r>
      <w:r w:rsidR="006E0B7E">
        <w:rPr>
          <w:noProof/>
        </w:rPr>
        <w:t> </w:t>
      </w:r>
      <w:r w:rsidR="006E0B7E" w:rsidRPr="0051561F">
        <w:rPr>
          <w:noProof/>
        </w:rPr>
        <w:t>sta</w:t>
      </w:r>
      <w:r w:rsidRPr="0051561F">
        <w:rPr>
          <w:noProof/>
        </w:rPr>
        <w:t>nie uszkodzonym dla różnych typów statków wyniki ekspertyzy doprowadziły również do sformułowania zalecenia, aby nie uwzględniać ograniczeń wysokości fali</w:t>
      </w:r>
      <w:r w:rsidR="006E0B7E" w:rsidRPr="0051561F">
        <w:rPr>
          <w:noProof/>
        </w:rPr>
        <w:t xml:space="preserve"> w</w:t>
      </w:r>
      <w:r w:rsidR="006E0B7E">
        <w:rPr>
          <w:noProof/>
        </w:rPr>
        <w:t> </w:t>
      </w:r>
      <w:r w:rsidR="006E0B7E" w:rsidRPr="0051561F">
        <w:rPr>
          <w:noProof/>
        </w:rPr>
        <w:t>ram</w:t>
      </w:r>
      <w:r w:rsidRPr="0051561F">
        <w:rPr>
          <w:noProof/>
        </w:rPr>
        <w:t>ach koncepcji probabilistycznej. Obliczenia próby statku nie wykazały, że ograniczenia wysokości fali wynikające ze znormalizowanego współczynnika „s” lub oczekiwanej krytycznej wysokości fali mają znaczący wpływ na ogólną zdolność przetrwania wyrażoną wskaźnikiem A</w:t>
      </w:r>
      <w:r w:rsidR="006E0B7E" w:rsidRPr="0051561F">
        <w:rPr>
          <w:noProof/>
        </w:rPr>
        <w:t>. W</w:t>
      </w:r>
      <w:r w:rsidR="006E0B7E">
        <w:rPr>
          <w:noProof/>
        </w:rPr>
        <w:t> </w:t>
      </w:r>
      <w:r w:rsidR="006E0B7E" w:rsidRPr="0051561F">
        <w:rPr>
          <w:noProof/>
        </w:rPr>
        <w:t>zwi</w:t>
      </w:r>
      <w:r w:rsidRPr="0051561F">
        <w:rPr>
          <w:noProof/>
        </w:rPr>
        <w:t>ązku</w:t>
      </w:r>
      <w:r w:rsidR="006E0B7E" w:rsidRPr="0051561F">
        <w:rPr>
          <w:noProof/>
        </w:rPr>
        <w:t xml:space="preserve"> z</w:t>
      </w:r>
      <w:r w:rsidR="006E0B7E">
        <w:rPr>
          <w:noProof/>
        </w:rPr>
        <w:t> </w:t>
      </w:r>
      <w:r w:rsidR="006E0B7E" w:rsidRPr="0051561F">
        <w:rPr>
          <w:noProof/>
        </w:rPr>
        <w:t>tym</w:t>
      </w:r>
      <w:r w:rsidRPr="0051561F">
        <w:rPr>
          <w:noProof/>
        </w:rPr>
        <w:t xml:space="preserve"> nie ma sensu wprowadzanie odrębnych wymogów</w:t>
      </w:r>
      <w:r w:rsidR="006E0B7E" w:rsidRPr="0051561F">
        <w:rPr>
          <w:noProof/>
        </w:rPr>
        <w:t xml:space="preserve"> w</w:t>
      </w:r>
      <w:r w:rsidR="006E0B7E">
        <w:rPr>
          <w:noProof/>
        </w:rPr>
        <w:t> </w:t>
      </w:r>
      <w:r w:rsidR="006E0B7E" w:rsidRPr="0051561F">
        <w:rPr>
          <w:noProof/>
        </w:rPr>
        <w:t>odn</w:t>
      </w:r>
      <w:r w:rsidRPr="0051561F">
        <w:rPr>
          <w:noProof/>
        </w:rPr>
        <w:t>iesieniu do eksploatacyjnych ograniczeń wysokości fali</w:t>
      </w:r>
      <w:r w:rsidR="006E0B7E" w:rsidRPr="0051561F">
        <w:rPr>
          <w:noProof/>
        </w:rPr>
        <w:t xml:space="preserve"> w</w:t>
      </w:r>
      <w:r w:rsidR="006E0B7E">
        <w:rPr>
          <w:noProof/>
        </w:rPr>
        <w:t> </w:t>
      </w:r>
      <w:r w:rsidR="006E0B7E" w:rsidRPr="0051561F">
        <w:rPr>
          <w:noProof/>
        </w:rPr>
        <w:t>kon</w:t>
      </w:r>
      <w:r w:rsidRPr="0051561F">
        <w:rPr>
          <w:noProof/>
        </w:rPr>
        <w:t>tekście stateczności</w:t>
      </w:r>
      <w:r w:rsidR="006E0B7E" w:rsidRPr="0051561F">
        <w:rPr>
          <w:noProof/>
        </w:rPr>
        <w:t xml:space="preserve"> w</w:t>
      </w:r>
      <w:r w:rsidR="006E0B7E">
        <w:rPr>
          <w:noProof/>
        </w:rPr>
        <w:t> </w:t>
      </w:r>
      <w:r w:rsidR="006E0B7E" w:rsidRPr="0051561F">
        <w:rPr>
          <w:noProof/>
        </w:rPr>
        <w:t>sta</w:t>
      </w:r>
      <w:r w:rsidRPr="0051561F">
        <w:rPr>
          <w:noProof/>
        </w:rPr>
        <w:t>nie uszkodzonym</w:t>
      </w:r>
      <w:r w:rsidR="006E0B7E" w:rsidRPr="0051561F">
        <w:rPr>
          <w:noProof/>
        </w:rPr>
        <w:t xml:space="preserve"> w</w:t>
      </w:r>
      <w:r w:rsidR="006E0B7E">
        <w:rPr>
          <w:noProof/>
        </w:rPr>
        <w:t> </w:t>
      </w:r>
      <w:r w:rsidR="006E0B7E" w:rsidRPr="0051561F">
        <w:rPr>
          <w:noProof/>
        </w:rPr>
        <w:t>ram</w:t>
      </w:r>
      <w:r w:rsidRPr="0051561F">
        <w:rPr>
          <w:noProof/>
        </w:rPr>
        <w:t>ach koncepcji probabilistycznej.</w:t>
      </w:r>
    </w:p>
    <w:p w14:paraId="713D44D4" w14:textId="5AE65482" w:rsidR="001B6F72" w:rsidRPr="0051561F" w:rsidRDefault="001B6F72" w:rsidP="001B6F72">
      <w:pPr>
        <w:pBdr>
          <w:top w:val="nil"/>
          <w:left w:val="nil"/>
          <w:bottom w:val="nil"/>
          <w:right w:val="nil"/>
          <w:between w:val="nil"/>
          <w:bar w:val="nil"/>
        </w:pBdr>
        <w:spacing w:before="0" w:after="240"/>
        <w:rPr>
          <w:noProof/>
        </w:rPr>
      </w:pPr>
      <w:r w:rsidRPr="0051561F">
        <w:rPr>
          <w:noProof/>
        </w:rPr>
        <w:t>Biorąc pod uwagę wyniki badania oraz ogólny cel, jakim jest uproszczenie</w:t>
      </w:r>
      <w:r w:rsidR="006E0B7E" w:rsidRPr="0051561F">
        <w:rPr>
          <w:noProof/>
        </w:rPr>
        <w:t xml:space="preserve"> i</w:t>
      </w:r>
      <w:r w:rsidR="006E0B7E">
        <w:rPr>
          <w:noProof/>
        </w:rPr>
        <w:t> </w:t>
      </w:r>
      <w:r w:rsidR="006E0B7E" w:rsidRPr="0051561F">
        <w:rPr>
          <w:noProof/>
        </w:rPr>
        <w:t>usp</w:t>
      </w:r>
      <w:r w:rsidRPr="0051561F">
        <w:rPr>
          <w:noProof/>
        </w:rPr>
        <w:t>rawnienie ram regulacyjnych UE dotyczących bezpieczeństwa statków pasażerskich, przygotowano wniosek dotyczący zmiany dyrektywy 2003/25/WE. Szczegółowe cele jej nowelizacji są następujące:</w:t>
      </w:r>
    </w:p>
    <w:p w14:paraId="56867C97" w14:textId="05187A3E" w:rsidR="001B6F72" w:rsidRPr="0051561F" w:rsidRDefault="001B6F72" w:rsidP="009A406F">
      <w:pPr>
        <w:pStyle w:val="Tiret0"/>
        <w:numPr>
          <w:ilvl w:val="0"/>
          <w:numId w:val="7"/>
        </w:numPr>
        <w:rPr>
          <w:noProof/>
        </w:rPr>
      </w:pPr>
      <w:r w:rsidRPr="0051561F">
        <w:rPr>
          <w:noProof/>
        </w:rPr>
        <w:t>zapewnienie,</w:t>
      </w:r>
      <w:r w:rsidR="006E0B7E" w:rsidRPr="0051561F">
        <w:rPr>
          <w:noProof/>
        </w:rPr>
        <w:t xml:space="preserve"> w</w:t>
      </w:r>
      <w:r w:rsidR="006E0B7E">
        <w:rPr>
          <w:noProof/>
        </w:rPr>
        <w:t> </w:t>
      </w:r>
      <w:r w:rsidR="006E0B7E" w:rsidRPr="0051561F">
        <w:rPr>
          <w:noProof/>
        </w:rPr>
        <w:t>mia</w:t>
      </w:r>
      <w:r w:rsidRPr="0051561F">
        <w:rPr>
          <w:noProof/>
        </w:rPr>
        <w:t>rę możliwości, spójności</w:t>
      </w:r>
      <w:r w:rsidR="006E0B7E" w:rsidRPr="0051561F">
        <w:rPr>
          <w:noProof/>
        </w:rPr>
        <w:t xml:space="preserve"> z</w:t>
      </w:r>
      <w:r w:rsidR="006E0B7E">
        <w:rPr>
          <w:noProof/>
        </w:rPr>
        <w:t> </w:t>
      </w:r>
      <w:r w:rsidR="006E0B7E" w:rsidRPr="0051561F">
        <w:rPr>
          <w:noProof/>
        </w:rPr>
        <w:t>nie</w:t>
      </w:r>
      <w:r w:rsidRPr="0051561F">
        <w:rPr>
          <w:noProof/>
        </w:rPr>
        <w:t>dawno zaktualizowanymi międzynarodowymi normami stateczności</w:t>
      </w:r>
      <w:r w:rsidR="006E0B7E" w:rsidRPr="0051561F">
        <w:rPr>
          <w:noProof/>
        </w:rPr>
        <w:t xml:space="preserve"> w</w:t>
      </w:r>
      <w:r w:rsidR="006E0B7E">
        <w:rPr>
          <w:noProof/>
        </w:rPr>
        <w:t> </w:t>
      </w:r>
      <w:r w:rsidR="006E0B7E" w:rsidRPr="0051561F">
        <w:rPr>
          <w:noProof/>
        </w:rPr>
        <w:t>sta</w:t>
      </w:r>
      <w:r w:rsidRPr="0051561F">
        <w:rPr>
          <w:noProof/>
        </w:rPr>
        <w:t>nie uszkodzonym, uzgodnionymi przez IMO dla statków pasażerskich;</w:t>
      </w:r>
    </w:p>
    <w:p w14:paraId="00668533" w14:textId="09D79583" w:rsidR="001B6F72" w:rsidRPr="0051561F" w:rsidRDefault="001B6F72" w:rsidP="001B6F72">
      <w:pPr>
        <w:pStyle w:val="Tiret0"/>
        <w:rPr>
          <w:noProof/>
        </w:rPr>
      </w:pPr>
      <w:r w:rsidRPr="0051561F">
        <w:rPr>
          <w:noProof/>
        </w:rPr>
        <w:t>zmniejszenie złożoności oraz obciążeń technicznych</w:t>
      </w:r>
      <w:r w:rsidR="006E0B7E" w:rsidRPr="0051561F">
        <w:rPr>
          <w:noProof/>
        </w:rPr>
        <w:t xml:space="preserve"> i</w:t>
      </w:r>
      <w:r w:rsidR="006E0B7E">
        <w:rPr>
          <w:noProof/>
        </w:rPr>
        <w:t> </w:t>
      </w:r>
      <w:r w:rsidR="006E0B7E" w:rsidRPr="0051561F">
        <w:rPr>
          <w:noProof/>
        </w:rPr>
        <w:t>adm</w:t>
      </w:r>
      <w:r w:rsidRPr="0051561F">
        <w:rPr>
          <w:noProof/>
        </w:rPr>
        <w:t>inistracyjnych, które wynikają przede wszystkim</w:t>
      </w:r>
      <w:r w:rsidR="006E0B7E" w:rsidRPr="0051561F">
        <w:rPr>
          <w:noProof/>
        </w:rPr>
        <w:t xml:space="preserve"> z</w:t>
      </w:r>
      <w:r w:rsidR="006E0B7E">
        <w:rPr>
          <w:noProof/>
        </w:rPr>
        <w:t> </w:t>
      </w:r>
      <w:r w:rsidR="006E0B7E" w:rsidRPr="0051561F">
        <w:rPr>
          <w:noProof/>
        </w:rPr>
        <w:t>dwó</w:t>
      </w:r>
      <w:r w:rsidRPr="0051561F">
        <w:rPr>
          <w:noProof/>
        </w:rPr>
        <w:t>ch różnych systemów oceniania zdolności przetrwania statków pasażerskich typu ro-ro</w:t>
      </w:r>
      <w:r w:rsidR="006E0B7E" w:rsidRPr="0051561F">
        <w:rPr>
          <w:noProof/>
        </w:rPr>
        <w:t xml:space="preserve"> w</w:t>
      </w:r>
      <w:r w:rsidR="006E0B7E">
        <w:rPr>
          <w:noProof/>
        </w:rPr>
        <w:t> </w:t>
      </w:r>
      <w:r w:rsidR="006E0B7E" w:rsidRPr="0051561F">
        <w:rPr>
          <w:noProof/>
        </w:rPr>
        <w:t>sta</w:t>
      </w:r>
      <w:r w:rsidRPr="0051561F">
        <w:rPr>
          <w:noProof/>
        </w:rPr>
        <w:t>nie uszkodzonym;</w:t>
      </w:r>
    </w:p>
    <w:p w14:paraId="7810AEEB" w14:textId="234ABE02" w:rsidR="001B6F72" w:rsidRPr="0051561F" w:rsidRDefault="001B6F72" w:rsidP="001B6F72">
      <w:pPr>
        <w:pStyle w:val="Tiret0"/>
        <w:rPr>
          <w:noProof/>
        </w:rPr>
      </w:pPr>
      <w:r w:rsidRPr="0051561F">
        <w:rPr>
          <w:noProof/>
        </w:rPr>
        <w:t>ograniczenie,</w:t>
      </w:r>
      <w:r w:rsidR="006E0B7E" w:rsidRPr="0051561F">
        <w:rPr>
          <w:noProof/>
        </w:rPr>
        <w:t xml:space="preserve"> w</w:t>
      </w:r>
      <w:r w:rsidR="006E0B7E">
        <w:rPr>
          <w:noProof/>
        </w:rPr>
        <w:t> </w:t>
      </w:r>
      <w:r w:rsidR="006E0B7E" w:rsidRPr="0051561F">
        <w:rPr>
          <w:noProof/>
        </w:rPr>
        <w:t>mia</w:t>
      </w:r>
      <w:r w:rsidRPr="0051561F">
        <w:rPr>
          <w:noProof/>
        </w:rPr>
        <w:t>rę możliwości, niejednoznaczności definicji</w:t>
      </w:r>
      <w:r w:rsidR="006E0B7E" w:rsidRPr="0051561F">
        <w:rPr>
          <w:noProof/>
        </w:rPr>
        <w:t xml:space="preserve"> i</w:t>
      </w:r>
      <w:r w:rsidR="006E0B7E">
        <w:rPr>
          <w:noProof/>
        </w:rPr>
        <w:t> </w:t>
      </w:r>
      <w:r w:rsidR="006E0B7E" w:rsidRPr="0051561F">
        <w:rPr>
          <w:noProof/>
        </w:rPr>
        <w:t>wym</w:t>
      </w:r>
      <w:r w:rsidRPr="0051561F">
        <w:rPr>
          <w:noProof/>
        </w:rPr>
        <w:t>ogów</w:t>
      </w:r>
      <w:r w:rsidR="006E0B7E" w:rsidRPr="0051561F">
        <w:rPr>
          <w:noProof/>
        </w:rPr>
        <w:t xml:space="preserve"> w</w:t>
      </w:r>
      <w:r w:rsidR="006E0B7E">
        <w:rPr>
          <w:noProof/>
        </w:rPr>
        <w:t> </w:t>
      </w:r>
      <w:r w:rsidR="006E0B7E" w:rsidRPr="0051561F">
        <w:rPr>
          <w:noProof/>
        </w:rPr>
        <w:t>świ</w:t>
      </w:r>
      <w:r w:rsidRPr="0051561F">
        <w:rPr>
          <w:noProof/>
        </w:rPr>
        <w:t>etle zmienionej dyrektywy 2009/45/WE; oraz</w:t>
      </w:r>
    </w:p>
    <w:p w14:paraId="331372D2" w14:textId="2C91FBF6" w:rsidR="001B6F72" w:rsidRPr="0051561F" w:rsidRDefault="001B6F72" w:rsidP="001B6F72">
      <w:pPr>
        <w:pStyle w:val="Tiret0"/>
        <w:rPr>
          <w:noProof/>
        </w:rPr>
      </w:pPr>
      <w:r w:rsidRPr="0051561F">
        <w:rPr>
          <w:noProof/>
        </w:rPr>
        <w:t>usunięcie nieaktualnych przepisów dotyczących instrumentów międzynarodowych, które nie mają już zastosowania ani nie obowiązują.</w:t>
      </w:r>
    </w:p>
    <w:p w14:paraId="0C28B77C" w14:textId="7231DA89" w:rsidR="001B6F72" w:rsidRPr="0051561F" w:rsidRDefault="001B6F72" w:rsidP="001B6F72">
      <w:pPr>
        <w:pBdr>
          <w:top w:val="nil"/>
          <w:left w:val="nil"/>
          <w:bottom w:val="nil"/>
          <w:right w:val="nil"/>
          <w:between w:val="nil"/>
          <w:bar w:val="nil"/>
        </w:pBdr>
        <w:spacing w:before="0" w:after="240"/>
        <w:rPr>
          <w:rFonts w:eastAsia="Arial Unicode MS"/>
          <w:noProof/>
        </w:rPr>
      </w:pPr>
      <w:r w:rsidRPr="0051561F">
        <w:rPr>
          <w:noProof/>
        </w:rPr>
        <w:t>W celu zapewnienia jasności</w:t>
      </w:r>
      <w:r w:rsidR="006E0B7E" w:rsidRPr="0051561F">
        <w:rPr>
          <w:noProof/>
        </w:rPr>
        <w:t xml:space="preserve"> i</w:t>
      </w:r>
      <w:r w:rsidR="006E0B7E">
        <w:rPr>
          <w:noProof/>
        </w:rPr>
        <w:t> </w:t>
      </w:r>
      <w:r w:rsidR="006E0B7E" w:rsidRPr="0051561F">
        <w:rPr>
          <w:noProof/>
        </w:rPr>
        <w:t>spó</w:t>
      </w:r>
      <w:r w:rsidRPr="0051561F">
        <w:rPr>
          <w:noProof/>
        </w:rPr>
        <w:t>jności niniejszy wniosek obejmuje również aktualizacje licznych definicji</w:t>
      </w:r>
      <w:r w:rsidR="006E0B7E" w:rsidRPr="0051561F">
        <w:rPr>
          <w:noProof/>
        </w:rPr>
        <w:t xml:space="preserve"> i</w:t>
      </w:r>
      <w:r w:rsidR="006E0B7E">
        <w:rPr>
          <w:noProof/>
        </w:rPr>
        <w:t> </w:t>
      </w:r>
      <w:r w:rsidR="006E0B7E" w:rsidRPr="0051561F">
        <w:rPr>
          <w:noProof/>
        </w:rPr>
        <w:t>odn</w:t>
      </w:r>
      <w:r w:rsidRPr="0051561F">
        <w:rPr>
          <w:noProof/>
        </w:rPr>
        <w:t>iesień do odpowiednich przepisów UE</w:t>
      </w:r>
      <w:r w:rsidR="006E0B7E" w:rsidRPr="0051561F">
        <w:rPr>
          <w:noProof/>
        </w:rPr>
        <w:t xml:space="preserve"> i</w:t>
      </w:r>
      <w:r w:rsidR="006E0B7E">
        <w:rPr>
          <w:noProof/>
        </w:rPr>
        <w:t> </w:t>
      </w:r>
      <w:r w:rsidR="006E0B7E" w:rsidRPr="0051561F">
        <w:rPr>
          <w:noProof/>
        </w:rPr>
        <w:t>pra</w:t>
      </w:r>
      <w:r w:rsidRPr="0051561F">
        <w:rPr>
          <w:noProof/>
        </w:rPr>
        <w:t>wideł konwencji SOLAS.</w:t>
      </w:r>
    </w:p>
    <w:p w14:paraId="1113D7AE" w14:textId="229CA7BE" w:rsidR="005B3330" w:rsidRPr="0051561F" w:rsidRDefault="005B3330" w:rsidP="007800DD">
      <w:pPr>
        <w:pStyle w:val="ManualHeading2"/>
        <w:rPr>
          <w:rFonts w:eastAsia="Arial Unicode MS"/>
          <w:noProof/>
          <w:color w:val="000000"/>
          <w:u w:color="000000"/>
          <w:bdr w:val="nil"/>
        </w:rPr>
      </w:pPr>
      <w:r w:rsidRPr="0051561F">
        <w:rPr>
          <w:noProof/>
          <w:color w:val="000000"/>
          <w:u w:color="000000"/>
          <w:bdr w:val="nil"/>
        </w:rPr>
        <w:t>•</w:t>
      </w:r>
      <w:r w:rsidRPr="0051561F">
        <w:rPr>
          <w:noProof/>
        </w:rPr>
        <w:tab/>
        <w:t>Spójność</w:t>
      </w:r>
      <w:r w:rsidR="006E0B7E" w:rsidRPr="0051561F">
        <w:rPr>
          <w:noProof/>
        </w:rPr>
        <w:t xml:space="preserve"> z</w:t>
      </w:r>
      <w:r w:rsidR="006E0B7E">
        <w:rPr>
          <w:noProof/>
        </w:rPr>
        <w:t> </w:t>
      </w:r>
      <w:r w:rsidR="006E0B7E" w:rsidRPr="0051561F">
        <w:rPr>
          <w:noProof/>
        </w:rPr>
        <w:t>prz</w:t>
      </w:r>
      <w:r w:rsidRPr="0051561F">
        <w:rPr>
          <w:noProof/>
        </w:rPr>
        <w:t>episami obowiązującymi</w:t>
      </w:r>
      <w:r w:rsidR="006E0B7E" w:rsidRPr="0051561F">
        <w:rPr>
          <w:noProof/>
        </w:rPr>
        <w:t xml:space="preserve"> w</w:t>
      </w:r>
      <w:r w:rsidR="006E0B7E">
        <w:rPr>
          <w:noProof/>
        </w:rPr>
        <w:t> </w:t>
      </w:r>
      <w:r w:rsidR="006E0B7E" w:rsidRPr="0051561F">
        <w:rPr>
          <w:noProof/>
        </w:rPr>
        <w:t>tej</w:t>
      </w:r>
      <w:r w:rsidRPr="0051561F">
        <w:rPr>
          <w:noProof/>
        </w:rPr>
        <w:t xml:space="preserve"> dziedzinie polityki</w:t>
      </w:r>
    </w:p>
    <w:p w14:paraId="4145FA90" w14:textId="1EA06C30" w:rsidR="005B3330" w:rsidRPr="0051561F" w:rsidRDefault="001B6F72" w:rsidP="007800DD">
      <w:pPr>
        <w:pBdr>
          <w:top w:val="nil"/>
          <w:left w:val="nil"/>
          <w:bottom w:val="nil"/>
          <w:right w:val="nil"/>
          <w:between w:val="nil"/>
          <w:bar w:val="nil"/>
        </w:pBdr>
        <w:spacing w:before="0" w:after="240"/>
        <w:rPr>
          <w:rFonts w:eastAsia="Arial Unicode MS"/>
          <w:noProof/>
        </w:rPr>
      </w:pPr>
      <w:r w:rsidRPr="0051561F">
        <w:rPr>
          <w:noProof/>
        </w:rPr>
        <w:t>Wniosek jest</w:t>
      </w:r>
      <w:r w:rsidR="006E0B7E" w:rsidRPr="0051561F">
        <w:rPr>
          <w:noProof/>
        </w:rPr>
        <w:t xml:space="preserve"> w</w:t>
      </w:r>
      <w:r w:rsidR="006E0B7E">
        <w:rPr>
          <w:noProof/>
        </w:rPr>
        <w:t> </w:t>
      </w:r>
      <w:r w:rsidR="006E0B7E" w:rsidRPr="0051561F">
        <w:rPr>
          <w:noProof/>
        </w:rPr>
        <w:t>peł</w:t>
      </w:r>
      <w:r w:rsidRPr="0051561F">
        <w:rPr>
          <w:noProof/>
        </w:rPr>
        <w:t>ni spójny</w:t>
      </w:r>
      <w:r w:rsidR="006E0B7E" w:rsidRPr="0051561F">
        <w:rPr>
          <w:noProof/>
        </w:rPr>
        <w:t xml:space="preserve"> z</w:t>
      </w:r>
      <w:r w:rsidR="006E0B7E">
        <w:rPr>
          <w:noProof/>
        </w:rPr>
        <w:t> </w:t>
      </w:r>
      <w:r w:rsidR="006E0B7E" w:rsidRPr="0051561F">
        <w:rPr>
          <w:noProof/>
        </w:rPr>
        <w:t>trz</w:t>
      </w:r>
      <w:r w:rsidRPr="0051561F">
        <w:rPr>
          <w:noProof/>
        </w:rPr>
        <w:t>ema dyrektywami zmieniającymi</w:t>
      </w:r>
      <w:r w:rsidR="006E0B7E" w:rsidRPr="0051561F">
        <w:rPr>
          <w:noProof/>
        </w:rPr>
        <w:t xml:space="preserve"> w</w:t>
      </w:r>
      <w:r w:rsidR="006E0B7E">
        <w:rPr>
          <w:noProof/>
        </w:rPr>
        <w:t> </w:t>
      </w:r>
      <w:r w:rsidR="006E0B7E" w:rsidRPr="0051561F">
        <w:rPr>
          <w:noProof/>
        </w:rPr>
        <w:t>spr</w:t>
      </w:r>
      <w:r w:rsidRPr="0051561F">
        <w:rPr>
          <w:noProof/>
        </w:rPr>
        <w:t>awie bezpieczeństwa statków pasażerskich, przyjętymi</w:t>
      </w:r>
      <w:r w:rsidR="006E0B7E" w:rsidRPr="0051561F">
        <w:rPr>
          <w:noProof/>
        </w:rPr>
        <w:t xml:space="preserve"> w</w:t>
      </w:r>
      <w:r w:rsidR="006E0B7E">
        <w:rPr>
          <w:noProof/>
        </w:rPr>
        <w:t> </w:t>
      </w:r>
      <w:r w:rsidR="006E0B7E" w:rsidRPr="0051561F">
        <w:rPr>
          <w:noProof/>
        </w:rPr>
        <w:t>gru</w:t>
      </w:r>
      <w:r w:rsidRPr="0051561F">
        <w:rPr>
          <w:noProof/>
        </w:rPr>
        <w:t>dniu 20</w:t>
      </w:r>
      <w:r w:rsidRPr="006E0B7E">
        <w:rPr>
          <w:noProof/>
        </w:rPr>
        <w:t>17</w:t>
      </w:r>
      <w:r w:rsidR="006E0B7E" w:rsidRPr="006E0B7E">
        <w:rPr>
          <w:noProof/>
        </w:rPr>
        <w:t> </w:t>
      </w:r>
      <w:r w:rsidRPr="006E0B7E">
        <w:rPr>
          <w:noProof/>
        </w:rPr>
        <w:t>r.</w:t>
      </w:r>
      <w:r w:rsidRPr="0051561F">
        <w:rPr>
          <w:noProof/>
        </w:rPr>
        <w:t>, tj. dyrektywami 2017/2108, 2017/2109</w:t>
      </w:r>
      <w:r w:rsidR="006E0B7E" w:rsidRPr="0051561F">
        <w:rPr>
          <w:noProof/>
        </w:rPr>
        <w:t xml:space="preserve"> i</w:t>
      </w:r>
      <w:r w:rsidR="006E0B7E">
        <w:rPr>
          <w:noProof/>
        </w:rPr>
        <w:t> </w:t>
      </w:r>
      <w:r w:rsidR="006E0B7E" w:rsidRPr="0051561F">
        <w:rPr>
          <w:noProof/>
        </w:rPr>
        <w:t>2</w:t>
      </w:r>
      <w:r w:rsidRPr="0051561F">
        <w:rPr>
          <w:noProof/>
        </w:rPr>
        <w:t>017/2110. Zapewnia również spójność</w:t>
      </w:r>
      <w:r w:rsidR="006E0B7E" w:rsidRPr="0051561F">
        <w:rPr>
          <w:noProof/>
        </w:rPr>
        <w:t xml:space="preserve"> z</w:t>
      </w:r>
      <w:r w:rsidR="006E0B7E">
        <w:rPr>
          <w:noProof/>
        </w:rPr>
        <w:t> </w:t>
      </w:r>
      <w:r w:rsidR="006E0B7E" w:rsidRPr="0051561F">
        <w:rPr>
          <w:noProof/>
        </w:rPr>
        <w:t>dyr</w:t>
      </w:r>
      <w:r w:rsidRPr="0051561F">
        <w:rPr>
          <w:noProof/>
        </w:rPr>
        <w:t>ektywą 2009/16/WE</w:t>
      </w:r>
      <w:r w:rsidRPr="0051561F">
        <w:rPr>
          <w:rStyle w:val="FootnoteReference"/>
          <w:rFonts w:eastAsia="Arial Unicode MS"/>
          <w:noProof/>
        </w:rPr>
        <w:footnoteReference w:id="8"/>
      </w:r>
      <w:r w:rsidR="006E0B7E" w:rsidRPr="0051561F">
        <w:rPr>
          <w:noProof/>
        </w:rPr>
        <w:t xml:space="preserve"> w</w:t>
      </w:r>
      <w:r w:rsidR="006E0B7E">
        <w:rPr>
          <w:noProof/>
        </w:rPr>
        <w:t> </w:t>
      </w:r>
      <w:r w:rsidR="006E0B7E" w:rsidRPr="0051561F">
        <w:rPr>
          <w:noProof/>
        </w:rPr>
        <w:t>spr</w:t>
      </w:r>
      <w:r w:rsidRPr="0051561F">
        <w:rPr>
          <w:noProof/>
        </w:rPr>
        <w:t>awie kontroli przeprowadzanej przez państwo portu. Wniosek jest</w:t>
      </w:r>
      <w:r w:rsidR="006E0B7E" w:rsidRPr="0051561F">
        <w:rPr>
          <w:noProof/>
        </w:rPr>
        <w:t xml:space="preserve"> w</w:t>
      </w:r>
      <w:r w:rsidR="006E0B7E">
        <w:rPr>
          <w:noProof/>
        </w:rPr>
        <w:t> </w:t>
      </w:r>
      <w:r w:rsidR="006E0B7E" w:rsidRPr="0051561F">
        <w:rPr>
          <w:noProof/>
        </w:rPr>
        <w:t>peł</w:t>
      </w:r>
      <w:r w:rsidRPr="0051561F">
        <w:rPr>
          <w:noProof/>
        </w:rPr>
        <w:t>ni zgodny</w:t>
      </w:r>
      <w:r w:rsidR="006E0B7E" w:rsidRPr="0051561F">
        <w:rPr>
          <w:noProof/>
        </w:rPr>
        <w:t xml:space="preserve"> z</w:t>
      </w:r>
      <w:r w:rsidR="006E0B7E">
        <w:rPr>
          <w:noProof/>
        </w:rPr>
        <w:t> </w:t>
      </w:r>
      <w:r w:rsidR="006E0B7E" w:rsidRPr="0051561F">
        <w:rPr>
          <w:noProof/>
        </w:rPr>
        <w:t>zal</w:t>
      </w:r>
      <w:r w:rsidRPr="0051561F">
        <w:rPr>
          <w:noProof/>
        </w:rPr>
        <w:t>eceniami kontroli sprawności</w:t>
      </w:r>
      <w:r w:rsidR="006E0B7E" w:rsidRPr="0051561F">
        <w:rPr>
          <w:noProof/>
        </w:rPr>
        <w:t xml:space="preserve"> i</w:t>
      </w:r>
      <w:r w:rsidR="006E0B7E">
        <w:rPr>
          <w:noProof/>
        </w:rPr>
        <w:t> </w:t>
      </w:r>
      <w:r w:rsidR="006E0B7E" w:rsidRPr="0051561F">
        <w:rPr>
          <w:noProof/>
        </w:rPr>
        <w:t>bia</w:t>
      </w:r>
      <w:r w:rsidRPr="0051561F">
        <w:rPr>
          <w:noProof/>
        </w:rPr>
        <w:t>łą księgą</w:t>
      </w:r>
      <w:r w:rsidR="006E0B7E" w:rsidRPr="0051561F">
        <w:rPr>
          <w:noProof/>
        </w:rPr>
        <w:t xml:space="preserve"> z</w:t>
      </w:r>
      <w:r w:rsidR="006E0B7E">
        <w:rPr>
          <w:noProof/>
        </w:rPr>
        <w:t> </w:t>
      </w:r>
      <w:r w:rsidR="006E0B7E" w:rsidRPr="0051561F">
        <w:rPr>
          <w:noProof/>
        </w:rPr>
        <w:t>2</w:t>
      </w:r>
      <w:r w:rsidRPr="0051561F">
        <w:rPr>
          <w:noProof/>
        </w:rPr>
        <w:t>0</w:t>
      </w:r>
      <w:r w:rsidRPr="006E0B7E">
        <w:rPr>
          <w:noProof/>
        </w:rPr>
        <w:t>11</w:t>
      </w:r>
      <w:r w:rsidR="006E0B7E" w:rsidRPr="006E0B7E">
        <w:rPr>
          <w:noProof/>
        </w:rPr>
        <w:t> </w:t>
      </w:r>
      <w:r w:rsidRPr="006E0B7E">
        <w:rPr>
          <w:noProof/>
        </w:rPr>
        <w:t>r.</w:t>
      </w:r>
      <w:r w:rsidR="006E0B7E" w:rsidRPr="0051561F">
        <w:rPr>
          <w:noProof/>
        </w:rPr>
        <w:t xml:space="preserve"> w</w:t>
      </w:r>
      <w:r w:rsidR="006E0B7E">
        <w:rPr>
          <w:noProof/>
        </w:rPr>
        <w:t> </w:t>
      </w:r>
      <w:r w:rsidR="006E0B7E" w:rsidRPr="0051561F">
        <w:rPr>
          <w:noProof/>
        </w:rPr>
        <w:t>spr</w:t>
      </w:r>
      <w:r w:rsidRPr="0051561F">
        <w:rPr>
          <w:noProof/>
        </w:rPr>
        <w:t>awie przyszłości transportu</w:t>
      </w:r>
      <w:r w:rsidRPr="0051561F">
        <w:rPr>
          <w:rStyle w:val="FootnoteReference"/>
          <w:rFonts w:eastAsia="Arial Unicode MS"/>
          <w:noProof/>
        </w:rPr>
        <w:footnoteReference w:id="9"/>
      </w:r>
      <w:r w:rsidRPr="0051561F">
        <w:rPr>
          <w:noProof/>
        </w:rPr>
        <w:t>,</w:t>
      </w:r>
      <w:r w:rsidR="006E0B7E" w:rsidRPr="0051561F">
        <w:rPr>
          <w:noProof/>
        </w:rPr>
        <w:t xml:space="preserve"> w</w:t>
      </w:r>
      <w:r w:rsidR="006E0B7E">
        <w:rPr>
          <w:noProof/>
        </w:rPr>
        <w:t> </w:t>
      </w:r>
      <w:r w:rsidR="006E0B7E" w:rsidRPr="0051561F">
        <w:rPr>
          <w:noProof/>
        </w:rPr>
        <w:t>któ</w:t>
      </w:r>
      <w:r w:rsidRPr="0051561F">
        <w:rPr>
          <w:noProof/>
        </w:rPr>
        <w:t>rej uznano potrzebę zmodernizowania obecnych unijnych ram prawnych</w:t>
      </w:r>
      <w:r w:rsidR="006E0B7E" w:rsidRPr="0051561F">
        <w:rPr>
          <w:noProof/>
        </w:rPr>
        <w:t xml:space="preserve"> w</w:t>
      </w:r>
      <w:r w:rsidR="006E0B7E">
        <w:rPr>
          <w:noProof/>
        </w:rPr>
        <w:t> </w:t>
      </w:r>
      <w:r w:rsidR="006E0B7E" w:rsidRPr="0051561F">
        <w:rPr>
          <w:noProof/>
        </w:rPr>
        <w:t>dzi</w:t>
      </w:r>
      <w:r w:rsidRPr="0051561F">
        <w:rPr>
          <w:noProof/>
        </w:rPr>
        <w:t xml:space="preserve">edzinie bezpieczeństwa statków pasażerskich. </w:t>
      </w:r>
    </w:p>
    <w:p w14:paraId="34AA43AD" w14:textId="2C1457D4" w:rsidR="005B3330" w:rsidRPr="0051561F" w:rsidRDefault="005B3330" w:rsidP="007800DD">
      <w:pPr>
        <w:pStyle w:val="ManualHeading2"/>
        <w:rPr>
          <w:rFonts w:eastAsia="Arial Unicode MS"/>
          <w:noProof/>
        </w:rPr>
      </w:pPr>
      <w:r w:rsidRPr="0051561F">
        <w:rPr>
          <w:noProof/>
          <w:color w:val="000000"/>
          <w:u w:color="000000"/>
          <w:bdr w:val="nil"/>
        </w:rPr>
        <w:t>•</w:t>
      </w:r>
      <w:r w:rsidRPr="0051561F">
        <w:rPr>
          <w:noProof/>
        </w:rPr>
        <w:tab/>
        <w:t>Spójność</w:t>
      </w:r>
      <w:r w:rsidR="006E0B7E" w:rsidRPr="0051561F">
        <w:rPr>
          <w:noProof/>
        </w:rPr>
        <w:t xml:space="preserve"> z</w:t>
      </w:r>
      <w:r w:rsidR="006E0B7E">
        <w:rPr>
          <w:noProof/>
        </w:rPr>
        <w:t> </w:t>
      </w:r>
      <w:r w:rsidR="006E0B7E" w:rsidRPr="0051561F">
        <w:rPr>
          <w:noProof/>
        </w:rPr>
        <w:t>inn</w:t>
      </w:r>
      <w:r w:rsidRPr="0051561F">
        <w:rPr>
          <w:noProof/>
        </w:rPr>
        <w:t>ymi politykami Unii</w:t>
      </w:r>
    </w:p>
    <w:p w14:paraId="02F303C4" w14:textId="259D3E5A" w:rsidR="005B3330" w:rsidRPr="0051561F" w:rsidRDefault="001B6F72" w:rsidP="001B6F72">
      <w:pPr>
        <w:pBdr>
          <w:top w:val="nil"/>
          <w:left w:val="nil"/>
          <w:bottom w:val="nil"/>
          <w:right w:val="nil"/>
          <w:between w:val="nil"/>
          <w:bar w:val="nil"/>
        </w:pBdr>
        <w:spacing w:before="0" w:after="240"/>
        <w:rPr>
          <w:rFonts w:eastAsia="Arial Unicode MS"/>
          <w:noProof/>
        </w:rPr>
      </w:pPr>
      <w:r w:rsidRPr="0051561F">
        <w:rPr>
          <w:noProof/>
        </w:rPr>
        <w:t>Wniosek stanowi element realizowanego przez Komisję programu REFIT</w:t>
      </w:r>
      <w:r w:rsidR="006E0B7E" w:rsidRPr="0051561F">
        <w:rPr>
          <w:noProof/>
        </w:rPr>
        <w:t xml:space="preserve"> i</w:t>
      </w:r>
      <w:r w:rsidR="006E0B7E">
        <w:rPr>
          <w:noProof/>
        </w:rPr>
        <w:t> </w:t>
      </w:r>
      <w:r w:rsidR="006E0B7E" w:rsidRPr="0051561F">
        <w:rPr>
          <w:noProof/>
        </w:rPr>
        <w:t>słu</w:t>
      </w:r>
      <w:r w:rsidRPr="0051561F">
        <w:rPr>
          <w:noProof/>
        </w:rPr>
        <w:t>ży urzeczywistnianiu Programu lepszego stanowienia prawa, zapewniając uproszczenie</w:t>
      </w:r>
      <w:r w:rsidR="006E0B7E" w:rsidRPr="0051561F">
        <w:rPr>
          <w:noProof/>
        </w:rPr>
        <w:t xml:space="preserve"> i</w:t>
      </w:r>
      <w:r w:rsidR="006E0B7E">
        <w:rPr>
          <w:noProof/>
        </w:rPr>
        <w:t> </w:t>
      </w:r>
      <w:r w:rsidR="006E0B7E" w:rsidRPr="0051561F">
        <w:rPr>
          <w:noProof/>
        </w:rPr>
        <w:t>jas</w:t>
      </w:r>
      <w:r w:rsidRPr="0051561F">
        <w:rPr>
          <w:noProof/>
        </w:rPr>
        <w:t>ność obowiązujących przepisów; wniosek nie tworzy przy tym zbędnych obciążeń</w:t>
      </w:r>
      <w:r w:rsidR="006E0B7E" w:rsidRPr="0051561F">
        <w:rPr>
          <w:noProof/>
        </w:rPr>
        <w:t xml:space="preserve"> i</w:t>
      </w:r>
      <w:r w:rsidR="006E0B7E">
        <w:rPr>
          <w:noProof/>
        </w:rPr>
        <w:t> </w:t>
      </w:r>
      <w:r w:rsidR="006E0B7E" w:rsidRPr="0051561F">
        <w:rPr>
          <w:noProof/>
        </w:rPr>
        <w:t>nad</w:t>
      </w:r>
      <w:r w:rsidRPr="0051561F">
        <w:rPr>
          <w:noProof/>
        </w:rPr>
        <w:t>ąża za rozwojem wydarzeń politycznych</w:t>
      </w:r>
      <w:r w:rsidR="006E0B7E" w:rsidRPr="0051561F">
        <w:rPr>
          <w:noProof/>
        </w:rPr>
        <w:t xml:space="preserve"> i</w:t>
      </w:r>
      <w:r w:rsidR="006E0B7E">
        <w:rPr>
          <w:noProof/>
        </w:rPr>
        <w:t> </w:t>
      </w:r>
      <w:r w:rsidR="006E0B7E" w:rsidRPr="0051561F">
        <w:rPr>
          <w:noProof/>
        </w:rPr>
        <w:t>spo</w:t>
      </w:r>
      <w:r w:rsidRPr="0051561F">
        <w:rPr>
          <w:noProof/>
        </w:rPr>
        <w:t xml:space="preserve">łecznych oraz postępem technologicznym. Wniosek stanowi również realizację celów strategii dotyczącej transportu morskiego </w:t>
      </w:r>
      <w:r w:rsidRPr="006E0B7E">
        <w:rPr>
          <w:noProof/>
        </w:rPr>
        <w:t>do</w:t>
      </w:r>
      <w:r w:rsidR="006E0B7E" w:rsidRPr="006E0B7E">
        <w:rPr>
          <w:noProof/>
        </w:rPr>
        <w:t> </w:t>
      </w:r>
      <w:r w:rsidRPr="006E0B7E">
        <w:rPr>
          <w:noProof/>
        </w:rPr>
        <w:t>2</w:t>
      </w:r>
      <w:r w:rsidRPr="0051561F">
        <w:rPr>
          <w:noProof/>
        </w:rPr>
        <w:t>0</w:t>
      </w:r>
      <w:r w:rsidRPr="006E0B7E">
        <w:rPr>
          <w:noProof/>
        </w:rPr>
        <w:t>18</w:t>
      </w:r>
      <w:r w:rsidR="006E0B7E" w:rsidRPr="006E0B7E">
        <w:rPr>
          <w:noProof/>
        </w:rPr>
        <w:t> </w:t>
      </w:r>
      <w:r w:rsidRPr="006E0B7E">
        <w:rPr>
          <w:noProof/>
        </w:rPr>
        <w:t>r.</w:t>
      </w:r>
      <w:r w:rsidRPr="0051561F">
        <w:rPr>
          <w:noProof/>
        </w:rPr>
        <w:t xml:space="preserve"> poprzez zapewnienie wysokiej jakości usług promowych</w:t>
      </w:r>
      <w:r w:rsidR="006E0B7E" w:rsidRPr="0051561F">
        <w:rPr>
          <w:noProof/>
        </w:rPr>
        <w:t xml:space="preserve"> w</w:t>
      </w:r>
      <w:r w:rsidR="006E0B7E">
        <w:rPr>
          <w:noProof/>
        </w:rPr>
        <w:t> </w:t>
      </w:r>
      <w:r w:rsidR="006E0B7E" w:rsidRPr="0051561F">
        <w:rPr>
          <w:noProof/>
        </w:rPr>
        <w:t>reg</w:t>
      </w:r>
      <w:r w:rsidRPr="0051561F">
        <w:rPr>
          <w:noProof/>
        </w:rPr>
        <w:t>ularnym wewnątrzunijnym transporcie pasażerskim.</w:t>
      </w:r>
    </w:p>
    <w:p w14:paraId="3FE4275B" w14:textId="77777777" w:rsidR="005B3330" w:rsidRPr="0051561F" w:rsidRDefault="005B3330" w:rsidP="007800DD">
      <w:pPr>
        <w:pStyle w:val="ManualHeading1"/>
        <w:rPr>
          <w:noProof/>
        </w:rPr>
      </w:pPr>
      <w:r w:rsidRPr="0051561F">
        <w:rPr>
          <w:noProof/>
        </w:rPr>
        <w:t>2.</w:t>
      </w:r>
      <w:r w:rsidRPr="0051561F">
        <w:rPr>
          <w:noProof/>
        </w:rPr>
        <w:tab/>
        <w:t>PODSTAWA PRAWNA, POMOCNICZOŚĆ I PROPORCJONALNOŚĆ</w:t>
      </w:r>
    </w:p>
    <w:p w14:paraId="2EC6ADE5" w14:textId="77777777" w:rsidR="005B3330" w:rsidRPr="0051561F" w:rsidRDefault="005B3330" w:rsidP="007800DD">
      <w:pPr>
        <w:pStyle w:val="ManualHeading2"/>
        <w:rPr>
          <w:rFonts w:eastAsia="Arial Unicode MS"/>
          <w:noProof/>
          <w:u w:color="000000"/>
          <w:bdr w:val="nil"/>
        </w:rPr>
      </w:pPr>
      <w:r w:rsidRPr="0051561F">
        <w:rPr>
          <w:noProof/>
          <w:u w:color="000000"/>
          <w:bdr w:val="nil"/>
        </w:rPr>
        <w:t>•</w:t>
      </w:r>
      <w:r w:rsidRPr="0051561F">
        <w:rPr>
          <w:noProof/>
        </w:rPr>
        <w:tab/>
      </w:r>
      <w:r w:rsidRPr="0051561F">
        <w:rPr>
          <w:noProof/>
          <w:u w:color="000000"/>
          <w:bdr w:val="nil"/>
        </w:rPr>
        <w:t>Podstawa prawna</w:t>
      </w:r>
    </w:p>
    <w:p w14:paraId="170A00E3" w14:textId="3CE137BB" w:rsidR="005B3330" w:rsidRPr="0051561F" w:rsidRDefault="001B6F72" w:rsidP="007800DD">
      <w:pPr>
        <w:pBdr>
          <w:top w:val="nil"/>
          <w:left w:val="nil"/>
          <w:bottom w:val="nil"/>
          <w:right w:val="nil"/>
          <w:between w:val="nil"/>
          <w:bar w:val="nil"/>
        </w:pBdr>
        <w:spacing w:before="0" w:after="240"/>
        <w:rPr>
          <w:rFonts w:eastAsia="Arial Unicode MS"/>
          <w:noProof/>
        </w:rPr>
      </w:pPr>
      <w:r w:rsidRPr="0051561F">
        <w:rPr>
          <w:noProof/>
        </w:rPr>
        <w:t xml:space="preserve">Podstawę prawną dyrektywy zmieniającej stanowi </w:t>
      </w:r>
      <w:r w:rsidRPr="006E0B7E">
        <w:rPr>
          <w:noProof/>
        </w:rPr>
        <w:t>art.</w:t>
      </w:r>
      <w:r w:rsidR="006E0B7E" w:rsidRPr="006E0B7E">
        <w:rPr>
          <w:noProof/>
        </w:rPr>
        <w:t> </w:t>
      </w:r>
      <w:r w:rsidRPr="006E0B7E">
        <w:rPr>
          <w:noProof/>
        </w:rPr>
        <w:t>1</w:t>
      </w:r>
      <w:r w:rsidRPr="0051561F">
        <w:rPr>
          <w:noProof/>
        </w:rPr>
        <w:t xml:space="preserve">00 </w:t>
      </w:r>
      <w:r w:rsidRPr="006E0B7E">
        <w:rPr>
          <w:noProof/>
        </w:rPr>
        <w:t>ust.</w:t>
      </w:r>
      <w:r w:rsidR="006E0B7E" w:rsidRPr="006E0B7E">
        <w:rPr>
          <w:noProof/>
        </w:rPr>
        <w:t> </w:t>
      </w:r>
      <w:r w:rsidRPr="006E0B7E">
        <w:rPr>
          <w:noProof/>
        </w:rPr>
        <w:t>2</w:t>
      </w:r>
      <w:r w:rsidRPr="0051561F">
        <w:rPr>
          <w:noProof/>
        </w:rPr>
        <w:t xml:space="preserve"> TFUE, który przewiduje środki mające na celu poprawę bezpieczeństwa transportu oraz przepisy szczegółowe dotyczące transportu morskiego.</w:t>
      </w:r>
    </w:p>
    <w:p w14:paraId="75D0BE02" w14:textId="77777777" w:rsidR="005B3330" w:rsidRPr="0051561F" w:rsidRDefault="005B3330" w:rsidP="007800DD">
      <w:pPr>
        <w:pStyle w:val="ManualHeading2"/>
        <w:rPr>
          <w:rFonts w:eastAsia="Arial Unicode MS"/>
          <w:noProof/>
          <w:u w:color="000000"/>
          <w:bdr w:val="nil"/>
        </w:rPr>
      </w:pPr>
      <w:r w:rsidRPr="0051561F">
        <w:rPr>
          <w:noProof/>
          <w:u w:color="000000"/>
          <w:bdr w:val="nil"/>
        </w:rPr>
        <w:t>•</w:t>
      </w:r>
      <w:r w:rsidRPr="0051561F">
        <w:rPr>
          <w:noProof/>
        </w:rPr>
        <w:tab/>
      </w:r>
      <w:r w:rsidRPr="0051561F">
        <w:rPr>
          <w:noProof/>
          <w:u w:color="000000"/>
          <w:bdr w:val="nil"/>
        </w:rPr>
        <w:t xml:space="preserve">Pomocniczość (w przypadku kompetencji niewyłącznych) </w:t>
      </w:r>
    </w:p>
    <w:p w14:paraId="64163FBF" w14:textId="22910331" w:rsidR="001B6F72" w:rsidRPr="0051561F" w:rsidRDefault="001B6F72" w:rsidP="001B6F72">
      <w:pPr>
        <w:pBdr>
          <w:top w:val="nil"/>
          <w:left w:val="nil"/>
          <w:bottom w:val="nil"/>
          <w:right w:val="nil"/>
          <w:between w:val="nil"/>
          <w:bar w:val="nil"/>
        </w:pBdr>
        <w:spacing w:after="240"/>
        <w:rPr>
          <w:rFonts w:eastAsia="Arial Unicode MS"/>
          <w:noProof/>
        </w:rPr>
      </w:pPr>
      <w:r w:rsidRPr="0051561F">
        <w:rPr>
          <w:noProof/>
        </w:rPr>
        <w:t>Na wniosek Rady</w:t>
      </w:r>
      <w:r w:rsidRPr="0051561F">
        <w:rPr>
          <w:rStyle w:val="FootnoteReference"/>
          <w:rFonts w:eastAsia="Arial Unicode MS"/>
          <w:noProof/>
        </w:rPr>
        <w:footnoteReference w:id="10"/>
      </w:r>
      <w:r w:rsidRPr="0051561F">
        <w:rPr>
          <w:noProof/>
        </w:rPr>
        <w:t xml:space="preserve"> przepisy UE</w:t>
      </w:r>
      <w:r w:rsidR="006E0B7E" w:rsidRPr="0051561F">
        <w:rPr>
          <w:noProof/>
        </w:rPr>
        <w:t xml:space="preserve"> w</w:t>
      </w:r>
      <w:r w:rsidR="006E0B7E">
        <w:rPr>
          <w:noProof/>
        </w:rPr>
        <w:t> </w:t>
      </w:r>
      <w:r w:rsidR="006E0B7E" w:rsidRPr="0051561F">
        <w:rPr>
          <w:noProof/>
        </w:rPr>
        <w:t>dzi</w:t>
      </w:r>
      <w:r w:rsidRPr="0051561F">
        <w:rPr>
          <w:noProof/>
        </w:rPr>
        <w:t>edzinie bezpieczeństwa statków pasażerskich są zasadniczo wzorowane na wymogach międzynarodowych oraz kształtowane</w:t>
      </w:r>
      <w:r w:rsidR="006E0B7E" w:rsidRPr="0051561F">
        <w:rPr>
          <w:noProof/>
        </w:rPr>
        <w:t xml:space="preserve"> w</w:t>
      </w:r>
      <w:r w:rsidR="006E0B7E">
        <w:rPr>
          <w:noProof/>
        </w:rPr>
        <w:t> </w:t>
      </w:r>
      <w:r w:rsidR="006E0B7E" w:rsidRPr="0051561F">
        <w:rPr>
          <w:noProof/>
        </w:rPr>
        <w:t>opa</w:t>
      </w:r>
      <w:r w:rsidRPr="0051561F">
        <w:rPr>
          <w:noProof/>
        </w:rPr>
        <w:t>rciu o te wymogi; stanowią także reakcję na szereg poważnych wypadków (np. katastrofy promów „Herald of Free Enterprise” i „MS Estonia”)</w:t>
      </w:r>
      <w:r w:rsidR="006E0B7E" w:rsidRPr="0051561F">
        <w:rPr>
          <w:noProof/>
        </w:rPr>
        <w:t>. W</w:t>
      </w:r>
      <w:r w:rsidR="006E0B7E">
        <w:rPr>
          <w:noProof/>
        </w:rPr>
        <w:t> </w:t>
      </w:r>
      <w:r w:rsidR="006E0B7E" w:rsidRPr="0051561F">
        <w:rPr>
          <w:noProof/>
        </w:rPr>
        <w:t>por</w:t>
      </w:r>
      <w:r w:rsidRPr="0051561F">
        <w:rPr>
          <w:noProof/>
        </w:rPr>
        <w:t>ównaniu</w:t>
      </w:r>
      <w:r w:rsidR="006E0B7E" w:rsidRPr="0051561F">
        <w:rPr>
          <w:noProof/>
        </w:rPr>
        <w:t xml:space="preserve"> z</w:t>
      </w:r>
      <w:r w:rsidR="006E0B7E">
        <w:rPr>
          <w:noProof/>
        </w:rPr>
        <w:t> </w:t>
      </w:r>
      <w:r w:rsidR="006E0B7E" w:rsidRPr="0051561F">
        <w:rPr>
          <w:noProof/>
        </w:rPr>
        <w:t>nor</w:t>
      </w:r>
      <w:r w:rsidRPr="0051561F">
        <w:rPr>
          <w:noProof/>
        </w:rPr>
        <w:t>mami międzynarodowymi zapisanymi</w:t>
      </w:r>
      <w:r w:rsidR="006E0B7E" w:rsidRPr="0051561F">
        <w:rPr>
          <w:noProof/>
        </w:rPr>
        <w:t xml:space="preserve"> w</w:t>
      </w:r>
      <w:r w:rsidR="006E0B7E">
        <w:rPr>
          <w:noProof/>
        </w:rPr>
        <w:t> </w:t>
      </w:r>
      <w:r w:rsidR="006E0B7E" w:rsidRPr="0051561F">
        <w:rPr>
          <w:noProof/>
        </w:rPr>
        <w:t>kon</w:t>
      </w:r>
      <w:r w:rsidRPr="0051561F">
        <w:rPr>
          <w:noProof/>
        </w:rPr>
        <w:t>wencjach IMO niektóre aspekty zostały na poziomie Unii zaostrzone, jak ma to miejsce</w:t>
      </w:r>
      <w:r w:rsidR="006E0B7E" w:rsidRPr="0051561F">
        <w:rPr>
          <w:noProof/>
        </w:rPr>
        <w:t xml:space="preserve"> w</w:t>
      </w:r>
      <w:r w:rsidR="006E0B7E">
        <w:rPr>
          <w:noProof/>
        </w:rPr>
        <w:t> </w:t>
      </w:r>
      <w:r w:rsidR="006E0B7E" w:rsidRPr="0051561F">
        <w:rPr>
          <w:noProof/>
        </w:rPr>
        <w:t>prz</w:t>
      </w:r>
      <w:r w:rsidRPr="0051561F">
        <w:rPr>
          <w:noProof/>
        </w:rPr>
        <w:t>ypadku wymogów stateczności</w:t>
      </w:r>
      <w:r w:rsidR="006E0B7E" w:rsidRPr="0051561F">
        <w:rPr>
          <w:noProof/>
        </w:rPr>
        <w:t xml:space="preserve"> w</w:t>
      </w:r>
      <w:r w:rsidR="006E0B7E">
        <w:rPr>
          <w:noProof/>
        </w:rPr>
        <w:t> </w:t>
      </w:r>
      <w:r w:rsidR="006E0B7E" w:rsidRPr="0051561F">
        <w:rPr>
          <w:noProof/>
        </w:rPr>
        <w:t>sta</w:t>
      </w:r>
      <w:r w:rsidRPr="0051561F">
        <w:rPr>
          <w:noProof/>
        </w:rPr>
        <w:t>nie uszkodzonym dla statków typu ro-ro, określonych</w:t>
      </w:r>
      <w:r w:rsidR="006E0B7E" w:rsidRPr="0051561F">
        <w:rPr>
          <w:noProof/>
        </w:rPr>
        <w:t xml:space="preserve"> w</w:t>
      </w:r>
      <w:r w:rsidR="006E0B7E">
        <w:rPr>
          <w:noProof/>
        </w:rPr>
        <w:t> </w:t>
      </w:r>
      <w:r w:rsidR="006E0B7E" w:rsidRPr="0051561F">
        <w:rPr>
          <w:noProof/>
        </w:rPr>
        <w:t>dyr</w:t>
      </w:r>
      <w:r w:rsidRPr="0051561F">
        <w:rPr>
          <w:noProof/>
        </w:rPr>
        <w:t xml:space="preserve">ektywie 2003/25/WE. </w:t>
      </w:r>
    </w:p>
    <w:p w14:paraId="44986751" w14:textId="2329ED9A" w:rsidR="005B3330" w:rsidRPr="0051561F" w:rsidRDefault="001B6F72" w:rsidP="001B6F72">
      <w:pPr>
        <w:pBdr>
          <w:top w:val="nil"/>
          <w:left w:val="nil"/>
          <w:bottom w:val="nil"/>
          <w:right w:val="nil"/>
          <w:between w:val="nil"/>
          <w:bar w:val="nil"/>
        </w:pBdr>
        <w:spacing w:before="0" w:after="240"/>
        <w:rPr>
          <w:rFonts w:eastAsia="Arial Unicode MS"/>
          <w:noProof/>
        </w:rPr>
      </w:pPr>
      <w:r w:rsidRPr="0051561F">
        <w:rPr>
          <w:noProof/>
        </w:rPr>
        <w:t>Przepisy</w:t>
      </w:r>
      <w:r w:rsidR="006E0B7E" w:rsidRPr="0051561F">
        <w:rPr>
          <w:noProof/>
        </w:rPr>
        <w:t xml:space="preserve"> w</w:t>
      </w:r>
      <w:r w:rsidR="006E0B7E">
        <w:rPr>
          <w:noProof/>
        </w:rPr>
        <w:t> </w:t>
      </w:r>
      <w:r w:rsidR="006E0B7E" w:rsidRPr="0051561F">
        <w:rPr>
          <w:noProof/>
        </w:rPr>
        <w:t>zak</w:t>
      </w:r>
      <w:r w:rsidRPr="0051561F">
        <w:rPr>
          <w:noProof/>
        </w:rPr>
        <w:t>resie bezpieczeństwa statków pasażerskich dotyczą większości państw członkowskich (jako państw bandery,</w:t>
      </w:r>
      <w:r w:rsidR="006E0B7E" w:rsidRPr="0051561F">
        <w:rPr>
          <w:noProof/>
        </w:rPr>
        <w:t xml:space="preserve"> a</w:t>
      </w:r>
      <w:r w:rsidR="006E0B7E">
        <w:rPr>
          <w:noProof/>
        </w:rPr>
        <w:t> </w:t>
      </w:r>
      <w:r w:rsidR="006E0B7E" w:rsidRPr="0051561F">
        <w:rPr>
          <w:noProof/>
        </w:rPr>
        <w:t>tak</w:t>
      </w:r>
      <w:r w:rsidRPr="0051561F">
        <w:rPr>
          <w:noProof/>
        </w:rPr>
        <w:t>że jako państw portu),</w:t>
      </w:r>
      <w:r w:rsidR="006E0B7E" w:rsidRPr="0051561F">
        <w:rPr>
          <w:noProof/>
        </w:rPr>
        <w:t xml:space="preserve"> z</w:t>
      </w:r>
      <w:r w:rsidR="006E0B7E">
        <w:rPr>
          <w:noProof/>
        </w:rPr>
        <w:t> </w:t>
      </w:r>
      <w:r w:rsidR="006E0B7E" w:rsidRPr="0051561F">
        <w:rPr>
          <w:noProof/>
        </w:rPr>
        <w:t>wyj</w:t>
      </w:r>
      <w:r w:rsidRPr="0051561F">
        <w:rPr>
          <w:noProof/>
        </w:rPr>
        <w:t>ątkiem czterech państw śródlądowych.</w:t>
      </w:r>
    </w:p>
    <w:p w14:paraId="25C05B9B" w14:textId="77777777" w:rsidR="005B3330" w:rsidRPr="0051561F" w:rsidRDefault="005B3330" w:rsidP="007800DD">
      <w:pPr>
        <w:pStyle w:val="ManualHeading2"/>
        <w:rPr>
          <w:rFonts w:eastAsia="Arial Unicode MS"/>
          <w:noProof/>
          <w:u w:color="000000"/>
          <w:bdr w:val="nil"/>
        </w:rPr>
      </w:pPr>
      <w:r w:rsidRPr="0051561F">
        <w:rPr>
          <w:noProof/>
          <w:u w:color="000000"/>
          <w:bdr w:val="nil"/>
        </w:rPr>
        <w:t>•</w:t>
      </w:r>
      <w:r w:rsidRPr="0051561F">
        <w:rPr>
          <w:noProof/>
        </w:rPr>
        <w:tab/>
      </w:r>
      <w:r w:rsidRPr="0051561F">
        <w:rPr>
          <w:noProof/>
          <w:u w:color="000000"/>
          <w:bdr w:val="nil"/>
        </w:rPr>
        <w:t>Proporcjonalność</w:t>
      </w:r>
    </w:p>
    <w:p w14:paraId="5F87003B" w14:textId="14FFCF6D" w:rsidR="001B6F72" w:rsidRPr="0051561F" w:rsidRDefault="001B6F72" w:rsidP="001B6F72">
      <w:pPr>
        <w:pBdr>
          <w:top w:val="nil"/>
          <w:left w:val="nil"/>
          <w:bottom w:val="nil"/>
          <w:right w:val="nil"/>
          <w:between w:val="nil"/>
          <w:bar w:val="nil"/>
        </w:pBdr>
        <w:spacing w:after="240"/>
        <w:rPr>
          <w:rFonts w:eastAsia="Arial Unicode MS"/>
          <w:noProof/>
        </w:rPr>
      </w:pPr>
      <w:r w:rsidRPr="0051561F">
        <w:rPr>
          <w:noProof/>
        </w:rPr>
        <w:t>Wniosek został przygotowany</w:t>
      </w:r>
      <w:r w:rsidR="006E0B7E" w:rsidRPr="0051561F">
        <w:rPr>
          <w:noProof/>
        </w:rPr>
        <w:t xml:space="preserve"> w</w:t>
      </w:r>
      <w:r w:rsidR="006E0B7E">
        <w:rPr>
          <w:noProof/>
        </w:rPr>
        <w:t> </w:t>
      </w:r>
      <w:r w:rsidR="006E0B7E" w:rsidRPr="0051561F">
        <w:rPr>
          <w:noProof/>
        </w:rPr>
        <w:t>zwi</w:t>
      </w:r>
      <w:r w:rsidRPr="0051561F">
        <w:rPr>
          <w:noProof/>
        </w:rPr>
        <w:t>ązku</w:t>
      </w:r>
      <w:r w:rsidR="006E0B7E" w:rsidRPr="0051561F">
        <w:rPr>
          <w:noProof/>
        </w:rPr>
        <w:t xml:space="preserve"> z</w:t>
      </w:r>
      <w:r w:rsidR="006E0B7E">
        <w:rPr>
          <w:noProof/>
        </w:rPr>
        <w:t> </w:t>
      </w:r>
      <w:r w:rsidR="006E0B7E" w:rsidRPr="0051561F">
        <w:rPr>
          <w:noProof/>
        </w:rPr>
        <w:t>naj</w:t>
      </w:r>
      <w:r w:rsidRPr="0051561F">
        <w:rPr>
          <w:noProof/>
        </w:rPr>
        <w:t>nowszymi wydarzeniami na szczeblu międzynarodowym oraz wynikami badania technicznego Komisji,</w:t>
      </w:r>
      <w:r w:rsidR="006E0B7E" w:rsidRPr="0051561F">
        <w:rPr>
          <w:noProof/>
        </w:rPr>
        <w:t xml:space="preserve"> w</w:t>
      </w:r>
      <w:r w:rsidR="006E0B7E">
        <w:rPr>
          <w:noProof/>
        </w:rPr>
        <w:t> </w:t>
      </w:r>
      <w:r w:rsidR="006E0B7E" w:rsidRPr="0051561F">
        <w:rPr>
          <w:noProof/>
        </w:rPr>
        <w:t>któ</w:t>
      </w:r>
      <w:r w:rsidRPr="0051561F">
        <w:rPr>
          <w:noProof/>
        </w:rPr>
        <w:t>rym porównano ramy regulacyjne określone</w:t>
      </w:r>
      <w:r w:rsidR="006E0B7E" w:rsidRPr="0051561F">
        <w:rPr>
          <w:noProof/>
        </w:rPr>
        <w:t xml:space="preserve"> w</w:t>
      </w:r>
      <w:r w:rsidR="006E0B7E">
        <w:rPr>
          <w:noProof/>
        </w:rPr>
        <w:t> </w:t>
      </w:r>
      <w:r w:rsidR="006E0B7E" w:rsidRPr="0051561F">
        <w:rPr>
          <w:noProof/>
        </w:rPr>
        <w:t>dyr</w:t>
      </w:r>
      <w:r w:rsidRPr="0051561F">
        <w:rPr>
          <w:noProof/>
        </w:rPr>
        <w:t>ektywie 2003/25/WE</w:t>
      </w:r>
      <w:r w:rsidR="006E0B7E" w:rsidRPr="0051561F">
        <w:rPr>
          <w:noProof/>
        </w:rPr>
        <w:t xml:space="preserve"> z</w:t>
      </w:r>
      <w:r w:rsidR="006E0B7E">
        <w:rPr>
          <w:noProof/>
        </w:rPr>
        <w:t> </w:t>
      </w:r>
      <w:r w:rsidR="006E0B7E" w:rsidRPr="0051561F">
        <w:rPr>
          <w:noProof/>
        </w:rPr>
        <w:t>ram</w:t>
      </w:r>
      <w:r w:rsidRPr="0051561F">
        <w:rPr>
          <w:noProof/>
        </w:rPr>
        <w:t>ami przewidzianymi</w:t>
      </w:r>
      <w:r w:rsidR="006E0B7E" w:rsidRPr="0051561F">
        <w:rPr>
          <w:noProof/>
        </w:rPr>
        <w:t xml:space="preserve"> w</w:t>
      </w:r>
      <w:r w:rsidR="006E0B7E">
        <w:rPr>
          <w:noProof/>
        </w:rPr>
        <w:t> </w:t>
      </w:r>
      <w:r w:rsidR="006E0B7E" w:rsidRPr="0051561F">
        <w:rPr>
          <w:noProof/>
        </w:rPr>
        <w:t>kon</w:t>
      </w:r>
      <w:r w:rsidRPr="0051561F">
        <w:rPr>
          <w:noProof/>
        </w:rPr>
        <w:t>wencji SOLAS 2020, wskazując</w:t>
      </w:r>
      <w:r w:rsidR="006E0B7E" w:rsidRPr="0051561F">
        <w:rPr>
          <w:noProof/>
        </w:rPr>
        <w:t xml:space="preserve"> i</w:t>
      </w:r>
      <w:r w:rsidR="006E0B7E">
        <w:rPr>
          <w:noProof/>
        </w:rPr>
        <w:t> </w:t>
      </w:r>
      <w:r w:rsidR="006E0B7E" w:rsidRPr="0051561F">
        <w:rPr>
          <w:noProof/>
        </w:rPr>
        <w:t>prz</w:t>
      </w:r>
      <w:r w:rsidRPr="0051561F">
        <w:rPr>
          <w:noProof/>
        </w:rPr>
        <w:t>edstawiając dowody na wszelkie potencjalne luki</w:t>
      </w:r>
      <w:r w:rsidR="006E0B7E" w:rsidRPr="0051561F">
        <w:rPr>
          <w:noProof/>
        </w:rPr>
        <w:t xml:space="preserve"> w</w:t>
      </w:r>
      <w:r w:rsidR="006E0B7E">
        <w:rPr>
          <w:noProof/>
        </w:rPr>
        <w:t> </w:t>
      </w:r>
      <w:r w:rsidR="006E0B7E" w:rsidRPr="0051561F">
        <w:rPr>
          <w:noProof/>
        </w:rPr>
        <w:t>zak</w:t>
      </w:r>
      <w:r w:rsidRPr="0051561F">
        <w:rPr>
          <w:noProof/>
        </w:rPr>
        <w:t>resie bezpieczeństwa między tymi dwoma zbiorami przepisów. Komisja określiła, oceniła</w:t>
      </w:r>
      <w:r w:rsidR="006E0B7E" w:rsidRPr="0051561F">
        <w:rPr>
          <w:noProof/>
        </w:rPr>
        <w:t xml:space="preserve"> i</w:t>
      </w:r>
      <w:r w:rsidR="006E0B7E">
        <w:rPr>
          <w:noProof/>
        </w:rPr>
        <w:t> </w:t>
      </w:r>
      <w:r w:rsidR="006E0B7E" w:rsidRPr="0051561F">
        <w:rPr>
          <w:noProof/>
        </w:rPr>
        <w:t>roz</w:t>
      </w:r>
      <w:r w:rsidRPr="0051561F">
        <w:rPr>
          <w:noProof/>
        </w:rPr>
        <w:t>ważyła również alternatywne środki, które mogłyby umożliwić zlikwidowanie tego rodzaju luk</w:t>
      </w:r>
      <w:r w:rsidR="006E0B7E" w:rsidRPr="0051561F">
        <w:rPr>
          <w:noProof/>
        </w:rPr>
        <w:t xml:space="preserve"> w</w:t>
      </w:r>
      <w:r w:rsidR="006E0B7E">
        <w:rPr>
          <w:noProof/>
        </w:rPr>
        <w:t> </w:t>
      </w:r>
      <w:r w:rsidR="006E0B7E" w:rsidRPr="0051561F">
        <w:rPr>
          <w:noProof/>
        </w:rPr>
        <w:t>zak</w:t>
      </w:r>
      <w:r w:rsidRPr="0051561F">
        <w:rPr>
          <w:noProof/>
        </w:rPr>
        <w:t>resie bezpieczeństwa (zwiększając jego poziom) dzięki uwzględnieniu ogólnej zdolności przetrwania statku.</w:t>
      </w:r>
    </w:p>
    <w:p w14:paraId="5920B6BE" w14:textId="2B6CD4E1" w:rsidR="001B6F72" w:rsidRPr="0051561F" w:rsidRDefault="001B6F72" w:rsidP="001B6F72">
      <w:pPr>
        <w:pBdr>
          <w:top w:val="nil"/>
          <w:left w:val="nil"/>
          <w:bottom w:val="nil"/>
          <w:right w:val="nil"/>
          <w:between w:val="nil"/>
          <w:bar w:val="nil"/>
        </w:pBdr>
        <w:spacing w:after="240"/>
        <w:rPr>
          <w:rFonts w:eastAsia="Arial Unicode MS"/>
          <w:noProof/>
        </w:rPr>
      </w:pPr>
      <w:r w:rsidRPr="0051561F">
        <w:rPr>
          <w:noProof/>
        </w:rPr>
        <w:t>Wniosek mający na celu zmianę wymogów stateczności</w:t>
      </w:r>
      <w:r w:rsidR="006E0B7E" w:rsidRPr="0051561F">
        <w:rPr>
          <w:noProof/>
        </w:rPr>
        <w:t xml:space="preserve"> w</w:t>
      </w:r>
      <w:r w:rsidR="006E0B7E">
        <w:rPr>
          <w:noProof/>
        </w:rPr>
        <w:t> </w:t>
      </w:r>
      <w:r w:rsidR="006E0B7E" w:rsidRPr="0051561F">
        <w:rPr>
          <w:noProof/>
        </w:rPr>
        <w:t>sta</w:t>
      </w:r>
      <w:r w:rsidRPr="0051561F">
        <w:rPr>
          <w:noProof/>
        </w:rPr>
        <w:t>nie uszkodzonym dla nowo budowanych</w:t>
      </w:r>
      <w:r w:rsidR="006E0B7E" w:rsidRPr="0051561F">
        <w:rPr>
          <w:noProof/>
        </w:rPr>
        <w:t xml:space="preserve"> i</w:t>
      </w:r>
      <w:r w:rsidR="006E0B7E">
        <w:rPr>
          <w:noProof/>
        </w:rPr>
        <w:t> </w:t>
      </w:r>
      <w:r w:rsidR="006E0B7E" w:rsidRPr="0051561F">
        <w:rPr>
          <w:noProof/>
        </w:rPr>
        <w:t>now</w:t>
      </w:r>
      <w:r w:rsidRPr="0051561F">
        <w:rPr>
          <w:noProof/>
        </w:rPr>
        <w:t>o certyfikowanych pasażerskich statków typu ro-ro, wyeliminowanie nakładania się przepisów oraz usunięcie nieaktualnych definicji</w:t>
      </w:r>
      <w:r w:rsidR="006E0B7E" w:rsidRPr="0051561F">
        <w:rPr>
          <w:noProof/>
        </w:rPr>
        <w:t xml:space="preserve"> i</w:t>
      </w:r>
      <w:r w:rsidR="006E0B7E">
        <w:rPr>
          <w:noProof/>
        </w:rPr>
        <w:t> </w:t>
      </w:r>
      <w:r w:rsidR="006E0B7E" w:rsidRPr="0051561F">
        <w:rPr>
          <w:noProof/>
        </w:rPr>
        <w:t>odn</w:t>
      </w:r>
      <w:r w:rsidRPr="0051561F">
        <w:rPr>
          <w:noProof/>
        </w:rPr>
        <w:t>iesień uznaje się za jedyny proporcjonalny</w:t>
      </w:r>
      <w:r w:rsidR="006E0B7E" w:rsidRPr="0051561F">
        <w:rPr>
          <w:noProof/>
        </w:rPr>
        <w:t xml:space="preserve"> i</w:t>
      </w:r>
      <w:r w:rsidR="006E0B7E">
        <w:rPr>
          <w:noProof/>
        </w:rPr>
        <w:t> </w:t>
      </w:r>
      <w:r w:rsidR="006E0B7E" w:rsidRPr="0051561F">
        <w:rPr>
          <w:noProof/>
        </w:rPr>
        <w:t>spó</w:t>
      </w:r>
      <w:r w:rsidRPr="0051561F">
        <w:rPr>
          <w:noProof/>
        </w:rPr>
        <w:t xml:space="preserve">jny wariant. Gwarantuje on, że obecny wysoki poziom bezpieczeństwa nie zostanie naruszony. </w:t>
      </w:r>
    </w:p>
    <w:p w14:paraId="570F72A9" w14:textId="08CD2EAA" w:rsidR="005B3330" w:rsidRPr="0051561F" w:rsidRDefault="001B6F72" w:rsidP="001B6F72">
      <w:pPr>
        <w:pBdr>
          <w:top w:val="nil"/>
          <w:left w:val="nil"/>
          <w:bottom w:val="nil"/>
          <w:right w:val="nil"/>
          <w:between w:val="nil"/>
          <w:bar w:val="nil"/>
        </w:pBdr>
        <w:spacing w:before="0" w:after="240"/>
        <w:rPr>
          <w:rFonts w:eastAsia="Arial Unicode MS"/>
          <w:noProof/>
        </w:rPr>
      </w:pPr>
      <w:r w:rsidRPr="0051561F">
        <w:rPr>
          <w:noProof/>
        </w:rPr>
        <w:t>Zgodnie</w:t>
      </w:r>
      <w:r w:rsidR="006E0B7E" w:rsidRPr="0051561F">
        <w:rPr>
          <w:noProof/>
        </w:rPr>
        <w:t xml:space="preserve"> z</w:t>
      </w:r>
      <w:r w:rsidR="006E0B7E">
        <w:rPr>
          <w:noProof/>
        </w:rPr>
        <w:t> </w:t>
      </w:r>
      <w:r w:rsidR="006E0B7E" w:rsidRPr="0051561F">
        <w:rPr>
          <w:noProof/>
        </w:rPr>
        <w:t>zas</w:t>
      </w:r>
      <w:r w:rsidRPr="0051561F">
        <w:rPr>
          <w:noProof/>
        </w:rPr>
        <w:t>adą proporcjonalności dyrektywa pozostaje najodpowiedniejszą formą regulacji, prowadzącą do osiągnięcia założonych celów. Określa ona wspólne zasady</w:t>
      </w:r>
      <w:r w:rsidR="006E0B7E" w:rsidRPr="0051561F">
        <w:rPr>
          <w:noProof/>
        </w:rPr>
        <w:t xml:space="preserve"> i</w:t>
      </w:r>
      <w:r w:rsidR="006E0B7E">
        <w:rPr>
          <w:noProof/>
        </w:rPr>
        <w:t> </w:t>
      </w:r>
      <w:r w:rsidR="006E0B7E" w:rsidRPr="0051561F">
        <w:rPr>
          <w:noProof/>
        </w:rPr>
        <w:t>poz</w:t>
      </w:r>
      <w:r w:rsidRPr="0051561F">
        <w:rPr>
          <w:noProof/>
        </w:rPr>
        <w:t>iomy bezpieczeństwa, zapewnia ich egzekwowanie, ale pozostawia państwom członkowskim wybór praktycznych</w:t>
      </w:r>
      <w:r w:rsidR="006E0B7E" w:rsidRPr="0051561F">
        <w:rPr>
          <w:noProof/>
        </w:rPr>
        <w:t xml:space="preserve"> i</w:t>
      </w:r>
      <w:r w:rsidR="006E0B7E">
        <w:rPr>
          <w:noProof/>
        </w:rPr>
        <w:t> </w:t>
      </w:r>
      <w:r w:rsidR="006E0B7E" w:rsidRPr="0051561F">
        <w:rPr>
          <w:noProof/>
        </w:rPr>
        <w:t>tec</w:t>
      </w:r>
      <w:r w:rsidRPr="0051561F">
        <w:rPr>
          <w:noProof/>
        </w:rPr>
        <w:t>hnicznych procedur wykorzystywanych do ich wdrożenia</w:t>
      </w:r>
      <w:r w:rsidR="006E0B7E" w:rsidRPr="0051561F">
        <w:rPr>
          <w:noProof/>
        </w:rPr>
        <w:t xml:space="preserve"> w</w:t>
      </w:r>
      <w:r w:rsidR="006E0B7E">
        <w:rPr>
          <w:noProof/>
        </w:rPr>
        <w:t> </w:t>
      </w:r>
      <w:r w:rsidR="006E0B7E" w:rsidRPr="0051561F">
        <w:rPr>
          <w:noProof/>
        </w:rPr>
        <w:t>każ</w:t>
      </w:r>
      <w:r w:rsidRPr="0051561F">
        <w:rPr>
          <w:noProof/>
        </w:rPr>
        <w:t>dym</w:t>
      </w:r>
      <w:r w:rsidR="006E0B7E" w:rsidRPr="0051561F">
        <w:rPr>
          <w:noProof/>
        </w:rPr>
        <w:t xml:space="preserve"> z</w:t>
      </w:r>
      <w:r w:rsidR="006E0B7E">
        <w:rPr>
          <w:noProof/>
        </w:rPr>
        <w:t> </w:t>
      </w:r>
      <w:r w:rsidR="006E0B7E" w:rsidRPr="0051561F">
        <w:rPr>
          <w:noProof/>
        </w:rPr>
        <w:t>tyc</w:t>
      </w:r>
      <w:r w:rsidRPr="0051561F">
        <w:rPr>
          <w:noProof/>
        </w:rPr>
        <w:t>h państw</w:t>
      </w:r>
      <w:r w:rsidR="006E0B7E" w:rsidRPr="0051561F">
        <w:rPr>
          <w:noProof/>
        </w:rPr>
        <w:t>. W</w:t>
      </w:r>
      <w:r w:rsidR="006E0B7E">
        <w:rPr>
          <w:noProof/>
        </w:rPr>
        <w:t> </w:t>
      </w:r>
      <w:r w:rsidR="006E0B7E" w:rsidRPr="0051561F">
        <w:rPr>
          <w:noProof/>
        </w:rPr>
        <w:t>ten</w:t>
      </w:r>
      <w:r w:rsidRPr="0051561F">
        <w:rPr>
          <w:noProof/>
        </w:rPr>
        <w:t xml:space="preserve"> sposób pozostawia ona każdemu państwu członkowskiemu odpowiedzialność</w:t>
      </w:r>
      <w:r w:rsidR="006E0B7E" w:rsidRPr="0051561F">
        <w:rPr>
          <w:noProof/>
        </w:rPr>
        <w:t xml:space="preserve"> w</w:t>
      </w:r>
      <w:r w:rsidR="006E0B7E">
        <w:rPr>
          <w:noProof/>
        </w:rPr>
        <w:t> </w:t>
      </w:r>
      <w:r w:rsidR="006E0B7E" w:rsidRPr="0051561F">
        <w:rPr>
          <w:noProof/>
        </w:rPr>
        <w:t>zak</w:t>
      </w:r>
      <w:r w:rsidRPr="0051561F">
        <w:rPr>
          <w:noProof/>
        </w:rPr>
        <w:t>resie decyzji dotyczącej instrumentów wdrażania, które są najlepiej dostosowane do jego systemu wewnętrznego. Dyrektywa gwarantuje również, że cel niniejszego wniosku polegający na uproszczeniu zostanie osiągnięty</w:t>
      </w:r>
      <w:r w:rsidR="006E0B7E" w:rsidRPr="0051561F">
        <w:rPr>
          <w:noProof/>
        </w:rPr>
        <w:t xml:space="preserve"> w</w:t>
      </w:r>
      <w:r w:rsidR="006E0B7E">
        <w:rPr>
          <w:noProof/>
        </w:rPr>
        <w:t> </w:t>
      </w:r>
      <w:r w:rsidR="006E0B7E" w:rsidRPr="0051561F">
        <w:rPr>
          <w:noProof/>
        </w:rPr>
        <w:t>moż</w:t>
      </w:r>
      <w:r w:rsidRPr="0051561F">
        <w:rPr>
          <w:noProof/>
        </w:rPr>
        <w:t>liwie największym stopniu, chociaż będzie ostatecznie określany przez każde państwo członkowskie</w:t>
      </w:r>
      <w:r w:rsidR="006E0B7E" w:rsidRPr="0051561F">
        <w:rPr>
          <w:noProof/>
        </w:rPr>
        <w:t xml:space="preserve"> w</w:t>
      </w:r>
      <w:r w:rsidR="006E0B7E">
        <w:rPr>
          <w:noProof/>
        </w:rPr>
        <w:t> </w:t>
      </w:r>
      <w:r w:rsidR="006E0B7E" w:rsidRPr="0051561F">
        <w:rPr>
          <w:noProof/>
        </w:rPr>
        <w:t>tra</w:t>
      </w:r>
      <w:r w:rsidRPr="0051561F">
        <w:rPr>
          <w:noProof/>
        </w:rPr>
        <w:t>kcie wdrażania.</w:t>
      </w:r>
    </w:p>
    <w:p w14:paraId="06AE9CDB" w14:textId="77777777" w:rsidR="005B3330" w:rsidRPr="0051561F" w:rsidRDefault="005B3330" w:rsidP="007800DD">
      <w:pPr>
        <w:pStyle w:val="ManualHeading2"/>
        <w:rPr>
          <w:rFonts w:eastAsia="Arial Unicode MS"/>
          <w:noProof/>
          <w:u w:color="000000"/>
          <w:bdr w:val="nil"/>
        </w:rPr>
      </w:pPr>
      <w:r w:rsidRPr="0051561F">
        <w:rPr>
          <w:noProof/>
          <w:u w:color="000000"/>
          <w:bdr w:val="nil"/>
        </w:rPr>
        <w:t>•</w:t>
      </w:r>
      <w:r w:rsidRPr="0051561F">
        <w:rPr>
          <w:noProof/>
        </w:rPr>
        <w:tab/>
      </w:r>
      <w:r w:rsidRPr="0051561F">
        <w:rPr>
          <w:noProof/>
          <w:u w:color="000000"/>
          <w:bdr w:val="nil"/>
        </w:rPr>
        <w:t>Wybór instrumentu</w:t>
      </w:r>
    </w:p>
    <w:p w14:paraId="73C440C4" w14:textId="327A2C68" w:rsidR="005B3330" w:rsidRPr="0051561F" w:rsidRDefault="00CC2044" w:rsidP="001B6F72">
      <w:pPr>
        <w:pBdr>
          <w:top w:val="nil"/>
          <w:left w:val="nil"/>
          <w:bottom w:val="nil"/>
          <w:right w:val="nil"/>
          <w:between w:val="nil"/>
          <w:bar w:val="nil"/>
        </w:pBdr>
        <w:spacing w:before="0" w:after="240"/>
        <w:rPr>
          <w:rFonts w:eastAsia="Arial Unicode MS"/>
          <w:noProof/>
        </w:rPr>
      </w:pPr>
      <w:r w:rsidRPr="0051561F">
        <w:rPr>
          <w:noProof/>
        </w:rPr>
        <w:t>W kontekście zapewnienia jasnego</w:t>
      </w:r>
      <w:r w:rsidR="006E0B7E" w:rsidRPr="0051561F">
        <w:rPr>
          <w:noProof/>
        </w:rPr>
        <w:t xml:space="preserve"> i</w:t>
      </w:r>
      <w:r w:rsidR="006E0B7E">
        <w:rPr>
          <w:noProof/>
        </w:rPr>
        <w:t> </w:t>
      </w:r>
      <w:r w:rsidR="006E0B7E" w:rsidRPr="0051561F">
        <w:rPr>
          <w:noProof/>
        </w:rPr>
        <w:t>spó</w:t>
      </w:r>
      <w:r w:rsidRPr="0051561F">
        <w:rPr>
          <w:noProof/>
        </w:rPr>
        <w:t>jnego obrazu techniki prawodawczej za najbardziej odpowiednie rozwiązanie prawne uznaje się dyrektywę zmieniającą.</w:t>
      </w:r>
    </w:p>
    <w:p w14:paraId="4AF59CC8" w14:textId="77777777" w:rsidR="005B3330" w:rsidRPr="0051561F" w:rsidRDefault="005B3330" w:rsidP="008106DB">
      <w:pPr>
        <w:pStyle w:val="ManualHeading1"/>
        <w:jc w:val="left"/>
        <w:rPr>
          <w:noProof/>
        </w:rPr>
      </w:pPr>
      <w:r w:rsidRPr="0051561F">
        <w:rPr>
          <w:noProof/>
        </w:rPr>
        <w:t>3.</w:t>
      </w:r>
      <w:r w:rsidRPr="0051561F">
        <w:rPr>
          <w:noProof/>
        </w:rPr>
        <w:tab/>
        <w:t>WYNIKI OCEN EX POST, KONSULTACJI Z ZAINTERESOWANYMI STRONAMI I OCEN SKUTKÓW</w:t>
      </w:r>
    </w:p>
    <w:p w14:paraId="4B8C8EFB" w14:textId="77777777" w:rsidR="005B3330" w:rsidRPr="0051561F" w:rsidRDefault="005B3330" w:rsidP="007800DD">
      <w:pPr>
        <w:pStyle w:val="ManualHeading2"/>
        <w:rPr>
          <w:rFonts w:eastAsia="Arial Unicode MS"/>
          <w:noProof/>
          <w:u w:color="000000"/>
          <w:bdr w:val="nil"/>
        </w:rPr>
      </w:pPr>
      <w:r w:rsidRPr="0051561F">
        <w:rPr>
          <w:noProof/>
          <w:u w:color="000000"/>
          <w:bdr w:val="nil"/>
        </w:rPr>
        <w:t>•</w:t>
      </w:r>
      <w:r w:rsidRPr="0051561F">
        <w:rPr>
          <w:noProof/>
        </w:rPr>
        <w:tab/>
      </w:r>
      <w:r w:rsidRPr="0051561F">
        <w:rPr>
          <w:noProof/>
          <w:u w:color="000000"/>
          <w:bdr w:val="nil"/>
        </w:rPr>
        <w:t>Oceny ex post/oceny adekwatności obowiązującego prawodawstwa</w:t>
      </w:r>
    </w:p>
    <w:p w14:paraId="6A56035B" w14:textId="72D36B58" w:rsidR="005B3330" w:rsidRPr="0051561F" w:rsidRDefault="001B6F72" w:rsidP="001B6F72">
      <w:pPr>
        <w:pBdr>
          <w:top w:val="nil"/>
          <w:left w:val="nil"/>
          <w:bottom w:val="nil"/>
          <w:right w:val="nil"/>
          <w:between w:val="nil"/>
          <w:bar w:val="nil"/>
        </w:pBdr>
        <w:spacing w:before="0" w:after="240"/>
        <w:rPr>
          <w:rFonts w:eastAsia="Arial Unicode MS"/>
          <w:noProof/>
        </w:rPr>
      </w:pPr>
      <w:r w:rsidRPr="0051561F">
        <w:rPr>
          <w:noProof/>
        </w:rPr>
        <w:t>Z kontroli sprawności wynika, że kluczowe cele unijnych przepisów prawnych dotyczących bezpieczeństwa statków pasażerskich odnoszące się do bezpieczeństwa pasażerów są ogólnie spełniane</w:t>
      </w:r>
      <w:r w:rsidR="006E0B7E" w:rsidRPr="0051561F">
        <w:rPr>
          <w:noProof/>
        </w:rPr>
        <w:t xml:space="preserve"> i</w:t>
      </w:r>
      <w:r w:rsidR="006E0B7E">
        <w:rPr>
          <w:noProof/>
        </w:rPr>
        <w:t> </w:t>
      </w:r>
      <w:r w:rsidR="006E0B7E" w:rsidRPr="0051561F">
        <w:rPr>
          <w:noProof/>
        </w:rPr>
        <w:t>nad</w:t>
      </w:r>
      <w:r w:rsidRPr="0051561F">
        <w:rPr>
          <w:noProof/>
        </w:rPr>
        <w:t>al pozostają niezwykle istotne. Unijne ramy prawne</w:t>
      </w:r>
      <w:r w:rsidR="006E0B7E" w:rsidRPr="0051561F">
        <w:rPr>
          <w:noProof/>
        </w:rPr>
        <w:t xml:space="preserve"> w</w:t>
      </w:r>
      <w:r w:rsidR="006E0B7E">
        <w:rPr>
          <w:noProof/>
        </w:rPr>
        <w:t> </w:t>
      </w:r>
      <w:r w:rsidR="006E0B7E" w:rsidRPr="0051561F">
        <w:rPr>
          <w:noProof/>
        </w:rPr>
        <w:t>zak</w:t>
      </w:r>
      <w:r w:rsidRPr="0051561F">
        <w:rPr>
          <w:noProof/>
        </w:rPr>
        <w:t>resie bezpieczeństwa statków pasażerskich doprowadziły do osiągnięcia wspólnego poziomu bezpieczeństwa statków pasażerskich</w:t>
      </w:r>
      <w:r w:rsidR="006E0B7E" w:rsidRPr="0051561F">
        <w:rPr>
          <w:noProof/>
        </w:rPr>
        <w:t xml:space="preserve"> w</w:t>
      </w:r>
      <w:r w:rsidR="006E0B7E">
        <w:rPr>
          <w:noProof/>
        </w:rPr>
        <w:t> </w:t>
      </w:r>
      <w:r w:rsidR="006E0B7E" w:rsidRPr="0051561F">
        <w:rPr>
          <w:noProof/>
        </w:rPr>
        <w:t>Uni</w:t>
      </w:r>
      <w:r w:rsidRPr="0051561F">
        <w:rPr>
          <w:noProof/>
        </w:rPr>
        <w:t>i</w:t>
      </w:r>
      <w:r w:rsidR="006E0B7E" w:rsidRPr="0051561F">
        <w:rPr>
          <w:noProof/>
        </w:rPr>
        <w:t xml:space="preserve"> i</w:t>
      </w:r>
      <w:r w:rsidR="006E0B7E">
        <w:rPr>
          <w:noProof/>
        </w:rPr>
        <w:t> </w:t>
      </w:r>
      <w:r w:rsidR="006E0B7E" w:rsidRPr="0051561F">
        <w:rPr>
          <w:noProof/>
        </w:rPr>
        <w:t>rów</w:t>
      </w:r>
      <w:r w:rsidRPr="0051561F">
        <w:rPr>
          <w:noProof/>
        </w:rPr>
        <w:t>nych warunków dla operatorów,</w:t>
      </w:r>
      <w:r w:rsidR="006E0B7E" w:rsidRPr="0051561F">
        <w:rPr>
          <w:noProof/>
        </w:rPr>
        <w:t xml:space="preserve"> a</w:t>
      </w:r>
      <w:r w:rsidR="006E0B7E">
        <w:rPr>
          <w:noProof/>
        </w:rPr>
        <w:t> </w:t>
      </w:r>
      <w:r w:rsidR="006E0B7E" w:rsidRPr="0051561F">
        <w:rPr>
          <w:noProof/>
        </w:rPr>
        <w:t>tak</w:t>
      </w:r>
      <w:r w:rsidRPr="0051561F">
        <w:rPr>
          <w:noProof/>
        </w:rPr>
        <w:t>że do zwiększenia transferu statków między państwami członkowskimi. Kontrola sprawności wykazała również, że istnieje możliwość dalszej poprawy poziomu bezpieczeństwa oraz efektywności</w:t>
      </w:r>
      <w:r w:rsidR="006E0B7E" w:rsidRPr="0051561F">
        <w:rPr>
          <w:noProof/>
        </w:rPr>
        <w:t xml:space="preserve"> i</w:t>
      </w:r>
      <w:r w:rsidR="006E0B7E">
        <w:rPr>
          <w:noProof/>
        </w:rPr>
        <w:t> </w:t>
      </w:r>
      <w:r w:rsidR="006E0B7E" w:rsidRPr="0051561F">
        <w:rPr>
          <w:noProof/>
        </w:rPr>
        <w:t>pro</w:t>
      </w:r>
      <w:r w:rsidRPr="0051561F">
        <w:rPr>
          <w:noProof/>
        </w:rPr>
        <w:t>porcjonalności niektórych wymogów regulacyjnych. Wydano zalecenia mające na celu uproszczenie, wyjaśnienie</w:t>
      </w:r>
      <w:r w:rsidR="006E0B7E" w:rsidRPr="0051561F">
        <w:rPr>
          <w:noProof/>
        </w:rPr>
        <w:t xml:space="preserve"> i</w:t>
      </w:r>
      <w:r w:rsidR="006E0B7E">
        <w:rPr>
          <w:noProof/>
        </w:rPr>
        <w:t> </w:t>
      </w:r>
      <w:r w:rsidR="006E0B7E" w:rsidRPr="0051561F">
        <w:rPr>
          <w:noProof/>
        </w:rPr>
        <w:t>uch</w:t>
      </w:r>
      <w:r w:rsidRPr="0051561F">
        <w:rPr>
          <w:noProof/>
        </w:rPr>
        <w:t>ylenie szeregu niejednoznacznych, nieaktualnych lub nakładających się na siebie wymogów. Jeśli chodzi</w:t>
      </w:r>
      <w:r w:rsidR="006E0B7E" w:rsidRPr="0051561F">
        <w:rPr>
          <w:noProof/>
        </w:rPr>
        <w:t xml:space="preserve"> o</w:t>
      </w:r>
      <w:r w:rsidR="006E0B7E">
        <w:rPr>
          <w:noProof/>
        </w:rPr>
        <w:t> </w:t>
      </w:r>
      <w:r w:rsidR="006E0B7E" w:rsidRPr="0051561F">
        <w:rPr>
          <w:noProof/>
        </w:rPr>
        <w:t>wym</w:t>
      </w:r>
      <w:r w:rsidRPr="0051561F">
        <w:rPr>
          <w:noProof/>
        </w:rPr>
        <w:t>ogi stateczności</w:t>
      </w:r>
      <w:r w:rsidR="006E0B7E" w:rsidRPr="0051561F">
        <w:rPr>
          <w:noProof/>
        </w:rPr>
        <w:t xml:space="preserve"> w</w:t>
      </w:r>
      <w:r w:rsidR="006E0B7E">
        <w:rPr>
          <w:noProof/>
        </w:rPr>
        <w:t> </w:t>
      </w:r>
      <w:r w:rsidR="006E0B7E" w:rsidRPr="0051561F">
        <w:rPr>
          <w:noProof/>
        </w:rPr>
        <w:t>sta</w:t>
      </w:r>
      <w:r w:rsidRPr="0051561F">
        <w:rPr>
          <w:noProof/>
        </w:rPr>
        <w:t>nie uszkodzonym,</w:t>
      </w:r>
      <w:r w:rsidR="006E0B7E" w:rsidRPr="0051561F">
        <w:rPr>
          <w:noProof/>
        </w:rPr>
        <w:t xml:space="preserve"> w</w:t>
      </w:r>
      <w:r w:rsidR="006E0B7E">
        <w:rPr>
          <w:noProof/>
        </w:rPr>
        <w:t> </w:t>
      </w:r>
      <w:r w:rsidR="006E0B7E" w:rsidRPr="0051561F">
        <w:rPr>
          <w:noProof/>
        </w:rPr>
        <w:t>rez</w:t>
      </w:r>
      <w:r w:rsidRPr="0051561F">
        <w:rPr>
          <w:noProof/>
        </w:rPr>
        <w:t>ultacie kontroli sprawności zalecono, aby ocenić możliwość zaproponowania zmiany lub uchylenia szczególnych unijnych wymogów stateczności</w:t>
      </w:r>
      <w:r w:rsidR="006E0B7E" w:rsidRPr="0051561F">
        <w:rPr>
          <w:noProof/>
        </w:rPr>
        <w:t xml:space="preserve"> w</w:t>
      </w:r>
      <w:r w:rsidR="006E0B7E">
        <w:rPr>
          <w:noProof/>
        </w:rPr>
        <w:t> </w:t>
      </w:r>
      <w:r w:rsidR="006E0B7E" w:rsidRPr="0051561F">
        <w:rPr>
          <w:noProof/>
        </w:rPr>
        <w:t>sta</w:t>
      </w:r>
      <w:r w:rsidRPr="0051561F">
        <w:rPr>
          <w:noProof/>
        </w:rPr>
        <w:t>nie uszkodzonym dla pasażerskich statków typu ro-ro,</w:t>
      </w:r>
      <w:r w:rsidR="006E0B7E" w:rsidRPr="0051561F">
        <w:rPr>
          <w:noProof/>
        </w:rPr>
        <w:t xml:space="preserve"> w</w:t>
      </w:r>
      <w:r w:rsidR="006E0B7E">
        <w:rPr>
          <w:noProof/>
        </w:rPr>
        <w:t> </w:t>
      </w:r>
      <w:r w:rsidR="006E0B7E" w:rsidRPr="0051561F">
        <w:rPr>
          <w:noProof/>
        </w:rPr>
        <w:t>opa</w:t>
      </w:r>
      <w:r w:rsidRPr="0051561F">
        <w:rPr>
          <w:noProof/>
        </w:rPr>
        <w:t>rciu</w:t>
      </w:r>
      <w:r w:rsidR="006E0B7E" w:rsidRPr="0051561F">
        <w:rPr>
          <w:noProof/>
        </w:rPr>
        <w:t xml:space="preserve"> o</w:t>
      </w:r>
      <w:r w:rsidR="006E0B7E">
        <w:rPr>
          <w:noProof/>
        </w:rPr>
        <w:t> </w:t>
      </w:r>
      <w:r w:rsidR="006E0B7E" w:rsidRPr="0051561F">
        <w:rPr>
          <w:noProof/>
        </w:rPr>
        <w:t>uno</w:t>
      </w:r>
      <w:r w:rsidRPr="0051561F">
        <w:rPr>
          <w:noProof/>
        </w:rPr>
        <w:t>wocześnione normy międzynarodowe.</w:t>
      </w:r>
    </w:p>
    <w:p w14:paraId="00CBA18A" w14:textId="00D2F815" w:rsidR="005B3330" w:rsidRPr="0051561F" w:rsidRDefault="005B3330" w:rsidP="007800DD">
      <w:pPr>
        <w:pStyle w:val="ManualHeading2"/>
        <w:rPr>
          <w:rFonts w:eastAsia="Arial Unicode MS"/>
          <w:noProof/>
          <w:u w:color="000000"/>
          <w:bdr w:val="nil"/>
        </w:rPr>
      </w:pPr>
      <w:r w:rsidRPr="0051561F">
        <w:rPr>
          <w:noProof/>
          <w:u w:color="000000"/>
          <w:bdr w:val="nil"/>
        </w:rPr>
        <w:t>•</w:t>
      </w:r>
      <w:r w:rsidRPr="0051561F">
        <w:rPr>
          <w:noProof/>
        </w:rPr>
        <w:tab/>
      </w:r>
      <w:r w:rsidRPr="0051561F">
        <w:rPr>
          <w:noProof/>
          <w:u w:color="000000"/>
          <w:bdr w:val="nil"/>
        </w:rPr>
        <w:t>Konsultacje</w:t>
      </w:r>
      <w:r w:rsidR="006E0B7E" w:rsidRPr="0051561F">
        <w:rPr>
          <w:noProof/>
          <w:u w:color="000000"/>
          <w:bdr w:val="nil"/>
        </w:rPr>
        <w:t xml:space="preserve"> z</w:t>
      </w:r>
      <w:r w:rsidR="006E0B7E">
        <w:rPr>
          <w:noProof/>
          <w:u w:color="000000"/>
          <w:bdr w:val="nil"/>
        </w:rPr>
        <w:t> </w:t>
      </w:r>
      <w:r w:rsidR="006E0B7E" w:rsidRPr="0051561F">
        <w:rPr>
          <w:noProof/>
          <w:u w:color="000000"/>
          <w:bdr w:val="nil"/>
        </w:rPr>
        <w:t>zai</w:t>
      </w:r>
      <w:r w:rsidRPr="0051561F">
        <w:rPr>
          <w:noProof/>
          <w:u w:color="000000"/>
          <w:bdr w:val="nil"/>
        </w:rPr>
        <w:t>nteresowanymi stronami</w:t>
      </w:r>
    </w:p>
    <w:p w14:paraId="1F00D8B1" w14:textId="62BF8C42" w:rsidR="001B6F72" w:rsidRPr="0051561F" w:rsidRDefault="001B6F72" w:rsidP="001B6F72">
      <w:pPr>
        <w:pBdr>
          <w:top w:val="nil"/>
          <w:left w:val="nil"/>
          <w:bottom w:val="nil"/>
          <w:right w:val="nil"/>
          <w:between w:val="nil"/>
          <w:bar w:val="nil"/>
        </w:pBdr>
        <w:spacing w:after="240"/>
        <w:rPr>
          <w:rFonts w:eastAsia="Arial Unicode MS"/>
          <w:noProof/>
        </w:rPr>
      </w:pPr>
      <w:r w:rsidRPr="0051561F">
        <w:rPr>
          <w:noProof/>
        </w:rPr>
        <w:t>Ze względu na techniczny charakter przewidywanej propozycji za najodpowiedniejsze narzędzie konsultacji uznano ukierunkowane konsultacje. Przeprowadzono konsultacje</w:t>
      </w:r>
      <w:r w:rsidR="006E0B7E" w:rsidRPr="0051561F">
        <w:rPr>
          <w:noProof/>
        </w:rPr>
        <w:t xml:space="preserve"> z</w:t>
      </w:r>
      <w:r w:rsidR="006E0B7E">
        <w:rPr>
          <w:noProof/>
        </w:rPr>
        <w:t> </w:t>
      </w:r>
      <w:r w:rsidR="006E0B7E" w:rsidRPr="0051561F">
        <w:rPr>
          <w:noProof/>
        </w:rPr>
        <w:t>eks</w:t>
      </w:r>
      <w:r w:rsidRPr="0051561F">
        <w:rPr>
          <w:noProof/>
        </w:rPr>
        <w:t>pertami krajowymi</w:t>
      </w:r>
      <w:r w:rsidR="006E0B7E" w:rsidRPr="0051561F">
        <w:rPr>
          <w:noProof/>
        </w:rPr>
        <w:t xml:space="preserve"> w</w:t>
      </w:r>
      <w:r w:rsidR="006E0B7E">
        <w:rPr>
          <w:noProof/>
        </w:rPr>
        <w:t> </w:t>
      </w:r>
      <w:r w:rsidR="006E0B7E" w:rsidRPr="0051561F">
        <w:rPr>
          <w:noProof/>
        </w:rPr>
        <w:t>ram</w:t>
      </w:r>
      <w:r w:rsidRPr="0051561F">
        <w:rPr>
          <w:noProof/>
        </w:rPr>
        <w:t>ach grupy ekspertów ds. bezpieczeństwa statków pasażerskich</w:t>
      </w:r>
      <w:r w:rsidR="006E0B7E" w:rsidRPr="0051561F">
        <w:rPr>
          <w:noProof/>
        </w:rPr>
        <w:t>. W</w:t>
      </w:r>
      <w:r w:rsidR="006E0B7E">
        <w:rPr>
          <w:noProof/>
        </w:rPr>
        <w:t> </w:t>
      </w:r>
      <w:r w:rsidR="006E0B7E" w:rsidRPr="0051561F">
        <w:rPr>
          <w:noProof/>
        </w:rPr>
        <w:t>ram</w:t>
      </w:r>
      <w:r w:rsidRPr="0051561F">
        <w:rPr>
          <w:noProof/>
        </w:rPr>
        <w:t>ach zleconego na zewnątrz badania technicznego zorganizowano dwa warsztaty, do udziału</w:t>
      </w:r>
      <w:r w:rsidR="006E0B7E" w:rsidRPr="0051561F">
        <w:rPr>
          <w:noProof/>
        </w:rPr>
        <w:t xml:space="preserve"> w</w:t>
      </w:r>
      <w:r w:rsidR="006E0B7E">
        <w:rPr>
          <w:noProof/>
        </w:rPr>
        <w:t> </w:t>
      </w:r>
      <w:r w:rsidR="006E0B7E" w:rsidRPr="0051561F">
        <w:rPr>
          <w:noProof/>
        </w:rPr>
        <w:t>któ</w:t>
      </w:r>
      <w:r w:rsidRPr="0051561F">
        <w:rPr>
          <w:noProof/>
        </w:rPr>
        <w:t>rych zaproszono wszystkie państwa członkowskie oraz stowarzyszenia branżowe</w:t>
      </w:r>
      <w:r w:rsidR="006E0B7E" w:rsidRPr="0051561F">
        <w:rPr>
          <w:noProof/>
        </w:rPr>
        <w:t xml:space="preserve"> i</w:t>
      </w:r>
      <w:r w:rsidR="006E0B7E">
        <w:rPr>
          <w:noProof/>
        </w:rPr>
        <w:t> </w:t>
      </w:r>
      <w:r w:rsidR="006E0B7E" w:rsidRPr="0051561F">
        <w:rPr>
          <w:noProof/>
        </w:rPr>
        <w:t>pas</w:t>
      </w:r>
      <w:r w:rsidRPr="0051561F">
        <w:rPr>
          <w:noProof/>
        </w:rPr>
        <w:t xml:space="preserve">ażerskie. </w:t>
      </w:r>
    </w:p>
    <w:p w14:paraId="7E85C28F" w14:textId="7E98A78D" w:rsidR="001B6F72" w:rsidRPr="0051561F" w:rsidRDefault="00CC2044" w:rsidP="001B6F72">
      <w:pPr>
        <w:pBdr>
          <w:top w:val="nil"/>
          <w:left w:val="nil"/>
          <w:bottom w:val="nil"/>
          <w:right w:val="nil"/>
          <w:between w:val="nil"/>
          <w:bar w:val="nil"/>
        </w:pBdr>
        <w:spacing w:after="240"/>
        <w:rPr>
          <w:rFonts w:eastAsia="Arial Unicode MS"/>
          <w:noProof/>
        </w:rPr>
      </w:pPr>
      <w:r w:rsidRPr="0051561F">
        <w:rPr>
          <w:noProof/>
        </w:rPr>
        <w:t>Wyniki badania technicznego zleconego przez Komisję na potrzeby przygotowania niniejszej nowelizacji przedstawiono</w:t>
      </w:r>
      <w:r w:rsidR="006E0B7E" w:rsidRPr="0051561F">
        <w:rPr>
          <w:noProof/>
        </w:rPr>
        <w:t xml:space="preserve"> w</w:t>
      </w:r>
      <w:r w:rsidR="006E0B7E">
        <w:rPr>
          <w:noProof/>
        </w:rPr>
        <w:t> </w:t>
      </w:r>
      <w:r w:rsidR="006E0B7E" w:rsidRPr="0051561F">
        <w:rPr>
          <w:noProof/>
        </w:rPr>
        <w:t>dok</w:t>
      </w:r>
      <w:r w:rsidRPr="0051561F">
        <w:rPr>
          <w:noProof/>
        </w:rPr>
        <w:t>umencie roboczym służb Komisji towarzyszącym wnioskowi. Proponowana struktura wymogów stateczności</w:t>
      </w:r>
      <w:r w:rsidR="006E0B7E" w:rsidRPr="0051561F">
        <w:rPr>
          <w:noProof/>
        </w:rPr>
        <w:t xml:space="preserve"> w</w:t>
      </w:r>
      <w:r w:rsidR="006E0B7E">
        <w:rPr>
          <w:noProof/>
        </w:rPr>
        <w:t> </w:t>
      </w:r>
      <w:r w:rsidR="006E0B7E" w:rsidRPr="0051561F">
        <w:rPr>
          <w:noProof/>
        </w:rPr>
        <w:t>sta</w:t>
      </w:r>
      <w:r w:rsidRPr="0051561F">
        <w:rPr>
          <w:noProof/>
        </w:rPr>
        <w:t>nie uszkodzonym, które określono</w:t>
      </w:r>
      <w:r w:rsidR="006E0B7E" w:rsidRPr="0051561F">
        <w:rPr>
          <w:noProof/>
        </w:rPr>
        <w:t xml:space="preserve"> z</w:t>
      </w:r>
      <w:r w:rsidR="006E0B7E">
        <w:rPr>
          <w:noProof/>
        </w:rPr>
        <w:t> </w:t>
      </w:r>
      <w:r w:rsidR="006E0B7E" w:rsidRPr="0051561F">
        <w:rPr>
          <w:noProof/>
        </w:rPr>
        <w:t>uwz</w:t>
      </w:r>
      <w:r w:rsidRPr="0051561F">
        <w:rPr>
          <w:noProof/>
        </w:rPr>
        <w:t>ględnieniem zdolności przewozowej statków, została poparta przez zdecydowaną większość ekspertów krajowych. Na podstawie dokładnie przeanalizowanych uwag ekspertów krajowych</w:t>
      </w:r>
      <w:r w:rsidR="006E0B7E" w:rsidRPr="0051561F">
        <w:rPr>
          <w:noProof/>
        </w:rPr>
        <w:t xml:space="preserve"> i</w:t>
      </w:r>
      <w:r w:rsidR="006E0B7E">
        <w:rPr>
          <w:noProof/>
        </w:rPr>
        <w:t> </w:t>
      </w:r>
      <w:r w:rsidR="006E0B7E" w:rsidRPr="0051561F">
        <w:rPr>
          <w:noProof/>
        </w:rPr>
        <w:t>zai</w:t>
      </w:r>
      <w:r w:rsidRPr="0051561F">
        <w:rPr>
          <w:noProof/>
        </w:rPr>
        <w:t xml:space="preserve">nteresowanych stron we wniosku wprowadzono tymczasowe rozwiązania alternatywne dla nowo budowanych statków certyfikowanych do przewozu 1 350 lub mniej osób. Wykorzystanie tych dwóch wariantów zostałoby poddane ocenie po dziesięciu latach od wdrożeniu nowelizacji. </w:t>
      </w:r>
    </w:p>
    <w:p w14:paraId="6C85DF7F" w14:textId="3EBC6C17" w:rsidR="005B3330" w:rsidRPr="0051561F" w:rsidRDefault="001B6F72" w:rsidP="007800DD">
      <w:pPr>
        <w:pBdr>
          <w:top w:val="nil"/>
          <w:left w:val="nil"/>
          <w:bottom w:val="nil"/>
          <w:right w:val="nil"/>
          <w:between w:val="nil"/>
          <w:bar w:val="nil"/>
        </w:pBdr>
        <w:spacing w:before="0" w:after="240"/>
        <w:rPr>
          <w:rFonts w:eastAsia="Arial Unicode MS"/>
          <w:noProof/>
        </w:rPr>
      </w:pPr>
      <w:r w:rsidRPr="0051561F">
        <w:rPr>
          <w:noProof/>
        </w:rPr>
        <w:t>Wszystkie uwagi</w:t>
      </w:r>
      <w:r w:rsidR="006E0B7E" w:rsidRPr="0051561F">
        <w:rPr>
          <w:noProof/>
        </w:rPr>
        <w:t xml:space="preserve"> i</w:t>
      </w:r>
      <w:r w:rsidR="006E0B7E">
        <w:rPr>
          <w:noProof/>
        </w:rPr>
        <w:t> </w:t>
      </w:r>
      <w:r w:rsidR="006E0B7E" w:rsidRPr="0051561F">
        <w:rPr>
          <w:noProof/>
        </w:rPr>
        <w:t>pro</w:t>
      </w:r>
      <w:r w:rsidRPr="0051561F">
        <w:rPr>
          <w:noProof/>
        </w:rPr>
        <w:t>pozycje przedstawione przez ekspertów krajowych</w:t>
      </w:r>
      <w:r w:rsidR="006E0B7E" w:rsidRPr="0051561F">
        <w:rPr>
          <w:noProof/>
        </w:rPr>
        <w:t xml:space="preserve"> i</w:t>
      </w:r>
      <w:r w:rsidR="006E0B7E">
        <w:rPr>
          <w:noProof/>
        </w:rPr>
        <w:t> </w:t>
      </w:r>
      <w:r w:rsidR="006E0B7E" w:rsidRPr="0051561F">
        <w:rPr>
          <w:noProof/>
        </w:rPr>
        <w:t>zai</w:t>
      </w:r>
      <w:r w:rsidRPr="0051561F">
        <w:rPr>
          <w:noProof/>
        </w:rPr>
        <w:t>nteresowane strony</w:t>
      </w:r>
      <w:r w:rsidR="006E0B7E" w:rsidRPr="0051561F">
        <w:rPr>
          <w:noProof/>
        </w:rPr>
        <w:t xml:space="preserve"> z</w:t>
      </w:r>
      <w:r w:rsidR="006E0B7E">
        <w:rPr>
          <w:noProof/>
        </w:rPr>
        <w:t> </w:t>
      </w:r>
      <w:r w:rsidR="006E0B7E" w:rsidRPr="0051561F">
        <w:rPr>
          <w:noProof/>
        </w:rPr>
        <w:t>bra</w:t>
      </w:r>
      <w:r w:rsidRPr="0051561F">
        <w:rPr>
          <w:noProof/>
        </w:rPr>
        <w:t>nży</w:t>
      </w:r>
      <w:r w:rsidR="006E0B7E" w:rsidRPr="0051561F">
        <w:rPr>
          <w:noProof/>
        </w:rPr>
        <w:t xml:space="preserve"> w</w:t>
      </w:r>
      <w:r w:rsidR="006E0B7E">
        <w:rPr>
          <w:noProof/>
        </w:rPr>
        <w:t> </w:t>
      </w:r>
      <w:r w:rsidR="006E0B7E" w:rsidRPr="0051561F">
        <w:rPr>
          <w:noProof/>
        </w:rPr>
        <w:t>tra</w:t>
      </w:r>
      <w:r w:rsidRPr="0051561F">
        <w:rPr>
          <w:noProof/>
        </w:rPr>
        <w:t>kcie dyskusji na posiedzeniach grupy ekspertów zostały ocenione</w:t>
      </w:r>
      <w:r w:rsidR="006E0B7E" w:rsidRPr="0051561F">
        <w:rPr>
          <w:noProof/>
        </w:rPr>
        <w:t xml:space="preserve"> z</w:t>
      </w:r>
      <w:r w:rsidR="006E0B7E">
        <w:rPr>
          <w:noProof/>
        </w:rPr>
        <w:t> </w:t>
      </w:r>
      <w:r w:rsidR="006E0B7E" w:rsidRPr="0051561F">
        <w:rPr>
          <w:noProof/>
        </w:rPr>
        <w:t>uwz</w:t>
      </w:r>
      <w:r w:rsidRPr="0051561F">
        <w:rPr>
          <w:noProof/>
        </w:rPr>
        <w:t>ględnieniem nadrzędnego celu, jakim jest zapewnienie utrzymania co najmniej dotychczasowego poziomu bezpieczeństwa.</w:t>
      </w:r>
    </w:p>
    <w:p w14:paraId="66DBF0D0" w14:textId="4DD676E5" w:rsidR="005B3330" w:rsidRPr="0051561F" w:rsidRDefault="005B3330" w:rsidP="007800DD">
      <w:pPr>
        <w:pStyle w:val="ManualHeading2"/>
        <w:rPr>
          <w:rFonts w:eastAsia="Arial Unicode MS"/>
          <w:noProof/>
          <w:u w:color="000000"/>
          <w:bdr w:val="nil"/>
        </w:rPr>
      </w:pPr>
      <w:r w:rsidRPr="0051561F">
        <w:rPr>
          <w:noProof/>
          <w:u w:color="000000"/>
          <w:bdr w:val="nil"/>
        </w:rPr>
        <w:t>•</w:t>
      </w:r>
      <w:r w:rsidRPr="0051561F">
        <w:rPr>
          <w:noProof/>
        </w:rPr>
        <w:tab/>
      </w:r>
      <w:r w:rsidRPr="0051561F">
        <w:rPr>
          <w:noProof/>
          <w:u w:color="000000"/>
          <w:bdr w:val="nil"/>
        </w:rPr>
        <w:t>Gromadzenie</w:t>
      </w:r>
      <w:r w:rsidR="006E0B7E" w:rsidRPr="0051561F">
        <w:rPr>
          <w:noProof/>
          <w:u w:color="000000"/>
          <w:bdr w:val="nil"/>
        </w:rPr>
        <w:t xml:space="preserve"> i</w:t>
      </w:r>
      <w:r w:rsidR="006E0B7E">
        <w:rPr>
          <w:noProof/>
          <w:u w:color="000000"/>
          <w:bdr w:val="nil"/>
        </w:rPr>
        <w:t> </w:t>
      </w:r>
      <w:r w:rsidR="006E0B7E" w:rsidRPr="0051561F">
        <w:rPr>
          <w:noProof/>
          <w:u w:color="000000"/>
          <w:bdr w:val="nil"/>
        </w:rPr>
        <w:t>wyk</w:t>
      </w:r>
      <w:r w:rsidRPr="0051561F">
        <w:rPr>
          <w:noProof/>
          <w:u w:color="000000"/>
          <w:bdr w:val="nil"/>
        </w:rPr>
        <w:t>orzystanie wiedzy eksperckiej</w:t>
      </w:r>
    </w:p>
    <w:p w14:paraId="1EB24823" w14:textId="74B67DD0" w:rsidR="001B6F72" w:rsidRPr="0051561F" w:rsidRDefault="001B6F72" w:rsidP="001B6F72">
      <w:pPr>
        <w:pBdr>
          <w:top w:val="nil"/>
          <w:left w:val="nil"/>
          <w:bottom w:val="nil"/>
          <w:right w:val="nil"/>
          <w:between w:val="nil"/>
          <w:bar w:val="nil"/>
        </w:pBdr>
        <w:spacing w:after="240"/>
        <w:rPr>
          <w:rFonts w:eastAsia="Arial Unicode MS"/>
          <w:noProof/>
        </w:rPr>
      </w:pPr>
      <w:r w:rsidRPr="0051561F">
        <w:rPr>
          <w:noProof/>
        </w:rPr>
        <w:t>Niniejszy przegląd opiera się głównie na danych zebranych podczas procesu kontroli sprawności, jak wskazano</w:t>
      </w:r>
      <w:r w:rsidR="006E0B7E" w:rsidRPr="0051561F">
        <w:rPr>
          <w:noProof/>
        </w:rPr>
        <w:t xml:space="preserve"> w</w:t>
      </w:r>
      <w:r w:rsidR="006E0B7E">
        <w:rPr>
          <w:noProof/>
        </w:rPr>
        <w:t> </w:t>
      </w:r>
      <w:r w:rsidR="006E0B7E" w:rsidRPr="0051561F">
        <w:rPr>
          <w:noProof/>
        </w:rPr>
        <w:t>dok</w:t>
      </w:r>
      <w:r w:rsidRPr="0051561F">
        <w:rPr>
          <w:noProof/>
        </w:rPr>
        <w:t>umencie roboczym służb Komisji „Dostosowanie kursu: kontrola sprawności unijnego prawodawstwa</w:t>
      </w:r>
      <w:r w:rsidR="006E0B7E" w:rsidRPr="0051561F">
        <w:rPr>
          <w:noProof/>
        </w:rPr>
        <w:t xml:space="preserve"> w</w:t>
      </w:r>
      <w:r w:rsidR="006E0B7E">
        <w:rPr>
          <w:noProof/>
        </w:rPr>
        <w:t> </w:t>
      </w:r>
      <w:r w:rsidR="006E0B7E" w:rsidRPr="0051561F">
        <w:rPr>
          <w:noProof/>
        </w:rPr>
        <w:t>dzi</w:t>
      </w:r>
      <w:r w:rsidRPr="0051561F">
        <w:rPr>
          <w:noProof/>
        </w:rPr>
        <w:t>edzinie bezpieczeństwa statków pasażerskich”, przyjętym</w:t>
      </w:r>
      <w:r w:rsidR="006E0B7E" w:rsidRPr="0051561F">
        <w:rPr>
          <w:noProof/>
        </w:rPr>
        <w:t xml:space="preserve"> w</w:t>
      </w:r>
      <w:r w:rsidR="006E0B7E">
        <w:rPr>
          <w:noProof/>
        </w:rPr>
        <w:t> </w:t>
      </w:r>
      <w:r w:rsidR="006E0B7E" w:rsidRPr="0051561F">
        <w:rPr>
          <w:noProof/>
        </w:rPr>
        <w:t>dni</w:t>
      </w:r>
      <w:r w:rsidRPr="0051561F">
        <w:rPr>
          <w:noProof/>
        </w:rPr>
        <w:t>u 16 października 20</w:t>
      </w:r>
      <w:r w:rsidRPr="006E0B7E">
        <w:rPr>
          <w:noProof/>
        </w:rPr>
        <w:t>15</w:t>
      </w:r>
      <w:r w:rsidR="006E0B7E" w:rsidRPr="006E0B7E">
        <w:rPr>
          <w:noProof/>
        </w:rPr>
        <w:t> </w:t>
      </w:r>
      <w:r w:rsidRPr="006E0B7E">
        <w:rPr>
          <w:noProof/>
        </w:rPr>
        <w:t>r.</w:t>
      </w:r>
      <w:r w:rsidRPr="0051561F">
        <w:rPr>
          <w:rStyle w:val="FootnoteReference"/>
          <w:rFonts w:eastAsia="Arial Unicode MS"/>
          <w:noProof/>
        </w:rPr>
        <w:footnoteReference w:id="11"/>
      </w:r>
    </w:p>
    <w:p w14:paraId="388621C2" w14:textId="77D00281" w:rsidR="005B3330" w:rsidRPr="0051561F" w:rsidRDefault="001B6F72" w:rsidP="001B6F72">
      <w:pPr>
        <w:pBdr>
          <w:top w:val="nil"/>
          <w:left w:val="nil"/>
          <w:bottom w:val="nil"/>
          <w:right w:val="nil"/>
          <w:between w:val="nil"/>
          <w:bar w:val="nil"/>
        </w:pBdr>
        <w:spacing w:before="0" w:after="240"/>
        <w:rPr>
          <w:rFonts w:eastAsia="Arial Unicode MS"/>
          <w:noProof/>
        </w:rPr>
      </w:pPr>
      <w:r w:rsidRPr="0051561F">
        <w:rPr>
          <w:noProof/>
        </w:rPr>
        <w:t>Oprócz danych</w:t>
      </w:r>
      <w:r w:rsidR="006E0B7E" w:rsidRPr="0051561F">
        <w:rPr>
          <w:noProof/>
        </w:rPr>
        <w:t xml:space="preserve"> i</w:t>
      </w:r>
      <w:r w:rsidR="006E0B7E">
        <w:rPr>
          <w:noProof/>
        </w:rPr>
        <w:t> </w:t>
      </w:r>
      <w:r w:rsidR="006E0B7E" w:rsidRPr="0051561F">
        <w:rPr>
          <w:noProof/>
        </w:rPr>
        <w:t>kon</w:t>
      </w:r>
      <w:r w:rsidRPr="0051561F">
        <w:rPr>
          <w:noProof/>
        </w:rPr>
        <w:t>sultacji przeprowadzonych</w:t>
      </w:r>
      <w:r w:rsidR="006E0B7E" w:rsidRPr="0051561F">
        <w:rPr>
          <w:noProof/>
        </w:rPr>
        <w:t xml:space="preserve"> w</w:t>
      </w:r>
      <w:r w:rsidR="006E0B7E">
        <w:rPr>
          <w:noProof/>
        </w:rPr>
        <w:t> </w:t>
      </w:r>
      <w:r w:rsidR="006E0B7E" w:rsidRPr="0051561F">
        <w:rPr>
          <w:noProof/>
        </w:rPr>
        <w:t>ram</w:t>
      </w:r>
      <w:r w:rsidRPr="0051561F">
        <w:rPr>
          <w:noProof/>
        </w:rPr>
        <w:t>ach kontroli sprawności, do przygotowania niniejszego wniosku dotyczącego uproszczenia potrzebne były dane wejściowe od ekspertów technicznych</w:t>
      </w:r>
      <w:r w:rsidR="006E0B7E" w:rsidRPr="0051561F">
        <w:rPr>
          <w:noProof/>
        </w:rPr>
        <w:t xml:space="preserve"> i</w:t>
      </w:r>
      <w:r w:rsidR="006E0B7E">
        <w:rPr>
          <w:noProof/>
        </w:rPr>
        <w:t> </w:t>
      </w:r>
      <w:r w:rsidR="006E0B7E" w:rsidRPr="0051561F">
        <w:rPr>
          <w:noProof/>
        </w:rPr>
        <w:t>pra</w:t>
      </w:r>
      <w:r w:rsidRPr="0051561F">
        <w:rPr>
          <w:noProof/>
        </w:rPr>
        <w:t>wnych odnoszące się do konkretnego sformułowania definicji technicznych</w:t>
      </w:r>
      <w:r w:rsidR="006E0B7E" w:rsidRPr="0051561F">
        <w:rPr>
          <w:noProof/>
        </w:rPr>
        <w:t xml:space="preserve"> i</w:t>
      </w:r>
      <w:r w:rsidR="006E0B7E">
        <w:rPr>
          <w:noProof/>
        </w:rPr>
        <w:t> </w:t>
      </w:r>
      <w:r w:rsidR="006E0B7E" w:rsidRPr="0051561F">
        <w:rPr>
          <w:noProof/>
        </w:rPr>
        <w:t>jed</w:t>
      </w:r>
      <w:r w:rsidRPr="0051561F">
        <w:rPr>
          <w:noProof/>
        </w:rPr>
        <w:t>noznacznych sformułowań prawnych. Przedmiotowa wiedza ekspercka została zebrana</w:t>
      </w:r>
      <w:r w:rsidR="006E0B7E" w:rsidRPr="0051561F">
        <w:rPr>
          <w:noProof/>
        </w:rPr>
        <w:t xml:space="preserve"> w</w:t>
      </w:r>
      <w:r w:rsidR="006E0B7E">
        <w:rPr>
          <w:noProof/>
        </w:rPr>
        <w:t> </w:t>
      </w:r>
      <w:r w:rsidR="006E0B7E" w:rsidRPr="0051561F">
        <w:rPr>
          <w:noProof/>
        </w:rPr>
        <w:t>ram</w:t>
      </w:r>
      <w:r w:rsidRPr="0051561F">
        <w:rPr>
          <w:noProof/>
        </w:rPr>
        <w:t>ach Komisji, Europejskiej Agencji Bezpieczeństwa Morskiego (EMSA)</w:t>
      </w:r>
      <w:r w:rsidR="006E0B7E" w:rsidRPr="0051561F">
        <w:rPr>
          <w:noProof/>
        </w:rPr>
        <w:t xml:space="preserve"> i</w:t>
      </w:r>
      <w:r w:rsidR="006E0B7E">
        <w:rPr>
          <w:noProof/>
        </w:rPr>
        <w:t> </w:t>
      </w:r>
      <w:r w:rsidR="006E0B7E" w:rsidRPr="0051561F">
        <w:rPr>
          <w:noProof/>
        </w:rPr>
        <w:t>gru</w:t>
      </w:r>
      <w:r w:rsidRPr="0051561F">
        <w:rPr>
          <w:noProof/>
        </w:rPr>
        <w:t>py ekspertów ds. bezpieczeństwa statków pasażerskich. Została ona przedstawiona</w:t>
      </w:r>
      <w:r w:rsidR="006E0B7E" w:rsidRPr="0051561F">
        <w:rPr>
          <w:noProof/>
        </w:rPr>
        <w:t xml:space="preserve"> w</w:t>
      </w:r>
      <w:r w:rsidR="006E0B7E">
        <w:rPr>
          <w:noProof/>
        </w:rPr>
        <w:t> </w:t>
      </w:r>
      <w:r w:rsidR="006E0B7E" w:rsidRPr="0051561F">
        <w:rPr>
          <w:noProof/>
        </w:rPr>
        <w:t>dok</w:t>
      </w:r>
      <w:r w:rsidRPr="0051561F">
        <w:rPr>
          <w:noProof/>
        </w:rPr>
        <w:t>umencie roboczym służb Komisji uzupełniającym niniejszy wniosek.</w:t>
      </w:r>
    </w:p>
    <w:p w14:paraId="0CC9EE6A" w14:textId="77777777" w:rsidR="005B3330" w:rsidRPr="0051561F" w:rsidRDefault="005B3330" w:rsidP="007800DD">
      <w:pPr>
        <w:pStyle w:val="ManualHeading2"/>
        <w:rPr>
          <w:rFonts w:eastAsia="Arial Unicode MS"/>
          <w:noProof/>
          <w:u w:color="000000"/>
          <w:bdr w:val="nil"/>
        </w:rPr>
      </w:pPr>
      <w:r w:rsidRPr="0051561F">
        <w:rPr>
          <w:noProof/>
          <w:u w:color="000000"/>
          <w:bdr w:val="nil"/>
        </w:rPr>
        <w:t>•</w:t>
      </w:r>
      <w:r w:rsidRPr="0051561F">
        <w:rPr>
          <w:noProof/>
        </w:rPr>
        <w:tab/>
      </w:r>
      <w:r w:rsidRPr="0051561F">
        <w:rPr>
          <w:noProof/>
          <w:u w:color="000000"/>
          <w:bdr w:val="nil"/>
        </w:rPr>
        <w:t>Ocena skutków</w:t>
      </w:r>
    </w:p>
    <w:p w14:paraId="39CC114E" w14:textId="7FA65336" w:rsidR="001B6F72" w:rsidRPr="0051561F" w:rsidRDefault="001B6F72" w:rsidP="001B6F72">
      <w:pPr>
        <w:pBdr>
          <w:top w:val="nil"/>
          <w:left w:val="nil"/>
          <w:bottom w:val="nil"/>
          <w:right w:val="nil"/>
          <w:between w:val="nil"/>
          <w:bar w:val="nil"/>
        </w:pBdr>
        <w:spacing w:after="240"/>
        <w:rPr>
          <w:rFonts w:eastAsia="Arial Unicode MS"/>
          <w:noProof/>
        </w:rPr>
      </w:pPr>
      <w:r w:rsidRPr="0051561F">
        <w:rPr>
          <w:noProof/>
        </w:rPr>
        <w:t>Wniosek jest bezpośrednią reakcją na kontrolę sprawności,</w:t>
      </w:r>
      <w:r w:rsidR="006E0B7E" w:rsidRPr="0051561F">
        <w:rPr>
          <w:noProof/>
        </w:rPr>
        <w:t xml:space="preserve"> w</w:t>
      </w:r>
      <w:r w:rsidR="006E0B7E">
        <w:rPr>
          <w:noProof/>
        </w:rPr>
        <w:t> </w:t>
      </w:r>
      <w:r w:rsidR="006E0B7E" w:rsidRPr="0051561F">
        <w:rPr>
          <w:noProof/>
        </w:rPr>
        <w:t>wyn</w:t>
      </w:r>
      <w:r w:rsidRPr="0051561F">
        <w:rPr>
          <w:noProof/>
        </w:rPr>
        <w:t>iku której wskazano kwestie wymagające dostosowania</w:t>
      </w:r>
      <w:r w:rsidR="006E0B7E" w:rsidRPr="0051561F">
        <w:rPr>
          <w:noProof/>
        </w:rPr>
        <w:t xml:space="preserve"> i</w:t>
      </w:r>
      <w:r w:rsidR="006E0B7E">
        <w:rPr>
          <w:noProof/>
        </w:rPr>
        <w:t> </w:t>
      </w:r>
      <w:r w:rsidR="006E0B7E" w:rsidRPr="0051561F">
        <w:rPr>
          <w:noProof/>
        </w:rPr>
        <w:t>upr</w:t>
      </w:r>
      <w:r w:rsidRPr="0051561F">
        <w:rPr>
          <w:noProof/>
        </w:rPr>
        <w:t>oszczenia oraz oceniono potencjał związany</w:t>
      </w:r>
      <w:r w:rsidR="006E0B7E" w:rsidRPr="0051561F">
        <w:rPr>
          <w:noProof/>
        </w:rPr>
        <w:t xml:space="preserve"> z</w:t>
      </w:r>
      <w:r w:rsidR="006E0B7E">
        <w:rPr>
          <w:noProof/>
        </w:rPr>
        <w:t> </w:t>
      </w:r>
      <w:r w:rsidR="006E0B7E" w:rsidRPr="0051561F">
        <w:rPr>
          <w:noProof/>
        </w:rPr>
        <w:t>tak</w:t>
      </w:r>
      <w:r w:rsidRPr="0051561F">
        <w:rPr>
          <w:noProof/>
        </w:rPr>
        <w:t>im uproszczeniem. Jak podkreślono</w:t>
      </w:r>
      <w:r w:rsidR="006E0B7E" w:rsidRPr="0051561F">
        <w:rPr>
          <w:noProof/>
        </w:rPr>
        <w:t xml:space="preserve"> w</w:t>
      </w:r>
      <w:r w:rsidR="006E0B7E">
        <w:rPr>
          <w:noProof/>
        </w:rPr>
        <w:t> </w:t>
      </w:r>
      <w:r w:rsidR="006E0B7E" w:rsidRPr="0051561F">
        <w:rPr>
          <w:noProof/>
        </w:rPr>
        <w:t>dok</w:t>
      </w:r>
      <w:r w:rsidRPr="0051561F">
        <w:rPr>
          <w:noProof/>
        </w:rPr>
        <w:t>umencie roboczym służb Komisji, niniejszy wniosek ma wysoce techniczny charakter. Wniosek opiera się na wynikach badania technicznego przeprowadzonego we współpracy</w:t>
      </w:r>
      <w:r w:rsidR="006E0B7E" w:rsidRPr="0051561F">
        <w:rPr>
          <w:noProof/>
        </w:rPr>
        <w:t xml:space="preserve"> z</w:t>
      </w:r>
      <w:r w:rsidR="006E0B7E">
        <w:rPr>
          <w:noProof/>
        </w:rPr>
        <w:t> </w:t>
      </w:r>
      <w:r w:rsidR="006E0B7E" w:rsidRPr="0051561F">
        <w:rPr>
          <w:noProof/>
        </w:rPr>
        <w:t>wys</w:t>
      </w:r>
      <w:r w:rsidRPr="0051561F">
        <w:rPr>
          <w:noProof/>
        </w:rPr>
        <w:t>oko wyspecjalizowanymi ekspertami posiadającymi konkretną wiedzę</w:t>
      </w:r>
      <w:r w:rsidR="006E0B7E" w:rsidRPr="0051561F">
        <w:rPr>
          <w:noProof/>
        </w:rPr>
        <w:t xml:space="preserve"> w</w:t>
      </w:r>
      <w:r w:rsidR="006E0B7E">
        <w:rPr>
          <w:noProof/>
        </w:rPr>
        <w:t> </w:t>
      </w:r>
      <w:r w:rsidR="006E0B7E" w:rsidRPr="0051561F">
        <w:rPr>
          <w:noProof/>
        </w:rPr>
        <w:t>tej</w:t>
      </w:r>
      <w:r w:rsidRPr="0051561F">
        <w:rPr>
          <w:noProof/>
        </w:rPr>
        <w:t xml:space="preserve"> dziedzinie. Ponadto inicjatywa ta przewiduje dostosowanie zasad do międzynarodowych przepisów ustanowionych przez IMO. Zgodnie</w:t>
      </w:r>
      <w:r w:rsidR="006E0B7E" w:rsidRPr="0051561F">
        <w:rPr>
          <w:noProof/>
        </w:rPr>
        <w:t xml:space="preserve"> z</w:t>
      </w:r>
      <w:r w:rsidR="006E0B7E">
        <w:rPr>
          <w:noProof/>
        </w:rPr>
        <w:t> </w:t>
      </w:r>
      <w:r w:rsidR="006E0B7E" w:rsidRPr="0051561F">
        <w:rPr>
          <w:noProof/>
        </w:rPr>
        <w:t>wyt</w:t>
      </w:r>
      <w:r w:rsidRPr="0051561F">
        <w:rPr>
          <w:noProof/>
        </w:rPr>
        <w:t>ycznymi Komisji dotyczącymi lepszego stanowienia prawa nie przeprowadzono dogłębnej oceny skutków.</w:t>
      </w:r>
    </w:p>
    <w:p w14:paraId="64C0AB09" w14:textId="37C60C15" w:rsidR="005B3330" w:rsidRPr="0051561F" w:rsidRDefault="001B6F72" w:rsidP="007800DD">
      <w:pPr>
        <w:pBdr>
          <w:top w:val="nil"/>
          <w:left w:val="nil"/>
          <w:bottom w:val="nil"/>
          <w:right w:val="nil"/>
          <w:between w:val="nil"/>
          <w:bar w:val="nil"/>
        </w:pBdr>
        <w:spacing w:before="0" w:after="240"/>
        <w:rPr>
          <w:rFonts w:eastAsia="Arial Unicode MS"/>
          <w:noProof/>
        </w:rPr>
      </w:pPr>
      <w:r w:rsidRPr="0051561F">
        <w:rPr>
          <w:noProof/>
        </w:rPr>
        <w:t>Do niniejszego wniosku dołączono jednak dokument roboczy służb Komisji,</w:t>
      </w:r>
      <w:r w:rsidR="006E0B7E" w:rsidRPr="0051561F">
        <w:rPr>
          <w:noProof/>
        </w:rPr>
        <w:t xml:space="preserve"> w</w:t>
      </w:r>
      <w:r w:rsidR="006E0B7E">
        <w:rPr>
          <w:noProof/>
        </w:rPr>
        <w:t> </w:t>
      </w:r>
      <w:r w:rsidR="006E0B7E" w:rsidRPr="0051561F">
        <w:rPr>
          <w:noProof/>
        </w:rPr>
        <w:t>któ</w:t>
      </w:r>
      <w:r w:rsidRPr="0051561F">
        <w:rPr>
          <w:noProof/>
        </w:rPr>
        <w:t>rym przypomniano zalecenia</w:t>
      </w:r>
      <w:r w:rsidR="006E0B7E" w:rsidRPr="0051561F">
        <w:rPr>
          <w:noProof/>
        </w:rPr>
        <w:t xml:space="preserve"> z</w:t>
      </w:r>
      <w:r w:rsidR="006E0B7E">
        <w:rPr>
          <w:noProof/>
        </w:rPr>
        <w:t> </w:t>
      </w:r>
      <w:r w:rsidR="006E0B7E" w:rsidRPr="0051561F">
        <w:rPr>
          <w:noProof/>
        </w:rPr>
        <w:t>kon</w:t>
      </w:r>
      <w:r w:rsidRPr="0051561F">
        <w:rPr>
          <w:noProof/>
        </w:rPr>
        <w:t>troli sprawności</w:t>
      </w:r>
      <w:r w:rsidR="006E0B7E" w:rsidRPr="0051561F">
        <w:rPr>
          <w:noProof/>
        </w:rPr>
        <w:t xml:space="preserve"> i</w:t>
      </w:r>
      <w:r w:rsidR="006E0B7E">
        <w:rPr>
          <w:noProof/>
        </w:rPr>
        <w:t> </w:t>
      </w:r>
      <w:r w:rsidR="006E0B7E" w:rsidRPr="0051561F">
        <w:rPr>
          <w:noProof/>
        </w:rPr>
        <w:t>uśc</w:t>
      </w:r>
      <w:r w:rsidRPr="0051561F">
        <w:rPr>
          <w:noProof/>
        </w:rPr>
        <w:t>iślono uzasadnienie proponowanych rozwiązań</w:t>
      </w:r>
      <w:r w:rsidR="006E0B7E" w:rsidRPr="0051561F">
        <w:rPr>
          <w:noProof/>
        </w:rPr>
        <w:t xml:space="preserve"> z</w:t>
      </w:r>
      <w:r w:rsidR="006E0B7E">
        <w:rPr>
          <w:noProof/>
        </w:rPr>
        <w:t> </w:t>
      </w:r>
      <w:r w:rsidR="006E0B7E" w:rsidRPr="0051561F">
        <w:rPr>
          <w:noProof/>
        </w:rPr>
        <w:t>tec</w:t>
      </w:r>
      <w:r w:rsidRPr="0051561F">
        <w:rPr>
          <w:noProof/>
        </w:rPr>
        <w:t>hnicznego</w:t>
      </w:r>
      <w:r w:rsidR="006E0B7E" w:rsidRPr="0051561F">
        <w:rPr>
          <w:noProof/>
        </w:rPr>
        <w:t xml:space="preserve"> i</w:t>
      </w:r>
      <w:r w:rsidR="006E0B7E">
        <w:rPr>
          <w:noProof/>
        </w:rPr>
        <w:t> </w:t>
      </w:r>
      <w:r w:rsidR="006E0B7E" w:rsidRPr="0051561F">
        <w:rPr>
          <w:noProof/>
        </w:rPr>
        <w:t>pra</w:t>
      </w:r>
      <w:r w:rsidRPr="0051561F">
        <w:rPr>
          <w:noProof/>
        </w:rPr>
        <w:t>wnego punktu widzenia. Zawiera on podsumowanie wyników zleconego przez Komisję badania technicznego, przeprowadzonego</w:t>
      </w:r>
      <w:r w:rsidR="006E0B7E" w:rsidRPr="0051561F">
        <w:rPr>
          <w:noProof/>
        </w:rPr>
        <w:t xml:space="preserve"> w</w:t>
      </w:r>
      <w:r w:rsidR="006E0B7E">
        <w:rPr>
          <w:noProof/>
        </w:rPr>
        <w:t> </w:t>
      </w:r>
      <w:r w:rsidR="006E0B7E" w:rsidRPr="0051561F">
        <w:rPr>
          <w:noProof/>
        </w:rPr>
        <w:t>cel</w:t>
      </w:r>
      <w:r w:rsidRPr="0051561F">
        <w:rPr>
          <w:noProof/>
        </w:rPr>
        <w:t>u wsparcia tej inicjatywy</w:t>
      </w:r>
    </w:p>
    <w:p w14:paraId="4E6E5FF8" w14:textId="30EEB8F3" w:rsidR="005B3330" w:rsidRPr="0051561F" w:rsidRDefault="005B3330" w:rsidP="007800DD">
      <w:pPr>
        <w:pStyle w:val="ManualHeading2"/>
        <w:rPr>
          <w:rFonts w:eastAsia="Arial Unicode MS"/>
          <w:noProof/>
          <w:u w:color="000000"/>
          <w:bdr w:val="nil"/>
        </w:rPr>
      </w:pPr>
      <w:r w:rsidRPr="0051561F">
        <w:rPr>
          <w:noProof/>
          <w:u w:color="000000"/>
          <w:bdr w:val="nil"/>
        </w:rPr>
        <w:t>•</w:t>
      </w:r>
      <w:r w:rsidRPr="0051561F">
        <w:rPr>
          <w:noProof/>
        </w:rPr>
        <w:tab/>
      </w:r>
      <w:r w:rsidRPr="0051561F">
        <w:rPr>
          <w:noProof/>
          <w:u w:color="000000"/>
          <w:bdr w:val="nil"/>
        </w:rPr>
        <w:t>Sprawność regulacyjna</w:t>
      </w:r>
      <w:r w:rsidR="006E0B7E" w:rsidRPr="0051561F">
        <w:rPr>
          <w:noProof/>
          <w:u w:color="000000"/>
          <w:bdr w:val="nil"/>
        </w:rPr>
        <w:t xml:space="preserve"> i</w:t>
      </w:r>
      <w:r w:rsidR="006E0B7E">
        <w:rPr>
          <w:noProof/>
          <w:u w:color="000000"/>
          <w:bdr w:val="nil"/>
        </w:rPr>
        <w:t> </w:t>
      </w:r>
      <w:r w:rsidR="006E0B7E" w:rsidRPr="0051561F">
        <w:rPr>
          <w:noProof/>
          <w:u w:color="000000"/>
          <w:bdr w:val="nil"/>
        </w:rPr>
        <w:t>upr</w:t>
      </w:r>
      <w:r w:rsidRPr="0051561F">
        <w:rPr>
          <w:noProof/>
          <w:u w:color="000000"/>
          <w:bdr w:val="nil"/>
        </w:rPr>
        <w:t>oszczenie</w:t>
      </w:r>
    </w:p>
    <w:p w14:paraId="7B6495EA" w14:textId="7C8E96D4" w:rsidR="005B3330" w:rsidRPr="0051561F" w:rsidRDefault="001B6F72" w:rsidP="007800DD">
      <w:pPr>
        <w:pBdr>
          <w:top w:val="nil"/>
          <w:left w:val="nil"/>
          <w:bottom w:val="nil"/>
          <w:right w:val="nil"/>
          <w:between w:val="nil"/>
          <w:bar w:val="nil"/>
        </w:pBdr>
        <w:spacing w:before="0" w:after="240"/>
        <w:rPr>
          <w:rFonts w:eastAsia="Arial Unicode MS"/>
          <w:noProof/>
        </w:rPr>
      </w:pPr>
      <w:r w:rsidRPr="0051561F">
        <w:rPr>
          <w:noProof/>
        </w:rPr>
        <w:t>Głównym celem niniejszego wniosku jest zmniejszenie złożoności oraz obciążeń technicznych</w:t>
      </w:r>
      <w:r w:rsidR="006E0B7E" w:rsidRPr="0051561F">
        <w:rPr>
          <w:noProof/>
        </w:rPr>
        <w:t xml:space="preserve"> i</w:t>
      </w:r>
      <w:r w:rsidR="006E0B7E">
        <w:rPr>
          <w:noProof/>
        </w:rPr>
        <w:t> </w:t>
      </w:r>
      <w:r w:rsidR="006E0B7E" w:rsidRPr="0051561F">
        <w:rPr>
          <w:noProof/>
        </w:rPr>
        <w:t>adm</w:t>
      </w:r>
      <w:r w:rsidRPr="0051561F">
        <w:rPr>
          <w:noProof/>
        </w:rPr>
        <w:t>inistracyjnych, które wynikają przede wszystkim</w:t>
      </w:r>
      <w:r w:rsidR="006E0B7E" w:rsidRPr="0051561F">
        <w:rPr>
          <w:noProof/>
        </w:rPr>
        <w:t xml:space="preserve"> z</w:t>
      </w:r>
      <w:r w:rsidR="006E0B7E">
        <w:rPr>
          <w:noProof/>
        </w:rPr>
        <w:t> </w:t>
      </w:r>
      <w:r w:rsidR="006E0B7E" w:rsidRPr="0051561F">
        <w:rPr>
          <w:noProof/>
        </w:rPr>
        <w:t>dwó</w:t>
      </w:r>
      <w:r w:rsidRPr="0051561F">
        <w:rPr>
          <w:noProof/>
        </w:rPr>
        <w:t>ch różnych systemów oceniania zdolności przetrwania statków pasażerskich typu ro-ro</w:t>
      </w:r>
      <w:r w:rsidR="006E0B7E" w:rsidRPr="0051561F">
        <w:rPr>
          <w:noProof/>
        </w:rPr>
        <w:t xml:space="preserve"> w</w:t>
      </w:r>
      <w:r w:rsidR="006E0B7E">
        <w:rPr>
          <w:noProof/>
        </w:rPr>
        <w:t> </w:t>
      </w:r>
      <w:r w:rsidR="006E0B7E" w:rsidRPr="0051561F">
        <w:rPr>
          <w:noProof/>
        </w:rPr>
        <w:t>sta</w:t>
      </w:r>
      <w:r w:rsidRPr="0051561F">
        <w:rPr>
          <w:noProof/>
        </w:rPr>
        <w:t>nie uszkodzonym,</w:t>
      </w:r>
      <w:r w:rsidR="006E0B7E" w:rsidRPr="0051561F">
        <w:rPr>
          <w:noProof/>
        </w:rPr>
        <w:t xml:space="preserve"> w</w:t>
      </w:r>
      <w:r w:rsidR="006E0B7E">
        <w:rPr>
          <w:noProof/>
        </w:rPr>
        <w:t> </w:t>
      </w:r>
      <w:r w:rsidR="006E0B7E" w:rsidRPr="0051561F">
        <w:rPr>
          <w:noProof/>
        </w:rPr>
        <w:t>odn</w:t>
      </w:r>
      <w:r w:rsidRPr="0051561F">
        <w:rPr>
          <w:noProof/>
        </w:rPr>
        <w:t>iesieniu do wymogów stateczności</w:t>
      </w:r>
      <w:r w:rsidR="006E0B7E" w:rsidRPr="0051561F">
        <w:rPr>
          <w:noProof/>
        </w:rPr>
        <w:t xml:space="preserve"> w</w:t>
      </w:r>
      <w:r w:rsidR="006E0B7E">
        <w:rPr>
          <w:noProof/>
        </w:rPr>
        <w:t> </w:t>
      </w:r>
      <w:r w:rsidR="006E0B7E" w:rsidRPr="0051561F">
        <w:rPr>
          <w:noProof/>
        </w:rPr>
        <w:t>sta</w:t>
      </w:r>
      <w:r w:rsidRPr="0051561F">
        <w:rPr>
          <w:noProof/>
        </w:rPr>
        <w:t>nie uszkodzonym. Chodzi również</w:t>
      </w:r>
      <w:r w:rsidR="006E0B7E" w:rsidRPr="0051561F">
        <w:rPr>
          <w:noProof/>
        </w:rPr>
        <w:t xml:space="preserve"> o</w:t>
      </w:r>
      <w:r w:rsidR="006E0B7E">
        <w:rPr>
          <w:noProof/>
        </w:rPr>
        <w:t> </w:t>
      </w:r>
      <w:r w:rsidR="006E0B7E" w:rsidRPr="0051561F">
        <w:rPr>
          <w:noProof/>
        </w:rPr>
        <w:t>zap</w:t>
      </w:r>
      <w:r w:rsidRPr="0051561F">
        <w:rPr>
          <w:noProof/>
        </w:rPr>
        <w:t>ewnienie,</w:t>
      </w:r>
      <w:r w:rsidR="006E0B7E" w:rsidRPr="0051561F">
        <w:rPr>
          <w:noProof/>
        </w:rPr>
        <w:t xml:space="preserve"> w</w:t>
      </w:r>
      <w:r w:rsidR="006E0B7E">
        <w:rPr>
          <w:noProof/>
        </w:rPr>
        <w:t> </w:t>
      </w:r>
      <w:r w:rsidR="006E0B7E" w:rsidRPr="0051561F">
        <w:rPr>
          <w:noProof/>
        </w:rPr>
        <w:t>mia</w:t>
      </w:r>
      <w:r w:rsidRPr="0051561F">
        <w:rPr>
          <w:noProof/>
        </w:rPr>
        <w:t>rę możliwości, spójności</w:t>
      </w:r>
      <w:r w:rsidR="006E0B7E" w:rsidRPr="0051561F">
        <w:rPr>
          <w:noProof/>
        </w:rPr>
        <w:t xml:space="preserve"> z</w:t>
      </w:r>
      <w:r w:rsidR="006E0B7E">
        <w:rPr>
          <w:noProof/>
        </w:rPr>
        <w:t> </w:t>
      </w:r>
      <w:r w:rsidR="006E0B7E" w:rsidRPr="0051561F">
        <w:rPr>
          <w:noProof/>
        </w:rPr>
        <w:t>nie</w:t>
      </w:r>
      <w:r w:rsidRPr="0051561F">
        <w:rPr>
          <w:noProof/>
        </w:rPr>
        <w:t>dawno zaktualizowanymi międzynarodowymi normami stateczności</w:t>
      </w:r>
      <w:r w:rsidR="006E0B7E" w:rsidRPr="0051561F">
        <w:rPr>
          <w:noProof/>
        </w:rPr>
        <w:t xml:space="preserve"> w</w:t>
      </w:r>
      <w:r w:rsidR="006E0B7E">
        <w:rPr>
          <w:noProof/>
        </w:rPr>
        <w:t> </w:t>
      </w:r>
      <w:r w:rsidR="006E0B7E" w:rsidRPr="0051561F">
        <w:rPr>
          <w:noProof/>
        </w:rPr>
        <w:t>sta</w:t>
      </w:r>
      <w:r w:rsidRPr="0051561F">
        <w:rPr>
          <w:noProof/>
        </w:rPr>
        <w:t>nie uszkodzonym, uzgodnionymi przez IMO dla statków pasażerskich. Przewidywane dostosowanie do zasad międzynarodowych</w:t>
      </w:r>
      <w:r w:rsidR="006E0B7E" w:rsidRPr="0051561F">
        <w:rPr>
          <w:noProof/>
        </w:rPr>
        <w:t xml:space="preserve"> i</w:t>
      </w:r>
      <w:r w:rsidR="006E0B7E">
        <w:rPr>
          <w:noProof/>
        </w:rPr>
        <w:t> </w:t>
      </w:r>
      <w:r w:rsidR="006E0B7E" w:rsidRPr="0051561F">
        <w:rPr>
          <w:noProof/>
        </w:rPr>
        <w:t>upr</w:t>
      </w:r>
      <w:r w:rsidRPr="0051561F">
        <w:rPr>
          <w:noProof/>
        </w:rPr>
        <w:t>oszczenie zracjonalizują obciążenie przedsiębiorstw</w:t>
      </w:r>
      <w:r w:rsidR="006E0B7E" w:rsidRPr="0051561F">
        <w:rPr>
          <w:noProof/>
        </w:rPr>
        <w:t xml:space="preserve"> i</w:t>
      </w:r>
      <w:r w:rsidR="006E0B7E">
        <w:rPr>
          <w:noProof/>
        </w:rPr>
        <w:t> </w:t>
      </w:r>
      <w:r w:rsidR="006E0B7E" w:rsidRPr="0051561F">
        <w:rPr>
          <w:noProof/>
        </w:rPr>
        <w:t>ope</w:t>
      </w:r>
      <w:r w:rsidRPr="0051561F">
        <w:rPr>
          <w:noProof/>
        </w:rPr>
        <w:t>ratorów stoczniowych, jakie wiąże się</w:t>
      </w:r>
      <w:r w:rsidR="006E0B7E" w:rsidRPr="0051561F">
        <w:rPr>
          <w:noProof/>
        </w:rPr>
        <w:t xml:space="preserve"> z</w:t>
      </w:r>
      <w:r w:rsidR="006E0B7E">
        <w:rPr>
          <w:noProof/>
        </w:rPr>
        <w:t> </w:t>
      </w:r>
      <w:r w:rsidR="006E0B7E" w:rsidRPr="0051561F">
        <w:rPr>
          <w:noProof/>
        </w:rPr>
        <w:t>wyk</w:t>
      </w:r>
      <w:r w:rsidRPr="0051561F">
        <w:rPr>
          <w:noProof/>
        </w:rPr>
        <w:t>onywaniem obliczeń.</w:t>
      </w:r>
    </w:p>
    <w:p w14:paraId="5CD836A1" w14:textId="77777777" w:rsidR="005B3330" w:rsidRPr="0051561F" w:rsidRDefault="005B3330" w:rsidP="007800DD">
      <w:pPr>
        <w:pStyle w:val="ManualHeading2"/>
        <w:rPr>
          <w:rFonts w:eastAsia="Arial Unicode MS"/>
          <w:noProof/>
          <w:u w:color="000000"/>
          <w:bdr w:val="nil"/>
        </w:rPr>
      </w:pPr>
      <w:r w:rsidRPr="0051561F">
        <w:rPr>
          <w:noProof/>
          <w:u w:color="000000"/>
          <w:bdr w:val="nil"/>
        </w:rPr>
        <w:t>•</w:t>
      </w:r>
      <w:r w:rsidRPr="0051561F">
        <w:rPr>
          <w:noProof/>
        </w:rPr>
        <w:tab/>
      </w:r>
      <w:r w:rsidRPr="0051561F">
        <w:rPr>
          <w:noProof/>
          <w:u w:color="000000"/>
          <w:bdr w:val="nil"/>
        </w:rPr>
        <w:t>Prawa podstawowe</w:t>
      </w:r>
    </w:p>
    <w:p w14:paraId="6DB4ABCE" w14:textId="77777777" w:rsidR="005B3330" w:rsidRPr="0051561F" w:rsidRDefault="008E4895" w:rsidP="008E4895">
      <w:pPr>
        <w:pBdr>
          <w:top w:val="nil"/>
          <w:left w:val="nil"/>
          <w:bottom w:val="nil"/>
          <w:right w:val="nil"/>
          <w:between w:val="nil"/>
          <w:bar w:val="nil"/>
        </w:pBdr>
        <w:spacing w:before="0" w:after="240"/>
        <w:rPr>
          <w:rFonts w:eastAsia="Arial Unicode MS"/>
          <w:noProof/>
        </w:rPr>
      </w:pPr>
      <w:r w:rsidRPr="0051561F">
        <w:rPr>
          <w:noProof/>
        </w:rPr>
        <w:t>Wniosek nie ma skutków dla ochrony praw podstawowych.</w:t>
      </w:r>
    </w:p>
    <w:p w14:paraId="472FFE90" w14:textId="77777777" w:rsidR="005B3330" w:rsidRPr="0051561F" w:rsidRDefault="005B3330" w:rsidP="007800DD">
      <w:pPr>
        <w:pStyle w:val="ManualHeading1"/>
        <w:rPr>
          <w:noProof/>
        </w:rPr>
      </w:pPr>
      <w:r w:rsidRPr="0051561F">
        <w:rPr>
          <w:noProof/>
        </w:rPr>
        <w:t>4.</w:t>
      </w:r>
      <w:r w:rsidRPr="0051561F">
        <w:rPr>
          <w:noProof/>
        </w:rPr>
        <w:tab/>
        <w:t>WPŁYW NA BUDŻET</w:t>
      </w:r>
    </w:p>
    <w:p w14:paraId="1745B68D" w14:textId="77777777" w:rsidR="005B3330" w:rsidRPr="0051561F" w:rsidRDefault="008E4895" w:rsidP="008E4895">
      <w:pPr>
        <w:pBdr>
          <w:top w:val="nil"/>
          <w:left w:val="nil"/>
          <w:bottom w:val="nil"/>
          <w:right w:val="nil"/>
          <w:between w:val="nil"/>
          <w:bar w:val="nil"/>
        </w:pBdr>
        <w:spacing w:before="0" w:after="240"/>
        <w:rPr>
          <w:rFonts w:eastAsia="Arial Unicode MS"/>
          <w:noProof/>
        </w:rPr>
      </w:pPr>
      <w:r w:rsidRPr="0051561F">
        <w:rPr>
          <w:noProof/>
        </w:rPr>
        <w:t>Wniosek nie ma wpływu finansowego na budżet Unii.</w:t>
      </w:r>
    </w:p>
    <w:p w14:paraId="687909B3" w14:textId="77777777" w:rsidR="005B3330" w:rsidRPr="0051561F" w:rsidRDefault="005B3330" w:rsidP="007800DD">
      <w:pPr>
        <w:pStyle w:val="ManualHeading1"/>
        <w:rPr>
          <w:noProof/>
        </w:rPr>
      </w:pPr>
      <w:r w:rsidRPr="0051561F">
        <w:rPr>
          <w:noProof/>
        </w:rPr>
        <w:t>5.</w:t>
      </w:r>
      <w:r w:rsidRPr="0051561F">
        <w:rPr>
          <w:noProof/>
        </w:rPr>
        <w:tab/>
        <w:t>ELEMENTY FAKULTATYWNE</w:t>
      </w:r>
    </w:p>
    <w:p w14:paraId="06760700" w14:textId="18B00DF6" w:rsidR="005B3330" w:rsidRPr="0051561F" w:rsidRDefault="005B3330" w:rsidP="007800DD">
      <w:pPr>
        <w:pStyle w:val="ManualHeading2"/>
        <w:rPr>
          <w:rFonts w:eastAsia="Arial Unicode MS"/>
          <w:noProof/>
          <w:u w:color="000000"/>
          <w:bdr w:val="nil"/>
        </w:rPr>
      </w:pPr>
      <w:r w:rsidRPr="0051561F">
        <w:rPr>
          <w:noProof/>
          <w:u w:color="000000"/>
          <w:bdr w:val="nil"/>
        </w:rPr>
        <w:t>•</w:t>
      </w:r>
      <w:r w:rsidRPr="0051561F">
        <w:rPr>
          <w:noProof/>
        </w:rPr>
        <w:tab/>
      </w:r>
      <w:r w:rsidRPr="0051561F">
        <w:rPr>
          <w:noProof/>
          <w:u w:color="000000"/>
          <w:bdr w:val="nil"/>
        </w:rPr>
        <w:t>Plany wdrożenia</w:t>
      </w:r>
      <w:r w:rsidR="006E0B7E" w:rsidRPr="0051561F">
        <w:rPr>
          <w:noProof/>
          <w:u w:color="000000"/>
          <w:bdr w:val="nil"/>
        </w:rPr>
        <w:t xml:space="preserve"> i</w:t>
      </w:r>
      <w:r w:rsidR="006E0B7E">
        <w:rPr>
          <w:noProof/>
          <w:u w:color="000000"/>
          <w:bdr w:val="nil"/>
        </w:rPr>
        <w:t> </w:t>
      </w:r>
      <w:r w:rsidR="006E0B7E" w:rsidRPr="0051561F">
        <w:rPr>
          <w:noProof/>
          <w:u w:color="000000"/>
          <w:bdr w:val="nil"/>
        </w:rPr>
        <w:t>mon</w:t>
      </w:r>
      <w:r w:rsidRPr="0051561F">
        <w:rPr>
          <w:noProof/>
          <w:u w:color="000000"/>
          <w:bdr w:val="nil"/>
        </w:rPr>
        <w:t>itorowanie, ocena</w:t>
      </w:r>
      <w:r w:rsidR="006E0B7E" w:rsidRPr="0051561F">
        <w:rPr>
          <w:noProof/>
          <w:u w:color="000000"/>
          <w:bdr w:val="nil"/>
        </w:rPr>
        <w:t xml:space="preserve"> i</w:t>
      </w:r>
      <w:r w:rsidR="006E0B7E">
        <w:rPr>
          <w:noProof/>
          <w:u w:color="000000"/>
          <w:bdr w:val="nil"/>
        </w:rPr>
        <w:t> </w:t>
      </w:r>
      <w:r w:rsidR="006E0B7E" w:rsidRPr="0051561F">
        <w:rPr>
          <w:noProof/>
          <w:u w:color="000000"/>
          <w:bdr w:val="nil"/>
        </w:rPr>
        <w:t>spr</w:t>
      </w:r>
      <w:r w:rsidRPr="0051561F">
        <w:rPr>
          <w:noProof/>
          <w:u w:color="000000"/>
          <w:bdr w:val="nil"/>
        </w:rPr>
        <w:t>awozdania</w:t>
      </w:r>
    </w:p>
    <w:p w14:paraId="78F73ED9" w14:textId="2A39D2F9" w:rsidR="008E4895" w:rsidRPr="0051561F" w:rsidRDefault="008E4895" w:rsidP="008E4895">
      <w:pPr>
        <w:pBdr>
          <w:top w:val="nil"/>
          <w:left w:val="nil"/>
          <w:bottom w:val="nil"/>
          <w:right w:val="nil"/>
          <w:between w:val="nil"/>
          <w:bar w:val="nil"/>
        </w:pBdr>
        <w:spacing w:after="240"/>
        <w:rPr>
          <w:rFonts w:eastAsia="Arial Unicode MS"/>
          <w:noProof/>
        </w:rPr>
      </w:pPr>
      <w:r w:rsidRPr="0051561F">
        <w:rPr>
          <w:noProof/>
        </w:rPr>
        <w:t>Zgodnie</w:t>
      </w:r>
      <w:r w:rsidR="006E0B7E" w:rsidRPr="0051561F">
        <w:rPr>
          <w:noProof/>
        </w:rPr>
        <w:t xml:space="preserve"> z</w:t>
      </w:r>
      <w:r w:rsidR="006E0B7E">
        <w:rPr>
          <w:noProof/>
        </w:rPr>
        <w:t> </w:t>
      </w:r>
      <w:r w:rsidR="006E0B7E" w:rsidRPr="0051561F">
        <w:rPr>
          <w:noProof/>
        </w:rPr>
        <w:t>wyt</w:t>
      </w:r>
      <w:r w:rsidRPr="0051561F">
        <w:rPr>
          <w:noProof/>
        </w:rPr>
        <w:t>ycznymi dotyczącymi lepszego stanowienia prawa</w:t>
      </w:r>
      <w:r w:rsidRPr="0051561F">
        <w:rPr>
          <w:rStyle w:val="FootnoteReference"/>
          <w:rFonts w:eastAsia="Arial Unicode MS"/>
          <w:noProof/>
        </w:rPr>
        <w:footnoteReference w:id="12"/>
      </w:r>
      <w:r w:rsidRPr="0051561F">
        <w:rPr>
          <w:noProof/>
        </w:rPr>
        <w:t xml:space="preserve"> plany wdrażania nie są wymagane</w:t>
      </w:r>
      <w:r w:rsidR="006E0B7E" w:rsidRPr="0051561F">
        <w:rPr>
          <w:noProof/>
        </w:rPr>
        <w:t xml:space="preserve"> w</w:t>
      </w:r>
      <w:r w:rsidR="006E0B7E">
        <w:rPr>
          <w:noProof/>
        </w:rPr>
        <w:t> </w:t>
      </w:r>
      <w:r w:rsidR="006E0B7E" w:rsidRPr="0051561F">
        <w:rPr>
          <w:noProof/>
        </w:rPr>
        <w:t>prz</w:t>
      </w:r>
      <w:r w:rsidRPr="0051561F">
        <w:rPr>
          <w:noProof/>
        </w:rPr>
        <w:t>ypadku dyrektyw</w:t>
      </w:r>
      <w:r w:rsidR="006E0B7E" w:rsidRPr="0051561F">
        <w:rPr>
          <w:noProof/>
        </w:rPr>
        <w:t xml:space="preserve"> o</w:t>
      </w:r>
      <w:r w:rsidR="006E0B7E">
        <w:rPr>
          <w:noProof/>
        </w:rPr>
        <w:t> </w:t>
      </w:r>
      <w:r w:rsidR="006E0B7E" w:rsidRPr="0051561F">
        <w:rPr>
          <w:noProof/>
        </w:rPr>
        <w:t>bar</w:t>
      </w:r>
      <w:r w:rsidRPr="0051561F">
        <w:rPr>
          <w:noProof/>
        </w:rPr>
        <w:t>dzo technicznym zakresie.</w:t>
      </w:r>
    </w:p>
    <w:p w14:paraId="4032FF59" w14:textId="2440683A" w:rsidR="005B3330" w:rsidRPr="0051561F" w:rsidRDefault="008E4895" w:rsidP="007800DD">
      <w:pPr>
        <w:pBdr>
          <w:top w:val="nil"/>
          <w:left w:val="nil"/>
          <w:bottom w:val="nil"/>
          <w:right w:val="nil"/>
          <w:between w:val="nil"/>
          <w:bar w:val="nil"/>
        </w:pBdr>
        <w:spacing w:before="0" w:after="240"/>
        <w:rPr>
          <w:rFonts w:eastAsia="Arial Unicode MS"/>
          <w:noProof/>
        </w:rPr>
      </w:pPr>
      <w:r w:rsidRPr="0051561F">
        <w:rPr>
          <w:noProof/>
        </w:rPr>
        <w:t>W odniesieniu do państw członkowskich określono odpowiednie mechanizmy monitorowania</w:t>
      </w:r>
      <w:r w:rsidR="006E0B7E" w:rsidRPr="0051561F">
        <w:rPr>
          <w:noProof/>
        </w:rPr>
        <w:t xml:space="preserve"> i</w:t>
      </w:r>
      <w:r w:rsidR="006E0B7E">
        <w:rPr>
          <w:noProof/>
        </w:rPr>
        <w:t> </w:t>
      </w:r>
      <w:r w:rsidR="006E0B7E" w:rsidRPr="0051561F">
        <w:rPr>
          <w:noProof/>
        </w:rPr>
        <w:t>spr</w:t>
      </w:r>
      <w:r w:rsidRPr="0051561F">
        <w:rPr>
          <w:noProof/>
        </w:rPr>
        <w:t>awozdawczości, biorąc pod uwagę fakt, że</w:t>
      </w:r>
      <w:r w:rsidR="006E0B7E" w:rsidRPr="0051561F">
        <w:rPr>
          <w:noProof/>
        </w:rPr>
        <w:t xml:space="preserve"> w</w:t>
      </w:r>
      <w:r w:rsidR="006E0B7E">
        <w:rPr>
          <w:noProof/>
        </w:rPr>
        <w:t> </w:t>
      </w:r>
      <w:r w:rsidR="006E0B7E" w:rsidRPr="0051561F">
        <w:rPr>
          <w:noProof/>
        </w:rPr>
        <w:t>pro</w:t>
      </w:r>
      <w:r w:rsidRPr="0051561F">
        <w:rPr>
          <w:noProof/>
        </w:rPr>
        <w:t>jekcie dyrektywy zmieniającej zaproponowano alternatywne rozwiązania techniczne dla niektórych kategorii statków. Najważniejsze dane dotyczące nowo budowanych statków oraz obliczeń stateczności</w:t>
      </w:r>
      <w:r w:rsidR="006E0B7E" w:rsidRPr="0051561F">
        <w:rPr>
          <w:noProof/>
        </w:rPr>
        <w:t xml:space="preserve"> w</w:t>
      </w:r>
      <w:r w:rsidR="006E0B7E">
        <w:rPr>
          <w:noProof/>
        </w:rPr>
        <w:t> </w:t>
      </w:r>
      <w:r w:rsidR="006E0B7E" w:rsidRPr="0051561F">
        <w:rPr>
          <w:noProof/>
        </w:rPr>
        <w:t>sta</w:t>
      </w:r>
      <w:r w:rsidRPr="0051561F">
        <w:rPr>
          <w:noProof/>
        </w:rPr>
        <w:t>nie uszkodzonym będą gromadzone</w:t>
      </w:r>
      <w:r w:rsidR="006E0B7E" w:rsidRPr="0051561F">
        <w:rPr>
          <w:noProof/>
        </w:rPr>
        <w:t xml:space="preserve"> i</w:t>
      </w:r>
      <w:r w:rsidR="006E0B7E">
        <w:rPr>
          <w:noProof/>
        </w:rPr>
        <w:t> </w:t>
      </w:r>
      <w:r w:rsidR="006E0B7E" w:rsidRPr="0051561F">
        <w:rPr>
          <w:noProof/>
        </w:rPr>
        <w:t>ewa</w:t>
      </w:r>
      <w:r w:rsidRPr="0051561F">
        <w:rPr>
          <w:noProof/>
        </w:rPr>
        <w:t>luowane</w:t>
      </w:r>
      <w:r w:rsidR="006E0B7E" w:rsidRPr="0051561F">
        <w:rPr>
          <w:noProof/>
        </w:rPr>
        <w:t xml:space="preserve"> z</w:t>
      </w:r>
      <w:r w:rsidR="006E0B7E">
        <w:rPr>
          <w:noProof/>
        </w:rPr>
        <w:t> </w:t>
      </w:r>
      <w:r w:rsidR="006E0B7E" w:rsidRPr="0051561F">
        <w:rPr>
          <w:noProof/>
        </w:rPr>
        <w:t>pom</w:t>
      </w:r>
      <w:r w:rsidRPr="0051561F">
        <w:rPr>
          <w:noProof/>
        </w:rPr>
        <w:t>ocą EMSA. Po dziesięciu latach od wdrożenia zmienionych wymogów przeprowadzona zostanie ocena,</w:t>
      </w:r>
      <w:r w:rsidR="006E0B7E" w:rsidRPr="0051561F">
        <w:rPr>
          <w:noProof/>
        </w:rPr>
        <w:t xml:space="preserve"> a</w:t>
      </w:r>
      <w:r w:rsidR="006E0B7E">
        <w:rPr>
          <w:noProof/>
        </w:rPr>
        <w:t> </w:t>
      </w:r>
      <w:r w:rsidR="006E0B7E" w:rsidRPr="0051561F">
        <w:rPr>
          <w:noProof/>
        </w:rPr>
        <w:t>dyr</w:t>
      </w:r>
      <w:r w:rsidRPr="0051561F">
        <w:rPr>
          <w:noProof/>
        </w:rPr>
        <w:t>ektywa zostanie poddana nowelizacji.</w:t>
      </w:r>
    </w:p>
    <w:p w14:paraId="7F7ABE30" w14:textId="77777777" w:rsidR="005B3330" w:rsidRPr="0051561F" w:rsidRDefault="005B3330" w:rsidP="007800DD">
      <w:pPr>
        <w:pStyle w:val="ManualHeading2"/>
        <w:rPr>
          <w:rFonts w:eastAsia="Arial Unicode MS"/>
          <w:noProof/>
          <w:u w:color="000000"/>
          <w:bdr w:val="nil"/>
        </w:rPr>
      </w:pPr>
      <w:r w:rsidRPr="0051561F">
        <w:rPr>
          <w:noProof/>
          <w:u w:color="000000"/>
          <w:bdr w:val="nil"/>
        </w:rPr>
        <w:t>•</w:t>
      </w:r>
      <w:r w:rsidRPr="0051561F">
        <w:rPr>
          <w:noProof/>
        </w:rPr>
        <w:tab/>
      </w:r>
      <w:r w:rsidRPr="0051561F">
        <w:rPr>
          <w:noProof/>
          <w:u w:color="000000"/>
          <w:bdr w:val="nil"/>
        </w:rPr>
        <w:t>Dokumenty wyjaśniające (w przypadku dyrektyw)</w:t>
      </w:r>
    </w:p>
    <w:p w14:paraId="22DF34DF" w14:textId="48D62E5D" w:rsidR="005B3330" w:rsidRPr="0051561F" w:rsidRDefault="008E4895" w:rsidP="008E4895">
      <w:pPr>
        <w:pBdr>
          <w:top w:val="nil"/>
          <w:left w:val="nil"/>
          <w:bottom w:val="nil"/>
          <w:right w:val="nil"/>
          <w:between w:val="nil"/>
          <w:bar w:val="nil"/>
        </w:pBdr>
        <w:spacing w:before="0" w:after="240"/>
        <w:rPr>
          <w:rFonts w:eastAsia="Arial Unicode MS"/>
          <w:noProof/>
        </w:rPr>
      </w:pPr>
      <w:r w:rsidRPr="0051561F">
        <w:rPr>
          <w:noProof/>
        </w:rPr>
        <w:t>Dokumenty wyjaśniające nie są wymagane: chociaż zmienione wymogi zawarte</w:t>
      </w:r>
      <w:r w:rsidR="006E0B7E" w:rsidRPr="0051561F">
        <w:rPr>
          <w:noProof/>
        </w:rPr>
        <w:t xml:space="preserve"> w</w:t>
      </w:r>
      <w:r w:rsidR="006E0B7E">
        <w:rPr>
          <w:noProof/>
        </w:rPr>
        <w:t> </w:t>
      </w:r>
      <w:r w:rsidR="006E0B7E" w:rsidRPr="0051561F">
        <w:rPr>
          <w:noProof/>
        </w:rPr>
        <w:t>dyr</w:t>
      </w:r>
      <w:r w:rsidRPr="0051561F">
        <w:rPr>
          <w:noProof/>
        </w:rPr>
        <w:t>ektywie mają charakter techniczny, nie są one skomplikowane dla docelowych odbiorców.</w:t>
      </w:r>
    </w:p>
    <w:p w14:paraId="67FC052F" w14:textId="77777777" w:rsidR="005B3330" w:rsidRPr="0051561F" w:rsidRDefault="005B3330" w:rsidP="007800DD">
      <w:pPr>
        <w:pStyle w:val="ManualHeading2"/>
        <w:rPr>
          <w:rFonts w:eastAsia="Arial Unicode MS"/>
          <w:noProof/>
          <w:u w:color="000000"/>
          <w:bdr w:val="nil"/>
        </w:rPr>
      </w:pPr>
      <w:r w:rsidRPr="0051561F">
        <w:rPr>
          <w:noProof/>
          <w:u w:color="000000"/>
          <w:bdr w:val="nil"/>
        </w:rPr>
        <w:t>•</w:t>
      </w:r>
      <w:r w:rsidRPr="0051561F">
        <w:rPr>
          <w:noProof/>
        </w:rPr>
        <w:tab/>
      </w:r>
      <w:r w:rsidRPr="0051561F">
        <w:rPr>
          <w:noProof/>
          <w:u w:color="000000"/>
          <w:bdr w:val="nil"/>
        </w:rPr>
        <w:t>Szczegółowe objaśnienia poszczególnych przepisów wniosku</w:t>
      </w:r>
    </w:p>
    <w:p w14:paraId="4A5FC26D" w14:textId="680A48A9" w:rsidR="008E4895" w:rsidRPr="0051561F" w:rsidRDefault="008E4895" w:rsidP="008E4895">
      <w:pPr>
        <w:pBdr>
          <w:top w:val="nil"/>
          <w:left w:val="nil"/>
          <w:bottom w:val="nil"/>
          <w:right w:val="nil"/>
          <w:between w:val="nil"/>
          <w:bar w:val="nil"/>
        </w:pBdr>
        <w:spacing w:after="240"/>
        <w:rPr>
          <w:b/>
          <w:i/>
          <w:noProof/>
        </w:rPr>
      </w:pPr>
      <w:r w:rsidRPr="0051561F">
        <w:rPr>
          <w:noProof/>
        </w:rPr>
        <w:t>Art. 1 projektu dyrektywy zmieniającej stanowi jego główną część</w:t>
      </w:r>
      <w:r w:rsidR="006E0B7E" w:rsidRPr="0051561F">
        <w:rPr>
          <w:noProof/>
        </w:rPr>
        <w:t xml:space="preserve"> i</w:t>
      </w:r>
      <w:r w:rsidR="006E0B7E">
        <w:rPr>
          <w:noProof/>
        </w:rPr>
        <w:t> </w:t>
      </w:r>
      <w:r w:rsidR="006E0B7E" w:rsidRPr="0051561F">
        <w:rPr>
          <w:noProof/>
        </w:rPr>
        <w:t>wpr</w:t>
      </w:r>
      <w:r w:rsidRPr="0051561F">
        <w:rPr>
          <w:noProof/>
        </w:rPr>
        <w:t>owadza zmiany</w:t>
      </w:r>
      <w:r w:rsidR="006E0B7E" w:rsidRPr="0051561F">
        <w:rPr>
          <w:noProof/>
        </w:rPr>
        <w:t xml:space="preserve"> w</w:t>
      </w:r>
      <w:r w:rsidR="006E0B7E">
        <w:rPr>
          <w:noProof/>
        </w:rPr>
        <w:t> </w:t>
      </w:r>
      <w:r w:rsidR="006E0B7E" w:rsidRPr="0051561F">
        <w:rPr>
          <w:noProof/>
        </w:rPr>
        <w:t>lic</w:t>
      </w:r>
      <w:r w:rsidRPr="0051561F">
        <w:rPr>
          <w:noProof/>
        </w:rPr>
        <w:t>znych przepisach dyrektywy 2003/25/WE.</w:t>
      </w:r>
      <w:r w:rsidRPr="0051561F">
        <w:rPr>
          <w:b/>
          <w:i/>
          <w:noProof/>
        </w:rPr>
        <w:t xml:space="preserve"> </w:t>
      </w:r>
    </w:p>
    <w:p w14:paraId="56B2AE15" w14:textId="0C1601C0" w:rsidR="008E4895" w:rsidRPr="0051561F" w:rsidRDefault="008E4895" w:rsidP="008E4895">
      <w:pPr>
        <w:pBdr>
          <w:top w:val="nil"/>
          <w:left w:val="nil"/>
          <w:bottom w:val="nil"/>
          <w:right w:val="nil"/>
          <w:between w:val="nil"/>
          <w:bar w:val="nil"/>
        </w:pBdr>
        <w:spacing w:after="0"/>
        <w:rPr>
          <w:b/>
          <w:i/>
          <w:noProof/>
        </w:rPr>
      </w:pPr>
      <w:r w:rsidRPr="0051561F">
        <w:rPr>
          <w:b/>
          <w:i/>
          <w:noProof/>
        </w:rPr>
        <w:t>Cel, zakres stosowania</w:t>
      </w:r>
      <w:r w:rsidR="006E0B7E" w:rsidRPr="0051561F">
        <w:rPr>
          <w:b/>
          <w:i/>
          <w:noProof/>
        </w:rPr>
        <w:t xml:space="preserve"> i</w:t>
      </w:r>
      <w:r w:rsidR="006E0B7E">
        <w:rPr>
          <w:b/>
          <w:i/>
          <w:noProof/>
        </w:rPr>
        <w:t> </w:t>
      </w:r>
      <w:r w:rsidR="006E0B7E" w:rsidRPr="0051561F">
        <w:rPr>
          <w:b/>
          <w:i/>
          <w:noProof/>
        </w:rPr>
        <w:t>def</w:t>
      </w:r>
      <w:r w:rsidRPr="0051561F">
        <w:rPr>
          <w:b/>
          <w:i/>
          <w:noProof/>
        </w:rPr>
        <w:t>inicje</w:t>
      </w:r>
    </w:p>
    <w:p w14:paraId="1FCD3758" w14:textId="798A56A9" w:rsidR="008E4895" w:rsidRPr="0051561F" w:rsidRDefault="008E4895" w:rsidP="008E4895">
      <w:pPr>
        <w:pBdr>
          <w:top w:val="nil"/>
          <w:left w:val="nil"/>
          <w:bottom w:val="nil"/>
          <w:right w:val="nil"/>
          <w:between w:val="nil"/>
          <w:bar w:val="nil"/>
        </w:pBdr>
        <w:spacing w:after="240"/>
        <w:rPr>
          <w:noProof/>
        </w:rPr>
      </w:pPr>
      <w:r w:rsidRPr="0051561F">
        <w:rPr>
          <w:noProof/>
        </w:rPr>
        <w:t xml:space="preserve">W </w:t>
      </w:r>
      <w:r w:rsidRPr="006E0B7E">
        <w:rPr>
          <w:noProof/>
        </w:rPr>
        <w:t>pkt</w:t>
      </w:r>
      <w:r w:rsidR="006E0B7E" w:rsidRPr="006E0B7E">
        <w:rPr>
          <w:noProof/>
        </w:rPr>
        <w:t> </w:t>
      </w:r>
      <w:r w:rsidRPr="006E0B7E">
        <w:rPr>
          <w:noProof/>
        </w:rPr>
        <w:t>1</w:t>
      </w:r>
      <w:r w:rsidRPr="0051561F">
        <w:rPr>
          <w:noProof/>
        </w:rPr>
        <w:t xml:space="preserve"> zmieniono szereg dotychczasowych definicji, takich jak „statek istniejący”, „nowy statek”, „usługa rozkładowa”, „państwo portu” i „szczególne wymogi stateczności”. </w:t>
      </w:r>
    </w:p>
    <w:p w14:paraId="1ED0EB09" w14:textId="77777777" w:rsidR="008E4895" w:rsidRPr="0051561F" w:rsidRDefault="008E4895" w:rsidP="008E4895">
      <w:pPr>
        <w:pBdr>
          <w:top w:val="nil"/>
          <w:left w:val="nil"/>
          <w:bottom w:val="nil"/>
          <w:right w:val="nil"/>
          <w:between w:val="nil"/>
          <w:bar w:val="nil"/>
        </w:pBdr>
        <w:spacing w:after="0"/>
        <w:rPr>
          <w:i/>
          <w:noProof/>
        </w:rPr>
      </w:pPr>
      <w:r w:rsidRPr="0051561F">
        <w:rPr>
          <w:b/>
          <w:i/>
          <w:noProof/>
        </w:rPr>
        <w:t>Znaczące wysokości fali</w:t>
      </w:r>
      <w:r w:rsidRPr="0051561F">
        <w:rPr>
          <w:i/>
          <w:noProof/>
        </w:rPr>
        <w:t xml:space="preserve"> </w:t>
      </w:r>
    </w:p>
    <w:p w14:paraId="4FD5775C" w14:textId="6D1F24BD" w:rsidR="008E4895" w:rsidRPr="0051561F" w:rsidRDefault="008E4895" w:rsidP="008E4895">
      <w:pPr>
        <w:pBdr>
          <w:top w:val="nil"/>
          <w:left w:val="nil"/>
          <w:bottom w:val="nil"/>
          <w:right w:val="nil"/>
          <w:between w:val="nil"/>
          <w:bar w:val="nil"/>
        </w:pBdr>
        <w:spacing w:after="240"/>
        <w:rPr>
          <w:noProof/>
        </w:rPr>
      </w:pPr>
      <w:r w:rsidRPr="0051561F">
        <w:rPr>
          <w:noProof/>
        </w:rPr>
        <w:t xml:space="preserve">W </w:t>
      </w:r>
      <w:r w:rsidRPr="006E0B7E">
        <w:rPr>
          <w:noProof/>
        </w:rPr>
        <w:t>pkt</w:t>
      </w:r>
      <w:r w:rsidR="006E0B7E" w:rsidRPr="006E0B7E">
        <w:rPr>
          <w:noProof/>
        </w:rPr>
        <w:t> </w:t>
      </w:r>
      <w:r w:rsidRPr="006E0B7E">
        <w:rPr>
          <w:noProof/>
        </w:rPr>
        <w:t>2</w:t>
      </w:r>
      <w:r w:rsidRPr="0051561F">
        <w:rPr>
          <w:noProof/>
        </w:rPr>
        <w:t xml:space="preserve"> doprecyzowano pojęcie „znaczących wysokości fali”</w:t>
      </w:r>
      <w:r w:rsidR="006E0B7E" w:rsidRPr="0051561F">
        <w:rPr>
          <w:noProof/>
        </w:rPr>
        <w:t xml:space="preserve"> i</w:t>
      </w:r>
      <w:r w:rsidR="006E0B7E">
        <w:rPr>
          <w:noProof/>
        </w:rPr>
        <w:t> </w:t>
      </w:r>
      <w:r w:rsidR="006E0B7E" w:rsidRPr="0051561F">
        <w:rPr>
          <w:noProof/>
        </w:rPr>
        <w:t>ogr</w:t>
      </w:r>
      <w:r w:rsidRPr="0051561F">
        <w:rPr>
          <w:noProof/>
        </w:rPr>
        <w:t>aniczono jego stosowanie do statków, które będą spełniać szczególne wymogi stateczności</w:t>
      </w:r>
      <w:r w:rsidR="006E0B7E" w:rsidRPr="0051561F">
        <w:rPr>
          <w:noProof/>
        </w:rPr>
        <w:t xml:space="preserve"> w</w:t>
      </w:r>
      <w:r w:rsidR="006E0B7E">
        <w:rPr>
          <w:noProof/>
        </w:rPr>
        <w:t> </w:t>
      </w:r>
      <w:r w:rsidR="006E0B7E" w:rsidRPr="0051561F">
        <w:rPr>
          <w:noProof/>
        </w:rPr>
        <w:t>sta</w:t>
      </w:r>
      <w:r w:rsidRPr="0051561F">
        <w:rPr>
          <w:noProof/>
        </w:rPr>
        <w:t>nie uszkodzonym zawarte</w:t>
      </w:r>
      <w:r w:rsidR="006E0B7E" w:rsidRPr="0051561F">
        <w:rPr>
          <w:noProof/>
        </w:rPr>
        <w:t xml:space="preserve"> w</w:t>
      </w:r>
      <w:r w:rsidR="006E0B7E">
        <w:rPr>
          <w:noProof/>
        </w:rPr>
        <w:t> </w:t>
      </w:r>
      <w:r w:rsidR="006E0B7E" w:rsidRPr="0051561F">
        <w:rPr>
          <w:noProof/>
        </w:rPr>
        <w:t>sek</w:t>
      </w:r>
      <w:r w:rsidRPr="0051561F">
        <w:rPr>
          <w:noProof/>
        </w:rPr>
        <w:t xml:space="preserve">cji A załącznika I do dyrektywy 2003/25/WE. </w:t>
      </w:r>
    </w:p>
    <w:p w14:paraId="4B50DC03" w14:textId="77777777" w:rsidR="008E4895" w:rsidRPr="0051561F" w:rsidRDefault="008E4895" w:rsidP="008E4895">
      <w:pPr>
        <w:pBdr>
          <w:top w:val="nil"/>
          <w:left w:val="nil"/>
          <w:bottom w:val="nil"/>
          <w:right w:val="nil"/>
          <w:between w:val="nil"/>
          <w:bar w:val="nil"/>
        </w:pBdr>
        <w:spacing w:after="0"/>
        <w:rPr>
          <w:b/>
          <w:i/>
          <w:noProof/>
        </w:rPr>
      </w:pPr>
      <w:r w:rsidRPr="0051561F">
        <w:rPr>
          <w:b/>
          <w:i/>
          <w:noProof/>
        </w:rPr>
        <w:t>Obszary morza</w:t>
      </w:r>
    </w:p>
    <w:p w14:paraId="781545E3" w14:textId="110E24B4" w:rsidR="008E4895" w:rsidRPr="0051561F" w:rsidRDefault="008E4895" w:rsidP="008E4895">
      <w:pPr>
        <w:pBdr>
          <w:top w:val="nil"/>
          <w:left w:val="nil"/>
          <w:bottom w:val="nil"/>
          <w:right w:val="nil"/>
          <w:between w:val="nil"/>
          <w:bar w:val="nil"/>
        </w:pBdr>
        <w:spacing w:after="240"/>
        <w:rPr>
          <w:noProof/>
        </w:rPr>
      </w:pPr>
      <w:r w:rsidRPr="0051561F">
        <w:rPr>
          <w:noProof/>
        </w:rPr>
        <w:t xml:space="preserve">W </w:t>
      </w:r>
      <w:r w:rsidRPr="006E0B7E">
        <w:rPr>
          <w:noProof/>
        </w:rPr>
        <w:t>pkt</w:t>
      </w:r>
      <w:r w:rsidR="006E0B7E" w:rsidRPr="006E0B7E">
        <w:rPr>
          <w:noProof/>
        </w:rPr>
        <w:t> </w:t>
      </w:r>
      <w:r w:rsidRPr="006E0B7E">
        <w:rPr>
          <w:noProof/>
        </w:rPr>
        <w:t>3</w:t>
      </w:r>
      <w:r w:rsidRPr="0051561F">
        <w:rPr>
          <w:noProof/>
        </w:rPr>
        <w:t xml:space="preserve"> uproszczono obowiązek publikowania przez państwa członkowskie wykazów obszarów morza wraz</w:t>
      </w:r>
      <w:r w:rsidR="006E0B7E" w:rsidRPr="0051561F">
        <w:rPr>
          <w:noProof/>
        </w:rPr>
        <w:t xml:space="preserve"> z</w:t>
      </w:r>
      <w:r w:rsidR="006E0B7E">
        <w:rPr>
          <w:noProof/>
        </w:rPr>
        <w:t> </w:t>
      </w:r>
      <w:r w:rsidR="006E0B7E" w:rsidRPr="0051561F">
        <w:rPr>
          <w:noProof/>
        </w:rPr>
        <w:t>war</w:t>
      </w:r>
      <w:r w:rsidRPr="0051561F">
        <w:rPr>
          <w:noProof/>
        </w:rPr>
        <w:t xml:space="preserve">tościami znaczących wysokości fali. </w:t>
      </w:r>
    </w:p>
    <w:p w14:paraId="63271DC2" w14:textId="77777777" w:rsidR="008E4895" w:rsidRPr="0051561F" w:rsidRDefault="008E4895" w:rsidP="008E4895">
      <w:pPr>
        <w:pBdr>
          <w:top w:val="nil"/>
          <w:left w:val="nil"/>
          <w:bottom w:val="nil"/>
          <w:right w:val="nil"/>
          <w:between w:val="nil"/>
          <w:bar w:val="nil"/>
        </w:pBdr>
        <w:spacing w:after="0"/>
        <w:rPr>
          <w:b/>
          <w:i/>
          <w:noProof/>
        </w:rPr>
      </w:pPr>
      <w:r w:rsidRPr="0051561F">
        <w:rPr>
          <w:b/>
          <w:i/>
          <w:noProof/>
        </w:rPr>
        <w:t>Szczególne wymogi stateczności</w:t>
      </w:r>
    </w:p>
    <w:p w14:paraId="6EAD84E6" w14:textId="6CB96917" w:rsidR="008E4895" w:rsidRPr="0051561F" w:rsidRDefault="008E4895" w:rsidP="008E4895">
      <w:pPr>
        <w:pBdr>
          <w:top w:val="nil"/>
          <w:left w:val="nil"/>
          <w:bottom w:val="nil"/>
          <w:right w:val="nil"/>
          <w:between w:val="nil"/>
          <w:bar w:val="nil"/>
        </w:pBdr>
        <w:spacing w:after="240"/>
        <w:rPr>
          <w:noProof/>
        </w:rPr>
      </w:pPr>
      <w:r w:rsidRPr="0051561F">
        <w:rPr>
          <w:noProof/>
        </w:rPr>
        <w:t>Pkt 4 zawiera zmienione szczegółowe wymogi stateczności. Zasady te są podzielone a)</w:t>
      </w:r>
      <w:r w:rsidR="006E0B7E" w:rsidRPr="0051561F">
        <w:rPr>
          <w:noProof/>
        </w:rPr>
        <w:t xml:space="preserve"> w</w:t>
      </w:r>
      <w:r w:rsidR="006E0B7E">
        <w:rPr>
          <w:noProof/>
        </w:rPr>
        <w:t> </w:t>
      </w:r>
      <w:r w:rsidR="006E0B7E" w:rsidRPr="0051561F">
        <w:rPr>
          <w:noProof/>
        </w:rPr>
        <w:t>zal</w:t>
      </w:r>
      <w:r w:rsidRPr="0051561F">
        <w:rPr>
          <w:noProof/>
        </w:rPr>
        <w:t>eżności od daty położenia stępki statku lub daty,</w:t>
      </w:r>
      <w:r w:rsidR="006E0B7E" w:rsidRPr="0051561F">
        <w:rPr>
          <w:noProof/>
        </w:rPr>
        <w:t xml:space="preserve"> w</w:t>
      </w:r>
      <w:r w:rsidR="006E0B7E">
        <w:rPr>
          <w:noProof/>
        </w:rPr>
        <w:t> </w:t>
      </w:r>
      <w:r w:rsidR="006E0B7E" w:rsidRPr="0051561F">
        <w:rPr>
          <w:noProof/>
        </w:rPr>
        <w:t>któ</w:t>
      </w:r>
      <w:r w:rsidRPr="0051561F">
        <w:rPr>
          <w:noProof/>
        </w:rPr>
        <w:t>rej statek znajdował się na równoważnym etapie budowy, oraz b)</w:t>
      </w:r>
      <w:r w:rsidR="006E0B7E" w:rsidRPr="0051561F">
        <w:rPr>
          <w:noProof/>
        </w:rPr>
        <w:t xml:space="preserve"> w</w:t>
      </w:r>
      <w:r w:rsidR="006E0B7E">
        <w:rPr>
          <w:noProof/>
        </w:rPr>
        <w:t> </w:t>
      </w:r>
      <w:r w:rsidR="006E0B7E" w:rsidRPr="0051561F">
        <w:rPr>
          <w:noProof/>
        </w:rPr>
        <w:t>zal</w:t>
      </w:r>
      <w:r w:rsidRPr="0051561F">
        <w:rPr>
          <w:noProof/>
        </w:rPr>
        <w:t>eżności od zdolności statku</w:t>
      </w:r>
      <w:r w:rsidR="006E0B7E" w:rsidRPr="0051561F">
        <w:rPr>
          <w:noProof/>
        </w:rPr>
        <w:t xml:space="preserve"> w</w:t>
      </w:r>
      <w:r w:rsidR="006E0B7E">
        <w:rPr>
          <w:noProof/>
        </w:rPr>
        <w:t> </w:t>
      </w:r>
      <w:r w:rsidR="006E0B7E" w:rsidRPr="0051561F">
        <w:rPr>
          <w:noProof/>
        </w:rPr>
        <w:t>zak</w:t>
      </w:r>
      <w:r w:rsidRPr="0051561F">
        <w:rPr>
          <w:noProof/>
        </w:rPr>
        <w:t>resie przewozu pasażerów na pokładzie. Istniejące</w:t>
      </w:r>
      <w:r w:rsidR="006E0B7E" w:rsidRPr="0051561F">
        <w:rPr>
          <w:noProof/>
        </w:rPr>
        <w:t xml:space="preserve"> i</w:t>
      </w:r>
      <w:r w:rsidR="006E0B7E">
        <w:rPr>
          <w:noProof/>
        </w:rPr>
        <w:t> </w:t>
      </w:r>
      <w:r w:rsidR="006E0B7E" w:rsidRPr="0051561F">
        <w:rPr>
          <w:noProof/>
        </w:rPr>
        <w:t>już</w:t>
      </w:r>
      <w:r w:rsidRPr="0051561F">
        <w:rPr>
          <w:noProof/>
        </w:rPr>
        <w:t xml:space="preserve"> certyfikowane statki będą nadal stosować obecne wymogi, natomiast nowo budowane</w:t>
      </w:r>
      <w:r w:rsidR="006E0B7E" w:rsidRPr="0051561F">
        <w:rPr>
          <w:noProof/>
        </w:rPr>
        <w:t xml:space="preserve"> i</w:t>
      </w:r>
      <w:r w:rsidR="006E0B7E">
        <w:rPr>
          <w:noProof/>
        </w:rPr>
        <w:t> </w:t>
      </w:r>
      <w:r w:rsidR="006E0B7E" w:rsidRPr="0051561F">
        <w:rPr>
          <w:noProof/>
        </w:rPr>
        <w:t>now</w:t>
      </w:r>
      <w:r w:rsidRPr="0051561F">
        <w:rPr>
          <w:noProof/>
        </w:rPr>
        <w:t>o certyfikowane statki oddawane na potrzeby wykonywania usług rozkładowych w UE będą musiały spełniać wymogi zaktualizowanych przepisów międzynarodowych (SOLAS 2020 dla statków</w:t>
      </w:r>
      <w:r w:rsidR="006E0B7E" w:rsidRPr="0051561F">
        <w:rPr>
          <w:noProof/>
        </w:rPr>
        <w:t xml:space="preserve"> o</w:t>
      </w:r>
      <w:r w:rsidR="006E0B7E">
        <w:rPr>
          <w:noProof/>
        </w:rPr>
        <w:t> </w:t>
      </w:r>
      <w:r w:rsidR="006E0B7E" w:rsidRPr="0051561F">
        <w:rPr>
          <w:noProof/>
        </w:rPr>
        <w:t>zdo</w:t>
      </w:r>
      <w:r w:rsidRPr="0051561F">
        <w:rPr>
          <w:noProof/>
        </w:rPr>
        <w:t>lności przewozu ponad 1 350 osób na pokładzie)</w:t>
      </w:r>
      <w:r w:rsidR="006E0B7E" w:rsidRPr="0051561F">
        <w:rPr>
          <w:noProof/>
        </w:rPr>
        <w:t xml:space="preserve"> w</w:t>
      </w:r>
      <w:r w:rsidR="006E0B7E">
        <w:rPr>
          <w:noProof/>
        </w:rPr>
        <w:t> </w:t>
      </w:r>
      <w:r w:rsidR="006E0B7E" w:rsidRPr="0051561F">
        <w:rPr>
          <w:noProof/>
        </w:rPr>
        <w:t>poł</w:t>
      </w:r>
      <w:r w:rsidRPr="0051561F">
        <w:rPr>
          <w:noProof/>
        </w:rPr>
        <w:t>ączeniu ze szczególnym wymogiem unijnym dotyczącym wskaźnika R (SOLAS 2020 + poziom SDC3 wskaźnika R – dla statków</w:t>
      </w:r>
      <w:r w:rsidR="006E0B7E" w:rsidRPr="0051561F">
        <w:rPr>
          <w:noProof/>
        </w:rPr>
        <w:t xml:space="preserve"> o</w:t>
      </w:r>
      <w:r w:rsidR="006E0B7E">
        <w:rPr>
          <w:noProof/>
        </w:rPr>
        <w:t> </w:t>
      </w:r>
      <w:r w:rsidR="006E0B7E" w:rsidRPr="0051561F">
        <w:rPr>
          <w:noProof/>
        </w:rPr>
        <w:t>zdo</w:t>
      </w:r>
      <w:r w:rsidRPr="0051561F">
        <w:rPr>
          <w:noProof/>
        </w:rPr>
        <w:t>lności przewozu 1 350 lub mniej osób na pokładzie).</w:t>
      </w:r>
    </w:p>
    <w:p w14:paraId="11D05B33" w14:textId="1890BAD4" w:rsidR="008E4895" w:rsidRPr="0051561F" w:rsidRDefault="008E4895" w:rsidP="008E4895">
      <w:pPr>
        <w:pBdr>
          <w:top w:val="nil"/>
          <w:left w:val="nil"/>
          <w:bottom w:val="nil"/>
          <w:right w:val="nil"/>
          <w:between w:val="nil"/>
          <w:bar w:val="nil"/>
        </w:pBdr>
        <w:spacing w:after="240"/>
        <w:rPr>
          <w:noProof/>
        </w:rPr>
      </w:pPr>
      <w:r w:rsidRPr="0051561F">
        <w:rPr>
          <w:noProof/>
        </w:rPr>
        <w:t>W okresie przejściowym trwającym dziesięć lat statkom, które mają zdolność przewozu 1 350 lub mniej osób na pokładzie, zapewniono dwa alternatywne rozwiązania</w:t>
      </w:r>
      <w:r w:rsidR="006E0B7E" w:rsidRPr="0051561F">
        <w:rPr>
          <w:noProof/>
        </w:rPr>
        <w:t xml:space="preserve"> w</w:t>
      </w:r>
      <w:r w:rsidR="006E0B7E">
        <w:rPr>
          <w:noProof/>
        </w:rPr>
        <w:t> </w:t>
      </w:r>
      <w:r w:rsidR="006E0B7E" w:rsidRPr="0051561F">
        <w:rPr>
          <w:noProof/>
        </w:rPr>
        <w:t>zak</w:t>
      </w:r>
      <w:r w:rsidRPr="0051561F">
        <w:rPr>
          <w:noProof/>
        </w:rPr>
        <w:t>resie wymogów stateczności – obecne przepisy zawarte</w:t>
      </w:r>
      <w:r w:rsidR="006E0B7E" w:rsidRPr="0051561F">
        <w:rPr>
          <w:noProof/>
        </w:rPr>
        <w:t xml:space="preserve"> w</w:t>
      </w:r>
      <w:r w:rsidR="006E0B7E">
        <w:rPr>
          <w:noProof/>
        </w:rPr>
        <w:t> </w:t>
      </w:r>
      <w:r w:rsidR="006E0B7E" w:rsidRPr="0051561F">
        <w:rPr>
          <w:noProof/>
        </w:rPr>
        <w:t>sek</w:t>
      </w:r>
      <w:r w:rsidRPr="0051561F">
        <w:rPr>
          <w:noProof/>
        </w:rPr>
        <w:t>cji A załącznika I lub zaktualizowane przepisy</w:t>
      </w:r>
      <w:r w:rsidR="006E0B7E" w:rsidRPr="0051561F">
        <w:rPr>
          <w:noProof/>
        </w:rPr>
        <w:t xml:space="preserve"> w</w:t>
      </w:r>
      <w:r w:rsidR="006E0B7E">
        <w:rPr>
          <w:noProof/>
        </w:rPr>
        <w:t> </w:t>
      </w:r>
      <w:r w:rsidR="006E0B7E" w:rsidRPr="0051561F">
        <w:rPr>
          <w:noProof/>
        </w:rPr>
        <w:t>sek</w:t>
      </w:r>
      <w:r w:rsidRPr="0051561F">
        <w:rPr>
          <w:noProof/>
        </w:rPr>
        <w:t>cji B załącznika I. Po upływie okresu dziesięciu lat zastosowanie tych dwóch opcji zostanie poddane ocenie,</w:t>
      </w:r>
      <w:r w:rsidR="006E0B7E" w:rsidRPr="0051561F">
        <w:rPr>
          <w:noProof/>
        </w:rPr>
        <w:t xml:space="preserve"> a</w:t>
      </w:r>
      <w:r w:rsidR="006E0B7E">
        <w:rPr>
          <w:noProof/>
        </w:rPr>
        <w:t> </w:t>
      </w:r>
      <w:r w:rsidR="006E0B7E" w:rsidRPr="0051561F">
        <w:rPr>
          <w:noProof/>
        </w:rPr>
        <w:t>dyr</w:t>
      </w:r>
      <w:r w:rsidRPr="0051561F">
        <w:rPr>
          <w:noProof/>
        </w:rPr>
        <w:t xml:space="preserve">ektywa zostanie odpowiednio znowelizowana. </w:t>
      </w:r>
    </w:p>
    <w:p w14:paraId="01477FE2" w14:textId="0D2AECDC" w:rsidR="008E4895" w:rsidRPr="0051561F" w:rsidRDefault="008E4895" w:rsidP="008E4895">
      <w:pPr>
        <w:pBdr>
          <w:top w:val="nil"/>
          <w:left w:val="nil"/>
          <w:bottom w:val="nil"/>
          <w:right w:val="nil"/>
          <w:between w:val="nil"/>
          <w:bar w:val="nil"/>
        </w:pBdr>
        <w:spacing w:after="240"/>
        <w:rPr>
          <w:noProof/>
        </w:rPr>
      </w:pPr>
      <w:r w:rsidRPr="0051561F">
        <w:rPr>
          <w:noProof/>
        </w:rPr>
        <w:t xml:space="preserve">W </w:t>
      </w:r>
      <w:r w:rsidRPr="006E0B7E">
        <w:rPr>
          <w:noProof/>
        </w:rPr>
        <w:t>pkt</w:t>
      </w:r>
      <w:r w:rsidR="006E0B7E" w:rsidRPr="006E0B7E">
        <w:rPr>
          <w:noProof/>
        </w:rPr>
        <w:t> </w:t>
      </w:r>
      <w:r w:rsidRPr="006E0B7E">
        <w:rPr>
          <w:noProof/>
        </w:rPr>
        <w:t>5</w:t>
      </w:r>
      <w:r w:rsidRPr="0051561F">
        <w:rPr>
          <w:noProof/>
        </w:rPr>
        <w:t xml:space="preserve"> usunięto zbędne przepisy dotyczące „wprowadzenia szczególnych wymogów stateczności”, tj. procesu, który nastąpił po przyjęciu dyrektywy 2003/25/WE. </w:t>
      </w:r>
    </w:p>
    <w:p w14:paraId="2F01B81A" w14:textId="60FC1419" w:rsidR="008E4895" w:rsidRPr="0051561F" w:rsidRDefault="008E4895" w:rsidP="008E4895">
      <w:pPr>
        <w:pBdr>
          <w:top w:val="nil"/>
          <w:left w:val="nil"/>
          <w:bottom w:val="nil"/>
          <w:right w:val="nil"/>
          <w:between w:val="nil"/>
          <w:bar w:val="nil"/>
        </w:pBdr>
        <w:spacing w:after="240"/>
        <w:rPr>
          <w:noProof/>
        </w:rPr>
      </w:pPr>
      <w:r w:rsidRPr="0051561F">
        <w:rPr>
          <w:noProof/>
        </w:rPr>
        <w:t>Pkt 6 zawiera niezbędne zmiany</w:t>
      </w:r>
      <w:r w:rsidR="006E0B7E" w:rsidRPr="0051561F">
        <w:rPr>
          <w:noProof/>
        </w:rPr>
        <w:t xml:space="preserve"> w</w:t>
      </w:r>
      <w:r w:rsidR="006E0B7E">
        <w:rPr>
          <w:noProof/>
        </w:rPr>
        <w:t> </w:t>
      </w:r>
      <w:r w:rsidR="006E0B7E" w:rsidRPr="0051561F">
        <w:rPr>
          <w:noProof/>
        </w:rPr>
        <w:t>prz</w:t>
      </w:r>
      <w:r w:rsidRPr="0051561F">
        <w:rPr>
          <w:noProof/>
        </w:rPr>
        <w:t>episach dotyczących „certyfikatów”. Zmiany te wynikają</w:t>
      </w:r>
      <w:r w:rsidR="006E0B7E" w:rsidRPr="0051561F">
        <w:rPr>
          <w:noProof/>
        </w:rPr>
        <w:t xml:space="preserve"> z</w:t>
      </w:r>
      <w:r w:rsidR="006E0B7E">
        <w:rPr>
          <w:noProof/>
        </w:rPr>
        <w:t> </w:t>
      </w:r>
      <w:r w:rsidR="006E0B7E" w:rsidRPr="0051561F">
        <w:rPr>
          <w:noProof/>
        </w:rPr>
        <w:t>dod</w:t>
      </w:r>
      <w:r w:rsidRPr="0051561F">
        <w:rPr>
          <w:noProof/>
        </w:rPr>
        <w:t>ania nowej sekcji B</w:t>
      </w:r>
      <w:r w:rsidR="006E0B7E" w:rsidRPr="0051561F">
        <w:rPr>
          <w:noProof/>
        </w:rPr>
        <w:t xml:space="preserve"> w</w:t>
      </w:r>
      <w:r w:rsidR="006E0B7E">
        <w:rPr>
          <w:noProof/>
        </w:rPr>
        <w:t> </w:t>
      </w:r>
      <w:r w:rsidR="006E0B7E" w:rsidRPr="0051561F">
        <w:rPr>
          <w:noProof/>
        </w:rPr>
        <w:t>zał</w:t>
      </w:r>
      <w:r w:rsidRPr="0051561F">
        <w:rPr>
          <w:noProof/>
        </w:rPr>
        <w:t xml:space="preserve">ączniku I do dyrektywy 2003/25/WE oraz modyfikacji wprowadzonych </w:t>
      </w:r>
      <w:r w:rsidRPr="0051561F">
        <w:rPr>
          <w:noProof/>
          <w:color w:val="444444"/>
          <w:szCs w:val="24"/>
          <w:shd w:val="clear" w:color="auto" w:fill="FFFFFF"/>
        </w:rPr>
        <w:t>dyrektywą (UE) 2017/2110</w:t>
      </w:r>
      <w:r w:rsidRPr="0051561F">
        <w:rPr>
          <w:noProof/>
        </w:rPr>
        <w:t>, zgodnie</w:t>
      </w:r>
      <w:r w:rsidR="006E0B7E" w:rsidRPr="0051561F">
        <w:rPr>
          <w:noProof/>
        </w:rPr>
        <w:t xml:space="preserve"> z</w:t>
      </w:r>
      <w:r w:rsidR="006E0B7E">
        <w:rPr>
          <w:noProof/>
        </w:rPr>
        <w:t> </w:t>
      </w:r>
      <w:r w:rsidR="006E0B7E" w:rsidRPr="0051561F">
        <w:rPr>
          <w:noProof/>
        </w:rPr>
        <w:t>któ</w:t>
      </w:r>
      <w:r w:rsidRPr="0051561F">
        <w:rPr>
          <w:noProof/>
        </w:rPr>
        <w:t>rymi zrezygnowano</w:t>
      </w:r>
      <w:r w:rsidR="006E0B7E" w:rsidRPr="0051561F">
        <w:rPr>
          <w:noProof/>
        </w:rPr>
        <w:t xml:space="preserve"> z</w:t>
      </w:r>
      <w:r w:rsidR="006E0B7E">
        <w:rPr>
          <w:noProof/>
        </w:rPr>
        <w:t> </w:t>
      </w:r>
      <w:r w:rsidR="006E0B7E" w:rsidRPr="0051561F">
        <w:rPr>
          <w:noProof/>
        </w:rPr>
        <w:t>poj</w:t>
      </w:r>
      <w:r w:rsidRPr="0051561F">
        <w:rPr>
          <w:noProof/>
        </w:rPr>
        <w:t>ęcia „państwa goszczącego”</w:t>
      </w:r>
      <w:r w:rsidR="006E0B7E" w:rsidRPr="0051561F">
        <w:rPr>
          <w:noProof/>
        </w:rPr>
        <w:t xml:space="preserve"> i</w:t>
      </w:r>
      <w:r w:rsidR="006E0B7E">
        <w:rPr>
          <w:noProof/>
        </w:rPr>
        <w:t> </w:t>
      </w:r>
      <w:r w:rsidR="006E0B7E" w:rsidRPr="0051561F">
        <w:rPr>
          <w:noProof/>
        </w:rPr>
        <w:t>zas</w:t>
      </w:r>
      <w:r w:rsidRPr="0051561F">
        <w:rPr>
          <w:noProof/>
        </w:rPr>
        <w:t>tąpiono je terminem „państwo portu”.</w:t>
      </w:r>
    </w:p>
    <w:p w14:paraId="70007D5C" w14:textId="72BDDC63" w:rsidR="008E4895" w:rsidRPr="0051561F" w:rsidRDefault="008E4895" w:rsidP="008E4895">
      <w:pPr>
        <w:pBdr>
          <w:top w:val="nil"/>
          <w:left w:val="nil"/>
          <w:bottom w:val="nil"/>
          <w:right w:val="nil"/>
          <w:between w:val="nil"/>
          <w:bar w:val="nil"/>
        </w:pBdr>
        <w:spacing w:after="240"/>
        <w:rPr>
          <w:noProof/>
        </w:rPr>
      </w:pPr>
      <w:r w:rsidRPr="0051561F">
        <w:rPr>
          <w:noProof/>
        </w:rPr>
        <w:t>Pkt 7 zmienia przepisy dotyczące „rejsów sezonowych</w:t>
      </w:r>
      <w:r w:rsidR="006E0B7E" w:rsidRPr="0051561F">
        <w:rPr>
          <w:noProof/>
        </w:rPr>
        <w:t xml:space="preserve"> i</w:t>
      </w:r>
      <w:r w:rsidR="006E0B7E">
        <w:rPr>
          <w:noProof/>
        </w:rPr>
        <w:t> </w:t>
      </w:r>
      <w:r w:rsidR="006E0B7E" w:rsidRPr="0051561F">
        <w:rPr>
          <w:noProof/>
        </w:rPr>
        <w:t>kró</w:t>
      </w:r>
      <w:r w:rsidRPr="0051561F">
        <w:rPr>
          <w:noProof/>
        </w:rPr>
        <w:t>tkoterminowych”, odzwierciedlając zmianę terminu „państwo goszczące” na „państwo portu”,</w:t>
      </w:r>
      <w:r w:rsidR="006E0B7E" w:rsidRPr="0051561F">
        <w:rPr>
          <w:noProof/>
        </w:rPr>
        <w:t xml:space="preserve"> a</w:t>
      </w:r>
      <w:r w:rsidR="006E0B7E">
        <w:rPr>
          <w:noProof/>
        </w:rPr>
        <w:t> </w:t>
      </w:r>
      <w:r w:rsidR="006E0B7E" w:rsidRPr="0051561F">
        <w:rPr>
          <w:noProof/>
        </w:rPr>
        <w:t>tak</w:t>
      </w:r>
      <w:r w:rsidRPr="0051561F">
        <w:rPr>
          <w:noProof/>
        </w:rPr>
        <w:t>że ograniczone zastosowanie koncepcji znaczącej wysokości fali do statków spełniających wymogi stateczności zawarte</w:t>
      </w:r>
      <w:r w:rsidR="006E0B7E" w:rsidRPr="0051561F">
        <w:rPr>
          <w:noProof/>
        </w:rPr>
        <w:t xml:space="preserve"> w</w:t>
      </w:r>
      <w:r w:rsidR="006E0B7E">
        <w:rPr>
          <w:noProof/>
        </w:rPr>
        <w:t> </w:t>
      </w:r>
      <w:r w:rsidR="006E0B7E" w:rsidRPr="0051561F">
        <w:rPr>
          <w:noProof/>
        </w:rPr>
        <w:t>sek</w:t>
      </w:r>
      <w:r w:rsidRPr="0051561F">
        <w:rPr>
          <w:noProof/>
        </w:rPr>
        <w:t xml:space="preserve">cji A załącznika I. </w:t>
      </w:r>
    </w:p>
    <w:p w14:paraId="5DD61570" w14:textId="77777777" w:rsidR="008E4895" w:rsidRPr="0051561F" w:rsidRDefault="008E4895" w:rsidP="008E4895">
      <w:pPr>
        <w:pBdr>
          <w:top w:val="nil"/>
          <w:left w:val="nil"/>
          <w:bottom w:val="nil"/>
          <w:right w:val="nil"/>
          <w:between w:val="nil"/>
          <w:bar w:val="nil"/>
        </w:pBdr>
        <w:spacing w:after="240"/>
        <w:rPr>
          <w:noProof/>
        </w:rPr>
      </w:pPr>
      <w:r w:rsidRPr="0051561F">
        <w:rPr>
          <w:noProof/>
        </w:rPr>
        <w:t xml:space="preserve">W punkcie 8 zapowiedziano przegląd wdrożenia zmienionego wymogu stateczności po dziesięciu latach od jego przyjęcia. </w:t>
      </w:r>
    </w:p>
    <w:p w14:paraId="79015834" w14:textId="355E369C" w:rsidR="008E4895" w:rsidRPr="0051561F" w:rsidRDefault="008E4895" w:rsidP="008E4895">
      <w:pPr>
        <w:pBdr>
          <w:top w:val="nil"/>
          <w:left w:val="nil"/>
          <w:bottom w:val="nil"/>
          <w:right w:val="nil"/>
          <w:between w:val="nil"/>
          <w:bar w:val="nil"/>
        </w:pBdr>
        <w:spacing w:after="240"/>
        <w:rPr>
          <w:noProof/>
        </w:rPr>
      </w:pPr>
      <w:r w:rsidRPr="0051561F">
        <w:rPr>
          <w:noProof/>
        </w:rPr>
        <w:t>Pkt 9 zawiera kilka formalnych zmian dotyczących obecnego wymogu stateczności, które należy zawrzeć</w:t>
      </w:r>
      <w:r w:rsidR="006E0B7E" w:rsidRPr="0051561F">
        <w:rPr>
          <w:noProof/>
        </w:rPr>
        <w:t xml:space="preserve"> w</w:t>
      </w:r>
      <w:r w:rsidR="006E0B7E">
        <w:rPr>
          <w:noProof/>
        </w:rPr>
        <w:t> </w:t>
      </w:r>
      <w:r w:rsidR="006E0B7E" w:rsidRPr="0051561F">
        <w:rPr>
          <w:noProof/>
        </w:rPr>
        <w:t>sek</w:t>
      </w:r>
      <w:r w:rsidRPr="0051561F">
        <w:rPr>
          <w:noProof/>
        </w:rPr>
        <w:t xml:space="preserve">cji A załącznika I. </w:t>
      </w:r>
    </w:p>
    <w:p w14:paraId="43A1C005" w14:textId="01C82019" w:rsidR="008E4895" w:rsidRPr="0051561F" w:rsidRDefault="008E4895" w:rsidP="008E4895">
      <w:pPr>
        <w:pBdr>
          <w:top w:val="nil"/>
          <w:left w:val="nil"/>
          <w:bottom w:val="nil"/>
          <w:right w:val="nil"/>
          <w:between w:val="nil"/>
          <w:bar w:val="nil"/>
        </w:pBdr>
        <w:spacing w:after="240"/>
        <w:rPr>
          <w:noProof/>
        </w:rPr>
      </w:pPr>
      <w:r w:rsidRPr="0051561F">
        <w:rPr>
          <w:noProof/>
        </w:rPr>
        <w:t>Pkt 10 wprowadza nowe szczególne wymogi stateczności</w:t>
      </w:r>
      <w:r w:rsidR="006E0B7E" w:rsidRPr="0051561F">
        <w:rPr>
          <w:noProof/>
        </w:rPr>
        <w:t xml:space="preserve"> w</w:t>
      </w:r>
      <w:r w:rsidR="006E0B7E">
        <w:rPr>
          <w:noProof/>
        </w:rPr>
        <w:t> </w:t>
      </w:r>
      <w:r w:rsidR="006E0B7E" w:rsidRPr="0051561F">
        <w:rPr>
          <w:noProof/>
        </w:rPr>
        <w:t>sek</w:t>
      </w:r>
      <w:r w:rsidRPr="0051561F">
        <w:rPr>
          <w:noProof/>
        </w:rPr>
        <w:t xml:space="preserve">cji B załącznika I. </w:t>
      </w:r>
    </w:p>
    <w:p w14:paraId="2F5066D8" w14:textId="3949AEDB" w:rsidR="005B3330" w:rsidRPr="005A7831" w:rsidRDefault="008E4895" w:rsidP="008E4895">
      <w:pPr>
        <w:pBdr>
          <w:top w:val="nil"/>
          <w:left w:val="nil"/>
          <w:bottom w:val="nil"/>
          <w:right w:val="nil"/>
          <w:between w:val="nil"/>
          <w:bar w:val="nil"/>
        </w:pBdr>
        <w:spacing w:before="0" w:after="240"/>
      </w:pPr>
      <w:r w:rsidRPr="0051561F">
        <w:rPr>
          <w:noProof/>
        </w:rPr>
        <w:t xml:space="preserve">W </w:t>
      </w:r>
      <w:r w:rsidRPr="006E0B7E">
        <w:rPr>
          <w:noProof/>
        </w:rPr>
        <w:t>pkt</w:t>
      </w:r>
      <w:r w:rsidR="006E0B7E" w:rsidRPr="006E0B7E">
        <w:rPr>
          <w:noProof/>
        </w:rPr>
        <w:t> </w:t>
      </w:r>
      <w:r w:rsidRPr="006E0B7E">
        <w:rPr>
          <w:noProof/>
        </w:rPr>
        <w:t>1</w:t>
      </w:r>
      <w:r w:rsidRPr="0051561F">
        <w:rPr>
          <w:noProof/>
        </w:rPr>
        <w:t>1 wprowadza się nowy załącznik III,</w:t>
      </w:r>
      <w:r w:rsidR="006E0B7E" w:rsidRPr="0051561F">
        <w:rPr>
          <w:noProof/>
        </w:rPr>
        <w:t xml:space="preserve"> w</w:t>
      </w:r>
      <w:r w:rsidR="006E0B7E">
        <w:rPr>
          <w:noProof/>
        </w:rPr>
        <w:t> </w:t>
      </w:r>
      <w:r w:rsidR="006E0B7E" w:rsidRPr="0051561F">
        <w:rPr>
          <w:noProof/>
        </w:rPr>
        <w:t>któ</w:t>
      </w:r>
      <w:r w:rsidRPr="0051561F">
        <w:rPr>
          <w:noProof/>
        </w:rPr>
        <w:t>rym określono zbiór danych technicznych przekazywanych przez państwa członkowskie Komisji</w:t>
      </w:r>
      <w:r w:rsidR="006E0B7E" w:rsidRPr="0051561F">
        <w:rPr>
          <w:noProof/>
        </w:rPr>
        <w:t xml:space="preserve"> w</w:t>
      </w:r>
      <w:r w:rsidR="006E0B7E">
        <w:rPr>
          <w:noProof/>
        </w:rPr>
        <w:t> </w:t>
      </w:r>
      <w:r w:rsidR="006E0B7E" w:rsidRPr="0051561F">
        <w:rPr>
          <w:noProof/>
        </w:rPr>
        <w:t>odn</w:t>
      </w:r>
      <w:r w:rsidRPr="0051561F">
        <w:rPr>
          <w:noProof/>
        </w:rPr>
        <w:t>iesieniu do wszystkich nowo budowanych</w:t>
      </w:r>
      <w:r w:rsidR="006E0B7E" w:rsidRPr="0051561F">
        <w:rPr>
          <w:noProof/>
        </w:rPr>
        <w:t xml:space="preserve"> i</w:t>
      </w:r>
      <w:r w:rsidR="006E0B7E">
        <w:rPr>
          <w:noProof/>
        </w:rPr>
        <w:t> </w:t>
      </w:r>
      <w:r w:rsidR="006E0B7E" w:rsidRPr="0051561F">
        <w:rPr>
          <w:noProof/>
        </w:rPr>
        <w:t>now</w:t>
      </w:r>
      <w:r w:rsidRPr="0051561F">
        <w:rPr>
          <w:noProof/>
        </w:rPr>
        <w:t>o certyfikowanych pasażerskich statków typu ro-ro, wprowadzanych do regularnej eksploatacji</w:t>
      </w:r>
      <w:r w:rsidR="006E0B7E" w:rsidRPr="0051561F">
        <w:rPr>
          <w:noProof/>
        </w:rPr>
        <w:t xml:space="preserve"> w</w:t>
      </w:r>
      <w:r w:rsidR="006E0B7E">
        <w:rPr>
          <w:noProof/>
        </w:rPr>
        <w:t> </w:t>
      </w:r>
      <w:r w:rsidR="006E0B7E" w:rsidRPr="0051561F">
        <w:rPr>
          <w:noProof/>
        </w:rPr>
        <w:t>Uni</w:t>
      </w:r>
      <w:r w:rsidRPr="0051561F">
        <w:rPr>
          <w:noProof/>
        </w:rPr>
        <w:t>i. Dane te byłyby wykorzystywane do celów oceny wdrożenia zmienionej dyrektywy 2003/25/WE.</w:t>
      </w:r>
    </w:p>
    <w:p w14:paraId="3A863CF1" w14:textId="77777777" w:rsidR="005B3330" w:rsidRPr="0051561F" w:rsidRDefault="005B3330" w:rsidP="007800DD">
      <w:pPr>
        <w:spacing w:before="0" w:after="0"/>
        <w:jc w:val="left"/>
        <w:rPr>
          <w:noProof/>
        </w:rPr>
        <w:sectPr w:rsidR="005B3330" w:rsidRPr="0051561F" w:rsidSect="002A6D33">
          <w:footerReference w:type="default" r:id="rId10"/>
          <w:footerReference w:type="first" r:id="rId11"/>
          <w:pgSz w:w="11907" w:h="16839"/>
          <w:pgMar w:top="1134" w:right="1417" w:bottom="1134" w:left="1417" w:header="709" w:footer="709" w:gutter="0"/>
          <w:cols w:space="708"/>
          <w:docGrid w:linePitch="360"/>
        </w:sectPr>
      </w:pPr>
    </w:p>
    <w:p w14:paraId="42DACA32" w14:textId="1C3270C0" w:rsidR="00B5279E" w:rsidRDefault="00B5279E" w:rsidP="00B5279E">
      <w:pPr>
        <w:pStyle w:val="Rfrenceinterinstitutionnelle"/>
        <w:rPr>
          <w:noProof/>
        </w:rPr>
      </w:pPr>
      <w:r w:rsidRPr="00B5279E">
        <w:t>2022/0036 (COD)</w:t>
      </w:r>
    </w:p>
    <w:p w14:paraId="4ADCC689" w14:textId="59844869" w:rsidR="005B3330" w:rsidRPr="0051561F" w:rsidRDefault="003C4D3D" w:rsidP="003C4D3D">
      <w:pPr>
        <w:pStyle w:val="Statut"/>
        <w:rPr>
          <w:noProof/>
        </w:rPr>
      </w:pPr>
      <w:r w:rsidRPr="003C4D3D">
        <w:rPr>
          <w:noProof/>
        </w:rPr>
        <w:t>Wniosek</w:t>
      </w:r>
    </w:p>
    <w:p w14:paraId="12B95F92" w14:textId="70703544" w:rsidR="005B3330" w:rsidRPr="0051561F" w:rsidRDefault="003C4D3D" w:rsidP="003C4D3D">
      <w:pPr>
        <w:pStyle w:val="Typedudocument"/>
        <w:rPr>
          <w:noProof/>
        </w:rPr>
      </w:pPr>
      <w:r w:rsidRPr="003C4D3D">
        <w:rPr>
          <w:noProof/>
        </w:rPr>
        <w:t>DYREKTYWA PARLAMENTU EUROPEJSKIEGO I RADY</w:t>
      </w:r>
    </w:p>
    <w:p w14:paraId="6C9429CB" w14:textId="0C69F4E1" w:rsidR="005B3330" w:rsidRPr="0051561F" w:rsidRDefault="003C4D3D" w:rsidP="003C4D3D">
      <w:pPr>
        <w:pStyle w:val="Titreobjet"/>
        <w:rPr>
          <w:noProof/>
        </w:rPr>
      </w:pPr>
      <w:r w:rsidRPr="003C4D3D">
        <w:rPr>
          <w:noProof/>
        </w:rPr>
        <w:t>zmieniająca dyrektywę 2003/25/WE w odniesieniu do włączenia ulepszonych wymogów stateczności i dostosowania jej do wymogów stateczności określonych przez Międzynarodową Organizację Morską</w:t>
      </w:r>
    </w:p>
    <w:p w14:paraId="0B145513" w14:textId="631FE30A" w:rsidR="005B3330" w:rsidRPr="0051561F" w:rsidRDefault="003C4D3D" w:rsidP="003C4D3D">
      <w:pPr>
        <w:pStyle w:val="IntrtEEE"/>
        <w:rPr>
          <w:noProof/>
        </w:rPr>
      </w:pPr>
      <w:r w:rsidRPr="003C4D3D">
        <w:rPr>
          <w:noProof/>
        </w:rPr>
        <w:t>(Tekst mający znaczenie dla EOG)</w:t>
      </w:r>
    </w:p>
    <w:p w14:paraId="261064FD" w14:textId="77777777" w:rsidR="005B3330" w:rsidRPr="0051561F" w:rsidRDefault="005B3330" w:rsidP="007800DD">
      <w:pPr>
        <w:pStyle w:val="Institutionquiagit"/>
        <w:rPr>
          <w:noProof/>
        </w:rPr>
      </w:pPr>
      <w:r w:rsidRPr="0051561F">
        <w:rPr>
          <w:noProof/>
        </w:rPr>
        <w:t>PARLAMENT EUROPEJSKI I RADA UNII EUROPEJSKIEJ,</w:t>
      </w:r>
    </w:p>
    <w:p w14:paraId="5DFF0265" w14:textId="6AC3BA2C" w:rsidR="005B3330" w:rsidRPr="0051561F" w:rsidRDefault="005B3330" w:rsidP="007800DD">
      <w:pPr>
        <w:rPr>
          <w:noProof/>
        </w:rPr>
      </w:pPr>
      <w:r w:rsidRPr="0051561F">
        <w:rPr>
          <w:noProof/>
        </w:rPr>
        <w:t>uwzględniając Traktat</w:t>
      </w:r>
      <w:r w:rsidR="006E0B7E" w:rsidRPr="0051561F">
        <w:rPr>
          <w:noProof/>
        </w:rPr>
        <w:t xml:space="preserve"> o</w:t>
      </w:r>
      <w:r w:rsidR="006E0B7E">
        <w:rPr>
          <w:noProof/>
        </w:rPr>
        <w:t> </w:t>
      </w:r>
      <w:r w:rsidR="006E0B7E" w:rsidRPr="0051561F">
        <w:rPr>
          <w:noProof/>
        </w:rPr>
        <w:t>fun</w:t>
      </w:r>
      <w:r w:rsidRPr="0051561F">
        <w:rPr>
          <w:noProof/>
        </w:rPr>
        <w:t>kcjonowaniu Unii Europejskiej,</w:t>
      </w:r>
      <w:r w:rsidR="006E0B7E" w:rsidRPr="0051561F">
        <w:rPr>
          <w:noProof/>
        </w:rPr>
        <w:t xml:space="preserve"> w</w:t>
      </w:r>
      <w:r w:rsidR="006E0B7E">
        <w:rPr>
          <w:noProof/>
        </w:rPr>
        <w:t> </w:t>
      </w:r>
      <w:r w:rsidR="006E0B7E" w:rsidRPr="0051561F">
        <w:rPr>
          <w:noProof/>
        </w:rPr>
        <w:t>szc</w:t>
      </w:r>
      <w:r w:rsidRPr="0051561F">
        <w:rPr>
          <w:noProof/>
        </w:rPr>
        <w:t xml:space="preserve">zególności jego </w:t>
      </w:r>
      <w:r w:rsidRPr="006E0B7E">
        <w:rPr>
          <w:noProof/>
        </w:rPr>
        <w:t>art.</w:t>
      </w:r>
      <w:r w:rsidR="006E0B7E" w:rsidRPr="006E0B7E">
        <w:rPr>
          <w:noProof/>
        </w:rPr>
        <w:t> </w:t>
      </w:r>
      <w:r w:rsidRPr="006E0B7E">
        <w:rPr>
          <w:noProof/>
        </w:rPr>
        <w:t>1</w:t>
      </w:r>
      <w:r w:rsidRPr="0051561F">
        <w:rPr>
          <w:noProof/>
        </w:rPr>
        <w:t xml:space="preserve">00 </w:t>
      </w:r>
      <w:r w:rsidRPr="006E0B7E">
        <w:rPr>
          <w:noProof/>
        </w:rPr>
        <w:t>ust.</w:t>
      </w:r>
      <w:r w:rsidR="006E0B7E" w:rsidRPr="006E0B7E">
        <w:rPr>
          <w:noProof/>
        </w:rPr>
        <w:t> </w:t>
      </w:r>
      <w:r w:rsidRPr="006E0B7E">
        <w:rPr>
          <w:noProof/>
        </w:rPr>
        <w:t>2</w:t>
      </w:r>
      <w:r w:rsidRPr="0051561F">
        <w:rPr>
          <w:noProof/>
        </w:rPr>
        <w:t>,</w:t>
      </w:r>
    </w:p>
    <w:p w14:paraId="67418DD1" w14:textId="075C0077" w:rsidR="006B2687" w:rsidRPr="0051561F" w:rsidRDefault="005B3330" w:rsidP="007800DD">
      <w:pPr>
        <w:rPr>
          <w:noProof/>
        </w:rPr>
      </w:pPr>
      <w:r w:rsidRPr="0051561F">
        <w:rPr>
          <w:noProof/>
        </w:rPr>
        <w:t>uwzględniając wniosek Komisji Europejskiej,</w:t>
      </w:r>
    </w:p>
    <w:p w14:paraId="2B830FC9" w14:textId="77777777" w:rsidR="005B3330" w:rsidRPr="0051561F" w:rsidRDefault="005B3330" w:rsidP="007800DD">
      <w:pPr>
        <w:rPr>
          <w:noProof/>
        </w:rPr>
      </w:pPr>
      <w:r w:rsidRPr="0051561F">
        <w:rPr>
          <w:noProof/>
        </w:rPr>
        <w:t>po przekazaniu projektu aktu ustawodawczego parlamentom narodowym,</w:t>
      </w:r>
    </w:p>
    <w:p w14:paraId="5E01688F" w14:textId="77777777" w:rsidR="005B3330" w:rsidRPr="0051561F" w:rsidRDefault="005B3330" w:rsidP="007800DD">
      <w:pPr>
        <w:rPr>
          <w:noProof/>
        </w:rPr>
      </w:pPr>
      <w:r w:rsidRPr="0051561F">
        <w:rPr>
          <w:noProof/>
        </w:rPr>
        <w:t>uwzględniając opinię Europejskiego Komitetu Ekonomiczno-Społecznego</w:t>
      </w:r>
      <w:r w:rsidRPr="0051561F">
        <w:rPr>
          <w:rStyle w:val="FootnoteReference"/>
          <w:noProof/>
        </w:rPr>
        <w:footnoteReference w:id="13"/>
      </w:r>
      <w:r w:rsidRPr="0051561F">
        <w:rPr>
          <w:noProof/>
        </w:rPr>
        <w:t xml:space="preserve">, </w:t>
      </w:r>
    </w:p>
    <w:p w14:paraId="77152E48" w14:textId="77777777" w:rsidR="005B3330" w:rsidRPr="0051561F" w:rsidRDefault="005B3330" w:rsidP="007800DD">
      <w:pPr>
        <w:rPr>
          <w:noProof/>
        </w:rPr>
      </w:pPr>
      <w:r w:rsidRPr="0051561F">
        <w:rPr>
          <w:noProof/>
        </w:rPr>
        <w:t>uwzględniając opinię Komitetu Regionów</w:t>
      </w:r>
      <w:r w:rsidRPr="0051561F">
        <w:rPr>
          <w:rStyle w:val="FootnoteReference"/>
          <w:noProof/>
        </w:rPr>
        <w:footnoteReference w:id="14"/>
      </w:r>
      <w:r w:rsidRPr="0051561F">
        <w:rPr>
          <w:noProof/>
        </w:rPr>
        <w:t>,</w:t>
      </w:r>
    </w:p>
    <w:p w14:paraId="029D756C" w14:textId="77777777" w:rsidR="005B3330" w:rsidRPr="0051561F" w:rsidRDefault="005B3330" w:rsidP="007800DD">
      <w:pPr>
        <w:rPr>
          <w:noProof/>
        </w:rPr>
      </w:pPr>
      <w:r w:rsidRPr="0051561F">
        <w:rPr>
          <w:noProof/>
        </w:rPr>
        <w:t>stanowiąc zgodnie ze zwykłą procedurą ustawodawczą,</w:t>
      </w:r>
    </w:p>
    <w:p w14:paraId="6DAE6E0C" w14:textId="77777777" w:rsidR="005B3330" w:rsidRPr="0051561F" w:rsidRDefault="005B3330" w:rsidP="007800DD">
      <w:pPr>
        <w:rPr>
          <w:noProof/>
        </w:rPr>
      </w:pPr>
      <w:r w:rsidRPr="0051561F">
        <w:rPr>
          <w:noProof/>
        </w:rPr>
        <w:t xml:space="preserve">a także mając na uwadze, co następuje: </w:t>
      </w:r>
    </w:p>
    <w:p w14:paraId="57C0BCF1" w14:textId="7A78B75F" w:rsidR="00C81789" w:rsidRPr="0051561F" w:rsidRDefault="0001261C" w:rsidP="0001261C">
      <w:pPr>
        <w:pStyle w:val="ManualConsidrant"/>
        <w:rPr>
          <w:noProof/>
        </w:rPr>
      </w:pPr>
      <w:r w:rsidRPr="0001261C">
        <w:t>(1)</w:t>
      </w:r>
      <w:r w:rsidRPr="0001261C">
        <w:tab/>
      </w:r>
      <w:r w:rsidR="00E54371" w:rsidRPr="0051561F">
        <w:rPr>
          <w:noProof/>
        </w:rPr>
        <w:t>Dyrektywa 2003/25/WE Parlamentu Europejskiego</w:t>
      </w:r>
      <w:r w:rsidR="006E0B7E" w:rsidRPr="0051561F">
        <w:rPr>
          <w:noProof/>
        </w:rPr>
        <w:t xml:space="preserve"> i</w:t>
      </w:r>
      <w:r w:rsidR="006E0B7E">
        <w:rPr>
          <w:noProof/>
        </w:rPr>
        <w:t> </w:t>
      </w:r>
      <w:r w:rsidR="006E0B7E" w:rsidRPr="0051561F">
        <w:rPr>
          <w:noProof/>
        </w:rPr>
        <w:t>Rad</w:t>
      </w:r>
      <w:r w:rsidR="00E54371" w:rsidRPr="0051561F">
        <w:rPr>
          <w:noProof/>
        </w:rPr>
        <w:t>y</w:t>
      </w:r>
      <w:r w:rsidR="00E54371" w:rsidRPr="0051561F">
        <w:rPr>
          <w:rStyle w:val="FootnoteReference"/>
          <w:noProof/>
        </w:rPr>
        <w:footnoteReference w:id="15"/>
      </w:r>
      <w:r w:rsidR="00E54371" w:rsidRPr="0051561F">
        <w:rPr>
          <w:noProof/>
        </w:rPr>
        <w:t xml:space="preserve"> ustanawia jednolity poziom szczególnych wymogów stateczności dla pasażerskich statków typu ro-ro, podnosząc zdolność przetrwania tego typu statków</w:t>
      </w:r>
      <w:r w:rsidR="006E0B7E" w:rsidRPr="0051561F">
        <w:rPr>
          <w:noProof/>
        </w:rPr>
        <w:t xml:space="preserve"> w</w:t>
      </w:r>
      <w:r w:rsidR="006E0B7E">
        <w:rPr>
          <w:noProof/>
        </w:rPr>
        <w:t> </w:t>
      </w:r>
      <w:r w:rsidR="006E0B7E" w:rsidRPr="0051561F">
        <w:rPr>
          <w:noProof/>
        </w:rPr>
        <w:t>prz</w:t>
      </w:r>
      <w:r w:rsidR="00E54371" w:rsidRPr="0051561F">
        <w:rPr>
          <w:noProof/>
        </w:rPr>
        <w:t>ypadku uszkodzenia spowodowanego zderzeniem</w:t>
      </w:r>
      <w:r w:rsidR="006E0B7E" w:rsidRPr="0051561F">
        <w:rPr>
          <w:noProof/>
        </w:rPr>
        <w:t xml:space="preserve"> i</w:t>
      </w:r>
      <w:r w:rsidR="006E0B7E">
        <w:rPr>
          <w:noProof/>
        </w:rPr>
        <w:t> </w:t>
      </w:r>
      <w:r w:rsidR="006E0B7E" w:rsidRPr="0051561F">
        <w:rPr>
          <w:noProof/>
        </w:rPr>
        <w:t>zap</w:t>
      </w:r>
      <w:r w:rsidR="00E54371" w:rsidRPr="0051561F">
        <w:rPr>
          <w:noProof/>
        </w:rPr>
        <w:t>ewniając wysoki poziom bezpieczeństwa pasażerów</w:t>
      </w:r>
      <w:r w:rsidR="006E0B7E" w:rsidRPr="0051561F">
        <w:rPr>
          <w:noProof/>
        </w:rPr>
        <w:t xml:space="preserve"> i</w:t>
      </w:r>
      <w:r w:rsidR="006E0B7E">
        <w:rPr>
          <w:noProof/>
        </w:rPr>
        <w:t> </w:t>
      </w:r>
      <w:r w:rsidR="006E0B7E" w:rsidRPr="0051561F">
        <w:rPr>
          <w:noProof/>
        </w:rPr>
        <w:t>czł</w:t>
      </w:r>
      <w:r w:rsidR="00E54371" w:rsidRPr="0051561F">
        <w:rPr>
          <w:noProof/>
        </w:rPr>
        <w:t>onków załóg</w:t>
      </w:r>
      <w:r w:rsidR="006E0B7E" w:rsidRPr="0051561F">
        <w:rPr>
          <w:noProof/>
        </w:rPr>
        <w:t xml:space="preserve"> w</w:t>
      </w:r>
      <w:r w:rsidR="006E0B7E">
        <w:rPr>
          <w:noProof/>
        </w:rPr>
        <w:t> </w:t>
      </w:r>
      <w:r w:rsidR="006E0B7E" w:rsidRPr="0051561F">
        <w:rPr>
          <w:noProof/>
        </w:rPr>
        <w:t>poł</w:t>
      </w:r>
      <w:r w:rsidR="00E54371" w:rsidRPr="0051561F">
        <w:rPr>
          <w:noProof/>
        </w:rPr>
        <w:t>ączeniu</w:t>
      </w:r>
      <w:r w:rsidR="006E0B7E" w:rsidRPr="0051561F">
        <w:rPr>
          <w:noProof/>
        </w:rPr>
        <w:t xml:space="preserve"> z</w:t>
      </w:r>
      <w:r w:rsidR="006E0B7E">
        <w:rPr>
          <w:noProof/>
        </w:rPr>
        <w:t> </w:t>
      </w:r>
      <w:r w:rsidR="006E0B7E" w:rsidRPr="0051561F">
        <w:rPr>
          <w:noProof/>
        </w:rPr>
        <w:t>wym</w:t>
      </w:r>
      <w:r w:rsidR="00E54371" w:rsidRPr="0051561F">
        <w:rPr>
          <w:noProof/>
        </w:rPr>
        <w:t>ogami określonymi</w:t>
      </w:r>
      <w:r w:rsidR="006E0B7E" w:rsidRPr="0051561F">
        <w:rPr>
          <w:noProof/>
        </w:rPr>
        <w:t xml:space="preserve"> w</w:t>
      </w:r>
      <w:r w:rsidR="006E0B7E">
        <w:rPr>
          <w:noProof/>
        </w:rPr>
        <w:t> </w:t>
      </w:r>
      <w:r w:rsidR="006E0B7E" w:rsidRPr="0051561F">
        <w:rPr>
          <w:noProof/>
        </w:rPr>
        <w:t>kon</w:t>
      </w:r>
      <w:r w:rsidR="00E54371" w:rsidRPr="0051561F">
        <w:rPr>
          <w:noProof/>
        </w:rPr>
        <w:t>wencji SOLAS</w:t>
      </w:r>
      <w:r w:rsidR="006E0B7E" w:rsidRPr="0051561F">
        <w:rPr>
          <w:noProof/>
        </w:rPr>
        <w:t xml:space="preserve"> w</w:t>
      </w:r>
      <w:r w:rsidR="006E0B7E">
        <w:rPr>
          <w:noProof/>
        </w:rPr>
        <w:t> </w:t>
      </w:r>
      <w:r w:rsidR="006E0B7E" w:rsidRPr="0051561F">
        <w:rPr>
          <w:noProof/>
        </w:rPr>
        <w:t>wer</w:t>
      </w:r>
      <w:r w:rsidR="00E54371" w:rsidRPr="0051561F">
        <w:rPr>
          <w:noProof/>
        </w:rPr>
        <w:t>sji obowiązującej</w:t>
      </w:r>
      <w:r w:rsidR="006E0B7E" w:rsidRPr="0051561F">
        <w:rPr>
          <w:noProof/>
        </w:rPr>
        <w:t xml:space="preserve"> w</w:t>
      </w:r>
      <w:r w:rsidR="006E0B7E">
        <w:rPr>
          <w:noProof/>
        </w:rPr>
        <w:t> </w:t>
      </w:r>
      <w:r w:rsidR="006E0B7E" w:rsidRPr="0051561F">
        <w:rPr>
          <w:noProof/>
        </w:rPr>
        <w:t>dni</w:t>
      </w:r>
      <w:r w:rsidR="00E54371" w:rsidRPr="0051561F">
        <w:rPr>
          <w:noProof/>
        </w:rPr>
        <w:t>u przyjęcia dyrektywy (SOLAS 90).</w:t>
      </w:r>
    </w:p>
    <w:p w14:paraId="3A15F24E" w14:textId="1381ED49" w:rsidR="00E50430" w:rsidRPr="0051561F" w:rsidRDefault="0001261C" w:rsidP="0001261C">
      <w:pPr>
        <w:pStyle w:val="ManualConsidrant"/>
        <w:rPr>
          <w:noProof/>
        </w:rPr>
      </w:pPr>
      <w:r w:rsidRPr="0001261C">
        <w:t>(2)</w:t>
      </w:r>
      <w:r w:rsidRPr="0001261C">
        <w:tab/>
      </w:r>
      <w:r w:rsidR="007E12CE" w:rsidRPr="0051561F">
        <w:rPr>
          <w:noProof/>
        </w:rPr>
        <w:t>W dniu 15 czerwca 20</w:t>
      </w:r>
      <w:r w:rsidR="007E12CE" w:rsidRPr="006E0B7E">
        <w:rPr>
          <w:noProof/>
        </w:rPr>
        <w:t>17</w:t>
      </w:r>
      <w:r w:rsidR="006E0B7E" w:rsidRPr="006E0B7E">
        <w:rPr>
          <w:noProof/>
        </w:rPr>
        <w:t> </w:t>
      </w:r>
      <w:r w:rsidR="007E12CE" w:rsidRPr="006E0B7E">
        <w:rPr>
          <w:noProof/>
        </w:rPr>
        <w:t>r.</w:t>
      </w:r>
      <w:r w:rsidR="007E12CE" w:rsidRPr="0051561F">
        <w:rPr>
          <w:noProof/>
        </w:rPr>
        <w:t xml:space="preserve"> Międzynarodowa Organizacja Morska („IMO”) przyjęła</w:t>
      </w:r>
      <w:r w:rsidR="006E0B7E" w:rsidRPr="0051561F">
        <w:rPr>
          <w:noProof/>
        </w:rPr>
        <w:t xml:space="preserve"> w</w:t>
      </w:r>
      <w:r w:rsidR="006E0B7E">
        <w:rPr>
          <w:noProof/>
        </w:rPr>
        <w:t> </w:t>
      </w:r>
      <w:r w:rsidR="006E0B7E" w:rsidRPr="0051561F">
        <w:rPr>
          <w:noProof/>
        </w:rPr>
        <w:t>dro</w:t>
      </w:r>
      <w:r w:rsidR="007E12CE" w:rsidRPr="0051561F">
        <w:rPr>
          <w:noProof/>
        </w:rPr>
        <w:t>dze rezolucji MSC.421(98) znowelizowane przepisy szczególne dotyczące norm stateczności dla statków pasażerskich</w:t>
      </w:r>
      <w:r w:rsidR="006E0B7E" w:rsidRPr="0051561F">
        <w:rPr>
          <w:noProof/>
        </w:rPr>
        <w:t xml:space="preserve"> w</w:t>
      </w:r>
      <w:r w:rsidR="006E0B7E">
        <w:rPr>
          <w:noProof/>
        </w:rPr>
        <w:t> </w:t>
      </w:r>
      <w:r w:rsidR="006E0B7E" w:rsidRPr="0051561F">
        <w:rPr>
          <w:noProof/>
        </w:rPr>
        <w:t>sta</w:t>
      </w:r>
      <w:r w:rsidR="007E12CE" w:rsidRPr="0051561F">
        <w:rPr>
          <w:noProof/>
        </w:rPr>
        <w:t>nie uszkodzonym, które mają zastosowanie również do pasażerskich statków typu ro-ro. Konieczne jest uwzględnienie wspomnianych zmian, jakie zaszły na szczeblu międzynarodowym, oraz dostosowanie unijnych przepisów</w:t>
      </w:r>
      <w:r w:rsidR="006E0B7E" w:rsidRPr="0051561F">
        <w:rPr>
          <w:noProof/>
        </w:rPr>
        <w:t xml:space="preserve"> i</w:t>
      </w:r>
      <w:r w:rsidR="006E0B7E">
        <w:rPr>
          <w:noProof/>
        </w:rPr>
        <w:t> </w:t>
      </w:r>
      <w:r w:rsidR="006E0B7E" w:rsidRPr="0051561F">
        <w:rPr>
          <w:noProof/>
        </w:rPr>
        <w:t>wym</w:t>
      </w:r>
      <w:r w:rsidR="007E12CE" w:rsidRPr="0051561F">
        <w:rPr>
          <w:noProof/>
        </w:rPr>
        <w:t>ogów do rozwiązań ustanowionych</w:t>
      </w:r>
      <w:r w:rsidR="006E0B7E" w:rsidRPr="0051561F">
        <w:rPr>
          <w:noProof/>
        </w:rPr>
        <w:t xml:space="preserve"> w</w:t>
      </w:r>
      <w:r w:rsidR="006E0B7E">
        <w:rPr>
          <w:noProof/>
        </w:rPr>
        <w:t> </w:t>
      </w:r>
      <w:r w:rsidR="006E0B7E" w:rsidRPr="0051561F">
        <w:rPr>
          <w:noProof/>
        </w:rPr>
        <w:t>Mię</w:t>
      </w:r>
      <w:r w:rsidR="007E12CE" w:rsidRPr="0051561F">
        <w:rPr>
          <w:noProof/>
        </w:rPr>
        <w:t>dzynarodowej konwencji</w:t>
      </w:r>
      <w:r w:rsidR="006E0B7E" w:rsidRPr="0051561F">
        <w:rPr>
          <w:noProof/>
        </w:rPr>
        <w:t xml:space="preserve"> o</w:t>
      </w:r>
      <w:r w:rsidR="006E0B7E">
        <w:rPr>
          <w:noProof/>
        </w:rPr>
        <w:t> </w:t>
      </w:r>
      <w:r w:rsidR="006E0B7E" w:rsidRPr="0051561F">
        <w:rPr>
          <w:noProof/>
        </w:rPr>
        <w:t>bez</w:t>
      </w:r>
      <w:r w:rsidR="007E12CE" w:rsidRPr="0051561F">
        <w:rPr>
          <w:noProof/>
        </w:rPr>
        <w:t>pieczeństwie życia na morzu (zwanej dalej „konwencją SOLAS”)</w:t>
      </w:r>
      <w:r w:rsidR="006E0B7E" w:rsidRPr="0051561F">
        <w:rPr>
          <w:noProof/>
        </w:rPr>
        <w:t xml:space="preserve"> w</w:t>
      </w:r>
      <w:r w:rsidR="006E0B7E">
        <w:rPr>
          <w:noProof/>
        </w:rPr>
        <w:t> </w:t>
      </w:r>
      <w:r w:rsidR="006E0B7E" w:rsidRPr="0051561F">
        <w:rPr>
          <w:noProof/>
        </w:rPr>
        <w:t>odn</w:t>
      </w:r>
      <w:r w:rsidR="007E12CE" w:rsidRPr="0051561F">
        <w:rPr>
          <w:noProof/>
        </w:rPr>
        <w:t>iesieniu do pasażerskich statków typu ro-ro zaangażowanych</w:t>
      </w:r>
      <w:r w:rsidR="006E0B7E" w:rsidRPr="0051561F">
        <w:rPr>
          <w:noProof/>
        </w:rPr>
        <w:t xml:space="preserve"> w</w:t>
      </w:r>
      <w:r w:rsidR="006E0B7E">
        <w:rPr>
          <w:noProof/>
        </w:rPr>
        <w:t> </w:t>
      </w:r>
      <w:r w:rsidR="006E0B7E" w:rsidRPr="0051561F">
        <w:rPr>
          <w:noProof/>
        </w:rPr>
        <w:t>rej</w:t>
      </w:r>
      <w:r w:rsidR="007E12CE" w:rsidRPr="0051561F">
        <w:rPr>
          <w:noProof/>
        </w:rPr>
        <w:t>sy międzynarodowe.</w:t>
      </w:r>
    </w:p>
    <w:p w14:paraId="73AC7C09" w14:textId="3EB727E2" w:rsidR="00E50430" w:rsidRPr="0051561F" w:rsidRDefault="0001261C" w:rsidP="0001261C">
      <w:pPr>
        <w:pStyle w:val="ManualConsidrant"/>
        <w:rPr>
          <w:noProof/>
        </w:rPr>
      </w:pPr>
      <w:r w:rsidRPr="0001261C">
        <w:t>(3)</w:t>
      </w:r>
      <w:r w:rsidRPr="0001261C">
        <w:tab/>
      </w:r>
      <w:r w:rsidR="00451133" w:rsidRPr="0051561F">
        <w:rPr>
          <w:noProof/>
        </w:rPr>
        <w:t xml:space="preserve">Rezolucja </w:t>
      </w:r>
      <w:r w:rsidR="00451133" w:rsidRPr="006E0B7E">
        <w:rPr>
          <w:noProof/>
        </w:rPr>
        <w:t>nr</w:t>
      </w:r>
      <w:r w:rsidR="006E0B7E" w:rsidRPr="006E0B7E">
        <w:rPr>
          <w:noProof/>
        </w:rPr>
        <w:t> </w:t>
      </w:r>
      <w:r w:rsidR="00451133" w:rsidRPr="006E0B7E">
        <w:rPr>
          <w:noProof/>
        </w:rPr>
        <w:t>1</w:t>
      </w:r>
      <w:r w:rsidR="00451133" w:rsidRPr="0051561F">
        <w:rPr>
          <w:noProof/>
        </w:rPr>
        <w:t>4 Międzynarodowej Organizacji Morskiej do Międzynarodowej konwencji</w:t>
      </w:r>
      <w:r w:rsidR="006E0B7E" w:rsidRPr="0051561F">
        <w:rPr>
          <w:noProof/>
        </w:rPr>
        <w:t xml:space="preserve"> o</w:t>
      </w:r>
      <w:r w:rsidR="006E0B7E">
        <w:rPr>
          <w:noProof/>
        </w:rPr>
        <w:t> </w:t>
      </w:r>
      <w:r w:rsidR="006E0B7E" w:rsidRPr="0051561F">
        <w:rPr>
          <w:noProof/>
        </w:rPr>
        <w:t>bez</w:t>
      </w:r>
      <w:r w:rsidR="00451133" w:rsidRPr="0051561F">
        <w:rPr>
          <w:noProof/>
        </w:rPr>
        <w:t>pieczeństwie życia na morzu SOLAS</w:t>
      </w:r>
      <w:r w:rsidR="006E0B7E" w:rsidRPr="0051561F">
        <w:rPr>
          <w:noProof/>
        </w:rPr>
        <w:t xml:space="preserve"> z</w:t>
      </w:r>
      <w:r w:rsidR="006E0B7E">
        <w:rPr>
          <w:noProof/>
        </w:rPr>
        <w:t> </w:t>
      </w:r>
      <w:r w:rsidR="006E0B7E" w:rsidRPr="0051561F">
        <w:rPr>
          <w:noProof/>
        </w:rPr>
        <w:t>1</w:t>
      </w:r>
      <w:r w:rsidR="00451133" w:rsidRPr="0051561F">
        <w:rPr>
          <w:noProof/>
        </w:rPr>
        <w:t>9</w:t>
      </w:r>
      <w:r w:rsidR="00451133" w:rsidRPr="006E0B7E">
        <w:rPr>
          <w:noProof/>
        </w:rPr>
        <w:t>95</w:t>
      </w:r>
      <w:r w:rsidR="006E0B7E" w:rsidRPr="006E0B7E">
        <w:rPr>
          <w:noProof/>
        </w:rPr>
        <w:t> </w:t>
      </w:r>
      <w:r w:rsidR="00451133" w:rsidRPr="006E0B7E">
        <w:rPr>
          <w:noProof/>
        </w:rPr>
        <w:t>r.</w:t>
      </w:r>
      <w:r w:rsidR="00451133" w:rsidRPr="0051561F">
        <w:rPr>
          <w:noProof/>
        </w:rPr>
        <w:t xml:space="preserve"> umożliwiła członkom Międzynarodowej Organizacji Morskiej zawieranie umów regionalnych, jeżeli stwierdzają oni, iż panujące warunki morskie</w:t>
      </w:r>
      <w:r w:rsidR="006E0B7E" w:rsidRPr="0051561F">
        <w:rPr>
          <w:noProof/>
        </w:rPr>
        <w:t xml:space="preserve"> i</w:t>
      </w:r>
      <w:r w:rsidR="006E0B7E">
        <w:rPr>
          <w:noProof/>
        </w:rPr>
        <w:t> </w:t>
      </w:r>
      <w:r w:rsidR="006E0B7E" w:rsidRPr="0051561F">
        <w:rPr>
          <w:noProof/>
        </w:rPr>
        <w:t>inn</w:t>
      </w:r>
      <w:r w:rsidR="00451133" w:rsidRPr="0051561F">
        <w:rPr>
          <w:noProof/>
        </w:rPr>
        <w:t>e warunki lokalne wymagają szczególnych wymogów stateczności</w:t>
      </w:r>
      <w:r w:rsidR="006E0B7E" w:rsidRPr="0051561F">
        <w:rPr>
          <w:noProof/>
        </w:rPr>
        <w:t xml:space="preserve"> w</w:t>
      </w:r>
      <w:r w:rsidR="006E0B7E">
        <w:rPr>
          <w:noProof/>
        </w:rPr>
        <w:t> </w:t>
      </w:r>
      <w:r w:rsidR="006E0B7E" w:rsidRPr="0051561F">
        <w:rPr>
          <w:noProof/>
        </w:rPr>
        <w:t>wyz</w:t>
      </w:r>
      <w:r w:rsidR="00451133" w:rsidRPr="0051561F">
        <w:rPr>
          <w:noProof/>
        </w:rPr>
        <w:t>naczonym obszarze. Deterministyczne wymogi dotyczące stateczności</w:t>
      </w:r>
      <w:r w:rsidR="006E0B7E" w:rsidRPr="0051561F">
        <w:rPr>
          <w:noProof/>
        </w:rPr>
        <w:t xml:space="preserve"> w</w:t>
      </w:r>
      <w:r w:rsidR="006E0B7E">
        <w:rPr>
          <w:noProof/>
        </w:rPr>
        <w:t> </w:t>
      </w:r>
      <w:r w:rsidR="006E0B7E" w:rsidRPr="0051561F">
        <w:rPr>
          <w:noProof/>
        </w:rPr>
        <w:t>sta</w:t>
      </w:r>
      <w:r w:rsidR="00451133" w:rsidRPr="0051561F">
        <w:rPr>
          <w:noProof/>
        </w:rPr>
        <w:t>nie uszkodzonym dla pasażerskich statków typu ro-ro, określone</w:t>
      </w:r>
      <w:r w:rsidR="006E0B7E" w:rsidRPr="0051561F">
        <w:rPr>
          <w:noProof/>
        </w:rPr>
        <w:t xml:space="preserve"> w</w:t>
      </w:r>
      <w:r w:rsidR="006E0B7E">
        <w:rPr>
          <w:noProof/>
        </w:rPr>
        <w:t> </w:t>
      </w:r>
      <w:r w:rsidR="006E0B7E" w:rsidRPr="0051561F">
        <w:rPr>
          <w:noProof/>
        </w:rPr>
        <w:t>zał</w:t>
      </w:r>
      <w:r w:rsidR="00451133" w:rsidRPr="0051561F">
        <w:rPr>
          <w:noProof/>
        </w:rPr>
        <w:t>ączniku I do dyrektywy 2003/25/WE, różnią się od nowych międzynarodowych wymogów probabilistycznych, gdzie bezpieczeństwo pasażerskiego statku typu ro-ro mierzy się na podstawie prawdopodobieństwa jego przetrwania po zderzeniu. Międzynarodowy system probabilistyczny jest określony</w:t>
      </w:r>
      <w:r w:rsidR="006E0B7E" w:rsidRPr="0051561F">
        <w:rPr>
          <w:noProof/>
        </w:rPr>
        <w:t xml:space="preserve"> w</w:t>
      </w:r>
      <w:r w:rsidR="006E0B7E">
        <w:rPr>
          <w:noProof/>
        </w:rPr>
        <w:t> </w:t>
      </w:r>
      <w:r w:rsidR="006E0B7E" w:rsidRPr="0051561F">
        <w:rPr>
          <w:noProof/>
        </w:rPr>
        <w:t>roz</w:t>
      </w:r>
      <w:r w:rsidR="00451133" w:rsidRPr="0051561F">
        <w:rPr>
          <w:noProof/>
        </w:rPr>
        <w:t>dziale II-1 konwencji SOLAS. Nowe wymogi powinny zostać włączone do dyrektywy 2003/25.</w:t>
      </w:r>
    </w:p>
    <w:p w14:paraId="3B1F57FC" w14:textId="3D7EA61B" w:rsidR="00E50430" w:rsidRPr="0051561F" w:rsidRDefault="0001261C" w:rsidP="0001261C">
      <w:pPr>
        <w:pStyle w:val="ManualConsidrant"/>
        <w:rPr>
          <w:noProof/>
        </w:rPr>
      </w:pPr>
      <w:r w:rsidRPr="0001261C">
        <w:t>(4)</w:t>
      </w:r>
      <w:r w:rsidRPr="0001261C">
        <w:tab/>
      </w:r>
      <w:r w:rsidR="000F66F8" w:rsidRPr="0051561F">
        <w:rPr>
          <w:noProof/>
        </w:rPr>
        <w:t>Wymogi określone</w:t>
      </w:r>
      <w:r w:rsidR="006E0B7E" w:rsidRPr="0051561F">
        <w:rPr>
          <w:noProof/>
        </w:rPr>
        <w:t xml:space="preserve"> w</w:t>
      </w:r>
      <w:r w:rsidR="006E0B7E">
        <w:rPr>
          <w:noProof/>
        </w:rPr>
        <w:t> </w:t>
      </w:r>
      <w:r w:rsidR="006E0B7E" w:rsidRPr="0051561F">
        <w:rPr>
          <w:noProof/>
        </w:rPr>
        <w:t>dyr</w:t>
      </w:r>
      <w:r w:rsidR="000F66F8" w:rsidRPr="0051561F">
        <w:rPr>
          <w:noProof/>
        </w:rPr>
        <w:t>ektywie Parlamentu Europejskiego</w:t>
      </w:r>
      <w:r w:rsidR="006E0B7E" w:rsidRPr="0051561F">
        <w:rPr>
          <w:noProof/>
        </w:rPr>
        <w:t xml:space="preserve"> i</w:t>
      </w:r>
      <w:r w:rsidR="006E0B7E">
        <w:rPr>
          <w:noProof/>
        </w:rPr>
        <w:t> </w:t>
      </w:r>
      <w:r w:rsidR="006E0B7E" w:rsidRPr="0051561F">
        <w:rPr>
          <w:noProof/>
        </w:rPr>
        <w:t>Rad</w:t>
      </w:r>
      <w:r w:rsidR="000F66F8" w:rsidRPr="0051561F">
        <w:rPr>
          <w:noProof/>
        </w:rPr>
        <w:t>y 2009/45/WE</w:t>
      </w:r>
      <w:r w:rsidR="000F66F8" w:rsidRPr="0051561F">
        <w:rPr>
          <w:rStyle w:val="FootnoteReference"/>
          <w:noProof/>
        </w:rPr>
        <w:footnoteReference w:id="16"/>
      </w:r>
      <w:r w:rsidR="000F66F8" w:rsidRPr="0051561F">
        <w:rPr>
          <w:noProof/>
        </w:rPr>
        <w:t xml:space="preserve"> nadal mają zastosowanie do pasażerskich statków typu ro-ro. Ocena różnych rozmiarów pasażerskich statków typu ro-ro pod kątem poziomu bezpieczeństwa zapewnianego przez wymogi konwencji SOLAS 2020 doprowadziła do konkluzji, że stosowanie wymogów stateczności zgodnie</w:t>
      </w:r>
      <w:r w:rsidR="006E0B7E" w:rsidRPr="0051561F">
        <w:rPr>
          <w:noProof/>
        </w:rPr>
        <w:t xml:space="preserve"> z</w:t>
      </w:r>
      <w:r w:rsidR="006E0B7E">
        <w:rPr>
          <w:noProof/>
        </w:rPr>
        <w:t> </w:t>
      </w:r>
      <w:r w:rsidR="006E0B7E" w:rsidRPr="0051561F">
        <w:rPr>
          <w:noProof/>
        </w:rPr>
        <w:t>kon</w:t>
      </w:r>
      <w:r w:rsidR="000F66F8" w:rsidRPr="0051561F">
        <w:rPr>
          <w:noProof/>
        </w:rPr>
        <w:t>wencją SOLAS 2020 oznacza znaczące obniżenie ryzyka dla pasażerskich statków typu ro-ro certyfikowanych do przewozu ponad 1 350 osób na pokładzie</w:t>
      </w:r>
      <w:r w:rsidR="006E0B7E" w:rsidRPr="0051561F">
        <w:rPr>
          <w:noProof/>
        </w:rPr>
        <w:t xml:space="preserve"> w</w:t>
      </w:r>
      <w:r w:rsidR="006E0B7E">
        <w:rPr>
          <w:noProof/>
        </w:rPr>
        <w:t> </w:t>
      </w:r>
      <w:r w:rsidR="006E0B7E" w:rsidRPr="0051561F">
        <w:rPr>
          <w:noProof/>
        </w:rPr>
        <w:t>por</w:t>
      </w:r>
      <w:r w:rsidR="000F66F8" w:rsidRPr="0051561F">
        <w:rPr>
          <w:noProof/>
        </w:rPr>
        <w:t>ównaniu</w:t>
      </w:r>
      <w:r w:rsidR="006E0B7E" w:rsidRPr="0051561F">
        <w:rPr>
          <w:noProof/>
        </w:rPr>
        <w:t xml:space="preserve"> z</w:t>
      </w:r>
      <w:r w:rsidR="006E0B7E">
        <w:rPr>
          <w:noProof/>
        </w:rPr>
        <w:t> </w:t>
      </w:r>
      <w:r w:rsidR="006E0B7E" w:rsidRPr="0051561F">
        <w:rPr>
          <w:noProof/>
        </w:rPr>
        <w:t>wym</w:t>
      </w:r>
      <w:r w:rsidR="000F66F8" w:rsidRPr="0051561F">
        <w:rPr>
          <w:noProof/>
        </w:rPr>
        <w:t>ogami zawartymi</w:t>
      </w:r>
      <w:r w:rsidR="006E0B7E" w:rsidRPr="0051561F">
        <w:rPr>
          <w:noProof/>
        </w:rPr>
        <w:t xml:space="preserve"> w</w:t>
      </w:r>
      <w:r w:rsidR="006E0B7E">
        <w:rPr>
          <w:noProof/>
        </w:rPr>
        <w:t> </w:t>
      </w:r>
      <w:r w:rsidR="006E0B7E" w:rsidRPr="0051561F">
        <w:rPr>
          <w:noProof/>
        </w:rPr>
        <w:t>dyr</w:t>
      </w:r>
      <w:r w:rsidR="000F66F8" w:rsidRPr="0051561F">
        <w:rPr>
          <w:noProof/>
        </w:rPr>
        <w:t>ektywie 2003/25/WE, stosowanymi</w:t>
      </w:r>
      <w:r w:rsidR="006E0B7E" w:rsidRPr="0051561F">
        <w:rPr>
          <w:noProof/>
        </w:rPr>
        <w:t xml:space="preserve"> w</w:t>
      </w:r>
      <w:r w:rsidR="006E0B7E">
        <w:rPr>
          <w:noProof/>
        </w:rPr>
        <w:t> </w:t>
      </w:r>
      <w:r w:rsidR="006E0B7E" w:rsidRPr="0051561F">
        <w:rPr>
          <w:noProof/>
        </w:rPr>
        <w:t>poł</w:t>
      </w:r>
      <w:r w:rsidR="000F66F8" w:rsidRPr="0051561F">
        <w:rPr>
          <w:noProof/>
        </w:rPr>
        <w:t>ączeniu</w:t>
      </w:r>
      <w:r w:rsidR="006E0B7E" w:rsidRPr="0051561F">
        <w:rPr>
          <w:noProof/>
        </w:rPr>
        <w:t xml:space="preserve"> z</w:t>
      </w:r>
      <w:r w:rsidR="006E0B7E">
        <w:rPr>
          <w:noProof/>
        </w:rPr>
        <w:t> </w:t>
      </w:r>
      <w:r w:rsidR="006E0B7E" w:rsidRPr="0051561F">
        <w:rPr>
          <w:noProof/>
        </w:rPr>
        <w:t>kon</w:t>
      </w:r>
      <w:r w:rsidR="000F66F8" w:rsidRPr="0051561F">
        <w:rPr>
          <w:noProof/>
        </w:rPr>
        <w:t>wencją SOLAS zmienioną odpowiednimi instrumentami IMO mającymi zastosowanie</w:t>
      </w:r>
      <w:r w:rsidR="006E0B7E" w:rsidRPr="0051561F">
        <w:rPr>
          <w:noProof/>
        </w:rPr>
        <w:t xml:space="preserve"> w</w:t>
      </w:r>
      <w:r w:rsidR="006E0B7E">
        <w:rPr>
          <w:noProof/>
        </w:rPr>
        <w:t> </w:t>
      </w:r>
      <w:r w:rsidR="006E0B7E" w:rsidRPr="0051561F">
        <w:rPr>
          <w:noProof/>
        </w:rPr>
        <w:t>mom</w:t>
      </w:r>
      <w:r w:rsidR="000F66F8" w:rsidRPr="0051561F">
        <w:rPr>
          <w:noProof/>
        </w:rPr>
        <w:t xml:space="preserve">encie jej przyjęcia („SOLAS 90”). </w:t>
      </w:r>
    </w:p>
    <w:p w14:paraId="3C7F3BFC" w14:textId="30260445" w:rsidR="00E50430" w:rsidRPr="0051561F" w:rsidRDefault="0001261C" w:rsidP="0001261C">
      <w:pPr>
        <w:pStyle w:val="ManualConsidrant"/>
        <w:rPr>
          <w:noProof/>
        </w:rPr>
      </w:pPr>
      <w:r w:rsidRPr="0001261C">
        <w:t>(5)</w:t>
      </w:r>
      <w:r w:rsidRPr="0001261C">
        <w:tab/>
      </w:r>
      <w:r w:rsidR="00C227BE" w:rsidRPr="0051561F">
        <w:rPr>
          <w:noProof/>
        </w:rPr>
        <w:t>Wymogi stateczności określone</w:t>
      </w:r>
      <w:r w:rsidR="006E0B7E" w:rsidRPr="0051561F">
        <w:rPr>
          <w:noProof/>
        </w:rPr>
        <w:t xml:space="preserve"> w</w:t>
      </w:r>
      <w:r w:rsidR="006E0B7E">
        <w:rPr>
          <w:noProof/>
        </w:rPr>
        <w:t> </w:t>
      </w:r>
      <w:r w:rsidR="006E0B7E" w:rsidRPr="0051561F">
        <w:rPr>
          <w:noProof/>
        </w:rPr>
        <w:t>nin</w:t>
      </w:r>
      <w:r w:rsidR="00C227BE" w:rsidRPr="0051561F">
        <w:rPr>
          <w:noProof/>
        </w:rPr>
        <w:t>iejszej dyrektywie</w:t>
      </w:r>
      <w:r w:rsidR="006E0B7E" w:rsidRPr="0051561F">
        <w:rPr>
          <w:noProof/>
        </w:rPr>
        <w:t xml:space="preserve"> w</w:t>
      </w:r>
      <w:r w:rsidR="006E0B7E">
        <w:rPr>
          <w:noProof/>
        </w:rPr>
        <w:t> </w:t>
      </w:r>
      <w:r w:rsidR="006E0B7E" w:rsidRPr="0051561F">
        <w:rPr>
          <w:noProof/>
        </w:rPr>
        <w:t>odn</w:t>
      </w:r>
      <w:r w:rsidR="00C227BE" w:rsidRPr="0051561F">
        <w:rPr>
          <w:noProof/>
        </w:rPr>
        <w:t>iesieniu do pasażerskich statków typu ro-ro, certyfikowanych do przewozu 1 350 lub mniej osób na pokładzie, byłyby trudne do wdrożenia</w:t>
      </w:r>
      <w:r w:rsidR="006E0B7E" w:rsidRPr="0051561F">
        <w:rPr>
          <w:noProof/>
        </w:rPr>
        <w:t xml:space="preserve"> w</w:t>
      </w:r>
      <w:r w:rsidR="006E0B7E">
        <w:rPr>
          <w:noProof/>
        </w:rPr>
        <w:t> </w:t>
      </w:r>
      <w:r w:rsidR="006E0B7E" w:rsidRPr="0051561F">
        <w:rPr>
          <w:noProof/>
        </w:rPr>
        <w:t>prz</w:t>
      </w:r>
      <w:r w:rsidR="00C227BE" w:rsidRPr="0051561F">
        <w:rPr>
          <w:noProof/>
        </w:rPr>
        <w:t>ypadku niektórych konstrukcji tych statków</w:t>
      </w:r>
      <w:r w:rsidR="006E0B7E" w:rsidRPr="0051561F">
        <w:rPr>
          <w:noProof/>
        </w:rPr>
        <w:t>. W</w:t>
      </w:r>
      <w:r w:rsidR="006E0B7E">
        <w:rPr>
          <w:noProof/>
        </w:rPr>
        <w:t> </w:t>
      </w:r>
      <w:r w:rsidR="006E0B7E" w:rsidRPr="0051561F">
        <w:rPr>
          <w:noProof/>
        </w:rPr>
        <w:t>zwi</w:t>
      </w:r>
      <w:r w:rsidR="00C227BE" w:rsidRPr="0051561F">
        <w:rPr>
          <w:noProof/>
        </w:rPr>
        <w:t>ązku</w:t>
      </w:r>
      <w:r w:rsidR="006E0B7E" w:rsidRPr="0051561F">
        <w:rPr>
          <w:noProof/>
        </w:rPr>
        <w:t xml:space="preserve"> z</w:t>
      </w:r>
      <w:r w:rsidR="006E0B7E">
        <w:rPr>
          <w:noProof/>
        </w:rPr>
        <w:t> </w:t>
      </w:r>
      <w:r w:rsidR="006E0B7E" w:rsidRPr="0051561F">
        <w:rPr>
          <w:noProof/>
        </w:rPr>
        <w:t>tym</w:t>
      </w:r>
      <w:r w:rsidR="00C227BE" w:rsidRPr="0051561F">
        <w:rPr>
          <w:noProof/>
        </w:rPr>
        <w:t xml:space="preserve"> podmioty gospodarcze będące właścicielami tych statków lub korzystające</w:t>
      </w:r>
      <w:r w:rsidR="006E0B7E" w:rsidRPr="0051561F">
        <w:rPr>
          <w:noProof/>
        </w:rPr>
        <w:t xml:space="preserve"> z</w:t>
      </w:r>
      <w:r w:rsidR="006E0B7E">
        <w:rPr>
          <w:noProof/>
        </w:rPr>
        <w:t> </w:t>
      </w:r>
      <w:r w:rsidR="006E0B7E" w:rsidRPr="0051561F">
        <w:rPr>
          <w:noProof/>
        </w:rPr>
        <w:t>nic</w:t>
      </w:r>
      <w:r w:rsidR="00C227BE" w:rsidRPr="0051561F">
        <w:rPr>
          <w:noProof/>
        </w:rPr>
        <w:t>h</w:t>
      </w:r>
      <w:r w:rsidR="006E0B7E" w:rsidRPr="0051561F">
        <w:rPr>
          <w:noProof/>
        </w:rPr>
        <w:t xml:space="preserve"> w</w:t>
      </w:r>
      <w:r w:rsidR="006E0B7E">
        <w:rPr>
          <w:noProof/>
        </w:rPr>
        <w:t> </w:t>
      </w:r>
      <w:r w:rsidR="006E0B7E" w:rsidRPr="0051561F">
        <w:rPr>
          <w:noProof/>
        </w:rPr>
        <w:t>ram</w:t>
      </w:r>
      <w:r w:rsidR="00C227BE" w:rsidRPr="0051561F">
        <w:rPr>
          <w:noProof/>
        </w:rPr>
        <w:t>ach usługi rozkładowej</w:t>
      </w:r>
      <w:r w:rsidR="006E0B7E" w:rsidRPr="0051561F">
        <w:rPr>
          <w:noProof/>
        </w:rPr>
        <w:t xml:space="preserve"> w</w:t>
      </w:r>
      <w:r w:rsidR="006E0B7E">
        <w:rPr>
          <w:noProof/>
        </w:rPr>
        <w:t> </w:t>
      </w:r>
      <w:r w:rsidR="006E0B7E" w:rsidRPr="0051561F">
        <w:rPr>
          <w:noProof/>
        </w:rPr>
        <w:t>Uni</w:t>
      </w:r>
      <w:r w:rsidR="00C227BE" w:rsidRPr="0051561F">
        <w:rPr>
          <w:noProof/>
        </w:rPr>
        <w:t>i powinny mieć możliwość stosowania wymogów stateczności mających zastosowanie przed wejściem</w:t>
      </w:r>
      <w:r w:rsidR="006E0B7E" w:rsidRPr="0051561F">
        <w:rPr>
          <w:noProof/>
        </w:rPr>
        <w:t xml:space="preserve"> w</w:t>
      </w:r>
      <w:r w:rsidR="006E0B7E">
        <w:rPr>
          <w:noProof/>
        </w:rPr>
        <w:t> </w:t>
      </w:r>
      <w:r w:rsidR="006E0B7E" w:rsidRPr="0051561F">
        <w:rPr>
          <w:noProof/>
        </w:rPr>
        <w:t>życ</w:t>
      </w:r>
      <w:r w:rsidR="00C227BE" w:rsidRPr="0051561F">
        <w:rPr>
          <w:noProof/>
        </w:rPr>
        <w:t>ie niniejszej dyrektywy. Państwa członkowskie powinny powiadamiać Komisję</w:t>
      </w:r>
      <w:r w:rsidR="006E0B7E" w:rsidRPr="0051561F">
        <w:rPr>
          <w:noProof/>
        </w:rPr>
        <w:t xml:space="preserve"> o</w:t>
      </w:r>
      <w:r w:rsidR="006E0B7E">
        <w:rPr>
          <w:noProof/>
        </w:rPr>
        <w:t> </w:t>
      </w:r>
      <w:r w:rsidR="006E0B7E" w:rsidRPr="0051561F">
        <w:rPr>
          <w:noProof/>
        </w:rPr>
        <w:t>kor</w:t>
      </w:r>
      <w:r w:rsidR="00C227BE" w:rsidRPr="0051561F">
        <w:rPr>
          <w:noProof/>
        </w:rPr>
        <w:t>zystaniu</w:t>
      </w:r>
      <w:r w:rsidR="006E0B7E" w:rsidRPr="0051561F">
        <w:rPr>
          <w:noProof/>
        </w:rPr>
        <w:t xml:space="preserve"> z</w:t>
      </w:r>
      <w:r w:rsidR="006E0B7E">
        <w:rPr>
          <w:noProof/>
        </w:rPr>
        <w:t> </w:t>
      </w:r>
      <w:r w:rsidR="006E0B7E" w:rsidRPr="0051561F">
        <w:rPr>
          <w:noProof/>
        </w:rPr>
        <w:t>tak</w:t>
      </w:r>
      <w:r w:rsidR="00C227BE" w:rsidRPr="0051561F">
        <w:rPr>
          <w:noProof/>
        </w:rPr>
        <w:t>iej opcji, przekazując równocześnie zbiór danych dotyczących odnośnych statków. Po dziesięciu latach od wejścia</w:t>
      </w:r>
      <w:r w:rsidR="006E0B7E" w:rsidRPr="0051561F">
        <w:rPr>
          <w:noProof/>
        </w:rPr>
        <w:t xml:space="preserve"> w</w:t>
      </w:r>
      <w:r w:rsidR="006E0B7E">
        <w:rPr>
          <w:noProof/>
        </w:rPr>
        <w:t> </w:t>
      </w:r>
      <w:r w:rsidR="006E0B7E" w:rsidRPr="0051561F">
        <w:rPr>
          <w:noProof/>
        </w:rPr>
        <w:t>życ</w:t>
      </w:r>
      <w:r w:rsidR="00C227BE" w:rsidRPr="0051561F">
        <w:rPr>
          <w:noProof/>
        </w:rPr>
        <w:t>ie niniejszej dyrektywy Komisja powinna ocenić wykorzystanie tej opcji</w:t>
      </w:r>
      <w:r w:rsidR="006E0B7E" w:rsidRPr="0051561F">
        <w:rPr>
          <w:noProof/>
        </w:rPr>
        <w:t xml:space="preserve"> w</w:t>
      </w:r>
      <w:r w:rsidR="006E0B7E">
        <w:rPr>
          <w:noProof/>
        </w:rPr>
        <w:t> </w:t>
      </w:r>
      <w:r w:rsidR="006E0B7E" w:rsidRPr="0051561F">
        <w:rPr>
          <w:noProof/>
        </w:rPr>
        <w:t>cel</w:t>
      </w:r>
      <w:r w:rsidR="00C227BE" w:rsidRPr="0051561F">
        <w:rPr>
          <w:noProof/>
        </w:rPr>
        <w:t>u podjęcia decyzji</w:t>
      </w:r>
      <w:r w:rsidR="006E0B7E" w:rsidRPr="0051561F">
        <w:rPr>
          <w:noProof/>
        </w:rPr>
        <w:t xml:space="preserve"> o</w:t>
      </w:r>
      <w:r w:rsidR="006E0B7E">
        <w:rPr>
          <w:noProof/>
        </w:rPr>
        <w:t> </w:t>
      </w:r>
      <w:r w:rsidR="006E0B7E" w:rsidRPr="0051561F">
        <w:rPr>
          <w:noProof/>
        </w:rPr>
        <w:t>kol</w:t>
      </w:r>
      <w:r w:rsidR="00C227BE" w:rsidRPr="0051561F">
        <w:rPr>
          <w:noProof/>
        </w:rPr>
        <w:t>ejnej nowelizacji niniejszej dyrektywy.</w:t>
      </w:r>
    </w:p>
    <w:p w14:paraId="782CF96D" w14:textId="0ADF35F7" w:rsidR="00BD09BA" w:rsidRPr="0051561F" w:rsidRDefault="0001261C" w:rsidP="0001261C">
      <w:pPr>
        <w:pStyle w:val="ManualConsidrant"/>
        <w:rPr>
          <w:noProof/>
        </w:rPr>
      </w:pPr>
      <w:r w:rsidRPr="0001261C">
        <w:t>(6)</w:t>
      </w:r>
      <w:r w:rsidRPr="0001261C">
        <w:tab/>
      </w:r>
      <w:r w:rsidR="00BD09BA" w:rsidRPr="0051561F">
        <w:rPr>
          <w:noProof/>
        </w:rPr>
        <w:t>W przypadku pasażerskich statków typu ro-ro certyfikowanych do przewozu 1 350 lub mniej osób na pokładzie opcjonalne stosowanie wymogów SOLAS 2020 powinno być uzależnione od zapewnienia wyższego poziomu wskaźnika R niż określony</w:t>
      </w:r>
      <w:r w:rsidR="006E0B7E" w:rsidRPr="0051561F">
        <w:rPr>
          <w:noProof/>
        </w:rPr>
        <w:t xml:space="preserve"> w</w:t>
      </w:r>
      <w:r w:rsidR="006E0B7E">
        <w:rPr>
          <w:noProof/>
        </w:rPr>
        <w:t> </w:t>
      </w:r>
      <w:r w:rsidR="006E0B7E" w:rsidRPr="0051561F">
        <w:rPr>
          <w:noProof/>
        </w:rPr>
        <w:t>tej</w:t>
      </w:r>
      <w:r w:rsidR="00BD09BA" w:rsidRPr="0051561F">
        <w:rPr>
          <w:noProof/>
        </w:rPr>
        <w:t xml:space="preserve"> konwencji,</w:t>
      </w:r>
      <w:r w:rsidR="006E0B7E" w:rsidRPr="0051561F">
        <w:rPr>
          <w:noProof/>
        </w:rPr>
        <w:t xml:space="preserve"> w</w:t>
      </w:r>
      <w:r w:rsidR="006E0B7E">
        <w:rPr>
          <w:noProof/>
        </w:rPr>
        <w:t> </w:t>
      </w:r>
      <w:r w:rsidR="006E0B7E" w:rsidRPr="0051561F">
        <w:rPr>
          <w:noProof/>
        </w:rPr>
        <w:t>cel</w:t>
      </w:r>
      <w:r w:rsidR="00BD09BA" w:rsidRPr="0051561F">
        <w:rPr>
          <w:noProof/>
        </w:rPr>
        <w:t>u osiągnięcia odpowiedniego poziomu bezpieczeństwa.</w:t>
      </w:r>
    </w:p>
    <w:p w14:paraId="7069C45A" w14:textId="385408B7" w:rsidR="00E50430" w:rsidRPr="0051561F" w:rsidRDefault="0001261C" w:rsidP="0001261C">
      <w:pPr>
        <w:pStyle w:val="ManualConsidrant"/>
        <w:rPr>
          <w:noProof/>
        </w:rPr>
      </w:pPr>
      <w:r w:rsidRPr="0001261C">
        <w:t>(7)</w:t>
      </w:r>
      <w:r w:rsidRPr="0001261C">
        <w:tab/>
      </w:r>
      <w:r w:rsidR="00FD5F01" w:rsidRPr="0051561F">
        <w:rPr>
          <w:noProof/>
        </w:rPr>
        <w:t>Aby zapewnić niezbędny poziom bezpieczeństwa, szczególne wymogi stateczności</w:t>
      </w:r>
      <w:r w:rsidR="006E0B7E" w:rsidRPr="0051561F">
        <w:rPr>
          <w:noProof/>
        </w:rPr>
        <w:t xml:space="preserve"> w</w:t>
      </w:r>
      <w:r w:rsidR="006E0B7E">
        <w:rPr>
          <w:noProof/>
        </w:rPr>
        <w:t> </w:t>
      </w:r>
      <w:r w:rsidR="006E0B7E" w:rsidRPr="0051561F">
        <w:rPr>
          <w:noProof/>
        </w:rPr>
        <w:t>sta</w:t>
      </w:r>
      <w:r w:rsidR="00FD5F01" w:rsidRPr="0051561F">
        <w:rPr>
          <w:noProof/>
        </w:rPr>
        <w:t>nie uszkodzonym powinny mieć również zastosowanie do istniejących pasażerskich statków typu ro-ro, które nie były nigdy certyfikowane zgodnie</w:t>
      </w:r>
      <w:r w:rsidR="006E0B7E" w:rsidRPr="0051561F">
        <w:rPr>
          <w:noProof/>
        </w:rPr>
        <w:t xml:space="preserve"> z</w:t>
      </w:r>
      <w:r w:rsidR="006E0B7E">
        <w:rPr>
          <w:noProof/>
        </w:rPr>
        <w:t> </w:t>
      </w:r>
      <w:r w:rsidR="006E0B7E" w:rsidRPr="0051561F">
        <w:rPr>
          <w:noProof/>
        </w:rPr>
        <w:t>dyr</w:t>
      </w:r>
      <w:r w:rsidR="00FD5F01" w:rsidRPr="0051561F">
        <w:rPr>
          <w:noProof/>
        </w:rPr>
        <w:t>ektywą 2003/25/WE</w:t>
      </w:r>
      <w:r w:rsidR="006E0B7E" w:rsidRPr="0051561F">
        <w:rPr>
          <w:noProof/>
        </w:rPr>
        <w:t xml:space="preserve"> i</w:t>
      </w:r>
      <w:r w:rsidR="006E0B7E">
        <w:rPr>
          <w:noProof/>
        </w:rPr>
        <w:t> </w:t>
      </w:r>
      <w:r w:rsidR="006E0B7E" w:rsidRPr="0051561F">
        <w:rPr>
          <w:noProof/>
        </w:rPr>
        <w:t>któ</w:t>
      </w:r>
      <w:r w:rsidR="00FD5F01" w:rsidRPr="0051561F">
        <w:rPr>
          <w:noProof/>
        </w:rPr>
        <w:t>re rozpoczynają świadczenie usługi rozkładowej</w:t>
      </w:r>
      <w:r w:rsidR="006E0B7E" w:rsidRPr="0051561F">
        <w:rPr>
          <w:noProof/>
        </w:rPr>
        <w:t xml:space="preserve"> w</w:t>
      </w:r>
      <w:r w:rsidR="006E0B7E">
        <w:rPr>
          <w:noProof/>
        </w:rPr>
        <w:t> </w:t>
      </w:r>
      <w:r w:rsidR="006E0B7E" w:rsidRPr="0051561F">
        <w:rPr>
          <w:noProof/>
        </w:rPr>
        <w:t>Uni</w:t>
      </w:r>
      <w:r w:rsidR="00FD5F01" w:rsidRPr="0051561F">
        <w:rPr>
          <w:noProof/>
        </w:rPr>
        <w:t>i.</w:t>
      </w:r>
    </w:p>
    <w:p w14:paraId="249EB758" w14:textId="7CA3F0A6" w:rsidR="00A4372D" w:rsidRPr="0051561F" w:rsidRDefault="0001261C" w:rsidP="0001261C">
      <w:pPr>
        <w:pStyle w:val="ManualConsidrant"/>
        <w:rPr>
          <w:noProof/>
        </w:rPr>
      </w:pPr>
      <w:r w:rsidRPr="0001261C">
        <w:t>(8)</w:t>
      </w:r>
      <w:r w:rsidRPr="0001261C">
        <w:tab/>
      </w:r>
      <w:r w:rsidR="00FD5F01" w:rsidRPr="0051561F">
        <w:rPr>
          <w:noProof/>
        </w:rPr>
        <w:t>Aby umożliwić Komisji ocenę niniejszej dyrektywy oraz przedstawienie Parlamentowi Europejskiemu</w:t>
      </w:r>
      <w:r w:rsidR="006E0B7E" w:rsidRPr="0051561F">
        <w:rPr>
          <w:noProof/>
        </w:rPr>
        <w:t xml:space="preserve"> i</w:t>
      </w:r>
      <w:r w:rsidR="006E0B7E">
        <w:rPr>
          <w:noProof/>
        </w:rPr>
        <w:t> </w:t>
      </w:r>
      <w:r w:rsidR="006E0B7E" w:rsidRPr="0051561F">
        <w:rPr>
          <w:noProof/>
        </w:rPr>
        <w:t>Rad</w:t>
      </w:r>
      <w:r w:rsidR="00FD5F01" w:rsidRPr="0051561F">
        <w:rPr>
          <w:noProof/>
        </w:rPr>
        <w:t xml:space="preserve">zie sprawozdania na temat jej wykonania do dnia </w:t>
      </w:r>
      <w:r w:rsidR="00FD5F01" w:rsidRPr="0051561F">
        <w:rPr>
          <w:i/>
          <w:noProof/>
        </w:rPr>
        <w:t>[UP: proszę wstawić datę: dziesięć lat od wejścia</w:t>
      </w:r>
      <w:r w:rsidR="006E0B7E" w:rsidRPr="0051561F">
        <w:rPr>
          <w:i/>
          <w:noProof/>
        </w:rPr>
        <w:t xml:space="preserve"> w</w:t>
      </w:r>
      <w:r w:rsidR="006E0B7E">
        <w:rPr>
          <w:i/>
          <w:noProof/>
        </w:rPr>
        <w:t> </w:t>
      </w:r>
      <w:r w:rsidR="006E0B7E" w:rsidRPr="0051561F">
        <w:rPr>
          <w:i/>
          <w:noProof/>
        </w:rPr>
        <w:t>życ</w:t>
      </w:r>
      <w:r w:rsidR="00FD5F01" w:rsidRPr="0051561F">
        <w:rPr>
          <w:i/>
          <w:noProof/>
        </w:rPr>
        <w:t>ie niniejszej dyrektywy zmieniającej]</w:t>
      </w:r>
      <w:r w:rsidR="00FD5F01" w:rsidRPr="0051561F">
        <w:rPr>
          <w:noProof/>
        </w:rPr>
        <w:t xml:space="preserve"> r., państwa członkowskie powinny dostarczać dane dotyczące każdego nowego pasażerskiego statku typu ro-ro certyfikowanego po dniu </w:t>
      </w:r>
      <w:r w:rsidR="00FD5F01" w:rsidRPr="0051561F">
        <w:rPr>
          <w:i/>
          <w:noProof/>
        </w:rPr>
        <w:t>[UP: proszę wstawić datę: jeden rok od wejścia</w:t>
      </w:r>
      <w:r w:rsidR="006E0B7E" w:rsidRPr="0051561F">
        <w:rPr>
          <w:i/>
          <w:noProof/>
        </w:rPr>
        <w:t xml:space="preserve"> w</w:t>
      </w:r>
      <w:r w:rsidR="006E0B7E">
        <w:rPr>
          <w:i/>
          <w:noProof/>
        </w:rPr>
        <w:t> </w:t>
      </w:r>
      <w:r w:rsidR="006E0B7E" w:rsidRPr="0051561F">
        <w:rPr>
          <w:i/>
          <w:noProof/>
        </w:rPr>
        <w:t>życ</w:t>
      </w:r>
      <w:r w:rsidR="00FD5F01" w:rsidRPr="0051561F">
        <w:rPr>
          <w:i/>
          <w:noProof/>
        </w:rPr>
        <w:t>ie niniejszej dyrektywy zmieniającej]</w:t>
      </w:r>
      <w:r w:rsidR="00FD5F01" w:rsidRPr="0051561F">
        <w:rPr>
          <w:noProof/>
        </w:rPr>
        <w:t xml:space="preserve"> r.</w:t>
      </w:r>
      <w:r w:rsidR="006E0B7E" w:rsidRPr="0051561F">
        <w:rPr>
          <w:noProof/>
        </w:rPr>
        <w:t xml:space="preserve"> w</w:t>
      </w:r>
      <w:r w:rsidR="006E0B7E">
        <w:rPr>
          <w:noProof/>
        </w:rPr>
        <w:t> </w:t>
      </w:r>
      <w:r w:rsidR="006E0B7E" w:rsidRPr="0051561F">
        <w:rPr>
          <w:noProof/>
        </w:rPr>
        <w:t>odn</w:t>
      </w:r>
      <w:r w:rsidR="00FD5F01" w:rsidRPr="0051561F">
        <w:rPr>
          <w:noProof/>
        </w:rPr>
        <w:t>iesieniu do usługi rozkładowej świadczonej zgodnie</w:t>
      </w:r>
      <w:r w:rsidR="006E0B7E" w:rsidRPr="0051561F">
        <w:rPr>
          <w:noProof/>
        </w:rPr>
        <w:t xml:space="preserve"> z</w:t>
      </w:r>
      <w:r w:rsidR="006E0B7E">
        <w:rPr>
          <w:noProof/>
        </w:rPr>
        <w:t> </w:t>
      </w:r>
      <w:r w:rsidR="006E0B7E" w:rsidRPr="0051561F">
        <w:rPr>
          <w:noProof/>
        </w:rPr>
        <w:t>wym</w:t>
      </w:r>
      <w:r w:rsidR="00FD5F01" w:rsidRPr="0051561F">
        <w:rPr>
          <w:noProof/>
        </w:rPr>
        <w:t>ogami stateczności zawartymi</w:t>
      </w:r>
      <w:r w:rsidR="006E0B7E" w:rsidRPr="0051561F">
        <w:rPr>
          <w:noProof/>
        </w:rPr>
        <w:t xml:space="preserve"> w</w:t>
      </w:r>
      <w:r w:rsidR="006E0B7E">
        <w:rPr>
          <w:noProof/>
        </w:rPr>
        <w:t> </w:t>
      </w:r>
      <w:r w:rsidR="006E0B7E" w:rsidRPr="0051561F">
        <w:rPr>
          <w:noProof/>
        </w:rPr>
        <w:t>nin</w:t>
      </w:r>
      <w:r w:rsidR="00FD5F01" w:rsidRPr="0051561F">
        <w:rPr>
          <w:noProof/>
        </w:rPr>
        <w:t>iejszej dyrektywie, według struktury określonej</w:t>
      </w:r>
      <w:r w:rsidR="006E0B7E" w:rsidRPr="0051561F">
        <w:rPr>
          <w:noProof/>
        </w:rPr>
        <w:t xml:space="preserve"> w</w:t>
      </w:r>
      <w:r w:rsidR="006E0B7E">
        <w:rPr>
          <w:noProof/>
        </w:rPr>
        <w:t> </w:t>
      </w:r>
      <w:r w:rsidR="006E0B7E" w:rsidRPr="0051561F">
        <w:rPr>
          <w:noProof/>
        </w:rPr>
        <w:t>zał</w:t>
      </w:r>
      <w:r w:rsidR="00FD5F01" w:rsidRPr="0051561F">
        <w:rPr>
          <w:noProof/>
        </w:rPr>
        <w:t>ączniku.</w:t>
      </w:r>
    </w:p>
    <w:p w14:paraId="77EC6E2D" w14:textId="00EC19BC" w:rsidR="00E50430" w:rsidRPr="0051561F" w:rsidRDefault="0001261C" w:rsidP="0001261C">
      <w:pPr>
        <w:pStyle w:val="ManualConsidrant"/>
        <w:rPr>
          <w:noProof/>
        </w:rPr>
      </w:pPr>
      <w:r w:rsidRPr="0001261C">
        <w:t>(9)</w:t>
      </w:r>
      <w:r w:rsidRPr="0001261C">
        <w:tab/>
      </w:r>
      <w:r w:rsidR="0088529F" w:rsidRPr="0051561F">
        <w:rPr>
          <w:noProof/>
        </w:rPr>
        <w:t>Ponieważ dyrektywa Parlamentu Europejskiego</w:t>
      </w:r>
      <w:r w:rsidR="006E0B7E" w:rsidRPr="0051561F">
        <w:rPr>
          <w:noProof/>
        </w:rPr>
        <w:t xml:space="preserve"> i</w:t>
      </w:r>
      <w:r w:rsidR="006E0B7E">
        <w:rPr>
          <w:noProof/>
        </w:rPr>
        <w:t> </w:t>
      </w:r>
      <w:r w:rsidR="006E0B7E" w:rsidRPr="0051561F">
        <w:rPr>
          <w:noProof/>
        </w:rPr>
        <w:t>Rad</w:t>
      </w:r>
      <w:r w:rsidR="0088529F" w:rsidRPr="0051561F">
        <w:rPr>
          <w:noProof/>
        </w:rPr>
        <w:t>y 2009/16/WE</w:t>
      </w:r>
      <w:r w:rsidR="0088529F" w:rsidRPr="0051561F">
        <w:rPr>
          <w:rStyle w:val="FootnoteReference"/>
          <w:noProof/>
        </w:rPr>
        <w:footnoteReference w:id="17"/>
      </w:r>
      <w:r w:rsidR="0088529F" w:rsidRPr="0051561F">
        <w:rPr>
          <w:noProof/>
        </w:rPr>
        <w:t xml:space="preserve"> została zmieniona,</w:t>
      </w:r>
      <w:r w:rsidR="006E0B7E" w:rsidRPr="0051561F">
        <w:rPr>
          <w:noProof/>
        </w:rPr>
        <w:t xml:space="preserve"> a</w:t>
      </w:r>
      <w:r w:rsidR="006E0B7E">
        <w:rPr>
          <w:noProof/>
        </w:rPr>
        <w:t> </w:t>
      </w:r>
      <w:r w:rsidR="006E0B7E" w:rsidRPr="0051561F">
        <w:rPr>
          <w:noProof/>
        </w:rPr>
        <w:t>dyr</w:t>
      </w:r>
      <w:r w:rsidR="0088529F" w:rsidRPr="0051561F">
        <w:rPr>
          <w:noProof/>
        </w:rPr>
        <w:t>ektywa Rady 1999/35/WE</w:t>
      </w:r>
      <w:r w:rsidR="0088529F" w:rsidRPr="0051561F">
        <w:rPr>
          <w:rStyle w:val="FootnoteReference"/>
          <w:noProof/>
        </w:rPr>
        <w:footnoteReference w:id="18"/>
      </w:r>
      <w:r w:rsidR="0088529F" w:rsidRPr="0051561F">
        <w:rPr>
          <w:noProof/>
        </w:rPr>
        <w:t xml:space="preserve"> została uchylona dyrektywą Parlamentu Europejskiego</w:t>
      </w:r>
      <w:r w:rsidR="006E0B7E" w:rsidRPr="0051561F">
        <w:rPr>
          <w:noProof/>
        </w:rPr>
        <w:t xml:space="preserve"> i</w:t>
      </w:r>
      <w:r w:rsidR="006E0B7E">
        <w:rPr>
          <w:noProof/>
        </w:rPr>
        <w:t> </w:t>
      </w:r>
      <w:r w:rsidR="006E0B7E" w:rsidRPr="0051561F">
        <w:rPr>
          <w:noProof/>
        </w:rPr>
        <w:t>Rad</w:t>
      </w:r>
      <w:r w:rsidR="0088529F" w:rsidRPr="0051561F">
        <w:rPr>
          <w:noProof/>
        </w:rPr>
        <w:t>y (UE) 2017/2110</w:t>
      </w:r>
      <w:r w:rsidR="0088529F" w:rsidRPr="0051561F">
        <w:rPr>
          <w:rStyle w:val="FootnoteReference"/>
          <w:noProof/>
        </w:rPr>
        <w:footnoteReference w:id="19"/>
      </w:r>
      <w:r w:rsidR="0088529F" w:rsidRPr="0051561F">
        <w:rPr>
          <w:noProof/>
        </w:rPr>
        <w:t>, pojęcie „państwa goszczącego” nie ma już zastosowania</w:t>
      </w:r>
      <w:r w:rsidR="006E0B7E" w:rsidRPr="0051561F">
        <w:rPr>
          <w:noProof/>
        </w:rPr>
        <w:t xml:space="preserve"> i</w:t>
      </w:r>
      <w:r w:rsidR="006E0B7E">
        <w:rPr>
          <w:noProof/>
        </w:rPr>
        <w:t> </w:t>
      </w:r>
      <w:r w:rsidR="006E0B7E" w:rsidRPr="0051561F">
        <w:rPr>
          <w:noProof/>
        </w:rPr>
        <w:t>w</w:t>
      </w:r>
      <w:r w:rsidR="006E0B7E">
        <w:rPr>
          <w:noProof/>
        </w:rPr>
        <w:t> </w:t>
      </w:r>
      <w:r w:rsidR="006E0B7E" w:rsidRPr="0051561F">
        <w:rPr>
          <w:noProof/>
        </w:rPr>
        <w:t>zwi</w:t>
      </w:r>
      <w:r w:rsidR="0088529F" w:rsidRPr="0051561F">
        <w:rPr>
          <w:noProof/>
        </w:rPr>
        <w:t>ązku</w:t>
      </w:r>
      <w:r w:rsidR="006E0B7E" w:rsidRPr="0051561F">
        <w:rPr>
          <w:noProof/>
        </w:rPr>
        <w:t xml:space="preserve"> z</w:t>
      </w:r>
      <w:r w:rsidR="006E0B7E">
        <w:rPr>
          <w:noProof/>
        </w:rPr>
        <w:t> </w:t>
      </w:r>
      <w:r w:rsidR="006E0B7E" w:rsidRPr="0051561F">
        <w:rPr>
          <w:noProof/>
        </w:rPr>
        <w:t>tym</w:t>
      </w:r>
      <w:r w:rsidR="0088529F" w:rsidRPr="0051561F">
        <w:rPr>
          <w:noProof/>
        </w:rPr>
        <w:t xml:space="preserve"> należy je zastąpić pojęciem „państwa portu”. </w:t>
      </w:r>
    </w:p>
    <w:p w14:paraId="444BB1ED" w14:textId="370CCB9D" w:rsidR="00E50430" w:rsidRPr="0051561F" w:rsidRDefault="0001261C" w:rsidP="0001261C">
      <w:pPr>
        <w:pStyle w:val="ManualConsidrant"/>
        <w:rPr>
          <w:noProof/>
        </w:rPr>
      </w:pPr>
      <w:r w:rsidRPr="0001261C">
        <w:t>(10)</w:t>
      </w:r>
      <w:r w:rsidRPr="0001261C">
        <w:tab/>
      </w:r>
      <w:r w:rsidR="009E2869" w:rsidRPr="0051561F">
        <w:rPr>
          <w:noProof/>
        </w:rPr>
        <w:t>Należy zatem odpowiednio zmienić dyrektywę 2003/25/WE,</w:t>
      </w:r>
    </w:p>
    <w:p w14:paraId="26F5BB6C" w14:textId="77777777" w:rsidR="005B3330" w:rsidRPr="0051561F" w:rsidRDefault="005B3330" w:rsidP="007800DD">
      <w:pPr>
        <w:pStyle w:val="Formuledadoption"/>
        <w:rPr>
          <w:noProof/>
        </w:rPr>
      </w:pPr>
      <w:r w:rsidRPr="0051561F">
        <w:rPr>
          <w:noProof/>
        </w:rPr>
        <w:t>PRZYJMUJĄ NINIEJSZĄ DYREKTYWĘ:</w:t>
      </w:r>
    </w:p>
    <w:p w14:paraId="3C23EE69" w14:textId="77777777" w:rsidR="005B3330" w:rsidRPr="0051561F" w:rsidRDefault="005B3330" w:rsidP="007800DD">
      <w:pPr>
        <w:pStyle w:val="Titrearticle"/>
        <w:rPr>
          <w:noProof/>
        </w:rPr>
      </w:pPr>
      <w:r w:rsidRPr="0051561F">
        <w:rPr>
          <w:noProof/>
        </w:rPr>
        <w:t>Artykuł 1</w:t>
      </w:r>
    </w:p>
    <w:p w14:paraId="497DF342" w14:textId="48B75D99" w:rsidR="00F60D5A" w:rsidRPr="0051561F" w:rsidRDefault="00F60D5A" w:rsidP="00F60D5A">
      <w:pPr>
        <w:pStyle w:val="Titrearticle"/>
        <w:rPr>
          <w:noProof/>
        </w:rPr>
      </w:pPr>
      <w:r w:rsidRPr="0051561F">
        <w:rPr>
          <w:noProof/>
        </w:rPr>
        <w:t>Zmiany</w:t>
      </w:r>
      <w:r w:rsidR="006E0B7E" w:rsidRPr="0051561F">
        <w:rPr>
          <w:noProof/>
        </w:rPr>
        <w:t xml:space="preserve"> w</w:t>
      </w:r>
      <w:r w:rsidR="006E0B7E">
        <w:rPr>
          <w:noProof/>
        </w:rPr>
        <w:t> </w:t>
      </w:r>
      <w:r w:rsidR="006E0B7E" w:rsidRPr="0051561F">
        <w:rPr>
          <w:noProof/>
        </w:rPr>
        <w:t>dyr</w:t>
      </w:r>
      <w:r w:rsidRPr="0051561F">
        <w:rPr>
          <w:noProof/>
        </w:rPr>
        <w:t>ektywie 2003/25/WE</w:t>
      </w:r>
    </w:p>
    <w:p w14:paraId="7FE9FEE5" w14:textId="77777777" w:rsidR="009A2248" w:rsidRPr="0051561F" w:rsidRDefault="009A2248" w:rsidP="009A2248">
      <w:pPr>
        <w:rPr>
          <w:b/>
          <w:noProof/>
        </w:rPr>
      </w:pPr>
      <w:r w:rsidRPr="0051561F">
        <w:rPr>
          <w:noProof/>
        </w:rPr>
        <w:t xml:space="preserve">W dyrektywie 2003/25/WE wprowadza się następujące zmiany: </w:t>
      </w:r>
    </w:p>
    <w:p w14:paraId="4EE481D0" w14:textId="2C3A68EF" w:rsidR="005B3330" w:rsidRPr="0051561F" w:rsidRDefault="00DA30EC" w:rsidP="00DA30EC">
      <w:pPr>
        <w:pStyle w:val="Point0"/>
        <w:rPr>
          <w:noProof/>
        </w:rPr>
      </w:pPr>
      <w:r>
        <w:rPr>
          <w:noProof/>
        </w:rPr>
        <w:t>1)</w:t>
      </w:r>
      <w:r>
        <w:rPr>
          <w:noProof/>
        </w:rPr>
        <w:tab/>
      </w:r>
      <w:r w:rsidR="00F60D5A" w:rsidRPr="0051561F">
        <w:rPr>
          <w:noProof/>
        </w:rPr>
        <w:t xml:space="preserve">w </w:t>
      </w:r>
      <w:r w:rsidR="00F60D5A" w:rsidRPr="006E0B7E">
        <w:rPr>
          <w:noProof/>
        </w:rPr>
        <w:t>art.</w:t>
      </w:r>
      <w:r w:rsidR="006E0B7E" w:rsidRPr="006E0B7E">
        <w:rPr>
          <w:noProof/>
        </w:rPr>
        <w:t> </w:t>
      </w:r>
      <w:r w:rsidR="00F60D5A" w:rsidRPr="006E0B7E">
        <w:rPr>
          <w:noProof/>
        </w:rPr>
        <w:t>2</w:t>
      </w:r>
      <w:r w:rsidR="00F60D5A" w:rsidRPr="0051561F">
        <w:rPr>
          <w:noProof/>
        </w:rPr>
        <w:t xml:space="preserve"> wprowadza się następujące zmiany:</w:t>
      </w:r>
    </w:p>
    <w:p w14:paraId="2F54F4AF" w14:textId="15042AC6" w:rsidR="00F60D5A" w:rsidRPr="0051561F" w:rsidRDefault="00DA30EC" w:rsidP="00DA30EC">
      <w:pPr>
        <w:pStyle w:val="Point1"/>
        <w:rPr>
          <w:noProof/>
        </w:rPr>
      </w:pPr>
      <w:r>
        <w:rPr>
          <w:noProof/>
        </w:rPr>
        <w:t>a)</w:t>
      </w:r>
      <w:r>
        <w:rPr>
          <w:noProof/>
        </w:rPr>
        <w:tab/>
      </w:r>
      <w:r w:rsidR="0088745B" w:rsidRPr="0051561F">
        <w:rPr>
          <w:noProof/>
        </w:rPr>
        <w:t xml:space="preserve">lit. b) i c) otrzymują brzmienie: </w:t>
      </w:r>
    </w:p>
    <w:p w14:paraId="693BBB88" w14:textId="6F248518" w:rsidR="00F60D5A" w:rsidRPr="0051561F" w:rsidRDefault="00DE0484" w:rsidP="00487712">
      <w:pPr>
        <w:pStyle w:val="Text2"/>
        <w:rPr>
          <w:noProof/>
        </w:rPr>
      </w:pPr>
      <w:r w:rsidRPr="0051561F">
        <w:rPr>
          <w:noProof/>
        </w:rPr>
        <w:t xml:space="preserve">„b) »istniejący pasażerski statek typu ro-ro« oznacza pasażerski statek typu ro-ro, którego stępka została położona lub który znajdował się na podobnym etapie budowy przed dniem </w:t>
      </w:r>
      <w:r w:rsidRPr="0051561F">
        <w:rPr>
          <w:i/>
          <w:noProof/>
        </w:rPr>
        <w:t>[Urząd Publikacji: proszę wstawić datę: jeden rok od daty wejścia</w:t>
      </w:r>
      <w:r w:rsidR="006E0B7E" w:rsidRPr="0051561F">
        <w:rPr>
          <w:i/>
          <w:noProof/>
        </w:rPr>
        <w:t xml:space="preserve"> w</w:t>
      </w:r>
      <w:r w:rsidR="006E0B7E">
        <w:rPr>
          <w:i/>
          <w:noProof/>
        </w:rPr>
        <w:t> </w:t>
      </w:r>
      <w:r w:rsidR="006E0B7E" w:rsidRPr="0051561F">
        <w:rPr>
          <w:i/>
          <w:noProof/>
        </w:rPr>
        <w:t>życ</w:t>
      </w:r>
      <w:r w:rsidRPr="0051561F">
        <w:rPr>
          <w:i/>
          <w:noProof/>
        </w:rPr>
        <w:t>ie niniejszej dyrektywy zmieniającej]</w:t>
      </w:r>
      <w:r w:rsidRPr="0051561F">
        <w:rPr>
          <w:noProof/>
        </w:rPr>
        <w:t xml:space="preserve"> r.; Za podobny etap budowy uważa się etap, na którym:</w:t>
      </w:r>
    </w:p>
    <w:p w14:paraId="33964811" w14:textId="7D17A03B" w:rsidR="00F60D5A" w:rsidRPr="0051561F" w:rsidRDefault="006408E9" w:rsidP="00487712">
      <w:pPr>
        <w:pStyle w:val="Point3"/>
        <w:rPr>
          <w:noProof/>
        </w:rPr>
      </w:pPr>
      <w:r w:rsidRPr="0051561F">
        <w:rPr>
          <w:noProof/>
        </w:rPr>
        <w:t>(i)</w:t>
      </w:r>
      <w:r w:rsidRPr="0051561F">
        <w:rPr>
          <w:noProof/>
        </w:rPr>
        <w:tab/>
        <w:t xml:space="preserve">rozpoczyna się budowa </w:t>
      </w:r>
      <w:r w:rsidR="001330E7">
        <w:rPr>
          <w:noProof/>
        </w:rPr>
        <w:t>identyfikowana</w:t>
      </w:r>
      <w:r w:rsidR="006E0B7E" w:rsidRPr="0051561F">
        <w:rPr>
          <w:noProof/>
        </w:rPr>
        <w:t xml:space="preserve"> z</w:t>
      </w:r>
      <w:r w:rsidR="006E0B7E">
        <w:rPr>
          <w:noProof/>
        </w:rPr>
        <w:t> </w:t>
      </w:r>
      <w:r w:rsidR="006E0B7E" w:rsidRPr="0051561F">
        <w:rPr>
          <w:noProof/>
        </w:rPr>
        <w:t>kon</w:t>
      </w:r>
      <w:r w:rsidRPr="0051561F">
        <w:rPr>
          <w:noProof/>
        </w:rPr>
        <w:t>kretnym statkiem; oraz</w:t>
      </w:r>
    </w:p>
    <w:p w14:paraId="27579117" w14:textId="7D682075" w:rsidR="00F60D5A" w:rsidRPr="006E0B7E" w:rsidRDefault="006408E9" w:rsidP="00487712">
      <w:pPr>
        <w:pStyle w:val="Point3"/>
        <w:rPr>
          <w:noProof/>
        </w:rPr>
      </w:pPr>
      <w:r w:rsidRPr="0051561F">
        <w:rPr>
          <w:noProof/>
        </w:rPr>
        <w:t>(ii)</w:t>
      </w:r>
      <w:r w:rsidRPr="0051561F">
        <w:rPr>
          <w:noProof/>
        </w:rPr>
        <w:tab/>
        <w:t>rozpoczął się montaż przynajmniej 50 ton albo 1 % szacunkowej masy materiału konstrukcyjnego statku —</w:t>
      </w:r>
      <w:r w:rsidR="006E0B7E" w:rsidRPr="0051561F">
        <w:rPr>
          <w:noProof/>
        </w:rPr>
        <w:t xml:space="preserve"> w</w:t>
      </w:r>
      <w:r w:rsidR="006E0B7E">
        <w:rPr>
          <w:noProof/>
        </w:rPr>
        <w:t> </w:t>
      </w:r>
      <w:r w:rsidR="006E0B7E" w:rsidRPr="0051561F">
        <w:rPr>
          <w:noProof/>
        </w:rPr>
        <w:t>zal</w:t>
      </w:r>
      <w:r w:rsidRPr="0051561F">
        <w:rPr>
          <w:noProof/>
        </w:rPr>
        <w:t>eżności od tego, która</w:t>
      </w:r>
      <w:r w:rsidR="006E0B7E" w:rsidRPr="0051561F">
        <w:rPr>
          <w:noProof/>
        </w:rPr>
        <w:t xml:space="preserve"> z</w:t>
      </w:r>
      <w:r w:rsidR="006E0B7E">
        <w:rPr>
          <w:noProof/>
        </w:rPr>
        <w:t> </w:t>
      </w:r>
      <w:r w:rsidR="006E0B7E" w:rsidRPr="0051561F">
        <w:rPr>
          <w:noProof/>
        </w:rPr>
        <w:t>tyc</w:t>
      </w:r>
      <w:r w:rsidRPr="0051561F">
        <w:rPr>
          <w:noProof/>
        </w:rPr>
        <w:t xml:space="preserve">h wielkości jest mniejsza; </w:t>
      </w:r>
    </w:p>
    <w:p w14:paraId="6565DBD2" w14:textId="56DDF67B" w:rsidR="00F60D5A" w:rsidRPr="0051561F" w:rsidRDefault="00DE0484" w:rsidP="00F60D5A">
      <w:pPr>
        <w:pStyle w:val="Text2"/>
        <w:rPr>
          <w:noProof/>
        </w:rPr>
      </w:pPr>
      <w:r w:rsidRPr="006E0B7E">
        <w:rPr>
          <w:noProof/>
        </w:rPr>
        <w:t>c</w:t>
      </w:r>
      <w:r w:rsidRPr="0051561F">
        <w:rPr>
          <w:noProof/>
        </w:rPr>
        <w:t>) »nowy pasażerski statek typu ro-ro« oznacza pasażerski statek typu ro-ro, który nie jest statkiem istniejącym;”;</w:t>
      </w:r>
    </w:p>
    <w:p w14:paraId="0FAEF789" w14:textId="0C3D2135" w:rsidR="00F60D5A" w:rsidRPr="0051561F" w:rsidRDefault="00DA30EC" w:rsidP="00DA30EC">
      <w:pPr>
        <w:pStyle w:val="Point1"/>
        <w:rPr>
          <w:noProof/>
        </w:rPr>
      </w:pPr>
      <w:r>
        <w:rPr>
          <w:noProof/>
        </w:rPr>
        <w:t>b)</w:t>
      </w:r>
      <w:r>
        <w:rPr>
          <w:noProof/>
        </w:rPr>
        <w:tab/>
      </w:r>
      <w:r w:rsidR="00740594" w:rsidRPr="006E0B7E">
        <w:rPr>
          <w:noProof/>
        </w:rPr>
        <w:t>lit.</w:t>
      </w:r>
      <w:r w:rsidR="006E0B7E" w:rsidRPr="006E0B7E">
        <w:rPr>
          <w:noProof/>
        </w:rPr>
        <w:t> </w:t>
      </w:r>
      <w:r w:rsidR="00740594" w:rsidRPr="006E0B7E">
        <w:rPr>
          <w:noProof/>
        </w:rPr>
        <w:t>e)</w:t>
      </w:r>
      <w:r w:rsidR="00740594" w:rsidRPr="0051561F">
        <w:rPr>
          <w:noProof/>
        </w:rPr>
        <w:t xml:space="preserve"> otrzymuje brzmienie:</w:t>
      </w:r>
    </w:p>
    <w:p w14:paraId="465AF9FE" w14:textId="2B4BF5D6" w:rsidR="00DA0103" w:rsidRPr="0051561F" w:rsidRDefault="00DA0103" w:rsidP="00CC4F35">
      <w:pPr>
        <w:pStyle w:val="Text2"/>
        <w:rPr>
          <w:noProof/>
        </w:rPr>
      </w:pPr>
      <w:r w:rsidRPr="0051561F">
        <w:rPr>
          <w:noProof/>
        </w:rPr>
        <w:t>„e) »konwencja SOLAS« oznacza Międzynarodową konwencję</w:t>
      </w:r>
      <w:r w:rsidR="006E0B7E" w:rsidRPr="0051561F">
        <w:rPr>
          <w:noProof/>
        </w:rPr>
        <w:t xml:space="preserve"> o</w:t>
      </w:r>
      <w:r w:rsidR="006E0B7E">
        <w:rPr>
          <w:noProof/>
        </w:rPr>
        <w:t> </w:t>
      </w:r>
      <w:r w:rsidR="006E0B7E" w:rsidRPr="0051561F">
        <w:rPr>
          <w:noProof/>
        </w:rPr>
        <w:t>bez</w:t>
      </w:r>
      <w:r w:rsidRPr="0051561F">
        <w:rPr>
          <w:noProof/>
        </w:rPr>
        <w:t>pieczeństwie życia na morzu</w:t>
      </w:r>
      <w:r w:rsidR="006E0B7E" w:rsidRPr="0051561F">
        <w:rPr>
          <w:noProof/>
        </w:rPr>
        <w:t xml:space="preserve"> z</w:t>
      </w:r>
      <w:r w:rsidR="006E0B7E">
        <w:rPr>
          <w:noProof/>
        </w:rPr>
        <w:t> </w:t>
      </w:r>
      <w:r w:rsidR="006E0B7E" w:rsidRPr="0051561F">
        <w:rPr>
          <w:noProof/>
        </w:rPr>
        <w:t>1</w:t>
      </w:r>
      <w:r w:rsidRPr="0051561F">
        <w:rPr>
          <w:noProof/>
        </w:rPr>
        <w:t>9</w:t>
      </w:r>
      <w:r w:rsidRPr="006E0B7E">
        <w:rPr>
          <w:noProof/>
        </w:rPr>
        <w:t>74</w:t>
      </w:r>
      <w:r w:rsidR="006E0B7E" w:rsidRPr="006E0B7E">
        <w:rPr>
          <w:noProof/>
        </w:rPr>
        <w:t> </w:t>
      </w:r>
      <w:r w:rsidRPr="006E0B7E">
        <w:rPr>
          <w:noProof/>
        </w:rPr>
        <w:t>r.</w:t>
      </w:r>
      <w:r w:rsidR="006E0B7E" w:rsidRPr="0051561F">
        <w:rPr>
          <w:noProof/>
        </w:rPr>
        <w:t xml:space="preserve"> i</w:t>
      </w:r>
      <w:r w:rsidR="006E0B7E">
        <w:rPr>
          <w:noProof/>
        </w:rPr>
        <w:t> </w:t>
      </w:r>
      <w:r w:rsidR="006E0B7E" w:rsidRPr="0051561F">
        <w:rPr>
          <w:noProof/>
        </w:rPr>
        <w:t>obo</w:t>
      </w:r>
      <w:r w:rsidRPr="0051561F">
        <w:rPr>
          <w:noProof/>
        </w:rPr>
        <w:t xml:space="preserve">wiązujące zmiany do tej konwencji;”; </w:t>
      </w:r>
    </w:p>
    <w:p w14:paraId="2B355A18" w14:textId="6AD75430" w:rsidR="00DA0103" w:rsidRPr="0051561F" w:rsidRDefault="00DA30EC" w:rsidP="00DA30EC">
      <w:pPr>
        <w:pStyle w:val="Point1"/>
        <w:rPr>
          <w:noProof/>
        </w:rPr>
      </w:pPr>
      <w:r>
        <w:rPr>
          <w:noProof/>
        </w:rPr>
        <w:t>c)</w:t>
      </w:r>
      <w:r>
        <w:rPr>
          <w:noProof/>
        </w:rPr>
        <w:tab/>
      </w:r>
      <w:r w:rsidR="00740594" w:rsidRPr="0051561F">
        <w:rPr>
          <w:noProof/>
        </w:rPr>
        <w:t>dodaje się lit. ea), eb) i ec)</w:t>
      </w:r>
      <w:r w:rsidR="006E0B7E" w:rsidRPr="0051561F">
        <w:rPr>
          <w:noProof/>
        </w:rPr>
        <w:t xml:space="preserve"> w</w:t>
      </w:r>
      <w:r w:rsidR="006E0B7E">
        <w:rPr>
          <w:noProof/>
        </w:rPr>
        <w:t> </w:t>
      </w:r>
      <w:r w:rsidR="006E0B7E" w:rsidRPr="0051561F">
        <w:rPr>
          <w:noProof/>
        </w:rPr>
        <w:t>brz</w:t>
      </w:r>
      <w:r w:rsidR="00740594" w:rsidRPr="0051561F">
        <w:rPr>
          <w:noProof/>
        </w:rPr>
        <w:t xml:space="preserve">mieniu: </w:t>
      </w:r>
    </w:p>
    <w:p w14:paraId="38CE15DF" w14:textId="18C1FF47" w:rsidR="001B2032" w:rsidRPr="0051561F" w:rsidRDefault="006A0B50" w:rsidP="00CC4F35">
      <w:pPr>
        <w:pStyle w:val="Text2"/>
        <w:rPr>
          <w:noProof/>
        </w:rPr>
      </w:pPr>
      <w:r w:rsidRPr="0051561F">
        <w:rPr>
          <w:noProof/>
        </w:rPr>
        <w:t>„ea) »SOLAS 90« oznacza Międzynarodową konwencję</w:t>
      </w:r>
      <w:r w:rsidR="006E0B7E" w:rsidRPr="0051561F">
        <w:rPr>
          <w:noProof/>
        </w:rPr>
        <w:t xml:space="preserve"> o</w:t>
      </w:r>
      <w:r w:rsidR="006E0B7E">
        <w:rPr>
          <w:noProof/>
        </w:rPr>
        <w:t> </w:t>
      </w:r>
      <w:r w:rsidR="006E0B7E" w:rsidRPr="0051561F">
        <w:rPr>
          <w:noProof/>
        </w:rPr>
        <w:t>bez</w:t>
      </w:r>
      <w:r w:rsidRPr="0051561F">
        <w:rPr>
          <w:noProof/>
        </w:rPr>
        <w:t>pieczeństwie życia na morzu</w:t>
      </w:r>
      <w:r w:rsidR="006E0B7E" w:rsidRPr="0051561F">
        <w:rPr>
          <w:noProof/>
        </w:rPr>
        <w:t xml:space="preserve"> z</w:t>
      </w:r>
      <w:r w:rsidR="006E0B7E">
        <w:rPr>
          <w:noProof/>
        </w:rPr>
        <w:t> </w:t>
      </w:r>
      <w:r w:rsidR="006E0B7E" w:rsidRPr="0051561F">
        <w:rPr>
          <w:noProof/>
        </w:rPr>
        <w:t>1</w:t>
      </w:r>
      <w:r w:rsidRPr="0051561F">
        <w:rPr>
          <w:noProof/>
        </w:rPr>
        <w:t>9</w:t>
      </w:r>
      <w:r w:rsidRPr="006E0B7E">
        <w:rPr>
          <w:noProof/>
        </w:rPr>
        <w:t>74</w:t>
      </w:r>
      <w:r w:rsidR="006E0B7E" w:rsidRPr="006E0B7E">
        <w:rPr>
          <w:noProof/>
        </w:rPr>
        <w:t> </w:t>
      </w:r>
      <w:r w:rsidRPr="006E0B7E">
        <w:rPr>
          <w:noProof/>
        </w:rPr>
        <w:t>r.</w:t>
      </w:r>
      <w:r w:rsidRPr="0051561F">
        <w:rPr>
          <w:noProof/>
        </w:rPr>
        <w:t>, zmienioną następującymi instrumentami IMO:</w:t>
      </w:r>
    </w:p>
    <w:p w14:paraId="5529ECF8" w14:textId="794BE7A8" w:rsidR="001B2032" w:rsidRPr="0051561F" w:rsidRDefault="00A0208C" w:rsidP="00ED7EDA">
      <w:pPr>
        <w:pStyle w:val="Tiret2"/>
        <w:numPr>
          <w:ilvl w:val="0"/>
          <w:numId w:val="14"/>
        </w:numPr>
        <w:rPr>
          <w:noProof/>
        </w:rPr>
      </w:pPr>
      <w:r w:rsidRPr="0051561F">
        <w:rPr>
          <w:noProof/>
        </w:rPr>
        <w:t xml:space="preserve">Res.MSC.1(45); </w:t>
      </w:r>
    </w:p>
    <w:p w14:paraId="4474C195" w14:textId="75A24E70" w:rsidR="001B2032" w:rsidRPr="0051561F" w:rsidRDefault="00A0208C" w:rsidP="00F936B3">
      <w:pPr>
        <w:pStyle w:val="Tiret2"/>
        <w:rPr>
          <w:noProof/>
        </w:rPr>
      </w:pPr>
      <w:r w:rsidRPr="0051561F">
        <w:rPr>
          <w:noProof/>
        </w:rPr>
        <w:t xml:space="preserve">Res.MSC.6(48); </w:t>
      </w:r>
    </w:p>
    <w:p w14:paraId="4E3342A6" w14:textId="15909E73" w:rsidR="001B2032" w:rsidRPr="0051561F" w:rsidRDefault="00A0208C" w:rsidP="00F936B3">
      <w:pPr>
        <w:pStyle w:val="Tiret2"/>
        <w:rPr>
          <w:noProof/>
        </w:rPr>
      </w:pPr>
      <w:r w:rsidRPr="0051561F">
        <w:rPr>
          <w:noProof/>
        </w:rPr>
        <w:t xml:space="preserve">Res.MSC.11(55); </w:t>
      </w:r>
    </w:p>
    <w:p w14:paraId="1F90CC20" w14:textId="4A56117C" w:rsidR="001B2032" w:rsidRPr="0051561F" w:rsidRDefault="00A0208C" w:rsidP="00F936B3">
      <w:pPr>
        <w:pStyle w:val="Tiret2"/>
        <w:rPr>
          <w:noProof/>
        </w:rPr>
      </w:pPr>
      <w:r w:rsidRPr="0051561F">
        <w:rPr>
          <w:noProof/>
        </w:rPr>
        <w:t xml:space="preserve">Res.MSC.13(57); </w:t>
      </w:r>
    </w:p>
    <w:p w14:paraId="10F397BB" w14:textId="77F4A64F" w:rsidR="001B2032" w:rsidRPr="0051561F" w:rsidRDefault="00A0208C" w:rsidP="00F936B3">
      <w:pPr>
        <w:pStyle w:val="Tiret2"/>
        <w:rPr>
          <w:noProof/>
        </w:rPr>
      </w:pPr>
      <w:r w:rsidRPr="0051561F">
        <w:rPr>
          <w:noProof/>
        </w:rPr>
        <w:t xml:space="preserve">Res.MSC.19(58); </w:t>
      </w:r>
    </w:p>
    <w:p w14:paraId="6C10ABEF" w14:textId="10507F3E" w:rsidR="001B2032" w:rsidRPr="0051561F" w:rsidRDefault="00A0208C" w:rsidP="00F936B3">
      <w:pPr>
        <w:pStyle w:val="Tiret2"/>
        <w:rPr>
          <w:noProof/>
        </w:rPr>
      </w:pPr>
      <w:r w:rsidRPr="0051561F">
        <w:rPr>
          <w:noProof/>
        </w:rPr>
        <w:t xml:space="preserve">Res.MSC.26(60); </w:t>
      </w:r>
    </w:p>
    <w:p w14:paraId="56A0E935" w14:textId="50C9AF95" w:rsidR="001B2032" w:rsidRPr="0051561F" w:rsidRDefault="00A0208C" w:rsidP="00F936B3">
      <w:pPr>
        <w:pStyle w:val="Tiret2"/>
        <w:rPr>
          <w:noProof/>
        </w:rPr>
      </w:pPr>
      <w:r w:rsidRPr="0051561F">
        <w:rPr>
          <w:noProof/>
        </w:rPr>
        <w:t xml:space="preserve">Res.MSC.24(60); </w:t>
      </w:r>
    </w:p>
    <w:p w14:paraId="761F79FB" w14:textId="334A469D" w:rsidR="001B2032" w:rsidRPr="0051561F" w:rsidRDefault="00A0208C" w:rsidP="00F936B3">
      <w:pPr>
        <w:pStyle w:val="Tiret2"/>
        <w:rPr>
          <w:noProof/>
        </w:rPr>
      </w:pPr>
      <w:r w:rsidRPr="0051561F">
        <w:rPr>
          <w:noProof/>
        </w:rPr>
        <w:t xml:space="preserve">Res.MSC.27(61); </w:t>
      </w:r>
    </w:p>
    <w:p w14:paraId="30978952" w14:textId="09718BA3" w:rsidR="001B2032" w:rsidRPr="0051561F" w:rsidRDefault="00A0208C" w:rsidP="00F936B3">
      <w:pPr>
        <w:pStyle w:val="Tiret2"/>
        <w:rPr>
          <w:noProof/>
        </w:rPr>
      </w:pPr>
      <w:r w:rsidRPr="0051561F">
        <w:rPr>
          <w:noProof/>
        </w:rPr>
        <w:t xml:space="preserve">Res.MSC.31(63); </w:t>
      </w:r>
    </w:p>
    <w:p w14:paraId="407BE16F" w14:textId="39FD09F2" w:rsidR="001B2032" w:rsidRPr="0051561F" w:rsidRDefault="00B716D8" w:rsidP="00F936B3">
      <w:pPr>
        <w:pStyle w:val="Tiret2"/>
        <w:rPr>
          <w:noProof/>
        </w:rPr>
      </w:pPr>
      <w:r w:rsidRPr="0051561F">
        <w:rPr>
          <w:noProof/>
        </w:rPr>
        <w:t xml:space="preserve">SOLAS/CONF.2/21; </w:t>
      </w:r>
    </w:p>
    <w:p w14:paraId="6B844693" w14:textId="4AD06633" w:rsidR="001B2032" w:rsidRPr="0051561F" w:rsidRDefault="00B716D8" w:rsidP="00F936B3">
      <w:pPr>
        <w:pStyle w:val="Tiret2"/>
        <w:rPr>
          <w:noProof/>
        </w:rPr>
      </w:pPr>
      <w:r w:rsidRPr="0051561F">
        <w:rPr>
          <w:noProof/>
        </w:rPr>
        <w:t xml:space="preserve">Res.MSC.42(64); </w:t>
      </w:r>
    </w:p>
    <w:p w14:paraId="4C945AC8" w14:textId="611276B0" w:rsidR="001B2032" w:rsidRPr="0051561F" w:rsidRDefault="00B716D8" w:rsidP="00F936B3">
      <w:pPr>
        <w:pStyle w:val="Tiret2"/>
        <w:rPr>
          <w:noProof/>
        </w:rPr>
      </w:pPr>
      <w:r w:rsidRPr="0051561F">
        <w:rPr>
          <w:noProof/>
        </w:rPr>
        <w:t xml:space="preserve">Res.MSC.46(65); </w:t>
      </w:r>
    </w:p>
    <w:p w14:paraId="726B7B5A" w14:textId="1E000185" w:rsidR="001B2032" w:rsidRPr="0051561F" w:rsidRDefault="00B716D8" w:rsidP="00F936B3">
      <w:pPr>
        <w:pStyle w:val="Tiret2"/>
        <w:rPr>
          <w:noProof/>
        </w:rPr>
      </w:pPr>
      <w:r w:rsidRPr="0051561F">
        <w:rPr>
          <w:noProof/>
        </w:rPr>
        <w:t xml:space="preserve">Res.MSC.57(67); </w:t>
      </w:r>
    </w:p>
    <w:p w14:paraId="20681D97" w14:textId="5496C39D" w:rsidR="001B2032" w:rsidRPr="0051561F" w:rsidRDefault="00B716D8" w:rsidP="00F936B3">
      <w:pPr>
        <w:pStyle w:val="Tiret2"/>
        <w:rPr>
          <w:noProof/>
        </w:rPr>
      </w:pPr>
      <w:r w:rsidRPr="0051561F">
        <w:rPr>
          <w:noProof/>
        </w:rPr>
        <w:t xml:space="preserve">Res.MSC.65(68); </w:t>
      </w:r>
    </w:p>
    <w:p w14:paraId="5543E0ED" w14:textId="2CA42BA8" w:rsidR="001B2032" w:rsidRPr="0051561F" w:rsidRDefault="00B716D8" w:rsidP="00F936B3">
      <w:pPr>
        <w:pStyle w:val="Tiret2"/>
        <w:rPr>
          <w:noProof/>
        </w:rPr>
      </w:pPr>
      <w:r w:rsidRPr="0051561F">
        <w:rPr>
          <w:noProof/>
        </w:rPr>
        <w:t xml:space="preserve">SOLAS/CONF.4/25; </w:t>
      </w:r>
    </w:p>
    <w:p w14:paraId="2818D158" w14:textId="783FF4AE" w:rsidR="001B2032" w:rsidRPr="0051561F" w:rsidRDefault="00B716D8" w:rsidP="00F936B3">
      <w:pPr>
        <w:pStyle w:val="Tiret2"/>
        <w:rPr>
          <w:noProof/>
        </w:rPr>
      </w:pPr>
      <w:r w:rsidRPr="0051561F">
        <w:rPr>
          <w:noProof/>
        </w:rPr>
        <w:t xml:space="preserve">Res.MSC.69(69); </w:t>
      </w:r>
    </w:p>
    <w:p w14:paraId="5B23F05D" w14:textId="72DC4DF8" w:rsidR="001B2032" w:rsidRPr="0051561F" w:rsidRDefault="00B716D8" w:rsidP="00F936B3">
      <w:pPr>
        <w:pStyle w:val="Tiret2"/>
        <w:rPr>
          <w:noProof/>
        </w:rPr>
      </w:pPr>
      <w:r w:rsidRPr="0051561F">
        <w:rPr>
          <w:noProof/>
        </w:rPr>
        <w:t xml:space="preserve">Res.MSC.99(73); </w:t>
      </w:r>
    </w:p>
    <w:p w14:paraId="0CC8FFFF" w14:textId="77777777" w:rsidR="00B716D8" w:rsidRPr="0051561F" w:rsidRDefault="00B716D8" w:rsidP="00F936B3">
      <w:pPr>
        <w:pStyle w:val="Tiret2"/>
        <w:rPr>
          <w:noProof/>
        </w:rPr>
      </w:pPr>
      <w:r w:rsidRPr="0051561F">
        <w:rPr>
          <w:noProof/>
        </w:rPr>
        <w:t>Res.MSC.117(74);</w:t>
      </w:r>
    </w:p>
    <w:p w14:paraId="161195CF" w14:textId="2FD02111" w:rsidR="004B4E25" w:rsidRPr="0051561F" w:rsidRDefault="00DA0103" w:rsidP="00CC4F35">
      <w:pPr>
        <w:pStyle w:val="Text2"/>
        <w:rPr>
          <w:rFonts w:eastAsia="Times New Roman"/>
          <w:noProof/>
        </w:rPr>
      </w:pPr>
      <w:r w:rsidRPr="0051561F">
        <w:rPr>
          <w:noProof/>
        </w:rPr>
        <w:t>eb) »SOLAS 2009« oznacza Międzynarodową konwencję</w:t>
      </w:r>
      <w:r w:rsidR="006E0B7E" w:rsidRPr="0051561F">
        <w:rPr>
          <w:noProof/>
        </w:rPr>
        <w:t xml:space="preserve"> o</w:t>
      </w:r>
      <w:r w:rsidR="006E0B7E">
        <w:rPr>
          <w:noProof/>
        </w:rPr>
        <w:t> </w:t>
      </w:r>
      <w:r w:rsidR="006E0B7E" w:rsidRPr="0051561F">
        <w:rPr>
          <w:noProof/>
        </w:rPr>
        <w:t>bez</w:t>
      </w:r>
      <w:r w:rsidRPr="0051561F">
        <w:rPr>
          <w:noProof/>
        </w:rPr>
        <w:t>pieczeństwie życia na morzu</w:t>
      </w:r>
      <w:r w:rsidR="006E0B7E" w:rsidRPr="0051561F">
        <w:rPr>
          <w:noProof/>
        </w:rPr>
        <w:t xml:space="preserve"> z</w:t>
      </w:r>
      <w:r w:rsidR="006E0B7E">
        <w:rPr>
          <w:noProof/>
        </w:rPr>
        <w:t> </w:t>
      </w:r>
      <w:r w:rsidR="006E0B7E" w:rsidRPr="0051561F">
        <w:rPr>
          <w:noProof/>
        </w:rPr>
        <w:t>1</w:t>
      </w:r>
      <w:r w:rsidRPr="0051561F">
        <w:rPr>
          <w:noProof/>
        </w:rPr>
        <w:t>9</w:t>
      </w:r>
      <w:r w:rsidRPr="006E0B7E">
        <w:rPr>
          <w:noProof/>
        </w:rPr>
        <w:t>74</w:t>
      </w:r>
      <w:r w:rsidR="006E0B7E" w:rsidRPr="006E0B7E">
        <w:rPr>
          <w:noProof/>
        </w:rPr>
        <w:t> </w:t>
      </w:r>
      <w:r w:rsidRPr="006E0B7E">
        <w:rPr>
          <w:noProof/>
        </w:rPr>
        <w:t>r.</w:t>
      </w:r>
      <w:r w:rsidRPr="0051561F">
        <w:rPr>
          <w:noProof/>
        </w:rPr>
        <w:t>, zmienioną rezolucją MSC.216(82);</w:t>
      </w:r>
    </w:p>
    <w:p w14:paraId="3BACD435" w14:textId="1D6C92CB" w:rsidR="006A0B50" w:rsidRPr="0051561F" w:rsidRDefault="006A0B50" w:rsidP="00CC4F35">
      <w:pPr>
        <w:pStyle w:val="Text2"/>
        <w:rPr>
          <w:noProof/>
        </w:rPr>
      </w:pPr>
      <w:r w:rsidRPr="0051561F">
        <w:rPr>
          <w:noProof/>
        </w:rPr>
        <w:t>ec) »SOLAS 2020« oznacza Międzynarodową konwencję</w:t>
      </w:r>
      <w:r w:rsidR="006E0B7E" w:rsidRPr="0051561F">
        <w:rPr>
          <w:noProof/>
        </w:rPr>
        <w:t xml:space="preserve"> o</w:t>
      </w:r>
      <w:r w:rsidR="006E0B7E">
        <w:rPr>
          <w:noProof/>
        </w:rPr>
        <w:t> </w:t>
      </w:r>
      <w:r w:rsidR="006E0B7E" w:rsidRPr="0051561F">
        <w:rPr>
          <w:noProof/>
        </w:rPr>
        <w:t>bez</w:t>
      </w:r>
      <w:r w:rsidRPr="0051561F">
        <w:rPr>
          <w:noProof/>
        </w:rPr>
        <w:t>pieczeństwie życia na morzu</w:t>
      </w:r>
      <w:r w:rsidR="006E0B7E" w:rsidRPr="0051561F">
        <w:rPr>
          <w:noProof/>
        </w:rPr>
        <w:t xml:space="preserve"> z</w:t>
      </w:r>
      <w:r w:rsidR="006E0B7E">
        <w:rPr>
          <w:noProof/>
        </w:rPr>
        <w:t> </w:t>
      </w:r>
      <w:r w:rsidR="006E0B7E" w:rsidRPr="0051561F">
        <w:rPr>
          <w:noProof/>
        </w:rPr>
        <w:t>1</w:t>
      </w:r>
      <w:r w:rsidRPr="0051561F">
        <w:rPr>
          <w:noProof/>
        </w:rPr>
        <w:t>9</w:t>
      </w:r>
      <w:r w:rsidRPr="006E0B7E">
        <w:rPr>
          <w:noProof/>
        </w:rPr>
        <w:t>74</w:t>
      </w:r>
      <w:r w:rsidR="006E0B7E" w:rsidRPr="006E0B7E">
        <w:rPr>
          <w:noProof/>
        </w:rPr>
        <w:t> </w:t>
      </w:r>
      <w:r w:rsidRPr="006E0B7E">
        <w:rPr>
          <w:noProof/>
        </w:rPr>
        <w:t>r.</w:t>
      </w:r>
      <w:r w:rsidRPr="0051561F">
        <w:rPr>
          <w:noProof/>
        </w:rPr>
        <w:t>, zmienioną rezolucją MSC.421(98);”;</w:t>
      </w:r>
    </w:p>
    <w:p w14:paraId="7055BCF5" w14:textId="4BE477EC" w:rsidR="00DA0103" w:rsidRPr="0051561F" w:rsidRDefault="00DA30EC" w:rsidP="00DA30EC">
      <w:pPr>
        <w:pStyle w:val="Point1"/>
        <w:rPr>
          <w:noProof/>
        </w:rPr>
      </w:pPr>
      <w:r>
        <w:rPr>
          <w:noProof/>
        </w:rPr>
        <w:t>d)</w:t>
      </w:r>
      <w:r>
        <w:rPr>
          <w:noProof/>
        </w:rPr>
        <w:tab/>
      </w:r>
      <w:r w:rsidR="00740594" w:rsidRPr="006E0B7E">
        <w:rPr>
          <w:noProof/>
        </w:rPr>
        <w:t>lit.</w:t>
      </w:r>
      <w:r w:rsidR="006E0B7E" w:rsidRPr="006E0B7E">
        <w:rPr>
          <w:noProof/>
        </w:rPr>
        <w:t> </w:t>
      </w:r>
      <w:r w:rsidR="00740594" w:rsidRPr="006E0B7E">
        <w:rPr>
          <w:noProof/>
        </w:rPr>
        <w:t>f)</w:t>
      </w:r>
      <w:r w:rsidR="00740594" w:rsidRPr="0051561F">
        <w:rPr>
          <w:noProof/>
        </w:rPr>
        <w:t xml:space="preserve"> otrzymuje brzmienie: </w:t>
      </w:r>
    </w:p>
    <w:p w14:paraId="243EFCB1" w14:textId="442FB1D7" w:rsidR="00E3548D" w:rsidRPr="0051561F" w:rsidRDefault="00DA0103" w:rsidP="00E3548D">
      <w:pPr>
        <w:pStyle w:val="Text2"/>
        <w:rPr>
          <w:noProof/>
        </w:rPr>
      </w:pPr>
      <w:r w:rsidRPr="0051561F">
        <w:rPr>
          <w:noProof/>
        </w:rPr>
        <w:t>„f) »usługa rozkładowa« oznacza serię kursów pasażerskich statków typu ro-ro obsługujących przewozy pomiędzy tymi samymi dwoma portami lub większą ich liczbą lub serię podróży</w:t>
      </w:r>
      <w:r w:rsidR="006E0B7E" w:rsidRPr="0051561F">
        <w:rPr>
          <w:noProof/>
        </w:rPr>
        <w:t xml:space="preserve"> z</w:t>
      </w:r>
      <w:r w:rsidR="006E0B7E">
        <w:rPr>
          <w:noProof/>
        </w:rPr>
        <w:t> </w:t>
      </w:r>
      <w:r w:rsidR="006E0B7E" w:rsidRPr="0051561F">
        <w:rPr>
          <w:noProof/>
        </w:rPr>
        <w:t>ora</w:t>
      </w:r>
      <w:r w:rsidRPr="0051561F">
        <w:rPr>
          <w:noProof/>
        </w:rPr>
        <w:t>z do tego samego portu bez przystanków pośrednich:</w:t>
      </w:r>
    </w:p>
    <w:p w14:paraId="1F70C52E" w14:textId="0271E797" w:rsidR="00E3548D" w:rsidRPr="0051561F" w:rsidRDefault="006C70B9" w:rsidP="006C70B9">
      <w:pPr>
        <w:pStyle w:val="Point3"/>
        <w:rPr>
          <w:noProof/>
        </w:rPr>
      </w:pPr>
      <w:r w:rsidRPr="0051561F">
        <w:rPr>
          <w:noProof/>
        </w:rPr>
        <w:t>(i)</w:t>
      </w:r>
      <w:r w:rsidRPr="0051561F">
        <w:rPr>
          <w:noProof/>
        </w:rPr>
        <w:tab/>
        <w:t>zgodnie</w:t>
      </w:r>
      <w:r w:rsidR="006E0B7E" w:rsidRPr="0051561F">
        <w:rPr>
          <w:noProof/>
        </w:rPr>
        <w:t xml:space="preserve"> z</w:t>
      </w:r>
      <w:r w:rsidR="006E0B7E">
        <w:rPr>
          <w:noProof/>
        </w:rPr>
        <w:t> </w:t>
      </w:r>
      <w:r w:rsidR="006E0B7E" w:rsidRPr="0051561F">
        <w:rPr>
          <w:noProof/>
        </w:rPr>
        <w:t>opu</w:t>
      </w:r>
      <w:r w:rsidRPr="0051561F">
        <w:rPr>
          <w:noProof/>
        </w:rPr>
        <w:t>blikowanym rozkładem; albo</w:t>
      </w:r>
    </w:p>
    <w:p w14:paraId="44493600" w14:textId="77777777" w:rsidR="00E3548D" w:rsidRPr="0051561F" w:rsidRDefault="006C70B9" w:rsidP="006C70B9">
      <w:pPr>
        <w:pStyle w:val="Point3"/>
        <w:rPr>
          <w:noProof/>
        </w:rPr>
      </w:pPr>
      <w:r w:rsidRPr="0051561F">
        <w:rPr>
          <w:noProof/>
        </w:rPr>
        <w:t>(ii)</w:t>
      </w:r>
      <w:r w:rsidRPr="0051561F">
        <w:rPr>
          <w:noProof/>
        </w:rPr>
        <w:tab/>
        <w:t>z taką regularnością lub częstotliwością, że są uznane za systematyczne serie;”;</w:t>
      </w:r>
    </w:p>
    <w:p w14:paraId="47A971FF" w14:textId="1A33B088" w:rsidR="00E3548D" w:rsidRPr="0051561F" w:rsidRDefault="00DA30EC" w:rsidP="00DA30EC">
      <w:pPr>
        <w:pStyle w:val="Point1"/>
        <w:rPr>
          <w:noProof/>
        </w:rPr>
      </w:pPr>
      <w:r>
        <w:rPr>
          <w:noProof/>
        </w:rPr>
        <w:t>e)</w:t>
      </w:r>
      <w:r>
        <w:rPr>
          <w:noProof/>
        </w:rPr>
        <w:tab/>
      </w:r>
      <w:r w:rsidR="00740594" w:rsidRPr="0051561F">
        <w:rPr>
          <w:noProof/>
        </w:rPr>
        <w:t>lit. i) otrzymuje brzmienie:</w:t>
      </w:r>
    </w:p>
    <w:p w14:paraId="4A870EDD" w14:textId="30D9EDCF" w:rsidR="00E3548D" w:rsidRPr="0051561F" w:rsidRDefault="006E259C" w:rsidP="00E3548D">
      <w:pPr>
        <w:pStyle w:val="Text2"/>
        <w:rPr>
          <w:noProof/>
        </w:rPr>
      </w:pPr>
      <w:r w:rsidRPr="0051561F">
        <w:rPr>
          <w:noProof/>
        </w:rPr>
        <w:t>„i) »państwo portu« oznacza państwo członkowskie, do lub</w:t>
      </w:r>
      <w:r w:rsidR="006E0B7E" w:rsidRPr="0051561F">
        <w:rPr>
          <w:noProof/>
        </w:rPr>
        <w:t xml:space="preserve"> z</w:t>
      </w:r>
      <w:r w:rsidR="006E0B7E">
        <w:rPr>
          <w:noProof/>
        </w:rPr>
        <w:t> </w:t>
      </w:r>
      <w:r w:rsidR="006E0B7E" w:rsidRPr="0051561F">
        <w:rPr>
          <w:noProof/>
        </w:rPr>
        <w:t>któ</w:t>
      </w:r>
      <w:r w:rsidRPr="0051561F">
        <w:rPr>
          <w:noProof/>
        </w:rPr>
        <w:t xml:space="preserve">rego portów pasażerski statek typu ro-ro świadczy usługę rozkładową;”; </w:t>
      </w:r>
    </w:p>
    <w:p w14:paraId="3A521C36" w14:textId="0B9579AC" w:rsidR="00E3548D" w:rsidRPr="0051561F" w:rsidRDefault="00DA30EC" w:rsidP="00DA30EC">
      <w:pPr>
        <w:pStyle w:val="Point1"/>
        <w:rPr>
          <w:noProof/>
        </w:rPr>
      </w:pPr>
      <w:r>
        <w:rPr>
          <w:noProof/>
        </w:rPr>
        <w:t>f)</w:t>
      </w:r>
      <w:r>
        <w:rPr>
          <w:noProof/>
        </w:rPr>
        <w:tab/>
      </w:r>
      <w:r w:rsidR="00386AA5" w:rsidRPr="006E0B7E">
        <w:rPr>
          <w:noProof/>
        </w:rPr>
        <w:t>lit.</w:t>
      </w:r>
      <w:r w:rsidR="006E0B7E" w:rsidRPr="006E0B7E">
        <w:rPr>
          <w:noProof/>
        </w:rPr>
        <w:t> </w:t>
      </w:r>
      <w:r w:rsidR="00386AA5" w:rsidRPr="006E0B7E">
        <w:rPr>
          <w:noProof/>
        </w:rPr>
        <w:t>k)</w:t>
      </w:r>
      <w:r w:rsidR="00386AA5" w:rsidRPr="0051561F">
        <w:rPr>
          <w:noProof/>
        </w:rPr>
        <w:t xml:space="preserve"> otrzymuje brzmienie:</w:t>
      </w:r>
    </w:p>
    <w:p w14:paraId="7B111AFB" w14:textId="273A90B5" w:rsidR="00FB6ACC" w:rsidRPr="006E0B7E" w:rsidRDefault="006E259C" w:rsidP="00CC4F35">
      <w:pPr>
        <w:pStyle w:val="Text2"/>
        <w:rPr>
          <w:noProof/>
        </w:rPr>
      </w:pPr>
      <w:r w:rsidRPr="0051561F">
        <w:rPr>
          <w:noProof/>
        </w:rPr>
        <w:t>„k) »szczególne wymogi stateczności« oznaczają wymogi stateczności,</w:t>
      </w:r>
      <w:r w:rsidR="006E0B7E" w:rsidRPr="0051561F">
        <w:rPr>
          <w:noProof/>
        </w:rPr>
        <w:t xml:space="preserve"> o</w:t>
      </w:r>
      <w:r w:rsidR="006E0B7E">
        <w:rPr>
          <w:noProof/>
        </w:rPr>
        <w:t> </w:t>
      </w:r>
      <w:r w:rsidR="006E0B7E" w:rsidRPr="0051561F">
        <w:rPr>
          <w:noProof/>
        </w:rPr>
        <w:t>któ</w:t>
      </w:r>
      <w:r w:rsidRPr="0051561F">
        <w:rPr>
          <w:noProof/>
        </w:rPr>
        <w:t>rych mowa</w:t>
      </w:r>
      <w:r w:rsidR="006E0B7E" w:rsidRPr="0051561F">
        <w:rPr>
          <w:noProof/>
        </w:rPr>
        <w:t xml:space="preserve"> w</w:t>
      </w:r>
      <w:r w:rsidR="006E0B7E">
        <w:rPr>
          <w:noProof/>
        </w:rPr>
        <w:t> </w:t>
      </w:r>
      <w:r w:rsidR="006E0B7E" w:rsidRPr="006E0B7E">
        <w:rPr>
          <w:noProof/>
        </w:rPr>
        <w:t>art</w:t>
      </w:r>
      <w:r w:rsidRPr="006E0B7E">
        <w:rPr>
          <w:noProof/>
        </w:rPr>
        <w:t>.</w:t>
      </w:r>
      <w:r w:rsidR="006E0B7E" w:rsidRPr="006E0B7E">
        <w:rPr>
          <w:noProof/>
        </w:rPr>
        <w:t> </w:t>
      </w:r>
      <w:r w:rsidRPr="006E0B7E">
        <w:rPr>
          <w:noProof/>
        </w:rPr>
        <w:t>6</w:t>
      </w:r>
      <w:r w:rsidRPr="0051561F">
        <w:rPr>
          <w:noProof/>
        </w:rPr>
        <w:t>;”;</w:t>
      </w:r>
    </w:p>
    <w:p w14:paraId="5A450771" w14:textId="7032CD59" w:rsidR="00FB6ACC" w:rsidRPr="0051561F" w:rsidRDefault="00DA30EC" w:rsidP="00DA30EC">
      <w:pPr>
        <w:pStyle w:val="Point1"/>
        <w:rPr>
          <w:noProof/>
        </w:rPr>
      </w:pPr>
      <w:r>
        <w:rPr>
          <w:noProof/>
        </w:rPr>
        <w:t>g)</w:t>
      </w:r>
      <w:r>
        <w:rPr>
          <w:noProof/>
        </w:rPr>
        <w:tab/>
      </w:r>
      <w:r w:rsidR="00FB6ACC" w:rsidRPr="006E0B7E">
        <w:rPr>
          <w:noProof/>
        </w:rPr>
        <w:t>d</w:t>
      </w:r>
      <w:r w:rsidR="00FB6ACC" w:rsidRPr="0051561F">
        <w:rPr>
          <w:noProof/>
        </w:rPr>
        <w:t xml:space="preserve">odaje się </w:t>
      </w:r>
      <w:r w:rsidR="00FB6ACC" w:rsidRPr="006E0B7E">
        <w:rPr>
          <w:noProof/>
        </w:rPr>
        <w:t>lit.</w:t>
      </w:r>
      <w:r w:rsidR="006E0B7E" w:rsidRPr="006E0B7E">
        <w:rPr>
          <w:noProof/>
        </w:rPr>
        <w:t> </w:t>
      </w:r>
      <w:r w:rsidR="00FB6ACC" w:rsidRPr="006E0B7E">
        <w:rPr>
          <w:noProof/>
        </w:rPr>
        <w:t>n)</w:t>
      </w:r>
      <w:r w:rsidR="006E0B7E" w:rsidRPr="0051561F">
        <w:rPr>
          <w:noProof/>
        </w:rPr>
        <w:t xml:space="preserve"> w</w:t>
      </w:r>
      <w:r w:rsidR="006E0B7E">
        <w:rPr>
          <w:noProof/>
        </w:rPr>
        <w:t> </w:t>
      </w:r>
      <w:r w:rsidR="006E0B7E" w:rsidRPr="0051561F">
        <w:rPr>
          <w:noProof/>
        </w:rPr>
        <w:t>brz</w:t>
      </w:r>
      <w:r w:rsidR="00FB6ACC" w:rsidRPr="0051561F">
        <w:rPr>
          <w:noProof/>
        </w:rPr>
        <w:t>mieniu:</w:t>
      </w:r>
    </w:p>
    <w:p w14:paraId="253B686C" w14:textId="6CBF938E" w:rsidR="00E3548D" w:rsidRPr="0051561F" w:rsidRDefault="006E259C" w:rsidP="004B4E25">
      <w:pPr>
        <w:pStyle w:val="Text2"/>
        <w:rPr>
          <w:i/>
          <w:noProof/>
        </w:rPr>
      </w:pPr>
      <w:r w:rsidRPr="0051561F">
        <w:rPr>
          <w:noProof/>
        </w:rPr>
        <w:t>„n) »operator« oznacza osobę prawną lub fizyczną, która przejęła odpowiedzialność za eksploatację statku.”;</w:t>
      </w:r>
    </w:p>
    <w:p w14:paraId="7321C010" w14:textId="14FFABFF" w:rsidR="00AF33D5" w:rsidRPr="0051561F" w:rsidRDefault="00DA30EC" w:rsidP="00DA30EC">
      <w:pPr>
        <w:pStyle w:val="Point0"/>
        <w:rPr>
          <w:noProof/>
        </w:rPr>
      </w:pPr>
      <w:r>
        <w:rPr>
          <w:noProof/>
        </w:rPr>
        <w:t>2)</w:t>
      </w:r>
      <w:r>
        <w:rPr>
          <w:noProof/>
        </w:rPr>
        <w:tab/>
      </w:r>
      <w:r w:rsidR="00421CDC" w:rsidRPr="0051561F">
        <w:rPr>
          <w:noProof/>
        </w:rPr>
        <w:t xml:space="preserve">art. 3 ust. 2 otrzymuje brzmienie: </w:t>
      </w:r>
    </w:p>
    <w:p w14:paraId="70D214EE" w14:textId="7E948C28" w:rsidR="00AF33D5" w:rsidRPr="0051561F" w:rsidRDefault="0044313C" w:rsidP="00CC4F35">
      <w:pPr>
        <w:pStyle w:val="Text1"/>
        <w:rPr>
          <w:noProof/>
        </w:rPr>
      </w:pPr>
      <w:r w:rsidRPr="0051561F">
        <w:rPr>
          <w:noProof/>
        </w:rPr>
        <w:t>„2. Jako państwo portu każde państwo członkowskie zapewnia, aby pasażerskie statki typu ro-ro pływające pod banderą państwa niebędącego państwem członkowskim całkowicie spełniały wymogi niniejszej dyrektywy zanim zostaną zaangażowane</w:t>
      </w:r>
      <w:r w:rsidR="006E0B7E" w:rsidRPr="0051561F">
        <w:rPr>
          <w:noProof/>
        </w:rPr>
        <w:t xml:space="preserve"> w</w:t>
      </w:r>
      <w:r w:rsidR="006E0B7E">
        <w:rPr>
          <w:noProof/>
        </w:rPr>
        <w:t> </w:t>
      </w:r>
      <w:r w:rsidR="006E0B7E" w:rsidRPr="0051561F">
        <w:rPr>
          <w:noProof/>
        </w:rPr>
        <w:t>rej</w:t>
      </w:r>
      <w:r w:rsidRPr="0051561F">
        <w:rPr>
          <w:noProof/>
        </w:rPr>
        <w:t>sy</w:t>
      </w:r>
      <w:r w:rsidR="006E0B7E" w:rsidRPr="0051561F">
        <w:rPr>
          <w:noProof/>
        </w:rPr>
        <w:t xml:space="preserve"> w</w:t>
      </w:r>
      <w:r w:rsidR="006E0B7E">
        <w:rPr>
          <w:noProof/>
        </w:rPr>
        <w:t> </w:t>
      </w:r>
      <w:r w:rsidR="006E0B7E" w:rsidRPr="0051561F">
        <w:rPr>
          <w:noProof/>
        </w:rPr>
        <w:t>ram</w:t>
      </w:r>
      <w:r w:rsidRPr="0051561F">
        <w:rPr>
          <w:noProof/>
        </w:rPr>
        <w:t>ach usługi rozkładowej</w:t>
      </w:r>
      <w:r w:rsidR="006E0B7E" w:rsidRPr="0051561F">
        <w:rPr>
          <w:noProof/>
        </w:rPr>
        <w:t xml:space="preserve"> z</w:t>
      </w:r>
      <w:r w:rsidR="006E0B7E">
        <w:rPr>
          <w:noProof/>
        </w:rPr>
        <w:t> </w:t>
      </w:r>
      <w:r w:rsidR="006E0B7E" w:rsidRPr="0051561F">
        <w:rPr>
          <w:noProof/>
        </w:rPr>
        <w:t>lub</w:t>
      </w:r>
      <w:r w:rsidRPr="0051561F">
        <w:rPr>
          <w:noProof/>
        </w:rPr>
        <w:t xml:space="preserve"> do portów tego państwa członkowskiego, zgodnie</w:t>
      </w:r>
      <w:r w:rsidR="006E0B7E" w:rsidRPr="0051561F">
        <w:rPr>
          <w:noProof/>
        </w:rPr>
        <w:t xml:space="preserve"> z</w:t>
      </w:r>
      <w:r w:rsidR="006E0B7E">
        <w:rPr>
          <w:noProof/>
        </w:rPr>
        <w:t> </w:t>
      </w:r>
      <w:r w:rsidR="006E0B7E" w:rsidRPr="0051561F">
        <w:rPr>
          <w:noProof/>
        </w:rPr>
        <w:t>dyr</w:t>
      </w:r>
      <w:r w:rsidRPr="0051561F">
        <w:rPr>
          <w:noProof/>
        </w:rPr>
        <w:t>ektywą Parlamentu Europejskiego</w:t>
      </w:r>
      <w:r w:rsidR="006E0B7E" w:rsidRPr="0051561F">
        <w:rPr>
          <w:noProof/>
        </w:rPr>
        <w:t xml:space="preserve"> i</w:t>
      </w:r>
      <w:r w:rsidR="006E0B7E">
        <w:rPr>
          <w:noProof/>
        </w:rPr>
        <w:t> </w:t>
      </w:r>
      <w:r w:rsidR="006E0B7E" w:rsidRPr="0051561F">
        <w:rPr>
          <w:noProof/>
        </w:rPr>
        <w:t>Rad</w:t>
      </w:r>
      <w:r w:rsidRPr="0051561F">
        <w:rPr>
          <w:noProof/>
        </w:rPr>
        <w:t>y 2017/2110/WE</w:t>
      </w:r>
      <w:r w:rsidRPr="0051561F">
        <w:rPr>
          <w:rStyle w:val="FootnoteReference"/>
          <w:noProof/>
        </w:rPr>
        <w:footnoteReference w:id="20"/>
      </w:r>
      <w:r w:rsidRPr="0051561F">
        <w:rPr>
          <w:noProof/>
        </w:rPr>
        <w:t>.”;</w:t>
      </w:r>
    </w:p>
    <w:p w14:paraId="4679D6B0" w14:textId="3909AA72" w:rsidR="001127F3" w:rsidRPr="0051561F" w:rsidRDefault="00DA30EC" w:rsidP="00DA30EC">
      <w:pPr>
        <w:pStyle w:val="Point0"/>
        <w:rPr>
          <w:noProof/>
        </w:rPr>
      </w:pPr>
      <w:r>
        <w:rPr>
          <w:noProof/>
        </w:rPr>
        <w:t>3)</w:t>
      </w:r>
      <w:r>
        <w:rPr>
          <w:noProof/>
        </w:rPr>
        <w:tab/>
      </w:r>
      <w:r w:rsidR="00F60D5A" w:rsidRPr="006E0B7E">
        <w:rPr>
          <w:noProof/>
        </w:rPr>
        <w:t>art.</w:t>
      </w:r>
      <w:r w:rsidR="006E0B7E" w:rsidRPr="006E0B7E">
        <w:rPr>
          <w:noProof/>
        </w:rPr>
        <w:t> </w:t>
      </w:r>
      <w:r w:rsidR="00F60D5A" w:rsidRPr="006E0B7E">
        <w:rPr>
          <w:noProof/>
        </w:rPr>
        <w:t>4</w:t>
      </w:r>
      <w:r w:rsidR="00F60D5A" w:rsidRPr="0051561F">
        <w:rPr>
          <w:noProof/>
        </w:rPr>
        <w:t xml:space="preserve"> otrzymuje brzmienie:</w:t>
      </w:r>
    </w:p>
    <w:p w14:paraId="4B2DEAE3" w14:textId="77777777" w:rsidR="004A0664" w:rsidRPr="0051561F" w:rsidRDefault="00925797" w:rsidP="004A0664">
      <w:pPr>
        <w:pStyle w:val="NormalCentered"/>
        <w:rPr>
          <w:noProof/>
        </w:rPr>
      </w:pPr>
      <w:r w:rsidRPr="0051561F">
        <w:rPr>
          <w:noProof/>
        </w:rPr>
        <w:t>„</w:t>
      </w:r>
      <w:r w:rsidRPr="0051561F">
        <w:rPr>
          <w:i/>
          <w:noProof/>
        </w:rPr>
        <w:t>Artykuł 4</w:t>
      </w:r>
    </w:p>
    <w:p w14:paraId="3B98F536" w14:textId="77777777" w:rsidR="004A0664" w:rsidRPr="0051561F" w:rsidRDefault="004A0664" w:rsidP="004A0664">
      <w:pPr>
        <w:pStyle w:val="NormalCentered"/>
        <w:rPr>
          <w:b/>
          <w:noProof/>
        </w:rPr>
      </w:pPr>
      <w:r w:rsidRPr="0051561F">
        <w:rPr>
          <w:b/>
          <w:noProof/>
        </w:rPr>
        <w:t>Znaczące wysokości fali</w:t>
      </w:r>
    </w:p>
    <w:p w14:paraId="7603DDEC" w14:textId="2605B20F" w:rsidR="004A0664" w:rsidRPr="0051561F" w:rsidRDefault="004A0664" w:rsidP="004A0664">
      <w:pPr>
        <w:pStyle w:val="Text1"/>
        <w:rPr>
          <w:noProof/>
        </w:rPr>
      </w:pPr>
      <w:r w:rsidRPr="0051561F">
        <w:rPr>
          <w:noProof/>
        </w:rPr>
        <w:t>Znaczące wysokości fali (h</w:t>
      </w:r>
      <w:r w:rsidRPr="0051561F">
        <w:rPr>
          <w:noProof/>
          <w:vertAlign w:val="subscript"/>
        </w:rPr>
        <w:t>S</w:t>
      </w:r>
      <w:r w:rsidRPr="0051561F">
        <w:rPr>
          <w:noProof/>
        </w:rPr>
        <w:t>) wykorzystuje się do określenia poziomu wody na pokładzie samochodowym podczas stosowania szczególnych wymogów stateczności podanych</w:t>
      </w:r>
      <w:r w:rsidR="006E0B7E" w:rsidRPr="0051561F">
        <w:rPr>
          <w:noProof/>
        </w:rPr>
        <w:t xml:space="preserve"> w</w:t>
      </w:r>
      <w:r w:rsidR="006E0B7E">
        <w:rPr>
          <w:noProof/>
        </w:rPr>
        <w:t> </w:t>
      </w:r>
      <w:r w:rsidR="006E0B7E" w:rsidRPr="0051561F">
        <w:rPr>
          <w:noProof/>
        </w:rPr>
        <w:t>zał</w:t>
      </w:r>
      <w:r w:rsidRPr="0051561F">
        <w:rPr>
          <w:noProof/>
        </w:rPr>
        <w:t>ączniku I sekcja A. Dane liczbowe dotyczące znaczących wysokości fali to dane, które rocznie nie przekraczają współczynnika prawdopodobieństwa</w:t>
      </w:r>
      <w:r w:rsidR="006E0B7E" w:rsidRPr="0051561F">
        <w:rPr>
          <w:noProof/>
        </w:rPr>
        <w:t xml:space="preserve"> o</w:t>
      </w:r>
      <w:r w:rsidR="006E0B7E">
        <w:rPr>
          <w:noProof/>
        </w:rPr>
        <w:t> </w:t>
      </w:r>
      <w:r w:rsidR="006E0B7E" w:rsidRPr="0051561F">
        <w:rPr>
          <w:noProof/>
        </w:rPr>
        <w:t>wię</w:t>
      </w:r>
      <w:r w:rsidRPr="0051561F">
        <w:rPr>
          <w:noProof/>
        </w:rPr>
        <w:t>cej niż 10 %.”;</w:t>
      </w:r>
    </w:p>
    <w:p w14:paraId="0D65A79D" w14:textId="4CA22B8F" w:rsidR="00CA160C" w:rsidRPr="0051561F" w:rsidRDefault="00DA30EC" w:rsidP="00DA30EC">
      <w:pPr>
        <w:pStyle w:val="Point0"/>
        <w:rPr>
          <w:noProof/>
        </w:rPr>
      </w:pPr>
      <w:r>
        <w:rPr>
          <w:noProof/>
        </w:rPr>
        <w:t>4)</w:t>
      </w:r>
      <w:r>
        <w:rPr>
          <w:noProof/>
        </w:rPr>
        <w:tab/>
      </w:r>
      <w:r w:rsidR="006C0EFD" w:rsidRPr="0051561F">
        <w:rPr>
          <w:noProof/>
        </w:rPr>
        <w:t xml:space="preserve">w </w:t>
      </w:r>
      <w:r w:rsidR="006C0EFD" w:rsidRPr="006E0B7E">
        <w:rPr>
          <w:noProof/>
        </w:rPr>
        <w:t>art.</w:t>
      </w:r>
      <w:r w:rsidR="006E0B7E" w:rsidRPr="006E0B7E">
        <w:rPr>
          <w:noProof/>
        </w:rPr>
        <w:t> </w:t>
      </w:r>
      <w:r w:rsidR="006C0EFD" w:rsidRPr="006E0B7E">
        <w:rPr>
          <w:noProof/>
        </w:rPr>
        <w:t>5</w:t>
      </w:r>
      <w:r w:rsidR="006C0EFD" w:rsidRPr="0051561F">
        <w:rPr>
          <w:noProof/>
        </w:rPr>
        <w:t xml:space="preserve"> wprowadza się następujące zmiany:</w:t>
      </w:r>
    </w:p>
    <w:p w14:paraId="0FDBF5B3" w14:textId="7EA75EE0" w:rsidR="006C0EFD" w:rsidRPr="0051561F" w:rsidRDefault="00DA30EC" w:rsidP="00DA30EC">
      <w:pPr>
        <w:pStyle w:val="Point0"/>
        <w:ind w:firstLine="0"/>
        <w:rPr>
          <w:noProof/>
        </w:rPr>
      </w:pPr>
      <w:r>
        <w:rPr>
          <w:noProof/>
        </w:rPr>
        <w:t>a)</w:t>
      </w:r>
      <w:r>
        <w:rPr>
          <w:noProof/>
        </w:rPr>
        <w:tab/>
      </w:r>
      <w:r w:rsidR="006C0EFD" w:rsidRPr="006E0B7E">
        <w:rPr>
          <w:noProof/>
        </w:rPr>
        <w:t>ust.</w:t>
      </w:r>
      <w:r w:rsidR="006E0B7E" w:rsidRPr="006E0B7E">
        <w:rPr>
          <w:noProof/>
        </w:rPr>
        <w:t> </w:t>
      </w:r>
      <w:r w:rsidR="006C0EFD" w:rsidRPr="006E0B7E">
        <w:rPr>
          <w:noProof/>
        </w:rPr>
        <w:t>1</w:t>
      </w:r>
      <w:r w:rsidR="006C0EFD" w:rsidRPr="0051561F">
        <w:rPr>
          <w:noProof/>
        </w:rPr>
        <w:t xml:space="preserve"> otrzymuje brzmienie: </w:t>
      </w:r>
    </w:p>
    <w:p w14:paraId="046D8855" w14:textId="5FEAB705" w:rsidR="006C0EFD" w:rsidRPr="0051561F" w:rsidRDefault="006C0EFD" w:rsidP="00CC4F35">
      <w:pPr>
        <w:pStyle w:val="Text1"/>
        <w:rPr>
          <w:noProof/>
        </w:rPr>
      </w:pPr>
      <w:r w:rsidRPr="0051561F">
        <w:rPr>
          <w:noProof/>
        </w:rPr>
        <w:t>„1. Państwa portu ustanawiają</w:t>
      </w:r>
      <w:r w:rsidR="006E0B7E" w:rsidRPr="0051561F">
        <w:rPr>
          <w:noProof/>
        </w:rPr>
        <w:t xml:space="preserve"> i</w:t>
      </w:r>
      <w:r w:rsidR="006E0B7E">
        <w:rPr>
          <w:noProof/>
        </w:rPr>
        <w:t> </w:t>
      </w:r>
      <w:r w:rsidR="006E0B7E" w:rsidRPr="0051561F">
        <w:rPr>
          <w:noProof/>
        </w:rPr>
        <w:t>reg</w:t>
      </w:r>
      <w:r w:rsidRPr="0051561F">
        <w:rPr>
          <w:noProof/>
        </w:rPr>
        <w:t>ularnie aktualizują wykaz obszarów morza, po których pływają pasażerskie statki typu ro-ro realizujące usługi rozkładowe do lub</w:t>
      </w:r>
      <w:r w:rsidR="006E0B7E" w:rsidRPr="0051561F">
        <w:rPr>
          <w:noProof/>
        </w:rPr>
        <w:t xml:space="preserve"> z</w:t>
      </w:r>
      <w:r w:rsidR="006E0B7E">
        <w:rPr>
          <w:noProof/>
        </w:rPr>
        <w:t> </w:t>
      </w:r>
      <w:r w:rsidR="006E0B7E" w:rsidRPr="0051561F">
        <w:rPr>
          <w:noProof/>
        </w:rPr>
        <w:t>por</w:t>
      </w:r>
      <w:r w:rsidRPr="0051561F">
        <w:rPr>
          <w:noProof/>
        </w:rPr>
        <w:t>tów tych państw,</w:t>
      </w:r>
      <w:r w:rsidR="006E0B7E" w:rsidRPr="0051561F">
        <w:rPr>
          <w:noProof/>
        </w:rPr>
        <w:t xml:space="preserve"> a</w:t>
      </w:r>
      <w:r w:rsidR="006E0B7E">
        <w:rPr>
          <w:noProof/>
        </w:rPr>
        <w:t> </w:t>
      </w:r>
      <w:r w:rsidR="006E0B7E" w:rsidRPr="0051561F">
        <w:rPr>
          <w:noProof/>
        </w:rPr>
        <w:t>tak</w:t>
      </w:r>
      <w:r w:rsidRPr="0051561F">
        <w:rPr>
          <w:noProof/>
        </w:rPr>
        <w:t>że właściwe dane liczbowe dotyczące znaczącej wysokości fali na tych obszarach.”;</w:t>
      </w:r>
    </w:p>
    <w:p w14:paraId="7913D01C" w14:textId="6E48B876" w:rsidR="001127F3" w:rsidRPr="006E0B7E" w:rsidRDefault="006E0B7E" w:rsidP="00DA30EC">
      <w:pPr>
        <w:pStyle w:val="Point0"/>
        <w:ind w:firstLine="0"/>
        <w:rPr>
          <w:noProof/>
        </w:rPr>
      </w:pPr>
      <w:r>
        <w:rPr>
          <w:noProof/>
        </w:rPr>
        <w:t>b)</w:t>
      </w:r>
      <w:r>
        <w:rPr>
          <w:noProof/>
        </w:rPr>
        <w:tab/>
      </w:r>
      <w:r w:rsidR="00925797" w:rsidRPr="006E0B7E">
        <w:rPr>
          <w:noProof/>
        </w:rPr>
        <w:t>ust.</w:t>
      </w:r>
      <w:r w:rsidRPr="006E0B7E">
        <w:rPr>
          <w:noProof/>
        </w:rPr>
        <w:t> </w:t>
      </w:r>
      <w:r w:rsidR="00925797" w:rsidRPr="006E0B7E">
        <w:rPr>
          <w:noProof/>
        </w:rPr>
        <w:t>3</w:t>
      </w:r>
      <w:r w:rsidR="00925797" w:rsidRPr="0051561F">
        <w:rPr>
          <w:noProof/>
        </w:rPr>
        <w:t xml:space="preserve"> otrzymuje brzmienie</w:t>
      </w:r>
      <w:r w:rsidR="00925797" w:rsidRPr="006E0B7E">
        <w:rPr>
          <w:noProof/>
        </w:rPr>
        <w:t>:</w:t>
      </w:r>
      <w:r w:rsidRPr="006E0B7E">
        <w:rPr>
          <w:noProof/>
        </w:rPr>
        <w:t xml:space="preserve"> </w:t>
      </w:r>
    </w:p>
    <w:p w14:paraId="0823BAF6" w14:textId="6566962F" w:rsidR="001127F3" w:rsidRPr="0051561F" w:rsidRDefault="00925797" w:rsidP="00287FD0">
      <w:pPr>
        <w:pStyle w:val="Point1"/>
        <w:rPr>
          <w:noProof/>
        </w:rPr>
      </w:pPr>
      <w:r w:rsidRPr="0051561F">
        <w:rPr>
          <w:noProof/>
        </w:rPr>
        <w:t>„3.</w:t>
      </w:r>
      <w:r w:rsidRPr="0051561F">
        <w:rPr>
          <w:noProof/>
        </w:rPr>
        <w:tab/>
        <w:t>Wykaz jest publikowany</w:t>
      </w:r>
      <w:r w:rsidR="006E0B7E" w:rsidRPr="0051561F">
        <w:rPr>
          <w:noProof/>
        </w:rPr>
        <w:t xml:space="preserve"> w</w:t>
      </w:r>
      <w:r w:rsidR="006E0B7E">
        <w:rPr>
          <w:noProof/>
        </w:rPr>
        <w:t> </w:t>
      </w:r>
      <w:r w:rsidR="006E0B7E" w:rsidRPr="0051561F">
        <w:rPr>
          <w:noProof/>
        </w:rPr>
        <w:t>pub</w:t>
      </w:r>
      <w:r w:rsidRPr="0051561F">
        <w:rPr>
          <w:noProof/>
        </w:rPr>
        <w:t>licznej bazie danych dostępnej na stronie internetowej właściwego organu morskiego. Komisję powiadamia się</w:t>
      </w:r>
      <w:r w:rsidR="006E0B7E" w:rsidRPr="0051561F">
        <w:rPr>
          <w:noProof/>
        </w:rPr>
        <w:t xml:space="preserve"> o</w:t>
      </w:r>
      <w:r w:rsidR="006E0B7E">
        <w:rPr>
          <w:noProof/>
        </w:rPr>
        <w:t> </w:t>
      </w:r>
      <w:r w:rsidR="006E0B7E" w:rsidRPr="0051561F">
        <w:rPr>
          <w:noProof/>
        </w:rPr>
        <w:t>tym</w:t>
      </w:r>
      <w:r w:rsidRPr="0051561F">
        <w:rPr>
          <w:noProof/>
        </w:rPr>
        <w:t>, gdzie znajdują się te informacje,</w:t>
      </w:r>
      <w:r w:rsidR="006E0B7E" w:rsidRPr="0051561F">
        <w:rPr>
          <w:noProof/>
        </w:rPr>
        <w:t xml:space="preserve"> a</w:t>
      </w:r>
      <w:r w:rsidR="006E0B7E">
        <w:rPr>
          <w:noProof/>
        </w:rPr>
        <w:t> </w:t>
      </w:r>
      <w:r w:rsidR="006E0B7E" w:rsidRPr="0051561F">
        <w:rPr>
          <w:noProof/>
        </w:rPr>
        <w:t>tak</w:t>
      </w:r>
      <w:r w:rsidRPr="0051561F">
        <w:rPr>
          <w:noProof/>
        </w:rPr>
        <w:t>że</w:t>
      </w:r>
      <w:r w:rsidR="006E0B7E" w:rsidRPr="0051561F">
        <w:rPr>
          <w:noProof/>
        </w:rPr>
        <w:t xml:space="preserve"> o</w:t>
      </w:r>
      <w:r w:rsidR="006E0B7E">
        <w:rPr>
          <w:noProof/>
        </w:rPr>
        <w:t> </w:t>
      </w:r>
      <w:r w:rsidR="006E0B7E" w:rsidRPr="0051561F">
        <w:rPr>
          <w:noProof/>
        </w:rPr>
        <w:t>wsz</w:t>
      </w:r>
      <w:r w:rsidRPr="0051561F">
        <w:rPr>
          <w:noProof/>
        </w:rPr>
        <w:t>elkich aktualizacjach wykazu oraz powodach takich aktualizacji.”;</w:t>
      </w:r>
    </w:p>
    <w:p w14:paraId="5DC81B59" w14:textId="1B5087A3" w:rsidR="001127F3" w:rsidRPr="0051561F" w:rsidRDefault="006E0B7E" w:rsidP="006E0B7E">
      <w:pPr>
        <w:pStyle w:val="Point0"/>
        <w:rPr>
          <w:noProof/>
        </w:rPr>
      </w:pPr>
      <w:r>
        <w:rPr>
          <w:noProof/>
        </w:rPr>
        <w:t>5)</w:t>
      </w:r>
      <w:r>
        <w:rPr>
          <w:noProof/>
        </w:rPr>
        <w:tab/>
      </w:r>
      <w:r w:rsidR="001127F3" w:rsidRPr="006E0B7E">
        <w:rPr>
          <w:noProof/>
        </w:rPr>
        <w:t>art.</w:t>
      </w:r>
      <w:r w:rsidRPr="006E0B7E">
        <w:rPr>
          <w:noProof/>
        </w:rPr>
        <w:t> </w:t>
      </w:r>
      <w:r w:rsidR="001127F3" w:rsidRPr="006E0B7E">
        <w:rPr>
          <w:noProof/>
        </w:rPr>
        <w:t>6</w:t>
      </w:r>
      <w:r w:rsidR="001127F3" w:rsidRPr="0051561F">
        <w:rPr>
          <w:noProof/>
        </w:rPr>
        <w:t xml:space="preserve"> otrzymuje brzmienie:</w:t>
      </w:r>
    </w:p>
    <w:p w14:paraId="60CE1712" w14:textId="77777777" w:rsidR="001127F3" w:rsidRPr="0051561F" w:rsidRDefault="00703610" w:rsidP="001127F3">
      <w:pPr>
        <w:pStyle w:val="NormalCentered"/>
        <w:rPr>
          <w:i/>
          <w:noProof/>
        </w:rPr>
      </w:pPr>
      <w:r w:rsidRPr="0051561F">
        <w:rPr>
          <w:i/>
          <w:noProof/>
        </w:rPr>
        <w:t>„Artykuł 6</w:t>
      </w:r>
    </w:p>
    <w:p w14:paraId="5D580366" w14:textId="77777777" w:rsidR="001127F3" w:rsidRPr="0051561F" w:rsidRDefault="001127F3" w:rsidP="001127F3">
      <w:pPr>
        <w:pStyle w:val="NormalCentered"/>
        <w:rPr>
          <w:b/>
          <w:noProof/>
        </w:rPr>
      </w:pPr>
      <w:r w:rsidRPr="0051561F">
        <w:rPr>
          <w:b/>
          <w:noProof/>
        </w:rPr>
        <w:t>Szczególne wymogi stateczności</w:t>
      </w:r>
    </w:p>
    <w:p w14:paraId="1487558C" w14:textId="7328FF50" w:rsidR="007800DD" w:rsidRPr="0051561F" w:rsidRDefault="00287FD0" w:rsidP="007800DD">
      <w:pPr>
        <w:pStyle w:val="Point1"/>
        <w:rPr>
          <w:noProof/>
        </w:rPr>
      </w:pPr>
      <w:r w:rsidRPr="0051561F">
        <w:rPr>
          <w:noProof/>
        </w:rPr>
        <w:t>1.</w:t>
      </w:r>
      <w:r w:rsidRPr="0051561F">
        <w:rPr>
          <w:noProof/>
        </w:rPr>
        <w:tab/>
        <w:t>Bez uszczerbku dla stosowania dyrektywy 2009/45/WE, nowe pasażerskie statki typu ro-ro certyfikowane do przewozu ponad 1 350 osób na pokładzie muszą spełniać szczególne wymogi stateczności określone</w:t>
      </w:r>
      <w:r w:rsidR="006E0B7E" w:rsidRPr="0051561F">
        <w:rPr>
          <w:noProof/>
        </w:rPr>
        <w:t xml:space="preserve"> w</w:t>
      </w:r>
      <w:r w:rsidR="006E0B7E">
        <w:rPr>
          <w:noProof/>
        </w:rPr>
        <w:t> </w:t>
      </w:r>
      <w:r w:rsidR="006E0B7E" w:rsidRPr="0051561F">
        <w:rPr>
          <w:noProof/>
        </w:rPr>
        <w:t>roz</w:t>
      </w:r>
      <w:r w:rsidRPr="0051561F">
        <w:rPr>
          <w:noProof/>
        </w:rPr>
        <w:t>dziale II-1 część B konwencji SOLAS 2020.</w:t>
      </w:r>
    </w:p>
    <w:p w14:paraId="26E98825" w14:textId="4C14A5AA" w:rsidR="001127F3" w:rsidRPr="0051561F" w:rsidRDefault="00287FD0" w:rsidP="00287FD0">
      <w:pPr>
        <w:pStyle w:val="Point1"/>
        <w:rPr>
          <w:noProof/>
        </w:rPr>
      </w:pPr>
      <w:r w:rsidRPr="0051561F">
        <w:rPr>
          <w:noProof/>
        </w:rPr>
        <w:t>2.</w:t>
      </w:r>
      <w:r w:rsidRPr="0051561F">
        <w:rPr>
          <w:noProof/>
        </w:rPr>
        <w:tab/>
        <w:t>W zależności od wyboru operatora, nowe pasażerskie statki typu ro-ro certyfikowane do przewozu 1 350 lub mniej osób na pokładzie muszą spełniać:</w:t>
      </w:r>
    </w:p>
    <w:p w14:paraId="6818B454" w14:textId="6C734EE2" w:rsidR="004D39DD" w:rsidRPr="0051561F" w:rsidRDefault="006E0B7E" w:rsidP="006E0B7E">
      <w:pPr>
        <w:pStyle w:val="Point2"/>
        <w:rPr>
          <w:noProof/>
        </w:rPr>
      </w:pPr>
      <w:r>
        <w:rPr>
          <w:noProof/>
        </w:rPr>
        <w:t>a)</w:t>
      </w:r>
      <w:r>
        <w:rPr>
          <w:noProof/>
        </w:rPr>
        <w:tab/>
      </w:r>
      <w:r w:rsidR="006E259C" w:rsidRPr="0051561F">
        <w:rPr>
          <w:noProof/>
        </w:rPr>
        <w:t>szczególne wymogi stateczności określone</w:t>
      </w:r>
      <w:r w:rsidRPr="0051561F">
        <w:rPr>
          <w:noProof/>
        </w:rPr>
        <w:t xml:space="preserve"> w</w:t>
      </w:r>
      <w:r>
        <w:rPr>
          <w:noProof/>
        </w:rPr>
        <w:t> </w:t>
      </w:r>
      <w:r w:rsidRPr="0051561F">
        <w:rPr>
          <w:noProof/>
        </w:rPr>
        <w:t>sek</w:t>
      </w:r>
      <w:r w:rsidR="006E259C" w:rsidRPr="0051561F">
        <w:rPr>
          <w:noProof/>
        </w:rPr>
        <w:t>cji A załącznika I do niniejszej dyrektywy lub</w:t>
      </w:r>
    </w:p>
    <w:p w14:paraId="16CADFE5" w14:textId="19F57F2D" w:rsidR="004D39DD" w:rsidRPr="0051561F" w:rsidRDefault="006E0B7E" w:rsidP="006E0B7E">
      <w:pPr>
        <w:pStyle w:val="Point2"/>
        <w:rPr>
          <w:noProof/>
        </w:rPr>
      </w:pPr>
      <w:r>
        <w:rPr>
          <w:noProof/>
        </w:rPr>
        <w:t>b)</w:t>
      </w:r>
      <w:r>
        <w:rPr>
          <w:noProof/>
        </w:rPr>
        <w:tab/>
      </w:r>
      <w:r w:rsidR="006E259C" w:rsidRPr="0051561F">
        <w:rPr>
          <w:noProof/>
        </w:rPr>
        <w:t>szczególne wymogi stateczności określone</w:t>
      </w:r>
      <w:r w:rsidRPr="0051561F">
        <w:rPr>
          <w:noProof/>
        </w:rPr>
        <w:t xml:space="preserve"> w</w:t>
      </w:r>
      <w:r>
        <w:rPr>
          <w:noProof/>
        </w:rPr>
        <w:t> </w:t>
      </w:r>
      <w:r w:rsidRPr="0051561F">
        <w:rPr>
          <w:noProof/>
        </w:rPr>
        <w:t>sek</w:t>
      </w:r>
      <w:r w:rsidR="006E259C" w:rsidRPr="0051561F">
        <w:rPr>
          <w:noProof/>
        </w:rPr>
        <w:t>cji B załącznika I do niniejszej dyrektywy.</w:t>
      </w:r>
    </w:p>
    <w:p w14:paraId="7FFC24D0" w14:textId="272B6AF4" w:rsidR="00E07FA8" w:rsidRPr="0051561F" w:rsidRDefault="00A61B01" w:rsidP="00287FD0">
      <w:pPr>
        <w:pStyle w:val="Point1"/>
        <w:ind w:firstLine="1"/>
        <w:rPr>
          <w:noProof/>
        </w:rPr>
      </w:pPr>
      <w:r w:rsidRPr="0051561F">
        <w:rPr>
          <w:noProof/>
        </w:rPr>
        <w:t>W odniesieniu do każdego takiego statku administracja państwa bandery powiadamia Komisję</w:t>
      </w:r>
      <w:r w:rsidR="006E0B7E" w:rsidRPr="0051561F">
        <w:rPr>
          <w:noProof/>
        </w:rPr>
        <w:t xml:space="preserve"> w</w:t>
      </w:r>
      <w:r w:rsidR="006E0B7E">
        <w:rPr>
          <w:noProof/>
        </w:rPr>
        <w:t> </w:t>
      </w:r>
      <w:r w:rsidR="006E0B7E" w:rsidRPr="0051561F">
        <w:rPr>
          <w:noProof/>
        </w:rPr>
        <w:t>ter</w:t>
      </w:r>
      <w:r w:rsidRPr="0051561F">
        <w:rPr>
          <w:noProof/>
        </w:rPr>
        <w:t>minie dwóch miesięcy od daty wydania certyfikatu,</w:t>
      </w:r>
      <w:r w:rsidR="006E0B7E" w:rsidRPr="0051561F">
        <w:rPr>
          <w:noProof/>
        </w:rPr>
        <w:t xml:space="preserve"> o</w:t>
      </w:r>
      <w:r w:rsidR="006E0B7E">
        <w:rPr>
          <w:noProof/>
        </w:rPr>
        <w:t> </w:t>
      </w:r>
      <w:r w:rsidR="006E0B7E" w:rsidRPr="0051561F">
        <w:rPr>
          <w:noProof/>
        </w:rPr>
        <w:t>któ</w:t>
      </w:r>
      <w:r w:rsidRPr="0051561F">
        <w:rPr>
          <w:noProof/>
        </w:rPr>
        <w:t>rym mowa</w:t>
      </w:r>
      <w:r w:rsidR="006E0B7E" w:rsidRPr="0051561F">
        <w:rPr>
          <w:noProof/>
        </w:rPr>
        <w:t xml:space="preserve"> w</w:t>
      </w:r>
      <w:r w:rsidR="006E0B7E">
        <w:rPr>
          <w:noProof/>
        </w:rPr>
        <w:t> </w:t>
      </w:r>
      <w:r w:rsidR="006E0B7E" w:rsidRPr="006E0B7E">
        <w:rPr>
          <w:noProof/>
        </w:rPr>
        <w:t>art</w:t>
      </w:r>
      <w:r w:rsidRPr="006E0B7E">
        <w:rPr>
          <w:noProof/>
        </w:rPr>
        <w:t>.</w:t>
      </w:r>
      <w:r w:rsidR="006E0B7E" w:rsidRPr="006E0B7E">
        <w:rPr>
          <w:noProof/>
        </w:rPr>
        <w:t> </w:t>
      </w:r>
      <w:r w:rsidRPr="006E0B7E">
        <w:rPr>
          <w:noProof/>
        </w:rPr>
        <w:t>8</w:t>
      </w:r>
      <w:r w:rsidRPr="0051561F">
        <w:rPr>
          <w:noProof/>
        </w:rPr>
        <w:t>,</w:t>
      </w:r>
      <w:r w:rsidR="006E0B7E" w:rsidRPr="0051561F">
        <w:rPr>
          <w:noProof/>
        </w:rPr>
        <w:t xml:space="preserve"> o</w:t>
      </w:r>
      <w:r w:rsidR="006E0B7E">
        <w:rPr>
          <w:noProof/>
        </w:rPr>
        <w:t> </w:t>
      </w:r>
      <w:r w:rsidR="006E0B7E" w:rsidRPr="0051561F">
        <w:rPr>
          <w:noProof/>
        </w:rPr>
        <w:t>wyb</w:t>
      </w:r>
      <w:r w:rsidRPr="0051561F">
        <w:rPr>
          <w:noProof/>
        </w:rPr>
        <w:t>orze opcji,</w:t>
      </w:r>
      <w:r w:rsidR="006E0B7E" w:rsidRPr="0051561F">
        <w:rPr>
          <w:noProof/>
        </w:rPr>
        <w:t xml:space="preserve"> o</w:t>
      </w:r>
      <w:r w:rsidR="006E0B7E">
        <w:rPr>
          <w:noProof/>
        </w:rPr>
        <w:t> </w:t>
      </w:r>
      <w:r w:rsidR="006E0B7E" w:rsidRPr="0051561F">
        <w:rPr>
          <w:noProof/>
        </w:rPr>
        <w:t>któ</w:t>
      </w:r>
      <w:r w:rsidRPr="0051561F">
        <w:rPr>
          <w:noProof/>
        </w:rPr>
        <w:t>rej mowa</w:t>
      </w:r>
      <w:r w:rsidR="006E0B7E" w:rsidRPr="0051561F">
        <w:rPr>
          <w:noProof/>
        </w:rPr>
        <w:t xml:space="preserve"> w</w:t>
      </w:r>
      <w:r w:rsidR="006E0B7E">
        <w:rPr>
          <w:noProof/>
        </w:rPr>
        <w:t> </w:t>
      </w:r>
      <w:r w:rsidR="006E0B7E" w:rsidRPr="0051561F">
        <w:rPr>
          <w:noProof/>
        </w:rPr>
        <w:t>aka</w:t>
      </w:r>
      <w:r w:rsidRPr="0051561F">
        <w:rPr>
          <w:noProof/>
        </w:rPr>
        <w:t>picie pierwszym lit. a) lub lit. b), oraz dołącza do takiego powiadomienia szczegółowe informacje,</w:t>
      </w:r>
      <w:r w:rsidR="006E0B7E" w:rsidRPr="0051561F">
        <w:rPr>
          <w:noProof/>
        </w:rPr>
        <w:t xml:space="preserve"> o</w:t>
      </w:r>
      <w:r w:rsidR="006E0B7E">
        <w:rPr>
          <w:noProof/>
        </w:rPr>
        <w:t> </w:t>
      </w:r>
      <w:r w:rsidR="006E0B7E" w:rsidRPr="0051561F">
        <w:rPr>
          <w:noProof/>
        </w:rPr>
        <w:t>któ</w:t>
      </w:r>
      <w:r w:rsidRPr="0051561F">
        <w:rPr>
          <w:noProof/>
        </w:rPr>
        <w:t>rych mowa</w:t>
      </w:r>
      <w:r w:rsidR="006E0B7E" w:rsidRPr="0051561F">
        <w:rPr>
          <w:noProof/>
        </w:rPr>
        <w:t xml:space="preserve"> w</w:t>
      </w:r>
      <w:r w:rsidR="006E0B7E">
        <w:rPr>
          <w:noProof/>
        </w:rPr>
        <w:t> </w:t>
      </w:r>
      <w:r w:rsidR="006E0B7E" w:rsidRPr="0051561F">
        <w:rPr>
          <w:noProof/>
        </w:rPr>
        <w:t>zał</w:t>
      </w:r>
      <w:r w:rsidRPr="0051561F">
        <w:rPr>
          <w:noProof/>
        </w:rPr>
        <w:t xml:space="preserve">ączniku III. </w:t>
      </w:r>
    </w:p>
    <w:p w14:paraId="071D2A7D" w14:textId="607FF3F5" w:rsidR="006E259C" w:rsidRPr="0051561F" w:rsidRDefault="00CC4F35" w:rsidP="007C0ABF">
      <w:pPr>
        <w:pStyle w:val="Point1"/>
        <w:rPr>
          <w:noProof/>
        </w:rPr>
      </w:pPr>
      <w:r w:rsidRPr="0051561F">
        <w:rPr>
          <w:noProof/>
        </w:rPr>
        <w:t xml:space="preserve"> 3.</w:t>
      </w:r>
      <w:r w:rsidRPr="0051561F">
        <w:rPr>
          <w:noProof/>
        </w:rPr>
        <w:tab/>
        <w:t>Stosując wymogi określone</w:t>
      </w:r>
      <w:r w:rsidR="006E0B7E" w:rsidRPr="0051561F">
        <w:rPr>
          <w:noProof/>
        </w:rPr>
        <w:t xml:space="preserve"> w</w:t>
      </w:r>
      <w:r w:rsidR="006E0B7E">
        <w:rPr>
          <w:noProof/>
        </w:rPr>
        <w:t> </w:t>
      </w:r>
      <w:r w:rsidR="006E0B7E" w:rsidRPr="0051561F">
        <w:rPr>
          <w:noProof/>
        </w:rPr>
        <w:t>zał</w:t>
      </w:r>
      <w:r w:rsidRPr="0051561F">
        <w:rPr>
          <w:noProof/>
        </w:rPr>
        <w:t>ączniku I sekcja A, państwa członkowskie posługują się wytycznymi określonymi</w:t>
      </w:r>
      <w:r w:rsidR="006E0B7E" w:rsidRPr="0051561F">
        <w:rPr>
          <w:noProof/>
        </w:rPr>
        <w:t xml:space="preserve"> w</w:t>
      </w:r>
      <w:r w:rsidR="006E0B7E">
        <w:rPr>
          <w:noProof/>
        </w:rPr>
        <w:t> </w:t>
      </w:r>
      <w:r w:rsidR="006E0B7E" w:rsidRPr="0051561F">
        <w:rPr>
          <w:noProof/>
        </w:rPr>
        <w:t>zał</w:t>
      </w:r>
      <w:r w:rsidRPr="0051561F">
        <w:rPr>
          <w:noProof/>
        </w:rPr>
        <w:t>ączniku II,</w:t>
      </w:r>
      <w:r w:rsidR="006E0B7E" w:rsidRPr="0051561F">
        <w:rPr>
          <w:noProof/>
        </w:rPr>
        <w:t xml:space="preserve"> o</w:t>
      </w:r>
      <w:r w:rsidR="006E0B7E">
        <w:rPr>
          <w:noProof/>
        </w:rPr>
        <w:t> </w:t>
      </w:r>
      <w:r w:rsidR="006E0B7E" w:rsidRPr="0051561F">
        <w:rPr>
          <w:noProof/>
        </w:rPr>
        <w:t>ile</w:t>
      </w:r>
      <w:r w:rsidRPr="0051561F">
        <w:rPr>
          <w:noProof/>
        </w:rPr>
        <w:t xml:space="preserve"> możliwe jest ich zastosowanie oraz na tyle, na ile są one zgodne</w:t>
      </w:r>
      <w:r w:rsidR="006E0B7E" w:rsidRPr="0051561F">
        <w:rPr>
          <w:noProof/>
        </w:rPr>
        <w:t xml:space="preserve"> z</w:t>
      </w:r>
      <w:r w:rsidR="006E0B7E">
        <w:rPr>
          <w:noProof/>
        </w:rPr>
        <w:t> </w:t>
      </w:r>
      <w:r w:rsidR="006E0B7E" w:rsidRPr="0051561F">
        <w:rPr>
          <w:noProof/>
        </w:rPr>
        <w:t>kon</w:t>
      </w:r>
      <w:r w:rsidRPr="0051561F">
        <w:rPr>
          <w:noProof/>
        </w:rPr>
        <w:t>strukcją danego statku.</w:t>
      </w:r>
    </w:p>
    <w:p w14:paraId="04F3B8AF" w14:textId="0CDE296A" w:rsidR="000E0796" w:rsidRPr="0051561F" w:rsidRDefault="00E07FA8" w:rsidP="007C0ABF">
      <w:pPr>
        <w:pStyle w:val="Point1"/>
        <w:rPr>
          <w:noProof/>
        </w:rPr>
      </w:pPr>
      <w:r w:rsidRPr="0051561F">
        <w:rPr>
          <w:noProof/>
        </w:rPr>
        <w:t>4.</w:t>
      </w:r>
      <w:r w:rsidRPr="0051561F">
        <w:rPr>
          <w:noProof/>
        </w:rPr>
        <w:tab/>
        <w:t>W zależności od wyboru operatora, istniejące pasażerskie statki typu ro-ro certyfikowane do przewozu ponad 1 350 osób na pokładzie, rozpoczynające wykonywanie usługi rozkładowej do lub</w:t>
      </w:r>
      <w:r w:rsidR="006E0B7E" w:rsidRPr="0051561F">
        <w:rPr>
          <w:noProof/>
        </w:rPr>
        <w:t xml:space="preserve"> z</w:t>
      </w:r>
      <w:r w:rsidR="006E0B7E">
        <w:rPr>
          <w:noProof/>
        </w:rPr>
        <w:t> </w:t>
      </w:r>
      <w:r w:rsidR="006E0B7E" w:rsidRPr="0051561F">
        <w:rPr>
          <w:noProof/>
        </w:rPr>
        <w:t>por</w:t>
      </w:r>
      <w:r w:rsidRPr="0051561F">
        <w:rPr>
          <w:noProof/>
        </w:rPr>
        <w:t xml:space="preserve">tu państwa członkowskiego po dniu </w:t>
      </w:r>
      <w:r w:rsidRPr="0051561F">
        <w:rPr>
          <w:i/>
          <w:noProof/>
        </w:rPr>
        <w:t>[UP: proszę wstawić datę: jeden rok od daty wejścia</w:t>
      </w:r>
      <w:r w:rsidR="006E0B7E" w:rsidRPr="0051561F">
        <w:rPr>
          <w:i/>
          <w:noProof/>
        </w:rPr>
        <w:t xml:space="preserve"> w</w:t>
      </w:r>
      <w:r w:rsidR="006E0B7E">
        <w:rPr>
          <w:i/>
          <w:noProof/>
        </w:rPr>
        <w:t> </w:t>
      </w:r>
      <w:r w:rsidR="006E0B7E" w:rsidRPr="0051561F">
        <w:rPr>
          <w:i/>
          <w:noProof/>
        </w:rPr>
        <w:t>życ</w:t>
      </w:r>
      <w:r w:rsidRPr="0051561F">
        <w:rPr>
          <w:i/>
          <w:noProof/>
        </w:rPr>
        <w:t>ie niniejszej dyrektywy zmieniającej]</w:t>
      </w:r>
      <w:r w:rsidRPr="0051561F">
        <w:rPr>
          <w:noProof/>
        </w:rPr>
        <w:t xml:space="preserve"> r., które nie były nigdy certyfikowane zgodnie</w:t>
      </w:r>
      <w:r w:rsidR="006E0B7E" w:rsidRPr="0051561F">
        <w:rPr>
          <w:noProof/>
        </w:rPr>
        <w:t xml:space="preserve"> z</w:t>
      </w:r>
      <w:r w:rsidR="006E0B7E">
        <w:rPr>
          <w:noProof/>
        </w:rPr>
        <w:t> </w:t>
      </w:r>
      <w:r w:rsidR="006E0B7E" w:rsidRPr="0051561F">
        <w:rPr>
          <w:noProof/>
        </w:rPr>
        <w:t>nin</w:t>
      </w:r>
      <w:r w:rsidRPr="0051561F">
        <w:rPr>
          <w:noProof/>
        </w:rPr>
        <w:t>iejszą dyrektywą, muszą spełniać:</w:t>
      </w:r>
    </w:p>
    <w:p w14:paraId="1500B8B1" w14:textId="0F4349AF" w:rsidR="000E0796" w:rsidRPr="0051561F" w:rsidRDefault="006E0B7E" w:rsidP="006E0B7E">
      <w:pPr>
        <w:pStyle w:val="Point2"/>
        <w:rPr>
          <w:noProof/>
        </w:rPr>
      </w:pPr>
      <w:r w:rsidRPr="006E0B7E">
        <w:rPr>
          <w:noProof/>
        </w:rPr>
        <w:t>a)</w:t>
      </w:r>
      <w:r w:rsidRPr="006E0B7E">
        <w:rPr>
          <w:noProof/>
        </w:rPr>
        <w:tab/>
      </w:r>
      <w:r w:rsidR="007C0ABF" w:rsidRPr="0051561F">
        <w:rPr>
          <w:noProof/>
        </w:rPr>
        <w:t>szczególne wymogi stateczności określone</w:t>
      </w:r>
      <w:r w:rsidRPr="0051561F">
        <w:rPr>
          <w:noProof/>
        </w:rPr>
        <w:t xml:space="preserve"> w</w:t>
      </w:r>
      <w:r>
        <w:rPr>
          <w:noProof/>
        </w:rPr>
        <w:t> </w:t>
      </w:r>
      <w:r w:rsidRPr="0051561F">
        <w:rPr>
          <w:noProof/>
        </w:rPr>
        <w:t>roz</w:t>
      </w:r>
      <w:r w:rsidR="007C0ABF" w:rsidRPr="0051561F">
        <w:rPr>
          <w:noProof/>
        </w:rPr>
        <w:t>dziale II-1 część B konwencji SOLAS 2020 lub</w:t>
      </w:r>
    </w:p>
    <w:p w14:paraId="57BA0ABB" w14:textId="6BBAF55F" w:rsidR="000E0796" w:rsidRPr="0051561F" w:rsidRDefault="006E0B7E" w:rsidP="006E0B7E">
      <w:pPr>
        <w:pStyle w:val="Point2"/>
        <w:rPr>
          <w:noProof/>
        </w:rPr>
      </w:pPr>
      <w:r w:rsidRPr="006E0B7E">
        <w:rPr>
          <w:noProof/>
        </w:rPr>
        <w:t>b)</w:t>
      </w:r>
      <w:r w:rsidRPr="006E0B7E">
        <w:rPr>
          <w:noProof/>
        </w:rPr>
        <w:tab/>
      </w:r>
      <w:r w:rsidR="007C0ABF" w:rsidRPr="0051561F">
        <w:rPr>
          <w:noProof/>
        </w:rPr>
        <w:t>szczególne wymogi określone</w:t>
      </w:r>
      <w:r w:rsidRPr="0051561F">
        <w:rPr>
          <w:noProof/>
        </w:rPr>
        <w:t xml:space="preserve"> w</w:t>
      </w:r>
      <w:r>
        <w:rPr>
          <w:noProof/>
        </w:rPr>
        <w:t> </w:t>
      </w:r>
      <w:r w:rsidRPr="0051561F">
        <w:rPr>
          <w:noProof/>
        </w:rPr>
        <w:t>sek</w:t>
      </w:r>
      <w:r w:rsidR="007C0ABF" w:rsidRPr="0051561F">
        <w:rPr>
          <w:noProof/>
        </w:rPr>
        <w:t>cji A załącznika I do niniejszej dyrektywy, dodatkowo do wymogów określonych</w:t>
      </w:r>
      <w:r w:rsidRPr="0051561F">
        <w:rPr>
          <w:noProof/>
        </w:rPr>
        <w:t xml:space="preserve"> w</w:t>
      </w:r>
      <w:r>
        <w:rPr>
          <w:noProof/>
        </w:rPr>
        <w:t> </w:t>
      </w:r>
      <w:r w:rsidRPr="0051561F">
        <w:rPr>
          <w:noProof/>
        </w:rPr>
        <w:t>roz</w:t>
      </w:r>
      <w:r w:rsidR="007C0ABF" w:rsidRPr="0051561F">
        <w:rPr>
          <w:noProof/>
        </w:rPr>
        <w:t xml:space="preserve">dziale II-1 część B konwencji SOLAS 2009. </w:t>
      </w:r>
    </w:p>
    <w:p w14:paraId="173A9D20" w14:textId="090631F1" w:rsidR="007C0ABF" w:rsidRPr="0051561F" w:rsidRDefault="007C0ABF" w:rsidP="00CC4F35">
      <w:pPr>
        <w:pStyle w:val="Point1"/>
        <w:ind w:firstLine="1"/>
        <w:rPr>
          <w:noProof/>
        </w:rPr>
      </w:pPr>
      <w:r w:rsidRPr="0051561F">
        <w:rPr>
          <w:noProof/>
        </w:rPr>
        <w:t>Stosowaną normę odnotowuje się</w:t>
      </w:r>
      <w:r w:rsidR="006E0B7E" w:rsidRPr="0051561F">
        <w:rPr>
          <w:noProof/>
        </w:rPr>
        <w:t xml:space="preserve"> w</w:t>
      </w:r>
      <w:r w:rsidR="006E0B7E">
        <w:rPr>
          <w:noProof/>
        </w:rPr>
        <w:t> </w:t>
      </w:r>
      <w:r w:rsidR="006E0B7E" w:rsidRPr="0051561F">
        <w:rPr>
          <w:noProof/>
        </w:rPr>
        <w:t>cer</w:t>
      </w:r>
      <w:r w:rsidRPr="0051561F">
        <w:rPr>
          <w:noProof/>
        </w:rPr>
        <w:t>tyfikacie statku wymaganym zgodnie</w:t>
      </w:r>
      <w:r w:rsidR="006E0B7E" w:rsidRPr="0051561F">
        <w:rPr>
          <w:noProof/>
        </w:rPr>
        <w:t xml:space="preserve"> z</w:t>
      </w:r>
      <w:r w:rsidR="006E0B7E">
        <w:rPr>
          <w:noProof/>
        </w:rPr>
        <w:t> </w:t>
      </w:r>
      <w:r w:rsidR="006E0B7E" w:rsidRPr="006E0B7E">
        <w:rPr>
          <w:noProof/>
        </w:rPr>
        <w:t>art</w:t>
      </w:r>
      <w:r w:rsidRPr="006E0B7E">
        <w:rPr>
          <w:noProof/>
        </w:rPr>
        <w:t>.</w:t>
      </w:r>
      <w:r w:rsidR="006E0B7E" w:rsidRPr="006E0B7E">
        <w:rPr>
          <w:noProof/>
        </w:rPr>
        <w:t> </w:t>
      </w:r>
      <w:r w:rsidRPr="006E0B7E">
        <w:rPr>
          <w:noProof/>
        </w:rPr>
        <w:t>8</w:t>
      </w:r>
      <w:r w:rsidRPr="0051561F">
        <w:rPr>
          <w:noProof/>
        </w:rPr>
        <w:t xml:space="preserve">. </w:t>
      </w:r>
    </w:p>
    <w:p w14:paraId="3EAA8B66" w14:textId="11B00723" w:rsidR="000E0796" w:rsidRPr="0051561F" w:rsidRDefault="006B7928" w:rsidP="007800DD">
      <w:pPr>
        <w:pStyle w:val="Point1"/>
        <w:rPr>
          <w:noProof/>
        </w:rPr>
      </w:pPr>
      <w:r w:rsidRPr="0051561F">
        <w:rPr>
          <w:noProof/>
        </w:rPr>
        <w:t>5.</w:t>
      </w:r>
      <w:r w:rsidRPr="0051561F">
        <w:rPr>
          <w:noProof/>
        </w:rPr>
        <w:tab/>
        <w:t>W zależności od wyboru operatora, istniejące pasażerskie statki typu ro-ro certyfikowane do przewozu 1 350 lub mniej osób na pokładzie, rozpoczynające wykonywanie usługi rozkładowej do lub</w:t>
      </w:r>
      <w:r w:rsidR="006E0B7E" w:rsidRPr="0051561F">
        <w:rPr>
          <w:noProof/>
        </w:rPr>
        <w:t xml:space="preserve"> z</w:t>
      </w:r>
      <w:r w:rsidR="006E0B7E">
        <w:rPr>
          <w:noProof/>
        </w:rPr>
        <w:t> </w:t>
      </w:r>
      <w:r w:rsidR="006E0B7E" w:rsidRPr="0051561F">
        <w:rPr>
          <w:noProof/>
        </w:rPr>
        <w:t>por</w:t>
      </w:r>
      <w:r w:rsidRPr="0051561F">
        <w:rPr>
          <w:noProof/>
        </w:rPr>
        <w:t xml:space="preserve">tu państwa członkowskiego po dniu </w:t>
      </w:r>
      <w:r w:rsidRPr="0051561F">
        <w:rPr>
          <w:i/>
          <w:noProof/>
        </w:rPr>
        <w:t>[UP: proszę wstawić datę: jeden rok od daty wejścia</w:t>
      </w:r>
      <w:r w:rsidR="006E0B7E" w:rsidRPr="0051561F">
        <w:rPr>
          <w:i/>
          <w:noProof/>
        </w:rPr>
        <w:t xml:space="preserve"> w</w:t>
      </w:r>
      <w:r w:rsidR="006E0B7E">
        <w:rPr>
          <w:i/>
          <w:noProof/>
        </w:rPr>
        <w:t> </w:t>
      </w:r>
      <w:r w:rsidR="006E0B7E" w:rsidRPr="0051561F">
        <w:rPr>
          <w:i/>
          <w:noProof/>
        </w:rPr>
        <w:t>życ</w:t>
      </w:r>
      <w:r w:rsidRPr="0051561F">
        <w:rPr>
          <w:i/>
          <w:noProof/>
        </w:rPr>
        <w:t>ie niniejszej dyrektywy zmieniającej]</w:t>
      </w:r>
      <w:r w:rsidRPr="0051561F">
        <w:rPr>
          <w:noProof/>
        </w:rPr>
        <w:t xml:space="preserve"> r., które nie były nigdy certyfikowane zgodnie</w:t>
      </w:r>
      <w:r w:rsidR="006E0B7E" w:rsidRPr="0051561F">
        <w:rPr>
          <w:noProof/>
        </w:rPr>
        <w:t xml:space="preserve"> z</w:t>
      </w:r>
      <w:r w:rsidR="006E0B7E">
        <w:rPr>
          <w:noProof/>
        </w:rPr>
        <w:t> </w:t>
      </w:r>
      <w:r w:rsidR="006E0B7E" w:rsidRPr="0051561F">
        <w:rPr>
          <w:noProof/>
        </w:rPr>
        <w:t>nin</w:t>
      </w:r>
      <w:r w:rsidRPr="0051561F">
        <w:rPr>
          <w:noProof/>
        </w:rPr>
        <w:t>iejszą dyrektywą, muszą spełniać:</w:t>
      </w:r>
    </w:p>
    <w:p w14:paraId="2FB2996E" w14:textId="2FC8A8F7" w:rsidR="004516ED" w:rsidRPr="0051561F" w:rsidRDefault="006E0B7E" w:rsidP="006E0B7E">
      <w:pPr>
        <w:pStyle w:val="Point2"/>
        <w:rPr>
          <w:noProof/>
        </w:rPr>
      </w:pPr>
      <w:r w:rsidRPr="006E0B7E">
        <w:rPr>
          <w:noProof/>
        </w:rPr>
        <w:t>a)</w:t>
      </w:r>
      <w:r w:rsidRPr="006E0B7E">
        <w:rPr>
          <w:noProof/>
        </w:rPr>
        <w:tab/>
      </w:r>
      <w:r w:rsidR="007C0ABF" w:rsidRPr="0051561F">
        <w:rPr>
          <w:noProof/>
        </w:rPr>
        <w:t>szczególne wymogi stateczności określone</w:t>
      </w:r>
      <w:r w:rsidRPr="0051561F">
        <w:rPr>
          <w:noProof/>
        </w:rPr>
        <w:t xml:space="preserve"> w</w:t>
      </w:r>
      <w:r>
        <w:rPr>
          <w:noProof/>
        </w:rPr>
        <w:t> </w:t>
      </w:r>
      <w:r w:rsidRPr="0051561F">
        <w:rPr>
          <w:noProof/>
        </w:rPr>
        <w:t>sek</w:t>
      </w:r>
      <w:r w:rsidR="007C0ABF" w:rsidRPr="0051561F">
        <w:rPr>
          <w:noProof/>
        </w:rPr>
        <w:t>cji A załącznika I do niniejszej dyrektywy,</w:t>
      </w:r>
    </w:p>
    <w:p w14:paraId="71B4CE79" w14:textId="48002CA1" w:rsidR="000E0796" w:rsidRPr="0051561F" w:rsidRDefault="006E0B7E" w:rsidP="006E0B7E">
      <w:pPr>
        <w:pStyle w:val="Point2"/>
        <w:rPr>
          <w:noProof/>
        </w:rPr>
      </w:pPr>
      <w:r w:rsidRPr="006E0B7E">
        <w:rPr>
          <w:noProof/>
        </w:rPr>
        <w:t>b)</w:t>
      </w:r>
      <w:r w:rsidRPr="006E0B7E">
        <w:rPr>
          <w:noProof/>
        </w:rPr>
        <w:tab/>
      </w:r>
      <w:r w:rsidR="004516ED" w:rsidRPr="0051561F">
        <w:rPr>
          <w:noProof/>
        </w:rPr>
        <w:t>szczególne wymogi stateczności określone</w:t>
      </w:r>
      <w:r w:rsidRPr="0051561F">
        <w:rPr>
          <w:noProof/>
        </w:rPr>
        <w:t xml:space="preserve"> w</w:t>
      </w:r>
      <w:r>
        <w:rPr>
          <w:noProof/>
        </w:rPr>
        <w:t> </w:t>
      </w:r>
      <w:r w:rsidRPr="0051561F">
        <w:rPr>
          <w:noProof/>
        </w:rPr>
        <w:t>sek</w:t>
      </w:r>
      <w:r w:rsidR="004516ED" w:rsidRPr="0051561F">
        <w:rPr>
          <w:noProof/>
        </w:rPr>
        <w:t>cji B załącznika I do niniejszej dyrektywy lub</w:t>
      </w:r>
    </w:p>
    <w:p w14:paraId="4061FD08" w14:textId="34C0CFC2" w:rsidR="000E0796" w:rsidRPr="0051561F" w:rsidRDefault="006E0B7E" w:rsidP="006E0B7E">
      <w:pPr>
        <w:pStyle w:val="Point2"/>
        <w:rPr>
          <w:noProof/>
        </w:rPr>
      </w:pPr>
      <w:r w:rsidRPr="006E0B7E">
        <w:rPr>
          <w:noProof/>
        </w:rPr>
        <w:t>c)</w:t>
      </w:r>
      <w:r w:rsidRPr="006E0B7E">
        <w:rPr>
          <w:noProof/>
        </w:rPr>
        <w:tab/>
      </w:r>
      <w:r w:rsidR="007C0ABF" w:rsidRPr="0051561F">
        <w:rPr>
          <w:noProof/>
        </w:rPr>
        <w:t>szczególne wymogi stateczności określone</w:t>
      </w:r>
      <w:r w:rsidRPr="0051561F">
        <w:rPr>
          <w:noProof/>
        </w:rPr>
        <w:t xml:space="preserve"> w</w:t>
      </w:r>
      <w:r>
        <w:rPr>
          <w:noProof/>
        </w:rPr>
        <w:t> </w:t>
      </w:r>
      <w:r w:rsidRPr="0051561F">
        <w:rPr>
          <w:noProof/>
        </w:rPr>
        <w:t>sek</w:t>
      </w:r>
      <w:r w:rsidR="007C0ABF" w:rsidRPr="0051561F">
        <w:rPr>
          <w:noProof/>
        </w:rPr>
        <w:t>cji A załącznika I do niniejszej dyrektywy, dodatkowo do wymogów określonych</w:t>
      </w:r>
      <w:r w:rsidRPr="0051561F">
        <w:rPr>
          <w:noProof/>
        </w:rPr>
        <w:t xml:space="preserve"> w</w:t>
      </w:r>
      <w:r>
        <w:rPr>
          <w:noProof/>
        </w:rPr>
        <w:t> </w:t>
      </w:r>
      <w:r w:rsidRPr="0051561F">
        <w:rPr>
          <w:noProof/>
        </w:rPr>
        <w:t>roz</w:t>
      </w:r>
      <w:r w:rsidR="007C0ABF" w:rsidRPr="0051561F">
        <w:rPr>
          <w:noProof/>
        </w:rPr>
        <w:t>dziale II-1 część B konwencji SOLAS 2009.</w:t>
      </w:r>
    </w:p>
    <w:p w14:paraId="0A34E62A" w14:textId="64278DAF" w:rsidR="007800DD" w:rsidRPr="0051561F" w:rsidRDefault="007C0ABF" w:rsidP="00CC4F35">
      <w:pPr>
        <w:pStyle w:val="Point1"/>
        <w:ind w:firstLine="1"/>
        <w:rPr>
          <w:noProof/>
        </w:rPr>
      </w:pPr>
      <w:r w:rsidRPr="0051561F">
        <w:rPr>
          <w:noProof/>
        </w:rPr>
        <w:t>Stosowaną normę odnotowuje się</w:t>
      </w:r>
      <w:r w:rsidR="006E0B7E" w:rsidRPr="0051561F">
        <w:rPr>
          <w:noProof/>
        </w:rPr>
        <w:t xml:space="preserve"> w</w:t>
      </w:r>
      <w:r w:rsidR="006E0B7E">
        <w:rPr>
          <w:noProof/>
        </w:rPr>
        <w:t> </w:t>
      </w:r>
      <w:r w:rsidR="006E0B7E" w:rsidRPr="0051561F">
        <w:rPr>
          <w:noProof/>
        </w:rPr>
        <w:t>cer</w:t>
      </w:r>
      <w:r w:rsidRPr="0051561F">
        <w:rPr>
          <w:noProof/>
        </w:rPr>
        <w:t>tyfikacie statku,</w:t>
      </w:r>
      <w:r w:rsidR="006E0B7E" w:rsidRPr="0051561F">
        <w:rPr>
          <w:noProof/>
        </w:rPr>
        <w:t xml:space="preserve"> o</w:t>
      </w:r>
      <w:r w:rsidR="006E0B7E">
        <w:rPr>
          <w:noProof/>
        </w:rPr>
        <w:t> </w:t>
      </w:r>
      <w:r w:rsidR="006E0B7E" w:rsidRPr="0051561F">
        <w:rPr>
          <w:noProof/>
        </w:rPr>
        <w:t>któ</w:t>
      </w:r>
      <w:r w:rsidRPr="0051561F">
        <w:rPr>
          <w:noProof/>
        </w:rPr>
        <w:t>rym mowa</w:t>
      </w:r>
      <w:r w:rsidR="006E0B7E" w:rsidRPr="0051561F">
        <w:rPr>
          <w:noProof/>
        </w:rPr>
        <w:t xml:space="preserve"> w</w:t>
      </w:r>
      <w:r w:rsidR="006E0B7E">
        <w:rPr>
          <w:noProof/>
        </w:rPr>
        <w:t> </w:t>
      </w:r>
      <w:r w:rsidR="006E0B7E" w:rsidRPr="006E0B7E">
        <w:rPr>
          <w:noProof/>
        </w:rPr>
        <w:t>art</w:t>
      </w:r>
      <w:r w:rsidRPr="006E0B7E">
        <w:rPr>
          <w:noProof/>
        </w:rPr>
        <w:t>.</w:t>
      </w:r>
      <w:r w:rsidR="006E0B7E" w:rsidRPr="006E0B7E">
        <w:rPr>
          <w:noProof/>
        </w:rPr>
        <w:t> </w:t>
      </w:r>
      <w:r w:rsidRPr="006E0B7E">
        <w:rPr>
          <w:noProof/>
        </w:rPr>
        <w:t>8</w:t>
      </w:r>
      <w:r w:rsidRPr="0051561F">
        <w:rPr>
          <w:noProof/>
        </w:rPr>
        <w:t>.</w:t>
      </w:r>
    </w:p>
    <w:p w14:paraId="2A6E8CF6" w14:textId="53F612D4" w:rsidR="007800DD" w:rsidRPr="0051561F" w:rsidRDefault="006B7928" w:rsidP="007800DD">
      <w:pPr>
        <w:pStyle w:val="Point1"/>
        <w:rPr>
          <w:noProof/>
        </w:rPr>
      </w:pPr>
      <w:r w:rsidRPr="0051561F">
        <w:rPr>
          <w:noProof/>
        </w:rPr>
        <w:t>6.</w:t>
      </w:r>
      <w:r w:rsidRPr="0051561F">
        <w:rPr>
          <w:noProof/>
        </w:rPr>
        <w:tab/>
        <w:t>Istniejące pasażerskie statki typu ro-ro, które zostały zaangażowane</w:t>
      </w:r>
      <w:r w:rsidR="006E0B7E" w:rsidRPr="0051561F">
        <w:rPr>
          <w:noProof/>
        </w:rPr>
        <w:t xml:space="preserve"> w</w:t>
      </w:r>
      <w:r w:rsidR="006E0B7E">
        <w:rPr>
          <w:noProof/>
        </w:rPr>
        <w:t> </w:t>
      </w:r>
      <w:r w:rsidR="006E0B7E" w:rsidRPr="0051561F">
        <w:rPr>
          <w:noProof/>
        </w:rPr>
        <w:t>wyk</w:t>
      </w:r>
      <w:r w:rsidRPr="0051561F">
        <w:rPr>
          <w:noProof/>
        </w:rPr>
        <w:t>onywanie usługi rozkładowej do lub</w:t>
      </w:r>
      <w:r w:rsidR="006E0B7E" w:rsidRPr="0051561F">
        <w:rPr>
          <w:noProof/>
        </w:rPr>
        <w:t xml:space="preserve"> z</w:t>
      </w:r>
      <w:r w:rsidR="006E0B7E">
        <w:rPr>
          <w:noProof/>
        </w:rPr>
        <w:t> </w:t>
      </w:r>
      <w:r w:rsidR="006E0B7E" w:rsidRPr="0051561F">
        <w:rPr>
          <w:noProof/>
        </w:rPr>
        <w:t>por</w:t>
      </w:r>
      <w:r w:rsidRPr="0051561F">
        <w:rPr>
          <w:noProof/>
        </w:rPr>
        <w:t xml:space="preserve">tu państwa członkowskiego do dnia </w:t>
      </w:r>
      <w:r w:rsidRPr="0051561F">
        <w:rPr>
          <w:i/>
          <w:noProof/>
        </w:rPr>
        <w:t>[UP: proszę wstawić datę: jeden rok od daty wejścia</w:t>
      </w:r>
      <w:r w:rsidR="006E0B7E" w:rsidRPr="0051561F">
        <w:rPr>
          <w:i/>
          <w:noProof/>
        </w:rPr>
        <w:t xml:space="preserve"> w</w:t>
      </w:r>
      <w:r w:rsidR="006E0B7E">
        <w:rPr>
          <w:i/>
          <w:noProof/>
        </w:rPr>
        <w:t> </w:t>
      </w:r>
      <w:r w:rsidR="006E0B7E" w:rsidRPr="0051561F">
        <w:rPr>
          <w:i/>
          <w:noProof/>
        </w:rPr>
        <w:t>życ</w:t>
      </w:r>
      <w:r w:rsidRPr="0051561F">
        <w:rPr>
          <w:i/>
          <w:noProof/>
        </w:rPr>
        <w:t>ie niniejszej dyrektywy zmieniającej]</w:t>
      </w:r>
      <w:r w:rsidRPr="0051561F">
        <w:rPr>
          <w:noProof/>
        </w:rPr>
        <w:t xml:space="preserve"> r., muszą spełnić szczególne wymogi stateczności określone</w:t>
      </w:r>
      <w:r w:rsidR="006E0B7E" w:rsidRPr="0051561F">
        <w:rPr>
          <w:noProof/>
        </w:rPr>
        <w:t xml:space="preserve"> w</w:t>
      </w:r>
      <w:r w:rsidR="006E0B7E">
        <w:rPr>
          <w:noProof/>
        </w:rPr>
        <w:t> </w:t>
      </w:r>
      <w:r w:rsidR="006E0B7E" w:rsidRPr="0051561F">
        <w:rPr>
          <w:noProof/>
        </w:rPr>
        <w:t>zał</w:t>
      </w:r>
      <w:r w:rsidRPr="0051561F">
        <w:rPr>
          <w:noProof/>
        </w:rPr>
        <w:t>ączniku I</w:t>
      </w:r>
      <w:r w:rsidR="006E0B7E" w:rsidRPr="0051561F">
        <w:rPr>
          <w:noProof/>
        </w:rPr>
        <w:t xml:space="preserve"> w</w:t>
      </w:r>
      <w:r w:rsidR="006E0B7E">
        <w:rPr>
          <w:noProof/>
        </w:rPr>
        <w:t> </w:t>
      </w:r>
      <w:r w:rsidR="006E0B7E" w:rsidRPr="0051561F">
        <w:rPr>
          <w:noProof/>
        </w:rPr>
        <w:t>pos</w:t>
      </w:r>
      <w:r w:rsidRPr="0051561F">
        <w:rPr>
          <w:noProof/>
        </w:rPr>
        <w:t>taci obowiązującej przed wejściem</w:t>
      </w:r>
      <w:r w:rsidR="006E0B7E" w:rsidRPr="0051561F">
        <w:rPr>
          <w:noProof/>
        </w:rPr>
        <w:t xml:space="preserve"> w</w:t>
      </w:r>
      <w:r w:rsidR="006E0B7E">
        <w:rPr>
          <w:noProof/>
        </w:rPr>
        <w:t> </w:t>
      </w:r>
      <w:r w:rsidR="006E0B7E" w:rsidRPr="0051561F">
        <w:rPr>
          <w:noProof/>
        </w:rPr>
        <w:t>życ</w:t>
      </w:r>
      <w:r w:rsidRPr="0051561F">
        <w:rPr>
          <w:noProof/>
        </w:rPr>
        <w:t xml:space="preserve">ie </w:t>
      </w:r>
      <w:r w:rsidRPr="0051561F">
        <w:rPr>
          <w:i/>
          <w:noProof/>
        </w:rPr>
        <w:t>[OP: proszę wstawić nazwę niniejszej dyrektywy zmieniającej]</w:t>
      </w:r>
      <w:r w:rsidRPr="0051561F">
        <w:rPr>
          <w:noProof/>
        </w:rPr>
        <w:t xml:space="preserve">.”; </w:t>
      </w:r>
    </w:p>
    <w:p w14:paraId="6E227994" w14:textId="49AE39D9" w:rsidR="001127F3" w:rsidRPr="0051561F" w:rsidRDefault="006E0B7E" w:rsidP="006E0B7E">
      <w:pPr>
        <w:pStyle w:val="Point0"/>
        <w:rPr>
          <w:noProof/>
        </w:rPr>
      </w:pPr>
      <w:r w:rsidRPr="006E0B7E">
        <w:rPr>
          <w:noProof/>
        </w:rPr>
        <w:t>6)</w:t>
      </w:r>
      <w:r w:rsidRPr="006E0B7E">
        <w:rPr>
          <w:noProof/>
        </w:rPr>
        <w:tab/>
      </w:r>
      <w:r w:rsidR="003C1A92" w:rsidRPr="0051561F">
        <w:rPr>
          <w:noProof/>
        </w:rPr>
        <w:t xml:space="preserve">uchyla się </w:t>
      </w:r>
      <w:r w:rsidR="003C1A92" w:rsidRPr="006E0B7E">
        <w:rPr>
          <w:noProof/>
        </w:rPr>
        <w:t>art.</w:t>
      </w:r>
      <w:r w:rsidRPr="006E0B7E">
        <w:rPr>
          <w:noProof/>
        </w:rPr>
        <w:t> </w:t>
      </w:r>
      <w:r w:rsidR="003C1A92" w:rsidRPr="006E0B7E">
        <w:rPr>
          <w:noProof/>
        </w:rPr>
        <w:t>7</w:t>
      </w:r>
      <w:r w:rsidR="003C1A92" w:rsidRPr="0051561F">
        <w:rPr>
          <w:noProof/>
        </w:rPr>
        <w:t>;</w:t>
      </w:r>
    </w:p>
    <w:p w14:paraId="42CEC74A" w14:textId="171D82D4" w:rsidR="009F64E6" w:rsidRPr="0051561F" w:rsidRDefault="006E0B7E" w:rsidP="006E0B7E">
      <w:pPr>
        <w:pStyle w:val="Point0"/>
        <w:rPr>
          <w:noProof/>
        </w:rPr>
      </w:pPr>
      <w:r w:rsidRPr="006E0B7E">
        <w:rPr>
          <w:noProof/>
        </w:rPr>
        <w:t>7)</w:t>
      </w:r>
      <w:r w:rsidRPr="006E0B7E">
        <w:rPr>
          <w:noProof/>
        </w:rPr>
        <w:tab/>
      </w:r>
      <w:r w:rsidR="003C1A92" w:rsidRPr="006E0B7E">
        <w:rPr>
          <w:noProof/>
        </w:rPr>
        <w:t>art.</w:t>
      </w:r>
      <w:r w:rsidRPr="006E0B7E">
        <w:rPr>
          <w:noProof/>
        </w:rPr>
        <w:t> </w:t>
      </w:r>
      <w:r w:rsidR="003C1A92" w:rsidRPr="006E0B7E">
        <w:rPr>
          <w:noProof/>
        </w:rPr>
        <w:t>8</w:t>
      </w:r>
      <w:r w:rsidR="003C1A92" w:rsidRPr="0051561F">
        <w:rPr>
          <w:noProof/>
        </w:rPr>
        <w:t xml:space="preserve"> otrzymuje brzmienie: </w:t>
      </w:r>
    </w:p>
    <w:p w14:paraId="6121CBE1" w14:textId="5811ED70" w:rsidR="00E055E3" w:rsidRPr="0051561F" w:rsidRDefault="003C46EF" w:rsidP="009F64E6">
      <w:pPr>
        <w:pStyle w:val="NormalCentered"/>
        <w:rPr>
          <w:i/>
          <w:noProof/>
        </w:rPr>
      </w:pPr>
      <w:r w:rsidRPr="0051561F">
        <w:rPr>
          <w:i/>
          <w:noProof/>
        </w:rPr>
        <w:t>„Artykuł 8</w:t>
      </w:r>
    </w:p>
    <w:p w14:paraId="68975E49" w14:textId="77777777" w:rsidR="006E259C" w:rsidRPr="0051561F" w:rsidRDefault="006E259C" w:rsidP="00102474">
      <w:pPr>
        <w:pStyle w:val="Text2"/>
        <w:jc w:val="center"/>
        <w:rPr>
          <w:noProof/>
        </w:rPr>
      </w:pPr>
      <w:r w:rsidRPr="0051561F">
        <w:rPr>
          <w:noProof/>
        </w:rPr>
        <w:t>Certyfikaty</w:t>
      </w:r>
    </w:p>
    <w:p w14:paraId="120917C6" w14:textId="440A2B31" w:rsidR="003C1A92" w:rsidRPr="0051561F" w:rsidRDefault="003C1A92" w:rsidP="003C1A92">
      <w:pPr>
        <w:pStyle w:val="Text2"/>
        <w:rPr>
          <w:noProof/>
        </w:rPr>
      </w:pPr>
      <w:r w:rsidRPr="0051561F">
        <w:rPr>
          <w:noProof/>
        </w:rPr>
        <w:t>1</w:t>
      </w:r>
      <w:r w:rsidRPr="006E0B7E">
        <w:rPr>
          <w:noProof/>
        </w:rPr>
        <w:t>.</w:t>
      </w:r>
      <w:r w:rsidR="006E0B7E" w:rsidRPr="006E0B7E">
        <w:rPr>
          <w:noProof/>
        </w:rPr>
        <w:t xml:space="preserve"> </w:t>
      </w:r>
      <w:r w:rsidRPr="006E0B7E">
        <w:rPr>
          <w:noProof/>
        </w:rPr>
        <w:t>W</w:t>
      </w:r>
      <w:r w:rsidRPr="0051561F">
        <w:rPr>
          <w:noProof/>
        </w:rPr>
        <w:t>szystkie nowe</w:t>
      </w:r>
      <w:r w:rsidR="006E0B7E" w:rsidRPr="0051561F">
        <w:rPr>
          <w:noProof/>
        </w:rPr>
        <w:t xml:space="preserve"> i</w:t>
      </w:r>
      <w:r w:rsidR="006E0B7E">
        <w:rPr>
          <w:noProof/>
        </w:rPr>
        <w:t> </w:t>
      </w:r>
      <w:r w:rsidR="006E0B7E" w:rsidRPr="0051561F">
        <w:rPr>
          <w:noProof/>
        </w:rPr>
        <w:t>ist</w:t>
      </w:r>
      <w:r w:rsidRPr="0051561F">
        <w:rPr>
          <w:noProof/>
        </w:rPr>
        <w:t>niejące pasażerskie statki typu ro-ro pływające pod banderą państwa członkowskiego muszą mieć certyfikat potwierdzający zgodność ze szczególnymi wymogami stateczności,</w:t>
      </w:r>
      <w:r w:rsidR="006E0B7E" w:rsidRPr="0051561F">
        <w:rPr>
          <w:noProof/>
        </w:rPr>
        <w:t xml:space="preserve"> o</w:t>
      </w:r>
      <w:r w:rsidR="006E0B7E">
        <w:rPr>
          <w:noProof/>
        </w:rPr>
        <w:t> </w:t>
      </w:r>
      <w:r w:rsidR="006E0B7E" w:rsidRPr="0051561F">
        <w:rPr>
          <w:noProof/>
        </w:rPr>
        <w:t>któ</w:t>
      </w:r>
      <w:r w:rsidRPr="0051561F">
        <w:rPr>
          <w:noProof/>
        </w:rPr>
        <w:t>rych mowa</w:t>
      </w:r>
      <w:r w:rsidR="006E0B7E" w:rsidRPr="0051561F">
        <w:rPr>
          <w:noProof/>
        </w:rPr>
        <w:t xml:space="preserve"> w</w:t>
      </w:r>
      <w:r w:rsidR="006E0B7E">
        <w:rPr>
          <w:noProof/>
        </w:rPr>
        <w:t> </w:t>
      </w:r>
      <w:r w:rsidR="006E0B7E" w:rsidRPr="0051561F">
        <w:rPr>
          <w:noProof/>
        </w:rPr>
        <w:t>art</w:t>
      </w:r>
      <w:r w:rsidRPr="0051561F">
        <w:rPr>
          <w:noProof/>
        </w:rPr>
        <w:t>. 6.</w:t>
      </w:r>
    </w:p>
    <w:p w14:paraId="01E1C713" w14:textId="3A1844D4" w:rsidR="003C1A92" w:rsidRPr="0051561F" w:rsidRDefault="00A61577" w:rsidP="003C1A92">
      <w:pPr>
        <w:pStyle w:val="Text2"/>
        <w:rPr>
          <w:noProof/>
        </w:rPr>
      </w:pPr>
      <w:r w:rsidRPr="0051561F">
        <w:rPr>
          <w:noProof/>
        </w:rPr>
        <w:t>Certyfikaty są wydawane przez administrację państwa bandery</w:t>
      </w:r>
      <w:r w:rsidR="006E0B7E" w:rsidRPr="0051561F">
        <w:rPr>
          <w:noProof/>
        </w:rPr>
        <w:t xml:space="preserve"> i</w:t>
      </w:r>
      <w:r w:rsidR="006E0B7E">
        <w:rPr>
          <w:noProof/>
        </w:rPr>
        <w:t> </w:t>
      </w:r>
      <w:r w:rsidR="006E0B7E" w:rsidRPr="0051561F">
        <w:rPr>
          <w:noProof/>
        </w:rPr>
        <w:t>mog</w:t>
      </w:r>
      <w:r w:rsidRPr="0051561F">
        <w:rPr>
          <w:noProof/>
        </w:rPr>
        <w:t>ą być łączone</w:t>
      </w:r>
      <w:r w:rsidR="006E0B7E" w:rsidRPr="0051561F">
        <w:rPr>
          <w:noProof/>
        </w:rPr>
        <w:t xml:space="preserve"> z</w:t>
      </w:r>
      <w:r w:rsidR="006E0B7E">
        <w:rPr>
          <w:noProof/>
        </w:rPr>
        <w:t> </w:t>
      </w:r>
      <w:r w:rsidR="006E0B7E" w:rsidRPr="0051561F">
        <w:rPr>
          <w:noProof/>
        </w:rPr>
        <w:t>inn</w:t>
      </w:r>
      <w:r w:rsidRPr="0051561F">
        <w:rPr>
          <w:noProof/>
        </w:rPr>
        <w:t>ymi powiązanymi certyfikatami</w:t>
      </w:r>
      <w:r w:rsidR="006E0B7E" w:rsidRPr="0051561F">
        <w:rPr>
          <w:noProof/>
        </w:rPr>
        <w:t>. W</w:t>
      </w:r>
      <w:r w:rsidR="006E0B7E">
        <w:rPr>
          <w:noProof/>
        </w:rPr>
        <w:t> </w:t>
      </w:r>
      <w:r w:rsidR="006E0B7E" w:rsidRPr="0051561F">
        <w:rPr>
          <w:noProof/>
        </w:rPr>
        <w:t>prz</w:t>
      </w:r>
      <w:r w:rsidRPr="0051561F">
        <w:rPr>
          <w:noProof/>
        </w:rPr>
        <w:t>ypadku pasażerskich statków typu ro-ro spełniających szczególne wymogi stateczności zapisane</w:t>
      </w:r>
      <w:r w:rsidR="006E0B7E" w:rsidRPr="0051561F">
        <w:rPr>
          <w:noProof/>
        </w:rPr>
        <w:t xml:space="preserve"> w</w:t>
      </w:r>
      <w:r w:rsidR="006E0B7E">
        <w:rPr>
          <w:noProof/>
        </w:rPr>
        <w:t> </w:t>
      </w:r>
      <w:r w:rsidR="006E0B7E" w:rsidRPr="0051561F">
        <w:rPr>
          <w:noProof/>
        </w:rPr>
        <w:t>zał</w:t>
      </w:r>
      <w:r w:rsidRPr="0051561F">
        <w:rPr>
          <w:noProof/>
        </w:rPr>
        <w:t>ączniku I sekcja A, certyfikat musi wskazywać znaczącą wysokość fali, do której statek może spełniać szczególne wymogi stateczności.</w:t>
      </w:r>
    </w:p>
    <w:p w14:paraId="4D9EC399" w14:textId="08B7E354" w:rsidR="003C1A92" w:rsidRPr="0051561F" w:rsidRDefault="003C1A92" w:rsidP="003C1A92">
      <w:pPr>
        <w:pStyle w:val="Text2"/>
        <w:rPr>
          <w:noProof/>
        </w:rPr>
      </w:pPr>
      <w:r w:rsidRPr="0051561F">
        <w:rPr>
          <w:noProof/>
        </w:rPr>
        <w:t>Certyfikat pozostaje ważny tak długo, jak długo pasażerski statek typu ro-ro pływa</w:t>
      </w:r>
      <w:r w:rsidR="006E0B7E" w:rsidRPr="0051561F">
        <w:rPr>
          <w:noProof/>
        </w:rPr>
        <w:t xml:space="preserve"> w</w:t>
      </w:r>
      <w:r w:rsidR="006E0B7E">
        <w:rPr>
          <w:noProof/>
        </w:rPr>
        <w:t> </w:t>
      </w:r>
      <w:r w:rsidR="006E0B7E" w:rsidRPr="0051561F">
        <w:rPr>
          <w:noProof/>
        </w:rPr>
        <w:t>obs</w:t>
      </w:r>
      <w:r w:rsidRPr="0051561F">
        <w:rPr>
          <w:noProof/>
        </w:rPr>
        <w:t>zarze</w:t>
      </w:r>
      <w:r w:rsidR="006E0B7E" w:rsidRPr="0051561F">
        <w:rPr>
          <w:noProof/>
        </w:rPr>
        <w:t xml:space="preserve"> o</w:t>
      </w:r>
      <w:r w:rsidR="006E0B7E">
        <w:rPr>
          <w:noProof/>
        </w:rPr>
        <w:t> </w:t>
      </w:r>
      <w:r w:rsidR="006E0B7E" w:rsidRPr="0051561F">
        <w:rPr>
          <w:noProof/>
        </w:rPr>
        <w:t>tej</w:t>
      </w:r>
      <w:r w:rsidRPr="0051561F">
        <w:rPr>
          <w:noProof/>
        </w:rPr>
        <w:t xml:space="preserve"> samej lub niższej wartości znaczącej wysokości fali.</w:t>
      </w:r>
    </w:p>
    <w:p w14:paraId="5EC2980E" w14:textId="7170E5B6" w:rsidR="003C1A92" w:rsidRPr="0051561F" w:rsidRDefault="003C46EF" w:rsidP="003C1A92">
      <w:pPr>
        <w:pStyle w:val="Text2"/>
        <w:rPr>
          <w:noProof/>
        </w:rPr>
      </w:pPr>
      <w:r w:rsidRPr="0051561F">
        <w:rPr>
          <w:noProof/>
        </w:rPr>
        <w:t xml:space="preserve"> 2. Działając jako państwo portu, każde państwo członkowskie uznaje certyfikaty wydane przez inne państwo członkowskie zgodnie</w:t>
      </w:r>
      <w:r w:rsidR="006E0B7E" w:rsidRPr="0051561F">
        <w:rPr>
          <w:noProof/>
        </w:rPr>
        <w:t xml:space="preserve"> z</w:t>
      </w:r>
      <w:r w:rsidR="006E0B7E">
        <w:rPr>
          <w:noProof/>
        </w:rPr>
        <w:t> </w:t>
      </w:r>
      <w:r w:rsidR="006E0B7E" w:rsidRPr="0051561F">
        <w:rPr>
          <w:noProof/>
        </w:rPr>
        <w:t>nin</w:t>
      </w:r>
      <w:r w:rsidRPr="0051561F">
        <w:rPr>
          <w:noProof/>
        </w:rPr>
        <w:t>iejszą dyrektywą.</w:t>
      </w:r>
    </w:p>
    <w:p w14:paraId="6A5028E6" w14:textId="043C38E9" w:rsidR="003C1A92" w:rsidRPr="0051561F" w:rsidRDefault="003C46EF" w:rsidP="003C1A92">
      <w:pPr>
        <w:pStyle w:val="Text2"/>
        <w:rPr>
          <w:noProof/>
        </w:rPr>
      </w:pPr>
      <w:r w:rsidRPr="0051561F">
        <w:rPr>
          <w:noProof/>
        </w:rPr>
        <w:t xml:space="preserve"> 3. Działając jako państwo portu, każde państwo członkowskie akceptuje certyfikaty wydane przez państwo trzecie potwierdzające, że pasażerski statek typu ro-ro spełnia szczególne wymogi stateczności określone</w:t>
      </w:r>
      <w:r w:rsidR="006E0B7E" w:rsidRPr="0051561F">
        <w:rPr>
          <w:noProof/>
        </w:rPr>
        <w:t xml:space="preserve"> w</w:t>
      </w:r>
      <w:r w:rsidR="006E0B7E">
        <w:rPr>
          <w:noProof/>
        </w:rPr>
        <w:t> </w:t>
      </w:r>
      <w:r w:rsidR="006E0B7E" w:rsidRPr="0051561F">
        <w:rPr>
          <w:noProof/>
        </w:rPr>
        <w:t>nin</w:t>
      </w:r>
      <w:r w:rsidRPr="0051561F">
        <w:rPr>
          <w:noProof/>
        </w:rPr>
        <w:t>iejszej dyrektywie</w:t>
      </w:r>
      <w:r w:rsidR="006E0B7E" w:rsidRPr="0051561F">
        <w:rPr>
          <w:noProof/>
        </w:rPr>
        <w:t>.”</w:t>
      </w:r>
      <w:r w:rsidRPr="0051561F">
        <w:rPr>
          <w:noProof/>
        </w:rPr>
        <w:t>;</w:t>
      </w:r>
    </w:p>
    <w:p w14:paraId="063C1584" w14:textId="21523D4D" w:rsidR="004F1097" w:rsidRPr="0051561F" w:rsidRDefault="006E0B7E" w:rsidP="006E0B7E">
      <w:pPr>
        <w:pStyle w:val="Point0"/>
        <w:rPr>
          <w:noProof/>
        </w:rPr>
      </w:pPr>
      <w:r w:rsidRPr="006E0B7E">
        <w:rPr>
          <w:noProof/>
        </w:rPr>
        <w:t>8)</w:t>
      </w:r>
      <w:r w:rsidRPr="006E0B7E">
        <w:rPr>
          <w:noProof/>
        </w:rPr>
        <w:tab/>
      </w:r>
      <w:r w:rsidR="004F1097" w:rsidRPr="006E0B7E">
        <w:rPr>
          <w:noProof/>
        </w:rPr>
        <w:t>art.</w:t>
      </w:r>
      <w:r w:rsidRPr="006E0B7E">
        <w:rPr>
          <w:noProof/>
        </w:rPr>
        <w:t> </w:t>
      </w:r>
      <w:r w:rsidR="004F1097" w:rsidRPr="006E0B7E">
        <w:rPr>
          <w:noProof/>
        </w:rPr>
        <w:t>9</w:t>
      </w:r>
      <w:r w:rsidR="004F1097" w:rsidRPr="0051561F">
        <w:rPr>
          <w:noProof/>
        </w:rPr>
        <w:t xml:space="preserve"> otrzymuje brzmienie:</w:t>
      </w:r>
    </w:p>
    <w:p w14:paraId="203DFB43" w14:textId="1AEBF514" w:rsidR="00CC4F35" w:rsidRPr="0051561F" w:rsidRDefault="00870D9D" w:rsidP="00102474">
      <w:pPr>
        <w:pStyle w:val="Text2"/>
        <w:jc w:val="center"/>
        <w:rPr>
          <w:i/>
          <w:noProof/>
        </w:rPr>
      </w:pPr>
      <w:r w:rsidRPr="0051561F">
        <w:rPr>
          <w:i/>
          <w:noProof/>
        </w:rPr>
        <w:t>„Artykuł 9</w:t>
      </w:r>
    </w:p>
    <w:p w14:paraId="04DD0EE9" w14:textId="247EA2A5" w:rsidR="006E259C" w:rsidRPr="0051561F" w:rsidRDefault="006E259C" w:rsidP="00102474">
      <w:pPr>
        <w:pStyle w:val="Text2"/>
        <w:jc w:val="center"/>
        <w:rPr>
          <w:noProof/>
        </w:rPr>
      </w:pPr>
      <w:r w:rsidRPr="0051561F">
        <w:rPr>
          <w:noProof/>
        </w:rPr>
        <w:t>Rejsy sezonowe</w:t>
      </w:r>
      <w:r w:rsidR="006E0B7E" w:rsidRPr="0051561F">
        <w:rPr>
          <w:noProof/>
        </w:rPr>
        <w:t xml:space="preserve"> i</w:t>
      </w:r>
      <w:r w:rsidR="006E0B7E">
        <w:rPr>
          <w:noProof/>
        </w:rPr>
        <w:t> </w:t>
      </w:r>
      <w:r w:rsidR="006E0B7E" w:rsidRPr="0051561F">
        <w:rPr>
          <w:noProof/>
        </w:rPr>
        <w:t>kró</w:t>
      </w:r>
      <w:r w:rsidRPr="0051561F">
        <w:rPr>
          <w:noProof/>
        </w:rPr>
        <w:t>tkoterminowe</w:t>
      </w:r>
    </w:p>
    <w:p w14:paraId="2F91C4C1" w14:textId="3CC67229" w:rsidR="00311FB8" w:rsidRPr="0051561F" w:rsidRDefault="003C1A92" w:rsidP="003C1A92">
      <w:pPr>
        <w:pStyle w:val="Text2"/>
        <w:rPr>
          <w:noProof/>
        </w:rPr>
      </w:pPr>
      <w:r w:rsidRPr="0051561F">
        <w:rPr>
          <w:noProof/>
        </w:rPr>
        <w:t>1. Jeżeli przedsiębiorstwo żeglugowe świadczące całoroczne usługi rozkładowe wyraża wolę wprowadzenia do eksploatacji dodatkowych pasażerskich statków typu ro-ro realizujących te usługi</w:t>
      </w:r>
      <w:r w:rsidR="006E0B7E" w:rsidRPr="0051561F">
        <w:rPr>
          <w:noProof/>
        </w:rPr>
        <w:t xml:space="preserve"> w</w:t>
      </w:r>
      <w:r w:rsidR="006E0B7E">
        <w:rPr>
          <w:noProof/>
        </w:rPr>
        <w:t> </w:t>
      </w:r>
      <w:r w:rsidR="006E0B7E" w:rsidRPr="0051561F">
        <w:rPr>
          <w:noProof/>
        </w:rPr>
        <w:t>kró</w:t>
      </w:r>
      <w:r w:rsidRPr="0051561F">
        <w:rPr>
          <w:noProof/>
        </w:rPr>
        <w:t>tszym okresie, powiadamia właściwe organy państwa portu lub państw portu najpóźniej</w:t>
      </w:r>
      <w:r w:rsidR="006E0B7E" w:rsidRPr="0051561F">
        <w:rPr>
          <w:noProof/>
        </w:rPr>
        <w:t xml:space="preserve"> w</w:t>
      </w:r>
      <w:r w:rsidR="006E0B7E">
        <w:rPr>
          <w:noProof/>
        </w:rPr>
        <w:t> </w:t>
      </w:r>
      <w:r w:rsidR="006E0B7E" w:rsidRPr="0051561F">
        <w:rPr>
          <w:noProof/>
        </w:rPr>
        <w:t>ter</w:t>
      </w:r>
      <w:r w:rsidRPr="0051561F">
        <w:rPr>
          <w:noProof/>
        </w:rPr>
        <w:t xml:space="preserve">minie jednego miesiąca przed tym, jak statki te rozpoczną świadczenie danej usługi. </w:t>
      </w:r>
    </w:p>
    <w:p w14:paraId="0635FE3A" w14:textId="7DCB7B0D" w:rsidR="003C1A92" w:rsidRPr="0051561F" w:rsidRDefault="00F90E2E" w:rsidP="003C1A92">
      <w:pPr>
        <w:pStyle w:val="Text2"/>
        <w:rPr>
          <w:noProof/>
        </w:rPr>
      </w:pPr>
      <w:r w:rsidRPr="0051561F">
        <w:rPr>
          <w:noProof/>
        </w:rPr>
        <w:t>2. Jednakże</w:t>
      </w:r>
      <w:r w:rsidR="006E0B7E" w:rsidRPr="0051561F">
        <w:rPr>
          <w:noProof/>
        </w:rPr>
        <w:t xml:space="preserve"> w</w:t>
      </w:r>
      <w:r w:rsidR="006E0B7E">
        <w:rPr>
          <w:noProof/>
        </w:rPr>
        <w:t> </w:t>
      </w:r>
      <w:r w:rsidR="006E0B7E" w:rsidRPr="0051561F">
        <w:rPr>
          <w:noProof/>
        </w:rPr>
        <w:t>prz</w:t>
      </w:r>
      <w:r w:rsidRPr="0051561F">
        <w:rPr>
          <w:noProof/>
        </w:rPr>
        <w:t>ypadkach, gdy</w:t>
      </w:r>
      <w:r w:rsidR="006E0B7E" w:rsidRPr="0051561F">
        <w:rPr>
          <w:noProof/>
        </w:rPr>
        <w:t xml:space="preserve"> w</w:t>
      </w:r>
      <w:r w:rsidR="006E0B7E">
        <w:rPr>
          <w:noProof/>
        </w:rPr>
        <w:t> </w:t>
      </w:r>
      <w:r w:rsidR="006E0B7E" w:rsidRPr="0051561F">
        <w:rPr>
          <w:noProof/>
        </w:rPr>
        <w:t>wyn</w:t>
      </w:r>
      <w:r w:rsidRPr="0051561F">
        <w:rPr>
          <w:noProof/>
        </w:rPr>
        <w:t>iku nieprzewidzianych okoliczności należy</w:t>
      </w:r>
      <w:r w:rsidR="006E0B7E" w:rsidRPr="0051561F">
        <w:rPr>
          <w:noProof/>
        </w:rPr>
        <w:t xml:space="preserve"> w</w:t>
      </w:r>
      <w:r w:rsidR="006E0B7E">
        <w:rPr>
          <w:noProof/>
        </w:rPr>
        <w:t> </w:t>
      </w:r>
      <w:r w:rsidR="006E0B7E" w:rsidRPr="0051561F">
        <w:rPr>
          <w:noProof/>
        </w:rPr>
        <w:t>cel</w:t>
      </w:r>
      <w:r w:rsidRPr="0051561F">
        <w:rPr>
          <w:noProof/>
        </w:rPr>
        <w:t>u zapewnienia ciągłości wykonywania usługi szybko wprowadzić zamienny pasażerski statek typu ro-ro, zamiast wymogu powiadomienia określonego</w:t>
      </w:r>
      <w:r w:rsidR="006E0B7E" w:rsidRPr="0051561F">
        <w:rPr>
          <w:noProof/>
        </w:rPr>
        <w:t xml:space="preserve"> w</w:t>
      </w:r>
      <w:r w:rsidR="006E0B7E">
        <w:rPr>
          <w:noProof/>
        </w:rPr>
        <w:t> </w:t>
      </w:r>
      <w:r w:rsidR="006E0B7E" w:rsidRPr="0051561F">
        <w:rPr>
          <w:noProof/>
        </w:rPr>
        <w:t>ust</w:t>
      </w:r>
      <w:r w:rsidRPr="0051561F">
        <w:rPr>
          <w:noProof/>
        </w:rPr>
        <w:t xml:space="preserve">. 1, zastosowanie ma </w:t>
      </w:r>
      <w:r w:rsidRPr="006E0B7E">
        <w:rPr>
          <w:noProof/>
        </w:rPr>
        <w:t>art.</w:t>
      </w:r>
      <w:r w:rsidR="006E0B7E" w:rsidRPr="006E0B7E">
        <w:rPr>
          <w:noProof/>
        </w:rPr>
        <w:t> </w:t>
      </w:r>
      <w:r w:rsidRPr="006E0B7E">
        <w:rPr>
          <w:noProof/>
        </w:rPr>
        <w:t>4</w:t>
      </w:r>
      <w:r w:rsidRPr="0051561F">
        <w:rPr>
          <w:noProof/>
        </w:rPr>
        <w:t xml:space="preserve"> </w:t>
      </w:r>
      <w:r w:rsidRPr="006E0B7E">
        <w:rPr>
          <w:noProof/>
        </w:rPr>
        <w:t>ust.</w:t>
      </w:r>
      <w:r w:rsidR="006E0B7E" w:rsidRPr="006E0B7E">
        <w:rPr>
          <w:noProof/>
        </w:rPr>
        <w:t> </w:t>
      </w:r>
      <w:r w:rsidRPr="006E0B7E">
        <w:rPr>
          <w:noProof/>
        </w:rPr>
        <w:t>4</w:t>
      </w:r>
      <w:r w:rsidRPr="0051561F">
        <w:rPr>
          <w:noProof/>
        </w:rPr>
        <w:t xml:space="preserve"> dyrektywy (UE) 2017/2110</w:t>
      </w:r>
      <w:r w:rsidR="006E0B7E" w:rsidRPr="0051561F">
        <w:rPr>
          <w:noProof/>
        </w:rPr>
        <w:t xml:space="preserve"> i</w:t>
      </w:r>
      <w:r w:rsidR="006E0B7E">
        <w:rPr>
          <w:noProof/>
        </w:rPr>
        <w:t> </w:t>
      </w:r>
      <w:r w:rsidR="006E0B7E" w:rsidRPr="006E0B7E">
        <w:rPr>
          <w:noProof/>
        </w:rPr>
        <w:t>pkt </w:t>
      </w:r>
      <w:r w:rsidRPr="006E0B7E">
        <w:rPr>
          <w:noProof/>
        </w:rPr>
        <w:t>1</w:t>
      </w:r>
      <w:r w:rsidRPr="0051561F">
        <w:rPr>
          <w:noProof/>
        </w:rPr>
        <w:t>.3 załącznika XVII do dyrektywy Parlamentu Europejskiego</w:t>
      </w:r>
      <w:r w:rsidR="006E0B7E" w:rsidRPr="0051561F">
        <w:rPr>
          <w:noProof/>
        </w:rPr>
        <w:t xml:space="preserve"> i</w:t>
      </w:r>
      <w:r w:rsidR="006E0B7E">
        <w:rPr>
          <w:noProof/>
        </w:rPr>
        <w:t> </w:t>
      </w:r>
      <w:r w:rsidR="006E0B7E" w:rsidRPr="0051561F">
        <w:rPr>
          <w:noProof/>
        </w:rPr>
        <w:t>Rad</w:t>
      </w:r>
      <w:r w:rsidRPr="0051561F">
        <w:rPr>
          <w:noProof/>
        </w:rPr>
        <w:t>y 2009/16/WE</w:t>
      </w:r>
      <w:r w:rsidRPr="0051561F">
        <w:rPr>
          <w:rStyle w:val="FootnoteReference"/>
          <w:noProof/>
        </w:rPr>
        <w:footnoteReference w:id="21"/>
      </w:r>
      <w:r w:rsidRPr="0051561F">
        <w:rPr>
          <w:noProof/>
        </w:rPr>
        <w:t>.</w:t>
      </w:r>
    </w:p>
    <w:p w14:paraId="6066AFF0" w14:textId="3B040219" w:rsidR="00ED5C09" w:rsidRPr="0051561F" w:rsidRDefault="003C46EF" w:rsidP="00ED5C09">
      <w:pPr>
        <w:pStyle w:val="Text2"/>
        <w:rPr>
          <w:noProof/>
        </w:rPr>
      </w:pPr>
      <w:r w:rsidRPr="0051561F">
        <w:rPr>
          <w:noProof/>
        </w:rPr>
        <w:t xml:space="preserve"> 3. Jeżeli przedsiębiorstwo żeglugowe wyraża wolę sezonowego świadczenia usług rozkładowych</w:t>
      </w:r>
      <w:r w:rsidR="006E0B7E" w:rsidRPr="0051561F">
        <w:rPr>
          <w:noProof/>
        </w:rPr>
        <w:t xml:space="preserve"> w</w:t>
      </w:r>
      <w:r w:rsidR="006E0B7E">
        <w:rPr>
          <w:noProof/>
        </w:rPr>
        <w:t> </w:t>
      </w:r>
      <w:r w:rsidR="006E0B7E" w:rsidRPr="0051561F">
        <w:rPr>
          <w:noProof/>
        </w:rPr>
        <w:t>kró</w:t>
      </w:r>
      <w:r w:rsidRPr="0051561F">
        <w:rPr>
          <w:noProof/>
        </w:rPr>
        <w:t>tszym okresie, nieprzekraczającym sześciu miesięcy, powiadamia właściwe organy państwa portu lub państw portu najpóźniej</w:t>
      </w:r>
      <w:r w:rsidR="006E0B7E" w:rsidRPr="0051561F">
        <w:rPr>
          <w:noProof/>
        </w:rPr>
        <w:t xml:space="preserve"> w</w:t>
      </w:r>
      <w:r w:rsidR="006E0B7E">
        <w:rPr>
          <w:noProof/>
        </w:rPr>
        <w:t> </w:t>
      </w:r>
      <w:r w:rsidR="006E0B7E" w:rsidRPr="0051561F">
        <w:rPr>
          <w:noProof/>
        </w:rPr>
        <w:t>ter</w:t>
      </w:r>
      <w:r w:rsidRPr="0051561F">
        <w:rPr>
          <w:noProof/>
        </w:rPr>
        <w:t>minie trzech miesięcy przed rozpoczęciem świadczenia takich usług.</w:t>
      </w:r>
    </w:p>
    <w:p w14:paraId="5E788538" w14:textId="115434AF" w:rsidR="00ED5C09" w:rsidRPr="0051561F" w:rsidRDefault="00DB3CEE" w:rsidP="00ED5C09">
      <w:pPr>
        <w:pStyle w:val="Text2"/>
        <w:rPr>
          <w:noProof/>
        </w:rPr>
      </w:pPr>
      <w:r w:rsidRPr="0051561F">
        <w:rPr>
          <w:noProof/>
        </w:rPr>
        <w:t xml:space="preserve"> 4</w:t>
      </w:r>
      <w:r w:rsidR="006E0B7E" w:rsidRPr="0051561F">
        <w:rPr>
          <w:noProof/>
        </w:rPr>
        <w:t>. W</w:t>
      </w:r>
      <w:r w:rsidR="006E0B7E">
        <w:rPr>
          <w:noProof/>
        </w:rPr>
        <w:t> </w:t>
      </w:r>
      <w:r w:rsidR="006E0B7E" w:rsidRPr="0051561F">
        <w:rPr>
          <w:noProof/>
        </w:rPr>
        <w:t>prz</w:t>
      </w:r>
      <w:r w:rsidRPr="0051561F">
        <w:rPr>
          <w:noProof/>
        </w:rPr>
        <w:t>ypadku pasażerskich statków typu ro-ro spełniających szczególne wymogi określone</w:t>
      </w:r>
      <w:r w:rsidR="006E0B7E" w:rsidRPr="0051561F">
        <w:rPr>
          <w:noProof/>
        </w:rPr>
        <w:t xml:space="preserve"> w</w:t>
      </w:r>
      <w:r w:rsidR="006E0B7E">
        <w:rPr>
          <w:noProof/>
        </w:rPr>
        <w:t> </w:t>
      </w:r>
      <w:r w:rsidR="006E0B7E" w:rsidRPr="0051561F">
        <w:rPr>
          <w:noProof/>
        </w:rPr>
        <w:t>zał</w:t>
      </w:r>
      <w:r w:rsidRPr="0051561F">
        <w:rPr>
          <w:noProof/>
        </w:rPr>
        <w:t>ączniku I sekcja A, jeżeli działania,</w:t>
      </w:r>
      <w:r w:rsidR="006E0B7E" w:rsidRPr="0051561F">
        <w:rPr>
          <w:noProof/>
        </w:rPr>
        <w:t xml:space="preserve"> o</w:t>
      </w:r>
      <w:r w:rsidR="006E0B7E">
        <w:rPr>
          <w:noProof/>
        </w:rPr>
        <w:t> </w:t>
      </w:r>
      <w:r w:rsidR="006E0B7E" w:rsidRPr="0051561F">
        <w:rPr>
          <w:noProof/>
        </w:rPr>
        <w:t>któ</w:t>
      </w:r>
      <w:r w:rsidRPr="0051561F">
        <w:rPr>
          <w:noProof/>
        </w:rPr>
        <w:t>rych mowa</w:t>
      </w:r>
      <w:r w:rsidR="006E0B7E" w:rsidRPr="0051561F">
        <w:rPr>
          <w:noProof/>
        </w:rPr>
        <w:t xml:space="preserve"> w</w:t>
      </w:r>
      <w:r w:rsidR="006E0B7E">
        <w:rPr>
          <w:noProof/>
        </w:rPr>
        <w:t> </w:t>
      </w:r>
      <w:r w:rsidR="006E0B7E" w:rsidRPr="006E0B7E">
        <w:rPr>
          <w:noProof/>
        </w:rPr>
        <w:t>ust</w:t>
      </w:r>
      <w:r w:rsidRPr="006E0B7E">
        <w:rPr>
          <w:noProof/>
        </w:rPr>
        <w:t>.</w:t>
      </w:r>
      <w:r w:rsidR="006E0B7E" w:rsidRPr="006E0B7E">
        <w:rPr>
          <w:noProof/>
        </w:rPr>
        <w:t> </w:t>
      </w:r>
      <w:r w:rsidRPr="006E0B7E">
        <w:rPr>
          <w:noProof/>
        </w:rPr>
        <w:t>1</w:t>
      </w:r>
      <w:r w:rsidR="006E0B7E" w:rsidRPr="0051561F">
        <w:rPr>
          <w:noProof/>
        </w:rPr>
        <w:t xml:space="preserve"> i</w:t>
      </w:r>
      <w:r w:rsidR="006E0B7E">
        <w:rPr>
          <w:noProof/>
        </w:rPr>
        <w:t> </w:t>
      </w:r>
      <w:r w:rsidR="006E0B7E" w:rsidRPr="0051561F">
        <w:rPr>
          <w:noProof/>
        </w:rPr>
        <w:t>2</w:t>
      </w:r>
      <w:r w:rsidRPr="0051561F">
        <w:rPr>
          <w:noProof/>
        </w:rPr>
        <w:t xml:space="preserve"> niniejszego artykułu, odbywają się na warunkach niższej znaczącej wysokości fali niż warunki ustanowione dla tego samego obszaru</w:t>
      </w:r>
      <w:r w:rsidR="006E0B7E" w:rsidRPr="0051561F">
        <w:rPr>
          <w:noProof/>
        </w:rPr>
        <w:t xml:space="preserve"> w</w:t>
      </w:r>
      <w:r w:rsidR="006E0B7E">
        <w:rPr>
          <w:noProof/>
        </w:rPr>
        <w:t> </w:t>
      </w:r>
      <w:r w:rsidR="006E0B7E" w:rsidRPr="0051561F">
        <w:rPr>
          <w:noProof/>
        </w:rPr>
        <w:t>odn</w:t>
      </w:r>
      <w:r w:rsidRPr="0051561F">
        <w:rPr>
          <w:noProof/>
        </w:rPr>
        <w:t>iesieniu do całorocznego świadczenia usług, właściwe organy mogą wykorzystać wartość znaczącej wysokości fali mającej zastosowanie do takiego krótszego okresu</w:t>
      </w:r>
      <w:r w:rsidR="006E0B7E" w:rsidRPr="0051561F">
        <w:rPr>
          <w:noProof/>
        </w:rPr>
        <w:t xml:space="preserve"> w</w:t>
      </w:r>
      <w:r w:rsidR="006E0B7E">
        <w:rPr>
          <w:noProof/>
        </w:rPr>
        <w:t> </w:t>
      </w:r>
      <w:r w:rsidR="006E0B7E" w:rsidRPr="0051561F">
        <w:rPr>
          <w:noProof/>
        </w:rPr>
        <w:t>cel</w:t>
      </w:r>
      <w:r w:rsidRPr="0051561F">
        <w:rPr>
          <w:noProof/>
        </w:rPr>
        <w:t>u określenia poziomu wody na pokładzie</w:t>
      </w:r>
      <w:r w:rsidR="006E0B7E" w:rsidRPr="0051561F">
        <w:rPr>
          <w:noProof/>
        </w:rPr>
        <w:t xml:space="preserve"> w</w:t>
      </w:r>
      <w:r w:rsidR="006E0B7E">
        <w:rPr>
          <w:noProof/>
        </w:rPr>
        <w:t> </w:t>
      </w:r>
      <w:r w:rsidR="006E0B7E" w:rsidRPr="0051561F">
        <w:rPr>
          <w:noProof/>
        </w:rPr>
        <w:t>zak</w:t>
      </w:r>
      <w:r w:rsidRPr="0051561F">
        <w:rPr>
          <w:noProof/>
        </w:rPr>
        <w:t>resie stosowania szczególnych wymogów stateczności wymienionych</w:t>
      </w:r>
      <w:r w:rsidR="006E0B7E" w:rsidRPr="0051561F">
        <w:rPr>
          <w:noProof/>
        </w:rPr>
        <w:t xml:space="preserve"> w</w:t>
      </w:r>
      <w:r w:rsidR="006E0B7E">
        <w:rPr>
          <w:noProof/>
        </w:rPr>
        <w:t> </w:t>
      </w:r>
      <w:r w:rsidR="006E0B7E" w:rsidRPr="0051561F">
        <w:rPr>
          <w:noProof/>
        </w:rPr>
        <w:t>zał</w:t>
      </w:r>
      <w:r w:rsidRPr="0051561F">
        <w:rPr>
          <w:noProof/>
        </w:rPr>
        <w:t>ączniku I sekcja A. Wartość znaczącej wysokości fali mającej zastosowanie do tego krótszego okresu ustalają między sobą państwa członkowskie lub,</w:t>
      </w:r>
      <w:r w:rsidR="006E0B7E" w:rsidRPr="0051561F">
        <w:rPr>
          <w:noProof/>
        </w:rPr>
        <w:t xml:space="preserve"> w</w:t>
      </w:r>
      <w:r w:rsidR="006E0B7E">
        <w:rPr>
          <w:noProof/>
        </w:rPr>
        <w:t> </w:t>
      </w:r>
      <w:r w:rsidR="006E0B7E" w:rsidRPr="0051561F">
        <w:rPr>
          <w:noProof/>
        </w:rPr>
        <w:t>sto</w:t>
      </w:r>
      <w:r w:rsidRPr="0051561F">
        <w:rPr>
          <w:noProof/>
        </w:rPr>
        <w:t>sownych przypadkach</w:t>
      </w:r>
      <w:r w:rsidR="006E0B7E" w:rsidRPr="0051561F">
        <w:rPr>
          <w:noProof/>
        </w:rPr>
        <w:t xml:space="preserve"> i</w:t>
      </w:r>
      <w:r w:rsidR="006E0B7E">
        <w:rPr>
          <w:noProof/>
        </w:rPr>
        <w:t> </w:t>
      </w:r>
      <w:r w:rsidR="006E0B7E" w:rsidRPr="0051561F">
        <w:rPr>
          <w:noProof/>
        </w:rPr>
        <w:t>w</w:t>
      </w:r>
      <w:r w:rsidR="006E0B7E">
        <w:rPr>
          <w:noProof/>
        </w:rPr>
        <w:t> </w:t>
      </w:r>
      <w:r w:rsidR="006E0B7E" w:rsidRPr="0051561F">
        <w:rPr>
          <w:noProof/>
        </w:rPr>
        <w:t>mia</w:t>
      </w:r>
      <w:r w:rsidRPr="0051561F">
        <w:rPr>
          <w:noProof/>
        </w:rPr>
        <w:t>rę możliwości, państwa członkowskie</w:t>
      </w:r>
      <w:r w:rsidR="006E0B7E" w:rsidRPr="0051561F">
        <w:rPr>
          <w:noProof/>
        </w:rPr>
        <w:t xml:space="preserve"> i</w:t>
      </w:r>
      <w:r w:rsidR="006E0B7E">
        <w:rPr>
          <w:noProof/>
        </w:rPr>
        <w:t> </w:t>
      </w:r>
      <w:r w:rsidR="006E0B7E" w:rsidRPr="0051561F">
        <w:rPr>
          <w:noProof/>
        </w:rPr>
        <w:t>pań</w:t>
      </w:r>
      <w:r w:rsidRPr="0051561F">
        <w:rPr>
          <w:noProof/>
        </w:rPr>
        <w:t>stwa trzecie, na których terytorium znajdują się punkty początkowy</w:t>
      </w:r>
      <w:r w:rsidR="006E0B7E" w:rsidRPr="0051561F">
        <w:rPr>
          <w:noProof/>
        </w:rPr>
        <w:t xml:space="preserve"> i</w:t>
      </w:r>
      <w:r w:rsidR="006E0B7E">
        <w:rPr>
          <w:noProof/>
        </w:rPr>
        <w:t> </w:t>
      </w:r>
      <w:r w:rsidR="006E0B7E" w:rsidRPr="0051561F">
        <w:rPr>
          <w:noProof/>
        </w:rPr>
        <w:t>koń</w:t>
      </w:r>
      <w:r w:rsidRPr="0051561F">
        <w:rPr>
          <w:noProof/>
        </w:rPr>
        <w:t>cowy rejsu.</w:t>
      </w:r>
    </w:p>
    <w:p w14:paraId="509B98EC" w14:textId="3F5A4A2E" w:rsidR="003C1A92" w:rsidRPr="0051561F" w:rsidRDefault="007E7215" w:rsidP="003C1A92">
      <w:pPr>
        <w:pStyle w:val="Text2"/>
        <w:rPr>
          <w:noProof/>
        </w:rPr>
      </w:pPr>
      <w:r w:rsidRPr="0051561F">
        <w:rPr>
          <w:noProof/>
        </w:rPr>
        <w:t xml:space="preserve"> 5. Po uzyskaniu zgody właściwych organów państwa portu lub państw portu na podjęcie działań</w:t>
      </w:r>
      <w:r w:rsidR="006E0B7E" w:rsidRPr="0051561F">
        <w:rPr>
          <w:noProof/>
        </w:rPr>
        <w:t xml:space="preserve"> w</w:t>
      </w:r>
      <w:r w:rsidR="006E0B7E">
        <w:rPr>
          <w:noProof/>
        </w:rPr>
        <w:t> </w:t>
      </w:r>
      <w:r w:rsidR="006E0B7E" w:rsidRPr="0051561F">
        <w:rPr>
          <w:noProof/>
        </w:rPr>
        <w:t>roz</w:t>
      </w:r>
      <w:r w:rsidRPr="0051561F">
        <w:rPr>
          <w:noProof/>
        </w:rPr>
        <w:t>umieniu ust. 1</w:t>
      </w:r>
      <w:r w:rsidR="006E0B7E" w:rsidRPr="0051561F">
        <w:rPr>
          <w:noProof/>
        </w:rPr>
        <w:t xml:space="preserve"> i</w:t>
      </w:r>
      <w:r w:rsidR="006E0B7E">
        <w:rPr>
          <w:noProof/>
        </w:rPr>
        <w:t> </w:t>
      </w:r>
      <w:r w:rsidR="006E0B7E" w:rsidRPr="0051561F">
        <w:rPr>
          <w:noProof/>
        </w:rPr>
        <w:t>2</w:t>
      </w:r>
      <w:r w:rsidRPr="0051561F">
        <w:rPr>
          <w:noProof/>
        </w:rPr>
        <w:t>, pasażerskie statki typu ro-ro, które podejmują takie działania, muszą posiadać certyfikaty potwierdzające zgodność</w:t>
      </w:r>
      <w:r w:rsidR="006E0B7E" w:rsidRPr="0051561F">
        <w:rPr>
          <w:noProof/>
        </w:rPr>
        <w:t xml:space="preserve"> z</w:t>
      </w:r>
      <w:r w:rsidR="006E0B7E">
        <w:rPr>
          <w:noProof/>
        </w:rPr>
        <w:t> </w:t>
      </w:r>
      <w:r w:rsidR="006E0B7E" w:rsidRPr="0051561F">
        <w:rPr>
          <w:noProof/>
        </w:rPr>
        <w:t>prz</w:t>
      </w:r>
      <w:r w:rsidRPr="0051561F">
        <w:rPr>
          <w:noProof/>
        </w:rPr>
        <w:t>episami niniejszej dyrektywy, jak określono</w:t>
      </w:r>
      <w:r w:rsidR="006E0B7E" w:rsidRPr="0051561F">
        <w:rPr>
          <w:noProof/>
        </w:rPr>
        <w:t xml:space="preserve"> w</w:t>
      </w:r>
      <w:r w:rsidR="006E0B7E">
        <w:rPr>
          <w:noProof/>
        </w:rPr>
        <w:t> </w:t>
      </w:r>
      <w:r w:rsidR="006E0B7E" w:rsidRPr="0051561F">
        <w:rPr>
          <w:noProof/>
        </w:rPr>
        <w:t>art</w:t>
      </w:r>
      <w:r w:rsidRPr="0051561F">
        <w:rPr>
          <w:noProof/>
        </w:rPr>
        <w:t>. 8 ust. 1.”;</w:t>
      </w:r>
    </w:p>
    <w:p w14:paraId="2E311215" w14:textId="77777777" w:rsidR="0016347A" w:rsidRPr="0051561F" w:rsidRDefault="0016347A" w:rsidP="003C1A92">
      <w:pPr>
        <w:pStyle w:val="Text2"/>
        <w:rPr>
          <w:noProof/>
        </w:rPr>
      </w:pPr>
    </w:p>
    <w:p w14:paraId="7C467EEE" w14:textId="455DBB09" w:rsidR="001127F3" w:rsidRPr="0051561F" w:rsidRDefault="006E0B7E" w:rsidP="006E0B7E">
      <w:pPr>
        <w:pStyle w:val="Point0"/>
        <w:rPr>
          <w:noProof/>
        </w:rPr>
      </w:pPr>
      <w:r w:rsidRPr="006E0B7E">
        <w:rPr>
          <w:noProof/>
        </w:rPr>
        <w:t>9)</w:t>
      </w:r>
      <w:r w:rsidRPr="006E0B7E">
        <w:rPr>
          <w:noProof/>
        </w:rPr>
        <w:tab/>
      </w:r>
      <w:r w:rsidR="00ED5C09" w:rsidRPr="0051561F">
        <w:rPr>
          <w:noProof/>
        </w:rPr>
        <w:t xml:space="preserve">dodaje się </w:t>
      </w:r>
      <w:r w:rsidR="00ED5C09" w:rsidRPr="006E0B7E">
        <w:rPr>
          <w:noProof/>
        </w:rPr>
        <w:t>art.</w:t>
      </w:r>
      <w:r w:rsidRPr="006E0B7E">
        <w:rPr>
          <w:noProof/>
        </w:rPr>
        <w:t> </w:t>
      </w:r>
      <w:r w:rsidR="00ED5C09" w:rsidRPr="006E0B7E">
        <w:rPr>
          <w:noProof/>
        </w:rPr>
        <w:t>1</w:t>
      </w:r>
      <w:r w:rsidR="00ED5C09" w:rsidRPr="0051561F">
        <w:rPr>
          <w:noProof/>
        </w:rPr>
        <w:t>3a</w:t>
      </w:r>
      <w:r w:rsidRPr="0051561F">
        <w:rPr>
          <w:noProof/>
        </w:rPr>
        <w:t xml:space="preserve"> w</w:t>
      </w:r>
      <w:r>
        <w:rPr>
          <w:noProof/>
        </w:rPr>
        <w:t> </w:t>
      </w:r>
      <w:r w:rsidRPr="0051561F">
        <w:rPr>
          <w:noProof/>
        </w:rPr>
        <w:t>brz</w:t>
      </w:r>
      <w:r w:rsidR="00ED5C09" w:rsidRPr="0051561F">
        <w:rPr>
          <w:noProof/>
        </w:rPr>
        <w:t>mieniu:</w:t>
      </w:r>
    </w:p>
    <w:p w14:paraId="37807190" w14:textId="6E279B6B" w:rsidR="003516BB" w:rsidRPr="0051561F" w:rsidRDefault="00D8040C" w:rsidP="003516BB">
      <w:pPr>
        <w:pStyle w:val="NormalCentered"/>
        <w:rPr>
          <w:noProof/>
        </w:rPr>
      </w:pPr>
      <w:r w:rsidRPr="0051561F">
        <w:rPr>
          <w:i/>
          <w:noProof/>
        </w:rPr>
        <w:t>„Artykuł 13a</w:t>
      </w:r>
    </w:p>
    <w:p w14:paraId="559179F4" w14:textId="77777777" w:rsidR="00ED5C09" w:rsidRPr="0051561F" w:rsidRDefault="003516BB" w:rsidP="003516BB">
      <w:pPr>
        <w:pStyle w:val="NormalCentered"/>
        <w:rPr>
          <w:b/>
          <w:noProof/>
        </w:rPr>
      </w:pPr>
      <w:r w:rsidRPr="0051561F">
        <w:rPr>
          <w:b/>
          <w:noProof/>
        </w:rPr>
        <w:t>Przegląd</w:t>
      </w:r>
    </w:p>
    <w:p w14:paraId="49005AE9" w14:textId="048F91A0" w:rsidR="003516BB" w:rsidRPr="0051561F" w:rsidRDefault="003516BB" w:rsidP="003516BB">
      <w:pPr>
        <w:pStyle w:val="Text1"/>
        <w:rPr>
          <w:rFonts w:cstheme="minorHAnsi"/>
          <w:noProof/>
        </w:rPr>
      </w:pPr>
      <w:r w:rsidRPr="0051561F">
        <w:rPr>
          <w:noProof/>
        </w:rPr>
        <w:t>Komisja przeprowadzi ocenę wykonania niniejszej dyrektywy</w:t>
      </w:r>
      <w:r w:rsidR="006E0B7E" w:rsidRPr="0051561F">
        <w:rPr>
          <w:noProof/>
        </w:rPr>
        <w:t xml:space="preserve"> i</w:t>
      </w:r>
      <w:r w:rsidR="006E0B7E">
        <w:rPr>
          <w:noProof/>
        </w:rPr>
        <w:t> </w:t>
      </w:r>
      <w:r w:rsidR="006E0B7E" w:rsidRPr="0051561F">
        <w:rPr>
          <w:noProof/>
        </w:rPr>
        <w:t>prz</w:t>
      </w:r>
      <w:r w:rsidRPr="0051561F">
        <w:rPr>
          <w:noProof/>
        </w:rPr>
        <w:t>edstawi wyniki tej oceny Parlamentowi Europejskiemu</w:t>
      </w:r>
      <w:r w:rsidR="006E0B7E" w:rsidRPr="0051561F">
        <w:rPr>
          <w:noProof/>
        </w:rPr>
        <w:t xml:space="preserve"> i</w:t>
      </w:r>
      <w:r w:rsidR="006E0B7E">
        <w:rPr>
          <w:noProof/>
        </w:rPr>
        <w:t> </w:t>
      </w:r>
      <w:r w:rsidR="006E0B7E" w:rsidRPr="0051561F">
        <w:rPr>
          <w:noProof/>
        </w:rPr>
        <w:t>Rad</w:t>
      </w:r>
      <w:r w:rsidRPr="0051561F">
        <w:rPr>
          <w:noProof/>
        </w:rPr>
        <w:t xml:space="preserve">zie do dnia </w:t>
      </w:r>
      <w:r w:rsidRPr="0051561F">
        <w:rPr>
          <w:i/>
          <w:noProof/>
        </w:rPr>
        <w:t>[UP: proszę wstawić datę: dziesięć lat od daty wejścia</w:t>
      </w:r>
      <w:r w:rsidR="006E0B7E" w:rsidRPr="0051561F">
        <w:rPr>
          <w:i/>
          <w:noProof/>
        </w:rPr>
        <w:t xml:space="preserve"> w</w:t>
      </w:r>
      <w:r w:rsidR="006E0B7E">
        <w:rPr>
          <w:i/>
          <w:noProof/>
        </w:rPr>
        <w:t> </w:t>
      </w:r>
      <w:r w:rsidR="006E0B7E" w:rsidRPr="0051561F">
        <w:rPr>
          <w:i/>
          <w:noProof/>
        </w:rPr>
        <w:t>życ</w:t>
      </w:r>
      <w:r w:rsidRPr="0051561F">
        <w:rPr>
          <w:i/>
          <w:noProof/>
        </w:rPr>
        <w:t xml:space="preserve">ie niniejszej dyrektywy zmieniającej] </w:t>
      </w:r>
      <w:r w:rsidRPr="0051561F">
        <w:rPr>
          <w:noProof/>
        </w:rPr>
        <w:t>r. Informacje oparte na powiadomieniach,</w:t>
      </w:r>
      <w:r w:rsidR="006E0B7E" w:rsidRPr="0051561F">
        <w:rPr>
          <w:noProof/>
        </w:rPr>
        <w:t xml:space="preserve"> o</w:t>
      </w:r>
      <w:r w:rsidR="006E0B7E">
        <w:rPr>
          <w:noProof/>
        </w:rPr>
        <w:t> </w:t>
      </w:r>
      <w:r w:rsidR="006E0B7E" w:rsidRPr="0051561F">
        <w:rPr>
          <w:noProof/>
        </w:rPr>
        <w:t>któ</w:t>
      </w:r>
      <w:r w:rsidRPr="0051561F">
        <w:rPr>
          <w:noProof/>
        </w:rPr>
        <w:t>rych mowa</w:t>
      </w:r>
      <w:r w:rsidR="006E0B7E" w:rsidRPr="0051561F">
        <w:rPr>
          <w:noProof/>
        </w:rPr>
        <w:t xml:space="preserve"> w</w:t>
      </w:r>
      <w:r w:rsidR="006E0B7E">
        <w:rPr>
          <w:noProof/>
        </w:rPr>
        <w:t> </w:t>
      </w:r>
      <w:r w:rsidR="006E0B7E" w:rsidRPr="006E0B7E">
        <w:rPr>
          <w:noProof/>
        </w:rPr>
        <w:t>art</w:t>
      </w:r>
      <w:r w:rsidRPr="006E0B7E">
        <w:rPr>
          <w:noProof/>
        </w:rPr>
        <w:t>.</w:t>
      </w:r>
      <w:r w:rsidR="006E0B7E" w:rsidRPr="006E0B7E">
        <w:rPr>
          <w:noProof/>
        </w:rPr>
        <w:t> </w:t>
      </w:r>
      <w:r w:rsidRPr="006E0B7E">
        <w:rPr>
          <w:noProof/>
        </w:rPr>
        <w:t>6</w:t>
      </w:r>
      <w:r w:rsidRPr="0051561F">
        <w:rPr>
          <w:noProof/>
        </w:rPr>
        <w:t xml:space="preserve"> </w:t>
      </w:r>
      <w:r w:rsidRPr="006E0B7E">
        <w:rPr>
          <w:noProof/>
        </w:rPr>
        <w:t>ust.</w:t>
      </w:r>
      <w:r w:rsidR="006E0B7E" w:rsidRPr="006E0B7E">
        <w:rPr>
          <w:noProof/>
        </w:rPr>
        <w:t> </w:t>
      </w:r>
      <w:r w:rsidRPr="006E0B7E">
        <w:rPr>
          <w:noProof/>
        </w:rPr>
        <w:t>2</w:t>
      </w:r>
      <w:r w:rsidRPr="0051561F">
        <w:rPr>
          <w:noProof/>
        </w:rPr>
        <w:t>, udostępnia się</w:t>
      </w:r>
      <w:r w:rsidR="006E0B7E" w:rsidRPr="0051561F">
        <w:rPr>
          <w:noProof/>
        </w:rPr>
        <w:t xml:space="preserve"> w</w:t>
      </w:r>
      <w:r w:rsidR="006E0B7E">
        <w:rPr>
          <w:noProof/>
        </w:rPr>
        <w:t> </w:t>
      </w:r>
      <w:r w:rsidR="006E0B7E" w:rsidRPr="0051561F">
        <w:rPr>
          <w:noProof/>
        </w:rPr>
        <w:t>for</w:t>
      </w:r>
      <w:r w:rsidRPr="0051561F">
        <w:rPr>
          <w:noProof/>
        </w:rPr>
        <w:t>mie zanonimizowanej</w:t>
      </w:r>
      <w:r w:rsidR="006E0B7E" w:rsidRPr="0051561F">
        <w:rPr>
          <w:noProof/>
        </w:rPr>
        <w:t>.”</w:t>
      </w:r>
      <w:r w:rsidRPr="0051561F">
        <w:rPr>
          <w:noProof/>
        </w:rPr>
        <w:t>;</w:t>
      </w:r>
    </w:p>
    <w:p w14:paraId="2DAC6B3F" w14:textId="74527235" w:rsidR="00EB30AA" w:rsidRPr="0051561F" w:rsidRDefault="006E0B7E" w:rsidP="006E0B7E">
      <w:pPr>
        <w:pStyle w:val="Point0"/>
        <w:rPr>
          <w:noProof/>
        </w:rPr>
      </w:pPr>
      <w:r w:rsidRPr="006E0B7E">
        <w:rPr>
          <w:noProof/>
        </w:rPr>
        <w:t>10)</w:t>
      </w:r>
      <w:r w:rsidRPr="006E0B7E">
        <w:rPr>
          <w:noProof/>
        </w:rPr>
        <w:tab/>
      </w:r>
      <w:r w:rsidR="00314011" w:rsidRPr="0051561F">
        <w:rPr>
          <w:noProof/>
        </w:rPr>
        <w:t>załączniki I i II do dyrektywy 2003/25/WE zmienia się zgodnie</w:t>
      </w:r>
      <w:r w:rsidRPr="0051561F">
        <w:rPr>
          <w:noProof/>
        </w:rPr>
        <w:t xml:space="preserve"> z</w:t>
      </w:r>
      <w:r>
        <w:rPr>
          <w:noProof/>
        </w:rPr>
        <w:t> </w:t>
      </w:r>
      <w:r w:rsidRPr="0051561F">
        <w:rPr>
          <w:noProof/>
        </w:rPr>
        <w:t>zał</w:t>
      </w:r>
      <w:r w:rsidR="00314011" w:rsidRPr="0051561F">
        <w:rPr>
          <w:noProof/>
        </w:rPr>
        <w:t>ącznikiem I do niniejszej dyrektywy;</w:t>
      </w:r>
    </w:p>
    <w:p w14:paraId="4A9B181E" w14:textId="2D82A149" w:rsidR="00314011" w:rsidRPr="0051561F" w:rsidRDefault="006E0B7E" w:rsidP="006E0B7E">
      <w:pPr>
        <w:pStyle w:val="Point0"/>
        <w:rPr>
          <w:noProof/>
        </w:rPr>
      </w:pPr>
      <w:r w:rsidRPr="006E0B7E">
        <w:rPr>
          <w:noProof/>
        </w:rPr>
        <w:t>11)</w:t>
      </w:r>
      <w:r w:rsidRPr="006E0B7E">
        <w:rPr>
          <w:noProof/>
        </w:rPr>
        <w:tab/>
      </w:r>
      <w:r w:rsidR="00442BA1" w:rsidRPr="0051561F">
        <w:rPr>
          <w:noProof/>
        </w:rPr>
        <w:t>tekst zawarty</w:t>
      </w:r>
      <w:r w:rsidRPr="0051561F">
        <w:rPr>
          <w:noProof/>
        </w:rPr>
        <w:t xml:space="preserve"> w</w:t>
      </w:r>
      <w:r>
        <w:rPr>
          <w:noProof/>
        </w:rPr>
        <w:t> </w:t>
      </w:r>
      <w:r w:rsidRPr="0051561F">
        <w:rPr>
          <w:noProof/>
        </w:rPr>
        <w:t>zał</w:t>
      </w:r>
      <w:r w:rsidR="00442BA1" w:rsidRPr="0051561F">
        <w:rPr>
          <w:noProof/>
        </w:rPr>
        <w:t>ączniku II do niniejszej dyrektywy dodaje się jako załącznik III do dyrektywy 2003/25/WE.</w:t>
      </w:r>
    </w:p>
    <w:p w14:paraId="3AF914A2" w14:textId="77777777" w:rsidR="005B3330" w:rsidRPr="0051561F" w:rsidRDefault="005B3330" w:rsidP="007800DD">
      <w:pPr>
        <w:pStyle w:val="Titrearticle"/>
        <w:keepLines/>
        <w:rPr>
          <w:noProof/>
        </w:rPr>
      </w:pPr>
      <w:r w:rsidRPr="0051561F">
        <w:rPr>
          <w:noProof/>
        </w:rPr>
        <w:t>Artykuł 2</w:t>
      </w:r>
    </w:p>
    <w:p w14:paraId="00996D9C" w14:textId="330F60D7" w:rsidR="00B12B57" w:rsidRPr="0051561F" w:rsidRDefault="00B12B57" w:rsidP="00B12B57">
      <w:pPr>
        <w:pStyle w:val="Titrearticle"/>
        <w:keepLines/>
        <w:rPr>
          <w:noProof/>
        </w:rPr>
      </w:pPr>
      <w:r w:rsidRPr="0051561F">
        <w:rPr>
          <w:noProof/>
        </w:rPr>
        <w:t xml:space="preserve">Transpozycja </w:t>
      </w:r>
    </w:p>
    <w:p w14:paraId="190EBC96" w14:textId="77777777" w:rsidR="005B3330" w:rsidRPr="0051561F" w:rsidRDefault="005B3330" w:rsidP="007800DD">
      <w:pPr>
        <w:keepNext/>
        <w:keepLines/>
        <w:rPr>
          <w:noProof/>
        </w:rPr>
      </w:pPr>
    </w:p>
    <w:p w14:paraId="656581D6" w14:textId="1F14CBF1" w:rsidR="00B12B57" w:rsidRPr="0051561F" w:rsidRDefault="005B3330">
      <w:pPr>
        <w:pStyle w:val="ManualNumPar1"/>
        <w:rPr>
          <w:noProof/>
        </w:rPr>
      </w:pPr>
      <w:r w:rsidRPr="0051561F">
        <w:rPr>
          <w:noProof/>
        </w:rPr>
        <w:t>1.</w:t>
      </w:r>
      <w:r w:rsidRPr="0051561F">
        <w:rPr>
          <w:noProof/>
        </w:rPr>
        <w:tab/>
        <w:t>Państwa członkowskie przyjmują</w:t>
      </w:r>
      <w:r w:rsidR="006E0B7E" w:rsidRPr="0051561F">
        <w:rPr>
          <w:noProof/>
        </w:rPr>
        <w:t xml:space="preserve"> i</w:t>
      </w:r>
      <w:r w:rsidR="006E0B7E">
        <w:rPr>
          <w:noProof/>
        </w:rPr>
        <w:t> </w:t>
      </w:r>
      <w:r w:rsidR="006E0B7E" w:rsidRPr="0051561F">
        <w:rPr>
          <w:noProof/>
        </w:rPr>
        <w:t>pub</w:t>
      </w:r>
      <w:r w:rsidRPr="0051561F">
        <w:rPr>
          <w:noProof/>
        </w:rPr>
        <w:t>likują</w:t>
      </w:r>
      <w:r w:rsidR="006E0B7E" w:rsidRPr="0051561F">
        <w:rPr>
          <w:noProof/>
        </w:rPr>
        <w:t xml:space="preserve"> w</w:t>
      </w:r>
      <w:r w:rsidR="006E0B7E">
        <w:rPr>
          <w:noProof/>
        </w:rPr>
        <w:t> </w:t>
      </w:r>
      <w:r w:rsidR="006E0B7E" w:rsidRPr="0051561F">
        <w:rPr>
          <w:noProof/>
        </w:rPr>
        <w:t>ter</w:t>
      </w:r>
      <w:r w:rsidRPr="0051561F">
        <w:rPr>
          <w:noProof/>
        </w:rPr>
        <w:t xml:space="preserve">minie do dnia </w:t>
      </w:r>
      <w:r w:rsidRPr="0051561F">
        <w:rPr>
          <w:i/>
          <w:noProof/>
        </w:rPr>
        <w:t>[UP: proszę wstawić datę: jeden rok od daty wejścia</w:t>
      </w:r>
      <w:r w:rsidR="006E0B7E" w:rsidRPr="0051561F">
        <w:rPr>
          <w:i/>
          <w:noProof/>
        </w:rPr>
        <w:t xml:space="preserve"> w</w:t>
      </w:r>
      <w:r w:rsidR="006E0B7E">
        <w:rPr>
          <w:i/>
          <w:noProof/>
        </w:rPr>
        <w:t> </w:t>
      </w:r>
      <w:r w:rsidR="006E0B7E" w:rsidRPr="0051561F">
        <w:rPr>
          <w:i/>
          <w:noProof/>
        </w:rPr>
        <w:t>życ</w:t>
      </w:r>
      <w:r w:rsidRPr="0051561F">
        <w:rPr>
          <w:i/>
          <w:noProof/>
        </w:rPr>
        <w:t>ie niniejszej dyrektywy zmieniającej]</w:t>
      </w:r>
      <w:r w:rsidRPr="0051561F">
        <w:rPr>
          <w:noProof/>
        </w:rPr>
        <w:t xml:space="preserve"> r. przepisy ustawowe, wykonawcze</w:t>
      </w:r>
      <w:r w:rsidR="006E0B7E" w:rsidRPr="0051561F">
        <w:rPr>
          <w:noProof/>
        </w:rPr>
        <w:t xml:space="preserve"> i</w:t>
      </w:r>
      <w:r w:rsidR="006E0B7E">
        <w:rPr>
          <w:noProof/>
        </w:rPr>
        <w:t> </w:t>
      </w:r>
      <w:r w:rsidR="006E0B7E" w:rsidRPr="0051561F">
        <w:rPr>
          <w:noProof/>
        </w:rPr>
        <w:t>adm</w:t>
      </w:r>
      <w:r w:rsidRPr="0051561F">
        <w:rPr>
          <w:noProof/>
        </w:rPr>
        <w:t>inistracyjne niezbędne do wykonania niniejszej dyrektywy. Niezwłocznie przekazują Komisji tekst tych przepisów.</w:t>
      </w:r>
    </w:p>
    <w:p w14:paraId="7230134C" w14:textId="4EDAF5BC" w:rsidR="00CA160C" w:rsidRPr="0051561F" w:rsidRDefault="00B12B57" w:rsidP="00B75421">
      <w:pPr>
        <w:pStyle w:val="Text1"/>
        <w:rPr>
          <w:noProof/>
        </w:rPr>
      </w:pPr>
      <w:r w:rsidRPr="0051561F">
        <w:rPr>
          <w:noProof/>
        </w:rPr>
        <w:t>Przepisy przyjęte przez państwa członkowskie zawierają odniesienie do niniejszej dyrektywy lub odniesienie takie towarzyszy ich urzędowej publikacji. Metody dokonywania takiego odniesienia określane są przez państwa członkowskie.</w:t>
      </w:r>
    </w:p>
    <w:p w14:paraId="396130E4" w14:textId="6707828D" w:rsidR="005B3330" w:rsidRPr="0051561F" w:rsidRDefault="005B3330" w:rsidP="00C0263A">
      <w:pPr>
        <w:pStyle w:val="ManualNumPar1"/>
        <w:rPr>
          <w:noProof/>
        </w:rPr>
      </w:pPr>
      <w:r w:rsidRPr="0051561F">
        <w:rPr>
          <w:noProof/>
        </w:rPr>
        <w:t>2.</w:t>
      </w:r>
      <w:r w:rsidRPr="0051561F">
        <w:rPr>
          <w:noProof/>
        </w:rPr>
        <w:tab/>
        <w:t>Państwa członkowskie przekazują Komisji tekst podstawowych przepisów prawa krajowego, przyjętych</w:t>
      </w:r>
      <w:r w:rsidR="006E0B7E" w:rsidRPr="0051561F">
        <w:rPr>
          <w:noProof/>
        </w:rPr>
        <w:t xml:space="preserve"> w</w:t>
      </w:r>
      <w:r w:rsidR="006E0B7E">
        <w:rPr>
          <w:noProof/>
        </w:rPr>
        <w:t> </w:t>
      </w:r>
      <w:r w:rsidR="006E0B7E" w:rsidRPr="0051561F">
        <w:rPr>
          <w:noProof/>
        </w:rPr>
        <w:t>dzi</w:t>
      </w:r>
      <w:r w:rsidRPr="0051561F">
        <w:rPr>
          <w:noProof/>
        </w:rPr>
        <w:t>edzinie objętej niniejszą dyrektywą.</w:t>
      </w:r>
    </w:p>
    <w:p w14:paraId="609D62FB" w14:textId="77777777" w:rsidR="00B12B57" w:rsidRPr="0051561F" w:rsidRDefault="00B12B57" w:rsidP="00B12B57">
      <w:pPr>
        <w:pStyle w:val="Titrearticle"/>
        <w:keepLines/>
        <w:rPr>
          <w:noProof/>
        </w:rPr>
      </w:pPr>
      <w:r w:rsidRPr="0051561F">
        <w:rPr>
          <w:noProof/>
        </w:rPr>
        <w:t>Artykuł 3</w:t>
      </w:r>
    </w:p>
    <w:p w14:paraId="10EB3451" w14:textId="2FFB7A94" w:rsidR="00B12B57" w:rsidRPr="0051561F" w:rsidRDefault="00B12B57" w:rsidP="00B12B57">
      <w:pPr>
        <w:pStyle w:val="Titrearticle"/>
        <w:keepLines/>
        <w:rPr>
          <w:noProof/>
        </w:rPr>
      </w:pPr>
      <w:r w:rsidRPr="0051561F">
        <w:rPr>
          <w:noProof/>
        </w:rPr>
        <w:t>Wejście</w:t>
      </w:r>
      <w:r w:rsidR="006E0B7E" w:rsidRPr="0051561F">
        <w:rPr>
          <w:noProof/>
        </w:rPr>
        <w:t xml:space="preserve"> w</w:t>
      </w:r>
      <w:r w:rsidR="006E0B7E">
        <w:rPr>
          <w:noProof/>
        </w:rPr>
        <w:t> </w:t>
      </w:r>
      <w:r w:rsidR="006E0B7E" w:rsidRPr="0051561F">
        <w:rPr>
          <w:noProof/>
        </w:rPr>
        <w:t>życ</w:t>
      </w:r>
      <w:r w:rsidRPr="0051561F">
        <w:rPr>
          <w:noProof/>
        </w:rPr>
        <w:t>ie</w:t>
      </w:r>
    </w:p>
    <w:p w14:paraId="2A42C7F1" w14:textId="54FE283F" w:rsidR="008B2F57" w:rsidRPr="0051561F" w:rsidRDefault="008B2F57" w:rsidP="008B2F57">
      <w:pPr>
        <w:spacing w:after="240"/>
        <w:rPr>
          <w:noProof/>
        </w:rPr>
      </w:pPr>
      <w:r w:rsidRPr="0051561F">
        <w:rPr>
          <w:noProof/>
        </w:rPr>
        <w:t>Niniejsza dyrektywa wchodzi</w:t>
      </w:r>
      <w:r w:rsidR="006E0B7E" w:rsidRPr="0051561F">
        <w:rPr>
          <w:noProof/>
        </w:rPr>
        <w:t xml:space="preserve"> w</w:t>
      </w:r>
      <w:r w:rsidR="006E0B7E">
        <w:rPr>
          <w:noProof/>
        </w:rPr>
        <w:t> </w:t>
      </w:r>
      <w:r w:rsidR="006E0B7E" w:rsidRPr="0051561F">
        <w:rPr>
          <w:noProof/>
        </w:rPr>
        <w:t>życ</w:t>
      </w:r>
      <w:r w:rsidRPr="0051561F">
        <w:rPr>
          <w:noProof/>
        </w:rPr>
        <w:t>ie dwudziestego dnia po jej opublikowaniu</w:t>
      </w:r>
      <w:r w:rsidR="006E0B7E" w:rsidRPr="0051561F">
        <w:rPr>
          <w:noProof/>
        </w:rPr>
        <w:t xml:space="preserve"> w</w:t>
      </w:r>
      <w:r w:rsidR="006E0B7E">
        <w:rPr>
          <w:noProof/>
        </w:rPr>
        <w:t> </w:t>
      </w:r>
      <w:r w:rsidR="006E0B7E" w:rsidRPr="0051561F">
        <w:rPr>
          <w:i/>
          <w:noProof/>
        </w:rPr>
        <w:t>Dzi</w:t>
      </w:r>
      <w:r w:rsidRPr="0051561F">
        <w:rPr>
          <w:i/>
          <w:noProof/>
        </w:rPr>
        <w:t>enniku Urzędowym Unii Europejskiej</w:t>
      </w:r>
      <w:r w:rsidRPr="0051561F">
        <w:rPr>
          <w:noProof/>
        </w:rPr>
        <w:t>.</w:t>
      </w:r>
    </w:p>
    <w:p w14:paraId="316AD039" w14:textId="41B3FAE0" w:rsidR="005B3330" w:rsidRPr="0051561F" w:rsidRDefault="005B3330" w:rsidP="008B2F57">
      <w:pPr>
        <w:pStyle w:val="Titrearticle"/>
        <w:rPr>
          <w:noProof/>
        </w:rPr>
      </w:pPr>
      <w:r w:rsidRPr="0051561F">
        <w:rPr>
          <w:noProof/>
        </w:rPr>
        <w:t>Artykuł 4</w:t>
      </w:r>
    </w:p>
    <w:p w14:paraId="30AC2C0F" w14:textId="554F1124" w:rsidR="00AD2DEF" w:rsidRPr="0051561F" w:rsidRDefault="00AD2DEF" w:rsidP="00C0263A">
      <w:pPr>
        <w:jc w:val="center"/>
        <w:rPr>
          <w:noProof/>
        </w:rPr>
      </w:pPr>
      <w:r w:rsidRPr="0051561F">
        <w:rPr>
          <w:i/>
          <w:noProof/>
        </w:rPr>
        <w:t>Adresaci</w:t>
      </w:r>
    </w:p>
    <w:p w14:paraId="69C2DD64" w14:textId="3D094183" w:rsidR="005B3330" w:rsidRPr="0051561F" w:rsidRDefault="005B3330" w:rsidP="007800DD">
      <w:pPr>
        <w:keepNext/>
        <w:keepLines/>
        <w:rPr>
          <w:noProof/>
        </w:rPr>
      </w:pPr>
      <w:r w:rsidRPr="0051561F">
        <w:rPr>
          <w:noProof/>
        </w:rPr>
        <w:t>Niniejsza dyrektywa skierowana jest do państw członkowskich.</w:t>
      </w:r>
    </w:p>
    <w:p w14:paraId="27231668" w14:textId="77777777" w:rsidR="00F83619" w:rsidRPr="0051561F" w:rsidRDefault="00F83619" w:rsidP="007800DD">
      <w:pPr>
        <w:keepNext/>
        <w:keepLines/>
        <w:rPr>
          <w:noProof/>
        </w:rPr>
      </w:pPr>
    </w:p>
    <w:p w14:paraId="73B4387D" w14:textId="5F9F393C" w:rsidR="005B3330" w:rsidRPr="0051561F" w:rsidRDefault="001C4099" w:rsidP="00985AF9">
      <w:pPr>
        <w:pStyle w:val="Fait"/>
        <w:rPr>
          <w:noProof/>
        </w:rPr>
      </w:pPr>
      <w:r w:rsidRPr="001C4099">
        <w:t xml:space="preserve">Sporządzono w Brukseli dnia </w:t>
      </w:r>
      <w:r w:rsidRPr="001C4099">
        <w:rPr>
          <w:rStyle w:val="Marker"/>
        </w:rPr>
        <w:t>[…]</w:t>
      </w:r>
      <w:r w:rsidRPr="001C4099">
        <w:t xml:space="preserve"> r.</w:t>
      </w:r>
    </w:p>
    <w:p w14:paraId="63E81A94" w14:textId="77777777" w:rsidR="005B3330" w:rsidRPr="0051561F" w:rsidRDefault="005B3330" w:rsidP="00985AF9">
      <w:pPr>
        <w:pStyle w:val="Institutionquisigne"/>
        <w:rPr>
          <w:noProof/>
        </w:rPr>
      </w:pPr>
      <w:r w:rsidRPr="0051561F">
        <w:rPr>
          <w:noProof/>
        </w:rPr>
        <w:t>W imieniu Parlamentu Europejskiego</w:t>
      </w:r>
      <w:r w:rsidRPr="0051561F">
        <w:rPr>
          <w:noProof/>
        </w:rPr>
        <w:tab/>
        <w:t>W imieniu Rady</w:t>
      </w:r>
    </w:p>
    <w:p w14:paraId="5A5093AE" w14:textId="77777777" w:rsidR="00314011" w:rsidRPr="0051561F" w:rsidRDefault="004B2D5F" w:rsidP="004B2D5F">
      <w:pPr>
        <w:pStyle w:val="Personnequisigne"/>
        <w:rPr>
          <w:noProof/>
        </w:rPr>
      </w:pPr>
      <w:r w:rsidRPr="0051561F">
        <w:rPr>
          <w:noProof/>
        </w:rPr>
        <w:t>Przewodnicząca</w:t>
      </w:r>
      <w:r w:rsidRPr="0051561F">
        <w:rPr>
          <w:noProof/>
        </w:rPr>
        <w:tab/>
        <w:t>Przewodniczący</w:t>
      </w:r>
    </w:p>
    <w:sectPr w:rsidR="00314011" w:rsidRPr="0051561F" w:rsidSect="002A6D3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5F34B" w14:textId="77777777" w:rsidR="006E0B7E" w:rsidRDefault="006E0B7E" w:rsidP="005B3330">
      <w:pPr>
        <w:spacing w:before="0" w:after="0"/>
      </w:pPr>
      <w:r>
        <w:separator/>
      </w:r>
    </w:p>
  </w:endnote>
  <w:endnote w:type="continuationSeparator" w:id="0">
    <w:p w14:paraId="43D71819" w14:textId="77777777" w:rsidR="006E0B7E" w:rsidRDefault="006E0B7E" w:rsidP="005B33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5BCF7" w14:textId="0ADF8F77" w:rsidR="006E0B7E" w:rsidRPr="002A6D33" w:rsidRDefault="002A6D33" w:rsidP="002A6D33">
    <w:pPr>
      <w:pStyle w:val="Footer"/>
      <w:rPr>
        <w:rFonts w:ascii="Arial" w:hAnsi="Arial" w:cs="Arial"/>
        <w:b/>
        <w:sz w:val="48"/>
      </w:rPr>
    </w:pPr>
    <w:r w:rsidRPr="002A6D33">
      <w:rPr>
        <w:rFonts w:ascii="Arial" w:hAnsi="Arial" w:cs="Arial"/>
        <w:b/>
        <w:sz w:val="48"/>
      </w:rPr>
      <w:t>PL</w:t>
    </w:r>
    <w:r w:rsidRPr="002A6D33">
      <w:rPr>
        <w:rFonts w:ascii="Arial" w:hAnsi="Arial" w:cs="Arial"/>
        <w:b/>
        <w:sz w:val="48"/>
      </w:rPr>
      <w:tab/>
    </w:r>
    <w:r w:rsidRPr="002A6D33">
      <w:rPr>
        <w:rFonts w:ascii="Arial" w:hAnsi="Arial" w:cs="Arial"/>
        <w:b/>
        <w:sz w:val="48"/>
      </w:rPr>
      <w:tab/>
    </w:r>
    <w:r w:rsidRPr="002A6D33">
      <w:tab/>
    </w:r>
    <w:r w:rsidRPr="002A6D33">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5EB7" w14:textId="2FF20D90" w:rsidR="002A6D33" w:rsidRPr="002A6D33" w:rsidRDefault="002A6D33" w:rsidP="002A6D33">
    <w:pPr>
      <w:pStyle w:val="Footer"/>
      <w:rPr>
        <w:rFonts w:ascii="Arial" w:hAnsi="Arial" w:cs="Arial"/>
        <w:b/>
        <w:sz w:val="48"/>
      </w:rPr>
    </w:pPr>
    <w:r w:rsidRPr="002A6D33">
      <w:rPr>
        <w:rFonts w:ascii="Arial" w:hAnsi="Arial" w:cs="Arial"/>
        <w:b/>
        <w:sz w:val="48"/>
      </w:rPr>
      <w:t>PL</w:t>
    </w:r>
    <w:r w:rsidRPr="002A6D33">
      <w:rPr>
        <w:rFonts w:ascii="Arial" w:hAnsi="Arial" w:cs="Arial"/>
        <w:b/>
        <w:sz w:val="48"/>
      </w:rPr>
      <w:tab/>
    </w:r>
    <w:r>
      <w:fldChar w:fldCharType="begin"/>
    </w:r>
    <w:r>
      <w:instrText xml:space="preserve"> PAGE  \* MERGEFORMAT </w:instrText>
    </w:r>
    <w:r>
      <w:fldChar w:fldCharType="separate"/>
    </w:r>
    <w:r w:rsidR="00985AF9">
      <w:rPr>
        <w:noProof/>
      </w:rPr>
      <w:t>17</w:t>
    </w:r>
    <w:r>
      <w:fldChar w:fldCharType="end"/>
    </w:r>
    <w:r>
      <w:tab/>
    </w:r>
    <w:r w:rsidRPr="002A6D33">
      <w:tab/>
    </w:r>
    <w:r w:rsidRPr="002A6D33">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A914B" w14:textId="77777777" w:rsidR="002A6D33" w:rsidRPr="002A6D33" w:rsidRDefault="002A6D33" w:rsidP="002A6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9C437" w14:textId="77777777" w:rsidR="006E0B7E" w:rsidRDefault="006E0B7E" w:rsidP="005B3330">
      <w:pPr>
        <w:spacing w:before="0" w:after="0"/>
      </w:pPr>
      <w:r>
        <w:separator/>
      </w:r>
    </w:p>
  </w:footnote>
  <w:footnote w:type="continuationSeparator" w:id="0">
    <w:p w14:paraId="4663D6BA" w14:textId="77777777" w:rsidR="006E0B7E" w:rsidRDefault="006E0B7E" w:rsidP="005B3330">
      <w:pPr>
        <w:spacing w:before="0" w:after="0"/>
      </w:pPr>
      <w:r>
        <w:continuationSeparator/>
      </w:r>
    </w:p>
  </w:footnote>
  <w:footnote w:id="1">
    <w:p w14:paraId="2992D4E4" w14:textId="30468D53" w:rsidR="006E0B7E" w:rsidRPr="0051561F" w:rsidRDefault="006E0B7E" w:rsidP="00FB1146">
      <w:pPr>
        <w:pStyle w:val="FootnoteText"/>
      </w:pPr>
      <w:r>
        <w:rPr>
          <w:rStyle w:val="FootnoteReference"/>
        </w:rPr>
        <w:footnoteRef/>
      </w:r>
      <w:r w:rsidRPr="0051561F">
        <w:tab/>
        <w:t>Dz.U. L 123 z</w:t>
      </w:r>
      <w:r>
        <w:t> </w:t>
      </w:r>
      <w:r w:rsidRPr="0051561F">
        <w:t>17.5.2003, s. 22.</w:t>
      </w:r>
    </w:p>
  </w:footnote>
  <w:footnote w:id="2">
    <w:p w14:paraId="00FDFE68" w14:textId="45ECFEF5" w:rsidR="006E0B7E" w:rsidRPr="0051561F" w:rsidRDefault="006E0B7E" w:rsidP="001B6F72">
      <w:pPr>
        <w:pStyle w:val="FootnoteText"/>
      </w:pPr>
      <w:r>
        <w:rPr>
          <w:rStyle w:val="FootnoteReference"/>
        </w:rPr>
        <w:footnoteRef/>
      </w:r>
      <w:r w:rsidRPr="0051561F">
        <w:tab/>
        <w:t>Jej wyniki zostały przedstawione Parlamentowi Europejskiemu i</w:t>
      </w:r>
      <w:r>
        <w:t> </w:t>
      </w:r>
      <w:r w:rsidRPr="0051561F">
        <w:t>Radzie w</w:t>
      </w:r>
      <w:r>
        <w:t> </w:t>
      </w:r>
      <w:r w:rsidRPr="0051561F">
        <w:t>dniu 16 października 20</w:t>
      </w:r>
      <w:r w:rsidRPr="006E0B7E">
        <w:t>15 r.</w:t>
      </w:r>
      <w:r w:rsidRPr="0051561F">
        <w:t xml:space="preserve"> (COM(2015) 508).</w:t>
      </w:r>
    </w:p>
  </w:footnote>
  <w:footnote w:id="3">
    <w:p w14:paraId="2B158B83" w14:textId="1CF028A4" w:rsidR="006E0B7E" w:rsidRPr="0051561F" w:rsidRDefault="006E0B7E" w:rsidP="001B6F72">
      <w:pPr>
        <w:pStyle w:val="FootnoteText"/>
      </w:pPr>
      <w:r>
        <w:rPr>
          <w:rStyle w:val="FootnoteReference"/>
        </w:rPr>
        <w:footnoteRef/>
      </w:r>
      <w:r w:rsidRPr="0051561F">
        <w:tab/>
      </w:r>
      <w:bookmarkStart w:id="1" w:name="https://eur-lex.europa.eu/legal-content/"/>
      <w:r w:rsidRPr="0051561F">
        <w:t>Dyrektywa Parlamentu Europejskiego i</w:t>
      </w:r>
      <w:r>
        <w:t> </w:t>
      </w:r>
      <w:r w:rsidRPr="0051561F">
        <w:t>Rady (UE) 2017/2108 z</w:t>
      </w:r>
      <w:r>
        <w:t> </w:t>
      </w:r>
      <w:r w:rsidRPr="0051561F">
        <w:t>dnia 15 listopada 20</w:t>
      </w:r>
      <w:r w:rsidRPr="006E0B7E">
        <w:t>17 r.</w:t>
      </w:r>
      <w:r w:rsidRPr="0051561F">
        <w:t xml:space="preserve"> zmieniająca dyrektywę Rady 2009/45/WE w</w:t>
      </w:r>
      <w:r>
        <w:t> </w:t>
      </w:r>
      <w:r w:rsidRPr="0051561F">
        <w:t>sprawie reguł i</w:t>
      </w:r>
      <w:r>
        <w:t> </w:t>
      </w:r>
      <w:r w:rsidRPr="0051561F">
        <w:t xml:space="preserve">norm bezpieczeństwa statków pasażerskich </w:t>
      </w:r>
      <w:bookmarkEnd w:id="1"/>
      <w:r w:rsidRPr="0051561F">
        <w:t>(Dz.U. L 315 z</w:t>
      </w:r>
      <w:r>
        <w:t> </w:t>
      </w:r>
      <w:r w:rsidRPr="0051561F">
        <w:t>30.11.2017).</w:t>
      </w:r>
    </w:p>
  </w:footnote>
  <w:footnote w:id="4">
    <w:p w14:paraId="7495EF1D" w14:textId="7DBD4193" w:rsidR="006E0B7E" w:rsidRPr="0051561F" w:rsidRDefault="006E0B7E" w:rsidP="001B6F72">
      <w:pPr>
        <w:pStyle w:val="FootnoteText"/>
      </w:pPr>
      <w:r>
        <w:rPr>
          <w:rStyle w:val="FootnoteReference"/>
        </w:rPr>
        <w:footnoteRef/>
      </w:r>
      <w:r w:rsidRPr="0051561F">
        <w:tab/>
        <w:t>Dyrektywa Parlamentu Europejskiego i</w:t>
      </w:r>
      <w:r>
        <w:t> </w:t>
      </w:r>
      <w:r w:rsidRPr="0051561F">
        <w:t>Rady (UE) 2017/2109 z</w:t>
      </w:r>
      <w:r>
        <w:t> </w:t>
      </w:r>
      <w:r w:rsidRPr="0051561F">
        <w:t>dnia 15 listopada 20</w:t>
      </w:r>
      <w:r w:rsidRPr="006E0B7E">
        <w:t>17 r.</w:t>
      </w:r>
      <w:r w:rsidRPr="0051561F">
        <w:t xml:space="preserve"> zmieniająca dyrektywę Rady 98/41/WE w</w:t>
      </w:r>
      <w:r>
        <w:t> </w:t>
      </w:r>
      <w:r w:rsidRPr="0051561F">
        <w:t>sprawie rejestracji osób podróżujących na pokładzie statków pasażerskich płynących do portów państw członkowskich Wspólnoty lub z</w:t>
      </w:r>
      <w:r>
        <w:t> </w:t>
      </w:r>
      <w:r w:rsidRPr="0051561F">
        <w:t>portów państw członkowskich Wspólnoty oraz dyrektywę Parlamentu Europejskiego i</w:t>
      </w:r>
      <w:r>
        <w:t> </w:t>
      </w:r>
      <w:r w:rsidRPr="0051561F">
        <w:t>Rady 2010/65/UE w</w:t>
      </w:r>
      <w:r>
        <w:t> </w:t>
      </w:r>
      <w:r w:rsidRPr="0051561F">
        <w:t>sprawie formalności sprawozdawczych dla statków wchodzących do lub wychodzących z</w:t>
      </w:r>
      <w:r>
        <w:t> </w:t>
      </w:r>
      <w:r w:rsidRPr="0051561F">
        <w:t>portów państw członkowskich (Dz.U. L 315 z</w:t>
      </w:r>
      <w:r>
        <w:t> </w:t>
      </w:r>
      <w:r w:rsidRPr="0051561F">
        <w:t>30.11.2017, s. 52).</w:t>
      </w:r>
    </w:p>
  </w:footnote>
  <w:footnote w:id="5">
    <w:p w14:paraId="37031EAA" w14:textId="7E2618AE" w:rsidR="006E0B7E" w:rsidRPr="0051561F" w:rsidRDefault="006E0B7E" w:rsidP="001B6F72">
      <w:pPr>
        <w:pStyle w:val="FootnoteText"/>
      </w:pPr>
      <w:r>
        <w:rPr>
          <w:rStyle w:val="FootnoteReference"/>
        </w:rPr>
        <w:footnoteRef/>
      </w:r>
      <w:r w:rsidRPr="0051561F">
        <w:tab/>
        <w:t>Dyrektywa Parlamentu Europejskiego i</w:t>
      </w:r>
      <w:r>
        <w:t> </w:t>
      </w:r>
      <w:r w:rsidRPr="0051561F">
        <w:t>Rady (UE) 2017/2110 z</w:t>
      </w:r>
      <w:r>
        <w:t> </w:t>
      </w:r>
      <w:r w:rsidRPr="0051561F">
        <w:t>dnia 15 listopada 20</w:t>
      </w:r>
      <w:r w:rsidRPr="006E0B7E">
        <w:t>17 r.</w:t>
      </w:r>
      <w:r w:rsidRPr="0051561F">
        <w:t xml:space="preserve"> w</w:t>
      </w:r>
      <w:r>
        <w:t> </w:t>
      </w:r>
      <w:r w:rsidRPr="0051561F">
        <w:t>sprawie systemu inspekcji na potrzeby bezpiecznej eksploatacji statków pasażerskich typu ro-ro i</w:t>
      </w:r>
      <w:r>
        <w:t> </w:t>
      </w:r>
      <w:r w:rsidRPr="0051561F">
        <w:t>szybkich jednostek pasażerskich uprawiających żeglugę na linii regularnej oraz zmieniająca dyrektywę 2009/16/WE i</w:t>
      </w:r>
      <w:r>
        <w:t> </w:t>
      </w:r>
      <w:r w:rsidRPr="0051561F">
        <w:t>uchylająca dyrektywę Rady 1999/35/WE (Dz.U. L 315 z</w:t>
      </w:r>
      <w:r>
        <w:t> </w:t>
      </w:r>
      <w:r w:rsidRPr="0051561F">
        <w:t>30.11.2017, s. 61).</w:t>
      </w:r>
      <w:r w:rsidRPr="0051561F">
        <w:tab/>
      </w:r>
    </w:p>
  </w:footnote>
  <w:footnote w:id="6">
    <w:p w14:paraId="06A48F28" w14:textId="629F504E" w:rsidR="006E0B7E" w:rsidRPr="0051561F" w:rsidRDefault="006E0B7E" w:rsidP="001B6F72">
      <w:pPr>
        <w:pStyle w:val="FootnoteText"/>
      </w:pPr>
      <w:r>
        <w:rPr>
          <w:rStyle w:val="FootnoteReference"/>
        </w:rPr>
        <w:footnoteRef/>
      </w:r>
      <w:r w:rsidRPr="0051561F">
        <w:tab/>
        <w:t>Regulacje zawarte w</w:t>
      </w:r>
      <w:r>
        <w:t> </w:t>
      </w:r>
      <w:r w:rsidRPr="0051561F">
        <w:t>Międzynarodowej konwencji o</w:t>
      </w:r>
      <w:r>
        <w:t> </w:t>
      </w:r>
      <w:r w:rsidRPr="0051561F">
        <w:t>bezpieczeństwie życia na morzu – SOLAS 74 z</w:t>
      </w:r>
      <w:r>
        <w:t> </w:t>
      </w:r>
      <w:r w:rsidRPr="0051561F">
        <w:t>późniejszymi zmianami (zmiany z</w:t>
      </w:r>
      <w:r>
        <w:t> </w:t>
      </w:r>
      <w:r w:rsidRPr="0051561F">
        <w:t>20</w:t>
      </w:r>
      <w:r w:rsidRPr="006E0B7E">
        <w:t>20 r.</w:t>
      </w:r>
      <w:r w:rsidRPr="0051561F">
        <w:t xml:space="preserve"> określane jako „SOLAS 2020”).</w:t>
      </w:r>
    </w:p>
  </w:footnote>
  <w:footnote w:id="7">
    <w:p w14:paraId="1EF3B96A" w14:textId="54F608A2" w:rsidR="006E0B7E" w:rsidRPr="0051561F" w:rsidRDefault="006E0B7E">
      <w:pPr>
        <w:pStyle w:val="FootnoteText"/>
      </w:pPr>
      <w:r>
        <w:rPr>
          <w:rStyle w:val="FootnoteReference"/>
        </w:rPr>
        <w:footnoteRef/>
      </w:r>
      <w:r w:rsidRPr="0051561F">
        <w:tab/>
        <w:t>Dz.U. L 163 z</w:t>
      </w:r>
      <w:r>
        <w:t> </w:t>
      </w:r>
      <w:r w:rsidRPr="0051561F">
        <w:t>25.6.2009, s. 1.</w:t>
      </w:r>
    </w:p>
  </w:footnote>
  <w:footnote w:id="8">
    <w:p w14:paraId="7AD1471B" w14:textId="7754C616" w:rsidR="006E0B7E" w:rsidRPr="0051561F" w:rsidRDefault="006E0B7E">
      <w:pPr>
        <w:pStyle w:val="FootnoteText"/>
      </w:pPr>
      <w:r>
        <w:rPr>
          <w:rStyle w:val="FootnoteReference"/>
        </w:rPr>
        <w:footnoteRef/>
      </w:r>
      <w:r w:rsidRPr="0051561F">
        <w:tab/>
        <w:t>Tamże.</w:t>
      </w:r>
    </w:p>
  </w:footnote>
  <w:footnote w:id="9">
    <w:p w14:paraId="49A1D80F" w14:textId="603055AC" w:rsidR="006E0B7E" w:rsidRPr="0051561F" w:rsidRDefault="006E0B7E" w:rsidP="001B6F72">
      <w:pPr>
        <w:pStyle w:val="FootnoteText"/>
      </w:pPr>
      <w:r>
        <w:rPr>
          <w:rStyle w:val="FootnoteReference"/>
        </w:rPr>
        <w:footnoteRef/>
      </w:r>
      <w:r w:rsidRPr="0051561F">
        <w:tab/>
        <w:t>Biała księga „Plan utworzenia jednolitego europejskiego obszaru transportu – dążenie do osiągnięcia konkurencyjnego i</w:t>
      </w:r>
      <w:r>
        <w:t> </w:t>
      </w:r>
      <w:r w:rsidRPr="0051561F">
        <w:t>zasobooszczędnego systemu transportu” (COM/2011/0144).</w:t>
      </w:r>
    </w:p>
  </w:footnote>
  <w:footnote w:id="10">
    <w:p w14:paraId="60EA9E06" w14:textId="1CFE7356" w:rsidR="006E0B7E" w:rsidRPr="0051561F" w:rsidRDefault="006E0B7E" w:rsidP="001B6F72">
      <w:pPr>
        <w:pStyle w:val="FootnoteText"/>
      </w:pPr>
      <w:r>
        <w:rPr>
          <w:rStyle w:val="FootnoteReference"/>
        </w:rPr>
        <w:footnoteRef/>
      </w:r>
      <w:r w:rsidRPr="0051561F">
        <w:tab/>
        <w:t>Rezolucja Rady z</w:t>
      </w:r>
      <w:r>
        <w:t> </w:t>
      </w:r>
      <w:r w:rsidRPr="0051561F">
        <w:t>dnia 22 grudnia 19</w:t>
      </w:r>
      <w:r w:rsidRPr="006E0B7E">
        <w:t>94 r.</w:t>
      </w:r>
      <w:r w:rsidRPr="0051561F">
        <w:t xml:space="preserve"> w</w:t>
      </w:r>
      <w:r>
        <w:t> </w:t>
      </w:r>
      <w:r w:rsidRPr="0051561F">
        <w:t>sprawie bezpieczeństwa promów pasażerskich typu ro-ro, (94/C 379/05), Dz.U. C 379 z</w:t>
      </w:r>
      <w:r>
        <w:t> </w:t>
      </w:r>
      <w:r w:rsidRPr="0051561F">
        <w:t>31.12.1994, s. 8.</w:t>
      </w:r>
    </w:p>
  </w:footnote>
  <w:footnote w:id="11">
    <w:p w14:paraId="23BD3F92" w14:textId="2A3B7682" w:rsidR="006E0B7E" w:rsidRPr="0051561F" w:rsidRDefault="006E0B7E" w:rsidP="001B6F72">
      <w:pPr>
        <w:pStyle w:val="FootnoteText"/>
      </w:pPr>
      <w:r>
        <w:rPr>
          <w:rStyle w:val="FootnoteReference"/>
        </w:rPr>
        <w:footnoteRef/>
      </w:r>
      <w:r w:rsidRPr="0051561F">
        <w:tab/>
        <w:t>SWD(2015)</w:t>
      </w:r>
      <w:r>
        <w:t xml:space="preserve"> </w:t>
      </w:r>
      <w:r w:rsidRPr="0051561F">
        <w:t>197.</w:t>
      </w:r>
    </w:p>
  </w:footnote>
  <w:footnote w:id="12">
    <w:p w14:paraId="2E3C9364" w14:textId="77777777" w:rsidR="006E0B7E" w:rsidRPr="0051561F" w:rsidRDefault="006E0B7E" w:rsidP="008E4895">
      <w:pPr>
        <w:pStyle w:val="FootnoteText"/>
      </w:pPr>
      <w:r>
        <w:rPr>
          <w:rStyle w:val="FootnoteReference"/>
        </w:rPr>
        <w:footnoteRef/>
      </w:r>
      <w:r w:rsidRPr="0051561F">
        <w:tab/>
      </w:r>
      <w:hyperlink r:id="rId1" w:history="1">
        <w:r w:rsidRPr="0051561F">
          <w:rPr>
            <w:rStyle w:val="Hyperlink"/>
          </w:rPr>
          <w:t>https://ec.europa.eu/info/sites/default/files/better-regulation-guidelines-preparing-proposals-implementation-transposition.pdf</w:t>
        </w:r>
      </w:hyperlink>
      <w:r w:rsidRPr="0051561F">
        <w:t xml:space="preserve"> </w:t>
      </w:r>
    </w:p>
  </w:footnote>
  <w:footnote w:id="13">
    <w:p w14:paraId="64EF2484" w14:textId="3B57E709" w:rsidR="006E0B7E" w:rsidRPr="0051561F" w:rsidRDefault="006E0B7E" w:rsidP="007800DD">
      <w:pPr>
        <w:pStyle w:val="FootnoteText"/>
      </w:pPr>
      <w:r>
        <w:rPr>
          <w:rStyle w:val="FootnoteReference"/>
        </w:rPr>
        <w:footnoteRef/>
      </w:r>
      <w:r w:rsidRPr="0051561F">
        <w:tab/>
        <w:t>Dz.U. C  z , s. .</w:t>
      </w:r>
    </w:p>
  </w:footnote>
  <w:footnote w:id="14">
    <w:p w14:paraId="4558B6D7" w14:textId="13442181" w:rsidR="006E0B7E" w:rsidRPr="0051561F" w:rsidRDefault="006E0B7E" w:rsidP="007800DD">
      <w:pPr>
        <w:pStyle w:val="FootnoteText"/>
      </w:pPr>
      <w:r>
        <w:rPr>
          <w:rStyle w:val="FootnoteReference"/>
        </w:rPr>
        <w:footnoteRef/>
      </w:r>
      <w:r w:rsidRPr="0051561F">
        <w:tab/>
        <w:t>Dz.U. C  z , s. .</w:t>
      </w:r>
    </w:p>
  </w:footnote>
  <w:footnote w:id="15">
    <w:p w14:paraId="51DD097F" w14:textId="536174F2" w:rsidR="006E0B7E" w:rsidRPr="0051561F" w:rsidRDefault="006E0B7E">
      <w:pPr>
        <w:pStyle w:val="FootnoteText"/>
      </w:pPr>
      <w:r>
        <w:rPr>
          <w:rStyle w:val="FootnoteReference"/>
        </w:rPr>
        <w:footnoteRef/>
      </w:r>
      <w:r w:rsidRPr="0051561F">
        <w:tab/>
        <w:t>Dyrektywa 2003/25/WE Parlamentu Europejskiego i</w:t>
      </w:r>
      <w:r>
        <w:t> </w:t>
      </w:r>
      <w:r w:rsidRPr="0051561F">
        <w:t>Rady z</w:t>
      </w:r>
      <w:r>
        <w:t> </w:t>
      </w:r>
      <w:r w:rsidRPr="0051561F">
        <w:t>dnia 14 kwietnia 20</w:t>
      </w:r>
      <w:r w:rsidRPr="006E0B7E">
        <w:t>03 r.</w:t>
      </w:r>
      <w:r w:rsidRPr="0051561F">
        <w:t xml:space="preserve"> w</w:t>
      </w:r>
      <w:r>
        <w:t> </w:t>
      </w:r>
      <w:r w:rsidRPr="0051561F">
        <w:t>sprawie szczególnych wymogów stateczności dotyczących statków pasażerskich typu ro-ro (Dz.U. L 123 z</w:t>
      </w:r>
      <w:r>
        <w:t> </w:t>
      </w:r>
      <w:r w:rsidRPr="0051561F">
        <w:t>17.5.2003, s. 22).</w:t>
      </w:r>
    </w:p>
  </w:footnote>
  <w:footnote w:id="16">
    <w:p w14:paraId="7D289AE5" w14:textId="62F41BF4" w:rsidR="006E0B7E" w:rsidRPr="0051561F" w:rsidRDefault="006E0B7E">
      <w:pPr>
        <w:pStyle w:val="FootnoteText"/>
      </w:pPr>
      <w:r>
        <w:rPr>
          <w:rStyle w:val="FootnoteReference"/>
        </w:rPr>
        <w:footnoteRef/>
      </w:r>
      <w:r w:rsidRPr="0051561F">
        <w:tab/>
        <w:t>Dyrektywa Parlamentu Europejskiego i</w:t>
      </w:r>
      <w:r>
        <w:t> </w:t>
      </w:r>
      <w:r w:rsidRPr="0051561F">
        <w:t>Rady 2009/45/WE z</w:t>
      </w:r>
      <w:r>
        <w:t> </w:t>
      </w:r>
      <w:r w:rsidRPr="0051561F">
        <w:t>dnia 6 maja 2009 r. w</w:t>
      </w:r>
      <w:r>
        <w:t> </w:t>
      </w:r>
      <w:r w:rsidRPr="0051561F">
        <w:t>sprawie reguł i</w:t>
      </w:r>
      <w:r>
        <w:t> </w:t>
      </w:r>
      <w:r w:rsidRPr="0051561F">
        <w:t>norm bezpieczeństwa statków pasażerskich (Dz.U. L 163 z</w:t>
      </w:r>
      <w:r>
        <w:t> </w:t>
      </w:r>
      <w:r w:rsidRPr="0051561F">
        <w:t>25.6.2009, s. 1).</w:t>
      </w:r>
    </w:p>
  </w:footnote>
  <w:footnote w:id="17">
    <w:p w14:paraId="6800F2BA" w14:textId="4E40CA65" w:rsidR="006E0B7E" w:rsidRPr="0051561F" w:rsidRDefault="006E0B7E">
      <w:pPr>
        <w:pStyle w:val="FootnoteText"/>
      </w:pPr>
      <w:r>
        <w:rPr>
          <w:rStyle w:val="FootnoteReference"/>
        </w:rPr>
        <w:footnoteRef/>
      </w:r>
      <w:r w:rsidRPr="0051561F">
        <w:tab/>
        <w:t>Dyrektywa Parlamentu Europejskiego i</w:t>
      </w:r>
      <w:r>
        <w:t> </w:t>
      </w:r>
      <w:r w:rsidRPr="0051561F">
        <w:t>Rady 2009/16/WE z</w:t>
      </w:r>
      <w:r>
        <w:t> </w:t>
      </w:r>
      <w:r w:rsidRPr="0051561F">
        <w:t>dnia 23 kwietnia 20</w:t>
      </w:r>
      <w:r w:rsidRPr="006E0B7E">
        <w:t>09 r.</w:t>
      </w:r>
      <w:r w:rsidRPr="0051561F">
        <w:t xml:space="preserve"> w</w:t>
      </w:r>
      <w:r>
        <w:t> </w:t>
      </w:r>
      <w:r w:rsidRPr="0051561F">
        <w:t>sprawie kontroli przeprowadzanej przez państwo portu (Dz.U. L 131 z</w:t>
      </w:r>
      <w:r>
        <w:t> </w:t>
      </w:r>
      <w:r w:rsidRPr="0051561F">
        <w:t>28.5.2009, s. 57).</w:t>
      </w:r>
    </w:p>
  </w:footnote>
  <w:footnote w:id="18">
    <w:p w14:paraId="076CC37B" w14:textId="5F781F04" w:rsidR="006E0B7E" w:rsidRPr="0051561F" w:rsidRDefault="006E0B7E">
      <w:pPr>
        <w:pStyle w:val="FootnoteText"/>
      </w:pPr>
      <w:r>
        <w:rPr>
          <w:rStyle w:val="FootnoteReference"/>
        </w:rPr>
        <w:footnoteRef/>
      </w:r>
      <w:r w:rsidRPr="0051561F">
        <w:tab/>
        <w:t>Dyrektywa Rady 1999/35/WE z</w:t>
      </w:r>
      <w:r>
        <w:t> </w:t>
      </w:r>
      <w:r w:rsidRPr="0051561F">
        <w:t>dnia 29 kwietnia 19</w:t>
      </w:r>
      <w:r w:rsidRPr="006E0B7E">
        <w:t>99 r.</w:t>
      </w:r>
      <w:r w:rsidRPr="0051561F">
        <w:t xml:space="preserve"> w</w:t>
      </w:r>
      <w:r>
        <w:t> </w:t>
      </w:r>
      <w:r w:rsidRPr="0051561F">
        <w:t>sprawie systemu obowiązkowych przeglądów dla bezpiecznej, regularnej żeglugi promów typu ro-ro i</w:t>
      </w:r>
      <w:r>
        <w:t> </w:t>
      </w:r>
      <w:r w:rsidRPr="0051561F">
        <w:t>szybkich statków pasażerskich (Dz.U. L 138 z</w:t>
      </w:r>
      <w:r>
        <w:t> </w:t>
      </w:r>
      <w:r w:rsidRPr="0051561F">
        <w:t>1.6.1999, s. 1).</w:t>
      </w:r>
    </w:p>
  </w:footnote>
  <w:footnote w:id="19">
    <w:p w14:paraId="72940D76" w14:textId="3605868F" w:rsidR="006E0B7E" w:rsidRPr="0051561F" w:rsidRDefault="006E0B7E">
      <w:pPr>
        <w:pStyle w:val="FootnoteText"/>
      </w:pPr>
      <w:r>
        <w:rPr>
          <w:rStyle w:val="FootnoteReference"/>
        </w:rPr>
        <w:footnoteRef/>
      </w:r>
      <w:r w:rsidRPr="0051561F">
        <w:tab/>
        <w:t>Dyrektywa Parlamentu Europejskiego i</w:t>
      </w:r>
      <w:r>
        <w:t> </w:t>
      </w:r>
      <w:r w:rsidRPr="0051561F">
        <w:t>Rady (UE) 2017/2110 z</w:t>
      </w:r>
      <w:r>
        <w:t> </w:t>
      </w:r>
      <w:r w:rsidRPr="0051561F">
        <w:t>dnia 15 listopada 20</w:t>
      </w:r>
      <w:r w:rsidRPr="006E0B7E">
        <w:t>17 r.</w:t>
      </w:r>
      <w:r w:rsidRPr="0051561F">
        <w:t xml:space="preserve"> (Dz.U. L 315 z</w:t>
      </w:r>
      <w:r>
        <w:t> </w:t>
      </w:r>
      <w:r w:rsidRPr="0051561F">
        <w:t>30.11.2017, s. 61).</w:t>
      </w:r>
    </w:p>
  </w:footnote>
  <w:footnote w:id="20">
    <w:p w14:paraId="5A9562FC" w14:textId="43F40A99" w:rsidR="006E0B7E" w:rsidRPr="0051561F" w:rsidRDefault="006E0B7E">
      <w:pPr>
        <w:pStyle w:val="FootnoteText"/>
      </w:pPr>
      <w:r>
        <w:rPr>
          <w:rStyle w:val="FootnoteReference"/>
        </w:rPr>
        <w:footnoteRef/>
      </w:r>
      <w:r w:rsidRPr="0051561F">
        <w:tab/>
        <w:t>Dyrektywa Parlamentu Europejskiego i</w:t>
      </w:r>
      <w:r>
        <w:t> </w:t>
      </w:r>
      <w:r w:rsidRPr="0051561F">
        <w:t>Rady (UE) 2017/2110 z</w:t>
      </w:r>
      <w:r>
        <w:t> </w:t>
      </w:r>
      <w:r w:rsidRPr="0051561F">
        <w:t>dnia 15 listopada 20</w:t>
      </w:r>
      <w:r w:rsidRPr="006E0B7E">
        <w:t>17 r.</w:t>
      </w:r>
      <w:r w:rsidRPr="0051561F">
        <w:t xml:space="preserve"> w</w:t>
      </w:r>
      <w:r>
        <w:t> </w:t>
      </w:r>
      <w:r w:rsidRPr="0051561F">
        <w:t>sprawie systemu inspekcji na potrzeby bezpiecznej eksploatacji statków pasażerskich typu ro-ro i</w:t>
      </w:r>
      <w:r>
        <w:t> </w:t>
      </w:r>
      <w:r w:rsidRPr="0051561F">
        <w:t>szybkich jednostek pasażerskich uprawiających żeglugę na linii regularnej oraz zmieniająca dyrektywę 2009/16/WE i</w:t>
      </w:r>
      <w:r>
        <w:t> </w:t>
      </w:r>
      <w:r w:rsidRPr="0051561F">
        <w:t>uchylająca dyrektywę Rady 1999/35/WE (Dz.U. L 315 z</w:t>
      </w:r>
      <w:r>
        <w:t> </w:t>
      </w:r>
      <w:r w:rsidRPr="0051561F">
        <w:t>30.11.2017, s. 61).</w:t>
      </w:r>
    </w:p>
  </w:footnote>
  <w:footnote w:id="21">
    <w:p w14:paraId="24137587" w14:textId="158DE701" w:rsidR="006E0B7E" w:rsidRPr="0051561F" w:rsidRDefault="006E0B7E">
      <w:pPr>
        <w:pStyle w:val="FootnoteText"/>
      </w:pPr>
      <w:r>
        <w:rPr>
          <w:rStyle w:val="FootnoteReference"/>
        </w:rPr>
        <w:footnoteRef/>
      </w:r>
      <w:r w:rsidRPr="0051561F">
        <w:tab/>
        <w:t>Dyrektywa Parlamentu Europejskiego i</w:t>
      </w:r>
      <w:r>
        <w:t> </w:t>
      </w:r>
      <w:r w:rsidRPr="0051561F">
        <w:t>Rady 2009/16/WE z</w:t>
      </w:r>
      <w:r>
        <w:t> </w:t>
      </w:r>
      <w:r w:rsidRPr="0051561F">
        <w:t>dnia 23 kwietnia 20</w:t>
      </w:r>
      <w:r w:rsidRPr="006E0B7E">
        <w:t>09 r.</w:t>
      </w:r>
      <w:r w:rsidRPr="0051561F">
        <w:t xml:space="preserve"> w</w:t>
      </w:r>
      <w:r>
        <w:t> </w:t>
      </w:r>
      <w:r w:rsidRPr="0051561F">
        <w:t>sprawie kontroli przeprowadzanej przez państwo portu (Dz.U. L 131 z</w:t>
      </w:r>
      <w:r>
        <w:t> </w:t>
      </w:r>
      <w:r w:rsidRPr="0051561F">
        <w:t>28.5.2009, s. 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146C3E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4C21EA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9ACC9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BDA070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E16B6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12A215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19"/>
    <w:lvlOverride w:ilvl="0">
      <w:startOverride w:val="1"/>
    </w:lvlOverride>
  </w:num>
  <w:num w:numId="8">
    <w:abstractNumId w:val="22"/>
    <w:lvlOverride w:ilvl="0">
      <w:startOverride w:val="1"/>
    </w:lvlOverride>
  </w:num>
  <w:num w:numId="9">
    <w:abstractNumId w:val="2"/>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21"/>
  </w:num>
  <w:num w:numId="19">
    <w:abstractNumId w:val="11"/>
  </w:num>
  <w:num w:numId="20">
    <w:abstractNumId w:val="13"/>
  </w:num>
  <w:num w:numId="21">
    <w:abstractNumId w:val="9"/>
  </w:num>
  <w:num w:numId="22">
    <w:abstractNumId w:val="20"/>
  </w:num>
  <w:num w:numId="23">
    <w:abstractNumId w:val="8"/>
  </w:num>
  <w:num w:numId="24">
    <w:abstractNumId w:val="15"/>
  </w:num>
  <w:num w:numId="25">
    <w:abstractNumId w:val="17"/>
  </w:num>
  <w:num w:numId="26">
    <w:abstractNumId w:val="18"/>
  </w:num>
  <w:num w:numId="27">
    <w:abstractNumId w:val="10"/>
  </w:num>
  <w:num w:numId="28">
    <w:abstractNumId w:val="16"/>
  </w:num>
  <w:num w:numId="29">
    <w:abstractNumId w:val="22"/>
  </w:num>
  <w:num w:numId="30">
    <w:abstractNumId w:val="19"/>
  </w:num>
  <w:num w:numId="31">
    <w:abstractNumId w:val="12"/>
  </w:num>
  <w:num w:numId="32">
    <w:abstractNumId w:val="21"/>
  </w:num>
  <w:num w:numId="33">
    <w:abstractNumId w:val="11"/>
  </w:num>
  <w:num w:numId="34">
    <w:abstractNumId w:val="13"/>
  </w:num>
  <w:num w:numId="35">
    <w:abstractNumId w:val="9"/>
  </w:num>
  <w:num w:numId="36">
    <w:abstractNumId w:val="20"/>
  </w:num>
  <w:num w:numId="37">
    <w:abstractNumId w:val="8"/>
  </w:num>
  <w:num w:numId="38">
    <w:abstractNumId w:val="15"/>
  </w:num>
  <w:num w:numId="39">
    <w:abstractNumId w:val="17"/>
  </w:num>
  <w:num w:numId="40">
    <w:abstractNumId w:val="18"/>
  </w:num>
  <w:num w:numId="41">
    <w:abstractNumId w:val="10"/>
  </w:num>
  <w:num w:numId="42">
    <w:abstractNumId w:val="16"/>
  </w:num>
  <w:num w:numId="43">
    <w:abstractNumId w:val="22"/>
  </w:num>
  <w:num w:numId="44">
    <w:abstractNumId w:val="20"/>
  </w:num>
  <w:num w:numId="45">
    <w:abstractNumId w:val="20"/>
  </w:num>
  <w:num w:numId="46">
    <w:abstractNumId w:val="20"/>
  </w:num>
  <w:num w:numId="47">
    <w:abstractNumId w:val="14"/>
  </w:num>
  <w:num w:numId="48">
    <w:abstractNumId w:val="9"/>
  </w:num>
  <w:num w:numId="49">
    <w:abstractNumId w:val="9"/>
  </w:num>
  <w:num w:numId="50">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15 08:49:1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CD3A814-9DF3-45B2-BA04-C329A9A46CD9"/>
    <w:docVar w:name="LW_COVERPAGE_TYPE" w:val="1"/>
    <w:docVar w:name="LW_CROSSREFERENCE" w:val="{SWD(2022) 29 final}"/>
    <w:docVar w:name="LW_DocType" w:val="COM"/>
    <w:docVar w:name="LW_EMISSION" w:val="18.2.2022"/>
    <w:docVar w:name="LW_EMISSION_ISODATE" w:val="2022-02-18"/>
    <w:docVar w:name="LW_EMISSION_LOCATION" w:val="BRX"/>
    <w:docVar w:name="LW_EMISSION_PREFIX" w:val="Bruksela, dnia "/>
    <w:docVar w:name="LW_EMISSION_SUFFIX" w:val=" r."/>
    <w:docVar w:name="LW_ID_DOCMODEL" w:val="SJ-024"/>
    <w:docVar w:name="LW_ID_DOCSIGNATURE" w:val="SJ-024"/>
    <w:docVar w:name="LW_ID_DOCSTRUCTURE" w:val="COM/PL/ORG"/>
    <w:docVar w:name="LW_ID_DOCTYPE" w:val="SJ-024"/>
    <w:docVar w:name="LW_ID_EXP.MOTIFS.NEW" w:val="EM_PL_"/>
    <w:docVar w:name="LW_ID_STATUT" w:val="SJ-024"/>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036"/>
    <w:docVar w:name="LW_REF.II.NEW.CP_YEAR" w:val="2022"/>
    <w:docVar w:name="LW_REF.INST.NEW" w:val="COM"/>
    <w:docVar w:name="LW_REF.INST.NEW_ADOPTED" w:val="final"/>
    <w:docVar w:name="LW_REF.INST.NEW_TEXT" w:val="(2022)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zmieniająca dyrektywę 2003/25/WE w odniesieniu do włączenia ulepszonych wymogów stateczności i dostosowania jej do wymogów stateczności określonych przez Międzynarodową Organizację Morską"/>
    <w:docVar w:name="LW_TYPE.DOC.CP" w:val="DYREKTYWA PARLAMENTU EUROPEJSKIEGO I RADY"/>
    <w:docVar w:name="LwApiVersions" w:val="LW4CoDe 1.23.2.0; LW 8.0, Build 20211117"/>
  </w:docVars>
  <w:rsids>
    <w:rsidRoot w:val="005B3330"/>
    <w:rsid w:val="00002C9B"/>
    <w:rsid w:val="00002D11"/>
    <w:rsid w:val="00010F5D"/>
    <w:rsid w:val="0001261C"/>
    <w:rsid w:val="00023BC3"/>
    <w:rsid w:val="00025A4C"/>
    <w:rsid w:val="0003726E"/>
    <w:rsid w:val="00037886"/>
    <w:rsid w:val="0004039E"/>
    <w:rsid w:val="00041596"/>
    <w:rsid w:val="000452C3"/>
    <w:rsid w:val="000547A8"/>
    <w:rsid w:val="00070AF3"/>
    <w:rsid w:val="00072F72"/>
    <w:rsid w:val="00077A25"/>
    <w:rsid w:val="000807A9"/>
    <w:rsid w:val="0008430D"/>
    <w:rsid w:val="00085CF2"/>
    <w:rsid w:val="000866F8"/>
    <w:rsid w:val="00086E7E"/>
    <w:rsid w:val="00091353"/>
    <w:rsid w:val="00092280"/>
    <w:rsid w:val="000958D2"/>
    <w:rsid w:val="00096C75"/>
    <w:rsid w:val="000971DF"/>
    <w:rsid w:val="000A3963"/>
    <w:rsid w:val="000A45F3"/>
    <w:rsid w:val="000A7517"/>
    <w:rsid w:val="000B554D"/>
    <w:rsid w:val="000B730D"/>
    <w:rsid w:val="000C5DB8"/>
    <w:rsid w:val="000C6B7C"/>
    <w:rsid w:val="000C7A77"/>
    <w:rsid w:val="000D3328"/>
    <w:rsid w:val="000D6C53"/>
    <w:rsid w:val="000D6EFF"/>
    <w:rsid w:val="000E0796"/>
    <w:rsid w:val="000E198E"/>
    <w:rsid w:val="000E251E"/>
    <w:rsid w:val="000F306B"/>
    <w:rsid w:val="000F5051"/>
    <w:rsid w:val="000F66F8"/>
    <w:rsid w:val="000F6F1B"/>
    <w:rsid w:val="000F7894"/>
    <w:rsid w:val="0010093C"/>
    <w:rsid w:val="00101A7E"/>
    <w:rsid w:val="00102474"/>
    <w:rsid w:val="001118B6"/>
    <w:rsid w:val="001127F3"/>
    <w:rsid w:val="001128BF"/>
    <w:rsid w:val="001149F4"/>
    <w:rsid w:val="00121864"/>
    <w:rsid w:val="00121D1B"/>
    <w:rsid w:val="0012401E"/>
    <w:rsid w:val="0012526F"/>
    <w:rsid w:val="00125AE1"/>
    <w:rsid w:val="001276D9"/>
    <w:rsid w:val="00132DD9"/>
    <w:rsid w:val="001330E7"/>
    <w:rsid w:val="00134872"/>
    <w:rsid w:val="00150BA3"/>
    <w:rsid w:val="00153647"/>
    <w:rsid w:val="00156A75"/>
    <w:rsid w:val="00161AE0"/>
    <w:rsid w:val="001631E7"/>
    <w:rsid w:val="0016347A"/>
    <w:rsid w:val="00167041"/>
    <w:rsid w:val="001678FB"/>
    <w:rsid w:val="00171078"/>
    <w:rsid w:val="0017114A"/>
    <w:rsid w:val="00173542"/>
    <w:rsid w:val="00173546"/>
    <w:rsid w:val="00174AE9"/>
    <w:rsid w:val="001759F1"/>
    <w:rsid w:val="00176095"/>
    <w:rsid w:val="0018065F"/>
    <w:rsid w:val="00181AD8"/>
    <w:rsid w:val="001844F0"/>
    <w:rsid w:val="00190237"/>
    <w:rsid w:val="00190930"/>
    <w:rsid w:val="00197C26"/>
    <w:rsid w:val="001A3896"/>
    <w:rsid w:val="001A45D5"/>
    <w:rsid w:val="001B2032"/>
    <w:rsid w:val="001B2B27"/>
    <w:rsid w:val="001B30BD"/>
    <w:rsid w:val="001B5150"/>
    <w:rsid w:val="001B6F72"/>
    <w:rsid w:val="001C0305"/>
    <w:rsid w:val="001C2816"/>
    <w:rsid w:val="001C3985"/>
    <w:rsid w:val="001C4099"/>
    <w:rsid w:val="001C451B"/>
    <w:rsid w:val="001C4641"/>
    <w:rsid w:val="001D12BB"/>
    <w:rsid w:val="001D266C"/>
    <w:rsid w:val="001D4AA3"/>
    <w:rsid w:val="001D51F8"/>
    <w:rsid w:val="001D6B42"/>
    <w:rsid w:val="001D6D96"/>
    <w:rsid w:val="001D7E51"/>
    <w:rsid w:val="001E04B2"/>
    <w:rsid w:val="001E17F6"/>
    <w:rsid w:val="001E46B8"/>
    <w:rsid w:val="001E633B"/>
    <w:rsid w:val="001F09EB"/>
    <w:rsid w:val="001F14C6"/>
    <w:rsid w:val="001F2E65"/>
    <w:rsid w:val="002000AA"/>
    <w:rsid w:val="002004A5"/>
    <w:rsid w:val="00202F34"/>
    <w:rsid w:val="002034E8"/>
    <w:rsid w:val="00203BA4"/>
    <w:rsid w:val="002041BB"/>
    <w:rsid w:val="002052C5"/>
    <w:rsid w:val="00207ACF"/>
    <w:rsid w:val="00207E19"/>
    <w:rsid w:val="002130D2"/>
    <w:rsid w:val="00214EF3"/>
    <w:rsid w:val="00215C01"/>
    <w:rsid w:val="00221BF0"/>
    <w:rsid w:val="002260BE"/>
    <w:rsid w:val="00232E98"/>
    <w:rsid w:val="002336BA"/>
    <w:rsid w:val="00234E29"/>
    <w:rsid w:val="002361DF"/>
    <w:rsid w:val="00244CE7"/>
    <w:rsid w:val="00244E7B"/>
    <w:rsid w:val="00260AA7"/>
    <w:rsid w:val="00266FE8"/>
    <w:rsid w:val="002702A9"/>
    <w:rsid w:val="00270ACF"/>
    <w:rsid w:val="00270DE4"/>
    <w:rsid w:val="00271E0D"/>
    <w:rsid w:val="00273F19"/>
    <w:rsid w:val="0027418B"/>
    <w:rsid w:val="00274D16"/>
    <w:rsid w:val="00274E0D"/>
    <w:rsid w:val="00276E6C"/>
    <w:rsid w:val="00285A8C"/>
    <w:rsid w:val="00286EE2"/>
    <w:rsid w:val="00287FD0"/>
    <w:rsid w:val="00292074"/>
    <w:rsid w:val="00294252"/>
    <w:rsid w:val="00295CB6"/>
    <w:rsid w:val="00297899"/>
    <w:rsid w:val="002A617A"/>
    <w:rsid w:val="002A6D33"/>
    <w:rsid w:val="002B04F9"/>
    <w:rsid w:val="002B5181"/>
    <w:rsid w:val="002C08E4"/>
    <w:rsid w:val="002E0790"/>
    <w:rsid w:val="002E353B"/>
    <w:rsid w:val="002E443C"/>
    <w:rsid w:val="002E44BA"/>
    <w:rsid w:val="002E616C"/>
    <w:rsid w:val="002E775F"/>
    <w:rsid w:val="002F012D"/>
    <w:rsid w:val="002F014D"/>
    <w:rsid w:val="002F36DA"/>
    <w:rsid w:val="002F4CD6"/>
    <w:rsid w:val="0030366C"/>
    <w:rsid w:val="00303EA3"/>
    <w:rsid w:val="00310D55"/>
    <w:rsid w:val="00311FB8"/>
    <w:rsid w:val="00314011"/>
    <w:rsid w:val="0032001C"/>
    <w:rsid w:val="00323ADF"/>
    <w:rsid w:val="00324A30"/>
    <w:rsid w:val="003347D1"/>
    <w:rsid w:val="00334F7C"/>
    <w:rsid w:val="00335B76"/>
    <w:rsid w:val="00343272"/>
    <w:rsid w:val="00347BF8"/>
    <w:rsid w:val="003503C3"/>
    <w:rsid w:val="003516BB"/>
    <w:rsid w:val="00351C23"/>
    <w:rsid w:val="00354D48"/>
    <w:rsid w:val="003562AE"/>
    <w:rsid w:val="003636BF"/>
    <w:rsid w:val="003643FC"/>
    <w:rsid w:val="00364F45"/>
    <w:rsid w:val="00371DA9"/>
    <w:rsid w:val="00374728"/>
    <w:rsid w:val="00374890"/>
    <w:rsid w:val="003829A4"/>
    <w:rsid w:val="003837C4"/>
    <w:rsid w:val="00386AA5"/>
    <w:rsid w:val="0039246D"/>
    <w:rsid w:val="003A4AE6"/>
    <w:rsid w:val="003B3181"/>
    <w:rsid w:val="003B3560"/>
    <w:rsid w:val="003C1A92"/>
    <w:rsid w:val="003C27C0"/>
    <w:rsid w:val="003C46EF"/>
    <w:rsid w:val="003C4D3D"/>
    <w:rsid w:val="003C7222"/>
    <w:rsid w:val="003D5695"/>
    <w:rsid w:val="003E2E29"/>
    <w:rsid w:val="003F56BA"/>
    <w:rsid w:val="00401B8A"/>
    <w:rsid w:val="004062E4"/>
    <w:rsid w:val="00411DFD"/>
    <w:rsid w:val="004123E8"/>
    <w:rsid w:val="00412A27"/>
    <w:rsid w:val="00421CDC"/>
    <w:rsid w:val="00423252"/>
    <w:rsid w:val="00424AFD"/>
    <w:rsid w:val="00430B38"/>
    <w:rsid w:val="00436BBB"/>
    <w:rsid w:val="0043708B"/>
    <w:rsid w:val="00437E4D"/>
    <w:rsid w:val="004428AB"/>
    <w:rsid w:val="00442BA1"/>
    <w:rsid w:val="0044313C"/>
    <w:rsid w:val="00446697"/>
    <w:rsid w:val="0044790D"/>
    <w:rsid w:val="00447E21"/>
    <w:rsid w:val="00451133"/>
    <w:rsid w:val="00451165"/>
    <w:rsid w:val="00451685"/>
    <w:rsid w:val="004516ED"/>
    <w:rsid w:val="004567F0"/>
    <w:rsid w:val="004570C4"/>
    <w:rsid w:val="0046611A"/>
    <w:rsid w:val="00470BD9"/>
    <w:rsid w:val="004710C8"/>
    <w:rsid w:val="00474628"/>
    <w:rsid w:val="00485A3A"/>
    <w:rsid w:val="0048635F"/>
    <w:rsid w:val="00487173"/>
    <w:rsid w:val="004872B9"/>
    <w:rsid w:val="00487712"/>
    <w:rsid w:val="004914C4"/>
    <w:rsid w:val="00494735"/>
    <w:rsid w:val="004A0157"/>
    <w:rsid w:val="004A0664"/>
    <w:rsid w:val="004A28D2"/>
    <w:rsid w:val="004A3E89"/>
    <w:rsid w:val="004B2D5F"/>
    <w:rsid w:val="004B305B"/>
    <w:rsid w:val="004B4258"/>
    <w:rsid w:val="004B4345"/>
    <w:rsid w:val="004B4E25"/>
    <w:rsid w:val="004C1AAE"/>
    <w:rsid w:val="004C1FB7"/>
    <w:rsid w:val="004C3C5E"/>
    <w:rsid w:val="004C7834"/>
    <w:rsid w:val="004D1D35"/>
    <w:rsid w:val="004D39DD"/>
    <w:rsid w:val="004E1482"/>
    <w:rsid w:val="004E40A1"/>
    <w:rsid w:val="004E5A21"/>
    <w:rsid w:val="004F1097"/>
    <w:rsid w:val="004F14DB"/>
    <w:rsid w:val="004F60D2"/>
    <w:rsid w:val="004F747A"/>
    <w:rsid w:val="00506C56"/>
    <w:rsid w:val="00507488"/>
    <w:rsid w:val="0051340B"/>
    <w:rsid w:val="0051561F"/>
    <w:rsid w:val="005160FB"/>
    <w:rsid w:val="00521F1C"/>
    <w:rsid w:val="00524633"/>
    <w:rsid w:val="005279DE"/>
    <w:rsid w:val="00527BD2"/>
    <w:rsid w:val="005336F1"/>
    <w:rsid w:val="00534C5C"/>
    <w:rsid w:val="00537D0E"/>
    <w:rsid w:val="005427A3"/>
    <w:rsid w:val="0054298E"/>
    <w:rsid w:val="0054776A"/>
    <w:rsid w:val="0055777B"/>
    <w:rsid w:val="005577B5"/>
    <w:rsid w:val="00561FD1"/>
    <w:rsid w:val="00570074"/>
    <w:rsid w:val="005759CA"/>
    <w:rsid w:val="00577969"/>
    <w:rsid w:val="00580873"/>
    <w:rsid w:val="00581A22"/>
    <w:rsid w:val="005840C7"/>
    <w:rsid w:val="00584DDC"/>
    <w:rsid w:val="00586CD7"/>
    <w:rsid w:val="00587A6B"/>
    <w:rsid w:val="00592C15"/>
    <w:rsid w:val="00592F6E"/>
    <w:rsid w:val="005938A0"/>
    <w:rsid w:val="0059416B"/>
    <w:rsid w:val="005949F7"/>
    <w:rsid w:val="005A0796"/>
    <w:rsid w:val="005A4D59"/>
    <w:rsid w:val="005A5405"/>
    <w:rsid w:val="005A7831"/>
    <w:rsid w:val="005B3330"/>
    <w:rsid w:val="005C2DA8"/>
    <w:rsid w:val="005C477D"/>
    <w:rsid w:val="005C58FF"/>
    <w:rsid w:val="005C747E"/>
    <w:rsid w:val="005C77A1"/>
    <w:rsid w:val="005D4800"/>
    <w:rsid w:val="005D54E4"/>
    <w:rsid w:val="005D640C"/>
    <w:rsid w:val="005E2C4A"/>
    <w:rsid w:val="005E48D7"/>
    <w:rsid w:val="005F2473"/>
    <w:rsid w:val="005F2C76"/>
    <w:rsid w:val="005F35D8"/>
    <w:rsid w:val="005F366A"/>
    <w:rsid w:val="005F5EA3"/>
    <w:rsid w:val="005F727B"/>
    <w:rsid w:val="00603C80"/>
    <w:rsid w:val="00607614"/>
    <w:rsid w:val="00613EE8"/>
    <w:rsid w:val="00616AAA"/>
    <w:rsid w:val="00620857"/>
    <w:rsid w:val="006239A1"/>
    <w:rsid w:val="00623C93"/>
    <w:rsid w:val="00624301"/>
    <w:rsid w:val="0062434F"/>
    <w:rsid w:val="0062463F"/>
    <w:rsid w:val="00632680"/>
    <w:rsid w:val="00632C69"/>
    <w:rsid w:val="006408E9"/>
    <w:rsid w:val="00642659"/>
    <w:rsid w:val="00642ACB"/>
    <w:rsid w:val="00644EB8"/>
    <w:rsid w:val="006554A9"/>
    <w:rsid w:val="00656819"/>
    <w:rsid w:val="00657432"/>
    <w:rsid w:val="006577A7"/>
    <w:rsid w:val="00657971"/>
    <w:rsid w:val="00662DAD"/>
    <w:rsid w:val="00663ED5"/>
    <w:rsid w:val="006711A8"/>
    <w:rsid w:val="00684B7E"/>
    <w:rsid w:val="00684E2A"/>
    <w:rsid w:val="00685405"/>
    <w:rsid w:val="006879C8"/>
    <w:rsid w:val="006909F6"/>
    <w:rsid w:val="006913F2"/>
    <w:rsid w:val="00694070"/>
    <w:rsid w:val="00696D5A"/>
    <w:rsid w:val="006A09D6"/>
    <w:rsid w:val="006A0B50"/>
    <w:rsid w:val="006A106C"/>
    <w:rsid w:val="006A2AC2"/>
    <w:rsid w:val="006A3274"/>
    <w:rsid w:val="006A4EFA"/>
    <w:rsid w:val="006B0C04"/>
    <w:rsid w:val="006B2687"/>
    <w:rsid w:val="006B2EC8"/>
    <w:rsid w:val="006B7928"/>
    <w:rsid w:val="006B7983"/>
    <w:rsid w:val="006C0EFD"/>
    <w:rsid w:val="006C1A98"/>
    <w:rsid w:val="006C1B2A"/>
    <w:rsid w:val="006C2A18"/>
    <w:rsid w:val="006C6226"/>
    <w:rsid w:val="006C70B9"/>
    <w:rsid w:val="006C7458"/>
    <w:rsid w:val="006D4606"/>
    <w:rsid w:val="006D4CA9"/>
    <w:rsid w:val="006E0060"/>
    <w:rsid w:val="006E06E5"/>
    <w:rsid w:val="006E091C"/>
    <w:rsid w:val="006E0B7E"/>
    <w:rsid w:val="006E259C"/>
    <w:rsid w:val="006F1406"/>
    <w:rsid w:val="006F1428"/>
    <w:rsid w:val="006F1E15"/>
    <w:rsid w:val="006F33A0"/>
    <w:rsid w:val="006F6092"/>
    <w:rsid w:val="007008E6"/>
    <w:rsid w:val="00701157"/>
    <w:rsid w:val="0070128F"/>
    <w:rsid w:val="00703610"/>
    <w:rsid w:val="0070499B"/>
    <w:rsid w:val="00705394"/>
    <w:rsid w:val="00706BE4"/>
    <w:rsid w:val="00707FE5"/>
    <w:rsid w:val="007151B9"/>
    <w:rsid w:val="00720BA8"/>
    <w:rsid w:val="00720BF7"/>
    <w:rsid w:val="00721C2F"/>
    <w:rsid w:val="00724B46"/>
    <w:rsid w:val="00731B34"/>
    <w:rsid w:val="0073235F"/>
    <w:rsid w:val="007376E1"/>
    <w:rsid w:val="00740594"/>
    <w:rsid w:val="0074231F"/>
    <w:rsid w:val="007505C6"/>
    <w:rsid w:val="0075160F"/>
    <w:rsid w:val="00751800"/>
    <w:rsid w:val="00751953"/>
    <w:rsid w:val="00751D02"/>
    <w:rsid w:val="007566F1"/>
    <w:rsid w:val="00760DD1"/>
    <w:rsid w:val="00761425"/>
    <w:rsid w:val="007705F8"/>
    <w:rsid w:val="0077161C"/>
    <w:rsid w:val="00773623"/>
    <w:rsid w:val="00776A4F"/>
    <w:rsid w:val="007774C2"/>
    <w:rsid w:val="007800DD"/>
    <w:rsid w:val="007802D0"/>
    <w:rsid w:val="0078634E"/>
    <w:rsid w:val="007945BD"/>
    <w:rsid w:val="00796504"/>
    <w:rsid w:val="007A33A7"/>
    <w:rsid w:val="007A39E9"/>
    <w:rsid w:val="007C06B3"/>
    <w:rsid w:val="007C06F6"/>
    <w:rsid w:val="007C0ABF"/>
    <w:rsid w:val="007C621C"/>
    <w:rsid w:val="007D0889"/>
    <w:rsid w:val="007D5008"/>
    <w:rsid w:val="007D6B42"/>
    <w:rsid w:val="007E12CE"/>
    <w:rsid w:val="007E335B"/>
    <w:rsid w:val="007E357E"/>
    <w:rsid w:val="007E4150"/>
    <w:rsid w:val="007E5949"/>
    <w:rsid w:val="007E6918"/>
    <w:rsid w:val="007E71DA"/>
    <w:rsid w:val="007E7215"/>
    <w:rsid w:val="007F065A"/>
    <w:rsid w:val="007F1418"/>
    <w:rsid w:val="007F318C"/>
    <w:rsid w:val="007F78EF"/>
    <w:rsid w:val="007F7C24"/>
    <w:rsid w:val="00806080"/>
    <w:rsid w:val="00807C4D"/>
    <w:rsid w:val="008106DB"/>
    <w:rsid w:val="00812A82"/>
    <w:rsid w:val="00815D43"/>
    <w:rsid w:val="008204F3"/>
    <w:rsid w:val="00823122"/>
    <w:rsid w:val="00824AC5"/>
    <w:rsid w:val="0083284A"/>
    <w:rsid w:val="00834030"/>
    <w:rsid w:val="008404A1"/>
    <w:rsid w:val="00845247"/>
    <w:rsid w:val="0085572F"/>
    <w:rsid w:val="00860ABA"/>
    <w:rsid w:val="00860E74"/>
    <w:rsid w:val="00864295"/>
    <w:rsid w:val="00864F9F"/>
    <w:rsid w:val="00866A8B"/>
    <w:rsid w:val="008676F7"/>
    <w:rsid w:val="00870C6F"/>
    <w:rsid w:val="00870D9D"/>
    <w:rsid w:val="00875317"/>
    <w:rsid w:val="008807D7"/>
    <w:rsid w:val="00883737"/>
    <w:rsid w:val="0088529F"/>
    <w:rsid w:val="00885B57"/>
    <w:rsid w:val="0088745B"/>
    <w:rsid w:val="00887981"/>
    <w:rsid w:val="00890635"/>
    <w:rsid w:val="00890E3E"/>
    <w:rsid w:val="0089335A"/>
    <w:rsid w:val="008B2F57"/>
    <w:rsid w:val="008B3A80"/>
    <w:rsid w:val="008B6238"/>
    <w:rsid w:val="008C0B4B"/>
    <w:rsid w:val="008C1DE3"/>
    <w:rsid w:val="008C4DA0"/>
    <w:rsid w:val="008D392F"/>
    <w:rsid w:val="008D403C"/>
    <w:rsid w:val="008D7E8F"/>
    <w:rsid w:val="008E4895"/>
    <w:rsid w:val="008E4F8D"/>
    <w:rsid w:val="008F403C"/>
    <w:rsid w:val="008F7C8E"/>
    <w:rsid w:val="00900E42"/>
    <w:rsid w:val="00902034"/>
    <w:rsid w:val="009031BE"/>
    <w:rsid w:val="00904570"/>
    <w:rsid w:val="00905959"/>
    <w:rsid w:val="009132E1"/>
    <w:rsid w:val="0091381D"/>
    <w:rsid w:val="00920517"/>
    <w:rsid w:val="0092133A"/>
    <w:rsid w:val="00923633"/>
    <w:rsid w:val="00925797"/>
    <w:rsid w:val="009259B3"/>
    <w:rsid w:val="00926B3B"/>
    <w:rsid w:val="00926E78"/>
    <w:rsid w:val="00934EF2"/>
    <w:rsid w:val="00936DB8"/>
    <w:rsid w:val="0093760B"/>
    <w:rsid w:val="00937B64"/>
    <w:rsid w:val="00937D40"/>
    <w:rsid w:val="00942599"/>
    <w:rsid w:val="00943034"/>
    <w:rsid w:val="00946477"/>
    <w:rsid w:val="0095401B"/>
    <w:rsid w:val="00955201"/>
    <w:rsid w:val="00961734"/>
    <w:rsid w:val="00962C61"/>
    <w:rsid w:val="00964514"/>
    <w:rsid w:val="00965D08"/>
    <w:rsid w:val="00967168"/>
    <w:rsid w:val="00972059"/>
    <w:rsid w:val="00972F91"/>
    <w:rsid w:val="009736BF"/>
    <w:rsid w:val="00980D57"/>
    <w:rsid w:val="00985AF9"/>
    <w:rsid w:val="00986B33"/>
    <w:rsid w:val="00987AD5"/>
    <w:rsid w:val="00994341"/>
    <w:rsid w:val="00994710"/>
    <w:rsid w:val="009949D8"/>
    <w:rsid w:val="00996683"/>
    <w:rsid w:val="00997F2F"/>
    <w:rsid w:val="009A2248"/>
    <w:rsid w:val="009A2E9E"/>
    <w:rsid w:val="009A406F"/>
    <w:rsid w:val="009A48AF"/>
    <w:rsid w:val="009A6ECE"/>
    <w:rsid w:val="009B1852"/>
    <w:rsid w:val="009B36FE"/>
    <w:rsid w:val="009B4C14"/>
    <w:rsid w:val="009B7138"/>
    <w:rsid w:val="009C0945"/>
    <w:rsid w:val="009C4053"/>
    <w:rsid w:val="009C5321"/>
    <w:rsid w:val="009C6D5D"/>
    <w:rsid w:val="009E2869"/>
    <w:rsid w:val="009F0C3C"/>
    <w:rsid w:val="009F64E6"/>
    <w:rsid w:val="00A0208C"/>
    <w:rsid w:val="00A025AB"/>
    <w:rsid w:val="00A058C4"/>
    <w:rsid w:val="00A0743A"/>
    <w:rsid w:val="00A233A1"/>
    <w:rsid w:val="00A23711"/>
    <w:rsid w:val="00A256AD"/>
    <w:rsid w:val="00A35297"/>
    <w:rsid w:val="00A36A37"/>
    <w:rsid w:val="00A411E0"/>
    <w:rsid w:val="00A4372D"/>
    <w:rsid w:val="00A44063"/>
    <w:rsid w:val="00A462BA"/>
    <w:rsid w:val="00A50719"/>
    <w:rsid w:val="00A515E5"/>
    <w:rsid w:val="00A61577"/>
    <w:rsid w:val="00A6162A"/>
    <w:rsid w:val="00A61B01"/>
    <w:rsid w:val="00A73327"/>
    <w:rsid w:val="00A76482"/>
    <w:rsid w:val="00A77282"/>
    <w:rsid w:val="00A77434"/>
    <w:rsid w:val="00A92D83"/>
    <w:rsid w:val="00A94D56"/>
    <w:rsid w:val="00A95E7D"/>
    <w:rsid w:val="00A97211"/>
    <w:rsid w:val="00AA1C10"/>
    <w:rsid w:val="00AA561C"/>
    <w:rsid w:val="00AB0D79"/>
    <w:rsid w:val="00AB1A72"/>
    <w:rsid w:val="00AB4A92"/>
    <w:rsid w:val="00AC0D5D"/>
    <w:rsid w:val="00AC1CFC"/>
    <w:rsid w:val="00AC4214"/>
    <w:rsid w:val="00AC4F90"/>
    <w:rsid w:val="00AC57F4"/>
    <w:rsid w:val="00AD2DEF"/>
    <w:rsid w:val="00AE5049"/>
    <w:rsid w:val="00AE65DA"/>
    <w:rsid w:val="00AF1E51"/>
    <w:rsid w:val="00AF33D5"/>
    <w:rsid w:val="00AF37FF"/>
    <w:rsid w:val="00B01DF8"/>
    <w:rsid w:val="00B02F91"/>
    <w:rsid w:val="00B061FE"/>
    <w:rsid w:val="00B072DF"/>
    <w:rsid w:val="00B10854"/>
    <w:rsid w:val="00B1281A"/>
    <w:rsid w:val="00B12B57"/>
    <w:rsid w:val="00B155EF"/>
    <w:rsid w:val="00B173E9"/>
    <w:rsid w:val="00B17819"/>
    <w:rsid w:val="00B2219E"/>
    <w:rsid w:val="00B2344E"/>
    <w:rsid w:val="00B3332A"/>
    <w:rsid w:val="00B34A13"/>
    <w:rsid w:val="00B3795C"/>
    <w:rsid w:val="00B5279E"/>
    <w:rsid w:val="00B53615"/>
    <w:rsid w:val="00B6053F"/>
    <w:rsid w:val="00B648B2"/>
    <w:rsid w:val="00B659F1"/>
    <w:rsid w:val="00B70B75"/>
    <w:rsid w:val="00B713BB"/>
    <w:rsid w:val="00B716D8"/>
    <w:rsid w:val="00B75421"/>
    <w:rsid w:val="00B80316"/>
    <w:rsid w:val="00B84D5B"/>
    <w:rsid w:val="00B916DF"/>
    <w:rsid w:val="00B91C72"/>
    <w:rsid w:val="00B938D9"/>
    <w:rsid w:val="00B9417C"/>
    <w:rsid w:val="00B941CA"/>
    <w:rsid w:val="00B94775"/>
    <w:rsid w:val="00B962AE"/>
    <w:rsid w:val="00BA0975"/>
    <w:rsid w:val="00BA1D95"/>
    <w:rsid w:val="00BA3118"/>
    <w:rsid w:val="00BA5F01"/>
    <w:rsid w:val="00BB1590"/>
    <w:rsid w:val="00BB25C1"/>
    <w:rsid w:val="00BB364D"/>
    <w:rsid w:val="00BB63BD"/>
    <w:rsid w:val="00BC1E57"/>
    <w:rsid w:val="00BC28E0"/>
    <w:rsid w:val="00BD09BA"/>
    <w:rsid w:val="00BD226D"/>
    <w:rsid w:val="00BD26DD"/>
    <w:rsid w:val="00BD42B5"/>
    <w:rsid w:val="00BD5748"/>
    <w:rsid w:val="00BD57AE"/>
    <w:rsid w:val="00BD58E1"/>
    <w:rsid w:val="00BD6469"/>
    <w:rsid w:val="00BD701B"/>
    <w:rsid w:val="00BE05E5"/>
    <w:rsid w:val="00BE06B0"/>
    <w:rsid w:val="00BE246D"/>
    <w:rsid w:val="00BE5867"/>
    <w:rsid w:val="00BE76FE"/>
    <w:rsid w:val="00BF0B1E"/>
    <w:rsid w:val="00BF17AA"/>
    <w:rsid w:val="00BF2C44"/>
    <w:rsid w:val="00BF3FD8"/>
    <w:rsid w:val="00BF446C"/>
    <w:rsid w:val="00BF5824"/>
    <w:rsid w:val="00BF5D0F"/>
    <w:rsid w:val="00C02181"/>
    <w:rsid w:val="00C0263A"/>
    <w:rsid w:val="00C02B34"/>
    <w:rsid w:val="00C041EC"/>
    <w:rsid w:val="00C04B7B"/>
    <w:rsid w:val="00C06187"/>
    <w:rsid w:val="00C06A42"/>
    <w:rsid w:val="00C10F96"/>
    <w:rsid w:val="00C20723"/>
    <w:rsid w:val="00C2174C"/>
    <w:rsid w:val="00C220FA"/>
    <w:rsid w:val="00C227BE"/>
    <w:rsid w:val="00C24556"/>
    <w:rsid w:val="00C276D7"/>
    <w:rsid w:val="00C279EB"/>
    <w:rsid w:val="00C30288"/>
    <w:rsid w:val="00C33ACA"/>
    <w:rsid w:val="00C433D9"/>
    <w:rsid w:val="00C448D6"/>
    <w:rsid w:val="00C46074"/>
    <w:rsid w:val="00C47B96"/>
    <w:rsid w:val="00C47E8E"/>
    <w:rsid w:val="00C47F85"/>
    <w:rsid w:val="00C523F1"/>
    <w:rsid w:val="00C53E3A"/>
    <w:rsid w:val="00C62AB8"/>
    <w:rsid w:val="00C757C9"/>
    <w:rsid w:val="00C760F4"/>
    <w:rsid w:val="00C77B0C"/>
    <w:rsid w:val="00C81546"/>
    <w:rsid w:val="00C81789"/>
    <w:rsid w:val="00C850DA"/>
    <w:rsid w:val="00C8711F"/>
    <w:rsid w:val="00C90D73"/>
    <w:rsid w:val="00C93DA0"/>
    <w:rsid w:val="00C95AFB"/>
    <w:rsid w:val="00C975E7"/>
    <w:rsid w:val="00CA160C"/>
    <w:rsid w:val="00CA1A51"/>
    <w:rsid w:val="00CA3814"/>
    <w:rsid w:val="00CA72CE"/>
    <w:rsid w:val="00CB3790"/>
    <w:rsid w:val="00CB3BFC"/>
    <w:rsid w:val="00CB69F0"/>
    <w:rsid w:val="00CC1404"/>
    <w:rsid w:val="00CC19E0"/>
    <w:rsid w:val="00CC2044"/>
    <w:rsid w:val="00CC4F35"/>
    <w:rsid w:val="00CC52B8"/>
    <w:rsid w:val="00CC5BFB"/>
    <w:rsid w:val="00CC67BE"/>
    <w:rsid w:val="00CD181A"/>
    <w:rsid w:val="00CD1914"/>
    <w:rsid w:val="00CD4AD4"/>
    <w:rsid w:val="00CE0207"/>
    <w:rsid w:val="00CE39C7"/>
    <w:rsid w:val="00CE773C"/>
    <w:rsid w:val="00CF05B3"/>
    <w:rsid w:val="00D01FC8"/>
    <w:rsid w:val="00D03338"/>
    <w:rsid w:val="00D046DE"/>
    <w:rsid w:val="00D04858"/>
    <w:rsid w:val="00D0523C"/>
    <w:rsid w:val="00D06233"/>
    <w:rsid w:val="00D138BA"/>
    <w:rsid w:val="00D153EE"/>
    <w:rsid w:val="00D24A86"/>
    <w:rsid w:val="00D24C0F"/>
    <w:rsid w:val="00D26C27"/>
    <w:rsid w:val="00D27DA7"/>
    <w:rsid w:val="00D30B66"/>
    <w:rsid w:val="00D33184"/>
    <w:rsid w:val="00D333CD"/>
    <w:rsid w:val="00D35135"/>
    <w:rsid w:val="00D3719D"/>
    <w:rsid w:val="00D37813"/>
    <w:rsid w:val="00D4088A"/>
    <w:rsid w:val="00D41762"/>
    <w:rsid w:val="00D43B9A"/>
    <w:rsid w:val="00D44352"/>
    <w:rsid w:val="00D45F88"/>
    <w:rsid w:val="00D57946"/>
    <w:rsid w:val="00D65BB4"/>
    <w:rsid w:val="00D67B36"/>
    <w:rsid w:val="00D70AFD"/>
    <w:rsid w:val="00D736E9"/>
    <w:rsid w:val="00D74898"/>
    <w:rsid w:val="00D8040C"/>
    <w:rsid w:val="00D817FA"/>
    <w:rsid w:val="00D8253B"/>
    <w:rsid w:val="00D85620"/>
    <w:rsid w:val="00D87D32"/>
    <w:rsid w:val="00D92D16"/>
    <w:rsid w:val="00D9400C"/>
    <w:rsid w:val="00D9412A"/>
    <w:rsid w:val="00D94190"/>
    <w:rsid w:val="00D944AE"/>
    <w:rsid w:val="00D94FB3"/>
    <w:rsid w:val="00D954E3"/>
    <w:rsid w:val="00DA0103"/>
    <w:rsid w:val="00DA30EC"/>
    <w:rsid w:val="00DA6709"/>
    <w:rsid w:val="00DA71E6"/>
    <w:rsid w:val="00DB1D32"/>
    <w:rsid w:val="00DB3CEE"/>
    <w:rsid w:val="00DB63E3"/>
    <w:rsid w:val="00DC2F1A"/>
    <w:rsid w:val="00DC4197"/>
    <w:rsid w:val="00DD10D9"/>
    <w:rsid w:val="00DD44DC"/>
    <w:rsid w:val="00DE0484"/>
    <w:rsid w:val="00DF4D88"/>
    <w:rsid w:val="00DF57BC"/>
    <w:rsid w:val="00E03F6E"/>
    <w:rsid w:val="00E045C5"/>
    <w:rsid w:val="00E055E3"/>
    <w:rsid w:val="00E07FA8"/>
    <w:rsid w:val="00E13919"/>
    <w:rsid w:val="00E13D80"/>
    <w:rsid w:val="00E144AD"/>
    <w:rsid w:val="00E1580F"/>
    <w:rsid w:val="00E162D1"/>
    <w:rsid w:val="00E16780"/>
    <w:rsid w:val="00E174C3"/>
    <w:rsid w:val="00E17786"/>
    <w:rsid w:val="00E2489C"/>
    <w:rsid w:val="00E26061"/>
    <w:rsid w:val="00E26D15"/>
    <w:rsid w:val="00E27AC3"/>
    <w:rsid w:val="00E3548D"/>
    <w:rsid w:val="00E40C82"/>
    <w:rsid w:val="00E44093"/>
    <w:rsid w:val="00E44975"/>
    <w:rsid w:val="00E4773A"/>
    <w:rsid w:val="00E50430"/>
    <w:rsid w:val="00E54371"/>
    <w:rsid w:val="00E55B58"/>
    <w:rsid w:val="00E56CD7"/>
    <w:rsid w:val="00E61843"/>
    <w:rsid w:val="00E618E9"/>
    <w:rsid w:val="00E655CB"/>
    <w:rsid w:val="00E65F0A"/>
    <w:rsid w:val="00E671D2"/>
    <w:rsid w:val="00E70EBA"/>
    <w:rsid w:val="00E71F21"/>
    <w:rsid w:val="00E74B0D"/>
    <w:rsid w:val="00E75DA8"/>
    <w:rsid w:val="00E81A34"/>
    <w:rsid w:val="00E84B62"/>
    <w:rsid w:val="00E87653"/>
    <w:rsid w:val="00E876A8"/>
    <w:rsid w:val="00EA3705"/>
    <w:rsid w:val="00EA3FAF"/>
    <w:rsid w:val="00EA4F95"/>
    <w:rsid w:val="00EA63C1"/>
    <w:rsid w:val="00EB0779"/>
    <w:rsid w:val="00EB0FA1"/>
    <w:rsid w:val="00EB1327"/>
    <w:rsid w:val="00EB30AA"/>
    <w:rsid w:val="00EB76B7"/>
    <w:rsid w:val="00EC0FB7"/>
    <w:rsid w:val="00EC1352"/>
    <w:rsid w:val="00EC4075"/>
    <w:rsid w:val="00EC5BB4"/>
    <w:rsid w:val="00ED0B6B"/>
    <w:rsid w:val="00ED1AE8"/>
    <w:rsid w:val="00ED414C"/>
    <w:rsid w:val="00ED5C09"/>
    <w:rsid w:val="00ED7056"/>
    <w:rsid w:val="00ED7EDA"/>
    <w:rsid w:val="00EE19E1"/>
    <w:rsid w:val="00EF5AB0"/>
    <w:rsid w:val="00EF64EC"/>
    <w:rsid w:val="00EF79F6"/>
    <w:rsid w:val="00F0130C"/>
    <w:rsid w:val="00F0591E"/>
    <w:rsid w:val="00F079EA"/>
    <w:rsid w:val="00F17183"/>
    <w:rsid w:val="00F20062"/>
    <w:rsid w:val="00F2356B"/>
    <w:rsid w:val="00F25556"/>
    <w:rsid w:val="00F26590"/>
    <w:rsid w:val="00F33486"/>
    <w:rsid w:val="00F34E99"/>
    <w:rsid w:val="00F4489C"/>
    <w:rsid w:val="00F46A64"/>
    <w:rsid w:val="00F55944"/>
    <w:rsid w:val="00F57388"/>
    <w:rsid w:val="00F604AD"/>
    <w:rsid w:val="00F60D5A"/>
    <w:rsid w:val="00F660DF"/>
    <w:rsid w:val="00F67015"/>
    <w:rsid w:val="00F7021B"/>
    <w:rsid w:val="00F73D6F"/>
    <w:rsid w:val="00F7660E"/>
    <w:rsid w:val="00F771F3"/>
    <w:rsid w:val="00F83619"/>
    <w:rsid w:val="00F90E2E"/>
    <w:rsid w:val="00F936B3"/>
    <w:rsid w:val="00F95D96"/>
    <w:rsid w:val="00F96F94"/>
    <w:rsid w:val="00F97253"/>
    <w:rsid w:val="00FA0332"/>
    <w:rsid w:val="00FA068B"/>
    <w:rsid w:val="00FA2C4E"/>
    <w:rsid w:val="00FA411B"/>
    <w:rsid w:val="00FA627C"/>
    <w:rsid w:val="00FA7B0F"/>
    <w:rsid w:val="00FB0A49"/>
    <w:rsid w:val="00FB1146"/>
    <w:rsid w:val="00FB16FD"/>
    <w:rsid w:val="00FB18B3"/>
    <w:rsid w:val="00FB18BC"/>
    <w:rsid w:val="00FB3849"/>
    <w:rsid w:val="00FB6ACC"/>
    <w:rsid w:val="00FC2CFD"/>
    <w:rsid w:val="00FC4FAC"/>
    <w:rsid w:val="00FC506D"/>
    <w:rsid w:val="00FC6A9E"/>
    <w:rsid w:val="00FD5F01"/>
    <w:rsid w:val="00FD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44FE838"/>
  <w15:docId w15:val="{25882294-D05C-4ACC-9CF4-8406D51D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rsid w:val="009B7138"/>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D3719D"/>
    <w:pPr>
      <w:keepNext/>
      <w:numPr>
        <w:ilvl w:val="4"/>
        <w:numId w:val="46"/>
      </w:numPr>
      <w:outlineLvl w:val="4"/>
    </w:pPr>
    <w:rPr>
      <w:rFonts w:eastAsiaTheme="majorEastAsia"/>
    </w:rPr>
  </w:style>
  <w:style w:type="paragraph" w:styleId="Heading6">
    <w:name w:val="heading 6"/>
    <w:basedOn w:val="Normal"/>
    <w:next w:val="Text2"/>
    <w:link w:val="Heading6Char"/>
    <w:uiPriority w:val="9"/>
    <w:semiHidden/>
    <w:unhideWhenUsed/>
    <w:qFormat/>
    <w:rsid w:val="00D3719D"/>
    <w:pPr>
      <w:keepNext/>
      <w:numPr>
        <w:ilvl w:val="5"/>
        <w:numId w:val="46"/>
      </w:numPr>
      <w:outlineLvl w:val="5"/>
    </w:pPr>
    <w:rPr>
      <w:rFonts w:eastAsiaTheme="majorEastAsia"/>
      <w:iCs/>
    </w:rPr>
  </w:style>
  <w:style w:type="paragraph" w:styleId="Heading7">
    <w:name w:val="heading 7"/>
    <w:basedOn w:val="Normal"/>
    <w:next w:val="Text2"/>
    <w:link w:val="Heading7Char"/>
    <w:uiPriority w:val="9"/>
    <w:semiHidden/>
    <w:unhideWhenUsed/>
    <w:qFormat/>
    <w:rsid w:val="00D3719D"/>
    <w:pPr>
      <w:keepNext/>
      <w:numPr>
        <w:ilvl w:val="6"/>
        <w:numId w:val="4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5B3330"/>
    <w:pPr>
      <w:numPr>
        <w:numId w:val="1"/>
      </w:numPr>
    </w:pPr>
    <w:rPr>
      <w:rFonts w:eastAsia="Times New Roman"/>
      <w:lang w:eastAsia="en-GB"/>
    </w:rPr>
  </w:style>
  <w:style w:type="paragraph" w:styleId="ListNumber4">
    <w:name w:val="List Number 4"/>
    <w:basedOn w:val="Normal"/>
    <w:rsid w:val="005B3330"/>
    <w:pPr>
      <w:numPr>
        <w:numId w:val="2"/>
      </w:numPr>
    </w:pPr>
    <w:rPr>
      <w:rFonts w:eastAsia="Times New Roman"/>
      <w:lang w:eastAsia="en-GB"/>
    </w:rPr>
  </w:style>
  <w:style w:type="character" w:styleId="Hyperlink">
    <w:name w:val="Hyperlink"/>
    <w:rsid w:val="005B3330"/>
    <w:rPr>
      <w:color w:val="0000FF"/>
      <w:u w:val="single"/>
      <w:shd w:val="clear" w:color="auto" w:fill="auto"/>
    </w:rPr>
  </w:style>
  <w:style w:type="paragraph" w:styleId="ListBullet">
    <w:name w:val="List Bullet"/>
    <w:basedOn w:val="Normal"/>
    <w:uiPriority w:val="99"/>
    <w:semiHidden/>
    <w:unhideWhenUsed/>
    <w:rsid w:val="001B6F72"/>
    <w:pPr>
      <w:numPr>
        <w:numId w:val="3"/>
      </w:numPr>
      <w:contextualSpacing/>
    </w:pPr>
  </w:style>
  <w:style w:type="paragraph" w:styleId="ListBullet2">
    <w:name w:val="List Bullet 2"/>
    <w:basedOn w:val="Normal"/>
    <w:uiPriority w:val="99"/>
    <w:semiHidden/>
    <w:unhideWhenUsed/>
    <w:rsid w:val="001B6F72"/>
    <w:pPr>
      <w:numPr>
        <w:numId w:val="4"/>
      </w:numPr>
      <w:contextualSpacing/>
    </w:pPr>
  </w:style>
  <w:style w:type="paragraph" w:styleId="ListBullet3">
    <w:name w:val="List Bullet 3"/>
    <w:basedOn w:val="Normal"/>
    <w:uiPriority w:val="99"/>
    <w:semiHidden/>
    <w:unhideWhenUsed/>
    <w:rsid w:val="001B6F72"/>
    <w:pPr>
      <w:numPr>
        <w:numId w:val="5"/>
      </w:numPr>
      <w:contextualSpacing/>
    </w:pPr>
  </w:style>
  <w:style w:type="paragraph" w:styleId="ListBullet4">
    <w:name w:val="List Bullet 4"/>
    <w:basedOn w:val="Normal"/>
    <w:uiPriority w:val="99"/>
    <w:semiHidden/>
    <w:unhideWhenUsed/>
    <w:rsid w:val="001B6F72"/>
    <w:pPr>
      <w:numPr>
        <w:numId w:val="6"/>
      </w:numPr>
      <w:contextualSpacing/>
    </w:pPr>
  </w:style>
  <w:style w:type="paragraph" w:styleId="ListParagraph">
    <w:name w:val="List Paragraph"/>
    <w:basedOn w:val="Normal"/>
    <w:link w:val="ListParagraphChar"/>
    <w:uiPriority w:val="34"/>
    <w:qFormat/>
    <w:rsid w:val="001B6F72"/>
    <w:pPr>
      <w:spacing w:before="0" w:after="200" w:line="276" w:lineRule="auto"/>
      <w:ind w:left="720"/>
      <w:contextualSpacing/>
      <w:jc w:val="left"/>
      <w:outlineLvl w:val="0"/>
    </w:pPr>
    <w:rPr>
      <w:szCs w:val="24"/>
    </w:rPr>
  </w:style>
  <w:style w:type="character" w:customStyle="1" w:styleId="ListParagraphChar">
    <w:name w:val="List Paragraph Char"/>
    <w:basedOn w:val="DefaultParagraphFont"/>
    <w:link w:val="ListParagraph"/>
    <w:uiPriority w:val="34"/>
    <w:rsid w:val="001B6F72"/>
    <w:rPr>
      <w:rFonts w:ascii="Times New Roman" w:hAnsi="Times New Roman" w:cs="Times New Roman"/>
      <w:sz w:val="24"/>
      <w:szCs w:val="24"/>
      <w:lang w:val="pl-PL"/>
    </w:rPr>
  </w:style>
  <w:style w:type="paragraph" w:styleId="Caption">
    <w:name w:val="caption"/>
    <w:basedOn w:val="Normal"/>
    <w:next w:val="Normal"/>
    <w:uiPriority w:val="35"/>
    <w:semiHidden/>
    <w:unhideWhenUsed/>
    <w:qFormat/>
    <w:rsid w:val="00E4773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E4773A"/>
    <w:pPr>
      <w:spacing w:after="0"/>
    </w:pPr>
  </w:style>
  <w:style w:type="paragraph" w:styleId="ListNumber2">
    <w:name w:val="List Number 2"/>
    <w:basedOn w:val="Normal"/>
    <w:uiPriority w:val="99"/>
    <w:semiHidden/>
    <w:unhideWhenUsed/>
    <w:rsid w:val="00E4773A"/>
    <w:pPr>
      <w:numPr>
        <w:numId w:val="9"/>
      </w:numPr>
      <w:contextualSpacing/>
    </w:pPr>
  </w:style>
  <w:style w:type="paragraph" w:styleId="ListNumber3">
    <w:name w:val="List Number 3"/>
    <w:basedOn w:val="Normal"/>
    <w:uiPriority w:val="99"/>
    <w:semiHidden/>
    <w:unhideWhenUsed/>
    <w:rsid w:val="00E4773A"/>
    <w:pPr>
      <w:numPr>
        <w:numId w:val="10"/>
      </w:numPr>
      <w:contextualSpacing/>
    </w:pPr>
  </w:style>
  <w:style w:type="character" w:styleId="CommentReference">
    <w:name w:val="annotation reference"/>
    <w:basedOn w:val="DefaultParagraphFont"/>
    <w:uiPriority w:val="99"/>
    <w:semiHidden/>
    <w:unhideWhenUsed/>
    <w:rsid w:val="004C3C5E"/>
    <w:rPr>
      <w:sz w:val="16"/>
      <w:szCs w:val="16"/>
    </w:rPr>
  </w:style>
  <w:style w:type="paragraph" w:styleId="CommentText">
    <w:name w:val="annotation text"/>
    <w:basedOn w:val="Normal"/>
    <w:link w:val="CommentTextChar"/>
    <w:uiPriority w:val="99"/>
    <w:unhideWhenUsed/>
    <w:rsid w:val="004C3C5E"/>
    <w:rPr>
      <w:sz w:val="20"/>
      <w:szCs w:val="20"/>
    </w:rPr>
  </w:style>
  <w:style w:type="character" w:customStyle="1" w:styleId="CommentTextChar">
    <w:name w:val="Comment Text Char"/>
    <w:basedOn w:val="DefaultParagraphFont"/>
    <w:link w:val="CommentText"/>
    <w:uiPriority w:val="99"/>
    <w:rsid w:val="004C3C5E"/>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sid w:val="004C3C5E"/>
    <w:rPr>
      <w:b/>
      <w:bCs/>
    </w:rPr>
  </w:style>
  <w:style w:type="character" w:customStyle="1" w:styleId="CommentSubjectChar">
    <w:name w:val="Comment Subject Char"/>
    <w:basedOn w:val="CommentTextChar"/>
    <w:link w:val="CommentSubject"/>
    <w:uiPriority w:val="99"/>
    <w:semiHidden/>
    <w:rsid w:val="004C3C5E"/>
    <w:rPr>
      <w:rFonts w:ascii="Times New Roman" w:hAnsi="Times New Roman" w:cs="Times New Roman"/>
      <w:b/>
      <w:bCs/>
      <w:sz w:val="20"/>
      <w:szCs w:val="20"/>
      <w:lang w:val="pl-PL"/>
    </w:rPr>
  </w:style>
  <w:style w:type="paragraph" w:styleId="BalloonText">
    <w:name w:val="Balloon Text"/>
    <w:basedOn w:val="Normal"/>
    <w:link w:val="BalloonTextChar"/>
    <w:uiPriority w:val="99"/>
    <w:semiHidden/>
    <w:unhideWhenUsed/>
    <w:rsid w:val="004C3C5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C5E"/>
    <w:rPr>
      <w:rFonts w:ascii="Segoe UI" w:hAnsi="Segoe UI" w:cs="Segoe UI"/>
      <w:sz w:val="18"/>
      <w:szCs w:val="18"/>
      <w:lang w:val="pl-PL"/>
    </w:rPr>
  </w:style>
  <w:style w:type="table" w:styleId="TableGrid">
    <w:name w:val="Table Grid"/>
    <w:basedOn w:val="TableNormal"/>
    <w:uiPriority w:val="59"/>
    <w:rsid w:val="00A7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774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A774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F78EF"/>
    <w:pPr>
      <w:spacing w:after="0" w:line="240" w:lineRule="auto"/>
    </w:pPr>
    <w:rPr>
      <w:rFonts w:ascii="Times New Roman" w:hAnsi="Times New Roman" w:cs="Times New Roman"/>
      <w:sz w:val="24"/>
    </w:rPr>
  </w:style>
  <w:style w:type="character" w:customStyle="1" w:styleId="highlight">
    <w:name w:val="highlight"/>
    <w:basedOn w:val="DefaultParagraphFont"/>
    <w:rsid w:val="006C0EFD"/>
  </w:style>
  <w:style w:type="paragraph" w:customStyle="1" w:styleId="doc-ti">
    <w:name w:val="doc-ti"/>
    <w:basedOn w:val="Normal"/>
    <w:rsid w:val="00351C23"/>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2A6D33"/>
    <w:pPr>
      <w:tabs>
        <w:tab w:val="center" w:pos="4535"/>
        <w:tab w:val="right" w:pos="9071"/>
      </w:tabs>
      <w:spacing w:before="0"/>
    </w:pPr>
  </w:style>
  <w:style w:type="character" w:customStyle="1" w:styleId="HeaderChar">
    <w:name w:val="Header Char"/>
    <w:basedOn w:val="DefaultParagraphFont"/>
    <w:link w:val="Header"/>
    <w:uiPriority w:val="99"/>
    <w:rsid w:val="002A6D33"/>
    <w:rPr>
      <w:rFonts w:ascii="Times New Roman" w:hAnsi="Times New Roman" w:cs="Times New Roman"/>
      <w:sz w:val="24"/>
      <w:lang w:val="pl-PL"/>
    </w:rPr>
  </w:style>
  <w:style w:type="paragraph" w:styleId="Footer">
    <w:name w:val="footer"/>
    <w:basedOn w:val="Normal"/>
    <w:link w:val="FooterChar"/>
    <w:uiPriority w:val="99"/>
    <w:unhideWhenUsed/>
    <w:rsid w:val="002A6D3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A6D33"/>
    <w:rPr>
      <w:rFonts w:ascii="Times New Roman" w:hAnsi="Times New Roman" w:cs="Times New Roman"/>
      <w:sz w:val="24"/>
      <w:lang w:val="pl-PL"/>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2A6D33"/>
    <w:pPr>
      <w:tabs>
        <w:tab w:val="center" w:pos="7285"/>
        <w:tab w:val="right" w:pos="14003"/>
      </w:tabs>
      <w:spacing w:before="0"/>
    </w:pPr>
  </w:style>
  <w:style w:type="paragraph" w:customStyle="1" w:styleId="FooterLandscape">
    <w:name w:val="FooterLandscape"/>
    <w:basedOn w:val="Normal"/>
    <w:rsid w:val="002A6D3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2A6D3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A6D33"/>
    <w:pPr>
      <w:spacing w:before="0"/>
      <w:jc w:val="right"/>
    </w:pPr>
    <w:rPr>
      <w:sz w:val="28"/>
    </w:rPr>
  </w:style>
  <w:style w:type="paragraph" w:customStyle="1" w:styleId="FooterSensitivity">
    <w:name w:val="Footer Sensitivity"/>
    <w:basedOn w:val="Normal"/>
    <w:rsid w:val="002A6D3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30"/>
      </w:numPr>
    </w:pPr>
  </w:style>
  <w:style w:type="paragraph" w:customStyle="1" w:styleId="Tiret1">
    <w:name w:val="Tiret 1"/>
    <w:basedOn w:val="Point1"/>
    <w:rsid w:val="009B7138"/>
    <w:pPr>
      <w:numPr>
        <w:numId w:val="31"/>
      </w:numPr>
    </w:pPr>
  </w:style>
  <w:style w:type="paragraph" w:customStyle="1" w:styleId="Tiret2">
    <w:name w:val="Tiret 2"/>
    <w:basedOn w:val="Point2"/>
    <w:rsid w:val="009B7138"/>
    <w:pPr>
      <w:numPr>
        <w:numId w:val="32"/>
      </w:numPr>
    </w:pPr>
  </w:style>
  <w:style w:type="paragraph" w:customStyle="1" w:styleId="Tiret3">
    <w:name w:val="Tiret 3"/>
    <w:basedOn w:val="Point3"/>
    <w:rsid w:val="009B7138"/>
    <w:pPr>
      <w:numPr>
        <w:numId w:val="33"/>
      </w:numPr>
    </w:pPr>
  </w:style>
  <w:style w:type="paragraph" w:customStyle="1" w:styleId="Tiret4">
    <w:name w:val="Tiret 4"/>
    <w:basedOn w:val="Point4"/>
    <w:rsid w:val="009B7138"/>
    <w:pPr>
      <w:numPr>
        <w:numId w:val="3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50"/>
      </w:numPr>
    </w:pPr>
  </w:style>
  <w:style w:type="paragraph" w:customStyle="1" w:styleId="NumPar2">
    <w:name w:val="NumPar 2"/>
    <w:basedOn w:val="Normal"/>
    <w:next w:val="Text1"/>
    <w:rsid w:val="009B7138"/>
    <w:pPr>
      <w:numPr>
        <w:ilvl w:val="1"/>
        <w:numId w:val="50"/>
      </w:numPr>
    </w:pPr>
  </w:style>
  <w:style w:type="paragraph" w:customStyle="1" w:styleId="NumPar3">
    <w:name w:val="NumPar 3"/>
    <w:basedOn w:val="Normal"/>
    <w:next w:val="Text1"/>
    <w:rsid w:val="009B7138"/>
    <w:pPr>
      <w:numPr>
        <w:ilvl w:val="2"/>
        <w:numId w:val="50"/>
      </w:numPr>
    </w:pPr>
  </w:style>
  <w:style w:type="paragraph" w:customStyle="1" w:styleId="NumPar4">
    <w:name w:val="NumPar 4"/>
    <w:basedOn w:val="Normal"/>
    <w:next w:val="Text1"/>
    <w:rsid w:val="009B7138"/>
    <w:pPr>
      <w:numPr>
        <w:ilvl w:val="3"/>
        <w:numId w:val="50"/>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5A7831"/>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7"/>
      </w:numPr>
    </w:pPr>
  </w:style>
  <w:style w:type="paragraph" w:customStyle="1" w:styleId="Point1number">
    <w:name w:val="Point 1 (number)"/>
    <w:basedOn w:val="Normal"/>
    <w:rsid w:val="009B7138"/>
    <w:pPr>
      <w:numPr>
        <w:ilvl w:val="2"/>
        <w:numId w:val="37"/>
      </w:numPr>
    </w:pPr>
  </w:style>
  <w:style w:type="paragraph" w:customStyle="1" w:styleId="Point2number">
    <w:name w:val="Point 2 (number)"/>
    <w:basedOn w:val="Normal"/>
    <w:rsid w:val="009B7138"/>
    <w:pPr>
      <w:numPr>
        <w:ilvl w:val="4"/>
        <w:numId w:val="37"/>
      </w:numPr>
    </w:pPr>
  </w:style>
  <w:style w:type="paragraph" w:customStyle="1" w:styleId="Point3number">
    <w:name w:val="Point 3 (number)"/>
    <w:basedOn w:val="Normal"/>
    <w:rsid w:val="009B7138"/>
    <w:pPr>
      <w:numPr>
        <w:ilvl w:val="6"/>
        <w:numId w:val="37"/>
      </w:numPr>
    </w:pPr>
  </w:style>
  <w:style w:type="paragraph" w:customStyle="1" w:styleId="Point0letter">
    <w:name w:val="Point 0 (letter)"/>
    <w:basedOn w:val="Normal"/>
    <w:rsid w:val="009B7138"/>
    <w:pPr>
      <w:numPr>
        <w:ilvl w:val="1"/>
        <w:numId w:val="37"/>
      </w:numPr>
    </w:pPr>
  </w:style>
  <w:style w:type="paragraph" w:customStyle="1" w:styleId="Point1letter">
    <w:name w:val="Point 1 (letter)"/>
    <w:basedOn w:val="Normal"/>
    <w:rsid w:val="009B7138"/>
    <w:pPr>
      <w:numPr>
        <w:ilvl w:val="3"/>
        <w:numId w:val="37"/>
      </w:numPr>
    </w:pPr>
  </w:style>
  <w:style w:type="paragraph" w:customStyle="1" w:styleId="Point2letter">
    <w:name w:val="Point 2 (letter)"/>
    <w:basedOn w:val="Normal"/>
    <w:rsid w:val="009B7138"/>
    <w:pPr>
      <w:numPr>
        <w:ilvl w:val="5"/>
        <w:numId w:val="37"/>
      </w:numPr>
    </w:pPr>
  </w:style>
  <w:style w:type="paragraph" w:customStyle="1" w:styleId="Point3letter">
    <w:name w:val="Point 3 (letter)"/>
    <w:basedOn w:val="Normal"/>
    <w:rsid w:val="009B7138"/>
    <w:pPr>
      <w:numPr>
        <w:ilvl w:val="7"/>
        <w:numId w:val="37"/>
      </w:numPr>
    </w:pPr>
  </w:style>
  <w:style w:type="paragraph" w:customStyle="1" w:styleId="Point4letter">
    <w:name w:val="Point 4 (letter)"/>
    <w:basedOn w:val="Normal"/>
    <w:rsid w:val="009B7138"/>
    <w:pPr>
      <w:numPr>
        <w:ilvl w:val="8"/>
        <w:numId w:val="37"/>
      </w:numPr>
    </w:pPr>
  </w:style>
  <w:style w:type="paragraph" w:customStyle="1" w:styleId="Bullet0">
    <w:name w:val="Bullet 0"/>
    <w:basedOn w:val="Normal"/>
    <w:rsid w:val="009B7138"/>
    <w:pPr>
      <w:numPr>
        <w:numId w:val="38"/>
      </w:numPr>
    </w:pPr>
  </w:style>
  <w:style w:type="paragraph" w:customStyle="1" w:styleId="Bullet1">
    <w:name w:val="Bullet 1"/>
    <w:basedOn w:val="Normal"/>
    <w:rsid w:val="009B7138"/>
    <w:pPr>
      <w:numPr>
        <w:numId w:val="39"/>
      </w:numPr>
    </w:pPr>
  </w:style>
  <w:style w:type="paragraph" w:customStyle="1" w:styleId="Bullet2">
    <w:name w:val="Bullet 2"/>
    <w:basedOn w:val="Normal"/>
    <w:rsid w:val="009B7138"/>
    <w:pPr>
      <w:numPr>
        <w:numId w:val="40"/>
      </w:numPr>
    </w:pPr>
  </w:style>
  <w:style w:type="paragraph" w:customStyle="1" w:styleId="Bullet3">
    <w:name w:val="Bullet 3"/>
    <w:basedOn w:val="Normal"/>
    <w:rsid w:val="009B7138"/>
    <w:pPr>
      <w:numPr>
        <w:numId w:val="41"/>
      </w:numPr>
    </w:pPr>
  </w:style>
  <w:style w:type="paragraph" w:customStyle="1" w:styleId="Bullet4">
    <w:name w:val="Bullet 4"/>
    <w:basedOn w:val="Normal"/>
    <w:rsid w:val="009B7138"/>
    <w:pPr>
      <w:numPr>
        <w:numId w:val="4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D3719D"/>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sid w:val="00D3719D"/>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sid w:val="00D3719D"/>
    <w:rPr>
      <w:rFonts w:ascii="Times New Roman" w:eastAsiaTheme="majorEastAsia" w:hAnsi="Times New Roman" w:cs="Times New Roman"/>
      <w:iCs/>
      <w:sz w:val="24"/>
      <w:lang w:val="pl-PL"/>
    </w:rPr>
  </w:style>
  <w:style w:type="paragraph" w:customStyle="1" w:styleId="ManualHeading5">
    <w:name w:val="Manual Heading 5"/>
    <w:basedOn w:val="Normal"/>
    <w:next w:val="Text2"/>
    <w:rsid w:val="00D3719D"/>
    <w:pPr>
      <w:keepNext/>
      <w:tabs>
        <w:tab w:val="left" w:pos="1417"/>
      </w:tabs>
      <w:ind w:left="1417" w:hanging="1417"/>
      <w:outlineLvl w:val="4"/>
    </w:pPr>
  </w:style>
  <w:style w:type="paragraph" w:customStyle="1" w:styleId="ManualHeading6">
    <w:name w:val="Manual Heading 6"/>
    <w:basedOn w:val="Normal"/>
    <w:next w:val="Text2"/>
    <w:rsid w:val="00D3719D"/>
    <w:pPr>
      <w:keepNext/>
      <w:tabs>
        <w:tab w:val="left" w:pos="1417"/>
      </w:tabs>
      <w:ind w:left="1417" w:hanging="1417"/>
      <w:outlineLvl w:val="5"/>
    </w:pPr>
  </w:style>
  <w:style w:type="paragraph" w:customStyle="1" w:styleId="ManualHeading7">
    <w:name w:val="Manual Heading 7"/>
    <w:basedOn w:val="Normal"/>
    <w:next w:val="Text2"/>
    <w:rsid w:val="00D3719D"/>
    <w:pPr>
      <w:keepNext/>
      <w:tabs>
        <w:tab w:val="left" w:pos="1417"/>
      </w:tabs>
      <w:ind w:left="1417" w:hanging="1417"/>
      <w:outlineLvl w:val="6"/>
    </w:pPr>
  </w:style>
  <w:style w:type="paragraph" w:customStyle="1" w:styleId="Text5">
    <w:name w:val="Text 5"/>
    <w:basedOn w:val="Normal"/>
    <w:rsid w:val="00D3719D"/>
    <w:pPr>
      <w:ind w:left="3118"/>
    </w:pPr>
  </w:style>
  <w:style w:type="paragraph" w:customStyle="1" w:styleId="Text6">
    <w:name w:val="Text 6"/>
    <w:basedOn w:val="Normal"/>
    <w:rsid w:val="00D3719D"/>
    <w:pPr>
      <w:ind w:left="3685"/>
    </w:pPr>
  </w:style>
  <w:style w:type="paragraph" w:customStyle="1" w:styleId="Point5">
    <w:name w:val="Point 5"/>
    <w:basedOn w:val="Normal"/>
    <w:rsid w:val="00D3719D"/>
    <w:pPr>
      <w:ind w:left="3685" w:hanging="567"/>
    </w:pPr>
  </w:style>
  <w:style w:type="paragraph" w:customStyle="1" w:styleId="Tiret5">
    <w:name w:val="Tiret 5"/>
    <w:basedOn w:val="Point5"/>
    <w:rsid w:val="00D3719D"/>
    <w:pPr>
      <w:numPr>
        <w:numId w:val="47"/>
      </w:numPr>
    </w:pPr>
  </w:style>
  <w:style w:type="paragraph" w:customStyle="1" w:styleId="NumPar5">
    <w:name w:val="NumPar 5"/>
    <w:basedOn w:val="Normal"/>
    <w:next w:val="Text2"/>
    <w:rsid w:val="00D3719D"/>
    <w:pPr>
      <w:numPr>
        <w:ilvl w:val="4"/>
        <w:numId w:val="50"/>
      </w:numPr>
    </w:pPr>
  </w:style>
  <w:style w:type="paragraph" w:customStyle="1" w:styleId="NumPar6">
    <w:name w:val="NumPar 6"/>
    <w:basedOn w:val="Normal"/>
    <w:next w:val="Text2"/>
    <w:rsid w:val="00D3719D"/>
    <w:pPr>
      <w:numPr>
        <w:ilvl w:val="5"/>
        <w:numId w:val="50"/>
      </w:numPr>
    </w:pPr>
  </w:style>
  <w:style w:type="paragraph" w:customStyle="1" w:styleId="NumPar7">
    <w:name w:val="NumPar 7"/>
    <w:basedOn w:val="Normal"/>
    <w:next w:val="Text2"/>
    <w:rsid w:val="00D3719D"/>
    <w:pPr>
      <w:numPr>
        <w:ilvl w:val="6"/>
        <w:numId w:val="50"/>
      </w:numPr>
    </w:pPr>
  </w:style>
  <w:style w:type="paragraph" w:customStyle="1" w:styleId="ManualNumPar5">
    <w:name w:val="Manual NumPar 5"/>
    <w:basedOn w:val="Normal"/>
    <w:next w:val="Text2"/>
    <w:rsid w:val="00D3719D"/>
    <w:pPr>
      <w:ind w:left="1417" w:hanging="1417"/>
    </w:pPr>
  </w:style>
  <w:style w:type="paragraph" w:customStyle="1" w:styleId="ManualNumPar6">
    <w:name w:val="Manual NumPar 6"/>
    <w:basedOn w:val="Normal"/>
    <w:next w:val="Text2"/>
    <w:rsid w:val="00D3719D"/>
    <w:pPr>
      <w:ind w:left="1417" w:hanging="1417"/>
    </w:pPr>
  </w:style>
  <w:style w:type="paragraph" w:customStyle="1" w:styleId="ManualNumPar7">
    <w:name w:val="Manual NumPar 7"/>
    <w:basedOn w:val="Normal"/>
    <w:next w:val="Text2"/>
    <w:rsid w:val="00D3719D"/>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4784">
      <w:bodyDiv w:val="1"/>
      <w:marLeft w:val="0"/>
      <w:marRight w:val="0"/>
      <w:marTop w:val="0"/>
      <w:marBottom w:val="0"/>
      <w:divBdr>
        <w:top w:val="none" w:sz="0" w:space="0" w:color="auto"/>
        <w:left w:val="none" w:sz="0" w:space="0" w:color="auto"/>
        <w:bottom w:val="none" w:sz="0" w:space="0" w:color="auto"/>
        <w:right w:val="none" w:sz="0" w:space="0" w:color="auto"/>
      </w:divBdr>
    </w:div>
    <w:div w:id="1638099646">
      <w:bodyDiv w:val="1"/>
      <w:marLeft w:val="0"/>
      <w:marRight w:val="0"/>
      <w:marTop w:val="0"/>
      <w:marBottom w:val="0"/>
      <w:divBdr>
        <w:top w:val="none" w:sz="0" w:space="0" w:color="auto"/>
        <w:left w:val="none" w:sz="0" w:space="0" w:color="auto"/>
        <w:bottom w:val="none" w:sz="0" w:space="0" w:color="auto"/>
        <w:right w:val="none" w:sz="0" w:space="0" w:color="auto"/>
      </w:divBdr>
    </w:div>
    <w:div w:id="1781682416">
      <w:bodyDiv w:val="1"/>
      <w:marLeft w:val="0"/>
      <w:marRight w:val="0"/>
      <w:marTop w:val="0"/>
      <w:marBottom w:val="0"/>
      <w:divBdr>
        <w:top w:val="none" w:sz="0" w:space="0" w:color="auto"/>
        <w:left w:val="none" w:sz="0" w:space="0" w:color="auto"/>
        <w:bottom w:val="none" w:sz="0" w:space="0" w:color="auto"/>
        <w:right w:val="none" w:sz="0" w:space="0" w:color="auto"/>
      </w:divBdr>
    </w:div>
    <w:div w:id="1978872434">
      <w:bodyDiv w:val="1"/>
      <w:marLeft w:val="0"/>
      <w:marRight w:val="0"/>
      <w:marTop w:val="0"/>
      <w:marBottom w:val="0"/>
      <w:divBdr>
        <w:top w:val="none" w:sz="0" w:space="0" w:color="auto"/>
        <w:left w:val="none" w:sz="0" w:space="0" w:color="auto"/>
        <w:bottom w:val="none" w:sz="0" w:space="0" w:color="auto"/>
        <w:right w:val="none" w:sz="0" w:space="0" w:color="auto"/>
      </w:divBdr>
    </w:div>
    <w:div w:id="21348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default/files/better-regulation-guidelines-preparing-proposals-implementation-transposi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2EDD-0DD8-44DD-B2BB-AC01309D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5323</Words>
  <Characters>35882</Characters>
  <Application>Microsoft Office Word</Application>
  <DocSecurity>0</DocSecurity>
  <Lines>652</Lines>
  <Paragraphs>243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cp:lastPrinted>2021-09-20T07:28:00Z</cp:lastPrinted>
  <dcterms:created xsi:type="dcterms:W3CDTF">2022-02-14T14:11:00Z</dcterms:created>
  <dcterms:modified xsi:type="dcterms:W3CDTF">2022-02-15T07:49:00Z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