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B0B08" w14:textId="42DCE11F" w:rsidR="00FD0FB2" w:rsidRPr="004D5AD1" w:rsidRDefault="0052021E" w:rsidP="0052021E">
      <w:pPr>
        <w:pStyle w:val="Pagedecouverture"/>
        <w:rPr>
          <w:noProof/>
        </w:rPr>
      </w:pPr>
      <w:r>
        <w:rPr>
          <w:noProof/>
        </w:rPr>
        <w:pict w14:anchorId="20A7A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4F1A5188-ABFE-4015-8133-6D725396EE20" style="width:455.25pt;height:414pt">
            <v:imagedata r:id="rId8" o:title=""/>
          </v:shape>
        </w:pict>
      </w:r>
    </w:p>
    <w:p w14:paraId="31E316FC" w14:textId="77777777" w:rsidR="00FD0FB2" w:rsidRPr="004D5AD1" w:rsidRDefault="00FD0FB2" w:rsidP="00FD0FB2">
      <w:pPr>
        <w:rPr>
          <w:noProof/>
        </w:rPr>
        <w:sectPr w:rsidR="00FD0FB2" w:rsidRPr="004D5AD1" w:rsidSect="0052021E">
          <w:footerReference w:type="default" r:id="rId9"/>
          <w:pgSz w:w="11907" w:h="16839"/>
          <w:pgMar w:top="1134" w:right="1417" w:bottom="1134" w:left="1417" w:header="709" w:footer="709" w:gutter="0"/>
          <w:pgNumType w:start="0"/>
          <w:cols w:space="720"/>
          <w:docGrid w:linePitch="360"/>
        </w:sectPr>
      </w:pPr>
    </w:p>
    <w:p w14:paraId="6FF59CA8" w14:textId="77777777" w:rsidR="00FD0FB2" w:rsidRPr="004D5AD1" w:rsidRDefault="00FD0FB2" w:rsidP="00E212DB">
      <w:pPr>
        <w:pStyle w:val="Exposdesmotifstitre"/>
        <w:rPr>
          <w:noProof/>
        </w:rPr>
      </w:pPr>
      <w:bookmarkStart w:id="0" w:name="_GoBack"/>
      <w:bookmarkEnd w:id="0"/>
      <w:r w:rsidRPr="004D5AD1">
        <w:rPr>
          <w:noProof/>
        </w:rPr>
        <w:lastRenderedPageBreak/>
        <w:t>UZASADNIENIE</w:t>
      </w:r>
    </w:p>
    <w:p w14:paraId="65174FE6" w14:textId="77777777" w:rsidR="00BC3357" w:rsidRPr="004D5AD1" w:rsidRDefault="00BC3357" w:rsidP="00BC3357">
      <w:pPr>
        <w:pStyle w:val="ManualHeading1"/>
        <w:rPr>
          <w:noProof/>
        </w:rPr>
      </w:pPr>
      <w:r w:rsidRPr="004D5AD1">
        <w:rPr>
          <w:noProof/>
        </w:rPr>
        <w:t>1.</w:t>
      </w:r>
      <w:r w:rsidRPr="004D5AD1">
        <w:rPr>
          <w:noProof/>
        </w:rPr>
        <w:tab/>
        <w:t>KONTEKST WNIOSKU</w:t>
      </w:r>
    </w:p>
    <w:p w14:paraId="4A611EEB" w14:textId="3BEA29CA" w:rsidR="00BC3357" w:rsidRPr="004D5AD1" w:rsidRDefault="00BC3357" w:rsidP="00BC3357">
      <w:pPr>
        <w:pStyle w:val="ManualHeading2"/>
        <w:rPr>
          <w:rFonts w:eastAsia="Arial Unicode MS"/>
          <w:noProof/>
        </w:rPr>
      </w:pPr>
      <w:r w:rsidRPr="004D5AD1">
        <w:rPr>
          <w:noProof/>
          <w:u w:color="000000"/>
          <w:bdr w:val="nil"/>
        </w:rPr>
        <w:t>•</w:t>
      </w:r>
      <w:r w:rsidRPr="004D5AD1">
        <w:rPr>
          <w:noProof/>
          <w:u w:color="000000"/>
          <w:bdr w:val="nil"/>
        </w:rPr>
        <w:tab/>
      </w:r>
      <w:r w:rsidRPr="004D5AD1">
        <w:rPr>
          <w:noProof/>
        </w:rPr>
        <w:t>Przyczyny</w:t>
      </w:r>
      <w:r w:rsidR="004D5AD1" w:rsidRPr="004D5AD1">
        <w:rPr>
          <w:noProof/>
        </w:rPr>
        <w:t xml:space="preserve"> i</w:t>
      </w:r>
      <w:r w:rsidR="004D5AD1">
        <w:rPr>
          <w:noProof/>
        </w:rPr>
        <w:t> </w:t>
      </w:r>
      <w:r w:rsidR="004D5AD1" w:rsidRPr="004D5AD1">
        <w:rPr>
          <w:noProof/>
        </w:rPr>
        <w:t>cel</w:t>
      </w:r>
      <w:r w:rsidRPr="004D5AD1">
        <w:rPr>
          <w:noProof/>
        </w:rPr>
        <w:t>e wniosku</w:t>
      </w:r>
    </w:p>
    <w:p w14:paraId="0AEBFA96" w14:textId="3D05817F"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Europejski Zielony Ład wprowadza Unię na ścieżkę wiodącą</w:t>
      </w:r>
      <w:r w:rsidR="004D5AD1" w:rsidRPr="004D5AD1">
        <w:rPr>
          <w:noProof/>
        </w:rPr>
        <w:t xml:space="preserve"> w</w:t>
      </w:r>
      <w:r w:rsidR="004D5AD1">
        <w:rPr>
          <w:noProof/>
        </w:rPr>
        <w:t> </w:t>
      </w:r>
      <w:r w:rsidR="004D5AD1" w:rsidRPr="004D5AD1">
        <w:rPr>
          <w:noProof/>
        </w:rPr>
        <w:t>kie</w:t>
      </w:r>
      <w:r w:rsidRPr="004D5AD1">
        <w:rPr>
          <w:noProof/>
        </w:rPr>
        <w:t>runku osiągnięcia neutralności klimatycznej do</w:t>
      </w:r>
      <w:r w:rsidR="004D5AD1" w:rsidRPr="004D5AD1">
        <w:rPr>
          <w:noProof/>
        </w:rPr>
        <w:t> </w:t>
      </w:r>
      <w:r w:rsidRPr="004D5AD1">
        <w:rPr>
          <w:noProof/>
        </w:rPr>
        <w:t>2050</w:t>
      </w:r>
      <w:r w:rsidR="004D5AD1" w:rsidRPr="004D5AD1">
        <w:rPr>
          <w:noProof/>
        </w:rPr>
        <w:t> </w:t>
      </w:r>
      <w:r w:rsidRPr="004D5AD1">
        <w:rPr>
          <w:noProof/>
        </w:rPr>
        <w:t>r. poprzez zdecydowane obniżenie emisyjności wszystkich sektorów gospodarki. Jego celem jest również ochrona, zachowanie</w:t>
      </w:r>
      <w:r w:rsidR="004D5AD1" w:rsidRPr="004D5AD1">
        <w:rPr>
          <w:noProof/>
        </w:rPr>
        <w:t xml:space="preserve"> i</w:t>
      </w:r>
      <w:r w:rsidR="004D5AD1">
        <w:rPr>
          <w:noProof/>
        </w:rPr>
        <w:t> </w:t>
      </w:r>
      <w:r w:rsidR="004D5AD1" w:rsidRPr="004D5AD1">
        <w:rPr>
          <w:noProof/>
        </w:rPr>
        <w:t>pop</w:t>
      </w:r>
      <w:r w:rsidRPr="004D5AD1">
        <w:rPr>
          <w:noProof/>
        </w:rPr>
        <w:t>rawa kapitału naturalnego UE oraz ochrona zdrowia</w:t>
      </w:r>
      <w:r w:rsidR="004D5AD1" w:rsidRPr="004D5AD1">
        <w:rPr>
          <w:noProof/>
        </w:rPr>
        <w:t xml:space="preserve"> i</w:t>
      </w:r>
      <w:r w:rsidR="004D5AD1">
        <w:rPr>
          <w:noProof/>
        </w:rPr>
        <w:t> </w:t>
      </w:r>
      <w:r w:rsidR="004D5AD1" w:rsidRPr="004D5AD1">
        <w:rPr>
          <w:noProof/>
        </w:rPr>
        <w:t>dob</w:t>
      </w:r>
      <w:r w:rsidRPr="004D5AD1">
        <w:rPr>
          <w:noProof/>
        </w:rPr>
        <w:t>rostanu obywateli przed zagrożeniami</w:t>
      </w:r>
      <w:r w:rsidR="004D5AD1" w:rsidRPr="004D5AD1">
        <w:rPr>
          <w:noProof/>
        </w:rPr>
        <w:t xml:space="preserve"> i</w:t>
      </w:r>
      <w:r w:rsidR="004D5AD1">
        <w:rPr>
          <w:noProof/>
        </w:rPr>
        <w:t> </w:t>
      </w:r>
      <w:r w:rsidR="004D5AD1" w:rsidRPr="004D5AD1">
        <w:rPr>
          <w:noProof/>
        </w:rPr>
        <w:t>neg</w:t>
      </w:r>
      <w:r w:rsidRPr="004D5AD1">
        <w:rPr>
          <w:noProof/>
        </w:rPr>
        <w:t>atywnymi skutkami związanymi ze środowiskiem. Metan jest silnym gazem cieplarnianym, drugim po dwutlenku węgla pod względem ogólnego wkładu</w:t>
      </w:r>
      <w:r w:rsidR="004D5AD1" w:rsidRPr="004D5AD1">
        <w:rPr>
          <w:noProof/>
        </w:rPr>
        <w:t xml:space="preserve"> w</w:t>
      </w:r>
      <w:r w:rsidR="004D5AD1">
        <w:rPr>
          <w:noProof/>
        </w:rPr>
        <w:t> </w:t>
      </w:r>
      <w:r w:rsidR="004D5AD1" w:rsidRPr="004D5AD1">
        <w:rPr>
          <w:noProof/>
        </w:rPr>
        <w:t>zmi</w:t>
      </w:r>
      <w:r w:rsidRPr="004D5AD1">
        <w:rPr>
          <w:noProof/>
        </w:rPr>
        <w:t>anę klimatu</w:t>
      </w:r>
      <w:r w:rsidR="004D5AD1" w:rsidRPr="004D5AD1">
        <w:rPr>
          <w:noProof/>
        </w:rPr>
        <w:t xml:space="preserve"> i</w:t>
      </w:r>
      <w:r w:rsidR="004D5AD1">
        <w:rPr>
          <w:noProof/>
        </w:rPr>
        <w:t> </w:t>
      </w:r>
      <w:r w:rsidR="004D5AD1" w:rsidRPr="004D5AD1">
        <w:rPr>
          <w:noProof/>
        </w:rPr>
        <w:t>odp</w:t>
      </w:r>
      <w:r w:rsidRPr="004D5AD1">
        <w:rPr>
          <w:noProof/>
        </w:rPr>
        <w:t>owiedzialnym za około jedną trzecią obecnego ocieplenia klimatu. Metan, chociaż utrzymuje się</w:t>
      </w:r>
      <w:r w:rsidR="004D5AD1" w:rsidRPr="004D5AD1">
        <w:rPr>
          <w:noProof/>
        </w:rPr>
        <w:t xml:space="preserve"> w</w:t>
      </w:r>
      <w:r w:rsidR="004D5AD1">
        <w:rPr>
          <w:noProof/>
        </w:rPr>
        <w:t> </w:t>
      </w:r>
      <w:r w:rsidR="004D5AD1" w:rsidRPr="004D5AD1">
        <w:rPr>
          <w:noProof/>
        </w:rPr>
        <w:t>atm</w:t>
      </w:r>
      <w:r w:rsidRPr="004D5AD1">
        <w:rPr>
          <w:noProof/>
        </w:rPr>
        <w:t>osferze przez okres krótszy niż dwutlenek węgla (mija 10–12 lat zanim utleni się do dwutlenku węgla, który nadal zatrzymuje ciepło), na poziomie molekularnym gaz ten jest znacznie silniejszym czynnikiem wpływającym na zmianę klimatu (o współczynniku globalnego ocieplenia</w:t>
      </w:r>
      <w:r w:rsidR="004D5AD1" w:rsidRPr="004D5AD1">
        <w:rPr>
          <w:noProof/>
        </w:rPr>
        <w:t xml:space="preserve"> w</w:t>
      </w:r>
      <w:r w:rsidR="004D5AD1">
        <w:rPr>
          <w:noProof/>
        </w:rPr>
        <w:t> </w:t>
      </w:r>
      <w:r w:rsidR="004D5AD1" w:rsidRPr="004D5AD1">
        <w:rPr>
          <w:noProof/>
        </w:rPr>
        <w:t>okr</w:t>
      </w:r>
      <w:r w:rsidRPr="004D5AD1">
        <w:rPr>
          <w:noProof/>
        </w:rPr>
        <w:t>esie 100 lat</w:t>
      </w:r>
      <w:r w:rsidR="004D5AD1" w:rsidRPr="004D5AD1">
        <w:rPr>
          <w:noProof/>
        </w:rPr>
        <w:t> </w:t>
      </w:r>
      <w:r w:rsidRPr="004D5AD1">
        <w:rPr>
          <w:noProof/>
        </w:rPr>
        <w:t>28 razy wyższym niż dwutlenek węgla,</w:t>
      </w:r>
      <w:r w:rsidR="004D5AD1" w:rsidRPr="004D5AD1">
        <w:rPr>
          <w:noProof/>
        </w:rPr>
        <w:t xml:space="preserve"> a</w:t>
      </w:r>
      <w:r w:rsidR="004D5AD1">
        <w:rPr>
          <w:noProof/>
        </w:rPr>
        <w:t> </w:t>
      </w:r>
      <w:r w:rsidR="004D5AD1" w:rsidRPr="004D5AD1">
        <w:rPr>
          <w:noProof/>
        </w:rPr>
        <w:t>w</w:t>
      </w:r>
      <w:r w:rsidR="004D5AD1">
        <w:rPr>
          <w:noProof/>
        </w:rPr>
        <w:t> </w:t>
      </w:r>
      <w:r w:rsidR="004D5AD1" w:rsidRPr="004D5AD1">
        <w:rPr>
          <w:noProof/>
        </w:rPr>
        <w:t>okr</w:t>
      </w:r>
      <w:r w:rsidRPr="004D5AD1">
        <w:rPr>
          <w:noProof/>
        </w:rPr>
        <w:t xml:space="preserve">esie 20 lat – 86 razy wyższym). Metan przyczynia się ponadto do powstawania ozonu, który stanowi silne zanieczyszczenie powietrza powodujące poważne problemy zdrowotne. </w:t>
      </w:r>
    </w:p>
    <w:p w14:paraId="19F8FE79" w14:textId="465C797D"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Około 60</w:t>
      </w:r>
      <w:r w:rsidR="004D5AD1" w:rsidRPr="004D5AD1">
        <w:rPr>
          <w:noProof/>
        </w:rPr>
        <w:t> </w:t>
      </w:r>
      <w:r w:rsidRPr="004D5AD1">
        <w:rPr>
          <w:noProof/>
        </w:rPr>
        <w:t>% globalnych emisji metanu stanowią emisje antropogeniczne, których największe źródła,</w:t>
      </w:r>
      <w:r w:rsidR="004D5AD1" w:rsidRPr="004D5AD1">
        <w:rPr>
          <w:noProof/>
        </w:rPr>
        <w:t xml:space="preserve"> w</w:t>
      </w:r>
      <w:r w:rsidR="004D5AD1">
        <w:rPr>
          <w:noProof/>
        </w:rPr>
        <w:t> </w:t>
      </w:r>
      <w:r w:rsidR="004D5AD1" w:rsidRPr="004D5AD1">
        <w:rPr>
          <w:noProof/>
        </w:rPr>
        <w:t>opa</w:t>
      </w:r>
      <w:r w:rsidRPr="004D5AD1">
        <w:rPr>
          <w:noProof/>
        </w:rPr>
        <w:t>rciu</w:t>
      </w:r>
      <w:r w:rsidR="004D5AD1" w:rsidRPr="004D5AD1">
        <w:rPr>
          <w:noProof/>
        </w:rPr>
        <w:t xml:space="preserve"> o</w:t>
      </w:r>
      <w:r w:rsidR="004D5AD1">
        <w:rPr>
          <w:noProof/>
        </w:rPr>
        <w:t> </w:t>
      </w:r>
      <w:r w:rsidR="004D5AD1" w:rsidRPr="004D5AD1">
        <w:rPr>
          <w:noProof/>
        </w:rPr>
        <w:t>sza</w:t>
      </w:r>
      <w:r w:rsidRPr="004D5AD1">
        <w:rPr>
          <w:noProof/>
        </w:rPr>
        <w:t>cunki, to produkcja</w:t>
      </w:r>
      <w:r w:rsidR="004D5AD1" w:rsidRPr="004D5AD1">
        <w:rPr>
          <w:noProof/>
        </w:rPr>
        <w:t xml:space="preserve"> i</w:t>
      </w:r>
      <w:r w:rsidR="004D5AD1">
        <w:rPr>
          <w:noProof/>
        </w:rPr>
        <w:t> </w:t>
      </w:r>
      <w:r w:rsidR="004D5AD1" w:rsidRPr="004D5AD1">
        <w:rPr>
          <w:noProof/>
        </w:rPr>
        <w:t>wyk</w:t>
      </w:r>
      <w:r w:rsidRPr="004D5AD1">
        <w:rPr>
          <w:noProof/>
        </w:rPr>
        <w:t>orzystanie paliw kopalnych (od jednej czwartej do jednej trzeciej), odpady (około jednej czwartej) oraz rolnictwo (około połowy całkowitych emisji metanu),</w:t>
      </w:r>
      <w:r w:rsidR="004D5AD1" w:rsidRPr="004D5AD1">
        <w:rPr>
          <w:noProof/>
        </w:rPr>
        <w:t xml:space="preserve"> w</w:t>
      </w:r>
      <w:r w:rsidR="004D5AD1">
        <w:rPr>
          <w:noProof/>
        </w:rPr>
        <w:t> </w:t>
      </w:r>
      <w:r w:rsidR="004D5AD1" w:rsidRPr="004D5AD1">
        <w:rPr>
          <w:noProof/>
        </w:rPr>
        <w:t>szc</w:t>
      </w:r>
      <w:r w:rsidRPr="004D5AD1">
        <w:rPr>
          <w:noProof/>
        </w:rPr>
        <w:t>zególności rolnictwo związane</w:t>
      </w:r>
      <w:r w:rsidR="004D5AD1" w:rsidRPr="004D5AD1">
        <w:rPr>
          <w:noProof/>
        </w:rPr>
        <w:t xml:space="preserve"> z</w:t>
      </w:r>
      <w:r w:rsidR="004D5AD1">
        <w:rPr>
          <w:noProof/>
        </w:rPr>
        <w:t> </w:t>
      </w:r>
      <w:r w:rsidR="004D5AD1" w:rsidRPr="004D5AD1">
        <w:rPr>
          <w:noProof/>
        </w:rPr>
        <w:t>pro</w:t>
      </w:r>
      <w:r w:rsidRPr="004D5AD1">
        <w:rPr>
          <w:noProof/>
        </w:rPr>
        <w:t xml:space="preserve">dukcją intensywną. </w:t>
      </w:r>
    </w:p>
    <w:p w14:paraId="0047215B" w14:textId="6E1996A2"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Międzyrządowy Zespół ds. Zmian Klimatu (IPCC) zauważa że, aby świat mógł osiągnąć globalny cel polegający na ograniczeniu wzrostu temperatury</w:t>
      </w:r>
      <w:r w:rsidR="004D5AD1" w:rsidRPr="004D5AD1">
        <w:rPr>
          <w:noProof/>
        </w:rPr>
        <w:t xml:space="preserve"> o</w:t>
      </w:r>
      <w:r w:rsidR="004D5AD1">
        <w:rPr>
          <w:noProof/>
        </w:rPr>
        <w:t> </w:t>
      </w:r>
      <w:r w:rsidR="004D5AD1" w:rsidRPr="004D5AD1">
        <w:rPr>
          <w:noProof/>
        </w:rPr>
        <w:t>1</w:t>
      </w:r>
      <w:r w:rsidRPr="004D5AD1">
        <w:rPr>
          <w:noProof/>
        </w:rPr>
        <w:t>,5</w:t>
      </w:r>
      <w:r w:rsidR="004D5AD1" w:rsidRPr="004D5AD1">
        <w:rPr>
          <w:noProof/>
        </w:rPr>
        <w:t> </w:t>
      </w:r>
      <w:r w:rsidRPr="004D5AD1">
        <w:rPr>
          <w:noProof/>
        </w:rPr>
        <w:t>°C (lub nawet 2</w:t>
      </w:r>
      <w:r w:rsidR="004D5AD1" w:rsidRPr="004D5AD1">
        <w:rPr>
          <w:noProof/>
        </w:rPr>
        <w:t> </w:t>
      </w:r>
      <w:r w:rsidRPr="004D5AD1">
        <w:rPr>
          <w:noProof/>
        </w:rPr>
        <w:t>°C) do roku 2050, do</w:t>
      </w:r>
      <w:r w:rsidR="004D5AD1" w:rsidRPr="004D5AD1">
        <w:rPr>
          <w:noProof/>
        </w:rPr>
        <w:t> </w:t>
      </w:r>
      <w:r w:rsidRPr="004D5AD1">
        <w:rPr>
          <w:noProof/>
        </w:rPr>
        <w:t>2030</w:t>
      </w:r>
      <w:r w:rsidR="004D5AD1" w:rsidRPr="004D5AD1">
        <w:rPr>
          <w:noProof/>
        </w:rPr>
        <w:t> </w:t>
      </w:r>
      <w:r w:rsidRPr="004D5AD1">
        <w:rPr>
          <w:noProof/>
        </w:rPr>
        <w:t xml:space="preserve">r. muszą nastąpić zdecydowane redukcje emisji metanu </w:t>
      </w:r>
      <w:r w:rsidR="001554DC" w:rsidRPr="004D5AD1">
        <w:rPr>
          <w:rStyle w:val="FootnoteReference"/>
          <w:rFonts w:eastAsia="Arial Unicode MS"/>
          <w:noProof/>
        </w:rPr>
        <w:footnoteReference w:id="1"/>
      </w:r>
      <w:r w:rsidR="004D5AD1" w:rsidRPr="004D5AD1">
        <w:rPr>
          <w:noProof/>
        </w:rPr>
        <w:t>. W</w:t>
      </w:r>
      <w:r w:rsidR="004D5AD1">
        <w:rPr>
          <w:noProof/>
        </w:rPr>
        <w:t> </w:t>
      </w:r>
      <w:r w:rsidR="004D5AD1" w:rsidRPr="004D5AD1">
        <w:rPr>
          <w:noProof/>
        </w:rPr>
        <w:t>naj</w:t>
      </w:r>
      <w:r w:rsidRPr="004D5AD1">
        <w:rPr>
          <w:noProof/>
        </w:rPr>
        <w:t>nowszym raporcie IPCC podkreślono rolę metanu jako jednego</w:t>
      </w:r>
      <w:r w:rsidR="004D5AD1" w:rsidRPr="004D5AD1">
        <w:rPr>
          <w:noProof/>
        </w:rPr>
        <w:t xml:space="preserve"> z</w:t>
      </w:r>
      <w:r w:rsidR="004D5AD1">
        <w:rPr>
          <w:noProof/>
        </w:rPr>
        <w:t> </w:t>
      </w:r>
      <w:r w:rsidR="004D5AD1" w:rsidRPr="004D5AD1">
        <w:rPr>
          <w:noProof/>
        </w:rPr>
        <w:t>głó</w:t>
      </w:r>
      <w:r w:rsidRPr="004D5AD1">
        <w:rPr>
          <w:noProof/>
        </w:rPr>
        <w:t>wnych gazów cieplarnianych odpowiedzialnych za zmianę klimatu</w:t>
      </w:r>
      <w:r w:rsidR="004D5AD1" w:rsidRPr="004D5AD1">
        <w:rPr>
          <w:noProof/>
        </w:rPr>
        <w:t>. W</w:t>
      </w:r>
      <w:r w:rsidR="004D5AD1">
        <w:rPr>
          <w:noProof/>
        </w:rPr>
        <w:t> </w:t>
      </w:r>
      <w:r w:rsidR="004D5AD1" w:rsidRPr="004D5AD1">
        <w:rPr>
          <w:noProof/>
        </w:rPr>
        <w:t>rap</w:t>
      </w:r>
      <w:r w:rsidRPr="004D5AD1">
        <w:rPr>
          <w:noProof/>
        </w:rPr>
        <w:t>orcie opisano, że poziomy metanu są rekordowo wysokie</w:t>
      </w:r>
      <w:r w:rsidR="004D5AD1" w:rsidRPr="004D5AD1">
        <w:rPr>
          <w:noProof/>
        </w:rPr>
        <w:t xml:space="preserve"> i</w:t>
      </w:r>
      <w:r w:rsidR="004D5AD1">
        <w:rPr>
          <w:noProof/>
        </w:rPr>
        <w:t> </w:t>
      </w:r>
      <w:r w:rsidR="004D5AD1" w:rsidRPr="004D5AD1">
        <w:rPr>
          <w:noProof/>
        </w:rPr>
        <w:t>zna</w:t>
      </w:r>
      <w:r w:rsidRPr="004D5AD1">
        <w:rPr>
          <w:noProof/>
        </w:rPr>
        <w:t>cznie przekraczają poziomy emisji umożliwiające ograniczenie ocieplenia do</w:t>
      </w:r>
      <w:r w:rsidR="004D5AD1" w:rsidRPr="004D5AD1">
        <w:rPr>
          <w:noProof/>
        </w:rPr>
        <w:t> </w:t>
      </w:r>
      <w:r w:rsidRPr="004D5AD1">
        <w:rPr>
          <w:noProof/>
        </w:rPr>
        <w:t>1,5</w:t>
      </w:r>
      <w:r w:rsidR="004D5AD1" w:rsidRPr="004D5AD1">
        <w:rPr>
          <w:noProof/>
        </w:rPr>
        <w:t> </w:t>
      </w:r>
      <w:r w:rsidRPr="004D5AD1">
        <w:rPr>
          <w:noProof/>
        </w:rPr>
        <w:t>°C. Istnieje zatem potrzeba zdecydowanej, szybkiej</w:t>
      </w:r>
      <w:r w:rsidR="004D5AD1" w:rsidRPr="004D5AD1">
        <w:rPr>
          <w:noProof/>
        </w:rPr>
        <w:t xml:space="preserve"> i</w:t>
      </w:r>
      <w:r w:rsidR="004D5AD1">
        <w:rPr>
          <w:noProof/>
        </w:rPr>
        <w:t> </w:t>
      </w:r>
      <w:r w:rsidR="004D5AD1" w:rsidRPr="004D5AD1">
        <w:rPr>
          <w:noProof/>
        </w:rPr>
        <w:t>trw</w:t>
      </w:r>
      <w:r w:rsidRPr="004D5AD1">
        <w:rPr>
          <w:noProof/>
        </w:rPr>
        <w:t>ałej redukcji emisji metanu, aby spowolnić globalne ocieplenie</w:t>
      </w:r>
      <w:r w:rsidR="004D5AD1" w:rsidRPr="004D5AD1">
        <w:rPr>
          <w:noProof/>
        </w:rPr>
        <w:t xml:space="preserve"> i</w:t>
      </w:r>
      <w:r w:rsidR="004D5AD1">
        <w:rPr>
          <w:noProof/>
        </w:rPr>
        <w:t> </w:t>
      </w:r>
      <w:r w:rsidR="004D5AD1" w:rsidRPr="004D5AD1">
        <w:rPr>
          <w:noProof/>
        </w:rPr>
        <w:t>pop</w:t>
      </w:r>
      <w:r w:rsidRPr="004D5AD1">
        <w:rPr>
          <w:noProof/>
        </w:rPr>
        <w:t>rawić jakość powietrza. Należy zauważyć, że</w:t>
      </w:r>
      <w:r w:rsidR="004D5AD1" w:rsidRPr="004D5AD1">
        <w:rPr>
          <w:noProof/>
        </w:rPr>
        <w:t xml:space="preserve"> w</w:t>
      </w:r>
      <w:r w:rsidR="004D5AD1">
        <w:rPr>
          <w:noProof/>
        </w:rPr>
        <w:t> </w:t>
      </w:r>
      <w:r w:rsidR="004D5AD1" w:rsidRPr="004D5AD1">
        <w:rPr>
          <w:noProof/>
        </w:rPr>
        <w:t>rap</w:t>
      </w:r>
      <w:r w:rsidRPr="004D5AD1">
        <w:rPr>
          <w:noProof/>
        </w:rPr>
        <w:t>orcie stwierdzono, że wzrost ilości metanu</w:t>
      </w:r>
      <w:r w:rsidR="004D5AD1" w:rsidRPr="004D5AD1">
        <w:rPr>
          <w:noProof/>
        </w:rPr>
        <w:t xml:space="preserve"> w</w:t>
      </w:r>
      <w:r w:rsidR="004D5AD1">
        <w:rPr>
          <w:noProof/>
        </w:rPr>
        <w:t> </w:t>
      </w:r>
      <w:r w:rsidR="004D5AD1" w:rsidRPr="004D5AD1">
        <w:rPr>
          <w:noProof/>
        </w:rPr>
        <w:t>atm</w:t>
      </w:r>
      <w:r w:rsidRPr="004D5AD1">
        <w:rPr>
          <w:noProof/>
        </w:rPr>
        <w:t>osferze jest wynikiem działalności człowieka i że obok rolnictwa (głównie zwierzęta gospodarskie)</w:t>
      </w:r>
      <w:r w:rsidR="004D5AD1" w:rsidRPr="004D5AD1">
        <w:rPr>
          <w:noProof/>
        </w:rPr>
        <w:t xml:space="preserve"> i</w:t>
      </w:r>
      <w:r w:rsidR="004D5AD1">
        <w:rPr>
          <w:noProof/>
        </w:rPr>
        <w:t> </w:t>
      </w:r>
      <w:r w:rsidR="004D5AD1" w:rsidRPr="004D5AD1">
        <w:rPr>
          <w:noProof/>
        </w:rPr>
        <w:t>ści</w:t>
      </w:r>
      <w:r w:rsidRPr="004D5AD1">
        <w:rPr>
          <w:noProof/>
        </w:rPr>
        <w:t>eków paliwa kopalne</w:t>
      </w:r>
      <w:r w:rsidR="004D5AD1" w:rsidRPr="004D5AD1">
        <w:rPr>
          <w:noProof/>
        </w:rPr>
        <w:t xml:space="preserve"> w</w:t>
      </w:r>
      <w:r w:rsidR="004D5AD1">
        <w:rPr>
          <w:noProof/>
        </w:rPr>
        <w:t> </w:t>
      </w:r>
      <w:r w:rsidR="004D5AD1" w:rsidRPr="004D5AD1">
        <w:rPr>
          <w:noProof/>
        </w:rPr>
        <w:t>duż</w:t>
      </w:r>
      <w:r w:rsidRPr="004D5AD1">
        <w:rPr>
          <w:noProof/>
        </w:rPr>
        <w:t>ym stopniu przyczyniają się do wzrostu emisji metanu co najmniej od</w:t>
      </w:r>
      <w:r w:rsidR="004D5AD1" w:rsidRPr="004D5AD1">
        <w:rPr>
          <w:noProof/>
        </w:rPr>
        <w:t> </w:t>
      </w:r>
      <w:r w:rsidRPr="004D5AD1">
        <w:rPr>
          <w:noProof/>
        </w:rPr>
        <w:t>2007</w:t>
      </w:r>
      <w:r w:rsidR="004D5AD1" w:rsidRPr="004D5AD1">
        <w:rPr>
          <w:noProof/>
        </w:rPr>
        <w:t> </w:t>
      </w:r>
      <w:r w:rsidRPr="004D5AD1">
        <w:rPr>
          <w:noProof/>
        </w:rPr>
        <w:t>r..</w:t>
      </w:r>
    </w:p>
    <w:p w14:paraId="43D758C8" w14:textId="530C9341"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W ocenie skutków Planu</w:t>
      </w:r>
      <w:r w:rsidR="004D5AD1" w:rsidRPr="004D5AD1">
        <w:rPr>
          <w:noProof/>
        </w:rPr>
        <w:t xml:space="preserve"> w</w:t>
      </w:r>
      <w:r w:rsidR="004D5AD1">
        <w:rPr>
          <w:noProof/>
        </w:rPr>
        <w:t> </w:t>
      </w:r>
      <w:r w:rsidR="004D5AD1" w:rsidRPr="004D5AD1">
        <w:rPr>
          <w:noProof/>
        </w:rPr>
        <w:t>zak</w:t>
      </w:r>
      <w:r w:rsidRPr="004D5AD1">
        <w:rPr>
          <w:noProof/>
        </w:rPr>
        <w:t>resie celów klimatycznych na</w:t>
      </w:r>
      <w:r w:rsidR="004D5AD1" w:rsidRPr="004D5AD1">
        <w:rPr>
          <w:noProof/>
        </w:rPr>
        <w:t> </w:t>
      </w:r>
      <w:r w:rsidRPr="004D5AD1">
        <w:rPr>
          <w:noProof/>
        </w:rPr>
        <w:t>2030</w:t>
      </w:r>
      <w:r w:rsidR="004D5AD1" w:rsidRPr="004D5AD1">
        <w:rPr>
          <w:noProof/>
        </w:rPr>
        <w:t> </w:t>
      </w:r>
      <w:r w:rsidRPr="004D5AD1">
        <w:rPr>
          <w:noProof/>
        </w:rPr>
        <w:t>r. stwierdzono, że w UE najbardziej racjonalne pod względem kosztów ograniczenie emisji metanu można osiągnąć</w:t>
      </w:r>
      <w:r w:rsidR="004D5AD1" w:rsidRPr="004D5AD1">
        <w:rPr>
          <w:noProof/>
        </w:rPr>
        <w:t xml:space="preserve"> w</w:t>
      </w:r>
      <w:r w:rsidR="004D5AD1">
        <w:rPr>
          <w:noProof/>
        </w:rPr>
        <w:t> </w:t>
      </w:r>
      <w:r w:rsidR="004D5AD1" w:rsidRPr="004D5AD1">
        <w:rPr>
          <w:noProof/>
        </w:rPr>
        <w:t>sek</w:t>
      </w:r>
      <w:r w:rsidRPr="004D5AD1">
        <w:rPr>
          <w:noProof/>
        </w:rPr>
        <w:t>torze energetycznym. Emisje te są problemem</w:t>
      </w:r>
      <w:r w:rsidR="004D5AD1" w:rsidRPr="004D5AD1">
        <w:rPr>
          <w:noProof/>
        </w:rPr>
        <w:t xml:space="preserve"> o</w:t>
      </w:r>
      <w:r w:rsidR="004D5AD1">
        <w:rPr>
          <w:noProof/>
        </w:rPr>
        <w:t> </w:t>
      </w:r>
      <w:r w:rsidR="004D5AD1" w:rsidRPr="004D5AD1">
        <w:rPr>
          <w:noProof/>
        </w:rPr>
        <w:t>zas</w:t>
      </w:r>
      <w:r w:rsidRPr="004D5AD1">
        <w:rPr>
          <w:noProof/>
        </w:rPr>
        <w:t>ięgu transgranicznym,</w:t>
      </w:r>
      <w:r w:rsidR="004D5AD1" w:rsidRPr="004D5AD1">
        <w:rPr>
          <w:noProof/>
        </w:rPr>
        <w:t xml:space="preserve"> a</w:t>
      </w:r>
      <w:r w:rsidR="004D5AD1">
        <w:rPr>
          <w:noProof/>
        </w:rPr>
        <w:t> </w:t>
      </w:r>
      <w:r w:rsidR="004D5AD1" w:rsidRPr="004D5AD1">
        <w:rPr>
          <w:noProof/>
        </w:rPr>
        <w:t>nie</w:t>
      </w:r>
      <w:r w:rsidRPr="004D5AD1">
        <w:rPr>
          <w:noProof/>
        </w:rPr>
        <w:t>skoordynowane podejście regulacyjne między poszczególnymi państwami członkowskimi</w:t>
      </w:r>
      <w:r w:rsidR="004D5AD1" w:rsidRPr="004D5AD1">
        <w:rPr>
          <w:noProof/>
        </w:rPr>
        <w:t xml:space="preserve"> i</w:t>
      </w:r>
      <w:r w:rsidR="004D5AD1">
        <w:rPr>
          <w:noProof/>
        </w:rPr>
        <w:t> </w:t>
      </w:r>
      <w:r w:rsidR="004D5AD1" w:rsidRPr="004D5AD1">
        <w:rPr>
          <w:noProof/>
        </w:rPr>
        <w:t>sek</w:t>
      </w:r>
      <w:r w:rsidRPr="004D5AD1">
        <w:rPr>
          <w:noProof/>
        </w:rPr>
        <w:t>torami powoduje luki</w:t>
      </w:r>
      <w:r w:rsidR="004D5AD1" w:rsidRPr="004D5AD1">
        <w:rPr>
          <w:noProof/>
        </w:rPr>
        <w:t xml:space="preserve"> i</w:t>
      </w:r>
      <w:r w:rsidR="004D5AD1">
        <w:rPr>
          <w:noProof/>
        </w:rPr>
        <w:t> </w:t>
      </w:r>
      <w:r w:rsidR="004D5AD1" w:rsidRPr="004D5AD1">
        <w:rPr>
          <w:noProof/>
        </w:rPr>
        <w:t>nie</w:t>
      </w:r>
      <w:r w:rsidRPr="004D5AD1">
        <w:rPr>
          <w:noProof/>
        </w:rPr>
        <w:t>doskonałości, które mogą utrudniać funkcjonowanie jednolitego rynku energii</w:t>
      </w:r>
      <w:r w:rsidR="004D5AD1" w:rsidRPr="004D5AD1">
        <w:rPr>
          <w:noProof/>
        </w:rPr>
        <w:t xml:space="preserve"> w</w:t>
      </w:r>
      <w:r w:rsidR="004D5AD1">
        <w:rPr>
          <w:noProof/>
        </w:rPr>
        <w:t> </w:t>
      </w:r>
      <w:r w:rsidR="004D5AD1" w:rsidRPr="004D5AD1">
        <w:rPr>
          <w:noProof/>
        </w:rPr>
        <w:t>Uni</w:t>
      </w:r>
      <w:r w:rsidRPr="004D5AD1">
        <w:rPr>
          <w:noProof/>
        </w:rPr>
        <w:t>i. Ponieważ większość emisji metanu związanych</w:t>
      </w:r>
      <w:r w:rsidR="004D5AD1" w:rsidRPr="004D5AD1">
        <w:rPr>
          <w:noProof/>
        </w:rPr>
        <w:t xml:space="preserve"> z</w:t>
      </w:r>
      <w:r w:rsidR="004D5AD1">
        <w:rPr>
          <w:noProof/>
        </w:rPr>
        <w:t> </w:t>
      </w:r>
      <w:r w:rsidR="004D5AD1" w:rsidRPr="004D5AD1">
        <w:rPr>
          <w:noProof/>
        </w:rPr>
        <w:t>ene</w:t>
      </w:r>
      <w:r w:rsidRPr="004D5AD1">
        <w:rPr>
          <w:noProof/>
        </w:rPr>
        <w:t>rgią pochodzącą</w:t>
      </w:r>
      <w:r w:rsidR="004D5AD1" w:rsidRPr="004D5AD1">
        <w:rPr>
          <w:noProof/>
        </w:rPr>
        <w:t xml:space="preserve"> z</w:t>
      </w:r>
      <w:r w:rsidR="004D5AD1">
        <w:rPr>
          <w:noProof/>
        </w:rPr>
        <w:t> </w:t>
      </w:r>
      <w:r w:rsidR="004D5AD1" w:rsidRPr="004D5AD1">
        <w:rPr>
          <w:noProof/>
        </w:rPr>
        <w:t>pal</w:t>
      </w:r>
      <w:r w:rsidRPr="004D5AD1">
        <w:rPr>
          <w:noProof/>
        </w:rPr>
        <w:t>iw kopalnych zużywaną</w:t>
      </w:r>
      <w:r w:rsidR="004D5AD1" w:rsidRPr="004D5AD1">
        <w:rPr>
          <w:noProof/>
        </w:rPr>
        <w:t xml:space="preserve"> w</w:t>
      </w:r>
      <w:r w:rsidR="004D5AD1">
        <w:rPr>
          <w:noProof/>
        </w:rPr>
        <w:t> </w:t>
      </w:r>
      <w:r w:rsidR="004D5AD1" w:rsidRPr="004D5AD1">
        <w:rPr>
          <w:noProof/>
        </w:rPr>
        <w:t>Uni</w:t>
      </w:r>
      <w:r w:rsidRPr="004D5AD1">
        <w:rPr>
          <w:noProof/>
        </w:rPr>
        <w:t>i występuje poza jej granicami, tylko wspólne działanie państw członkowskich mogłoby przynieść rezultaty</w:t>
      </w:r>
      <w:r w:rsidR="004D5AD1" w:rsidRPr="004D5AD1">
        <w:rPr>
          <w:noProof/>
        </w:rPr>
        <w:t xml:space="preserve"> w</w:t>
      </w:r>
      <w:r w:rsidR="004D5AD1">
        <w:rPr>
          <w:noProof/>
        </w:rPr>
        <w:t> </w:t>
      </w:r>
      <w:r w:rsidR="004D5AD1" w:rsidRPr="004D5AD1">
        <w:rPr>
          <w:noProof/>
        </w:rPr>
        <w:t>tym</w:t>
      </w:r>
      <w:r w:rsidRPr="004D5AD1">
        <w:rPr>
          <w:noProof/>
        </w:rPr>
        <w:t xml:space="preserve"> obszarze.</w:t>
      </w:r>
    </w:p>
    <w:p w14:paraId="3775B764" w14:textId="1E3A3E73"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We wrześniu 2021</w:t>
      </w:r>
      <w:r w:rsidR="004D5AD1" w:rsidRPr="004D5AD1">
        <w:rPr>
          <w:noProof/>
        </w:rPr>
        <w:t> </w:t>
      </w:r>
      <w:r w:rsidRPr="004D5AD1">
        <w:rPr>
          <w:noProof/>
        </w:rPr>
        <w:t>r. Unia</w:t>
      </w:r>
      <w:r w:rsidR="004D5AD1" w:rsidRPr="004D5AD1">
        <w:rPr>
          <w:noProof/>
        </w:rPr>
        <w:t xml:space="preserve"> i</w:t>
      </w:r>
      <w:r w:rsidR="004D5AD1">
        <w:rPr>
          <w:noProof/>
        </w:rPr>
        <w:t> </w:t>
      </w:r>
      <w:r w:rsidR="004D5AD1" w:rsidRPr="004D5AD1">
        <w:rPr>
          <w:noProof/>
        </w:rPr>
        <w:t>Sta</w:t>
      </w:r>
      <w:r w:rsidRPr="004D5AD1">
        <w:rPr>
          <w:noProof/>
        </w:rPr>
        <w:t>ny Zjednoczone zapowiedziały globalne zobowiązanie dotyczące metanu, które stanowi polityczne zobowiązanie do zmniejszenia do</w:t>
      </w:r>
      <w:r w:rsidR="004D5AD1" w:rsidRPr="004D5AD1">
        <w:rPr>
          <w:noProof/>
        </w:rPr>
        <w:t> </w:t>
      </w:r>
      <w:r w:rsidRPr="004D5AD1">
        <w:rPr>
          <w:noProof/>
        </w:rPr>
        <w:t>2030</w:t>
      </w:r>
      <w:r w:rsidR="004D5AD1" w:rsidRPr="004D5AD1">
        <w:rPr>
          <w:noProof/>
        </w:rPr>
        <w:t> </w:t>
      </w:r>
      <w:r w:rsidRPr="004D5AD1">
        <w:rPr>
          <w:noProof/>
        </w:rPr>
        <w:t>r. globalnych emisji metanu we wszystkich sektorach emitujących ten gaz o co najmniej 30</w:t>
      </w:r>
      <w:r w:rsidR="004D5AD1" w:rsidRPr="004D5AD1">
        <w:rPr>
          <w:noProof/>
        </w:rPr>
        <w:t> </w:t>
      </w:r>
      <w:r w:rsidRPr="004D5AD1">
        <w:rPr>
          <w:noProof/>
        </w:rPr>
        <w:t>% (w stosunku do poziomów</w:t>
      </w:r>
      <w:r w:rsidR="004D5AD1" w:rsidRPr="004D5AD1">
        <w:rPr>
          <w:noProof/>
        </w:rPr>
        <w:t xml:space="preserve"> z</w:t>
      </w:r>
      <w:r w:rsidR="004D5AD1">
        <w:rPr>
          <w:noProof/>
        </w:rPr>
        <w:t> </w:t>
      </w:r>
      <w:r w:rsidR="004D5AD1" w:rsidRPr="004D5AD1">
        <w:rPr>
          <w:noProof/>
        </w:rPr>
        <w:t>2</w:t>
      </w:r>
      <w:r w:rsidRPr="004D5AD1">
        <w:rPr>
          <w:noProof/>
        </w:rPr>
        <w:t>020</w:t>
      </w:r>
      <w:r w:rsidR="004D5AD1" w:rsidRPr="004D5AD1">
        <w:rPr>
          <w:noProof/>
        </w:rPr>
        <w:t> </w:t>
      </w:r>
      <w:r w:rsidRPr="004D5AD1">
        <w:rPr>
          <w:noProof/>
        </w:rPr>
        <w:t>r.), podjęte na konferencji Narodów Zjednoczonych</w:t>
      </w:r>
      <w:r w:rsidR="004D5AD1" w:rsidRPr="004D5AD1">
        <w:rPr>
          <w:noProof/>
        </w:rPr>
        <w:t xml:space="preserve"> w</w:t>
      </w:r>
      <w:r w:rsidR="004D5AD1">
        <w:rPr>
          <w:noProof/>
        </w:rPr>
        <w:t> </w:t>
      </w:r>
      <w:r w:rsidR="004D5AD1" w:rsidRPr="004D5AD1">
        <w:rPr>
          <w:noProof/>
        </w:rPr>
        <w:t>spr</w:t>
      </w:r>
      <w:r w:rsidRPr="004D5AD1">
        <w:rPr>
          <w:noProof/>
        </w:rPr>
        <w:t>awie zmiany klimatu (COP 26)</w:t>
      </w:r>
      <w:r w:rsidR="004D5AD1" w:rsidRPr="004D5AD1">
        <w:rPr>
          <w:noProof/>
        </w:rPr>
        <w:t xml:space="preserve"> w</w:t>
      </w:r>
      <w:r w:rsidR="004D5AD1">
        <w:rPr>
          <w:noProof/>
        </w:rPr>
        <w:t> </w:t>
      </w:r>
      <w:r w:rsidR="004D5AD1" w:rsidRPr="004D5AD1">
        <w:rPr>
          <w:noProof/>
        </w:rPr>
        <w:t>lis</w:t>
      </w:r>
      <w:r w:rsidRPr="004D5AD1">
        <w:rPr>
          <w:noProof/>
        </w:rPr>
        <w:t>topadzie 2021</w:t>
      </w:r>
      <w:r w:rsidR="004D5AD1" w:rsidRPr="004D5AD1">
        <w:rPr>
          <w:noProof/>
        </w:rPr>
        <w:t> </w:t>
      </w:r>
      <w:r w:rsidRPr="004D5AD1">
        <w:rPr>
          <w:noProof/>
        </w:rPr>
        <w:t>r.</w:t>
      </w:r>
      <w:r w:rsidR="004D5AD1" w:rsidRPr="004D5AD1">
        <w:rPr>
          <w:noProof/>
        </w:rPr>
        <w:t xml:space="preserve"> w</w:t>
      </w:r>
      <w:r w:rsidR="004D5AD1">
        <w:rPr>
          <w:noProof/>
        </w:rPr>
        <w:t> </w:t>
      </w:r>
      <w:r w:rsidR="004D5AD1" w:rsidRPr="004D5AD1">
        <w:rPr>
          <w:noProof/>
        </w:rPr>
        <w:t>Gla</w:t>
      </w:r>
      <w:r w:rsidRPr="004D5AD1">
        <w:rPr>
          <w:noProof/>
        </w:rPr>
        <w:t>sgow. Do zobowiązania tego przystąpiło ponad sto krajów, odpowiadających za niemal połowę globalnych antropogenicznych emisji metanu. Globalne zobowiązanie dotyczące metanu obejmuje przejście na stosowanie najlepszych dostępnych metod sporządzania wykazów</w:t>
      </w:r>
      <w:r w:rsidR="004D5AD1" w:rsidRPr="004D5AD1">
        <w:rPr>
          <w:noProof/>
        </w:rPr>
        <w:t xml:space="preserve"> w</w:t>
      </w:r>
      <w:r w:rsidR="004D5AD1">
        <w:rPr>
          <w:noProof/>
        </w:rPr>
        <w:t> </w:t>
      </w:r>
      <w:r w:rsidR="004D5AD1" w:rsidRPr="004D5AD1">
        <w:rPr>
          <w:noProof/>
        </w:rPr>
        <w:t>cel</w:t>
      </w:r>
      <w:r w:rsidRPr="004D5AD1">
        <w:rPr>
          <w:noProof/>
        </w:rPr>
        <w:t xml:space="preserve">u kwantyfikacji emisji metanu ze szczególnym uwzględnieniem źródeł wysokich emisji. </w:t>
      </w:r>
    </w:p>
    <w:p w14:paraId="3A094B2C" w14:textId="78F19749"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Ogólnym celem rozporządzenia</w:t>
      </w:r>
      <w:r w:rsidR="004D5AD1" w:rsidRPr="004D5AD1">
        <w:rPr>
          <w:noProof/>
        </w:rPr>
        <w:t xml:space="preserve"> w</w:t>
      </w:r>
      <w:r w:rsidR="004D5AD1">
        <w:rPr>
          <w:noProof/>
        </w:rPr>
        <w:t> </w:t>
      </w:r>
      <w:r w:rsidR="004D5AD1" w:rsidRPr="004D5AD1">
        <w:rPr>
          <w:noProof/>
        </w:rPr>
        <w:t>kon</w:t>
      </w:r>
      <w:r w:rsidRPr="004D5AD1">
        <w:rPr>
          <w:noProof/>
        </w:rPr>
        <w:t>tekście funkcjonowania wewnętrznego rynku energii</w:t>
      </w:r>
      <w:r w:rsidR="004D5AD1" w:rsidRPr="004D5AD1">
        <w:rPr>
          <w:noProof/>
        </w:rPr>
        <w:t xml:space="preserve"> i</w:t>
      </w:r>
      <w:r w:rsidR="004D5AD1">
        <w:rPr>
          <w:noProof/>
        </w:rPr>
        <w:t> </w:t>
      </w:r>
      <w:r w:rsidR="004D5AD1" w:rsidRPr="004D5AD1">
        <w:rPr>
          <w:noProof/>
        </w:rPr>
        <w:t>prz</w:t>
      </w:r>
      <w:r w:rsidRPr="004D5AD1">
        <w:rPr>
          <w:noProof/>
        </w:rPr>
        <w:t>y zapewnieniu bezpieczeństwa dostaw</w:t>
      </w:r>
      <w:r w:rsidR="004D5AD1" w:rsidRPr="004D5AD1">
        <w:rPr>
          <w:noProof/>
        </w:rPr>
        <w:t xml:space="preserve"> w</w:t>
      </w:r>
      <w:r w:rsidR="004D5AD1">
        <w:rPr>
          <w:noProof/>
        </w:rPr>
        <w:t> </w:t>
      </w:r>
      <w:r w:rsidR="004D5AD1" w:rsidRPr="004D5AD1">
        <w:rPr>
          <w:noProof/>
        </w:rPr>
        <w:t>Uni</w:t>
      </w:r>
      <w:r w:rsidRPr="004D5AD1">
        <w:rPr>
          <w:noProof/>
        </w:rPr>
        <w:t>i jest zachowanie</w:t>
      </w:r>
      <w:r w:rsidR="004D5AD1" w:rsidRPr="004D5AD1">
        <w:rPr>
          <w:noProof/>
        </w:rPr>
        <w:t xml:space="preserve"> i</w:t>
      </w:r>
      <w:r w:rsidR="004D5AD1">
        <w:rPr>
          <w:noProof/>
        </w:rPr>
        <w:t> </w:t>
      </w:r>
      <w:r w:rsidR="004D5AD1" w:rsidRPr="004D5AD1">
        <w:rPr>
          <w:noProof/>
        </w:rPr>
        <w:t>pop</w:t>
      </w:r>
      <w:r w:rsidRPr="004D5AD1">
        <w:rPr>
          <w:noProof/>
        </w:rPr>
        <w:t>rawa stanu środowiska poprzez redukcję emisji metanu</w:t>
      </w:r>
      <w:r w:rsidR="004D5AD1" w:rsidRPr="004D5AD1">
        <w:rPr>
          <w:noProof/>
        </w:rPr>
        <w:t xml:space="preserve"> z</w:t>
      </w:r>
      <w:r w:rsidR="004D5AD1">
        <w:rPr>
          <w:noProof/>
        </w:rPr>
        <w:t> </w:t>
      </w:r>
      <w:r w:rsidR="004D5AD1" w:rsidRPr="004D5AD1">
        <w:rPr>
          <w:noProof/>
        </w:rPr>
        <w:t>ene</w:t>
      </w:r>
      <w:r w:rsidRPr="004D5AD1">
        <w:rPr>
          <w:noProof/>
        </w:rPr>
        <w:t>rgii pochodzącej</w:t>
      </w:r>
      <w:r w:rsidR="004D5AD1" w:rsidRPr="004D5AD1">
        <w:rPr>
          <w:noProof/>
        </w:rPr>
        <w:t xml:space="preserve"> z</w:t>
      </w:r>
      <w:r w:rsidR="004D5AD1">
        <w:rPr>
          <w:noProof/>
        </w:rPr>
        <w:t> </w:t>
      </w:r>
      <w:r w:rsidR="004D5AD1" w:rsidRPr="004D5AD1">
        <w:rPr>
          <w:noProof/>
        </w:rPr>
        <w:t>pal</w:t>
      </w:r>
      <w:r w:rsidRPr="004D5AD1">
        <w:rPr>
          <w:noProof/>
        </w:rPr>
        <w:t>iw kopalnych produkowanej lub zużywanej</w:t>
      </w:r>
      <w:r w:rsidR="004D5AD1" w:rsidRPr="004D5AD1">
        <w:rPr>
          <w:noProof/>
        </w:rPr>
        <w:t xml:space="preserve"> w</w:t>
      </w:r>
      <w:r w:rsidR="004D5AD1">
        <w:rPr>
          <w:noProof/>
        </w:rPr>
        <w:t> </w:t>
      </w:r>
      <w:r w:rsidR="004D5AD1" w:rsidRPr="004D5AD1">
        <w:rPr>
          <w:noProof/>
        </w:rPr>
        <w:t>Uni</w:t>
      </w:r>
      <w:r w:rsidRPr="004D5AD1">
        <w:rPr>
          <w:noProof/>
        </w:rPr>
        <w:t xml:space="preserve">i. </w:t>
      </w:r>
    </w:p>
    <w:p w14:paraId="1195BAA4" w14:textId="77777777"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Cele szczegółowe są następujące:</w:t>
      </w:r>
    </w:p>
    <w:p w14:paraId="6E52058A" w14:textId="50A54357" w:rsidR="00DB0002" w:rsidRPr="004D5AD1" w:rsidRDefault="00DE3FFB" w:rsidP="00DE3FFB">
      <w:pPr>
        <w:pStyle w:val="Point1"/>
        <w:rPr>
          <w:noProof/>
        </w:rPr>
      </w:pPr>
      <w:r w:rsidRPr="00DE3FFB">
        <w:t>(i)</w:t>
      </w:r>
      <w:r w:rsidRPr="00DE3FFB">
        <w:tab/>
      </w:r>
      <w:r w:rsidR="00DB0002" w:rsidRPr="004D5AD1">
        <w:rPr>
          <w:noProof/>
        </w:rPr>
        <w:t>zwiększenie dokładności informacji na temat głównych źródeł emisji metanu związanych</w:t>
      </w:r>
      <w:r w:rsidR="004D5AD1" w:rsidRPr="004D5AD1">
        <w:rPr>
          <w:noProof/>
        </w:rPr>
        <w:t xml:space="preserve"> z</w:t>
      </w:r>
      <w:r w:rsidR="004D5AD1">
        <w:rPr>
          <w:noProof/>
        </w:rPr>
        <w:t> </w:t>
      </w:r>
      <w:r w:rsidR="004D5AD1" w:rsidRPr="004D5AD1">
        <w:rPr>
          <w:noProof/>
        </w:rPr>
        <w:t>ene</w:t>
      </w:r>
      <w:r w:rsidR="00DB0002" w:rsidRPr="004D5AD1">
        <w:rPr>
          <w:noProof/>
        </w:rPr>
        <w:t>rgią produkowaną</w:t>
      </w:r>
      <w:r w:rsidR="004D5AD1" w:rsidRPr="004D5AD1">
        <w:rPr>
          <w:noProof/>
        </w:rPr>
        <w:t xml:space="preserve"> i</w:t>
      </w:r>
      <w:r w:rsidR="004D5AD1">
        <w:rPr>
          <w:noProof/>
        </w:rPr>
        <w:t> </w:t>
      </w:r>
      <w:r w:rsidR="004D5AD1" w:rsidRPr="004D5AD1">
        <w:rPr>
          <w:noProof/>
        </w:rPr>
        <w:t>zuż</w:t>
      </w:r>
      <w:r w:rsidR="00DB0002" w:rsidRPr="004D5AD1">
        <w:rPr>
          <w:noProof/>
        </w:rPr>
        <w:t>ywaną w UE. Celem jest zapewnienie dostępności danych na poziomie aktywów oraz rzetelnej kwantyfikacji emisji,</w:t>
      </w:r>
      <w:r w:rsidR="004D5AD1" w:rsidRPr="004D5AD1">
        <w:rPr>
          <w:noProof/>
        </w:rPr>
        <w:t xml:space="preserve"> a</w:t>
      </w:r>
      <w:r w:rsidR="004D5AD1">
        <w:rPr>
          <w:noProof/>
        </w:rPr>
        <w:t> </w:t>
      </w:r>
      <w:r w:rsidR="004D5AD1" w:rsidRPr="004D5AD1">
        <w:rPr>
          <w:noProof/>
        </w:rPr>
        <w:t>tym</w:t>
      </w:r>
      <w:r w:rsidR="00DB0002" w:rsidRPr="004D5AD1">
        <w:rPr>
          <w:noProof/>
        </w:rPr>
        <w:t xml:space="preserve"> samym zwiększenie dokładności pomiarów –</w:t>
      </w:r>
      <w:r w:rsidR="004D5AD1" w:rsidRPr="004D5AD1">
        <w:rPr>
          <w:noProof/>
        </w:rPr>
        <w:t xml:space="preserve"> w</w:t>
      </w:r>
      <w:r w:rsidR="004D5AD1">
        <w:rPr>
          <w:noProof/>
        </w:rPr>
        <w:t> </w:t>
      </w:r>
      <w:r w:rsidR="004D5AD1" w:rsidRPr="004D5AD1">
        <w:rPr>
          <w:noProof/>
        </w:rPr>
        <w:t>tym</w:t>
      </w:r>
      <w:r w:rsidR="00DB0002" w:rsidRPr="004D5AD1">
        <w:rPr>
          <w:noProof/>
        </w:rPr>
        <w:t xml:space="preserve"> raportowania danych zawartych</w:t>
      </w:r>
      <w:r w:rsidR="004D5AD1" w:rsidRPr="004D5AD1">
        <w:rPr>
          <w:noProof/>
        </w:rPr>
        <w:t xml:space="preserve"> w</w:t>
      </w:r>
      <w:r w:rsidR="004D5AD1">
        <w:rPr>
          <w:noProof/>
        </w:rPr>
        <w:t> </w:t>
      </w:r>
      <w:r w:rsidR="004D5AD1" w:rsidRPr="004D5AD1">
        <w:rPr>
          <w:noProof/>
        </w:rPr>
        <w:t>wyk</w:t>
      </w:r>
      <w:r w:rsidR="00DB0002" w:rsidRPr="004D5AD1">
        <w:rPr>
          <w:noProof/>
        </w:rPr>
        <w:t>azach emisji gazów cieplarnianych</w:t>
      </w:r>
      <w:r w:rsidR="004D5AD1" w:rsidRPr="004D5AD1">
        <w:rPr>
          <w:noProof/>
        </w:rPr>
        <w:t xml:space="preserve"> w</w:t>
      </w:r>
      <w:r w:rsidR="004D5AD1">
        <w:rPr>
          <w:noProof/>
        </w:rPr>
        <w:t> </w:t>
      </w:r>
      <w:r w:rsidR="004D5AD1" w:rsidRPr="004D5AD1">
        <w:rPr>
          <w:noProof/>
        </w:rPr>
        <w:t>kon</w:t>
      </w:r>
      <w:r w:rsidR="00DB0002" w:rsidRPr="004D5AD1">
        <w:rPr>
          <w:noProof/>
        </w:rPr>
        <w:t>tekście Ramowej konwencji Narodów Zjednoczonych</w:t>
      </w:r>
      <w:r w:rsidR="004D5AD1" w:rsidRPr="004D5AD1">
        <w:rPr>
          <w:noProof/>
        </w:rPr>
        <w:t xml:space="preserve"> w</w:t>
      </w:r>
      <w:r w:rsidR="004D5AD1">
        <w:rPr>
          <w:noProof/>
        </w:rPr>
        <w:t> </w:t>
      </w:r>
      <w:r w:rsidR="004D5AD1" w:rsidRPr="004D5AD1">
        <w:rPr>
          <w:noProof/>
        </w:rPr>
        <w:t>spr</w:t>
      </w:r>
      <w:r w:rsidR="00DB0002" w:rsidRPr="004D5AD1">
        <w:rPr>
          <w:noProof/>
        </w:rPr>
        <w:t>awie zmian klimatu („UNFCCC”) –</w:t>
      </w:r>
      <w:r w:rsidR="004D5AD1" w:rsidRPr="004D5AD1">
        <w:rPr>
          <w:noProof/>
        </w:rPr>
        <w:t xml:space="preserve"> a</w:t>
      </w:r>
      <w:r w:rsidR="004D5AD1">
        <w:rPr>
          <w:noProof/>
        </w:rPr>
        <w:t> </w:t>
      </w:r>
      <w:r w:rsidR="004D5AD1" w:rsidRPr="004D5AD1">
        <w:rPr>
          <w:noProof/>
        </w:rPr>
        <w:t>tak</w:t>
      </w:r>
      <w:r w:rsidR="00DB0002" w:rsidRPr="004D5AD1">
        <w:rPr>
          <w:noProof/>
        </w:rPr>
        <w:t xml:space="preserve">że zakresu odpowiednich środków służących ograniczaniu emisji. </w:t>
      </w:r>
    </w:p>
    <w:p w14:paraId="225D5939" w14:textId="7F35DE7C" w:rsidR="00BC3357" w:rsidRPr="004D5AD1" w:rsidRDefault="00DE3FFB" w:rsidP="00DE3FFB">
      <w:pPr>
        <w:pStyle w:val="Point1"/>
        <w:rPr>
          <w:noProof/>
        </w:rPr>
      </w:pPr>
      <w:r w:rsidRPr="00DE3FFB">
        <w:t>(ii)</w:t>
      </w:r>
      <w:r w:rsidRPr="00DE3FFB">
        <w:tab/>
      </w:r>
      <w:r w:rsidR="00BC3357" w:rsidRPr="004D5AD1">
        <w:rPr>
          <w:noProof/>
        </w:rPr>
        <w:t>zapewnienie dalszej skutecznej redukcji emisji metanu</w:t>
      </w:r>
      <w:r w:rsidR="004D5AD1" w:rsidRPr="004D5AD1">
        <w:rPr>
          <w:noProof/>
        </w:rPr>
        <w:t xml:space="preserve"> w</w:t>
      </w:r>
      <w:r w:rsidR="004D5AD1">
        <w:rPr>
          <w:noProof/>
        </w:rPr>
        <w:t> </w:t>
      </w:r>
      <w:r w:rsidR="004D5AD1" w:rsidRPr="004D5AD1">
        <w:rPr>
          <w:noProof/>
        </w:rPr>
        <w:t>cał</w:t>
      </w:r>
      <w:r w:rsidR="00BC3357" w:rsidRPr="004D5AD1">
        <w:rPr>
          <w:noProof/>
        </w:rPr>
        <w:t>ym łańcuchu dostaw energii w UE. Ten cel szczegółowy dotyczy niedoskonałości rynku prowadzących do niedostatecznego ograniczania emisji metanu przez przedsiębiorstwa;</w:t>
      </w:r>
    </w:p>
    <w:p w14:paraId="72349248" w14:textId="7AB7FB70" w:rsidR="00BC3357" w:rsidRPr="004D5AD1" w:rsidRDefault="00DE3FFB" w:rsidP="00DE3FFB">
      <w:pPr>
        <w:pStyle w:val="Point1"/>
        <w:rPr>
          <w:noProof/>
        </w:rPr>
      </w:pPr>
      <w:r w:rsidRPr="00DE3FFB">
        <w:t>(iii)</w:t>
      </w:r>
      <w:r w:rsidRPr="00DE3FFB">
        <w:tab/>
      </w:r>
      <w:r w:rsidR="00B30CEF" w:rsidRPr="004D5AD1">
        <w:rPr>
          <w:noProof/>
        </w:rPr>
        <w:t>zwiększenie dostępności informacji</w:t>
      </w:r>
      <w:r w:rsidR="004D5AD1" w:rsidRPr="004D5AD1">
        <w:rPr>
          <w:noProof/>
        </w:rPr>
        <w:t xml:space="preserve"> w</w:t>
      </w:r>
      <w:r w:rsidR="004D5AD1">
        <w:rPr>
          <w:noProof/>
        </w:rPr>
        <w:t> </w:t>
      </w:r>
      <w:r w:rsidR="004D5AD1" w:rsidRPr="004D5AD1">
        <w:rPr>
          <w:noProof/>
        </w:rPr>
        <w:t>cel</w:t>
      </w:r>
      <w:r w:rsidR="00B30CEF" w:rsidRPr="004D5AD1">
        <w:rPr>
          <w:noProof/>
        </w:rPr>
        <w:t>u zapewnienia zachęt do redukcji emisji metanu związanych</w:t>
      </w:r>
      <w:r w:rsidR="004D5AD1" w:rsidRPr="004D5AD1">
        <w:rPr>
          <w:noProof/>
        </w:rPr>
        <w:t xml:space="preserve"> z</w:t>
      </w:r>
      <w:r w:rsidR="004D5AD1">
        <w:rPr>
          <w:noProof/>
        </w:rPr>
        <w:t> </w:t>
      </w:r>
      <w:r w:rsidR="004D5AD1" w:rsidRPr="004D5AD1">
        <w:rPr>
          <w:noProof/>
        </w:rPr>
        <w:t>ene</w:t>
      </w:r>
      <w:r w:rsidR="00B30CEF" w:rsidRPr="004D5AD1">
        <w:rPr>
          <w:noProof/>
        </w:rPr>
        <w:t>rgią pochodzącą</w:t>
      </w:r>
      <w:r w:rsidR="004D5AD1" w:rsidRPr="004D5AD1">
        <w:rPr>
          <w:noProof/>
        </w:rPr>
        <w:t xml:space="preserve"> z</w:t>
      </w:r>
      <w:r w:rsidR="004D5AD1">
        <w:rPr>
          <w:noProof/>
        </w:rPr>
        <w:t> </w:t>
      </w:r>
      <w:r w:rsidR="004D5AD1" w:rsidRPr="004D5AD1">
        <w:rPr>
          <w:noProof/>
        </w:rPr>
        <w:t>pal</w:t>
      </w:r>
      <w:r w:rsidR="00B30CEF" w:rsidRPr="004D5AD1">
        <w:rPr>
          <w:noProof/>
        </w:rPr>
        <w:t>iw kopalnych importowaną do UE. Ponieważ większość emisji metanu związanych</w:t>
      </w:r>
      <w:r w:rsidR="004D5AD1" w:rsidRPr="004D5AD1">
        <w:rPr>
          <w:noProof/>
        </w:rPr>
        <w:t xml:space="preserve"> z</w:t>
      </w:r>
      <w:r w:rsidR="004D5AD1">
        <w:rPr>
          <w:noProof/>
        </w:rPr>
        <w:t> </w:t>
      </w:r>
      <w:r w:rsidR="004D5AD1" w:rsidRPr="004D5AD1">
        <w:rPr>
          <w:noProof/>
        </w:rPr>
        <w:t>ene</w:t>
      </w:r>
      <w:r w:rsidR="00B30CEF" w:rsidRPr="004D5AD1">
        <w:rPr>
          <w:noProof/>
        </w:rPr>
        <w:t>rgią pochodzącą</w:t>
      </w:r>
      <w:r w:rsidR="004D5AD1" w:rsidRPr="004D5AD1">
        <w:rPr>
          <w:noProof/>
        </w:rPr>
        <w:t xml:space="preserve"> z</w:t>
      </w:r>
      <w:r w:rsidR="004D5AD1">
        <w:rPr>
          <w:noProof/>
        </w:rPr>
        <w:t> </w:t>
      </w:r>
      <w:r w:rsidR="004D5AD1" w:rsidRPr="004D5AD1">
        <w:rPr>
          <w:noProof/>
        </w:rPr>
        <w:t>pal</w:t>
      </w:r>
      <w:r w:rsidR="00B30CEF" w:rsidRPr="004D5AD1">
        <w:rPr>
          <w:noProof/>
        </w:rPr>
        <w:t>iw kopalnych zużywaną w UE występuje poza jej granicami, ten cel szczegółowy służy opracowaniu zachęt do redukcji emisji metanu</w:t>
      </w:r>
      <w:r w:rsidR="004D5AD1" w:rsidRPr="004D5AD1">
        <w:rPr>
          <w:noProof/>
        </w:rPr>
        <w:t xml:space="preserve"> w</w:t>
      </w:r>
      <w:r w:rsidR="004D5AD1">
        <w:rPr>
          <w:noProof/>
        </w:rPr>
        <w:t> </w:t>
      </w:r>
      <w:r w:rsidR="004D5AD1" w:rsidRPr="004D5AD1">
        <w:rPr>
          <w:noProof/>
        </w:rPr>
        <w:t>kra</w:t>
      </w:r>
      <w:r w:rsidR="00B30CEF" w:rsidRPr="004D5AD1">
        <w:rPr>
          <w:noProof/>
        </w:rPr>
        <w:t xml:space="preserve">jach partnerskich poprzez zapewnienie przejrzystości na rynku. </w:t>
      </w:r>
    </w:p>
    <w:p w14:paraId="65DCC54C" w14:textId="5315B83E"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r>
      <w:r w:rsidRPr="004D5AD1">
        <w:rPr>
          <w:noProof/>
        </w:rPr>
        <w:t>Spójność</w:t>
      </w:r>
      <w:r w:rsidR="004D5AD1" w:rsidRPr="004D5AD1">
        <w:rPr>
          <w:noProof/>
        </w:rPr>
        <w:t xml:space="preserve"> z</w:t>
      </w:r>
      <w:r w:rsidR="004D5AD1">
        <w:rPr>
          <w:noProof/>
        </w:rPr>
        <w:t> </w:t>
      </w:r>
      <w:r w:rsidR="004D5AD1" w:rsidRPr="004D5AD1">
        <w:rPr>
          <w:noProof/>
        </w:rPr>
        <w:t>prz</w:t>
      </w:r>
      <w:r w:rsidRPr="004D5AD1">
        <w:rPr>
          <w:noProof/>
        </w:rPr>
        <w:t>episami obowiązującymi</w:t>
      </w:r>
      <w:r w:rsidR="004D5AD1" w:rsidRPr="004D5AD1">
        <w:rPr>
          <w:noProof/>
        </w:rPr>
        <w:t xml:space="preserve"> w</w:t>
      </w:r>
      <w:r w:rsidR="004D5AD1">
        <w:rPr>
          <w:noProof/>
        </w:rPr>
        <w:t> </w:t>
      </w:r>
      <w:r w:rsidR="004D5AD1" w:rsidRPr="004D5AD1">
        <w:rPr>
          <w:noProof/>
        </w:rPr>
        <w:t>tej</w:t>
      </w:r>
      <w:r w:rsidRPr="004D5AD1">
        <w:rPr>
          <w:noProof/>
        </w:rPr>
        <w:t xml:space="preserve"> dziedzinie polityki</w:t>
      </w:r>
    </w:p>
    <w:p w14:paraId="50080A75" w14:textId="66DAA61C" w:rsidR="00FF5A95" w:rsidRPr="004D5AD1" w:rsidRDefault="00FF5A95" w:rsidP="00BC3357">
      <w:pPr>
        <w:rPr>
          <w:noProof/>
        </w:rPr>
      </w:pPr>
      <w:r w:rsidRPr="004D5AD1">
        <w:rPr>
          <w:noProof/>
        </w:rPr>
        <w:t>W rozporządzeniu (UE) 2021/1119 („Europejskie prawo</w:t>
      </w:r>
      <w:r w:rsidR="004D5AD1" w:rsidRPr="004D5AD1">
        <w:rPr>
          <w:noProof/>
        </w:rPr>
        <w:t xml:space="preserve"> o</w:t>
      </w:r>
      <w:r w:rsidR="004D5AD1">
        <w:rPr>
          <w:noProof/>
        </w:rPr>
        <w:t> </w:t>
      </w:r>
      <w:r w:rsidR="004D5AD1" w:rsidRPr="004D5AD1">
        <w:rPr>
          <w:noProof/>
        </w:rPr>
        <w:t>kli</w:t>
      </w:r>
      <w:r w:rsidRPr="004D5AD1">
        <w:rPr>
          <w:noProof/>
        </w:rPr>
        <w:t>macie”) Unia wprowadziła do prawodawstwa cel osiągnięcia neutralności klimatycznej</w:t>
      </w:r>
      <w:r w:rsidR="004D5AD1" w:rsidRPr="004D5AD1">
        <w:rPr>
          <w:noProof/>
        </w:rPr>
        <w:t xml:space="preserve"> w</w:t>
      </w:r>
      <w:r w:rsidR="004D5AD1">
        <w:rPr>
          <w:noProof/>
        </w:rPr>
        <w:t> </w:t>
      </w:r>
      <w:r w:rsidR="004D5AD1" w:rsidRPr="004D5AD1">
        <w:rPr>
          <w:noProof/>
        </w:rPr>
        <w:t>cał</w:t>
      </w:r>
      <w:r w:rsidRPr="004D5AD1">
        <w:rPr>
          <w:noProof/>
        </w:rPr>
        <w:t>ej gospodarce do</w:t>
      </w:r>
      <w:r w:rsidR="004D5AD1" w:rsidRPr="004D5AD1">
        <w:rPr>
          <w:noProof/>
        </w:rPr>
        <w:t> </w:t>
      </w:r>
      <w:r w:rsidRPr="004D5AD1">
        <w:rPr>
          <w:noProof/>
        </w:rPr>
        <w:t>2050</w:t>
      </w:r>
      <w:r w:rsidR="004D5AD1" w:rsidRPr="004D5AD1">
        <w:rPr>
          <w:noProof/>
        </w:rPr>
        <w:t> </w:t>
      </w:r>
      <w:r w:rsidRPr="004D5AD1">
        <w:rPr>
          <w:noProof/>
        </w:rPr>
        <w:t>r.,</w:t>
      </w:r>
      <w:r w:rsidR="004D5AD1" w:rsidRPr="004D5AD1">
        <w:rPr>
          <w:noProof/>
        </w:rPr>
        <w:t xml:space="preserve"> a</w:t>
      </w:r>
      <w:r w:rsidR="004D5AD1">
        <w:rPr>
          <w:noProof/>
        </w:rPr>
        <w:t> </w:t>
      </w:r>
      <w:r w:rsidR="004D5AD1" w:rsidRPr="004D5AD1">
        <w:rPr>
          <w:noProof/>
        </w:rPr>
        <w:t>tak</w:t>
      </w:r>
      <w:r w:rsidRPr="004D5AD1">
        <w:rPr>
          <w:noProof/>
        </w:rPr>
        <w:t>że ustanowiła wiążące zobowiązanie na poziomie Unii dotyczące zmniejszenia emisji gazów cieplarnianych netto (emisji po odjęciu pochłaniania) o co najmniej 55</w:t>
      </w:r>
      <w:r w:rsidR="004D5AD1" w:rsidRPr="004D5AD1">
        <w:rPr>
          <w:noProof/>
        </w:rPr>
        <w:t> </w:t>
      </w:r>
      <w:r w:rsidRPr="004D5AD1">
        <w:rPr>
          <w:noProof/>
        </w:rPr>
        <w:t>% do</w:t>
      </w:r>
      <w:r w:rsidR="004D5AD1" w:rsidRPr="004D5AD1">
        <w:rPr>
          <w:noProof/>
        </w:rPr>
        <w:t> </w:t>
      </w:r>
      <w:r w:rsidRPr="004D5AD1">
        <w:rPr>
          <w:noProof/>
        </w:rPr>
        <w:t>2030</w:t>
      </w:r>
      <w:r w:rsidR="004D5AD1" w:rsidRPr="004D5AD1">
        <w:rPr>
          <w:noProof/>
        </w:rPr>
        <w:t> </w:t>
      </w:r>
      <w:r w:rsidRPr="004D5AD1">
        <w:rPr>
          <w:noProof/>
        </w:rPr>
        <w:t>r.</w:t>
      </w:r>
      <w:r w:rsidR="004D5AD1" w:rsidRPr="004D5AD1">
        <w:rPr>
          <w:noProof/>
        </w:rPr>
        <w:t xml:space="preserve"> w</w:t>
      </w:r>
      <w:r w:rsidR="004D5AD1">
        <w:rPr>
          <w:noProof/>
        </w:rPr>
        <w:t> </w:t>
      </w:r>
      <w:r w:rsidR="004D5AD1" w:rsidRPr="004D5AD1">
        <w:rPr>
          <w:noProof/>
        </w:rPr>
        <w:t>por</w:t>
      </w:r>
      <w:r w:rsidRPr="004D5AD1">
        <w:rPr>
          <w:noProof/>
        </w:rPr>
        <w:t>ównaniu</w:t>
      </w:r>
      <w:r w:rsidR="004D5AD1" w:rsidRPr="004D5AD1">
        <w:rPr>
          <w:noProof/>
        </w:rPr>
        <w:t xml:space="preserve"> z</w:t>
      </w:r>
      <w:r w:rsidR="004D5AD1">
        <w:rPr>
          <w:noProof/>
        </w:rPr>
        <w:t> </w:t>
      </w:r>
      <w:r w:rsidR="004D5AD1" w:rsidRPr="004D5AD1">
        <w:rPr>
          <w:noProof/>
        </w:rPr>
        <w:t>poz</w:t>
      </w:r>
      <w:r w:rsidRPr="004D5AD1">
        <w:rPr>
          <w:noProof/>
        </w:rPr>
        <w:t>iomami</w:t>
      </w:r>
      <w:r w:rsidR="004D5AD1" w:rsidRPr="004D5AD1">
        <w:rPr>
          <w:noProof/>
        </w:rPr>
        <w:t xml:space="preserve"> z</w:t>
      </w:r>
      <w:r w:rsidR="004D5AD1">
        <w:rPr>
          <w:noProof/>
        </w:rPr>
        <w:t> </w:t>
      </w:r>
      <w:r w:rsidR="004D5AD1" w:rsidRPr="004D5AD1">
        <w:rPr>
          <w:noProof/>
        </w:rPr>
        <w:t>1</w:t>
      </w:r>
      <w:r w:rsidRPr="004D5AD1">
        <w:rPr>
          <w:noProof/>
        </w:rPr>
        <w:t>990</w:t>
      </w:r>
      <w:r w:rsidR="004D5AD1" w:rsidRPr="004D5AD1">
        <w:rPr>
          <w:noProof/>
        </w:rPr>
        <w:t> </w:t>
      </w:r>
      <w:r w:rsidRPr="004D5AD1">
        <w:rPr>
          <w:noProof/>
        </w:rPr>
        <w:t>r.</w:t>
      </w:r>
    </w:p>
    <w:p w14:paraId="6189D93D" w14:textId="0A3E650B" w:rsidR="00BC3357" w:rsidRPr="004D5AD1" w:rsidRDefault="00BC3357" w:rsidP="00BC3357">
      <w:pPr>
        <w:rPr>
          <w:rFonts w:eastAsia="Calibri"/>
          <w:noProof/>
          <w:szCs w:val="24"/>
        </w:rPr>
      </w:pPr>
      <w:r w:rsidRPr="004D5AD1">
        <w:rPr>
          <w:noProof/>
        </w:rPr>
        <w:t>Niniejszy wniosek opiera się na unijnym Planie</w:t>
      </w:r>
      <w:r w:rsidR="004D5AD1" w:rsidRPr="004D5AD1">
        <w:rPr>
          <w:noProof/>
        </w:rPr>
        <w:t xml:space="preserve"> w</w:t>
      </w:r>
      <w:r w:rsidR="004D5AD1">
        <w:rPr>
          <w:noProof/>
        </w:rPr>
        <w:t> </w:t>
      </w:r>
      <w:r w:rsidR="004D5AD1" w:rsidRPr="004D5AD1">
        <w:rPr>
          <w:noProof/>
        </w:rPr>
        <w:t>zak</w:t>
      </w:r>
      <w:r w:rsidRPr="004D5AD1">
        <w:rPr>
          <w:noProof/>
        </w:rPr>
        <w:t>resie celów klimatycznych na</w:t>
      </w:r>
      <w:r w:rsidR="004D5AD1" w:rsidRPr="004D5AD1">
        <w:rPr>
          <w:noProof/>
        </w:rPr>
        <w:t> </w:t>
      </w:r>
      <w:r w:rsidRPr="004D5AD1">
        <w:rPr>
          <w:noProof/>
        </w:rPr>
        <w:t>2030</w:t>
      </w:r>
      <w:r w:rsidR="004D5AD1" w:rsidRPr="004D5AD1">
        <w:rPr>
          <w:noProof/>
        </w:rPr>
        <w:t> </w:t>
      </w:r>
      <w:r w:rsidRPr="004D5AD1">
        <w:rPr>
          <w:noProof/>
        </w:rPr>
        <w:t>r. oraz ocenie jego skutków</w:t>
      </w:r>
      <w:r w:rsidR="004D5AD1" w:rsidRPr="004D5AD1">
        <w:rPr>
          <w:noProof/>
        </w:rPr>
        <w:t>. W</w:t>
      </w:r>
      <w:r w:rsidR="004D5AD1">
        <w:rPr>
          <w:noProof/>
        </w:rPr>
        <w:t> </w:t>
      </w:r>
      <w:r w:rsidR="004D5AD1" w:rsidRPr="004D5AD1">
        <w:rPr>
          <w:noProof/>
        </w:rPr>
        <w:t>pla</w:t>
      </w:r>
      <w:r w:rsidRPr="004D5AD1">
        <w:rPr>
          <w:noProof/>
        </w:rPr>
        <w:t>nie</w:t>
      </w:r>
      <w:r w:rsidR="004D5AD1" w:rsidRPr="004D5AD1">
        <w:rPr>
          <w:noProof/>
        </w:rPr>
        <w:t xml:space="preserve"> w</w:t>
      </w:r>
      <w:r w:rsidR="004D5AD1">
        <w:rPr>
          <w:noProof/>
        </w:rPr>
        <w:t> </w:t>
      </w:r>
      <w:r w:rsidR="004D5AD1" w:rsidRPr="004D5AD1">
        <w:rPr>
          <w:noProof/>
        </w:rPr>
        <w:t>zak</w:t>
      </w:r>
      <w:r w:rsidRPr="004D5AD1">
        <w:rPr>
          <w:noProof/>
        </w:rPr>
        <w:t>resie celów klimatycznych wykazano, na podstawie modelowanych scenariuszy, że osiągnięcie bardziej ambitnego celu klimatycznego polegającego na redukcji emisji gazów cieplarnianych netto</w:t>
      </w:r>
      <w:r w:rsidR="004D5AD1" w:rsidRPr="004D5AD1">
        <w:rPr>
          <w:noProof/>
        </w:rPr>
        <w:t xml:space="preserve"> o</w:t>
      </w:r>
      <w:r w:rsidR="004D5AD1">
        <w:rPr>
          <w:noProof/>
        </w:rPr>
        <w:t> </w:t>
      </w:r>
      <w:r w:rsidR="004D5AD1" w:rsidRPr="004D5AD1">
        <w:rPr>
          <w:noProof/>
        </w:rPr>
        <w:t>5</w:t>
      </w:r>
      <w:r w:rsidRPr="004D5AD1">
        <w:rPr>
          <w:noProof/>
        </w:rPr>
        <w:t>5</w:t>
      </w:r>
      <w:r w:rsidR="004D5AD1" w:rsidRPr="004D5AD1">
        <w:rPr>
          <w:noProof/>
        </w:rPr>
        <w:t> </w:t>
      </w:r>
      <w:r w:rsidRPr="004D5AD1">
        <w:rPr>
          <w:noProof/>
        </w:rPr>
        <w:t>%</w:t>
      </w:r>
      <w:r w:rsidR="004D5AD1" w:rsidRPr="004D5AD1">
        <w:rPr>
          <w:noProof/>
        </w:rPr>
        <w:t xml:space="preserve"> w</w:t>
      </w:r>
      <w:r w:rsidR="004D5AD1">
        <w:rPr>
          <w:noProof/>
        </w:rPr>
        <w:t> </w:t>
      </w:r>
      <w:r w:rsidR="004D5AD1" w:rsidRPr="004D5AD1">
        <w:rPr>
          <w:noProof/>
        </w:rPr>
        <w:t>2</w:t>
      </w:r>
      <w:r w:rsidRPr="004D5AD1">
        <w:rPr>
          <w:noProof/>
        </w:rPr>
        <w:t>030</w:t>
      </w:r>
      <w:r w:rsidR="004D5AD1" w:rsidRPr="004D5AD1">
        <w:rPr>
          <w:noProof/>
        </w:rPr>
        <w:t> </w:t>
      </w:r>
      <w:r w:rsidRPr="004D5AD1">
        <w:rPr>
          <w:noProof/>
        </w:rPr>
        <w:t>r. jest wykonalne</w:t>
      </w:r>
      <w:r w:rsidR="004D5AD1" w:rsidRPr="004D5AD1">
        <w:rPr>
          <w:noProof/>
        </w:rPr>
        <w:t xml:space="preserve"> i</w:t>
      </w:r>
      <w:r w:rsidR="004D5AD1">
        <w:rPr>
          <w:noProof/>
        </w:rPr>
        <w:t> </w:t>
      </w:r>
      <w:r w:rsidR="004D5AD1" w:rsidRPr="004D5AD1">
        <w:rPr>
          <w:noProof/>
        </w:rPr>
        <w:t>umo</w:t>
      </w:r>
      <w:r w:rsidRPr="004D5AD1">
        <w:rPr>
          <w:noProof/>
        </w:rPr>
        <w:t>żliwiłoby sprawną transformację</w:t>
      </w:r>
      <w:r w:rsidR="004D5AD1" w:rsidRPr="004D5AD1">
        <w:rPr>
          <w:noProof/>
        </w:rPr>
        <w:t xml:space="preserve"> w</w:t>
      </w:r>
      <w:r w:rsidR="004D5AD1">
        <w:rPr>
          <w:noProof/>
        </w:rPr>
        <w:t> </w:t>
      </w:r>
      <w:r w:rsidR="004D5AD1" w:rsidRPr="004D5AD1">
        <w:rPr>
          <w:noProof/>
        </w:rPr>
        <w:t>kie</w:t>
      </w:r>
      <w:r w:rsidRPr="004D5AD1">
        <w:rPr>
          <w:noProof/>
        </w:rPr>
        <w:t>runku osiągnięcia neutralności klimatycznej</w:t>
      </w:r>
      <w:r w:rsidR="004D5AD1" w:rsidRPr="004D5AD1">
        <w:rPr>
          <w:noProof/>
        </w:rPr>
        <w:t xml:space="preserve"> w</w:t>
      </w:r>
      <w:r w:rsidR="004D5AD1">
        <w:rPr>
          <w:noProof/>
        </w:rPr>
        <w:t> </w:t>
      </w:r>
      <w:r w:rsidR="004D5AD1" w:rsidRPr="004D5AD1">
        <w:rPr>
          <w:noProof/>
        </w:rPr>
        <w:t>2</w:t>
      </w:r>
      <w:r w:rsidRPr="004D5AD1">
        <w:rPr>
          <w:noProof/>
        </w:rPr>
        <w:t>050</w:t>
      </w:r>
      <w:r w:rsidR="004D5AD1" w:rsidRPr="004D5AD1">
        <w:rPr>
          <w:noProof/>
        </w:rPr>
        <w:t> </w:t>
      </w:r>
      <w:r w:rsidRPr="004D5AD1">
        <w:rPr>
          <w:noProof/>
        </w:rPr>
        <w:t>r</w:t>
      </w:r>
      <w:r w:rsidR="004D5AD1" w:rsidRPr="004D5AD1">
        <w:rPr>
          <w:noProof/>
        </w:rPr>
        <w:t>. W</w:t>
      </w:r>
      <w:r w:rsidR="004D5AD1">
        <w:rPr>
          <w:noProof/>
        </w:rPr>
        <w:t> </w:t>
      </w:r>
      <w:r w:rsidR="004D5AD1" w:rsidRPr="004D5AD1">
        <w:rPr>
          <w:noProof/>
        </w:rPr>
        <w:t>pla</w:t>
      </w:r>
      <w:r w:rsidRPr="004D5AD1">
        <w:rPr>
          <w:noProof/>
        </w:rPr>
        <w:t xml:space="preserve">nie tym podkreślono również potrzebę zintensyfikowania działań na rzecz redukcji emisji metanu. </w:t>
      </w:r>
    </w:p>
    <w:p w14:paraId="69C3F8D1" w14:textId="68273B92" w:rsidR="00FF5A95" w:rsidRPr="004D5AD1" w:rsidRDefault="00FF5A95" w:rsidP="00BC3357">
      <w:pPr>
        <w:rPr>
          <w:rFonts w:eastAsia="Arial Unicode MS"/>
          <w:noProof/>
        </w:rPr>
      </w:pPr>
      <w:r w:rsidRPr="004D5AD1">
        <w:rPr>
          <w:noProof/>
        </w:rPr>
        <w:t>Europejski Zielony Ład łączy</w:t>
      </w:r>
      <w:r w:rsidR="004D5AD1" w:rsidRPr="004D5AD1">
        <w:rPr>
          <w:noProof/>
        </w:rPr>
        <w:t xml:space="preserve"> w</w:t>
      </w:r>
      <w:r w:rsidR="004D5AD1">
        <w:rPr>
          <w:noProof/>
        </w:rPr>
        <w:t> </w:t>
      </w:r>
      <w:r w:rsidR="004D5AD1" w:rsidRPr="004D5AD1">
        <w:rPr>
          <w:noProof/>
        </w:rPr>
        <w:t>sob</w:t>
      </w:r>
      <w:r w:rsidRPr="004D5AD1">
        <w:rPr>
          <w:noProof/>
        </w:rPr>
        <w:t>ie kompleksowy zestaw wzajemnie wzmacniających się środków</w:t>
      </w:r>
      <w:r w:rsidR="004D5AD1" w:rsidRPr="004D5AD1">
        <w:rPr>
          <w:noProof/>
        </w:rPr>
        <w:t xml:space="preserve"> i</w:t>
      </w:r>
      <w:r w:rsidR="004D5AD1">
        <w:rPr>
          <w:noProof/>
        </w:rPr>
        <w:t> </w:t>
      </w:r>
      <w:r w:rsidR="004D5AD1" w:rsidRPr="004D5AD1">
        <w:rPr>
          <w:noProof/>
        </w:rPr>
        <w:t>ini</w:t>
      </w:r>
      <w:r w:rsidRPr="004D5AD1">
        <w:rPr>
          <w:noProof/>
        </w:rPr>
        <w:t>cjatyw mających na celu osiągnięcie neutralności klimatycznej</w:t>
      </w:r>
      <w:r w:rsidR="004D5AD1" w:rsidRPr="004D5AD1">
        <w:rPr>
          <w:noProof/>
        </w:rPr>
        <w:t xml:space="preserve"> w</w:t>
      </w:r>
      <w:r w:rsidR="004D5AD1">
        <w:rPr>
          <w:noProof/>
        </w:rPr>
        <w:t> </w:t>
      </w:r>
      <w:r w:rsidR="004D5AD1" w:rsidRPr="004D5AD1">
        <w:rPr>
          <w:noProof/>
        </w:rPr>
        <w:t>Uni</w:t>
      </w:r>
      <w:r w:rsidRPr="004D5AD1">
        <w:rPr>
          <w:noProof/>
        </w:rPr>
        <w:t>i do</w:t>
      </w:r>
      <w:r w:rsidR="004D5AD1" w:rsidRPr="004D5AD1">
        <w:rPr>
          <w:noProof/>
        </w:rPr>
        <w:t> </w:t>
      </w:r>
      <w:r w:rsidRPr="004D5AD1">
        <w:rPr>
          <w:noProof/>
        </w:rPr>
        <w:t>2050</w:t>
      </w:r>
      <w:r w:rsidR="004D5AD1" w:rsidRPr="004D5AD1">
        <w:rPr>
          <w:noProof/>
        </w:rPr>
        <w:t> </w:t>
      </w:r>
      <w:r w:rsidRPr="004D5AD1">
        <w:rPr>
          <w:noProof/>
        </w:rPr>
        <w:t>r</w:t>
      </w:r>
      <w:r w:rsidR="004D5AD1" w:rsidRPr="004D5AD1">
        <w:rPr>
          <w:noProof/>
        </w:rPr>
        <w:t>. W</w:t>
      </w:r>
      <w:r w:rsidR="004D5AD1">
        <w:rPr>
          <w:noProof/>
        </w:rPr>
        <w:t> </w:t>
      </w:r>
      <w:r w:rsidR="004D5AD1" w:rsidRPr="004D5AD1">
        <w:rPr>
          <w:noProof/>
        </w:rPr>
        <w:t>kom</w:t>
      </w:r>
      <w:r w:rsidRPr="004D5AD1">
        <w:rPr>
          <w:noProof/>
        </w:rPr>
        <w:t>unikacie</w:t>
      </w:r>
      <w:r w:rsidR="004D5AD1" w:rsidRPr="004D5AD1">
        <w:rPr>
          <w:noProof/>
        </w:rPr>
        <w:t xml:space="preserve"> w</w:t>
      </w:r>
      <w:r w:rsidR="004D5AD1">
        <w:rPr>
          <w:noProof/>
        </w:rPr>
        <w:t> </w:t>
      </w:r>
      <w:r w:rsidR="004D5AD1" w:rsidRPr="004D5AD1">
        <w:rPr>
          <w:noProof/>
        </w:rPr>
        <w:t>spr</w:t>
      </w:r>
      <w:r w:rsidRPr="004D5AD1">
        <w:rPr>
          <w:noProof/>
        </w:rPr>
        <w:t>awie Europejskiego Zielonego Ładu</w:t>
      </w:r>
      <w:r w:rsidRPr="004D5AD1">
        <w:rPr>
          <w:rStyle w:val="FootnoteReference"/>
          <w:noProof/>
        </w:rPr>
        <w:footnoteReference w:id="2"/>
      </w:r>
      <w:r w:rsidRPr="004D5AD1">
        <w:rPr>
          <w:noProof/>
        </w:rPr>
        <w:t xml:space="preserve"> wskazano, że prowadzone będą działania pomagające obniżyć emisyjność sektora gazu,</w:t>
      </w:r>
      <w:r w:rsidR="004D5AD1" w:rsidRPr="004D5AD1">
        <w:rPr>
          <w:noProof/>
        </w:rPr>
        <w:t xml:space="preserve"> w</w:t>
      </w:r>
      <w:r w:rsidR="004D5AD1">
        <w:rPr>
          <w:noProof/>
        </w:rPr>
        <w:t> </w:t>
      </w:r>
      <w:r w:rsidR="004D5AD1" w:rsidRPr="004D5AD1">
        <w:rPr>
          <w:noProof/>
        </w:rPr>
        <w:t>tym</w:t>
      </w:r>
      <w:r w:rsidRPr="004D5AD1">
        <w:rPr>
          <w:noProof/>
        </w:rPr>
        <w:t xml:space="preserve"> poprzez rozwiązanie problemu emisji metanu związanych</w:t>
      </w:r>
      <w:r w:rsidR="004D5AD1" w:rsidRPr="004D5AD1">
        <w:rPr>
          <w:noProof/>
        </w:rPr>
        <w:t xml:space="preserve"> z</w:t>
      </w:r>
      <w:r w:rsidR="004D5AD1">
        <w:rPr>
          <w:noProof/>
        </w:rPr>
        <w:t> </w:t>
      </w:r>
      <w:r w:rsidR="004D5AD1" w:rsidRPr="004D5AD1">
        <w:rPr>
          <w:noProof/>
        </w:rPr>
        <w:t>ene</w:t>
      </w:r>
      <w:r w:rsidRPr="004D5AD1">
        <w:rPr>
          <w:noProof/>
        </w:rPr>
        <w:t>rgią</w:t>
      </w:r>
      <w:r w:rsidR="004D5AD1" w:rsidRPr="004D5AD1">
        <w:rPr>
          <w:noProof/>
        </w:rPr>
        <w:t>. W</w:t>
      </w:r>
      <w:r w:rsidR="004D5AD1">
        <w:rPr>
          <w:noProof/>
        </w:rPr>
        <w:t> </w:t>
      </w:r>
      <w:r w:rsidR="004D5AD1" w:rsidRPr="004D5AD1">
        <w:rPr>
          <w:noProof/>
        </w:rPr>
        <w:t>paź</w:t>
      </w:r>
      <w:r w:rsidRPr="004D5AD1">
        <w:rPr>
          <w:noProof/>
        </w:rPr>
        <w:t>dzierniku 2020</w:t>
      </w:r>
      <w:r w:rsidR="004D5AD1" w:rsidRPr="004D5AD1">
        <w:rPr>
          <w:noProof/>
        </w:rPr>
        <w:t> </w:t>
      </w:r>
      <w:r w:rsidRPr="004D5AD1">
        <w:rPr>
          <w:noProof/>
        </w:rPr>
        <w:t>r.</w:t>
      </w:r>
      <w:r w:rsidRPr="004D5AD1">
        <w:rPr>
          <w:rFonts w:ascii="Arial" w:hAnsi="Arial"/>
          <w:noProof/>
          <w:szCs w:val="24"/>
        </w:rPr>
        <w:t xml:space="preserve"> </w:t>
      </w:r>
      <w:r w:rsidRPr="004D5AD1">
        <w:rPr>
          <w:noProof/>
        </w:rPr>
        <w:t>Komisja przyjęła strategię UE na rzecz ograniczenia emisji metanu,</w:t>
      </w:r>
      <w:r w:rsidR="004D5AD1" w:rsidRPr="004D5AD1">
        <w:rPr>
          <w:noProof/>
        </w:rPr>
        <w:t xml:space="preserve"> w</w:t>
      </w:r>
      <w:r w:rsidR="004D5AD1">
        <w:rPr>
          <w:noProof/>
        </w:rPr>
        <w:t> </w:t>
      </w:r>
      <w:r w:rsidR="004D5AD1" w:rsidRPr="004D5AD1">
        <w:rPr>
          <w:noProof/>
        </w:rPr>
        <w:t>któ</w:t>
      </w:r>
      <w:r w:rsidRPr="004D5AD1">
        <w:rPr>
          <w:noProof/>
        </w:rPr>
        <w:t>rej przedstawiono środki mające na celu obniżenie emisji metanu w UE,</w:t>
      </w:r>
      <w:r w:rsidR="004D5AD1" w:rsidRPr="004D5AD1">
        <w:rPr>
          <w:noProof/>
        </w:rPr>
        <w:t xml:space="preserve"> w</w:t>
      </w:r>
      <w:r w:rsidR="004D5AD1">
        <w:rPr>
          <w:noProof/>
        </w:rPr>
        <w:t> </w:t>
      </w:r>
      <w:r w:rsidR="004D5AD1" w:rsidRPr="004D5AD1">
        <w:rPr>
          <w:noProof/>
        </w:rPr>
        <w:t>tym w</w:t>
      </w:r>
      <w:r w:rsidR="004D5AD1">
        <w:rPr>
          <w:noProof/>
        </w:rPr>
        <w:t> </w:t>
      </w:r>
      <w:r w:rsidR="004D5AD1" w:rsidRPr="004D5AD1">
        <w:rPr>
          <w:noProof/>
        </w:rPr>
        <w:t>sek</w:t>
      </w:r>
      <w:r w:rsidRPr="004D5AD1">
        <w:rPr>
          <w:noProof/>
        </w:rPr>
        <w:t xml:space="preserve">torze energetycznym, oraz na całym świecie. </w:t>
      </w:r>
    </w:p>
    <w:p w14:paraId="005FD0D5" w14:textId="2122088B" w:rsidR="00BC3357" w:rsidRPr="004D5AD1" w:rsidRDefault="00BC3357" w:rsidP="00BC3357">
      <w:pPr>
        <w:pBdr>
          <w:top w:val="nil"/>
          <w:left w:val="nil"/>
          <w:bottom w:val="nil"/>
          <w:right w:val="nil"/>
          <w:between w:val="nil"/>
          <w:bar w:val="nil"/>
        </w:pBdr>
        <w:spacing w:before="0" w:after="240"/>
        <w:rPr>
          <w:noProof/>
        </w:rPr>
      </w:pPr>
      <w:r w:rsidRPr="004D5AD1">
        <w:rPr>
          <w:noProof/>
        </w:rPr>
        <w:t>Rozporządzenie (UE) 2018/1999 („rozporządzenie</w:t>
      </w:r>
      <w:r w:rsidR="004D5AD1" w:rsidRPr="004D5AD1">
        <w:rPr>
          <w:noProof/>
        </w:rPr>
        <w:t xml:space="preserve"> w</w:t>
      </w:r>
      <w:r w:rsidR="004D5AD1">
        <w:rPr>
          <w:noProof/>
        </w:rPr>
        <w:t> </w:t>
      </w:r>
      <w:r w:rsidR="004D5AD1" w:rsidRPr="004D5AD1">
        <w:rPr>
          <w:noProof/>
        </w:rPr>
        <w:t>spr</w:t>
      </w:r>
      <w:r w:rsidRPr="004D5AD1">
        <w:rPr>
          <w:noProof/>
        </w:rPr>
        <w:t>awie zarządzania unią energetyczną</w:t>
      </w:r>
      <w:r w:rsidR="004D5AD1" w:rsidRPr="004D5AD1">
        <w:rPr>
          <w:noProof/>
        </w:rPr>
        <w:t xml:space="preserve"> i</w:t>
      </w:r>
      <w:r w:rsidR="004D5AD1">
        <w:rPr>
          <w:noProof/>
        </w:rPr>
        <w:t> </w:t>
      </w:r>
      <w:r w:rsidR="004D5AD1" w:rsidRPr="004D5AD1">
        <w:rPr>
          <w:noProof/>
        </w:rPr>
        <w:t>dzi</w:t>
      </w:r>
      <w:r w:rsidRPr="004D5AD1">
        <w:rPr>
          <w:noProof/>
        </w:rPr>
        <w:t>ałaniami</w:t>
      </w:r>
      <w:r w:rsidR="004D5AD1" w:rsidRPr="004D5AD1">
        <w:rPr>
          <w:noProof/>
        </w:rPr>
        <w:t xml:space="preserve"> w</w:t>
      </w:r>
      <w:r w:rsidR="004D5AD1">
        <w:rPr>
          <w:noProof/>
        </w:rPr>
        <w:t> </w:t>
      </w:r>
      <w:r w:rsidR="004D5AD1" w:rsidRPr="004D5AD1">
        <w:rPr>
          <w:noProof/>
        </w:rPr>
        <w:t>dzi</w:t>
      </w:r>
      <w:r w:rsidRPr="004D5AD1">
        <w:rPr>
          <w:noProof/>
        </w:rPr>
        <w:t>edzinie klimatu”) zobowiązuje państwa członkowskie do ustanowienia krajowych systemów wykazów</w:t>
      </w:r>
      <w:r w:rsidR="004D5AD1" w:rsidRPr="004D5AD1">
        <w:rPr>
          <w:noProof/>
        </w:rPr>
        <w:t xml:space="preserve"> w</w:t>
      </w:r>
      <w:r w:rsidR="004D5AD1">
        <w:rPr>
          <w:noProof/>
        </w:rPr>
        <w:t> </w:t>
      </w:r>
      <w:r w:rsidR="004D5AD1" w:rsidRPr="004D5AD1">
        <w:rPr>
          <w:noProof/>
        </w:rPr>
        <w:t>cel</w:t>
      </w:r>
      <w:r w:rsidRPr="004D5AD1">
        <w:rPr>
          <w:noProof/>
        </w:rPr>
        <w:t>u szacowania antropogenicznych emisji gazów cieplarnianych oraz</w:t>
      </w:r>
      <w:r w:rsidR="004D5AD1" w:rsidRPr="004D5AD1">
        <w:rPr>
          <w:noProof/>
        </w:rPr>
        <w:t xml:space="preserve"> w</w:t>
      </w:r>
      <w:r w:rsidR="004D5AD1">
        <w:rPr>
          <w:noProof/>
        </w:rPr>
        <w:t> </w:t>
      </w:r>
      <w:r w:rsidR="004D5AD1" w:rsidRPr="004D5AD1">
        <w:rPr>
          <w:noProof/>
        </w:rPr>
        <w:t>cel</w:t>
      </w:r>
      <w:r w:rsidRPr="004D5AD1">
        <w:rPr>
          <w:noProof/>
        </w:rPr>
        <w:t>u zgłaszania tych krajowych prognoz. Sprawozdania na temat krajowych prognoz sporządzane są zgodnie</w:t>
      </w:r>
      <w:r w:rsidR="004D5AD1" w:rsidRPr="004D5AD1">
        <w:rPr>
          <w:noProof/>
        </w:rPr>
        <w:t xml:space="preserve"> z</w:t>
      </w:r>
      <w:r w:rsidR="004D5AD1">
        <w:rPr>
          <w:noProof/>
        </w:rPr>
        <w:t> </w:t>
      </w:r>
      <w:r w:rsidR="004D5AD1" w:rsidRPr="004D5AD1">
        <w:rPr>
          <w:noProof/>
        </w:rPr>
        <w:t>wyt</w:t>
      </w:r>
      <w:r w:rsidRPr="004D5AD1">
        <w:rPr>
          <w:noProof/>
        </w:rPr>
        <w:t>ycznymi IPCC</w:t>
      </w:r>
      <w:r w:rsidR="004D5AD1" w:rsidRPr="004D5AD1">
        <w:rPr>
          <w:noProof/>
        </w:rPr>
        <w:t xml:space="preserve"> i</w:t>
      </w:r>
      <w:r w:rsidR="004D5AD1">
        <w:rPr>
          <w:noProof/>
        </w:rPr>
        <w:t> </w:t>
      </w:r>
      <w:r w:rsidR="004D5AD1" w:rsidRPr="004D5AD1">
        <w:rPr>
          <w:noProof/>
        </w:rPr>
        <w:t>czę</w:t>
      </w:r>
      <w:r w:rsidRPr="004D5AD1">
        <w:rPr>
          <w:noProof/>
        </w:rPr>
        <w:t>sto opierają się na domyślnych współczynnikach emisji,</w:t>
      </w:r>
      <w:r w:rsidR="004D5AD1" w:rsidRPr="004D5AD1">
        <w:rPr>
          <w:noProof/>
        </w:rPr>
        <w:t xml:space="preserve"> a</w:t>
      </w:r>
      <w:r w:rsidR="004D5AD1">
        <w:rPr>
          <w:noProof/>
        </w:rPr>
        <w:t> </w:t>
      </w:r>
      <w:r w:rsidR="004D5AD1" w:rsidRPr="004D5AD1">
        <w:rPr>
          <w:noProof/>
        </w:rPr>
        <w:t>nie</w:t>
      </w:r>
      <w:r w:rsidRPr="004D5AD1">
        <w:rPr>
          <w:noProof/>
        </w:rPr>
        <w:t xml:space="preserve"> na bezpośrednich pomiarach na poziomie źródła, co wiąże się</w:t>
      </w:r>
      <w:r w:rsidR="004D5AD1" w:rsidRPr="004D5AD1">
        <w:rPr>
          <w:noProof/>
        </w:rPr>
        <w:t xml:space="preserve"> z</w:t>
      </w:r>
      <w:r w:rsidR="004D5AD1">
        <w:rPr>
          <w:noProof/>
        </w:rPr>
        <w:t> </w:t>
      </w:r>
      <w:r w:rsidR="004D5AD1" w:rsidRPr="004D5AD1">
        <w:rPr>
          <w:noProof/>
        </w:rPr>
        <w:t>nie</w:t>
      </w:r>
      <w:r w:rsidRPr="004D5AD1">
        <w:rPr>
          <w:noProof/>
        </w:rPr>
        <w:t>pewnością co do dokładnego źródła, częstotliwości</w:t>
      </w:r>
      <w:r w:rsidR="004D5AD1" w:rsidRPr="004D5AD1">
        <w:rPr>
          <w:noProof/>
        </w:rPr>
        <w:t xml:space="preserve"> i</w:t>
      </w:r>
      <w:r w:rsidR="004D5AD1">
        <w:rPr>
          <w:noProof/>
        </w:rPr>
        <w:t> </w:t>
      </w:r>
      <w:r w:rsidR="004D5AD1" w:rsidRPr="004D5AD1">
        <w:rPr>
          <w:noProof/>
        </w:rPr>
        <w:t>wie</w:t>
      </w:r>
      <w:r w:rsidRPr="004D5AD1">
        <w:rPr>
          <w:noProof/>
        </w:rPr>
        <w:t xml:space="preserve">lkości emisji. </w:t>
      </w:r>
    </w:p>
    <w:p w14:paraId="76DB1C6B" w14:textId="4A7DC5F5" w:rsidR="00BC3357" w:rsidRPr="004D5AD1" w:rsidRDefault="00BC3357" w:rsidP="00BC3357">
      <w:pPr>
        <w:rPr>
          <w:rFonts w:eastAsia="Calibri"/>
          <w:noProof/>
          <w:szCs w:val="24"/>
        </w:rPr>
      </w:pPr>
      <w:r w:rsidRPr="004D5AD1">
        <w:rPr>
          <w:noProof/>
        </w:rPr>
        <w:t xml:space="preserve">Emisje metanu występujące na poziomie </w:t>
      </w:r>
      <w:r w:rsidRPr="004D5AD1">
        <w:rPr>
          <w:rStyle w:val="normaltextrun"/>
          <w:noProof/>
        </w:rPr>
        <w:t>poszukiwania oraz produkcji ropy naftowej</w:t>
      </w:r>
      <w:r w:rsidR="004D5AD1" w:rsidRPr="004D5AD1">
        <w:rPr>
          <w:rStyle w:val="normaltextrun"/>
          <w:noProof/>
        </w:rPr>
        <w:t xml:space="preserve"> i</w:t>
      </w:r>
      <w:r w:rsidR="004D5AD1">
        <w:rPr>
          <w:rStyle w:val="normaltextrun"/>
          <w:noProof/>
        </w:rPr>
        <w:t> </w:t>
      </w:r>
      <w:r w:rsidR="004D5AD1" w:rsidRPr="004D5AD1">
        <w:rPr>
          <w:rStyle w:val="normaltextrun"/>
          <w:noProof/>
        </w:rPr>
        <w:t>gaz</w:t>
      </w:r>
      <w:r w:rsidRPr="004D5AD1">
        <w:rPr>
          <w:rStyle w:val="normaltextrun"/>
          <w:noProof/>
        </w:rPr>
        <w:t>u ziemnego, gromadzenia</w:t>
      </w:r>
      <w:r w:rsidR="004D5AD1" w:rsidRPr="004D5AD1">
        <w:rPr>
          <w:rStyle w:val="normaltextrun"/>
          <w:noProof/>
        </w:rPr>
        <w:t xml:space="preserve"> i</w:t>
      </w:r>
      <w:r w:rsidR="004D5AD1">
        <w:rPr>
          <w:rStyle w:val="normaltextrun"/>
          <w:noProof/>
        </w:rPr>
        <w:t> </w:t>
      </w:r>
      <w:r w:rsidR="004D5AD1" w:rsidRPr="004D5AD1">
        <w:rPr>
          <w:rStyle w:val="normaltextrun"/>
          <w:noProof/>
        </w:rPr>
        <w:t>prz</w:t>
      </w:r>
      <w:r w:rsidRPr="004D5AD1">
        <w:rPr>
          <w:rStyle w:val="normaltextrun"/>
          <w:noProof/>
        </w:rPr>
        <w:t>etwarzania gazu ziemnego, przesyłu, dystrybucji, składowania podziemnego</w:t>
      </w:r>
      <w:r w:rsidR="004D5AD1" w:rsidRPr="004D5AD1">
        <w:rPr>
          <w:rStyle w:val="normaltextrun"/>
          <w:noProof/>
        </w:rPr>
        <w:t xml:space="preserve"> i</w:t>
      </w:r>
      <w:r w:rsidR="004D5AD1">
        <w:rPr>
          <w:rStyle w:val="normaltextrun"/>
          <w:noProof/>
        </w:rPr>
        <w:t> </w:t>
      </w:r>
      <w:r w:rsidR="004D5AD1" w:rsidRPr="004D5AD1">
        <w:rPr>
          <w:rStyle w:val="normaltextrun"/>
          <w:noProof/>
        </w:rPr>
        <w:t>ter</w:t>
      </w:r>
      <w:r w:rsidRPr="004D5AD1">
        <w:rPr>
          <w:rStyle w:val="normaltextrun"/>
          <w:noProof/>
        </w:rPr>
        <w:t>minali skroplonego gazu ziemnego (LNG),</w:t>
      </w:r>
      <w:r w:rsidR="004D5AD1" w:rsidRPr="004D5AD1">
        <w:rPr>
          <w:rStyle w:val="normaltextrun"/>
          <w:noProof/>
        </w:rPr>
        <w:t xml:space="preserve"> a</w:t>
      </w:r>
      <w:r w:rsidR="004D5AD1">
        <w:rPr>
          <w:rStyle w:val="normaltextrun"/>
          <w:noProof/>
        </w:rPr>
        <w:t> </w:t>
      </w:r>
      <w:r w:rsidR="004D5AD1" w:rsidRPr="004D5AD1">
        <w:rPr>
          <w:rStyle w:val="normaltextrun"/>
          <w:noProof/>
        </w:rPr>
        <w:t>tak</w:t>
      </w:r>
      <w:r w:rsidRPr="004D5AD1">
        <w:rPr>
          <w:rStyle w:val="normaltextrun"/>
          <w:noProof/>
        </w:rPr>
        <w:t>że czynnych, zamkniętych lub nieczynnych kopalń węgla</w:t>
      </w:r>
      <w:r w:rsidRPr="004D5AD1">
        <w:rPr>
          <w:noProof/>
        </w:rPr>
        <w:t xml:space="preserve"> nie są szczegółowo regulowane na szczeblu Unii.</w:t>
      </w:r>
    </w:p>
    <w:p w14:paraId="4EDE390C" w14:textId="321E0ECA" w:rsidR="00BC3357" w:rsidRPr="004D5AD1" w:rsidRDefault="00BC3357" w:rsidP="00BC3357">
      <w:pPr>
        <w:rPr>
          <w:rFonts w:eastAsia="Times New Roman"/>
          <w:noProof/>
          <w:szCs w:val="24"/>
        </w:rPr>
      </w:pPr>
      <w:r w:rsidRPr="004D5AD1">
        <w:rPr>
          <w:noProof/>
        </w:rPr>
        <w:t>Dyrektywa 2010/75/UE („dyrektywa</w:t>
      </w:r>
      <w:r w:rsidR="004D5AD1" w:rsidRPr="004D5AD1">
        <w:rPr>
          <w:noProof/>
        </w:rPr>
        <w:t xml:space="preserve"> w</w:t>
      </w:r>
      <w:r w:rsidR="004D5AD1">
        <w:rPr>
          <w:noProof/>
        </w:rPr>
        <w:t> </w:t>
      </w:r>
      <w:r w:rsidR="004D5AD1" w:rsidRPr="004D5AD1">
        <w:rPr>
          <w:noProof/>
        </w:rPr>
        <w:t>spr</w:t>
      </w:r>
      <w:r w:rsidRPr="004D5AD1">
        <w:rPr>
          <w:noProof/>
        </w:rPr>
        <w:t>awie emisji przemysłowych”), obecnie poddawana przeglądowi, reguluje emisje zanieczyszczeń</w:t>
      </w:r>
      <w:r w:rsidR="004D5AD1" w:rsidRPr="004D5AD1">
        <w:rPr>
          <w:noProof/>
        </w:rPr>
        <w:t xml:space="preserve"> z</w:t>
      </w:r>
      <w:r w:rsidR="004D5AD1">
        <w:rPr>
          <w:noProof/>
        </w:rPr>
        <w:t> </w:t>
      </w:r>
      <w:r w:rsidR="004D5AD1" w:rsidRPr="004D5AD1">
        <w:rPr>
          <w:noProof/>
        </w:rPr>
        <w:t>ins</w:t>
      </w:r>
      <w:r w:rsidRPr="004D5AD1">
        <w:rPr>
          <w:noProof/>
        </w:rPr>
        <w:t>talacji przemysłowych,</w:t>
      </w:r>
      <w:r w:rsidR="004D5AD1" w:rsidRPr="004D5AD1">
        <w:rPr>
          <w:noProof/>
        </w:rPr>
        <w:t xml:space="preserve"> w</w:t>
      </w:r>
      <w:r w:rsidR="004D5AD1">
        <w:rPr>
          <w:noProof/>
        </w:rPr>
        <w:t> </w:t>
      </w:r>
      <w:r w:rsidR="004D5AD1" w:rsidRPr="004D5AD1">
        <w:rPr>
          <w:noProof/>
        </w:rPr>
        <w:t>szc</w:t>
      </w:r>
      <w:r w:rsidRPr="004D5AD1">
        <w:rPr>
          <w:noProof/>
        </w:rPr>
        <w:t>zególności poprzez ustalanie dopuszczalnych wielkości emisji</w:t>
      </w:r>
      <w:r w:rsidR="004D5AD1" w:rsidRPr="004D5AD1">
        <w:rPr>
          <w:noProof/>
        </w:rPr>
        <w:t xml:space="preserve"> z</w:t>
      </w:r>
      <w:r w:rsidR="004D5AD1">
        <w:rPr>
          <w:noProof/>
        </w:rPr>
        <w:t> </w:t>
      </w:r>
      <w:r w:rsidR="004D5AD1" w:rsidRPr="004D5AD1">
        <w:rPr>
          <w:noProof/>
        </w:rPr>
        <w:t>ins</w:t>
      </w:r>
      <w:r w:rsidRPr="004D5AD1">
        <w:rPr>
          <w:noProof/>
        </w:rPr>
        <w:t>talacji przemysłowych</w:t>
      </w:r>
      <w:r w:rsidR="004D5AD1" w:rsidRPr="004D5AD1">
        <w:rPr>
          <w:noProof/>
        </w:rPr>
        <w:t xml:space="preserve"> w</w:t>
      </w:r>
      <w:r w:rsidR="004D5AD1">
        <w:rPr>
          <w:noProof/>
        </w:rPr>
        <w:t> </w:t>
      </w:r>
      <w:r w:rsidR="004D5AD1" w:rsidRPr="004D5AD1">
        <w:rPr>
          <w:noProof/>
        </w:rPr>
        <w:t>opa</w:t>
      </w:r>
      <w:r w:rsidRPr="004D5AD1">
        <w:rPr>
          <w:noProof/>
        </w:rPr>
        <w:t>rciu</w:t>
      </w:r>
      <w:r w:rsidR="004D5AD1" w:rsidRPr="004D5AD1">
        <w:rPr>
          <w:noProof/>
        </w:rPr>
        <w:t xml:space="preserve"> o</w:t>
      </w:r>
      <w:r w:rsidR="004D5AD1">
        <w:rPr>
          <w:noProof/>
        </w:rPr>
        <w:t> </w:t>
      </w:r>
      <w:r w:rsidR="004D5AD1" w:rsidRPr="004D5AD1">
        <w:rPr>
          <w:noProof/>
        </w:rPr>
        <w:t>naj</w:t>
      </w:r>
      <w:r w:rsidRPr="004D5AD1">
        <w:rPr>
          <w:noProof/>
        </w:rPr>
        <w:t>lepsze dostępne techniki</w:t>
      </w:r>
      <w:r w:rsidR="004D5AD1" w:rsidRPr="004D5AD1">
        <w:rPr>
          <w:noProof/>
        </w:rPr>
        <w:t xml:space="preserve"> i</w:t>
      </w:r>
      <w:r w:rsidR="004D5AD1">
        <w:rPr>
          <w:noProof/>
        </w:rPr>
        <w:t> </w:t>
      </w:r>
      <w:r w:rsidR="004D5AD1" w:rsidRPr="004D5AD1">
        <w:rPr>
          <w:noProof/>
        </w:rPr>
        <w:t>war</w:t>
      </w:r>
      <w:r w:rsidRPr="004D5AD1">
        <w:rPr>
          <w:noProof/>
        </w:rPr>
        <w:t>unki pozwolenia. Dyrektywa</w:t>
      </w:r>
      <w:r w:rsidR="004D5AD1" w:rsidRPr="004D5AD1">
        <w:rPr>
          <w:noProof/>
        </w:rPr>
        <w:t xml:space="preserve"> w</w:t>
      </w:r>
      <w:r w:rsidR="004D5AD1">
        <w:rPr>
          <w:noProof/>
        </w:rPr>
        <w:t> </w:t>
      </w:r>
      <w:r w:rsidR="004D5AD1" w:rsidRPr="004D5AD1">
        <w:rPr>
          <w:noProof/>
        </w:rPr>
        <w:t>spr</w:t>
      </w:r>
      <w:r w:rsidRPr="004D5AD1">
        <w:rPr>
          <w:noProof/>
        </w:rPr>
        <w:t>awie emisji przemysłowych obejmuje rafinację ropy naftowej</w:t>
      </w:r>
      <w:r w:rsidR="004D5AD1" w:rsidRPr="004D5AD1">
        <w:rPr>
          <w:noProof/>
        </w:rPr>
        <w:t xml:space="preserve"> i</w:t>
      </w:r>
      <w:r w:rsidR="004D5AD1">
        <w:rPr>
          <w:noProof/>
        </w:rPr>
        <w:t> </w:t>
      </w:r>
      <w:r w:rsidR="004D5AD1" w:rsidRPr="004D5AD1">
        <w:rPr>
          <w:noProof/>
        </w:rPr>
        <w:t>gaz</w:t>
      </w:r>
      <w:r w:rsidRPr="004D5AD1">
        <w:rPr>
          <w:noProof/>
        </w:rPr>
        <w:t>u, lecz nie obejmuje wyższego, średniego</w:t>
      </w:r>
      <w:r w:rsidR="004D5AD1" w:rsidRPr="004D5AD1">
        <w:rPr>
          <w:noProof/>
        </w:rPr>
        <w:t xml:space="preserve"> i</w:t>
      </w:r>
      <w:r w:rsidR="004D5AD1">
        <w:rPr>
          <w:noProof/>
        </w:rPr>
        <w:t> </w:t>
      </w:r>
      <w:r w:rsidR="004D5AD1" w:rsidRPr="004D5AD1">
        <w:rPr>
          <w:noProof/>
        </w:rPr>
        <w:t>niż</w:t>
      </w:r>
      <w:r w:rsidRPr="004D5AD1">
        <w:rPr>
          <w:noProof/>
        </w:rPr>
        <w:t xml:space="preserve">szego segmentu (upstream, midstream, downstream) sektora gazu ziemnego(LNG, podziemne składowanie gazu, przesył, dystrybucja) ani górnictwa węgla. </w:t>
      </w:r>
    </w:p>
    <w:p w14:paraId="29318BF1" w14:textId="425E2A46" w:rsidR="00FF5A95" w:rsidRPr="004D5AD1" w:rsidRDefault="003708B0" w:rsidP="00BC3357">
      <w:pPr>
        <w:rPr>
          <w:rFonts w:eastAsia="Times New Roman"/>
          <w:noProof/>
          <w:szCs w:val="24"/>
        </w:rPr>
      </w:pPr>
      <w:r w:rsidRPr="004D5AD1">
        <w:rPr>
          <w:noProof/>
        </w:rPr>
        <w:t>W rozporządzeniu (WE) 166/2006</w:t>
      </w:r>
      <w:r w:rsidR="00E518D0" w:rsidRPr="004D5AD1">
        <w:rPr>
          <w:rStyle w:val="FootnoteReference"/>
          <w:rFonts w:eastAsia="Times New Roman"/>
          <w:noProof/>
          <w:szCs w:val="24"/>
        </w:rPr>
        <w:footnoteReference w:id="3"/>
      </w:r>
      <w:r w:rsidRPr="004D5AD1">
        <w:rPr>
          <w:noProof/>
        </w:rPr>
        <w:t xml:space="preserve"> („rozporządzenie</w:t>
      </w:r>
      <w:r w:rsidR="004D5AD1" w:rsidRPr="004D5AD1">
        <w:rPr>
          <w:noProof/>
        </w:rPr>
        <w:t xml:space="preserve"> w</w:t>
      </w:r>
      <w:r w:rsidR="004D5AD1">
        <w:rPr>
          <w:noProof/>
        </w:rPr>
        <w:t> </w:t>
      </w:r>
      <w:r w:rsidR="004D5AD1" w:rsidRPr="004D5AD1">
        <w:rPr>
          <w:noProof/>
        </w:rPr>
        <w:t>spr</w:t>
      </w:r>
      <w:r w:rsidRPr="004D5AD1">
        <w:rPr>
          <w:noProof/>
        </w:rPr>
        <w:t>awie Europejskiego Rejestru Uwalniania</w:t>
      </w:r>
      <w:r w:rsidR="004D5AD1" w:rsidRPr="004D5AD1">
        <w:rPr>
          <w:noProof/>
        </w:rPr>
        <w:t xml:space="preserve"> i</w:t>
      </w:r>
      <w:r w:rsidR="004D5AD1">
        <w:rPr>
          <w:noProof/>
        </w:rPr>
        <w:t> </w:t>
      </w:r>
      <w:r w:rsidR="004D5AD1" w:rsidRPr="004D5AD1">
        <w:rPr>
          <w:noProof/>
        </w:rPr>
        <w:t>Tra</w:t>
      </w:r>
      <w:r w:rsidRPr="004D5AD1">
        <w:rPr>
          <w:noProof/>
        </w:rPr>
        <w:t>nsferu Zanieczyszczeń”, „rozporządzenie</w:t>
      </w:r>
      <w:r w:rsidR="004D5AD1" w:rsidRPr="004D5AD1">
        <w:rPr>
          <w:noProof/>
        </w:rPr>
        <w:t xml:space="preserve"> w</w:t>
      </w:r>
      <w:r w:rsidR="004D5AD1">
        <w:rPr>
          <w:noProof/>
        </w:rPr>
        <w:t> </w:t>
      </w:r>
      <w:r w:rsidR="004D5AD1" w:rsidRPr="004D5AD1">
        <w:rPr>
          <w:noProof/>
        </w:rPr>
        <w:t>spr</w:t>
      </w:r>
      <w:r w:rsidRPr="004D5AD1">
        <w:rPr>
          <w:noProof/>
        </w:rPr>
        <w:t>awie europejskiego PRTR”), ściśle powiązanym</w:t>
      </w:r>
      <w:r w:rsidR="004D5AD1" w:rsidRPr="004D5AD1">
        <w:rPr>
          <w:noProof/>
        </w:rPr>
        <w:t xml:space="preserve"> z</w:t>
      </w:r>
      <w:r w:rsidR="004D5AD1">
        <w:rPr>
          <w:noProof/>
        </w:rPr>
        <w:t> </w:t>
      </w:r>
      <w:r w:rsidR="004D5AD1" w:rsidRPr="004D5AD1">
        <w:rPr>
          <w:noProof/>
        </w:rPr>
        <w:t>dyr</w:t>
      </w:r>
      <w:r w:rsidRPr="004D5AD1">
        <w:rPr>
          <w:noProof/>
        </w:rPr>
        <w:t>ektywą</w:t>
      </w:r>
      <w:r w:rsidR="004D5AD1" w:rsidRPr="004D5AD1">
        <w:rPr>
          <w:noProof/>
        </w:rPr>
        <w:t xml:space="preserve"> w</w:t>
      </w:r>
      <w:r w:rsidR="004D5AD1">
        <w:rPr>
          <w:noProof/>
        </w:rPr>
        <w:t> </w:t>
      </w:r>
      <w:r w:rsidR="004D5AD1" w:rsidRPr="004D5AD1">
        <w:rPr>
          <w:noProof/>
        </w:rPr>
        <w:t>spr</w:t>
      </w:r>
      <w:r w:rsidRPr="004D5AD1">
        <w:rPr>
          <w:noProof/>
        </w:rPr>
        <w:t>awie emisji przemysłowych,</w:t>
      </w:r>
      <w:r w:rsidR="004D5AD1" w:rsidRPr="004D5AD1">
        <w:rPr>
          <w:noProof/>
        </w:rPr>
        <w:t xml:space="preserve"> w</w:t>
      </w:r>
      <w:r w:rsidR="004D5AD1">
        <w:rPr>
          <w:noProof/>
        </w:rPr>
        <w:t> </w:t>
      </w:r>
      <w:r w:rsidR="004D5AD1" w:rsidRPr="004D5AD1">
        <w:rPr>
          <w:noProof/>
        </w:rPr>
        <w:t>odn</w:t>
      </w:r>
      <w:r w:rsidRPr="004D5AD1">
        <w:rPr>
          <w:noProof/>
        </w:rPr>
        <w:t>iesieniu do „górnictwa podziemnego</w:t>
      </w:r>
      <w:r w:rsidR="004D5AD1" w:rsidRPr="004D5AD1">
        <w:rPr>
          <w:noProof/>
        </w:rPr>
        <w:t xml:space="preserve"> i</w:t>
      </w:r>
      <w:r w:rsidR="004D5AD1">
        <w:rPr>
          <w:noProof/>
        </w:rPr>
        <w:t> </w:t>
      </w:r>
      <w:r w:rsidR="004D5AD1" w:rsidRPr="004D5AD1">
        <w:rPr>
          <w:noProof/>
        </w:rPr>
        <w:t>dzi</w:t>
      </w:r>
      <w:r w:rsidRPr="004D5AD1">
        <w:rPr>
          <w:noProof/>
        </w:rPr>
        <w:t>ałalności powiązanych” określono wymóg zgłaszania przypadków uwolnienia zanieczyszczeń,</w:t>
      </w:r>
      <w:r w:rsidR="004D5AD1" w:rsidRPr="004D5AD1">
        <w:rPr>
          <w:noProof/>
        </w:rPr>
        <w:t xml:space="preserve"> w</w:t>
      </w:r>
      <w:r w:rsidR="004D5AD1">
        <w:rPr>
          <w:noProof/>
        </w:rPr>
        <w:t> </w:t>
      </w:r>
      <w:r w:rsidR="004D5AD1" w:rsidRPr="004D5AD1">
        <w:rPr>
          <w:noProof/>
        </w:rPr>
        <w:t>tym</w:t>
      </w:r>
      <w:r w:rsidRPr="004D5AD1">
        <w:rPr>
          <w:noProof/>
        </w:rPr>
        <w:t xml:space="preserve"> metanu,</w:t>
      </w:r>
      <w:r w:rsidR="004D5AD1" w:rsidRPr="004D5AD1">
        <w:rPr>
          <w:noProof/>
        </w:rPr>
        <w:t xml:space="preserve"> w</w:t>
      </w:r>
      <w:r w:rsidR="004D5AD1">
        <w:rPr>
          <w:noProof/>
        </w:rPr>
        <w:t> </w:t>
      </w:r>
      <w:r w:rsidR="004D5AD1" w:rsidRPr="004D5AD1">
        <w:rPr>
          <w:noProof/>
        </w:rPr>
        <w:t>raz</w:t>
      </w:r>
      <w:r w:rsidRPr="004D5AD1">
        <w:rPr>
          <w:noProof/>
        </w:rPr>
        <w:t>ie przekroczenia progu powodującego obowiązek zgłoszenia wynoszącego 100 000 kg/rok. Na potrzeby pomiaru uwolnień metanu dodatek 3 do wytycznych dotyczących wdrażania europejskiego PRTR</w:t>
      </w:r>
      <w:r w:rsidRPr="004D5AD1">
        <w:rPr>
          <w:rStyle w:val="FootnoteReference"/>
          <w:rFonts w:eastAsia="Times New Roman"/>
          <w:noProof/>
          <w:szCs w:val="24"/>
        </w:rPr>
        <w:footnoteReference w:id="4"/>
      </w:r>
      <w:r w:rsidRPr="004D5AD1">
        <w:rPr>
          <w:noProof/>
        </w:rPr>
        <w:t xml:space="preserve"> zawiera odwołanie do normy ISO będącej</w:t>
      </w:r>
      <w:r w:rsidR="004D5AD1" w:rsidRPr="004D5AD1">
        <w:rPr>
          <w:noProof/>
        </w:rPr>
        <w:t xml:space="preserve"> w</w:t>
      </w:r>
      <w:r w:rsidR="004D5AD1">
        <w:rPr>
          <w:noProof/>
        </w:rPr>
        <w:t> </w:t>
      </w:r>
      <w:r w:rsidR="004D5AD1" w:rsidRPr="004D5AD1">
        <w:rPr>
          <w:noProof/>
        </w:rPr>
        <w:t>prz</w:t>
      </w:r>
      <w:r w:rsidRPr="004D5AD1">
        <w:rPr>
          <w:noProof/>
        </w:rPr>
        <w:t>ygotowaniu (przez ISO/TC 146/SC 1/WG 22). Europejski PRTR jest również obecnie poddawany przeglądowi</w:t>
      </w:r>
      <w:r w:rsidR="004D5AD1" w:rsidRPr="004D5AD1">
        <w:rPr>
          <w:noProof/>
        </w:rPr>
        <w:t>. W</w:t>
      </w:r>
      <w:r w:rsidR="004D5AD1">
        <w:rPr>
          <w:noProof/>
        </w:rPr>
        <w:t> </w:t>
      </w:r>
      <w:r w:rsidR="004D5AD1" w:rsidRPr="004D5AD1">
        <w:rPr>
          <w:noProof/>
        </w:rPr>
        <w:t>ram</w:t>
      </w:r>
      <w:r w:rsidRPr="004D5AD1">
        <w:rPr>
          <w:noProof/>
        </w:rPr>
        <w:t>ach przeglądu dyrektywy</w:t>
      </w:r>
      <w:r w:rsidR="004D5AD1" w:rsidRPr="004D5AD1">
        <w:rPr>
          <w:noProof/>
        </w:rPr>
        <w:t xml:space="preserve"> w</w:t>
      </w:r>
      <w:r w:rsidR="004D5AD1">
        <w:rPr>
          <w:noProof/>
        </w:rPr>
        <w:t> </w:t>
      </w:r>
      <w:r w:rsidR="004D5AD1" w:rsidRPr="004D5AD1">
        <w:rPr>
          <w:noProof/>
        </w:rPr>
        <w:t>spr</w:t>
      </w:r>
      <w:r w:rsidRPr="004D5AD1">
        <w:rPr>
          <w:noProof/>
        </w:rPr>
        <w:t>awie emisji przemysłowych oraz europejskiego PRTR uwzględniona zostanie potrzeba uniknięcia podwójnej regulacji. Niniejszy wniosek stanowi zatem uzupełnienie tych dwóch aktów, ponieważ dotyczy emisji metanu</w:t>
      </w:r>
      <w:r w:rsidR="004D5AD1" w:rsidRPr="004D5AD1">
        <w:rPr>
          <w:noProof/>
        </w:rPr>
        <w:t xml:space="preserve"> w</w:t>
      </w:r>
      <w:r w:rsidR="004D5AD1">
        <w:rPr>
          <w:noProof/>
        </w:rPr>
        <w:t> </w:t>
      </w:r>
      <w:r w:rsidR="004D5AD1" w:rsidRPr="004D5AD1">
        <w:rPr>
          <w:noProof/>
        </w:rPr>
        <w:t>cał</w:t>
      </w:r>
      <w:r w:rsidRPr="004D5AD1">
        <w:rPr>
          <w:noProof/>
        </w:rPr>
        <w:t>ym łańcuchu dostaw energii pochodzącej</w:t>
      </w:r>
      <w:r w:rsidR="004D5AD1" w:rsidRPr="004D5AD1">
        <w:rPr>
          <w:noProof/>
        </w:rPr>
        <w:t xml:space="preserve"> z</w:t>
      </w:r>
      <w:r w:rsidR="004D5AD1">
        <w:rPr>
          <w:noProof/>
        </w:rPr>
        <w:t> </w:t>
      </w:r>
      <w:r w:rsidR="004D5AD1" w:rsidRPr="004D5AD1">
        <w:rPr>
          <w:noProof/>
        </w:rPr>
        <w:t>pal</w:t>
      </w:r>
      <w:r w:rsidRPr="004D5AD1">
        <w:rPr>
          <w:noProof/>
        </w:rPr>
        <w:t>iw kopalnych.</w:t>
      </w:r>
    </w:p>
    <w:p w14:paraId="3E3F531B" w14:textId="769CA975" w:rsidR="00BC3357" w:rsidRPr="004D5AD1" w:rsidRDefault="00BC3357" w:rsidP="00BC3357">
      <w:pPr>
        <w:rPr>
          <w:rFonts w:eastAsia="Calibri"/>
          <w:noProof/>
          <w:szCs w:val="24"/>
        </w:rPr>
      </w:pPr>
      <w:r w:rsidRPr="004D5AD1">
        <w:rPr>
          <w:noProof/>
        </w:rPr>
        <w:t>W dniu 14 lipca 2021</w:t>
      </w:r>
      <w:r w:rsidR="004D5AD1" w:rsidRPr="004D5AD1">
        <w:rPr>
          <w:noProof/>
        </w:rPr>
        <w:t> </w:t>
      </w:r>
      <w:r w:rsidRPr="004D5AD1">
        <w:rPr>
          <w:noProof/>
        </w:rPr>
        <w:t>r. Komisja Europejska przyjęła szereg wniosków ustawodawczych,</w:t>
      </w:r>
      <w:r w:rsidR="004D5AD1" w:rsidRPr="004D5AD1">
        <w:rPr>
          <w:noProof/>
        </w:rPr>
        <w:t xml:space="preserve"> w</w:t>
      </w:r>
      <w:r w:rsidR="004D5AD1">
        <w:rPr>
          <w:noProof/>
        </w:rPr>
        <w:t> </w:t>
      </w:r>
      <w:r w:rsidR="004D5AD1" w:rsidRPr="004D5AD1">
        <w:rPr>
          <w:noProof/>
        </w:rPr>
        <w:t>któ</w:t>
      </w:r>
      <w:r w:rsidRPr="004D5AD1">
        <w:rPr>
          <w:noProof/>
        </w:rPr>
        <w:t>rych przedstawiła,</w:t>
      </w:r>
      <w:r w:rsidR="004D5AD1" w:rsidRPr="004D5AD1">
        <w:rPr>
          <w:noProof/>
        </w:rPr>
        <w:t xml:space="preserve"> w</w:t>
      </w:r>
      <w:r w:rsidR="004D5AD1">
        <w:rPr>
          <w:noProof/>
        </w:rPr>
        <w:t> </w:t>
      </w:r>
      <w:r w:rsidR="004D5AD1" w:rsidRPr="004D5AD1">
        <w:rPr>
          <w:noProof/>
        </w:rPr>
        <w:t>jak</w:t>
      </w:r>
      <w:r w:rsidRPr="004D5AD1">
        <w:rPr>
          <w:noProof/>
        </w:rPr>
        <w:t>i sposób zamierza osiągnąć neutralność klimatyczną w UE do</w:t>
      </w:r>
      <w:r w:rsidR="004D5AD1" w:rsidRPr="004D5AD1">
        <w:rPr>
          <w:noProof/>
        </w:rPr>
        <w:t> </w:t>
      </w:r>
      <w:r w:rsidRPr="004D5AD1">
        <w:rPr>
          <w:noProof/>
        </w:rPr>
        <w:t>2050</w:t>
      </w:r>
      <w:r w:rsidR="004D5AD1" w:rsidRPr="004D5AD1">
        <w:rPr>
          <w:noProof/>
        </w:rPr>
        <w:t> </w:t>
      </w:r>
      <w:r w:rsidRPr="004D5AD1">
        <w:rPr>
          <w:noProof/>
        </w:rPr>
        <w:t>r.</w:t>
      </w:r>
      <w:r w:rsidR="004D5AD1" w:rsidRPr="004D5AD1">
        <w:rPr>
          <w:noProof/>
        </w:rPr>
        <w:t xml:space="preserve"> i</w:t>
      </w:r>
      <w:r w:rsidR="004D5AD1">
        <w:rPr>
          <w:noProof/>
        </w:rPr>
        <w:t> </w:t>
      </w:r>
      <w:r w:rsidR="004D5AD1" w:rsidRPr="004D5AD1">
        <w:rPr>
          <w:noProof/>
        </w:rPr>
        <w:t>okr</w:t>
      </w:r>
      <w:r w:rsidRPr="004D5AD1">
        <w:rPr>
          <w:noProof/>
        </w:rPr>
        <w:t>eśliła cel pośredni polegający na redukcji emisji gazów cieplarnianych netto o co najmniej 55</w:t>
      </w:r>
      <w:r w:rsidR="004D5AD1" w:rsidRPr="004D5AD1">
        <w:rPr>
          <w:noProof/>
        </w:rPr>
        <w:t> </w:t>
      </w:r>
      <w:r w:rsidRPr="004D5AD1">
        <w:rPr>
          <w:noProof/>
        </w:rPr>
        <w:t>% do</w:t>
      </w:r>
      <w:r w:rsidR="004D5AD1" w:rsidRPr="004D5AD1">
        <w:rPr>
          <w:noProof/>
        </w:rPr>
        <w:t> </w:t>
      </w:r>
      <w:r w:rsidRPr="004D5AD1">
        <w:rPr>
          <w:noProof/>
        </w:rPr>
        <w:t>2030</w:t>
      </w:r>
      <w:r w:rsidR="004D5AD1" w:rsidRPr="004D5AD1">
        <w:rPr>
          <w:noProof/>
        </w:rPr>
        <w:t> </w:t>
      </w:r>
      <w:r w:rsidRPr="004D5AD1">
        <w:rPr>
          <w:noProof/>
        </w:rPr>
        <w:t>r</w:t>
      </w:r>
      <w:r w:rsidR="004D5AD1" w:rsidRPr="004D5AD1">
        <w:rPr>
          <w:noProof/>
        </w:rPr>
        <w:t>. W</w:t>
      </w:r>
      <w:r w:rsidR="004D5AD1">
        <w:rPr>
          <w:noProof/>
        </w:rPr>
        <w:t> </w:t>
      </w:r>
      <w:r w:rsidR="004D5AD1" w:rsidRPr="004D5AD1">
        <w:rPr>
          <w:noProof/>
        </w:rPr>
        <w:t>tym</w:t>
      </w:r>
      <w:r w:rsidRPr="004D5AD1">
        <w:rPr>
          <w:noProof/>
        </w:rPr>
        <w:t xml:space="preserve"> kontekście następujące inicjatywy mają istotne powiązania</w:t>
      </w:r>
      <w:r w:rsidR="004D5AD1" w:rsidRPr="004D5AD1">
        <w:rPr>
          <w:noProof/>
        </w:rPr>
        <w:t xml:space="preserve"> z</w:t>
      </w:r>
      <w:r w:rsidR="004D5AD1">
        <w:rPr>
          <w:noProof/>
        </w:rPr>
        <w:t> </w:t>
      </w:r>
      <w:r w:rsidR="004D5AD1" w:rsidRPr="004D5AD1">
        <w:rPr>
          <w:noProof/>
        </w:rPr>
        <w:t>pom</w:t>
      </w:r>
      <w:r w:rsidRPr="004D5AD1">
        <w:rPr>
          <w:noProof/>
        </w:rPr>
        <w:t>iarem</w:t>
      </w:r>
      <w:r w:rsidR="004D5AD1" w:rsidRPr="004D5AD1">
        <w:rPr>
          <w:noProof/>
        </w:rPr>
        <w:t xml:space="preserve"> i</w:t>
      </w:r>
      <w:r w:rsidR="004D5AD1">
        <w:rPr>
          <w:noProof/>
        </w:rPr>
        <w:t> </w:t>
      </w:r>
      <w:r w:rsidR="004D5AD1" w:rsidRPr="004D5AD1">
        <w:rPr>
          <w:noProof/>
        </w:rPr>
        <w:t>ogr</w:t>
      </w:r>
      <w:r w:rsidRPr="004D5AD1">
        <w:rPr>
          <w:noProof/>
        </w:rPr>
        <w:t>aniczaniem emisji metanu:</w:t>
      </w:r>
    </w:p>
    <w:p w14:paraId="1E64132B" w14:textId="167FD7D0" w:rsidR="00BC3357" w:rsidRPr="004D5AD1" w:rsidRDefault="00BC3357" w:rsidP="00FF5A95">
      <w:pPr>
        <w:rPr>
          <w:rFonts w:eastAsia="Calibri"/>
          <w:noProof/>
          <w:szCs w:val="24"/>
        </w:rPr>
      </w:pPr>
      <w:r w:rsidRPr="004D5AD1">
        <w:rPr>
          <w:noProof/>
        </w:rPr>
        <w:t>W rozporządzeniu (UE) 2018/842 („rozporządzenie</w:t>
      </w:r>
      <w:r w:rsidR="004D5AD1" w:rsidRPr="004D5AD1">
        <w:rPr>
          <w:noProof/>
        </w:rPr>
        <w:t xml:space="preserve"> w</w:t>
      </w:r>
      <w:r w:rsidR="004D5AD1">
        <w:rPr>
          <w:noProof/>
        </w:rPr>
        <w:t> </w:t>
      </w:r>
      <w:r w:rsidR="004D5AD1" w:rsidRPr="004D5AD1">
        <w:rPr>
          <w:noProof/>
        </w:rPr>
        <w:t>spr</w:t>
      </w:r>
      <w:r w:rsidRPr="004D5AD1">
        <w:rPr>
          <w:noProof/>
        </w:rPr>
        <w:t>awie wspólnego wysiłku redukcyjnego”, „rozporządzenie ESR”) określono cele</w:t>
      </w:r>
      <w:r w:rsidR="004D5AD1" w:rsidRPr="004D5AD1">
        <w:rPr>
          <w:noProof/>
        </w:rPr>
        <w:t xml:space="preserve"> w</w:t>
      </w:r>
      <w:r w:rsidR="004D5AD1">
        <w:rPr>
          <w:noProof/>
        </w:rPr>
        <w:t> </w:t>
      </w:r>
      <w:r w:rsidR="004D5AD1" w:rsidRPr="004D5AD1">
        <w:rPr>
          <w:noProof/>
        </w:rPr>
        <w:t>zak</w:t>
      </w:r>
      <w:r w:rsidRPr="004D5AD1">
        <w:rPr>
          <w:noProof/>
        </w:rPr>
        <w:t>resie wiążących rocznych redukcji emisji gazów cieplarnianych na poziomie krajowym przez państwa członkowskie od</w:t>
      </w:r>
      <w:r w:rsidR="004D5AD1" w:rsidRPr="004D5AD1">
        <w:rPr>
          <w:noProof/>
        </w:rPr>
        <w:t> </w:t>
      </w:r>
      <w:r w:rsidRPr="004D5AD1">
        <w:rPr>
          <w:noProof/>
        </w:rPr>
        <w:t>2021</w:t>
      </w:r>
      <w:r w:rsidR="004D5AD1" w:rsidRPr="004D5AD1">
        <w:rPr>
          <w:noProof/>
        </w:rPr>
        <w:t> </w:t>
      </w:r>
      <w:r w:rsidRPr="004D5AD1">
        <w:rPr>
          <w:noProof/>
        </w:rPr>
        <w:t>r. do</w:t>
      </w:r>
      <w:r w:rsidR="004D5AD1" w:rsidRPr="004D5AD1">
        <w:rPr>
          <w:noProof/>
        </w:rPr>
        <w:t> </w:t>
      </w:r>
      <w:r w:rsidRPr="004D5AD1">
        <w:rPr>
          <w:noProof/>
        </w:rPr>
        <w:t>2030</w:t>
      </w:r>
      <w:r w:rsidR="004D5AD1" w:rsidRPr="004D5AD1">
        <w:rPr>
          <w:noProof/>
        </w:rPr>
        <w:t> </w:t>
      </w:r>
      <w:r w:rsidRPr="004D5AD1">
        <w:rPr>
          <w:noProof/>
        </w:rPr>
        <w:t>r.</w:t>
      </w:r>
      <w:r w:rsidR="004D5AD1" w:rsidRPr="004D5AD1">
        <w:rPr>
          <w:noProof/>
        </w:rPr>
        <w:t xml:space="preserve"> w</w:t>
      </w:r>
      <w:r w:rsidR="004D5AD1">
        <w:rPr>
          <w:noProof/>
        </w:rPr>
        <w:t> </w:t>
      </w:r>
      <w:r w:rsidR="004D5AD1" w:rsidRPr="004D5AD1">
        <w:rPr>
          <w:noProof/>
        </w:rPr>
        <w:t>odn</w:t>
      </w:r>
      <w:r w:rsidRPr="004D5AD1">
        <w:rPr>
          <w:noProof/>
        </w:rPr>
        <w:t>iesieniu do sektorów obejmujących transport (bez lotnictwa), budownictwo, rolnictwo, odpady, przemysł</w:t>
      </w:r>
      <w:r w:rsidR="004D5AD1" w:rsidRPr="004D5AD1">
        <w:rPr>
          <w:noProof/>
        </w:rPr>
        <w:t xml:space="preserve"> i</w:t>
      </w:r>
      <w:r w:rsidR="004D5AD1">
        <w:rPr>
          <w:noProof/>
        </w:rPr>
        <w:t> </w:t>
      </w:r>
      <w:r w:rsidR="004D5AD1" w:rsidRPr="004D5AD1">
        <w:rPr>
          <w:noProof/>
        </w:rPr>
        <w:t>czę</w:t>
      </w:r>
      <w:r w:rsidRPr="004D5AD1">
        <w:rPr>
          <w:noProof/>
        </w:rPr>
        <w:t>ści sektora energetycznego nieobjęte obowiązującym unijnym systemem handlu uprawnieniami do emisji (ETS). Rozporządzenie to obejmuje swoim zakresem metan, co zostało utrzymane we wniosku dotyczącym zmiany przyjętym</w:t>
      </w:r>
      <w:r w:rsidR="004D5AD1" w:rsidRPr="004D5AD1">
        <w:rPr>
          <w:noProof/>
        </w:rPr>
        <w:t xml:space="preserve"> w</w:t>
      </w:r>
      <w:r w:rsidR="004D5AD1">
        <w:rPr>
          <w:noProof/>
        </w:rPr>
        <w:t> </w:t>
      </w:r>
      <w:r w:rsidR="004D5AD1" w:rsidRPr="004D5AD1">
        <w:rPr>
          <w:noProof/>
        </w:rPr>
        <w:t>dni</w:t>
      </w:r>
      <w:r w:rsidRPr="004D5AD1">
        <w:rPr>
          <w:noProof/>
        </w:rPr>
        <w:t>u 14 lipca 2021</w:t>
      </w:r>
      <w:r w:rsidR="004D5AD1" w:rsidRPr="004D5AD1">
        <w:rPr>
          <w:noProof/>
        </w:rPr>
        <w:t> </w:t>
      </w:r>
      <w:r w:rsidRPr="004D5AD1">
        <w:rPr>
          <w:noProof/>
        </w:rPr>
        <w:t>r. Przedmiotowa inicjatywa stanowi uzupełnienie rozporządzenia ESR, ponieważ wprowadza konkretne środki na rzecz redukcji emisji metanu, ponieważ</w:t>
      </w:r>
      <w:r w:rsidR="004D5AD1" w:rsidRPr="004D5AD1">
        <w:rPr>
          <w:noProof/>
        </w:rPr>
        <w:t xml:space="preserve"> w</w:t>
      </w:r>
      <w:r w:rsidR="004D5AD1">
        <w:rPr>
          <w:noProof/>
        </w:rPr>
        <w:t> </w:t>
      </w:r>
      <w:r w:rsidR="004D5AD1" w:rsidRPr="004D5AD1">
        <w:rPr>
          <w:noProof/>
        </w:rPr>
        <w:t>roz</w:t>
      </w:r>
      <w:r w:rsidRPr="004D5AD1">
        <w:rPr>
          <w:noProof/>
        </w:rPr>
        <w:t>porządzeniu ESR nie określono takich środków</w:t>
      </w:r>
      <w:r w:rsidR="004D5AD1" w:rsidRPr="004D5AD1">
        <w:rPr>
          <w:noProof/>
        </w:rPr>
        <w:t xml:space="preserve"> i</w:t>
      </w:r>
      <w:r w:rsidR="004D5AD1">
        <w:rPr>
          <w:noProof/>
        </w:rPr>
        <w:t> </w:t>
      </w:r>
      <w:r w:rsidR="004D5AD1" w:rsidRPr="004D5AD1">
        <w:rPr>
          <w:noProof/>
        </w:rPr>
        <w:t>poz</w:t>
      </w:r>
      <w:r w:rsidRPr="004D5AD1">
        <w:rPr>
          <w:noProof/>
        </w:rPr>
        <w:t>ostawiono państwom członkowskim pewną swobodę decyzyjną</w:t>
      </w:r>
      <w:r w:rsidR="004D5AD1" w:rsidRPr="004D5AD1">
        <w:rPr>
          <w:noProof/>
        </w:rPr>
        <w:t xml:space="preserve"> w</w:t>
      </w:r>
      <w:r w:rsidR="004D5AD1">
        <w:rPr>
          <w:noProof/>
        </w:rPr>
        <w:t> </w:t>
      </w:r>
      <w:r w:rsidR="004D5AD1" w:rsidRPr="004D5AD1">
        <w:rPr>
          <w:noProof/>
        </w:rPr>
        <w:t>zak</w:t>
      </w:r>
      <w:r w:rsidRPr="004D5AD1">
        <w:rPr>
          <w:noProof/>
        </w:rPr>
        <w:t>resie najlepszych sposobów na osiągnięcie wymaganych redukcji emisji gazów cieplarnianych. Środki te przyczynią się do osiągnięcia celów krajowych przez państwa członkowskie</w:t>
      </w:r>
      <w:r w:rsidR="004D5AD1" w:rsidRPr="004D5AD1">
        <w:rPr>
          <w:noProof/>
        </w:rPr>
        <w:t xml:space="preserve"> i</w:t>
      </w:r>
      <w:r w:rsidR="004D5AD1">
        <w:rPr>
          <w:noProof/>
        </w:rPr>
        <w:t> </w:t>
      </w:r>
      <w:r w:rsidR="004D5AD1" w:rsidRPr="004D5AD1">
        <w:rPr>
          <w:noProof/>
        </w:rPr>
        <w:t>mog</w:t>
      </w:r>
      <w:r w:rsidRPr="004D5AD1">
        <w:rPr>
          <w:noProof/>
        </w:rPr>
        <w:t>ą również przyczynić się do zwiększenia opłacalności realizacji celów określonych</w:t>
      </w:r>
      <w:r w:rsidR="004D5AD1" w:rsidRPr="004D5AD1">
        <w:rPr>
          <w:noProof/>
        </w:rPr>
        <w:t xml:space="preserve"> w</w:t>
      </w:r>
      <w:r w:rsidR="004D5AD1">
        <w:rPr>
          <w:noProof/>
        </w:rPr>
        <w:t> </w:t>
      </w:r>
      <w:r w:rsidR="004D5AD1" w:rsidRPr="004D5AD1">
        <w:rPr>
          <w:noProof/>
        </w:rPr>
        <w:t>roz</w:t>
      </w:r>
      <w:r w:rsidRPr="004D5AD1">
        <w:rPr>
          <w:noProof/>
        </w:rPr>
        <w:t>porządzeniu ESR ze względu na potencjał handlowy</w:t>
      </w:r>
      <w:r w:rsidR="004D5AD1" w:rsidRPr="004D5AD1">
        <w:rPr>
          <w:noProof/>
        </w:rPr>
        <w:t xml:space="preserve"> w</w:t>
      </w:r>
      <w:r w:rsidR="004D5AD1">
        <w:rPr>
          <w:noProof/>
        </w:rPr>
        <w:t> </w:t>
      </w:r>
      <w:r w:rsidR="004D5AD1" w:rsidRPr="004D5AD1">
        <w:rPr>
          <w:noProof/>
        </w:rPr>
        <w:t>zak</w:t>
      </w:r>
      <w:r w:rsidRPr="004D5AD1">
        <w:rPr>
          <w:noProof/>
        </w:rPr>
        <w:t>resie wiążących rocznych redukcji między państwami członkowskimi.</w:t>
      </w:r>
    </w:p>
    <w:p w14:paraId="1FBBB9D3" w14:textId="565D09C4" w:rsidR="009E4614" w:rsidRPr="004D5AD1" w:rsidRDefault="009E4614" w:rsidP="009E4614">
      <w:pPr>
        <w:rPr>
          <w:rFonts w:eastAsia="Calibri"/>
          <w:noProof/>
          <w:szCs w:val="24"/>
        </w:rPr>
      </w:pPr>
      <w:r w:rsidRPr="004D5AD1">
        <w:rPr>
          <w:noProof/>
        </w:rPr>
        <w:t>We wniosku dotyczącym zmiany rozporządzenia (UE) 2018/841 („rozporządzenie LULUCF”)</w:t>
      </w:r>
      <w:r w:rsidR="004D5AD1" w:rsidRPr="004D5AD1">
        <w:rPr>
          <w:noProof/>
        </w:rPr>
        <w:t xml:space="preserve"> w</w:t>
      </w:r>
      <w:r w:rsidR="004D5AD1">
        <w:rPr>
          <w:noProof/>
        </w:rPr>
        <w:t> </w:t>
      </w:r>
      <w:r w:rsidR="004D5AD1" w:rsidRPr="004D5AD1">
        <w:rPr>
          <w:noProof/>
        </w:rPr>
        <w:t>ram</w:t>
      </w:r>
      <w:r w:rsidRPr="004D5AD1">
        <w:rPr>
          <w:noProof/>
        </w:rPr>
        <w:t>ach pakietu „Gotowi na</w:t>
      </w:r>
      <w:r w:rsidR="004D5AD1" w:rsidRPr="004D5AD1">
        <w:rPr>
          <w:noProof/>
        </w:rPr>
        <w:t> </w:t>
      </w:r>
      <w:r w:rsidRPr="004D5AD1">
        <w:rPr>
          <w:noProof/>
        </w:rPr>
        <w:t>55” określono ogólny cel UE</w:t>
      </w:r>
      <w:r w:rsidR="004D5AD1" w:rsidRPr="004D5AD1">
        <w:rPr>
          <w:noProof/>
        </w:rPr>
        <w:t xml:space="preserve"> w</w:t>
      </w:r>
      <w:r w:rsidR="004D5AD1">
        <w:rPr>
          <w:noProof/>
        </w:rPr>
        <w:t> </w:t>
      </w:r>
      <w:r w:rsidR="004D5AD1" w:rsidRPr="004D5AD1">
        <w:rPr>
          <w:noProof/>
        </w:rPr>
        <w:t>zak</w:t>
      </w:r>
      <w:r w:rsidRPr="004D5AD1">
        <w:rPr>
          <w:noProof/>
        </w:rPr>
        <w:t>resie pochłaniania dwutlenku węgla przez naturalne pochłaniacze; osiągnięcie celów krajowych będzie wymagało, aby państwa członkowskie dbały</w:t>
      </w:r>
      <w:r w:rsidR="004D5AD1" w:rsidRPr="004D5AD1">
        <w:rPr>
          <w:noProof/>
        </w:rPr>
        <w:t xml:space="preserve"> o</w:t>
      </w:r>
      <w:r w:rsidR="004D5AD1">
        <w:rPr>
          <w:noProof/>
        </w:rPr>
        <w:t> </w:t>
      </w:r>
      <w:r w:rsidR="004D5AD1" w:rsidRPr="004D5AD1">
        <w:rPr>
          <w:noProof/>
        </w:rPr>
        <w:t>swo</w:t>
      </w:r>
      <w:r w:rsidRPr="004D5AD1">
        <w:rPr>
          <w:noProof/>
        </w:rPr>
        <w:t>je pochłaniacze dwutlenku węgla oraz je rozszerzały. We wniosku określono również cel UE dotyczący neutralności klimatycznej</w:t>
      </w:r>
      <w:r w:rsidR="004D5AD1" w:rsidRPr="004D5AD1">
        <w:rPr>
          <w:noProof/>
        </w:rPr>
        <w:t xml:space="preserve"> w</w:t>
      </w:r>
      <w:r w:rsidR="004D5AD1">
        <w:rPr>
          <w:noProof/>
        </w:rPr>
        <w:t> </w:t>
      </w:r>
      <w:r w:rsidR="004D5AD1" w:rsidRPr="004D5AD1">
        <w:rPr>
          <w:noProof/>
        </w:rPr>
        <w:t>2</w:t>
      </w:r>
      <w:r w:rsidRPr="004D5AD1">
        <w:rPr>
          <w:noProof/>
        </w:rPr>
        <w:t>035</w:t>
      </w:r>
      <w:r w:rsidR="004D5AD1" w:rsidRPr="004D5AD1">
        <w:rPr>
          <w:noProof/>
        </w:rPr>
        <w:t> </w:t>
      </w:r>
      <w:r w:rsidRPr="004D5AD1">
        <w:rPr>
          <w:noProof/>
        </w:rPr>
        <w:t>r.</w:t>
      </w:r>
      <w:r w:rsidR="004D5AD1" w:rsidRPr="004D5AD1">
        <w:rPr>
          <w:noProof/>
        </w:rPr>
        <w:t xml:space="preserve"> w</w:t>
      </w:r>
      <w:r w:rsidR="004D5AD1">
        <w:rPr>
          <w:noProof/>
        </w:rPr>
        <w:t> </w:t>
      </w:r>
      <w:r w:rsidR="004D5AD1" w:rsidRPr="004D5AD1">
        <w:rPr>
          <w:noProof/>
        </w:rPr>
        <w:t>sek</w:t>
      </w:r>
      <w:r w:rsidRPr="004D5AD1">
        <w:rPr>
          <w:noProof/>
        </w:rPr>
        <w:t>torach użytkowania gruntów, leśnictwa</w:t>
      </w:r>
      <w:r w:rsidR="004D5AD1" w:rsidRPr="004D5AD1">
        <w:rPr>
          <w:noProof/>
        </w:rPr>
        <w:t xml:space="preserve"> i</w:t>
      </w:r>
      <w:r w:rsidR="004D5AD1">
        <w:rPr>
          <w:noProof/>
        </w:rPr>
        <w:t> </w:t>
      </w:r>
      <w:r w:rsidR="004D5AD1" w:rsidRPr="004D5AD1">
        <w:rPr>
          <w:noProof/>
        </w:rPr>
        <w:t>rol</w:t>
      </w:r>
      <w:r w:rsidRPr="004D5AD1">
        <w:rPr>
          <w:noProof/>
        </w:rPr>
        <w:t>nictwa, obejmujący również emisje inne niż CO</w:t>
      </w:r>
      <w:r w:rsidRPr="004D5AD1">
        <w:rPr>
          <w:noProof/>
          <w:vertAlign w:val="subscript"/>
        </w:rPr>
        <w:t>2</w:t>
      </w:r>
      <w:r w:rsidR="004D5AD1" w:rsidRPr="004D5AD1">
        <w:rPr>
          <w:noProof/>
        </w:rPr>
        <w:t xml:space="preserve"> w</w:t>
      </w:r>
      <w:r w:rsidR="004D5AD1">
        <w:rPr>
          <w:noProof/>
        </w:rPr>
        <w:t> </w:t>
      </w:r>
      <w:r w:rsidR="004D5AD1" w:rsidRPr="004D5AD1">
        <w:rPr>
          <w:noProof/>
        </w:rPr>
        <w:t>rol</w:t>
      </w:r>
      <w:r w:rsidRPr="004D5AD1">
        <w:rPr>
          <w:noProof/>
        </w:rPr>
        <w:t>nictwie, tj. emisje metanu.</w:t>
      </w:r>
    </w:p>
    <w:p w14:paraId="004022BB" w14:textId="1AEAA5A1" w:rsidR="00BC3357" w:rsidRPr="004D5AD1" w:rsidRDefault="00BC3357" w:rsidP="009E4614">
      <w:pPr>
        <w:rPr>
          <w:rFonts w:eastAsia="Times New Roman"/>
          <w:noProof/>
          <w:szCs w:val="24"/>
        </w:rPr>
      </w:pPr>
      <w:r w:rsidRPr="004D5AD1">
        <w:rPr>
          <w:noProof/>
        </w:rPr>
        <w:t>Dyrektywa (UE) 2018/2001 („dyrektywa</w:t>
      </w:r>
      <w:r w:rsidR="004D5AD1" w:rsidRPr="004D5AD1">
        <w:rPr>
          <w:noProof/>
        </w:rPr>
        <w:t xml:space="preserve"> w</w:t>
      </w:r>
      <w:r w:rsidR="004D5AD1">
        <w:rPr>
          <w:noProof/>
        </w:rPr>
        <w:t> </w:t>
      </w:r>
      <w:r w:rsidR="004D5AD1" w:rsidRPr="004D5AD1">
        <w:rPr>
          <w:noProof/>
        </w:rPr>
        <w:t>spr</w:t>
      </w:r>
      <w:r w:rsidRPr="004D5AD1">
        <w:rPr>
          <w:noProof/>
        </w:rPr>
        <w:t>awie odnawialnych źródeł energii”, „REDII”) jest głównym instrumentem UE służącym promowaniu stosowania energii ze źródeł odnawialnych</w:t>
      </w:r>
      <w:r w:rsidR="004D5AD1" w:rsidRPr="004D5AD1">
        <w:rPr>
          <w:noProof/>
        </w:rPr>
        <w:t xml:space="preserve"> i</w:t>
      </w:r>
      <w:r w:rsidR="004D5AD1">
        <w:rPr>
          <w:noProof/>
        </w:rPr>
        <w:t> </w:t>
      </w:r>
      <w:r w:rsidR="004D5AD1" w:rsidRPr="004D5AD1">
        <w:rPr>
          <w:noProof/>
        </w:rPr>
        <w:t>uła</w:t>
      </w:r>
      <w:r w:rsidRPr="004D5AD1">
        <w:rPr>
          <w:noProof/>
        </w:rPr>
        <w:t>twi ona stopniowe zastępowanie energii pochodzącej</w:t>
      </w:r>
      <w:r w:rsidR="004D5AD1" w:rsidRPr="004D5AD1">
        <w:rPr>
          <w:noProof/>
        </w:rPr>
        <w:t xml:space="preserve"> z</w:t>
      </w:r>
      <w:r w:rsidR="004D5AD1">
        <w:rPr>
          <w:noProof/>
        </w:rPr>
        <w:t> </w:t>
      </w:r>
      <w:r w:rsidR="004D5AD1" w:rsidRPr="004D5AD1">
        <w:rPr>
          <w:noProof/>
        </w:rPr>
        <w:t>pal</w:t>
      </w:r>
      <w:r w:rsidRPr="004D5AD1">
        <w:rPr>
          <w:noProof/>
        </w:rPr>
        <w:t>iw kopalnych odnawialnymi źródłami energii. Zawiera ona ponadto standardowe wartości ograniczenia emisji gazów cieplarnianych,</w:t>
      </w:r>
      <w:r w:rsidR="004D5AD1" w:rsidRPr="004D5AD1">
        <w:rPr>
          <w:noProof/>
        </w:rPr>
        <w:t xml:space="preserve"> w</w:t>
      </w:r>
      <w:r w:rsidR="004D5AD1">
        <w:rPr>
          <w:noProof/>
        </w:rPr>
        <w:t> </w:t>
      </w:r>
      <w:r w:rsidR="004D5AD1" w:rsidRPr="004D5AD1">
        <w:rPr>
          <w:noProof/>
        </w:rPr>
        <w:t>tym</w:t>
      </w:r>
      <w:r w:rsidRPr="004D5AD1">
        <w:rPr>
          <w:noProof/>
        </w:rPr>
        <w:t xml:space="preserve"> szacunki utraty metanu przy produkcji biogazu</w:t>
      </w:r>
      <w:r w:rsidR="004D5AD1" w:rsidRPr="004D5AD1">
        <w:rPr>
          <w:noProof/>
        </w:rPr>
        <w:t xml:space="preserve"> i</w:t>
      </w:r>
      <w:r w:rsidR="004D5AD1">
        <w:rPr>
          <w:noProof/>
        </w:rPr>
        <w:t> </w:t>
      </w:r>
      <w:r w:rsidR="004D5AD1" w:rsidRPr="004D5AD1">
        <w:rPr>
          <w:noProof/>
        </w:rPr>
        <w:t>bio</w:t>
      </w:r>
      <w:r w:rsidRPr="004D5AD1">
        <w:rPr>
          <w:noProof/>
        </w:rPr>
        <w:t>metanu, które mogą być istotne dla zrównoważonego rozwoju biogazu</w:t>
      </w:r>
      <w:r w:rsidR="004D5AD1" w:rsidRPr="004D5AD1">
        <w:rPr>
          <w:noProof/>
        </w:rPr>
        <w:t xml:space="preserve"> i</w:t>
      </w:r>
      <w:r w:rsidR="004D5AD1">
        <w:rPr>
          <w:noProof/>
        </w:rPr>
        <w:t> </w:t>
      </w:r>
      <w:r w:rsidR="004D5AD1" w:rsidRPr="004D5AD1">
        <w:rPr>
          <w:noProof/>
        </w:rPr>
        <w:t>bio</w:t>
      </w:r>
      <w:r w:rsidRPr="004D5AD1">
        <w:rPr>
          <w:noProof/>
        </w:rPr>
        <w:t>metanu. Producenci mogą wykorzystywać te wartości standardowe</w:t>
      </w:r>
      <w:r w:rsidR="004D5AD1" w:rsidRPr="004D5AD1">
        <w:rPr>
          <w:noProof/>
        </w:rPr>
        <w:t xml:space="preserve"> w</w:t>
      </w:r>
      <w:r w:rsidR="004D5AD1">
        <w:rPr>
          <w:noProof/>
        </w:rPr>
        <w:t> </w:t>
      </w:r>
      <w:r w:rsidR="004D5AD1" w:rsidRPr="004D5AD1">
        <w:rPr>
          <w:noProof/>
        </w:rPr>
        <w:t>spr</w:t>
      </w:r>
      <w:r w:rsidRPr="004D5AD1">
        <w:rPr>
          <w:noProof/>
        </w:rPr>
        <w:t>awozdaniach dotyczących ograniczenia emisji gazów cieplarnianych</w:t>
      </w:r>
      <w:r w:rsidR="004D5AD1" w:rsidRPr="004D5AD1">
        <w:rPr>
          <w:noProof/>
        </w:rPr>
        <w:t xml:space="preserve"> w</w:t>
      </w:r>
      <w:r w:rsidR="004D5AD1">
        <w:rPr>
          <w:noProof/>
        </w:rPr>
        <w:t> </w:t>
      </w:r>
      <w:r w:rsidR="004D5AD1" w:rsidRPr="004D5AD1">
        <w:rPr>
          <w:noProof/>
        </w:rPr>
        <w:t>pro</w:t>
      </w:r>
      <w:r w:rsidRPr="004D5AD1">
        <w:rPr>
          <w:noProof/>
        </w:rPr>
        <w:t>wadzonej przez nich produkcji</w:t>
      </w:r>
      <w:r w:rsidR="004D5AD1" w:rsidRPr="004D5AD1">
        <w:rPr>
          <w:noProof/>
        </w:rPr>
        <w:t xml:space="preserve"> w</w:t>
      </w:r>
      <w:r w:rsidR="004D5AD1">
        <w:rPr>
          <w:noProof/>
        </w:rPr>
        <w:t> </w:t>
      </w:r>
      <w:r w:rsidR="004D5AD1" w:rsidRPr="004D5AD1">
        <w:rPr>
          <w:noProof/>
        </w:rPr>
        <w:t>cel</w:t>
      </w:r>
      <w:r w:rsidRPr="004D5AD1">
        <w:rPr>
          <w:noProof/>
        </w:rPr>
        <w:t>u wykazania, że spełniają oni wymogi dyrektywy</w:t>
      </w:r>
      <w:r w:rsidR="004D5AD1" w:rsidRPr="004D5AD1">
        <w:rPr>
          <w:noProof/>
        </w:rPr>
        <w:t xml:space="preserve"> w</w:t>
      </w:r>
      <w:r w:rsidR="004D5AD1">
        <w:rPr>
          <w:noProof/>
        </w:rPr>
        <w:t> </w:t>
      </w:r>
      <w:r w:rsidR="004D5AD1" w:rsidRPr="004D5AD1">
        <w:rPr>
          <w:noProof/>
        </w:rPr>
        <w:t>spr</w:t>
      </w:r>
      <w:r w:rsidRPr="004D5AD1">
        <w:rPr>
          <w:noProof/>
        </w:rPr>
        <w:t>awie odnawialnych źródeł energii II</w:t>
      </w:r>
      <w:r w:rsidR="004D5AD1" w:rsidRPr="004D5AD1">
        <w:rPr>
          <w:noProof/>
        </w:rPr>
        <w:t xml:space="preserve"> w</w:t>
      </w:r>
      <w:r w:rsidR="004D5AD1">
        <w:rPr>
          <w:noProof/>
        </w:rPr>
        <w:t> </w:t>
      </w:r>
      <w:r w:rsidR="004D5AD1" w:rsidRPr="004D5AD1">
        <w:rPr>
          <w:noProof/>
        </w:rPr>
        <w:t>zak</w:t>
      </w:r>
      <w:r w:rsidRPr="004D5AD1">
        <w:rPr>
          <w:noProof/>
        </w:rPr>
        <w:t>resie zrównoważonego rozwoju</w:t>
      </w:r>
      <w:r w:rsidR="004D5AD1" w:rsidRPr="004D5AD1">
        <w:rPr>
          <w:noProof/>
        </w:rPr>
        <w:t xml:space="preserve"> i</w:t>
      </w:r>
      <w:r w:rsidR="004D5AD1">
        <w:rPr>
          <w:noProof/>
        </w:rPr>
        <w:t> </w:t>
      </w:r>
      <w:r w:rsidR="004D5AD1" w:rsidRPr="004D5AD1">
        <w:rPr>
          <w:noProof/>
        </w:rPr>
        <w:t>zap</w:t>
      </w:r>
      <w:r w:rsidRPr="004D5AD1">
        <w:rPr>
          <w:noProof/>
        </w:rPr>
        <w:t xml:space="preserve">ewniają pośrednio zachęty do redukcji emisji metanu. </w:t>
      </w:r>
    </w:p>
    <w:p w14:paraId="378105B3" w14:textId="356C585E" w:rsidR="00BC3357" w:rsidRPr="004D5AD1" w:rsidRDefault="00BC3357" w:rsidP="00BC3357">
      <w:pPr>
        <w:rPr>
          <w:rFonts w:eastAsia="Calibri"/>
          <w:noProof/>
          <w:szCs w:val="24"/>
        </w:rPr>
      </w:pPr>
      <w:r w:rsidRPr="004D5AD1">
        <w:rPr>
          <w:noProof/>
        </w:rPr>
        <w:t>Emisje metanu</w:t>
      </w:r>
      <w:r w:rsidR="004D5AD1" w:rsidRPr="004D5AD1">
        <w:rPr>
          <w:noProof/>
        </w:rPr>
        <w:t xml:space="preserve"> z</w:t>
      </w:r>
      <w:r w:rsidR="004D5AD1">
        <w:rPr>
          <w:noProof/>
        </w:rPr>
        <w:t> </w:t>
      </w:r>
      <w:r w:rsidR="004D5AD1" w:rsidRPr="004D5AD1">
        <w:rPr>
          <w:noProof/>
        </w:rPr>
        <w:t>urz</w:t>
      </w:r>
      <w:r w:rsidRPr="004D5AD1">
        <w:rPr>
          <w:noProof/>
        </w:rPr>
        <w:t>ądzeń do ogrzewania</w:t>
      </w:r>
      <w:r w:rsidR="004D5AD1" w:rsidRPr="004D5AD1">
        <w:rPr>
          <w:noProof/>
        </w:rPr>
        <w:t xml:space="preserve"> i</w:t>
      </w:r>
      <w:r w:rsidR="004D5AD1">
        <w:rPr>
          <w:noProof/>
        </w:rPr>
        <w:t> </w:t>
      </w:r>
      <w:r w:rsidR="004D5AD1" w:rsidRPr="004D5AD1">
        <w:rPr>
          <w:noProof/>
        </w:rPr>
        <w:t>chł</w:t>
      </w:r>
      <w:r w:rsidRPr="004D5AD1">
        <w:rPr>
          <w:noProof/>
        </w:rPr>
        <w:t>odzenia pomieszczeń są objęte zakresem kilku rozporządzeń dotyczących ekoprojektu</w:t>
      </w:r>
      <w:r w:rsidR="004D5AD1" w:rsidRPr="004D5AD1">
        <w:rPr>
          <w:noProof/>
        </w:rPr>
        <w:t xml:space="preserve"> i</w:t>
      </w:r>
      <w:r w:rsidR="004D5AD1">
        <w:rPr>
          <w:noProof/>
        </w:rPr>
        <w:t> </w:t>
      </w:r>
      <w:r w:rsidR="004D5AD1" w:rsidRPr="004D5AD1">
        <w:rPr>
          <w:noProof/>
        </w:rPr>
        <w:t>ety</w:t>
      </w:r>
      <w:r w:rsidRPr="004D5AD1">
        <w:rPr>
          <w:noProof/>
        </w:rPr>
        <w:t xml:space="preserve">kietowania energetycznego, które zawierają przepisy dotyczące poprawy efektywności środowiskowej produktów, takich jak urządzenia gospodarstwa domowego, technologie informacyjno-komunikacyjne lub produkty inżynierskie. </w:t>
      </w:r>
    </w:p>
    <w:p w14:paraId="6BC46C7B" w14:textId="2469BA5C" w:rsidR="00BC3357" w:rsidRPr="004D5AD1" w:rsidRDefault="00BC3357" w:rsidP="00BC3357">
      <w:pPr>
        <w:pBdr>
          <w:top w:val="nil"/>
          <w:left w:val="nil"/>
          <w:bottom w:val="nil"/>
          <w:right w:val="nil"/>
          <w:between w:val="nil"/>
          <w:bar w:val="nil"/>
        </w:pBdr>
        <w:spacing w:before="0" w:after="240"/>
        <w:rPr>
          <w:rFonts w:eastAsia="Calibri"/>
          <w:noProof/>
          <w:szCs w:val="24"/>
        </w:rPr>
      </w:pPr>
      <w:r w:rsidRPr="004D5AD1">
        <w:rPr>
          <w:noProof/>
        </w:rPr>
        <w:t>Komisja Europejska proponuje ponadto zmianę dyrektywy 2009/73/WE</w:t>
      </w:r>
      <w:r w:rsidR="004D5AD1" w:rsidRPr="004D5AD1">
        <w:rPr>
          <w:noProof/>
        </w:rPr>
        <w:t xml:space="preserve"> i</w:t>
      </w:r>
      <w:r w:rsidR="004D5AD1">
        <w:rPr>
          <w:noProof/>
        </w:rPr>
        <w:t> </w:t>
      </w:r>
      <w:r w:rsidR="004D5AD1" w:rsidRPr="004D5AD1">
        <w:rPr>
          <w:noProof/>
        </w:rPr>
        <w:t>roz</w:t>
      </w:r>
      <w:r w:rsidRPr="004D5AD1">
        <w:rPr>
          <w:noProof/>
        </w:rPr>
        <w:t>porządzenia (WE) nr</w:t>
      </w:r>
      <w:r w:rsidR="004D5AD1" w:rsidRPr="004D5AD1">
        <w:rPr>
          <w:noProof/>
        </w:rPr>
        <w:t> </w:t>
      </w:r>
      <w:r w:rsidRPr="004D5AD1">
        <w:rPr>
          <w:noProof/>
        </w:rPr>
        <w:t>715/2009, aby ułatwić powstanie rynków zdekarbonizowanego wodoru</w:t>
      </w:r>
      <w:r w:rsidR="004D5AD1" w:rsidRPr="004D5AD1">
        <w:rPr>
          <w:noProof/>
        </w:rPr>
        <w:t xml:space="preserve"> i</w:t>
      </w:r>
      <w:r w:rsidR="004D5AD1">
        <w:rPr>
          <w:noProof/>
        </w:rPr>
        <w:t> </w:t>
      </w:r>
      <w:r w:rsidR="004D5AD1" w:rsidRPr="004D5AD1">
        <w:rPr>
          <w:noProof/>
        </w:rPr>
        <w:t>gaz</w:t>
      </w:r>
      <w:r w:rsidRPr="004D5AD1">
        <w:rPr>
          <w:noProof/>
        </w:rPr>
        <w:t>u poprzez ustanowienie nowej struktury rynku, ułatwienie dostępu odnawialnych</w:t>
      </w:r>
      <w:r w:rsidR="004D5AD1" w:rsidRPr="004D5AD1">
        <w:rPr>
          <w:noProof/>
        </w:rPr>
        <w:t xml:space="preserve"> i</w:t>
      </w:r>
      <w:r w:rsidR="004D5AD1">
        <w:rPr>
          <w:noProof/>
        </w:rPr>
        <w:t> </w:t>
      </w:r>
      <w:r w:rsidR="004D5AD1" w:rsidRPr="004D5AD1">
        <w:rPr>
          <w:noProof/>
        </w:rPr>
        <w:t>nis</w:t>
      </w:r>
      <w:r w:rsidRPr="004D5AD1">
        <w:rPr>
          <w:noProof/>
        </w:rPr>
        <w:t>koemisyjnych gazów do rurociągów, tak aby</w:t>
      </w:r>
      <w:r w:rsidR="004D5AD1" w:rsidRPr="004D5AD1">
        <w:rPr>
          <w:noProof/>
        </w:rPr>
        <w:t xml:space="preserve"> z</w:t>
      </w:r>
      <w:r w:rsidR="004D5AD1">
        <w:rPr>
          <w:noProof/>
        </w:rPr>
        <w:t> </w:t>
      </w:r>
      <w:r w:rsidR="004D5AD1" w:rsidRPr="004D5AD1">
        <w:rPr>
          <w:noProof/>
        </w:rPr>
        <w:t>jed</w:t>
      </w:r>
      <w:r w:rsidRPr="004D5AD1">
        <w:rPr>
          <w:noProof/>
        </w:rPr>
        <w:t>nej strony stworzyć warunki dla rynku wodoru,</w:t>
      </w:r>
      <w:r w:rsidR="004D5AD1" w:rsidRPr="004D5AD1">
        <w:rPr>
          <w:noProof/>
        </w:rPr>
        <w:t xml:space="preserve"> a</w:t>
      </w:r>
      <w:r w:rsidR="004D5AD1">
        <w:rPr>
          <w:noProof/>
        </w:rPr>
        <w:t> </w:t>
      </w:r>
      <w:r w:rsidR="004D5AD1" w:rsidRPr="004D5AD1">
        <w:rPr>
          <w:noProof/>
        </w:rPr>
        <w:t>z</w:t>
      </w:r>
      <w:r w:rsidR="004D5AD1">
        <w:rPr>
          <w:noProof/>
        </w:rPr>
        <w:t> </w:t>
      </w:r>
      <w:r w:rsidR="004D5AD1" w:rsidRPr="004D5AD1">
        <w:rPr>
          <w:noProof/>
        </w:rPr>
        <w:t>dru</w:t>
      </w:r>
      <w:r w:rsidRPr="004D5AD1">
        <w:rPr>
          <w:noProof/>
        </w:rPr>
        <w:t>giej strony usunąć bariery dla dekarbonizacji istniejącej sieci gazu ziemnego. Wniosek ma charakter uzupełniający, ponieważ przyczyni się do poprawy oddziaływania gazu ziemnego na klimat</w:t>
      </w:r>
      <w:r w:rsidR="004D5AD1" w:rsidRPr="004D5AD1">
        <w:rPr>
          <w:noProof/>
        </w:rPr>
        <w:t xml:space="preserve"> w</w:t>
      </w:r>
      <w:r w:rsidR="004D5AD1">
        <w:rPr>
          <w:noProof/>
        </w:rPr>
        <w:t> </w:t>
      </w:r>
      <w:r w:rsidR="004D5AD1" w:rsidRPr="004D5AD1">
        <w:rPr>
          <w:noProof/>
        </w:rPr>
        <w:t>okr</w:t>
      </w:r>
      <w:r w:rsidRPr="004D5AD1">
        <w:rPr>
          <w:noProof/>
        </w:rPr>
        <w:t>esie,</w:t>
      </w:r>
      <w:r w:rsidR="004D5AD1" w:rsidRPr="004D5AD1">
        <w:rPr>
          <w:noProof/>
        </w:rPr>
        <w:t xml:space="preserve"> w</w:t>
      </w:r>
      <w:r w:rsidR="004D5AD1">
        <w:rPr>
          <w:noProof/>
        </w:rPr>
        <w:t> </w:t>
      </w:r>
      <w:r w:rsidR="004D5AD1" w:rsidRPr="004D5AD1">
        <w:rPr>
          <w:noProof/>
        </w:rPr>
        <w:t>któ</w:t>
      </w:r>
      <w:r w:rsidRPr="004D5AD1">
        <w:rPr>
          <w:noProof/>
        </w:rPr>
        <w:t>rym będzie on stopniowo zastępowany gazami odnawialnymi</w:t>
      </w:r>
      <w:r w:rsidR="004D5AD1" w:rsidRPr="004D5AD1">
        <w:rPr>
          <w:noProof/>
        </w:rPr>
        <w:t xml:space="preserve"> i</w:t>
      </w:r>
      <w:r w:rsidR="004D5AD1">
        <w:rPr>
          <w:noProof/>
        </w:rPr>
        <w:t> </w:t>
      </w:r>
      <w:r w:rsidR="004D5AD1" w:rsidRPr="004D5AD1">
        <w:rPr>
          <w:noProof/>
        </w:rPr>
        <w:t>nis</w:t>
      </w:r>
      <w:r w:rsidRPr="004D5AD1">
        <w:rPr>
          <w:noProof/>
        </w:rPr>
        <w:t>koemisyjnymi.</w:t>
      </w:r>
    </w:p>
    <w:p w14:paraId="6982ABB5" w14:textId="55590286" w:rsidR="00BC3357" w:rsidRPr="004D5AD1" w:rsidRDefault="00BC3357" w:rsidP="00BC3357">
      <w:pPr>
        <w:pStyle w:val="ManualHeading2"/>
        <w:rPr>
          <w:rFonts w:eastAsia="Arial Unicode MS"/>
          <w:noProof/>
        </w:rPr>
      </w:pPr>
      <w:r w:rsidRPr="004D5AD1">
        <w:rPr>
          <w:noProof/>
          <w:u w:color="000000"/>
          <w:bdr w:val="nil"/>
        </w:rPr>
        <w:t>•</w:t>
      </w:r>
      <w:r w:rsidRPr="004D5AD1">
        <w:rPr>
          <w:noProof/>
          <w:u w:color="000000"/>
          <w:bdr w:val="nil"/>
        </w:rPr>
        <w:tab/>
      </w:r>
      <w:r w:rsidRPr="004D5AD1">
        <w:rPr>
          <w:noProof/>
        </w:rPr>
        <w:t>Spójność</w:t>
      </w:r>
      <w:r w:rsidR="004D5AD1" w:rsidRPr="004D5AD1">
        <w:rPr>
          <w:noProof/>
        </w:rPr>
        <w:t xml:space="preserve"> z</w:t>
      </w:r>
      <w:r w:rsidR="004D5AD1">
        <w:rPr>
          <w:noProof/>
        </w:rPr>
        <w:t> </w:t>
      </w:r>
      <w:r w:rsidR="004D5AD1" w:rsidRPr="004D5AD1">
        <w:rPr>
          <w:noProof/>
        </w:rPr>
        <w:t>inn</w:t>
      </w:r>
      <w:r w:rsidRPr="004D5AD1">
        <w:rPr>
          <w:noProof/>
        </w:rPr>
        <w:t>ymi politykami Unii</w:t>
      </w:r>
    </w:p>
    <w:p w14:paraId="550236DD" w14:textId="2A5BBE2F" w:rsidR="00BC3357" w:rsidRPr="004D5AD1" w:rsidRDefault="00BC3357" w:rsidP="00BC3357">
      <w:pPr>
        <w:pBdr>
          <w:top w:val="nil"/>
          <w:left w:val="nil"/>
          <w:bottom w:val="nil"/>
          <w:right w:val="nil"/>
          <w:between w:val="nil"/>
          <w:bar w:val="nil"/>
        </w:pBdr>
        <w:spacing w:before="0" w:after="240"/>
        <w:rPr>
          <w:noProof/>
        </w:rPr>
      </w:pPr>
      <w:r w:rsidRPr="004D5AD1">
        <w:rPr>
          <w:noProof/>
        </w:rPr>
        <w:t>Niniejszy wniosek stanowi uzupełnienie działań na rzecz redukcji emisji metanu podejmowanych</w:t>
      </w:r>
      <w:r w:rsidR="004D5AD1" w:rsidRPr="004D5AD1">
        <w:rPr>
          <w:noProof/>
        </w:rPr>
        <w:t xml:space="preserve"> w</w:t>
      </w:r>
      <w:r w:rsidR="004D5AD1">
        <w:rPr>
          <w:noProof/>
        </w:rPr>
        <w:t> </w:t>
      </w:r>
      <w:r w:rsidR="004D5AD1" w:rsidRPr="004D5AD1">
        <w:rPr>
          <w:noProof/>
        </w:rPr>
        <w:t>dzi</w:t>
      </w:r>
      <w:r w:rsidRPr="004D5AD1">
        <w:rPr>
          <w:noProof/>
        </w:rPr>
        <w:t>edzinie rolnictwa</w:t>
      </w:r>
      <w:r w:rsidR="004D5AD1" w:rsidRPr="004D5AD1">
        <w:rPr>
          <w:noProof/>
        </w:rPr>
        <w:t xml:space="preserve"> i</w:t>
      </w:r>
      <w:r w:rsidR="004D5AD1">
        <w:rPr>
          <w:noProof/>
        </w:rPr>
        <w:t> </w:t>
      </w:r>
      <w:r w:rsidR="004D5AD1" w:rsidRPr="004D5AD1">
        <w:rPr>
          <w:noProof/>
        </w:rPr>
        <w:t>odp</w:t>
      </w:r>
      <w:r w:rsidRPr="004D5AD1">
        <w:rPr>
          <w:noProof/>
        </w:rPr>
        <w:t xml:space="preserve">adów. </w:t>
      </w:r>
    </w:p>
    <w:p w14:paraId="50FF9CA4" w14:textId="2EE7D00C" w:rsidR="00BC3357" w:rsidRPr="004D5AD1" w:rsidRDefault="00BC3357" w:rsidP="00BC3357">
      <w:pPr>
        <w:rPr>
          <w:noProof/>
        </w:rPr>
      </w:pPr>
      <w:r w:rsidRPr="004D5AD1">
        <w:rPr>
          <w:noProof/>
        </w:rPr>
        <w:t>Jeżeli chodzi</w:t>
      </w:r>
      <w:r w:rsidR="004D5AD1" w:rsidRPr="004D5AD1">
        <w:rPr>
          <w:noProof/>
        </w:rPr>
        <w:t xml:space="preserve"> o</w:t>
      </w:r>
      <w:r w:rsidR="004D5AD1">
        <w:rPr>
          <w:noProof/>
        </w:rPr>
        <w:t> </w:t>
      </w:r>
      <w:r w:rsidR="004D5AD1" w:rsidRPr="004D5AD1">
        <w:rPr>
          <w:noProof/>
        </w:rPr>
        <w:t>sek</w:t>
      </w:r>
      <w:r w:rsidRPr="004D5AD1">
        <w:rPr>
          <w:noProof/>
        </w:rPr>
        <w:t>tor rolnictwa,</w:t>
      </w:r>
      <w:r w:rsidR="004D5AD1" w:rsidRPr="004D5AD1">
        <w:rPr>
          <w:noProof/>
        </w:rPr>
        <w:t xml:space="preserve"> w</w:t>
      </w:r>
      <w:r w:rsidR="004D5AD1">
        <w:rPr>
          <w:noProof/>
        </w:rPr>
        <w:t> </w:t>
      </w:r>
      <w:r w:rsidR="004D5AD1" w:rsidRPr="004D5AD1">
        <w:rPr>
          <w:noProof/>
        </w:rPr>
        <w:t>str</w:t>
      </w:r>
      <w:r w:rsidRPr="004D5AD1">
        <w:rPr>
          <w:noProof/>
        </w:rPr>
        <w:t>ategii „Od pola do stołu” uwzględniono kilka wyzwań</w:t>
      </w:r>
      <w:r w:rsidR="005419E7" w:rsidRPr="004D5AD1">
        <w:rPr>
          <w:rStyle w:val="FootnoteReference"/>
          <w:noProof/>
        </w:rPr>
        <w:footnoteReference w:id="5"/>
      </w:r>
      <w:r w:rsidRPr="004D5AD1">
        <w:rPr>
          <w:noProof/>
        </w:rPr>
        <w:t>. Komisja powołała grupę ekspertów</w:t>
      </w:r>
      <w:r w:rsidR="004D5AD1" w:rsidRPr="004D5AD1">
        <w:rPr>
          <w:noProof/>
        </w:rPr>
        <w:t xml:space="preserve"> w</w:t>
      </w:r>
      <w:r w:rsidR="004D5AD1">
        <w:rPr>
          <w:noProof/>
        </w:rPr>
        <w:t> </w:t>
      </w:r>
      <w:r w:rsidR="004D5AD1" w:rsidRPr="004D5AD1">
        <w:rPr>
          <w:noProof/>
        </w:rPr>
        <w:t>cel</w:t>
      </w:r>
      <w:r w:rsidRPr="004D5AD1">
        <w:rPr>
          <w:noProof/>
        </w:rPr>
        <w:t>u przeanalizowania wskaźników emisji metanu</w:t>
      </w:r>
      <w:r w:rsidR="004D5AD1" w:rsidRPr="004D5AD1">
        <w:rPr>
          <w:noProof/>
        </w:rPr>
        <w:t xml:space="preserve"> w</w:t>
      </w:r>
      <w:r w:rsidR="004D5AD1">
        <w:rPr>
          <w:noProof/>
        </w:rPr>
        <w:t> </w:t>
      </w:r>
      <w:r w:rsidR="004D5AD1" w:rsidRPr="004D5AD1">
        <w:rPr>
          <w:noProof/>
        </w:rPr>
        <w:t>cał</w:t>
      </w:r>
      <w:r w:rsidRPr="004D5AD1">
        <w:rPr>
          <w:noProof/>
        </w:rPr>
        <w:t>ym cyklu życia. Celem zbadania innowacyjnych działań ograniczających emisje oraz promowania ich szerszego zastosowania Komisja opracowuje – we współpracy</w:t>
      </w:r>
      <w:r w:rsidR="004D5AD1" w:rsidRPr="004D5AD1">
        <w:rPr>
          <w:noProof/>
        </w:rPr>
        <w:t xml:space="preserve"> z</w:t>
      </w:r>
      <w:r w:rsidR="004D5AD1">
        <w:rPr>
          <w:noProof/>
        </w:rPr>
        <w:t> </w:t>
      </w:r>
      <w:r w:rsidR="004D5AD1" w:rsidRPr="004D5AD1">
        <w:rPr>
          <w:noProof/>
        </w:rPr>
        <w:t>eks</w:t>
      </w:r>
      <w:r w:rsidRPr="004D5AD1">
        <w:rPr>
          <w:noProof/>
        </w:rPr>
        <w:t>pertami</w:t>
      </w:r>
      <w:r w:rsidR="004D5AD1" w:rsidRPr="004D5AD1">
        <w:rPr>
          <w:noProof/>
        </w:rPr>
        <w:t xml:space="preserve"> z</w:t>
      </w:r>
      <w:r w:rsidR="004D5AD1">
        <w:rPr>
          <w:noProof/>
        </w:rPr>
        <w:t> </w:t>
      </w:r>
      <w:r w:rsidR="004D5AD1" w:rsidRPr="004D5AD1">
        <w:rPr>
          <w:noProof/>
        </w:rPr>
        <w:t>odp</w:t>
      </w:r>
      <w:r w:rsidRPr="004D5AD1">
        <w:rPr>
          <w:noProof/>
        </w:rPr>
        <w:t>owiedniego sektora oraz państwami członkowskimi – wykaz najlepszych praktyk</w:t>
      </w:r>
      <w:r w:rsidR="004D5AD1" w:rsidRPr="004D5AD1">
        <w:rPr>
          <w:noProof/>
        </w:rPr>
        <w:t xml:space="preserve"> i</w:t>
      </w:r>
      <w:r w:rsidR="004D5AD1">
        <w:rPr>
          <w:noProof/>
        </w:rPr>
        <w:t> </w:t>
      </w:r>
      <w:r w:rsidR="004D5AD1" w:rsidRPr="004D5AD1">
        <w:rPr>
          <w:noProof/>
        </w:rPr>
        <w:t>dos</w:t>
      </w:r>
      <w:r w:rsidRPr="004D5AD1">
        <w:rPr>
          <w:noProof/>
        </w:rPr>
        <w:t>tępnych technologii</w:t>
      </w:r>
      <w:r w:rsidR="004D5AD1" w:rsidRPr="004D5AD1">
        <w:rPr>
          <w:noProof/>
        </w:rPr>
        <w:t>. W</w:t>
      </w:r>
      <w:r w:rsidR="004D5AD1">
        <w:rPr>
          <w:noProof/>
        </w:rPr>
        <w:t> </w:t>
      </w:r>
      <w:r w:rsidR="004D5AD1" w:rsidRPr="004D5AD1">
        <w:rPr>
          <w:noProof/>
        </w:rPr>
        <w:t>cel</w:t>
      </w:r>
      <w:r w:rsidRPr="004D5AD1">
        <w:rPr>
          <w:noProof/>
        </w:rPr>
        <w:t>u promowania obliczeń dotyczących bilansowania emisji dwutlenku węgla na poziomie gospodarstwa Komisja przygotuje do</w:t>
      </w:r>
      <w:r w:rsidR="004D5AD1" w:rsidRPr="004D5AD1">
        <w:rPr>
          <w:noProof/>
        </w:rPr>
        <w:t> </w:t>
      </w:r>
      <w:r w:rsidRPr="004D5AD1">
        <w:rPr>
          <w:noProof/>
        </w:rPr>
        <w:t>2022</w:t>
      </w:r>
      <w:r w:rsidR="004D5AD1" w:rsidRPr="004D5AD1">
        <w:rPr>
          <w:noProof/>
        </w:rPr>
        <w:t> </w:t>
      </w:r>
      <w:r w:rsidRPr="004D5AD1">
        <w:rPr>
          <w:noProof/>
        </w:rPr>
        <w:t>r. cyfrowy szablon pomagający ograniczać emisje dwutlenku węgla oraz wytyczne dotyczące najczęściej stosowanych metod ilościowego szacowania emisji</w:t>
      </w:r>
      <w:r w:rsidR="004D5AD1" w:rsidRPr="004D5AD1">
        <w:rPr>
          <w:noProof/>
        </w:rPr>
        <w:t xml:space="preserve"> i</w:t>
      </w:r>
      <w:r w:rsidR="004D5AD1">
        <w:rPr>
          <w:noProof/>
        </w:rPr>
        <w:t> </w:t>
      </w:r>
      <w:r w:rsidR="004D5AD1" w:rsidRPr="004D5AD1">
        <w:rPr>
          <w:noProof/>
        </w:rPr>
        <w:t>poc</w:t>
      </w:r>
      <w:r w:rsidRPr="004D5AD1">
        <w:rPr>
          <w:noProof/>
        </w:rPr>
        <w:t>hłaniania gazów cieplarnianych. Komisja będzie promować upowszechnienie technologii łagodzenia zmiany klimatu poprzez szersze stosowanie upraw sprzyjających pochłanianiu dwutlenku węgla przez glebę</w:t>
      </w:r>
      <w:r w:rsidR="004D5AD1" w:rsidRPr="004D5AD1">
        <w:rPr>
          <w:noProof/>
        </w:rPr>
        <w:t xml:space="preserve"> w</w:t>
      </w:r>
      <w:r w:rsidR="004D5AD1">
        <w:rPr>
          <w:noProof/>
        </w:rPr>
        <w:t> </w:t>
      </w:r>
      <w:r w:rsidR="004D5AD1" w:rsidRPr="004D5AD1">
        <w:rPr>
          <w:noProof/>
        </w:rPr>
        <w:t>pań</w:t>
      </w:r>
      <w:r w:rsidRPr="004D5AD1">
        <w:rPr>
          <w:noProof/>
        </w:rPr>
        <w:t>stwach członkowskich</w:t>
      </w:r>
      <w:r w:rsidR="004D5AD1" w:rsidRPr="004D5AD1">
        <w:rPr>
          <w:noProof/>
        </w:rPr>
        <w:t xml:space="preserve"> i</w:t>
      </w:r>
      <w:r w:rsidR="004D5AD1">
        <w:rPr>
          <w:noProof/>
        </w:rPr>
        <w:t> </w:t>
      </w:r>
      <w:r w:rsidR="004D5AD1" w:rsidRPr="004D5AD1">
        <w:rPr>
          <w:noProof/>
        </w:rPr>
        <w:t>ich</w:t>
      </w:r>
      <w:r w:rsidRPr="004D5AD1">
        <w:rPr>
          <w:noProof/>
        </w:rPr>
        <w:t xml:space="preserve"> planach strategicznych wspólnej polityki rolnej, począwszy od</w:t>
      </w:r>
      <w:r w:rsidR="004D5AD1" w:rsidRPr="004D5AD1">
        <w:rPr>
          <w:noProof/>
        </w:rPr>
        <w:t> </w:t>
      </w:r>
      <w:r w:rsidRPr="004D5AD1">
        <w:rPr>
          <w:noProof/>
        </w:rPr>
        <w:t>2021</w:t>
      </w:r>
      <w:r w:rsidR="004D5AD1" w:rsidRPr="004D5AD1">
        <w:rPr>
          <w:noProof/>
        </w:rPr>
        <w:t> </w:t>
      </w:r>
      <w:r w:rsidRPr="004D5AD1">
        <w:rPr>
          <w:noProof/>
        </w:rPr>
        <w:t>r</w:t>
      </w:r>
      <w:r w:rsidR="004D5AD1" w:rsidRPr="004D5AD1">
        <w:rPr>
          <w:noProof/>
        </w:rPr>
        <w:t>. W</w:t>
      </w:r>
      <w:r w:rsidR="004D5AD1">
        <w:rPr>
          <w:noProof/>
        </w:rPr>
        <w:t> </w:t>
      </w:r>
      <w:r w:rsidR="004D5AD1" w:rsidRPr="004D5AD1">
        <w:rPr>
          <w:noProof/>
        </w:rPr>
        <w:t>pla</w:t>
      </w:r>
      <w:r w:rsidRPr="004D5AD1">
        <w:rPr>
          <w:noProof/>
        </w:rPr>
        <w:t>nie strategicznym na lata 2021–2024 na potrzeby programu „Horyzont Europa” Komisja proponuje ukierunkowane badania dotyczące poszczególnych czynników skutecznie prowadzących do redukcji emisji gazów cieplarnianych, skupiając się na technologii</w:t>
      </w:r>
      <w:r w:rsidR="004D5AD1" w:rsidRPr="004D5AD1">
        <w:rPr>
          <w:noProof/>
        </w:rPr>
        <w:t xml:space="preserve"> i</w:t>
      </w:r>
      <w:r w:rsidR="004D5AD1">
        <w:rPr>
          <w:noProof/>
        </w:rPr>
        <w:t> </w:t>
      </w:r>
      <w:r w:rsidR="004D5AD1" w:rsidRPr="004D5AD1">
        <w:rPr>
          <w:noProof/>
        </w:rPr>
        <w:t>roz</w:t>
      </w:r>
      <w:r w:rsidRPr="004D5AD1">
        <w:rPr>
          <w:noProof/>
        </w:rPr>
        <w:t>wiązaniach opartych na zasobach przyrody oraz na czynnikach prowadzących do zmiany diety. Komisja rozważa również objęcie części hodowli bydła zakresem dyrektywy</w:t>
      </w:r>
      <w:r w:rsidR="004D5AD1" w:rsidRPr="004D5AD1">
        <w:rPr>
          <w:noProof/>
        </w:rPr>
        <w:t xml:space="preserve"> w</w:t>
      </w:r>
      <w:r w:rsidR="004D5AD1">
        <w:rPr>
          <w:noProof/>
        </w:rPr>
        <w:t> </w:t>
      </w:r>
      <w:r w:rsidR="004D5AD1" w:rsidRPr="004D5AD1">
        <w:rPr>
          <w:noProof/>
        </w:rPr>
        <w:t>spr</w:t>
      </w:r>
      <w:r w:rsidRPr="004D5AD1">
        <w:rPr>
          <w:noProof/>
        </w:rPr>
        <w:t>awie emisji przemysłowych, co może przyczynić się do zmniejszenia emisji metanu przez ten sektor.</w:t>
      </w:r>
    </w:p>
    <w:p w14:paraId="7929300B" w14:textId="3DACED5A" w:rsidR="00BC3357" w:rsidRPr="004D5AD1" w:rsidRDefault="00BC3357" w:rsidP="00BC3357">
      <w:pPr>
        <w:rPr>
          <w:noProof/>
        </w:rPr>
      </w:pPr>
      <w:r w:rsidRPr="004D5AD1">
        <w:rPr>
          <w:noProof/>
        </w:rPr>
        <w:t>Emisje metanu</w:t>
      </w:r>
      <w:r w:rsidR="004D5AD1" w:rsidRPr="004D5AD1">
        <w:rPr>
          <w:noProof/>
        </w:rPr>
        <w:t xml:space="preserve"> w</w:t>
      </w:r>
      <w:r w:rsidR="004D5AD1">
        <w:rPr>
          <w:noProof/>
        </w:rPr>
        <w:t> </w:t>
      </w:r>
      <w:r w:rsidR="004D5AD1" w:rsidRPr="004D5AD1">
        <w:rPr>
          <w:noProof/>
        </w:rPr>
        <w:t>sek</w:t>
      </w:r>
      <w:r w:rsidRPr="004D5AD1">
        <w:rPr>
          <w:noProof/>
        </w:rPr>
        <w:t>torze odpadów są objęte zakresem istniejących</w:t>
      </w:r>
      <w:r w:rsidR="004D5AD1" w:rsidRPr="004D5AD1">
        <w:rPr>
          <w:noProof/>
        </w:rPr>
        <w:t xml:space="preserve"> i</w:t>
      </w:r>
      <w:r w:rsidR="004D5AD1">
        <w:rPr>
          <w:noProof/>
        </w:rPr>
        <w:t> </w:t>
      </w:r>
      <w:r w:rsidR="004D5AD1" w:rsidRPr="004D5AD1">
        <w:rPr>
          <w:noProof/>
        </w:rPr>
        <w:t>pla</w:t>
      </w:r>
      <w:r w:rsidRPr="004D5AD1">
        <w:rPr>
          <w:noProof/>
        </w:rPr>
        <w:t>nowanych przeglądów prawodawstwa</w:t>
      </w:r>
      <w:r w:rsidR="004D5AD1" w:rsidRPr="004D5AD1">
        <w:rPr>
          <w:noProof/>
        </w:rPr>
        <w:t xml:space="preserve"> w</w:t>
      </w:r>
      <w:r w:rsidR="004D5AD1">
        <w:rPr>
          <w:noProof/>
        </w:rPr>
        <w:t> </w:t>
      </w:r>
      <w:r w:rsidR="004D5AD1" w:rsidRPr="004D5AD1">
        <w:rPr>
          <w:noProof/>
        </w:rPr>
        <w:t>zak</w:t>
      </w:r>
      <w:r w:rsidRPr="004D5AD1">
        <w:rPr>
          <w:noProof/>
        </w:rPr>
        <w:t>resie ochrony środowiska</w:t>
      </w:r>
      <w:r w:rsidR="004D5AD1" w:rsidRPr="004D5AD1">
        <w:rPr>
          <w:noProof/>
        </w:rPr>
        <w:t>. W</w:t>
      </w:r>
      <w:r w:rsidR="004D5AD1">
        <w:rPr>
          <w:noProof/>
        </w:rPr>
        <w:t> </w:t>
      </w:r>
      <w:r w:rsidR="004D5AD1" w:rsidRPr="004D5AD1">
        <w:rPr>
          <w:noProof/>
        </w:rPr>
        <w:t>dyr</w:t>
      </w:r>
      <w:r w:rsidRPr="004D5AD1">
        <w:rPr>
          <w:noProof/>
        </w:rPr>
        <w:t>ektywie (UE) 2018/850 („dyrektywa</w:t>
      </w:r>
      <w:r w:rsidR="004D5AD1" w:rsidRPr="004D5AD1">
        <w:rPr>
          <w:noProof/>
        </w:rPr>
        <w:t xml:space="preserve"> w</w:t>
      </w:r>
      <w:r w:rsidR="004D5AD1">
        <w:rPr>
          <w:noProof/>
        </w:rPr>
        <w:t> </w:t>
      </w:r>
      <w:r w:rsidR="004D5AD1" w:rsidRPr="004D5AD1">
        <w:rPr>
          <w:noProof/>
        </w:rPr>
        <w:t>spr</w:t>
      </w:r>
      <w:r w:rsidRPr="004D5AD1">
        <w:rPr>
          <w:noProof/>
        </w:rPr>
        <w:t>awie składowania odpadów”) na podmioty zajmujące się składowiskami odpadów nałożono obowiązek gospodarowania gazem wysypiskowym albo poprzez wykorzystywanie go do generowania energii, albo poprzez jego spalanie</w:t>
      </w:r>
      <w:r w:rsidR="004D5AD1" w:rsidRPr="004D5AD1">
        <w:rPr>
          <w:noProof/>
        </w:rPr>
        <w:t xml:space="preserve"> w</w:t>
      </w:r>
      <w:r w:rsidR="004D5AD1">
        <w:rPr>
          <w:noProof/>
        </w:rPr>
        <w:t> </w:t>
      </w:r>
      <w:r w:rsidR="004D5AD1" w:rsidRPr="004D5AD1">
        <w:rPr>
          <w:noProof/>
        </w:rPr>
        <w:t>poc</w:t>
      </w:r>
      <w:r w:rsidRPr="004D5AD1">
        <w:rPr>
          <w:noProof/>
        </w:rPr>
        <w:t>hodni</w:t>
      </w:r>
      <w:r w:rsidR="004D5AD1" w:rsidRPr="004D5AD1">
        <w:rPr>
          <w:noProof/>
        </w:rPr>
        <w:t>. W</w:t>
      </w:r>
      <w:r w:rsidR="004D5AD1">
        <w:rPr>
          <w:noProof/>
        </w:rPr>
        <w:t> </w:t>
      </w:r>
      <w:r w:rsidR="004D5AD1" w:rsidRPr="004D5AD1">
        <w:rPr>
          <w:noProof/>
        </w:rPr>
        <w:t>ram</w:t>
      </w:r>
      <w:r w:rsidRPr="004D5AD1">
        <w:rPr>
          <w:noProof/>
        </w:rPr>
        <w:t>ach przeglądu dyrektywy</w:t>
      </w:r>
      <w:r w:rsidR="004D5AD1" w:rsidRPr="004D5AD1">
        <w:rPr>
          <w:noProof/>
        </w:rPr>
        <w:t xml:space="preserve"> w</w:t>
      </w:r>
      <w:r w:rsidR="004D5AD1">
        <w:rPr>
          <w:noProof/>
        </w:rPr>
        <w:t> </w:t>
      </w:r>
      <w:r w:rsidR="004D5AD1" w:rsidRPr="004D5AD1">
        <w:rPr>
          <w:noProof/>
        </w:rPr>
        <w:t>spr</w:t>
      </w:r>
      <w:r w:rsidRPr="004D5AD1">
        <w:rPr>
          <w:noProof/>
        </w:rPr>
        <w:t>awie składowania odpadów zaplanowanego na</w:t>
      </w:r>
      <w:r w:rsidR="004D5AD1" w:rsidRPr="004D5AD1">
        <w:rPr>
          <w:noProof/>
        </w:rPr>
        <w:t> </w:t>
      </w:r>
      <w:r w:rsidRPr="004D5AD1">
        <w:rPr>
          <w:noProof/>
        </w:rPr>
        <w:t>2024</w:t>
      </w:r>
      <w:r w:rsidR="004D5AD1" w:rsidRPr="004D5AD1">
        <w:rPr>
          <w:noProof/>
        </w:rPr>
        <w:t> </w:t>
      </w:r>
      <w:r w:rsidRPr="004D5AD1">
        <w:rPr>
          <w:noProof/>
        </w:rPr>
        <w:t>r. Komisja rozważy dalsze działania mające na celu poprawę gospodarowania gazem wysypiskowym, ograniczenie jego szkodliwego wpływu na środowisko oraz wykorzystanie wszelkich powiązanych potencjalnych zysków energetycznych. Ponadto</w:t>
      </w:r>
      <w:r w:rsidR="004D5AD1" w:rsidRPr="004D5AD1">
        <w:rPr>
          <w:noProof/>
        </w:rPr>
        <w:t xml:space="preserve"> w</w:t>
      </w:r>
      <w:r w:rsidR="004D5AD1">
        <w:rPr>
          <w:noProof/>
        </w:rPr>
        <w:t> </w:t>
      </w:r>
      <w:r w:rsidR="004D5AD1" w:rsidRPr="004D5AD1">
        <w:rPr>
          <w:noProof/>
        </w:rPr>
        <w:t>ram</w:t>
      </w:r>
      <w:r w:rsidRPr="004D5AD1">
        <w:rPr>
          <w:noProof/>
        </w:rPr>
        <w:t>ach trwającego przeglądu dyrektywy</w:t>
      </w:r>
      <w:r w:rsidR="004D5AD1" w:rsidRPr="004D5AD1">
        <w:rPr>
          <w:noProof/>
        </w:rPr>
        <w:t xml:space="preserve"> w</w:t>
      </w:r>
      <w:r w:rsidR="004D5AD1">
        <w:rPr>
          <w:noProof/>
        </w:rPr>
        <w:t> </w:t>
      </w:r>
      <w:r w:rsidR="004D5AD1" w:rsidRPr="004D5AD1">
        <w:rPr>
          <w:noProof/>
        </w:rPr>
        <w:t>spr</w:t>
      </w:r>
      <w:r w:rsidRPr="004D5AD1">
        <w:rPr>
          <w:noProof/>
        </w:rPr>
        <w:t>awie emisji przemysłowych rozważa się również przyjęcie konkluzji dotyczących najlepszych dostępnych technik</w:t>
      </w:r>
      <w:r w:rsidR="004D5AD1" w:rsidRPr="004D5AD1">
        <w:rPr>
          <w:noProof/>
        </w:rPr>
        <w:t xml:space="preserve"> w</w:t>
      </w:r>
      <w:r w:rsidR="004D5AD1">
        <w:rPr>
          <w:noProof/>
        </w:rPr>
        <w:t> </w:t>
      </w:r>
      <w:r w:rsidR="004D5AD1" w:rsidRPr="004D5AD1">
        <w:rPr>
          <w:noProof/>
        </w:rPr>
        <w:t>zak</w:t>
      </w:r>
      <w:r w:rsidRPr="004D5AD1">
        <w:rPr>
          <w:noProof/>
        </w:rPr>
        <w:t>resie składowania, które uwzględniałyby m.in. emisje metanu. Przy okazji ostatnich zmian</w:t>
      </w:r>
      <w:r w:rsidR="004D5AD1" w:rsidRPr="004D5AD1">
        <w:rPr>
          <w:noProof/>
        </w:rPr>
        <w:t xml:space="preserve"> w</w:t>
      </w:r>
      <w:r w:rsidR="004D5AD1">
        <w:rPr>
          <w:noProof/>
        </w:rPr>
        <w:t> </w:t>
      </w:r>
      <w:r w:rsidR="004D5AD1" w:rsidRPr="004D5AD1">
        <w:rPr>
          <w:noProof/>
        </w:rPr>
        <w:t>prz</w:t>
      </w:r>
      <w:r w:rsidRPr="004D5AD1">
        <w:rPr>
          <w:noProof/>
        </w:rPr>
        <w:t>episach Unii dotyczących odpadów (2018</w:t>
      </w:r>
      <w:r w:rsidR="004D5AD1" w:rsidRPr="004D5AD1">
        <w:rPr>
          <w:noProof/>
        </w:rPr>
        <w:t> </w:t>
      </w:r>
      <w:r w:rsidRPr="004D5AD1">
        <w:rPr>
          <w:noProof/>
        </w:rPr>
        <w:t>r.) przewidziano obowiązek wprowadzenia do</w:t>
      </w:r>
      <w:r w:rsidR="004D5AD1" w:rsidRPr="004D5AD1">
        <w:rPr>
          <w:noProof/>
        </w:rPr>
        <w:t> </w:t>
      </w:r>
      <w:r w:rsidRPr="004D5AD1">
        <w:rPr>
          <w:noProof/>
        </w:rPr>
        <w:t>2024</w:t>
      </w:r>
      <w:r w:rsidR="004D5AD1" w:rsidRPr="004D5AD1">
        <w:rPr>
          <w:noProof/>
        </w:rPr>
        <w:t> </w:t>
      </w:r>
      <w:r w:rsidRPr="004D5AD1">
        <w:rPr>
          <w:noProof/>
        </w:rPr>
        <w:t>r. osobnego zbierania odpadów ulegających biodegradacji oraz ustanowiono nowy cel polegający na zmniejszeniu do</w:t>
      </w:r>
      <w:r w:rsidR="004D5AD1" w:rsidRPr="004D5AD1">
        <w:rPr>
          <w:noProof/>
        </w:rPr>
        <w:t> </w:t>
      </w:r>
      <w:r w:rsidRPr="004D5AD1">
        <w:rPr>
          <w:noProof/>
        </w:rPr>
        <w:t>2035</w:t>
      </w:r>
      <w:r w:rsidR="004D5AD1" w:rsidRPr="004D5AD1">
        <w:rPr>
          <w:noProof/>
        </w:rPr>
        <w:t> </w:t>
      </w:r>
      <w:r w:rsidRPr="004D5AD1">
        <w:rPr>
          <w:noProof/>
        </w:rPr>
        <w:t>r. poziomu składowania odpadów do maksymalnie 10</w:t>
      </w:r>
      <w:r w:rsidR="004D5AD1" w:rsidRPr="004D5AD1">
        <w:rPr>
          <w:noProof/>
        </w:rPr>
        <w:t> </w:t>
      </w:r>
      <w:r w:rsidRPr="004D5AD1">
        <w:rPr>
          <w:noProof/>
        </w:rPr>
        <w:t>%</w:t>
      </w:r>
      <w:r w:rsidR="004D5AD1" w:rsidRPr="004D5AD1">
        <w:rPr>
          <w:noProof/>
        </w:rPr>
        <w:t>. W</w:t>
      </w:r>
      <w:r w:rsidR="004D5AD1">
        <w:rPr>
          <w:noProof/>
        </w:rPr>
        <w:t> </w:t>
      </w:r>
      <w:r w:rsidR="004D5AD1" w:rsidRPr="004D5AD1">
        <w:rPr>
          <w:noProof/>
        </w:rPr>
        <w:t>nas</w:t>
      </w:r>
      <w:r w:rsidRPr="004D5AD1">
        <w:rPr>
          <w:noProof/>
        </w:rPr>
        <w:t>tępstwie tych zmian oczekuje się, że emisje metanu pochodzące ze składowisk jeszcze bardziej zmaleją. Jeżeli chodzi</w:t>
      </w:r>
      <w:r w:rsidR="004D5AD1" w:rsidRPr="004D5AD1">
        <w:rPr>
          <w:noProof/>
        </w:rPr>
        <w:t xml:space="preserve"> o</w:t>
      </w:r>
      <w:r w:rsidR="004D5AD1">
        <w:rPr>
          <w:noProof/>
        </w:rPr>
        <w:t> </w:t>
      </w:r>
      <w:r w:rsidR="004D5AD1" w:rsidRPr="004D5AD1">
        <w:rPr>
          <w:noProof/>
        </w:rPr>
        <w:t>ocz</w:t>
      </w:r>
      <w:r w:rsidRPr="004D5AD1">
        <w:rPr>
          <w:noProof/>
        </w:rPr>
        <w:t>yszczanie</w:t>
      </w:r>
      <w:r w:rsidR="004D5AD1" w:rsidRPr="004D5AD1">
        <w:rPr>
          <w:noProof/>
        </w:rPr>
        <w:t xml:space="preserve"> i</w:t>
      </w:r>
      <w:r w:rsidR="004D5AD1">
        <w:rPr>
          <w:noProof/>
        </w:rPr>
        <w:t> </w:t>
      </w:r>
      <w:r w:rsidR="004D5AD1" w:rsidRPr="004D5AD1">
        <w:rPr>
          <w:noProof/>
        </w:rPr>
        <w:t>wyk</w:t>
      </w:r>
      <w:r w:rsidRPr="004D5AD1">
        <w:rPr>
          <w:noProof/>
        </w:rPr>
        <w:t>orzystywanie ścieków</w:t>
      </w:r>
      <w:r w:rsidR="004D5AD1" w:rsidRPr="004D5AD1">
        <w:rPr>
          <w:noProof/>
        </w:rPr>
        <w:t xml:space="preserve"> i</w:t>
      </w:r>
      <w:r w:rsidR="004D5AD1">
        <w:rPr>
          <w:noProof/>
        </w:rPr>
        <w:t> </w:t>
      </w:r>
      <w:r w:rsidR="004D5AD1" w:rsidRPr="004D5AD1">
        <w:rPr>
          <w:noProof/>
        </w:rPr>
        <w:t>osa</w:t>
      </w:r>
      <w:r w:rsidRPr="004D5AD1">
        <w:rPr>
          <w:noProof/>
        </w:rPr>
        <w:t>dów ściekowych na gruncie obowiązujących ram regulacyjnych, mianowicie dyrektywy dotyczącej oczyszczania ścieków komunalnych</w:t>
      </w:r>
      <w:r w:rsidR="00B3490B" w:rsidRPr="004D5AD1">
        <w:rPr>
          <w:rStyle w:val="FootnoteReference"/>
          <w:rFonts w:eastAsia="Arial Unicode MS"/>
          <w:noProof/>
        </w:rPr>
        <w:footnoteReference w:id="6"/>
      </w:r>
      <w:r w:rsidRPr="004D5AD1">
        <w:rPr>
          <w:noProof/>
        </w:rPr>
        <w:t xml:space="preserve"> oraz dyrektywy</w:t>
      </w:r>
      <w:r w:rsidR="004D5AD1" w:rsidRPr="004D5AD1">
        <w:rPr>
          <w:noProof/>
        </w:rPr>
        <w:t xml:space="preserve"> w</w:t>
      </w:r>
      <w:r w:rsidR="004D5AD1">
        <w:rPr>
          <w:noProof/>
        </w:rPr>
        <w:t> </w:t>
      </w:r>
      <w:r w:rsidR="004D5AD1" w:rsidRPr="004D5AD1">
        <w:rPr>
          <w:noProof/>
        </w:rPr>
        <w:t>spr</w:t>
      </w:r>
      <w:r w:rsidRPr="004D5AD1">
        <w:rPr>
          <w:noProof/>
        </w:rPr>
        <w:t>awie osadów ściekowych</w:t>
      </w:r>
      <w:r w:rsidR="00B3490B" w:rsidRPr="004D5AD1">
        <w:rPr>
          <w:rStyle w:val="FootnoteReference"/>
          <w:rFonts w:eastAsia="Arial Unicode MS"/>
          <w:noProof/>
        </w:rPr>
        <w:footnoteReference w:id="7"/>
      </w:r>
      <w:r w:rsidRPr="004D5AD1">
        <w:rPr>
          <w:noProof/>
        </w:rPr>
        <w:t>, kwestia emisji gazów cieplarnianych nie została szczegółowo uregulowana. Wdrożenie dyrektywy dotyczącej oczyszczania ścieków komunalnych pozwoliło jednak uniknąć znacznych emisji metanu dzięki zbieraniu</w:t>
      </w:r>
      <w:r w:rsidR="004D5AD1" w:rsidRPr="004D5AD1">
        <w:rPr>
          <w:noProof/>
        </w:rPr>
        <w:t xml:space="preserve"> i</w:t>
      </w:r>
      <w:r w:rsidR="004D5AD1">
        <w:rPr>
          <w:noProof/>
        </w:rPr>
        <w:t> </w:t>
      </w:r>
      <w:r w:rsidR="004D5AD1" w:rsidRPr="004D5AD1">
        <w:rPr>
          <w:noProof/>
        </w:rPr>
        <w:t>ocz</w:t>
      </w:r>
      <w:r w:rsidRPr="004D5AD1">
        <w:rPr>
          <w:noProof/>
        </w:rPr>
        <w:t>yszczaniu ścieków</w:t>
      </w:r>
      <w:r w:rsidR="004D5AD1" w:rsidRPr="004D5AD1">
        <w:rPr>
          <w:noProof/>
        </w:rPr>
        <w:t xml:space="preserve"> w</w:t>
      </w:r>
      <w:r w:rsidR="004D5AD1">
        <w:rPr>
          <w:noProof/>
        </w:rPr>
        <w:t> </w:t>
      </w:r>
      <w:r w:rsidR="004D5AD1" w:rsidRPr="004D5AD1">
        <w:rPr>
          <w:noProof/>
        </w:rPr>
        <w:t>efe</w:t>
      </w:r>
      <w:r w:rsidRPr="004D5AD1">
        <w:rPr>
          <w:noProof/>
        </w:rPr>
        <w:t>ktywnych, scentralizowanych zakładach. Obecnie trwają prace nad przeglądem dyrektywy dotyczącej oczyszczania ścieków komunalnych. Dyrektywa</w:t>
      </w:r>
      <w:r w:rsidR="004D5AD1" w:rsidRPr="004D5AD1">
        <w:rPr>
          <w:noProof/>
        </w:rPr>
        <w:t xml:space="preserve"> w</w:t>
      </w:r>
      <w:r w:rsidR="004D5AD1">
        <w:rPr>
          <w:noProof/>
        </w:rPr>
        <w:t> </w:t>
      </w:r>
      <w:r w:rsidR="004D5AD1" w:rsidRPr="004D5AD1">
        <w:rPr>
          <w:noProof/>
        </w:rPr>
        <w:t>spr</w:t>
      </w:r>
      <w:r w:rsidRPr="004D5AD1">
        <w:rPr>
          <w:noProof/>
        </w:rPr>
        <w:t>awie osadów ściekowych reguluje korzystanie</w:t>
      </w:r>
      <w:r w:rsidR="004D5AD1" w:rsidRPr="004D5AD1">
        <w:rPr>
          <w:noProof/>
        </w:rPr>
        <w:t xml:space="preserve"> z</w:t>
      </w:r>
      <w:r w:rsidR="004D5AD1">
        <w:rPr>
          <w:noProof/>
        </w:rPr>
        <w:t> </w:t>
      </w:r>
      <w:r w:rsidR="004D5AD1" w:rsidRPr="004D5AD1">
        <w:rPr>
          <w:noProof/>
        </w:rPr>
        <w:t>osa</w:t>
      </w:r>
      <w:r w:rsidRPr="004D5AD1">
        <w:rPr>
          <w:noProof/>
        </w:rPr>
        <w:t>dów ściekowych</w:t>
      </w:r>
      <w:r w:rsidR="004D5AD1" w:rsidRPr="004D5AD1">
        <w:rPr>
          <w:noProof/>
        </w:rPr>
        <w:t xml:space="preserve"> w</w:t>
      </w:r>
      <w:r w:rsidR="004D5AD1">
        <w:rPr>
          <w:noProof/>
        </w:rPr>
        <w:t> </w:t>
      </w:r>
      <w:r w:rsidR="004D5AD1" w:rsidRPr="004D5AD1">
        <w:rPr>
          <w:noProof/>
        </w:rPr>
        <w:t>cel</w:t>
      </w:r>
      <w:r w:rsidRPr="004D5AD1">
        <w:rPr>
          <w:noProof/>
        </w:rPr>
        <w:t>u ochrony środowiska,</w:t>
      </w:r>
      <w:r w:rsidR="004D5AD1" w:rsidRPr="004D5AD1">
        <w:rPr>
          <w:noProof/>
        </w:rPr>
        <w:t xml:space="preserve"> a</w:t>
      </w:r>
      <w:r w:rsidR="004D5AD1">
        <w:rPr>
          <w:noProof/>
        </w:rPr>
        <w:t> </w:t>
      </w:r>
      <w:r w:rsidR="004D5AD1" w:rsidRPr="004D5AD1">
        <w:rPr>
          <w:noProof/>
        </w:rPr>
        <w:t>w</w:t>
      </w:r>
      <w:r w:rsidR="004D5AD1">
        <w:rPr>
          <w:noProof/>
        </w:rPr>
        <w:t> </w:t>
      </w:r>
      <w:r w:rsidR="004D5AD1" w:rsidRPr="004D5AD1">
        <w:rPr>
          <w:noProof/>
        </w:rPr>
        <w:t>szc</w:t>
      </w:r>
      <w:r w:rsidRPr="004D5AD1">
        <w:rPr>
          <w:noProof/>
        </w:rPr>
        <w:t>zególności gleby przed szkodliwym oddziaływaniem zanieczyszczonego osadu ściekowego</w:t>
      </w:r>
      <w:r w:rsidR="004D5AD1" w:rsidRPr="004D5AD1">
        <w:rPr>
          <w:noProof/>
        </w:rPr>
        <w:t xml:space="preserve"> w</w:t>
      </w:r>
      <w:r w:rsidR="004D5AD1">
        <w:rPr>
          <w:noProof/>
        </w:rPr>
        <w:t> </w:t>
      </w:r>
      <w:r w:rsidR="004D5AD1" w:rsidRPr="004D5AD1">
        <w:rPr>
          <w:noProof/>
        </w:rPr>
        <w:t>prz</w:t>
      </w:r>
      <w:r w:rsidRPr="004D5AD1">
        <w:rPr>
          <w:noProof/>
        </w:rPr>
        <w:t>ypadku jego stosowania</w:t>
      </w:r>
      <w:r w:rsidR="004D5AD1" w:rsidRPr="004D5AD1">
        <w:rPr>
          <w:noProof/>
        </w:rPr>
        <w:t xml:space="preserve"> w</w:t>
      </w:r>
      <w:r w:rsidR="004D5AD1">
        <w:rPr>
          <w:noProof/>
        </w:rPr>
        <w:t> </w:t>
      </w:r>
      <w:r w:rsidR="004D5AD1" w:rsidRPr="004D5AD1">
        <w:rPr>
          <w:noProof/>
        </w:rPr>
        <w:t>rol</w:t>
      </w:r>
      <w:r w:rsidRPr="004D5AD1">
        <w:rPr>
          <w:noProof/>
        </w:rPr>
        <w:t xml:space="preserve">nictwie. </w:t>
      </w:r>
    </w:p>
    <w:p w14:paraId="3C25087D" w14:textId="77777777" w:rsidR="00BC3357" w:rsidRPr="004D5AD1" w:rsidRDefault="00BC3357" w:rsidP="00BC3357">
      <w:pPr>
        <w:pStyle w:val="ManualHeading1"/>
        <w:rPr>
          <w:noProof/>
        </w:rPr>
      </w:pPr>
      <w:r w:rsidRPr="004D5AD1">
        <w:rPr>
          <w:noProof/>
        </w:rPr>
        <w:t>2.</w:t>
      </w:r>
      <w:r w:rsidRPr="004D5AD1">
        <w:rPr>
          <w:noProof/>
        </w:rPr>
        <w:tab/>
        <w:t>PODSTAWA PRAWNA, POMOCNICZOŚĆ I PROPORCJONALNOŚĆ</w:t>
      </w:r>
    </w:p>
    <w:p w14:paraId="73C36BDD" w14:textId="77777777"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Podstawa prawna</w:t>
      </w:r>
    </w:p>
    <w:p w14:paraId="2B0DEFED" w14:textId="6E66578B" w:rsidR="00BC3357" w:rsidRPr="004D5AD1" w:rsidRDefault="00BC3357" w:rsidP="006D4AC8">
      <w:pPr>
        <w:rPr>
          <w:noProof/>
        </w:rPr>
      </w:pPr>
      <w:r w:rsidRPr="004D5AD1">
        <w:rPr>
          <w:noProof/>
        </w:rPr>
        <w:t>Podstawę prawną przedmiotowej inicjatywy stanowi art.</w:t>
      </w:r>
      <w:r w:rsidR="004D5AD1" w:rsidRPr="004D5AD1">
        <w:rPr>
          <w:noProof/>
        </w:rPr>
        <w:t> </w:t>
      </w:r>
      <w:r w:rsidRPr="004D5AD1">
        <w:rPr>
          <w:noProof/>
        </w:rPr>
        <w:t>194 ust.</w:t>
      </w:r>
      <w:r w:rsidR="004D5AD1" w:rsidRPr="004D5AD1">
        <w:rPr>
          <w:noProof/>
        </w:rPr>
        <w:t> </w:t>
      </w:r>
      <w:r w:rsidRPr="004D5AD1">
        <w:rPr>
          <w:noProof/>
        </w:rPr>
        <w:t>2 Traktatu</w:t>
      </w:r>
      <w:r w:rsidR="004D5AD1" w:rsidRPr="004D5AD1">
        <w:rPr>
          <w:noProof/>
        </w:rPr>
        <w:t xml:space="preserve"> o</w:t>
      </w:r>
      <w:r w:rsidR="004D5AD1">
        <w:rPr>
          <w:noProof/>
        </w:rPr>
        <w:t> </w:t>
      </w:r>
      <w:r w:rsidR="004D5AD1" w:rsidRPr="004D5AD1">
        <w:rPr>
          <w:noProof/>
        </w:rPr>
        <w:t>fun</w:t>
      </w:r>
      <w:r w:rsidRPr="004D5AD1">
        <w:rPr>
          <w:noProof/>
        </w:rPr>
        <w:t>kcjonowaniu Unii Europejskiej (TFUE), który upoważnia Unię do ustanawiania środków niezbędnych do osiągnięcia celów</w:t>
      </w:r>
      <w:r w:rsidR="004D5AD1" w:rsidRPr="004D5AD1">
        <w:rPr>
          <w:noProof/>
        </w:rPr>
        <w:t xml:space="preserve"> w</w:t>
      </w:r>
      <w:r w:rsidR="004D5AD1">
        <w:rPr>
          <w:noProof/>
        </w:rPr>
        <w:t> </w:t>
      </w:r>
      <w:r w:rsidR="004D5AD1" w:rsidRPr="004D5AD1">
        <w:rPr>
          <w:noProof/>
        </w:rPr>
        <w:t>odn</w:t>
      </w:r>
      <w:r w:rsidRPr="004D5AD1">
        <w:rPr>
          <w:noProof/>
        </w:rPr>
        <w:t>iesieniu do polityki Unii</w:t>
      </w:r>
      <w:r w:rsidR="004D5AD1" w:rsidRPr="004D5AD1">
        <w:rPr>
          <w:noProof/>
        </w:rPr>
        <w:t xml:space="preserve"> w</w:t>
      </w:r>
      <w:r w:rsidR="004D5AD1">
        <w:rPr>
          <w:noProof/>
        </w:rPr>
        <w:t> </w:t>
      </w:r>
      <w:r w:rsidR="004D5AD1" w:rsidRPr="004D5AD1">
        <w:rPr>
          <w:noProof/>
        </w:rPr>
        <w:t>dzi</w:t>
      </w:r>
      <w:r w:rsidRPr="004D5AD1">
        <w:rPr>
          <w:noProof/>
        </w:rPr>
        <w:t xml:space="preserve">edzinie energetyki. </w:t>
      </w:r>
      <w:r w:rsidRPr="004D5AD1">
        <w:rPr>
          <w:noProof/>
          <w:szCs w:val="24"/>
          <w:u w:color="000000"/>
          <w:bdr w:val="nil"/>
        </w:rPr>
        <w:t>Niniejszy wniosek dotyczy wyłącznie sektora energetycznego</w:t>
      </w:r>
      <w:r w:rsidR="004D5AD1" w:rsidRPr="004D5AD1">
        <w:rPr>
          <w:noProof/>
          <w:szCs w:val="24"/>
          <w:u w:color="000000"/>
          <w:bdr w:val="nil"/>
        </w:rPr>
        <w:t xml:space="preserve"> i</w:t>
      </w:r>
      <w:r w:rsidR="004D5AD1">
        <w:rPr>
          <w:noProof/>
          <w:szCs w:val="24"/>
          <w:u w:color="000000"/>
          <w:bdr w:val="nil"/>
        </w:rPr>
        <w:t> </w:t>
      </w:r>
      <w:r w:rsidR="004D5AD1" w:rsidRPr="004D5AD1">
        <w:rPr>
          <w:noProof/>
          <w:szCs w:val="24"/>
          <w:u w:color="000000"/>
          <w:bdr w:val="nil"/>
        </w:rPr>
        <w:t>prz</w:t>
      </w:r>
      <w:r w:rsidRPr="004D5AD1">
        <w:rPr>
          <w:noProof/>
          <w:szCs w:val="24"/>
          <w:u w:color="000000"/>
          <w:bdr w:val="nil"/>
        </w:rPr>
        <w:t>yczynia się do realizacji celów Unii</w:t>
      </w:r>
      <w:r w:rsidR="004D5AD1" w:rsidRPr="004D5AD1">
        <w:rPr>
          <w:noProof/>
          <w:szCs w:val="24"/>
          <w:u w:color="000000"/>
          <w:bdr w:val="nil"/>
        </w:rPr>
        <w:t xml:space="preserve"> w</w:t>
      </w:r>
      <w:r w:rsidR="004D5AD1">
        <w:rPr>
          <w:noProof/>
          <w:szCs w:val="24"/>
          <w:u w:color="000000"/>
          <w:bdr w:val="nil"/>
        </w:rPr>
        <w:t> </w:t>
      </w:r>
      <w:r w:rsidR="004D5AD1" w:rsidRPr="004D5AD1">
        <w:rPr>
          <w:noProof/>
          <w:szCs w:val="24"/>
          <w:u w:color="000000"/>
          <w:bdr w:val="nil"/>
        </w:rPr>
        <w:t>dzi</w:t>
      </w:r>
      <w:r w:rsidRPr="004D5AD1">
        <w:rPr>
          <w:noProof/>
          <w:szCs w:val="24"/>
          <w:u w:color="000000"/>
          <w:bdr w:val="nil"/>
        </w:rPr>
        <w:t>edzinie polityki energetycznej określonych</w:t>
      </w:r>
      <w:r w:rsidR="004D5AD1" w:rsidRPr="004D5AD1">
        <w:rPr>
          <w:noProof/>
          <w:szCs w:val="24"/>
          <w:u w:color="000000"/>
          <w:bdr w:val="nil"/>
        </w:rPr>
        <w:t xml:space="preserve"> w</w:t>
      </w:r>
      <w:r w:rsidR="004D5AD1">
        <w:rPr>
          <w:noProof/>
          <w:szCs w:val="24"/>
          <w:u w:color="000000"/>
          <w:bdr w:val="nil"/>
        </w:rPr>
        <w:t> </w:t>
      </w:r>
      <w:r w:rsidR="004D5AD1" w:rsidRPr="004D5AD1">
        <w:rPr>
          <w:noProof/>
          <w:szCs w:val="24"/>
          <w:u w:color="000000"/>
          <w:bdr w:val="nil"/>
        </w:rPr>
        <w:t>art</w:t>
      </w:r>
      <w:r w:rsidRPr="004D5AD1">
        <w:rPr>
          <w:noProof/>
          <w:szCs w:val="24"/>
          <w:u w:color="000000"/>
          <w:bdr w:val="nil"/>
        </w:rPr>
        <w:t>.</w:t>
      </w:r>
      <w:r w:rsidR="004D5AD1" w:rsidRPr="004D5AD1">
        <w:rPr>
          <w:noProof/>
          <w:szCs w:val="24"/>
          <w:u w:color="000000"/>
          <w:bdr w:val="nil"/>
        </w:rPr>
        <w:t> </w:t>
      </w:r>
      <w:r w:rsidRPr="004D5AD1">
        <w:rPr>
          <w:noProof/>
          <w:szCs w:val="24"/>
          <w:u w:color="000000"/>
          <w:bdr w:val="nil"/>
        </w:rPr>
        <w:t>194 ust.</w:t>
      </w:r>
      <w:r w:rsidR="004D5AD1" w:rsidRPr="004D5AD1">
        <w:rPr>
          <w:noProof/>
          <w:szCs w:val="24"/>
          <w:u w:color="000000"/>
          <w:bdr w:val="nil"/>
        </w:rPr>
        <w:t> </w:t>
      </w:r>
      <w:r w:rsidRPr="004D5AD1">
        <w:rPr>
          <w:noProof/>
          <w:szCs w:val="24"/>
          <w:u w:color="000000"/>
          <w:bdr w:val="nil"/>
        </w:rPr>
        <w:t>1,</w:t>
      </w:r>
      <w:r w:rsidR="004D5AD1" w:rsidRPr="004D5AD1">
        <w:rPr>
          <w:noProof/>
          <w:szCs w:val="24"/>
          <w:u w:color="000000"/>
          <w:bdr w:val="nil"/>
        </w:rPr>
        <w:t xml:space="preserve"> w</w:t>
      </w:r>
      <w:r w:rsidR="004D5AD1">
        <w:rPr>
          <w:noProof/>
          <w:szCs w:val="24"/>
          <w:u w:color="000000"/>
          <w:bdr w:val="nil"/>
        </w:rPr>
        <w:t> </w:t>
      </w:r>
      <w:r w:rsidR="004D5AD1" w:rsidRPr="004D5AD1">
        <w:rPr>
          <w:noProof/>
          <w:szCs w:val="24"/>
          <w:u w:color="000000"/>
          <w:bdr w:val="nil"/>
        </w:rPr>
        <w:t>szc</w:t>
      </w:r>
      <w:r w:rsidRPr="004D5AD1">
        <w:rPr>
          <w:noProof/>
          <w:szCs w:val="24"/>
          <w:u w:color="000000"/>
          <w:bdr w:val="nil"/>
        </w:rPr>
        <w:t>zególności</w:t>
      </w:r>
      <w:r w:rsidR="004D5AD1" w:rsidRPr="004D5AD1">
        <w:rPr>
          <w:noProof/>
          <w:szCs w:val="24"/>
          <w:u w:color="000000"/>
          <w:bdr w:val="nil"/>
        </w:rPr>
        <w:t xml:space="preserve"> w</w:t>
      </w:r>
      <w:r w:rsidR="004D5AD1">
        <w:rPr>
          <w:noProof/>
          <w:szCs w:val="24"/>
          <w:u w:color="000000"/>
          <w:bdr w:val="nil"/>
        </w:rPr>
        <w:t> </w:t>
      </w:r>
      <w:r w:rsidR="004D5AD1" w:rsidRPr="004D5AD1">
        <w:rPr>
          <w:noProof/>
          <w:szCs w:val="24"/>
          <w:u w:color="000000"/>
          <w:bdr w:val="nil"/>
        </w:rPr>
        <w:t>zak</w:t>
      </w:r>
      <w:r w:rsidRPr="004D5AD1">
        <w:rPr>
          <w:noProof/>
          <w:szCs w:val="24"/>
          <w:u w:color="000000"/>
          <w:bdr w:val="nil"/>
        </w:rPr>
        <w:t>resie funkcjonowania rynku energii, dzięki harmonizacji przepisów dotyczących monitorowania, raportowania</w:t>
      </w:r>
      <w:r w:rsidR="004D5AD1" w:rsidRPr="004D5AD1">
        <w:rPr>
          <w:noProof/>
          <w:szCs w:val="24"/>
          <w:u w:color="000000"/>
          <w:bdr w:val="nil"/>
        </w:rPr>
        <w:t xml:space="preserve"> i</w:t>
      </w:r>
      <w:r w:rsidR="004D5AD1">
        <w:rPr>
          <w:noProof/>
          <w:szCs w:val="24"/>
          <w:u w:color="000000"/>
          <w:bdr w:val="nil"/>
        </w:rPr>
        <w:t> </w:t>
      </w:r>
      <w:r w:rsidR="004D5AD1" w:rsidRPr="004D5AD1">
        <w:rPr>
          <w:noProof/>
          <w:szCs w:val="24"/>
          <w:u w:color="000000"/>
          <w:bdr w:val="nil"/>
        </w:rPr>
        <w:t>red</w:t>
      </w:r>
      <w:r w:rsidRPr="004D5AD1">
        <w:rPr>
          <w:noProof/>
          <w:szCs w:val="24"/>
          <w:u w:color="000000"/>
          <w:bdr w:val="nil"/>
        </w:rPr>
        <w:t>ukcji emisji metanu, co przyczynia się do zachowania</w:t>
      </w:r>
      <w:r w:rsidR="004D5AD1" w:rsidRPr="004D5AD1">
        <w:rPr>
          <w:noProof/>
          <w:szCs w:val="24"/>
          <w:u w:color="000000"/>
          <w:bdr w:val="nil"/>
        </w:rPr>
        <w:t xml:space="preserve"> i</w:t>
      </w:r>
      <w:r w:rsidR="004D5AD1">
        <w:rPr>
          <w:noProof/>
          <w:szCs w:val="24"/>
          <w:u w:color="000000"/>
          <w:bdr w:val="nil"/>
        </w:rPr>
        <w:t> </w:t>
      </w:r>
      <w:r w:rsidR="004D5AD1" w:rsidRPr="004D5AD1">
        <w:rPr>
          <w:noProof/>
          <w:szCs w:val="24"/>
          <w:u w:color="000000"/>
          <w:bdr w:val="nil"/>
        </w:rPr>
        <w:t>pop</w:t>
      </w:r>
      <w:r w:rsidRPr="004D5AD1">
        <w:rPr>
          <w:noProof/>
          <w:szCs w:val="24"/>
          <w:u w:color="000000"/>
          <w:bdr w:val="nil"/>
        </w:rPr>
        <w:t xml:space="preserve">rawy stanu środowiska. </w:t>
      </w:r>
    </w:p>
    <w:p w14:paraId="1175BE8E" w14:textId="77777777"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 xml:space="preserve">Pomocniczość (w przypadku kompetencji niewyłącznych) </w:t>
      </w:r>
    </w:p>
    <w:p w14:paraId="6D1BF61F" w14:textId="4E39C421"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Emisje metanu</w:t>
      </w:r>
      <w:r w:rsidR="004D5AD1" w:rsidRPr="004D5AD1">
        <w:rPr>
          <w:noProof/>
        </w:rPr>
        <w:t xml:space="preserve"> w</w:t>
      </w:r>
      <w:r w:rsidR="004D5AD1">
        <w:rPr>
          <w:noProof/>
        </w:rPr>
        <w:t> </w:t>
      </w:r>
      <w:r w:rsidR="004D5AD1" w:rsidRPr="004D5AD1">
        <w:rPr>
          <w:noProof/>
        </w:rPr>
        <w:t>sek</w:t>
      </w:r>
      <w:r w:rsidRPr="004D5AD1">
        <w:rPr>
          <w:noProof/>
        </w:rPr>
        <w:t>torze energetycznym stanowią problem</w:t>
      </w:r>
      <w:r w:rsidR="004D5AD1" w:rsidRPr="004D5AD1">
        <w:rPr>
          <w:noProof/>
        </w:rPr>
        <w:t xml:space="preserve"> o</w:t>
      </w:r>
      <w:r w:rsidR="004D5AD1">
        <w:rPr>
          <w:noProof/>
        </w:rPr>
        <w:t> </w:t>
      </w:r>
      <w:r w:rsidR="004D5AD1" w:rsidRPr="004D5AD1">
        <w:rPr>
          <w:noProof/>
        </w:rPr>
        <w:t>wym</w:t>
      </w:r>
      <w:r w:rsidRPr="004D5AD1">
        <w:rPr>
          <w:noProof/>
        </w:rPr>
        <w:t>iarze transgranicznym i są różne</w:t>
      </w:r>
      <w:r w:rsidR="004D5AD1" w:rsidRPr="004D5AD1">
        <w:rPr>
          <w:noProof/>
        </w:rPr>
        <w:t xml:space="preserve"> w</w:t>
      </w:r>
      <w:r w:rsidR="004D5AD1">
        <w:rPr>
          <w:noProof/>
        </w:rPr>
        <w:t> </w:t>
      </w:r>
      <w:r w:rsidR="004D5AD1" w:rsidRPr="004D5AD1">
        <w:rPr>
          <w:noProof/>
        </w:rPr>
        <w:t>pos</w:t>
      </w:r>
      <w:r w:rsidRPr="004D5AD1">
        <w:rPr>
          <w:noProof/>
        </w:rPr>
        <w:t>zczególnych państwach</w:t>
      </w:r>
      <w:r w:rsidR="004D5AD1" w:rsidRPr="004D5AD1">
        <w:rPr>
          <w:noProof/>
        </w:rPr>
        <w:t xml:space="preserve"> i</w:t>
      </w:r>
      <w:r w:rsidR="004D5AD1">
        <w:rPr>
          <w:noProof/>
        </w:rPr>
        <w:t> </w:t>
      </w:r>
      <w:r w:rsidR="004D5AD1" w:rsidRPr="004D5AD1">
        <w:rPr>
          <w:noProof/>
        </w:rPr>
        <w:t>reg</w:t>
      </w:r>
      <w:r w:rsidRPr="004D5AD1">
        <w:rPr>
          <w:noProof/>
        </w:rPr>
        <w:t>ionach Unii</w:t>
      </w:r>
      <w:r w:rsidR="004D5AD1" w:rsidRPr="004D5AD1">
        <w:rPr>
          <w:noProof/>
        </w:rPr>
        <w:t>. W</w:t>
      </w:r>
      <w:r w:rsidR="004D5AD1">
        <w:rPr>
          <w:noProof/>
        </w:rPr>
        <w:t> </w:t>
      </w:r>
      <w:r w:rsidR="004D5AD1" w:rsidRPr="004D5AD1">
        <w:rPr>
          <w:noProof/>
        </w:rPr>
        <w:t>róż</w:t>
      </w:r>
      <w:r w:rsidRPr="004D5AD1">
        <w:rPr>
          <w:noProof/>
        </w:rPr>
        <w:t>nym stopniu mają one znaczenie</w:t>
      </w:r>
      <w:r w:rsidR="004D5AD1" w:rsidRPr="004D5AD1">
        <w:rPr>
          <w:noProof/>
        </w:rPr>
        <w:t xml:space="preserve"> w</w:t>
      </w:r>
      <w:r w:rsidR="004D5AD1">
        <w:rPr>
          <w:noProof/>
        </w:rPr>
        <w:t> </w:t>
      </w:r>
      <w:r w:rsidR="004D5AD1" w:rsidRPr="004D5AD1">
        <w:rPr>
          <w:noProof/>
        </w:rPr>
        <w:t>pań</w:t>
      </w:r>
      <w:r w:rsidRPr="004D5AD1">
        <w:rPr>
          <w:noProof/>
        </w:rPr>
        <w:t>stwach członkowskich,</w:t>
      </w:r>
      <w:r w:rsidR="004D5AD1" w:rsidRPr="004D5AD1">
        <w:rPr>
          <w:noProof/>
        </w:rPr>
        <w:t xml:space="preserve"> w</w:t>
      </w:r>
      <w:r w:rsidR="004D5AD1">
        <w:rPr>
          <w:noProof/>
        </w:rPr>
        <w:t> </w:t>
      </w:r>
      <w:r w:rsidR="004D5AD1" w:rsidRPr="004D5AD1">
        <w:rPr>
          <w:noProof/>
        </w:rPr>
        <w:t>zal</w:t>
      </w:r>
      <w:r w:rsidRPr="004D5AD1">
        <w:rPr>
          <w:noProof/>
        </w:rPr>
        <w:t>eżności od ich koszyka energetycznego</w:t>
      </w:r>
      <w:r w:rsidR="004D5AD1" w:rsidRPr="004D5AD1">
        <w:rPr>
          <w:noProof/>
        </w:rPr>
        <w:t xml:space="preserve"> i</w:t>
      </w:r>
      <w:r w:rsidR="004D5AD1">
        <w:rPr>
          <w:noProof/>
        </w:rPr>
        <w:t> </w:t>
      </w:r>
      <w:r w:rsidR="004D5AD1" w:rsidRPr="004D5AD1">
        <w:rPr>
          <w:noProof/>
        </w:rPr>
        <w:t>zas</w:t>
      </w:r>
      <w:r w:rsidRPr="004D5AD1">
        <w:rPr>
          <w:noProof/>
        </w:rPr>
        <w:t>obów naturalnych, np. liczby czynnych lub zamkniętych podziemnych kopalń węgla lub ilości produkowanego lub transportowanego gazu ziemnego. Aspekt ogólnounijny tej kwestii odzwierciedla skala infrastruktury gazowej, obejmującej około 190 000 km rurociągów przesyłowych we wszystkich państwach członkowskich.</w:t>
      </w:r>
    </w:p>
    <w:p w14:paraId="64BDE75D" w14:textId="3BDEA204"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Poziom raportowania emisji</w:t>
      </w:r>
      <w:r w:rsidR="004D5AD1" w:rsidRPr="004D5AD1">
        <w:rPr>
          <w:noProof/>
        </w:rPr>
        <w:t xml:space="preserve"> i</w:t>
      </w:r>
      <w:r w:rsidR="004D5AD1">
        <w:rPr>
          <w:noProof/>
        </w:rPr>
        <w:t> </w:t>
      </w:r>
      <w:r w:rsidR="004D5AD1" w:rsidRPr="004D5AD1">
        <w:rPr>
          <w:noProof/>
        </w:rPr>
        <w:t>zak</w:t>
      </w:r>
      <w:r w:rsidRPr="004D5AD1">
        <w:rPr>
          <w:noProof/>
        </w:rPr>
        <w:t>res środków ograniczających emisje różnią się</w:t>
      </w:r>
      <w:r w:rsidR="004D5AD1" w:rsidRPr="004D5AD1">
        <w:rPr>
          <w:noProof/>
        </w:rPr>
        <w:t xml:space="preserve"> w</w:t>
      </w:r>
      <w:r w:rsidR="004D5AD1">
        <w:rPr>
          <w:noProof/>
        </w:rPr>
        <w:t> </w:t>
      </w:r>
      <w:r w:rsidR="004D5AD1" w:rsidRPr="004D5AD1">
        <w:rPr>
          <w:noProof/>
        </w:rPr>
        <w:t>zal</w:t>
      </w:r>
      <w:r w:rsidRPr="004D5AD1">
        <w:rPr>
          <w:noProof/>
        </w:rPr>
        <w:t>eżności od państwa członkowskiego</w:t>
      </w:r>
      <w:r w:rsidR="004D5AD1" w:rsidRPr="004D5AD1">
        <w:rPr>
          <w:noProof/>
        </w:rPr>
        <w:t xml:space="preserve"> i</w:t>
      </w:r>
      <w:r w:rsidR="004D5AD1">
        <w:rPr>
          <w:noProof/>
        </w:rPr>
        <w:t> </w:t>
      </w:r>
      <w:r w:rsidR="004D5AD1" w:rsidRPr="004D5AD1">
        <w:rPr>
          <w:noProof/>
        </w:rPr>
        <w:t>pod</w:t>
      </w:r>
      <w:r w:rsidRPr="004D5AD1">
        <w:rPr>
          <w:noProof/>
        </w:rPr>
        <w:t>sektora. Istnieje kilka prywatnych</w:t>
      </w:r>
      <w:r w:rsidR="004D5AD1" w:rsidRPr="004D5AD1">
        <w:rPr>
          <w:noProof/>
        </w:rPr>
        <w:t xml:space="preserve"> i</w:t>
      </w:r>
      <w:r w:rsidR="004D5AD1">
        <w:rPr>
          <w:noProof/>
        </w:rPr>
        <w:t> </w:t>
      </w:r>
      <w:r w:rsidR="004D5AD1" w:rsidRPr="004D5AD1">
        <w:rPr>
          <w:noProof/>
        </w:rPr>
        <w:t>dob</w:t>
      </w:r>
      <w:r w:rsidRPr="004D5AD1">
        <w:rPr>
          <w:noProof/>
        </w:rPr>
        <w:t>rowolnych inicjatyw, są one jednak niewystarczające ze względu na ograniczenia, jeśli chodzi</w:t>
      </w:r>
      <w:r w:rsidR="004D5AD1" w:rsidRPr="004D5AD1">
        <w:rPr>
          <w:noProof/>
        </w:rPr>
        <w:t xml:space="preserve"> o</w:t>
      </w:r>
      <w:r w:rsidR="004D5AD1">
        <w:rPr>
          <w:noProof/>
        </w:rPr>
        <w:t> </w:t>
      </w:r>
      <w:r w:rsidR="004D5AD1" w:rsidRPr="004D5AD1">
        <w:rPr>
          <w:noProof/>
        </w:rPr>
        <w:t>zak</w:t>
      </w:r>
      <w:r w:rsidRPr="004D5AD1">
        <w:rPr>
          <w:noProof/>
        </w:rPr>
        <w:t>res, możliwości uczestnictwa</w:t>
      </w:r>
      <w:r w:rsidR="004D5AD1" w:rsidRPr="004D5AD1">
        <w:rPr>
          <w:noProof/>
        </w:rPr>
        <w:t xml:space="preserve"> i</w:t>
      </w:r>
      <w:r w:rsidR="004D5AD1">
        <w:rPr>
          <w:noProof/>
        </w:rPr>
        <w:t> </w:t>
      </w:r>
      <w:r w:rsidR="004D5AD1" w:rsidRPr="004D5AD1">
        <w:rPr>
          <w:noProof/>
        </w:rPr>
        <w:t>wyk</w:t>
      </w:r>
      <w:r w:rsidRPr="004D5AD1">
        <w:rPr>
          <w:noProof/>
        </w:rPr>
        <w:t>onalność. Zróżnicowane podejścia krajowe mogą prowadzić do niespójności</w:t>
      </w:r>
      <w:r w:rsidR="004D5AD1" w:rsidRPr="004D5AD1">
        <w:rPr>
          <w:noProof/>
        </w:rPr>
        <w:t xml:space="preserve"> w</w:t>
      </w:r>
      <w:r w:rsidR="004D5AD1">
        <w:rPr>
          <w:noProof/>
        </w:rPr>
        <w:t> </w:t>
      </w:r>
      <w:r w:rsidR="004D5AD1" w:rsidRPr="004D5AD1">
        <w:rPr>
          <w:noProof/>
        </w:rPr>
        <w:t>zak</w:t>
      </w:r>
      <w:r w:rsidRPr="004D5AD1">
        <w:rPr>
          <w:noProof/>
        </w:rPr>
        <w:t>resie podejścia regulacyjnego</w:t>
      </w:r>
      <w:r w:rsidR="004D5AD1" w:rsidRPr="004D5AD1">
        <w:rPr>
          <w:noProof/>
        </w:rPr>
        <w:t xml:space="preserve"> w</w:t>
      </w:r>
      <w:r w:rsidR="004D5AD1">
        <w:rPr>
          <w:noProof/>
        </w:rPr>
        <w:t> </w:t>
      </w:r>
      <w:r w:rsidR="004D5AD1" w:rsidRPr="004D5AD1">
        <w:rPr>
          <w:noProof/>
        </w:rPr>
        <w:t>pos</w:t>
      </w:r>
      <w:r w:rsidRPr="004D5AD1">
        <w:rPr>
          <w:noProof/>
        </w:rPr>
        <w:t>zczególnych państwach członkowskich, zwiększając obciążenie administracyjne przedsiębiorstw prowadzących działalność</w:t>
      </w:r>
      <w:r w:rsidR="004D5AD1" w:rsidRPr="004D5AD1">
        <w:rPr>
          <w:noProof/>
        </w:rPr>
        <w:t xml:space="preserve"> w</w:t>
      </w:r>
      <w:r w:rsidR="004D5AD1">
        <w:rPr>
          <w:noProof/>
        </w:rPr>
        <w:t> </w:t>
      </w:r>
      <w:r w:rsidR="004D5AD1" w:rsidRPr="004D5AD1">
        <w:rPr>
          <w:noProof/>
        </w:rPr>
        <w:t>wię</w:t>
      </w:r>
      <w:r w:rsidRPr="004D5AD1">
        <w:rPr>
          <w:noProof/>
        </w:rPr>
        <w:t>cej niż jednym państwie członkowskim, potencjalnie utrudniając funkcjonowanie rynku wewnętrznego poprzez tworzenie barier dla operatorów,</w:t>
      </w:r>
      <w:r w:rsidR="004D5AD1" w:rsidRPr="004D5AD1">
        <w:rPr>
          <w:noProof/>
        </w:rPr>
        <w:t xml:space="preserve"> a</w:t>
      </w:r>
      <w:r w:rsidR="004D5AD1">
        <w:rPr>
          <w:noProof/>
        </w:rPr>
        <w:t> </w:t>
      </w:r>
      <w:r w:rsidR="004D5AD1" w:rsidRPr="004D5AD1">
        <w:rPr>
          <w:noProof/>
        </w:rPr>
        <w:t>tak</w:t>
      </w:r>
      <w:r w:rsidRPr="004D5AD1">
        <w:rPr>
          <w:noProof/>
        </w:rPr>
        <w:t>że komplikując gromadzenie porównywalnych danych</w:t>
      </w:r>
      <w:r w:rsidR="004D5AD1" w:rsidRPr="004D5AD1">
        <w:rPr>
          <w:noProof/>
        </w:rPr>
        <w:t xml:space="preserve"> w</w:t>
      </w:r>
      <w:r w:rsidR="004D5AD1">
        <w:rPr>
          <w:noProof/>
        </w:rPr>
        <w:t> </w:t>
      </w:r>
      <w:r w:rsidR="004D5AD1" w:rsidRPr="004D5AD1">
        <w:rPr>
          <w:noProof/>
        </w:rPr>
        <w:t>cał</w:t>
      </w:r>
      <w:r w:rsidRPr="004D5AD1">
        <w:rPr>
          <w:noProof/>
        </w:rPr>
        <w:t>ej Unii.</w:t>
      </w:r>
      <w:r w:rsidR="004D5AD1" w:rsidRPr="004D5AD1">
        <w:rPr>
          <w:noProof/>
        </w:rPr>
        <w:t xml:space="preserve"> </w:t>
      </w:r>
    </w:p>
    <w:p w14:paraId="6461CE66" w14:textId="7FDB705E"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Ponadto, ponieważ większość emisji metanu związanych</w:t>
      </w:r>
      <w:r w:rsidR="004D5AD1" w:rsidRPr="004D5AD1">
        <w:rPr>
          <w:noProof/>
        </w:rPr>
        <w:t xml:space="preserve"> z</w:t>
      </w:r>
      <w:r w:rsidR="004D5AD1">
        <w:rPr>
          <w:noProof/>
        </w:rPr>
        <w:t> </w:t>
      </w:r>
      <w:r w:rsidR="004D5AD1" w:rsidRPr="004D5AD1">
        <w:rPr>
          <w:noProof/>
        </w:rPr>
        <w:t>ene</w:t>
      </w:r>
      <w:r w:rsidRPr="004D5AD1">
        <w:rPr>
          <w:noProof/>
        </w:rPr>
        <w:t>rgią pochodzącą</w:t>
      </w:r>
      <w:r w:rsidR="004D5AD1" w:rsidRPr="004D5AD1">
        <w:rPr>
          <w:noProof/>
        </w:rPr>
        <w:t xml:space="preserve"> z</w:t>
      </w:r>
      <w:r w:rsidR="004D5AD1">
        <w:rPr>
          <w:noProof/>
        </w:rPr>
        <w:t> </w:t>
      </w:r>
      <w:r w:rsidR="004D5AD1" w:rsidRPr="004D5AD1">
        <w:rPr>
          <w:noProof/>
        </w:rPr>
        <w:t>pal</w:t>
      </w:r>
      <w:r w:rsidRPr="004D5AD1">
        <w:rPr>
          <w:noProof/>
        </w:rPr>
        <w:t>iw kopalnych zużywaną</w:t>
      </w:r>
      <w:r w:rsidR="004D5AD1" w:rsidRPr="004D5AD1">
        <w:rPr>
          <w:noProof/>
        </w:rPr>
        <w:t xml:space="preserve"> w</w:t>
      </w:r>
      <w:r w:rsidR="004D5AD1">
        <w:rPr>
          <w:noProof/>
        </w:rPr>
        <w:t> </w:t>
      </w:r>
      <w:r w:rsidR="004D5AD1" w:rsidRPr="004D5AD1">
        <w:rPr>
          <w:noProof/>
        </w:rPr>
        <w:t>Uni</w:t>
      </w:r>
      <w:r w:rsidRPr="004D5AD1">
        <w:rPr>
          <w:noProof/>
        </w:rPr>
        <w:t>i występuje poza jej granicami, bardziej prawdopodobne jest, że wspólne działanie państw członkowskich przyniesie rezultaty</w:t>
      </w:r>
      <w:r w:rsidR="004D5AD1" w:rsidRPr="004D5AD1">
        <w:rPr>
          <w:noProof/>
        </w:rPr>
        <w:t xml:space="preserve"> w</w:t>
      </w:r>
      <w:r w:rsidR="004D5AD1">
        <w:rPr>
          <w:noProof/>
        </w:rPr>
        <w:t> </w:t>
      </w:r>
      <w:r w:rsidR="004D5AD1" w:rsidRPr="004D5AD1">
        <w:rPr>
          <w:noProof/>
        </w:rPr>
        <w:t>odn</w:t>
      </w:r>
      <w:r w:rsidRPr="004D5AD1">
        <w:rPr>
          <w:noProof/>
        </w:rPr>
        <w:t>iesieniu do tych części łańcucha dostaw</w:t>
      </w:r>
      <w:r w:rsidR="004D5AD1" w:rsidRPr="004D5AD1">
        <w:rPr>
          <w:noProof/>
        </w:rPr>
        <w:t xml:space="preserve"> i</w:t>
      </w:r>
      <w:r w:rsidR="004D5AD1">
        <w:rPr>
          <w:noProof/>
        </w:rPr>
        <w:t> </w:t>
      </w:r>
      <w:r w:rsidR="004D5AD1" w:rsidRPr="004D5AD1">
        <w:rPr>
          <w:noProof/>
        </w:rPr>
        <w:t>poz</w:t>
      </w:r>
      <w:r w:rsidRPr="004D5AD1">
        <w:rPr>
          <w:noProof/>
        </w:rPr>
        <w:t xml:space="preserve">woli zachować integralność wewnętrznego rynku energii. </w:t>
      </w:r>
    </w:p>
    <w:p w14:paraId="17380350" w14:textId="774274B3"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W świetle powyższego redukcji emisji metanu</w:t>
      </w:r>
      <w:r w:rsidR="004D5AD1" w:rsidRPr="004D5AD1">
        <w:rPr>
          <w:noProof/>
        </w:rPr>
        <w:t xml:space="preserve"> w</w:t>
      </w:r>
      <w:r w:rsidR="004D5AD1">
        <w:rPr>
          <w:noProof/>
        </w:rPr>
        <w:t> </w:t>
      </w:r>
      <w:r w:rsidR="004D5AD1" w:rsidRPr="004D5AD1">
        <w:rPr>
          <w:noProof/>
        </w:rPr>
        <w:t>cał</w:t>
      </w:r>
      <w:r w:rsidRPr="004D5AD1">
        <w:rPr>
          <w:noProof/>
        </w:rPr>
        <w:t>ej Unii sprzyjałoby jednorodne podejście polityczne na szczeblu Unii. Skutki środków mających na celu pomiar</w:t>
      </w:r>
      <w:r w:rsidR="004D5AD1" w:rsidRPr="004D5AD1">
        <w:rPr>
          <w:noProof/>
        </w:rPr>
        <w:t xml:space="preserve"> i</w:t>
      </w:r>
      <w:r w:rsidR="004D5AD1">
        <w:rPr>
          <w:noProof/>
        </w:rPr>
        <w:t> </w:t>
      </w:r>
      <w:r w:rsidR="004D5AD1" w:rsidRPr="004D5AD1">
        <w:rPr>
          <w:noProof/>
        </w:rPr>
        <w:t>ogr</w:t>
      </w:r>
      <w:r w:rsidRPr="004D5AD1">
        <w:rPr>
          <w:noProof/>
        </w:rPr>
        <w:t>aniczanie emisji metanu oraz powiązany</w:t>
      </w:r>
      <w:r w:rsidR="004D5AD1" w:rsidRPr="004D5AD1">
        <w:rPr>
          <w:noProof/>
        </w:rPr>
        <w:t xml:space="preserve"> z</w:t>
      </w:r>
      <w:r w:rsidR="004D5AD1">
        <w:rPr>
          <w:noProof/>
        </w:rPr>
        <w:t> </w:t>
      </w:r>
      <w:r w:rsidR="004D5AD1" w:rsidRPr="004D5AD1">
        <w:rPr>
          <w:noProof/>
        </w:rPr>
        <w:t>nim</w:t>
      </w:r>
      <w:r w:rsidRPr="004D5AD1">
        <w:rPr>
          <w:noProof/>
        </w:rPr>
        <w:t>i wpływ na innowacje, opłacalność oraz równe warunki działania</w:t>
      </w:r>
      <w:r w:rsidR="004D5AD1" w:rsidRPr="004D5AD1">
        <w:rPr>
          <w:noProof/>
        </w:rPr>
        <w:t xml:space="preserve"> w</w:t>
      </w:r>
      <w:r w:rsidR="004D5AD1">
        <w:rPr>
          <w:noProof/>
        </w:rPr>
        <w:t> </w:t>
      </w:r>
      <w:r w:rsidR="004D5AD1" w:rsidRPr="004D5AD1">
        <w:rPr>
          <w:noProof/>
        </w:rPr>
        <w:t>utr</w:t>
      </w:r>
      <w:r w:rsidRPr="004D5AD1">
        <w:rPr>
          <w:noProof/>
        </w:rPr>
        <w:t>zymaniu dobrze funkcjonującego rynku wewnętrznego uzasadniają koordynację ponad granicami państw członkowskich. Skoordynowana polityka Unii ma znacznie większe szanse na doprowadzenie do dalszych redukcji emisji metanu</w:t>
      </w:r>
      <w:r w:rsidR="004D5AD1" w:rsidRPr="004D5AD1">
        <w:rPr>
          <w:noProof/>
        </w:rPr>
        <w:t xml:space="preserve"> w</w:t>
      </w:r>
      <w:r w:rsidR="004D5AD1">
        <w:rPr>
          <w:noProof/>
        </w:rPr>
        <w:t> </w:t>
      </w:r>
      <w:r w:rsidR="004D5AD1" w:rsidRPr="004D5AD1">
        <w:rPr>
          <w:noProof/>
        </w:rPr>
        <w:t>sek</w:t>
      </w:r>
      <w:r w:rsidRPr="004D5AD1">
        <w:rPr>
          <w:noProof/>
        </w:rPr>
        <w:t>torze energetycznym niż rozdrobnione działania na poziomie krajowym. Skoordynowane działanie na szczeblu unijnym umożliwia ponadto pełne uwzględnienie różnic pod względem zdolności działania poszczególnych państw członkowskich</w:t>
      </w:r>
      <w:r w:rsidR="004D5AD1" w:rsidRPr="004D5AD1">
        <w:rPr>
          <w:noProof/>
        </w:rPr>
        <w:t xml:space="preserve"> i</w:t>
      </w:r>
      <w:r w:rsidR="004D5AD1">
        <w:rPr>
          <w:noProof/>
        </w:rPr>
        <w:t> </w:t>
      </w:r>
      <w:r w:rsidR="004D5AD1" w:rsidRPr="004D5AD1">
        <w:rPr>
          <w:noProof/>
        </w:rPr>
        <w:t>pod</w:t>
      </w:r>
      <w:r w:rsidRPr="004D5AD1">
        <w:rPr>
          <w:noProof/>
        </w:rPr>
        <w:t>miotów prywatnych. Zapewnia również operatorom korzyści wynikające</w:t>
      </w:r>
      <w:r w:rsidR="004D5AD1" w:rsidRPr="004D5AD1">
        <w:rPr>
          <w:noProof/>
        </w:rPr>
        <w:t xml:space="preserve"> z</w:t>
      </w:r>
      <w:r w:rsidR="004D5AD1">
        <w:rPr>
          <w:noProof/>
        </w:rPr>
        <w:t> </w:t>
      </w:r>
      <w:r w:rsidR="004D5AD1" w:rsidRPr="004D5AD1">
        <w:rPr>
          <w:noProof/>
        </w:rPr>
        <w:t>jed</w:t>
      </w:r>
      <w:r w:rsidRPr="004D5AD1">
        <w:rPr>
          <w:noProof/>
        </w:rPr>
        <w:t>nolitego systemu regulacyjnego, co ułatwia przestrzeganie przepisów</w:t>
      </w:r>
      <w:r w:rsidR="004D5AD1" w:rsidRPr="004D5AD1">
        <w:rPr>
          <w:noProof/>
        </w:rPr>
        <w:t xml:space="preserve"> i</w:t>
      </w:r>
      <w:r w:rsidR="004D5AD1">
        <w:rPr>
          <w:noProof/>
        </w:rPr>
        <w:t> </w:t>
      </w:r>
      <w:r w:rsidR="004D5AD1" w:rsidRPr="004D5AD1">
        <w:rPr>
          <w:noProof/>
        </w:rPr>
        <w:t>zmn</w:t>
      </w:r>
      <w:r w:rsidRPr="004D5AD1">
        <w:rPr>
          <w:noProof/>
        </w:rPr>
        <w:t>iejsza obciążenie administracyjne związane ze stosowaniem niejednolitych przepisów</w:t>
      </w:r>
      <w:r w:rsidR="004D5AD1" w:rsidRPr="004D5AD1">
        <w:rPr>
          <w:noProof/>
        </w:rPr>
        <w:t xml:space="preserve"> w</w:t>
      </w:r>
      <w:r w:rsidR="004D5AD1">
        <w:rPr>
          <w:noProof/>
        </w:rPr>
        <w:t> </w:t>
      </w:r>
      <w:r w:rsidR="004D5AD1" w:rsidRPr="004D5AD1">
        <w:rPr>
          <w:noProof/>
        </w:rPr>
        <w:t>róż</w:t>
      </w:r>
      <w:r w:rsidRPr="004D5AD1">
        <w:rPr>
          <w:noProof/>
        </w:rPr>
        <w:t xml:space="preserve">nych państwach członkowskich. </w:t>
      </w:r>
    </w:p>
    <w:p w14:paraId="5AE3C8E3" w14:textId="25EDD77B"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Polityka</w:t>
      </w:r>
      <w:r w:rsidR="004D5AD1" w:rsidRPr="004D5AD1">
        <w:rPr>
          <w:noProof/>
        </w:rPr>
        <w:t xml:space="preserve"> w</w:t>
      </w:r>
      <w:r w:rsidR="004D5AD1">
        <w:rPr>
          <w:noProof/>
        </w:rPr>
        <w:t> </w:t>
      </w:r>
      <w:r w:rsidR="004D5AD1" w:rsidRPr="004D5AD1">
        <w:rPr>
          <w:noProof/>
        </w:rPr>
        <w:t>zak</w:t>
      </w:r>
      <w:r w:rsidRPr="004D5AD1">
        <w:rPr>
          <w:noProof/>
        </w:rPr>
        <w:t>resie metanu na szczeblu Unii wnosi znaczną wartość do międzynarodowych działań</w:t>
      </w:r>
      <w:r w:rsidR="004D5AD1" w:rsidRPr="004D5AD1">
        <w:rPr>
          <w:noProof/>
        </w:rPr>
        <w:t xml:space="preserve"> w</w:t>
      </w:r>
      <w:r w:rsidR="004D5AD1">
        <w:rPr>
          <w:noProof/>
        </w:rPr>
        <w:t> </w:t>
      </w:r>
      <w:r w:rsidR="004D5AD1" w:rsidRPr="004D5AD1">
        <w:rPr>
          <w:noProof/>
        </w:rPr>
        <w:t>dzi</w:t>
      </w:r>
      <w:r w:rsidRPr="004D5AD1">
        <w:rPr>
          <w:noProof/>
        </w:rPr>
        <w:t>edzinie klimatu. Unia, poprzez przygotowywanie przepisów mających na celu ograniczenie do minimum emisji metanu</w:t>
      </w:r>
      <w:r w:rsidR="004D5AD1" w:rsidRPr="004D5AD1">
        <w:rPr>
          <w:noProof/>
        </w:rPr>
        <w:t xml:space="preserve"> w</w:t>
      </w:r>
      <w:r w:rsidR="004D5AD1">
        <w:rPr>
          <w:noProof/>
        </w:rPr>
        <w:t> </w:t>
      </w:r>
      <w:r w:rsidR="004D5AD1" w:rsidRPr="004D5AD1">
        <w:rPr>
          <w:noProof/>
        </w:rPr>
        <w:t>sek</w:t>
      </w:r>
      <w:r w:rsidRPr="004D5AD1">
        <w:rPr>
          <w:noProof/>
        </w:rPr>
        <w:t>torze energetycznym, wysyła wyraźny sygnał polityczny do podmiotów zewnętrznych</w:t>
      </w:r>
      <w:r w:rsidR="004D5AD1" w:rsidRPr="004D5AD1">
        <w:rPr>
          <w:noProof/>
        </w:rPr>
        <w:t xml:space="preserve"> i</w:t>
      </w:r>
      <w:r w:rsidR="004D5AD1">
        <w:rPr>
          <w:noProof/>
        </w:rPr>
        <w:t> </w:t>
      </w:r>
      <w:r w:rsidR="004D5AD1" w:rsidRPr="004D5AD1">
        <w:rPr>
          <w:noProof/>
        </w:rPr>
        <w:t>zwi</w:t>
      </w:r>
      <w:r w:rsidRPr="004D5AD1">
        <w:rPr>
          <w:noProof/>
        </w:rPr>
        <w:t>ększają dzięki temu świadomość szkodliwego oddziaływania emisji metanu na klimat. Sygnał ten nie tylko zachęci partnerów Unii do zajęcia się problemem emisji metanu</w:t>
      </w:r>
      <w:r w:rsidR="004D5AD1" w:rsidRPr="004D5AD1">
        <w:rPr>
          <w:noProof/>
        </w:rPr>
        <w:t xml:space="preserve"> w</w:t>
      </w:r>
      <w:r w:rsidR="004D5AD1">
        <w:rPr>
          <w:noProof/>
        </w:rPr>
        <w:t> </w:t>
      </w:r>
      <w:r w:rsidR="004D5AD1" w:rsidRPr="004D5AD1">
        <w:rPr>
          <w:noProof/>
        </w:rPr>
        <w:t>sek</w:t>
      </w:r>
      <w:r w:rsidRPr="004D5AD1">
        <w:rPr>
          <w:noProof/>
        </w:rPr>
        <w:t>torze energetycznym, ale doprowadzi również do utworzenia partnerstwa międzynarodowego,</w:t>
      </w:r>
      <w:r w:rsidR="004D5AD1" w:rsidRPr="004D5AD1">
        <w:rPr>
          <w:noProof/>
        </w:rPr>
        <w:t xml:space="preserve"> a</w:t>
      </w:r>
      <w:r w:rsidR="004D5AD1">
        <w:rPr>
          <w:noProof/>
        </w:rPr>
        <w:t> </w:t>
      </w:r>
      <w:r w:rsidR="004D5AD1" w:rsidRPr="004D5AD1">
        <w:rPr>
          <w:noProof/>
        </w:rPr>
        <w:t>tym</w:t>
      </w:r>
      <w:r w:rsidRPr="004D5AD1">
        <w:rPr>
          <w:noProof/>
        </w:rPr>
        <w:t xml:space="preserve"> samym zapewni Unii wiodącą rolę</w:t>
      </w:r>
      <w:r w:rsidR="004D5AD1" w:rsidRPr="004D5AD1">
        <w:rPr>
          <w:noProof/>
        </w:rPr>
        <w:t xml:space="preserve"> w</w:t>
      </w:r>
      <w:r w:rsidR="004D5AD1">
        <w:rPr>
          <w:noProof/>
        </w:rPr>
        <w:t> </w:t>
      </w:r>
      <w:r w:rsidR="004D5AD1" w:rsidRPr="004D5AD1">
        <w:rPr>
          <w:noProof/>
        </w:rPr>
        <w:t>prz</w:t>
      </w:r>
      <w:r w:rsidRPr="004D5AD1">
        <w:rPr>
          <w:noProof/>
        </w:rPr>
        <w:t>eciwdziałaniu emisjom metanu.</w:t>
      </w:r>
    </w:p>
    <w:p w14:paraId="6F9E8879" w14:textId="62D7FAC2"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Podsumowując, wyzwania związane</w:t>
      </w:r>
      <w:r w:rsidR="004D5AD1" w:rsidRPr="004D5AD1">
        <w:rPr>
          <w:noProof/>
        </w:rPr>
        <w:t xml:space="preserve"> z</w:t>
      </w:r>
      <w:r w:rsidR="004D5AD1">
        <w:rPr>
          <w:noProof/>
        </w:rPr>
        <w:t> </w:t>
      </w:r>
      <w:r w:rsidR="004D5AD1" w:rsidRPr="004D5AD1">
        <w:rPr>
          <w:noProof/>
        </w:rPr>
        <w:t>red</w:t>
      </w:r>
      <w:r w:rsidRPr="004D5AD1">
        <w:rPr>
          <w:noProof/>
        </w:rPr>
        <w:t>ukcją emisji metanu wymagają zatem zharmonizowanego</w:t>
      </w:r>
      <w:r w:rsidR="004D5AD1" w:rsidRPr="004D5AD1">
        <w:rPr>
          <w:noProof/>
        </w:rPr>
        <w:t xml:space="preserve"> i</w:t>
      </w:r>
      <w:r w:rsidR="004D5AD1">
        <w:rPr>
          <w:noProof/>
        </w:rPr>
        <w:t> </w:t>
      </w:r>
      <w:r w:rsidR="004D5AD1" w:rsidRPr="004D5AD1">
        <w:rPr>
          <w:noProof/>
        </w:rPr>
        <w:t>sko</w:t>
      </w:r>
      <w:r w:rsidRPr="004D5AD1">
        <w:rPr>
          <w:noProof/>
        </w:rPr>
        <w:t>ordynowanego podejścia</w:t>
      </w:r>
      <w:r w:rsidR="004D5AD1" w:rsidRPr="004D5AD1">
        <w:rPr>
          <w:noProof/>
        </w:rPr>
        <w:t xml:space="preserve"> i</w:t>
      </w:r>
      <w:r w:rsidR="004D5AD1">
        <w:rPr>
          <w:noProof/>
        </w:rPr>
        <w:t> </w:t>
      </w:r>
      <w:r w:rsidR="004D5AD1" w:rsidRPr="004D5AD1">
        <w:rPr>
          <w:noProof/>
        </w:rPr>
        <w:t>nie</w:t>
      </w:r>
      <w:r w:rsidRPr="004D5AD1">
        <w:rPr>
          <w:noProof/>
        </w:rPr>
        <w:t xml:space="preserve"> mogą być skutecznie podejmowane przez państwa członkowskie działające pojedynczo. Działanie na poziomie Unii jest zatem uzasadnione na podstawie zasady pomocniczości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194 TFUE.</w:t>
      </w:r>
    </w:p>
    <w:p w14:paraId="2FE68C42" w14:textId="77777777"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Proporcjonalność</w:t>
      </w:r>
    </w:p>
    <w:p w14:paraId="3A9F9505" w14:textId="3572A76B" w:rsidR="00BC3357" w:rsidRPr="004D5AD1" w:rsidRDefault="00BC3357" w:rsidP="00BC3357">
      <w:pPr>
        <w:rPr>
          <w:noProof/>
          <w:szCs w:val="24"/>
        </w:rPr>
      </w:pPr>
      <w:r w:rsidRPr="004D5AD1">
        <w:rPr>
          <w:noProof/>
        </w:rPr>
        <w:t>Niniejszy wniosek zapewnia staranie wypracowaną równowagę między,</w:t>
      </w:r>
      <w:r w:rsidR="004D5AD1" w:rsidRPr="004D5AD1">
        <w:rPr>
          <w:noProof/>
        </w:rPr>
        <w:t xml:space="preserve"> z</w:t>
      </w:r>
      <w:r w:rsidR="004D5AD1">
        <w:rPr>
          <w:noProof/>
        </w:rPr>
        <w:t> </w:t>
      </w:r>
      <w:r w:rsidR="004D5AD1" w:rsidRPr="004D5AD1">
        <w:rPr>
          <w:noProof/>
        </w:rPr>
        <w:t>jed</w:t>
      </w:r>
      <w:r w:rsidRPr="004D5AD1">
        <w:rPr>
          <w:noProof/>
        </w:rPr>
        <w:t>nej strony, autonomią regulacyjną państw członkowskich</w:t>
      </w:r>
      <w:r w:rsidR="004D5AD1" w:rsidRPr="004D5AD1">
        <w:rPr>
          <w:noProof/>
        </w:rPr>
        <w:t xml:space="preserve"> w</w:t>
      </w:r>
      <w:r w:rsidR="004D5AD1">
        <w:rPr>
          <w:noProof/>
        </w:rPr>
        <w:t> </w:t>
      </w:r>
      <w:r w:rsidR="004D5AD1" w:rsidRPr="004D5AD1">
        <w:rPr>
          <w:noProof/>
        </w:rPr>
        <w:t>zak</w:t>
      </w:r>
      <w:r w:rsidRPr="004D5AD1">
        <w:rPr>
          <w:noProof/>
        </w:rPr>
        <w:t>resie krajowych działań naprawczych, tworzenia zachęt na rzecz innowacyjności technologicznej lub decydowania</w:t>
      </w:r>
      <w:r w:rsidR="004D5AD1" w:rsidRPr="004D5AD1">
        <w:rPr>
          <w:noProof/>
        </w:rPr>
        <w:t xml:space="preserve"> o</w:t>
      </w:r>
      <w:r w:rsidR="004D5AD1">
        <w:rPr>
          <w:noProof/>
        </w:rPr>
        <w:t> </w:t>
      </w:r>
      <w:r w:rsidR="004D5AD1" w:rsidRPr="004D5AD1">
        <w:rPr>
          <w:noProof/>
        </w:rPr>
        <w:t>poz</w:t>
      </w:r>
      <w:r w:rsidRPr="004D5AD1">
        <w:rPr>
          <w:noProof/>
        </w:rPr>
        <w:t>iomie przeznaczanych zasobów,</w:t>
      </w:r>
      <w:r w:rsidR="004D5AD1" w:rsidRPr="004D5AD1">
        <w:rPr>
          <w:noProof/>
        </w:rPr>
        <w:t xml:space="preserve"> a</w:t>
      </w:r>
      <w:r w:rsidR="004D5AD1">
        <w:rPr>
          <w:noProof/>
        </w:rPr>
        <w:t> </w:t>
      </w:r>
      <w:r w:rsidR="004D5AD1" w:rsidRPr="004D5AD1">
        <w:rPr>
          <w:noProof/>
        </w:rPr>
        <w:t>z</w:t>
      </w:r>
      <w:r w:rsidR="004D5AD1">
        <w:rPr>
          <w:noProof/>
        </w:rPr>
        <w:t> </w:t>
      </w:r>
      <w:r w:rsidR="004D5AD1" w:rsidRPr="004D5AD1">
        <w:rPr>
          <w:noProof/>
        </w:rPr>
        <w:t>dru</w:t>
      </w:r>
      <w:r w:rsidRPr="004D5AD1">
        <w:rPr>
          <w:noProof/>
        </w:rPr>
        <w:t xml:space="preserve">giej strony, potrzebą rozwiązania problemów dotyczących emisji metanu, którymi należy stawić czoła na poziomie Unii. </w:t>
      </w:r>
    </w:p>
    <w:p w14:paraId="1724C0E1" w14:textId="5D1E5939" w:rsidR="00BC3357" w:rsidRPr="004D5AD1" w:rsidRDefault="00BC3357" w:rsidP="00BC3357">
      <w:pPr>
        <w:rPr>
          <w:noProof/>
        </w:rPr>
      </w:pPr>
      <w:r w:rsidRPr="004D5AD1">
        <w:rPr>
          <w:noProof/>
        </w:rPr>
        <w:t>Jak opisano</w:t>
      </w:r>
      <w:r w:rsidR="004D5AD1" w:rsidRPr="004D5AD1">
        <w:rPr>
          <w:noProof/>
        </w:rPr>
        <w:t xml:space="preserve"> w</w:t>
      </w:r>
      <w:r w:rsidR="004D5AD1">
        <w:rPr>
          <w:noProof/>
        </w:rPr>
        <w:t> </w:t>
      </w:r>
      <w:r w:rsidR="004D5AD1" w:rsidRPr="004D5AD1">
        <w:rPr>
          <w:noProof/>
        </w:rPr>
        <w:t>roz</w:t>
      </w:r>
      <w:r w:rsidRPr="004D5AD1">
        <w:rPr>
          <w:noProof/>
        </w:rPr>
        <w:t>dziale 6 oceny skutków, koszty</w:t>
      </w:r>
      <w:r w:rsidR="004D5AD1" w:rsidRPr="004D5AD1">
        <w:rPr>
          <w:noProof/>
        </w:rPr>
        <w:t xml:space="preserve"> i</w:t>
      </w:r>
      <w:r w:rsidR="004D5AD1">
        <w:rPr>
          <w:noProof/>
        </w:rPr>
        <w:t> </w:t>
      </w:r>
      <w:r w:rsidR="004D5AD1" w:rsidRPr="004D5AD1">
        <w:rPr>
          <w:noProof/>
        </w:rPr>
        <w:t>obc</w:t>
      </w:r>
      <w:r w:rsidRPr="004D5AD1">
        <w:rPr>
          <w:noProof/>
        </w:rPr>
        <w:t>iążenia regulacyjne związane</w:t>
      </w:r>
      <w:r w:rsidR="004D5AD1" w:rsidRPr="004D5AD1">
        <w:rPr>
          <w:noProof/>
        </w:rPr>
        <w:t xml:space="preserve"> z</w:t>
      </w:r>
      <w:r w:rsidR="004D5AD1">
        <w:rPr>
          <w:noProof/>
        </w:rPr>
        <w:t> </w:t>
      </w:r>
      <w:r w:rsidR="004D5AD1" w:rsidRPr="004D5AD1">
        <w:rPr>
          <w:noProof/>
        </w:rPr>
        <w:t>nin</w:t>
      </w:r>
      <w:r w:rsidRPr="004D5AD1">
        <w:rPr>
          <w:noProof/>
        </w:rPr>
        <w:t>iejszym wnioskiem zostały ograniczone do minimum. Środki przewidziane</w:t>
      </w:r>
      <w:r w:rsidR="004D5AD1" w:rsidRPr="004D5AD1">
        <w:rPr>
          <w:noProof/>
        </w:rPr>
        <w:t xml:space="preserve"> w</w:t>
      </w:r>
      <w:r w:rsidR="004D5AD1">
        <w:rPr>
          <w:noProof/>
        </w:rPr>
        <w:t> </w:t>
      </w:r>
      <w:r w:rsidR="004D5AD1" w:rsidRPr="004D5AD1">
        <w:rPr>
          <w:noProof/>
        </w:rPr>
        <w:t>nin</w:t>
      </w:r>
      <w:r w:rsidRPr="004D5AD1">
        <w:rPr>
          <w:noProof/>
        </w:rPr>
        <w:t>iejszym wniosku nie wykraczają poza to, co jest konieczne do rozwiązania stwierdzonych problemów</w:t>
      </w:r>
      <w:r w:rsidR="004D5AD1" w:rsidRPr="004D5AD1">
        <w:rPr>
          <w:noProof/>
        </w:rPr>
        <w:t xml:space="preserve"> i</w:t>
      </w:r>
      <w:r w:rsidR="004D5AD1">
        <w:rPr>
          <w:noProof/>
        </w:rPr>
        <w:t> </w:t>
      </w:r>
      <w:r w:rsidR="004D5AD1" w:rsidRPr="004D5AD1">
        <w:rPr>
          <w:noProof/>
        </w:rPr>
        <w:t>osi</w:t>
      </w:r>
      <w:r w:rsidRPr="004D5AD1">
        <w:rPr>
          <w:noProof/>
        </w:rPr>
        <w:t>ągnięcia wyznaczonych celów. Przewidywane koszty dla Komisji</w:t>
      </w:r>
      <w:r w:rsidR="004D5AD1" w:rsidRPr="004D5AD1">
        <w:rPr>
          <w:noProof/>
        </w:rPr>
        <w:t xml:space="preserve"> i</w:t>
      </w:r>
      <w:r w:rsidR="004D5AD1">
        <w:rPr>
          <w:noProof/>
        </w:rPr>
        <w:t> </w:t>
      </w:r>
      <w:r w:rsidR="004D5AD1" w:rsidRPr="004D5AD1">
        <w:rPr>
          <w:noProof/>
        </w:rPr>
        <w:t>pań</w:t>
      </w:r>
      <w:r w:rsidRPr="004D5AD1">
        <w:rPr>
          <w:noProof/>
        </w:rPr>
        <w:t>stw członkowskich uznaje się za akceptowalne, mając na uwadze również pozytywne skutki gospodarcze netto związane</w:t>
      </w:r>
      <w:r w:rsidR="004D5AD1" w:rsidRPr="004D5AD1">
        <w:rPr>
          <w:noProof/>
        </w:rPr>
        <w:t xml:space="preserve"> z</w:t>
      </w:r>
      <w:r w:rsidR="004D5AD1">
        <w:rPr>
          <w:noProof/>
        </w:rPr>
        <w:t> </w:t>
      </w:r>
      <w:r w:rsidR="004D5AD1" w:rsidRPr="004D5AD1">
        <w:rPr>
          <w:noProof/>
        </w:rPr>
        <w:t>red</w:t>
      </w:r>
      <w:r w:rsidRPr="004D5AD1">
        <w:rPr>
          <w:noProof/>
        </w:rPr>
        <w:t>ukcją emisji opłacalną</w:t>
      </w:r>
      <w:r w:rsidR="004D5AD1" w:rsidRPr="004D5AD1">
        <w:rPr>
          <w:noProof/>
        </w:rPr>
        <w:t xml:space="preserve"> w</w:t>
      </w:r>
      <w:r w:rsidR="004D5AD1">
        <w:rPr>
          <w:noProof/>
        </w:rPr>
        <w:t> </w:t>
      </w:r>
      <w:r w:rsidR="004D5AD1" w:rsidRPr="004D5AD1">
        <w:rPr>
          <w:noProof/>
        </w:rPr>
        <w:t>asp</w:t>
      </w:r>
      <w:r w:rsidRPr="004D5AD1">
        <w:rPr>
          <w:noProof/>
        </w:rPr>
        <w:t>ekcie środowiskowym</w:t>
      </w:r>
      <w:r w:rsidR="004D5AD1" w:rsidRPr="004D5AD1">
        <w:rPr>
          <w:noProof/>
        </w:rPr>
        <w:t xml:space="preserve"> i</w:t>
      </w:r>
      <w:r w:rsidR="004D5AD1">
        <w:rPr>
          <w:noProof/>
        </w:rPr>
        <w:t> </w:t>
      </w:r>
      <w:r w:rsidR="004D5AD1" w:rsidRPr="004D5AD1">
        <w:rPr>
          <w:noProof/>
        </w:rPr>
        <w:t>spo</w:t>
      </w:r>
      <w:r w:rsidRPr="004D5AD1">
        <w:rPr>
          <w:noProof/>
        </w:rPr>
        <w:t xml:space="preserve">łecznym. </w:t>
      </w:r>
    </w:p>
    <w:p w14:paraId="780825F7" w14:textId="77777777"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Wybór instrumentu</w:t>
      </w:r>
    </w:p>
    <w:p w14:paraId="6BA577B4" w14:textId="0CDEEB8F" w:rsidR="00BC3357" w:rsidRPr="004D5AD1" w:rsidRDefault="00BC3357" w:rsidP="00BC3357">
      <w:pPr>
        <w:pStyle w:val="Text1"/>
        <w:ind w:left="0"/>
        <w:rPr>
          <w:noProof/>
          <w:szCs w:val="24"/>
        </w:rPr>
      </w:pPr>
      <w:r w:rsidRPr="004D5AD1">
        <w:rPr>
          <w:noProof/>
        </w:rPr>
        <w:t>Rozporządzenie jest odpowiednim instrumentem prawnym na potrzeby niniejszego wniosku ustawodawczego, ponieważ wprowadza jasne</w:t>
      </w:r>
      <w:r w:rsidR="004D5AD1" w:rsidRPr="004D5AD1">
        <w:rPr>
          <w:noProof/>
        </w:rPr>
        <w:t xml:space="preserve"> i</w:t>
      </w:r>
      <w:r w:rsidR="004D5AD1">
        <w:rPr>
          <w:noProof/>
        </w:rPr>
        <w:t> </w:t>
      </w:r>
      <w:r w:rsidR="004D5AD1" w:rsidRPr="004D5AD1">
        <w:rPr>
          <w:noProof/>
        </w:rPr>
        <w:t>szc</w:t>
      </w:r>
      <w:r w:rsidRPr="004D5AD1">
        <w:rPr>
          <w:noProof/>
        </w:rPr>
        <w:t>zegółowe przepisy, które nie dają państwom członkowskim możliwości ich rozbieżnej transpozycji. Rozporządzenie gwarantuje, że wymogi prawne są stosowane</w:t>
      </w:r>
      <w:r w:rsidR="004D5AD1" w:rsidRPr="004D5AD1">
        <w:rPr>
          <w:noProof/>
        </w:rPr>
        <w:t xml:space="preserve"> w</w:t>
      </w:r>
      <w:r w:rsidR="004D5AD1">
        <w:rPr>
          <w:noProof/>
        </w:rPr>
        <w:t> </w:t>
      </w:r>
      <w:r w:rsidR="004D5AD1" w:rsidRPr="004D5AD1">
        <w:rPr>
          <w:noProof/>
        </w:rPr>
        <w:t>tym</w:t>
      </w:r>
      <w:r w:rsidRPr="004D5AD1">
        <w:rPr>
          <w:noProof/>
        </w:rPr>
        <w:t xml:space="preserve"> samym czasie</w:t>
      </w:r>
      <w:r w:rsidR="004D5AD1" w:rsidRPr="004D5AD1">
        <w:rPr>
          <w:noProof/>
        </w:rPr>
        <w:t xml:space="preserve"> w</w:t>
      </w:r>
      <w:r w:rsidR="004D5AD1">
        <w:rPr>
          <w:noProof/>
        </w:rPr>
        <w:t> </w:t>
      </w:r>
      <w:r w:rsidR="004D5AD1" w:rsidRPr="004D5AD1">
        <w:rPr>
          <w:noProof/>
        </w:rPr>
        <w:t>cał</w:t>
      </w:r>
      <w:r w:rsidRPr="004D5AD1">
        <w:rPr>
          <w:noProof/>
        </w:rPr>
        <w:t>ej Unii,</w:t>
      </w:r>
      <w:r w:rsidR="004D5AD1" w:rsidRPr="004D5AD1">
        <w:rPr>
          <w:noProof/>
        </w:rPr>
        <w:t xml:space="preserve"> a</w:t>
      </w:r>
      <w:r w:rsidR="004D5AD1">
        <w:rPr>
          <w:noProof/>
        </w:rPr>
        <w:t> </w:t>
      </w:r>
      <w:r w:rsidR="004D5AD1" w:rsidRPr="004D5AD1">
        <w:rPr>
          <w:noProof/>
        </w:rPr>
        <w:t>zat</w:t>
      </w:r>
      <w:r w:rsidRPr="004D5AD1">
        <w:rPr>
          <w:noProof/>
        </w:rPr>
        <w:t>em pozwoliłoby uniknąć nieefektywności oraz kosztów/obciążeń regulacyjnych związanych</w:t>
      </w:r>
      <w:r w:rsidR="004D5AD1" w:rsidRPr="004D5AD1">
        <w:rPr>
          <w:noProof/>
        </w:rPr>
        <w:t xml:space="preserve"> z</w:t>
      </w:r>
      <w:r w:rsidR="004D5AD1">
        <w:rPr>
          <w:noProof/>
        </w:rPr>
        <w:t> </w:t>
      </w:r>
      <w:r w:rsidR="004D5AD1" w:rsidRPr="004D5AD1">
        <w:rPr>
          <w:noProof/>
        </w:rPr>
        <w:t>nie</w:t>
      </w:r>
      <w:r w:rsidRPr="004D5AD1">
        <w:rPr>
          <w:noProof/>
        </w:rPr>
        <w:t>spójnym wdrażaniem przepisów dotyczących redukcji emisji metanu</w:t>
      </w:r>
      <w:r w:rsidR="004D5AD1" w:rsidRPr="004D5AD1">
        <w:rPr>
          <w:noProof/>
        </w:rPr>
        <w:t xml:space="preserve"> w</w:t>
      </w:r>
      <w:r w:rsidR="004D5AD1">
        <w:rPr>
          <w:noProof/>
        </w:rPr>
        <w:t> </w:t>
      </w:r>
      <w:r w:rsidR="004D5AD1" w:rsidRPr="004D5AD1">
        <w:rPr>
          <w:noProof/>
        </w:rPr>
        <w:t>cał</w:t>
      </w:r>
      <w:r w:rsidRPr="004D5AD1">
        <w:rPr>
          <w:noProof/>
        </w:rPr>
        <w:t xml:space="preserve">ej Unii. </w:t>
      </w:r>
    </w:p>
    <w:p w14:paraId="45EE21B6" w14:textId="3BCCACC8" w:rsidR="00BC3357" w:rsidRPr="004D5AD1" w:rsidRDefault="00BC3357" w:rsidP="00BC3357">
      <w:pPr>
        <w:pStyle w:val="Text1"/>
        <w:ind w:left="0"/>
        <w:rPr>
          <w:bCs/>
          <w:noProof/>
          <w:szCs w:val="24"/>
        </w:rPr>
      </w:pPr>
      <w:r w:rsidRPr="004D5AD1">
        <w:rPr>
          <w:noProof/>
        </w:rPr>
        <w:t>Ponadto rozporządzenie jest odpowiednim instrumentem służącym do nakładania bezpośrednich obowiązków na podmioty gospodarcze</w:t>
      </w:r>
      <w:r w:rsidR="004D5AD1" w:rsidRPr="004D5AD1">
        <w:rPr>
          <w:noProof/>
        </w:rPr>
        <w:t xml:space="preserve"> i</w:t>
      </w:r>
      <w:r w:rsidR="004D5AD1">
        <w:rPr>
          <w:noProof/>
        </w:rPr>
        <w:t> </w:t>
      </w:r>
      <w:r w:rsidR="004D5AD1" w:rsidRPr="004D5AD1">
        <w:rPr>
          <w:noProof/>
        </w:rPr>
        <w:t>org</w:t>
      </w:r>
      <w:r w:rsidRPr="004D5AD1">
        <w:rPr>
          <w:noProof/>
        </w:rPr>
        <w:t>any krajowe. Byłoby to konieczne</w:t>
      </w:r>
      <w:r w:rsidR="004D5AD1" w:rsidRPr="004D5AD1">
        <w:rPr>
          <w:noProof/>
        </w:rPr>
        <w:t xml:space="preserve"> w</w:t>
      </w:r>
      <w:r w:rsidR="004D5AD1">
        <w:rPr>
          <w:noProof/>
        </w:rPr>
        <w:t> </w:t>
      </w:r>
      <w:r w:rsidR="004D5AD1" w:rsidRPr="004D5AD1">
        <w:rPr>
          <w:noProof/>
        </w:rPr>
        <w:t>cel</w:t>
      </w:r>
      <w:r w:rsidRPr="004D5AD1">
        <w:rPr>
          <w:noProof/>
        </w:rPr>
        <w:t>u ustanowienia jasnych obowiązków</w:t>
      </w:r>
      <w:r w:rsidR="004D5AD1" w:rsidRPr="004D5AD1">
        <w:rPr>
          <w:noProof/>
        </w:rPr>
        <w:t xml:space="preserve"> w</w:t>
      </w:r>
      <w:r w:rsidR="004D5AD1">
        <w:rPr>
          <w:noProof/>
        </w:rPr>
        <w:t> </w:t>
      </w:r>
      <w:r w:rsidR="004D5AD1" w:rsidRPr="004D5AD1">
        <w:rPr>
          <w:noProof/>
        </w:rPr>
        <w:t>zak</w:t>
      </w:r>
      <w:r w:rsidRPr="004D5AD1">
        <w:rPr>
          <w:noProof/>
        </w:rPr>
        <w:t>resie kwantyfikacji, zgłaszania</w:t>
      </w:r>
      <w:r w:rsidR="004D5AD1" w:rsidRPr="004D5AD1">
        <w:rPr>
          <w:noProof/>
        </w:rPr>
        <w:t xml:space="preserve"> i</w:t>
      </w:r>
      <w:r w:rsidR="004D5AD1">
        <w:rPr>
          <w:noProof/>
        </w:rPr>
        <w:t> </w:t>
      </w:r>
      <w:r w:rsidR="004D5AD1" w:rsidRPr="004D5AD1">
        <w:rPr>
          <w:noProof/>
        </w:rPr>
        <w:t>wer</w:t>
      </w:r>
      <w:r w:rsidRPr="004D5AD1">
        <w:rPr>
          <w:noProof/>
        </w:rPr>
        <w:t>yfikacji danych,</w:t>
      </w:r>
      <w:r w:rsidR="004D5AD1" w:rsidRPr="004D5AD1">
        <w:rPr>
          <w:noProof/>
        </w:rPr>
        <w:t xml:space="preserve"> a</w:t>
      </w:r>
      <w:r w:rsidR="004D5AD1">
        <w:rPr>
          <w:noProof/>
        </w:rPr>
        <w:t> </w:t>
      </w:r>
      <w:r w:rsidR="004D5AD1" w:rsidRPr="004D5AD1">
        <w:rPr>
          <w:noProof/>
        </w:rPr>
        <w:t>tak</w:t>
      </w:r>
      <w:r w:rsidRPr="004D5AD1">
        <w:rPr>
          <w:noProof/>
        </w:rPr>
        <w:t>że do stosowania środków ograniczających emisje metanu,</w:t>
      </w:r>
      <w:r w:rsidR="004D5AD1" w:rsidRPr="004D5AD1">
        <w:rPr>
          <w:noProof/>
        </w:rPr>
        <w:t xml:space="preserve"> w</w:t>
      </w:r>
      <w:r w:rsidR="004D5AD1">
        <w:rPr>
          <w:noProof/>
        </w:rPr>
        <w:t> </w:t>
      </w:r>
      <w:r w:rsidR="004D5AD1" w:rsidRPr="004D5AD1">
        <w:rPr>
          <w:noProof/>
        </w:rPr>
        <w:t>tym</w:t>
      </w:r>
      <w:r w:rsidRPr="004D5AD1">
        <w:rPr>
          <w:noProof/>
        </w:rPr>
        <w:t xml:space="preserve"> stopniowego eliminowania szkodliwych praktyk sektorowych, takich jak uwalnianie do atmosfery</w:t>
      </w:r>
      <w:r w:rsidR="004D5AD1" w:rsidRPr="004D5AD1">
        <w:rPr>
          <w:noProof/>
        </w:rPr>
        <w:t xml:space="preserve"> i</w:t>
      </w:r>
      <w:r w:rsidR="004D5AD1">
        <w:rPr>
          <w:noProof/>
        </w:rPr>
        <w:t> </w:t>
      </w:r>
      <w:r w:rsidR="004D5AD1" w:rsidRPr="004D5AD1">
        <w:rPr>
          <w:noProof/>
        </w:rPr>
        <w:t>spa</w:t>
      </w:r>
      <w:r w:rsidRPr="004D5AD1">
        <w:rPr>
          <w:noProof/>
        </w:rPr>
        <w:t>lanie gazu</w:t>
      </w:r>
      <w:r w:rsidR="004D5AD1" w:rsidRPr="004D5AD1">
        <w:rPr>
          <w:noProof/>
        </w:rPr>
        <w:t xml:space="preserve"> w</w:t>
      </w:r>
      <w:r w:rsidR="004D5AD1">
        <w:rPr>
          <w:noProof/>
        </w:rPr>
        <w:t> </w:t>
      </w:r>
      <w:r w:rsidR="004D5AD1" w:rsidRPr="004D5AD1">
        <w:rPr>
          <w:noProof/>
        </w:rPr>
        <w:t>poc</w:t>
      </w:r>
      <w:r w:rsidRPr="004D5AD1">
        <w:rPr>
          <w:noProof/>
        </w:rPr>
        <w:t>hodni.</w:t>
      </w:r>
    </w:p>
    <w:p w14:paraId="5B901D8E" w14:textId="3CA92D81" w:rsidR="00BC3357" w:rsidRPr="004D5AD1" w:rsidRDefault="00BC3357" w:rsidP="00BC3357">
      <w:pPr>
        <w:pStyle w:val="Text1"/>
        <w:ind w:left="0"/>
        <w:rPr>
          <w:noProof/>
          <w:szCs w:val="24"/>
        </w:rPr>
      </w:pPr>
      <w:r w:rsidRPr="004D5AD1">
        <w:rPr>
          <w:noProof/>
        </w:rPr>
        <w:t>W celu zapewnienia spójnych</w:t>
      </w:r>
      <w:r w:rsidR="004D5AD1" w:rsidRPr="004D5AD1">
        <w:rPr>
          <w:noProof/>
        </w:rPr>
        <w:t xml:space="preserve"> i</w:t>
      </w:r>
      <w:r w:rsidR="004D5AD1">
        <w:rPr>
          <w:noProof/>
        </w:rPr>
        <w:t> </w:t>
      </w:r>
      <w:r w:rsidR="004D5AD1" w:rsidRPr="004D5AD1">
        <w:rPr>
          <w:noProof/>
        </w:rPr>
        <w:t>por</w:t>
      </w:r>
      <w:r w:rsidRPr="004D5AD1">
        <w:rPr>
          <w:noProof/>
        </w:rPr>
        <w:t>ównywalnych danych konieczne jest wprowadzenie zharmonizowanych wymogów dotyczących pomiaru</w:t>
      </w:r>
      <w:r w:rsidR="004D5AD1" w:rsidRPr="004D5AD1">
        <w:rPr>
          <w:noProof/>
        </w:rPr>
        <w:t xml:space="preserve"> i</w:t>
      </w:r>
      <w:r w:rsidR="004D5AD1">
        <w:rPr>
          <w:noProof/>
        </w:rPr>
        <w:t> </w:t>
      </w:r>
      <w:r w:rsidR="004D5AD1" w:rsidRPr="004D5AD1">
        <w:rPr>
          <w:noProof/>
        </w:rPr>
        <w:t>rap</w:t>
      </w:r>
      <w:r w:rsidRPr="004D5AD1">
        <w:rPr>
          <w:noProof/>
        </w:rPr>
        <w:t>ortowania. Można to najlepiej osiągnąć poprzez rozporządzenie, jak pokazują powiązane unijne akty prawne, takie jak rozporządzenie (UE) 2015/757</w:t>
      </w:r>
      <w:r w:rsidR="00E518D0" w:rsidRPr="004D5AD1">
        <w:rPr>
          <w:rStyle w:val="FootnoteReference"/>
          <w:noProof/>
          <w:szCs w:val="24"/>
        </w:rPr>
        <w:footnoteReference w:id="8"/>
      </w:r>
      <w:r w:rsidRPr="004D5AD1">
        <w:rPr>
          <w:noProof/>
        </w:rPr>
        <w:t>, rozporządzenie (WE) nr</w:t>
      </w:r>
      <w:r w:rsidR="004D5AD1" w:rsidRPr="004D5AD1">
        <w:rPr>
          <w:noProof/>
        </w:rPr>
        <w:t> </w:t>
      </w:r>
      <w:r w:rsidRPr="004D5AD1">
        <w:rPr>
          <w:noProof/>
        </w:rPr>
        <w:t>166/2006 czy rozporządzenie wykonawcze (UE) 2018/2006</w:t>
      </w:r>
      <w:r w:rsidR="00E518D0" w:rsidRPr="004D5AD1">
        <w:rPr>
          <w:rStyle w:val="FootnoteReference"/>
          <w:noProof/>
          <w:szCs w:val="24"/>
        </w:rPr>
        <w:footnoteReference w:id="9"/>
      </w:r>
      <w:r w:rsidR="004D5AD1" w:rsidRPr="004D5AD1">
        <w:rPr>
          <w:noProof/>
        </w:rPr>
        <w:t>. W</w:t>
      </w:r>
      <w:r w:rsidR="004D5AD1">
        <w:rPr>
          <w:noProof/>
        </w:rPr>
        <w:t> </w:t>
      </w:r>
      <w:r w:rsidR="004D5AD1" w:rsidRPr="004D5AD1">
        <w:rPr>
          <w:noProof/>
        </w:rPr>
        <w:t>tej</w:t>
      </w:r>
      <w:r w:rsidRPr="004D5AD1">
        <w:rPr>
          <w:noProof/>
        </w:rPr>
        <w:t xml:space="preserve"> kwestii poziom swobody decyzyjnej pozostawiony państwom członkowskim</w:t>
      </w:r>
      <w:r w:rsidR="004D5AD1" w:rsidRPr="004D5AD1">
        <w:rPr>
          <w:noProof/>
        </w:rPr>
        <w:t xml:space="preserve"> w</w:t>
      </w:r>
      <w:r w:rsidR="004D5AD1">
        <w:rPr>
          <w:noProof/>
        </w:rPr>
        <w:t> </w:t>
      </w:r>
      <w:r w:rsidR="004D5AD1" w:rsidRPr="004D5AD1">
        <w:rPr>
          <w:noProof/>
        </w:rPr>
        <w:t>dyr</w:t>
      </w:r>
      <w:r w:rsidRPr="004D5AD1">
        <w:rPr>
          <w:noProof/>
        </w:rPr>
        <w:t>ektywie nie odpowiadałby potrzebie zapewnienia porównywalnych,</w:t>
      </w:r>
      <w:r w:rsidR="004D5AD1" w:rsidRPr="004D5AD1">
        <w:rPr>
          <w:noProof/>
        </w:rPr>
        <w:t xml:space="preserve"> a</w:t>
      </w:r>
      <w:r w:rsidR="004D5AD1">
        <w:rPr>
          <w:noProof/>
        </w:rPr>
        <w:t> </w:t>
      </w:r>
      <w:r w:rsidR="004D5AD1" w:rsidRPr="004D5AD1">
        <w:rPr>
          <w:noProof/>
        </w:rPr>
        <w:t>zat</w:t>
      </w:r>
      <w:r w:rsidRPr="004D5AD1">
        <w:rPr>
          <w:noProof/>
        </w:rPr>
        <w:t>em zharmonizowanych danych.</w:t>
      </w:r>
    </w:p>
    <w:p w14:paraId="42CAB3A4" w14:textId="46BED0B1" w:rsidR="00BC3357" w:rsidRPr="004D5AD1" w:rsidRDefault="00BC3357" w:rsidP="00BC3357">
      <w:pPr>
        <w:pStyle w:val="Text1"/>
        <w:ind w:left="0"/>
        <w:rPr>
          <w:noProof/>
          <w:szCs w:val="24"/>
        </w:rPr>
      </w:pPr>
      <w:r w:rsidRPr="004D5AD1">
        <w:rPr>
          <w:noProof/>
        </w:rPr>
        <w:t>Ponadto</w:t>
      </w:r>
      <w:r w:rsidR="004D5AD1" w:rsidRPr="004D5AD1">
        <w:rPr>
          <w:noProof/>
        </w:rPr>
        <w:t xml:space="preserve"> w</w:t>
      </w:r>
      <w:r w:rsidR="004D5AD1">
        <w:rPr>
          <w:noProof/>
        </w:rPr>
        <w:t> </w:t>
      </w:r>
      <w:r w:rsidR="004D5AD1" w:rsidRPr="004D5AD1">
        <w:rPr>
          <w:noProof/>
        </w:rPr>
        <w:t>odn</w:t>
      </w:r>
      <w:r w:rsidRPr="004D5AD1">
        <w:rPr>
          <w:noProof/>
        </w:rPr>
        <w:t>iesieniu do środków ograniczających emisje oraz ograniczeń dotyczących praktyk przemysłowych rozporządzenie jest odpowiednim instrumentem zapewniającym, aby przepisy były bezpośrednio skierowane do przedsiębiorstw oraz aby</w:t>
      </w:r>
      <w:r w:rsidR="004D5AD1" w:rsidRPr="004D5AD1">
        <w:rPr>
          <w:noProof/>
        </w:rPr>
        <w:t xml:space="preserve"> w</w:t>
      </w:r>
      <w:r w:rsidR="004D5AD1">
        <w:rPr>
          <w:noProof/>
        </w:rPr>
        <w:t> </w:t>
      </w:r>
      <w:r w:rsidR="004D5AD1" w:rsidRPr="004D5AD1">
        <w:rPr>
          <w:noProof/>
        </w:rPr>
        <w:t>ram</w:t>
      </w:r>
      <w:r w:rsidRPr="004D5AD1">
        <w:rPr>
          <w:noProof/>
        </w:rPr>
        <w:t>ach tych praktyk ustanowiono minimalny zakres równych warunków działania.</w:t>
      </w:r>
    </w:p>
    <w:p w14:paraId="755A795C" w14:textId="60B0BB45" w:rsidR="00BC3357" w:rsidRPr="004D5AD1" w:rsidRDefault="00BC3357" w:rsidP="00BC3357">
      <w:pPr>
        <w:pStyle w:val="Text1"/>
        <w:ind w:left="0"/>
        <w:rPr>
          <w:noProof/>
          <w:szCs w:val="24"/>
        </w:rPr>
      </w:pPr>
      <w:r w:rsidRPr="004D5AD1">
        <w:rPr>
          <w:noProof/>
        </w:rPr>
        <w:t>Co więcej, rozporządzenie pozwala na uwzględnienie</w:t>
      </w:r>
      <w:r w:rsidR="004D5AD1" w:rsidRPr="004D5AD1">
        <w:rPr>
          <w:noProof/>
        </w:rPr>
        <w:t xml:space="preserve"> w</w:t>
      </w:r>
      <w:r w:rsidR="004D5AD1">
        <w:rPr>
          <w:noProof/>
        </w:rPr>
        <w:t> </w:t>
      </w:r>
      <w:r w:rsidR="004D5AD1" w:rsidRPr="004D5AD1">
        <w:rPr>
          <w:noProof/>
        </w:rPr>
        <w:t>spo</w:t>
      </w:r>
      <w:r w:rsidRPr="004D5AD1">
        <w:rPr>
          <w:noProof/>
        </w:rPr>
        <w:t>sób bardziej bezpośredni</w:t>
      </w:r>
      <w:r w:rsidR="004D5AD1" w:rsidRPr="004D5AD1">
        <w:rPr>
          <w:noProof/>
        </w:rPr>
        <w:t xml:space="preserve"> i</w:t>
      </w:r>
      <w:r w:rsidR="004D5AD1">
        <w:rPr>
          <w:noProof/>
        </w:rPr>
        <w:t> </w:t>
      </w:r>
      <w:r w:rsidR="004D5AD1" w:rsidRPr="004D5AD1">
        <w:rPr>
          <w:noProof/>
        </w:rPr>
        <w:t>spr</w:t>
      </w:r>
      <w:r w:rsidRPr="004D5AD1">
        <w:rPr>
          <w:noProof/>
        </w:rPr>
        <w:t>zyjający pilnej potrzeby ograniczenia emisji metanu</w:t>
      </w:r>
      <w:r w:rsidR="004D5AD1" w:rsidRPr="004D5AD1">
        <w:rPr>
          <w:noProof/>
        </w:rPr>
        <w:t xml:space="preserve"> w</w:t>
      </w:r>
      <w:r w:rsidR="004D5AD1">
        <w:rPr>
          <w:noProof/>
        </w:rPr>
        <w:t> </w:t>
      </w:r>
      <w:r w:rsidR="004D5AD1" w:rsidRPr="004D5AD1">
        <w:rPr>
          <w:noProof/>
        </w:rPr>
        <w:t>kon</w:t>
      </w:r>
      <w:r w:rsidRPr="004D5AD1">
        <w:rPr>
          <w:noProof/>
        </w:rPr>
        <w:t>tekście kryzysu klimatycznego oraz celu Unii</w:t>
      </w:r>
      <w:r w:rsidR="004D5AD1" w:rsidRPr="004D5AD1">
        <w:rPr>
          <w:noProof/>
        </w:rPr>
        <w:t xml:space="preserve"> w</w:t>
      </w:r>
      <w:r w:rsidR="004D5AD1">
        <w:rPr>
          <w:noProof/>
        </w:rPr>
        <w:t> </w:t>
      </w:r>
      <w:r w:rsidR="004D5AD1" w:rsidRPr="004D5AD1">
        <w:rPr>
          <w:noProof/>
        </w:rPr>
        <w:t>zak</w:t>
      </w:r>
      <w:r w:rsidRPr="004D5AD1">
        <w:rPr>
          <w:noProof/>
        </w:rPr>
        <w:t>resie neutralności klimatycznej, jak opisano</w:t>
      </w:r>
      <w:r w:rsidR="004D5AD1" w:rsidRPr="004D5AD1">
        <w:rPr>
          <w:noProof/>
        </w:rPr>
        <w:t xml:space="preserve"> w</w:t>
      </w:r>
      <w:r w:rsidR="004D5AD1">
        <w:rPr>
          <w:noProof/>
        </w:rPr>
        <w:t> </w:t>
      </w:r>
      <w:r w:rsidR="004D5AD1" w:rsidRPr="004D5AD1">
        <w:rPr>
          <w:noProof/>
        </w:rPr>
        <w:t>sek</w:t>
      </w:r>
      <w:r w:rsidRPr="004D5AD1">
        <w:rPr>
          <w:noProof/>
        </w:rPr>
        <w:t xml:space="preserve">cji 1 powyżej. </w:t>
      </w:r>
    </w:p>
    <w:p w14:paraId="2AEEB602" w14:textId="2A2F69FF" w:rsidR="00BC3357" w:rsidRPr="004D5AD1" w:rsidRDefault="00BC3357" w:rsidP="00BC3357">
      <w:pPr>
        <w:pStyle w:val="Text1"/>
        <w:ind w:left="0"/>
        <w:rPr>
          <w:noProof/>
          <w:szCs w:val="24"/>
        </w:rPr>
      </w:pPr>
      <w:r w:rsidRPr="004D5AD1">
        <w:rPr>
          <w:noProof/>
        </w:rPr>
        <w:t>Wybór rozporządzenia gwarantuje, że zidentyfikowane problemy</w:t>
      </w:r>
      <w:r w:rsidR="004D5AD1" w:rsidRPr="004D5AD1">
        <w:rPr>
          <w:noProof/>
        </w:rPr>
        <w:t xml:space="preserve"> i</w:t>
      </w:r>
      <w:r w:rsidR="004D5AD1">
        <w:rPr>
          <w:noProof/>
        </w:rPr>
        <w:t> </w:t>
      </w:r>
      <w:r w:rsidR="004D5AD1" w:rsidRPr="004D5AD1">
        <w:rPr>
          <w:noProof/>
        </w:rPr>
        <w:t>cel</w:t>
      </w:r>
      <w:r w:rsidRPr="004D5AD1">
        <w:rPr>
          <w:noProof/>
        </w:rPr>
        <w:t>e zostaną uwzględnione</w:t>
      </w:r>
      <w:r w:rsidR="004D5AD1" w:rsidRPr="004D5AD1">
        <w:rPr>
          <w:noProof/>
        </w:rPr>
        <w:t xml:space="preserve"> w</w:t>
      </w:r>
      <w:r w:rsidR="004D5AD1">
        <w:rPr>
          <w:noProof/>
        </w:rPr>
        <w:t> </w:t>
      </w:r>
      <w:r w:rsidR="004D5AD1" w:rsidRPr="004D5AD1">
        <w:rPr>
          <w:noProof/>
        </w:rPr>
        <w:t>jak</w:t>
      </w:r>
      <w:r w:rsidRPr="004D5AD1">
        <w:rPr>
          <w:noProof/>
        </w:rPr>
        <w:t xml:space="preserve"> najbardziej skuteczny, efektywny</w:t>
      </w:r>
      <w:r w:rsidR="004D5AD1" w:rsidRPr="004D5AD1">
        <w:rPr>
          <w:noProof/>
        </w:rPr>
        <w:t xml:space="preserve"> i</w:t>
      </w:r>
      <w:r w:rsidR="004D5AD1">
        <w:rPr>
          <w:noProof/>
        </w:rPr>
        <w:t> </w:t>
      </w:r>
      <w:r w:rsidR="004D5AD1" w:rsidRPr="004D5AD1">
        <w:rPr>
          <w:noProof/>
        </w:rPr>
        <w:t>pro</w:t>
      </w:r>
      <w:r w:rsidRPr="004D5AD1">
        <w:rPr>
          <w:noProof/>
        </w:rPr>
        <w:t>porcjonalny sposób. Rozporządzenie zapewnia staranną równowagę między,</w:t>
      </w:r>
      <w:r w:rsidR="004D5AD1" w:rsidRPr="004D5AD1">
        <w:rPr>
          <w:noProof/>
        </w:rPr>
        <w:t xml:space="preserve"> z</w:t>
      </w:r>
      <w:r w:rsidR="004D5AD1">
        <w:rPr>
          <w:noProof/>
        </w:rPr>
        <w:t> </w:t>
      </w:r>
      <w:r w:rsidR="004D5AD1" w:rsidRPr="004D5AD1">
        <w:rPr>
          <w:noProof/>
        </w:rPr>
        <w:t>jed</w:t>
      </w:r>
      <w:r w:rsidRPr="004D5AD1">
        <w:rPr>
          <w:noProof/>
        </w:rPr>
        <w:t>nej strony, autonomią regulacyjną państw członkowskich</w:t>
      </w:r>
      <w:r w:rsidR="004D5AD1" w:rsidRPr="004D5AD1">
        <w:rPr>
          <w:noProof/>
        </w:rPr>
        <w:t xml:space="preserve"> w</w:t>
      </w:r>
      <w:r w:rsidR="004D5AD1">
        <w:rPr>
          <w:noProof/>
        </w:rPr>
        <w:t> </w:t>
      </w:r>
      <w:r w:rsidR="004D5AD1" w:rsidRPr="004D5AD1">
        <w:rPr>
          <w:noProof/>
        </w:rPr>
        <w:t>zak</w:t>
      </w:r>
      <w:r w:rsidRPr="004D5AD1">
        <w:rPr>
          <w:noProof/>
        </w:rPr>
        <w:t>resie krajowych działań naprawczych, tworzenia zachęt na rzecz innowacyjności technologicznej lub decydowania</w:t>
      </w:r>
      <w:r w:rsidR="004D5AD1" w:rsidRPr="004D5AD1">
        <w:rPr>
          <w:noProof/>
        </w:rPr>
        <w:t xml:space="preserve"> o</w:t>
      </w:r>
      <w:r w:rsidR="004D5AD1">
        <w:rPr>
          <w:noProof/>
        </w:rPr>
        <w:t> </w:t>
      </w:r>
      <w:r w:rsidR="004D5AD1" w:rsidRPr="004D5AD1">
        <w:rPr>
          <w:noProof/>
        </w:rPr>
        <w:t>poz</w:t>
      </w:r>
      <w:r w:rsidRPr="004D5AD1">
        <w:rPr>
          <w:noProof/>
        </w:rPr>
        <w:t>iomie przeznaczanych zasobów,</w:t>
      </w:r>
      <w:r w:rsidR="004D5AD1" w:rsidRPr="004D5AD1">
        <w:rPr>
          <w:noProof/>
        </w:rPr>
        <w:t xml:space="preserve"> a</w:t>
      </w:r>
      <w:r w:rsidR="004D5AD1">
        <w:rPr>
          <w:noProof/>
        </w:rPr>
        <w:t> </w:t>
      </w:r>
      <w:r w:rsidR="004D5AD1" w:rsidRPr="004D5AD1">
        <w:rPr>
          <w:noProof/>
        </w:rPr>
        <w:t>z</w:t>
      </w:r>
      <w:r w:rsidR="004D5AD1">
        <w:rPr>
          <w:noProof/>
        </w:rPr>
        <w:t> </w:t>
      </w:r>
      <w:r w:rsidR="004D5AD1" w:rsidRPr="004D5AD1">
        <w:rPr>
          <w:noProof/>
        </w:rPr>
        <w:t>dru</w:t>
      </w:r>
      <w:r w:rsidRPr="004D5AD1">
        <w:rPr>
          <w:noProof/>
        </w:rPr>
        <w:t>giej strony, potrzebą rozwiązania problemów dotyczących emisji metanu, którymi należy stawić czoła na poziomie Unii.</w:t>
      </w:r>
      <w:r w:rsidR="004D5AD1" w:rsidRPr="004D5AD1">
        <w:rPr>
          <w:noProof/>
        </w:rPr>
        <w:t xml:space="preserve"> </w:t>
      </w:r>
    </w:p>
    <w:p w14:paraId="22C940AC" w14:textId="77777777" w:rsidR="00BC3357" w:rsidRPr="004D5AD1" w:rsidRDefault="00BC3357" w:rsidP="00BC3357">
      <w:pPr>
        <w:pStyle w:val="ManualHeading1"/>
        <w:rPr>
          <w:noProof/>
        </w:rPr>
      </w:pPr>
      <w:r w:rsidRPr="004D5AD1">
        <w:rPr>
          <w:noProof/>
        </w:rPr>
        <w:t>3.</w:t>
      </w:r>
      <w:r w:rsidRPr="004D5AD1">
        <w:rPr>
          <w:noProof/>
        </w:rPr>
        <w:tab/>
        <w:t>WYNIKI OCEN EX POST, KONSULTACJI Z ZAINTERESOWANYMI STRONAMI I OCEN SKUTKÓW</w:t>
      </w:r>
    </w:p>
    <w:p w14:paraId="1DC2C713" w14:textId="58304224"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Konsultacje</w:t>
      </w:r>
      <w:r w:rsidR="004D5AD1" w:rsidRPr="004D5AD1">
        <w:rPr>
          <w:noProof/>
          <w:u w:color="000000"/>
          <w:bdr w:val="nil"/>
        </w:rPr>
        <w:t xml:space="preserve"> z</w:t>
      </w:r>
      <w:r w:rsidR="004D5AD1">
        <w:rPr>
          <w:noProof/>
          <w:u w:color="000000"/>
          <w:bdr w:val="nil"/>
        </w:rPr>
        <w:t> </w:t>
      </w:r>
      <w:r w:rsidR="004D5AD1" w:rsidRPr="004D5AD1">
        <w:rPr>
          <w:noProof/>
          <w:u w:color="000000"/>
          <w:bdr w:val="nil"/>
        </w:rPr>
        <w:t>zai</w:t>
      </w:r>
      <w:r w:rsidRPr="004D5AD1">
        <w:rPr>
          <w:noProof/>
          <w:u w:color="000000"/>
          <w:bdr w:val="nil"/>
        </w:rPr>
        <w:t>nteresowanymi stronami</w:t>
      </w:r>
    </w:p>
    <w:p w14:paraId="545BED68" w14:textId="01322D7E"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Zgodnie</w:t>
      </w:r>
      <w:r w:rsidR="004D5AD1" w:rsidRPr="004D5AD1">
        <w:rPr>
          <w:noProof/>
        </w:rPr>
        <w:t xml:space="preserve"> z</w:t>
      </w:r>
      <w:r w:rsidR="004D5AD1">
        <w:rPr>
          <w:noProof/>
        </w:rPr>
        <w:t> </w:t>
      </w:r>
      <w:r w:rsidR="004D5AD1" w:rsidRPr="004D5AD1">
        <w:rPr>
          <w:noProof/>
        </w:rPr>
        <w:t>wyt</w:t>
      </w:r>
      <w:r w:rsidRPr="004D5AD1">
        <w:rPr>
          <w:noProof/>
        </w:rPr>
        <w:t>ycznymi</w:t>
      </w:r>
      <w:r w:rsidR="004D5AD1" w:rsidRPr="004D5AD1">
        <w:rPr>
          <w:noProof/>
        </w:rPr>
        <w:t xml:space="preserve"> w</w:t>
      </w:r>
      <w:r w:rsidR="004D5AD1">
        <w:rPr>
          <w:noProof/>
        </w:rPr>
        <w:t> </w:t>
      </w:r>
      <w:r w:rsidR="004D5AD1" w:rsidRPr="004D5AD1">
        <w:rPr>
          <w:noProof/>
        </w:rPr>
        <w:t>spr</w:t>
      </w:r>
      <w:r w:rsidRPr="004D5AD1">
        <w:rPr>
          <w:noProof/>
        </w:rPr>
        <w:t>awie lepszego stanowienia prawa dotyczącymi ocen skutków Komisja przeprowadziła kompleksowe konsultacje</w:t>
      </w:r>
      <w:r w:rsidR="004D5AD1" w:rsidRPr="004D5AD1">
        <w:rPr>
          <w:noProof/>
        </w:rPr>
        <w:t xml:space="preserve"> z</w:t>
      </w:r>
      <w:r w:rsidR="004D5AD1">
        <w:rPr>
          <w:noProof/>
        </w:rPr>
        <w:t> </w:t>
      </w:r>
      <w:r w:rsidR="004D5AD1" w:rsidRPr="004D5AD1">
        <w:rPr>
          <w:noProof/>
        </w:rPr>
        <w:t>zai</w:t>
      </w:r>
      <w:r w:rsidRPr="004D5AD1">
        <w:rPr>
          <w:noProof/>
        </w:rPr>
        <w:t>nteresowanymi stronami</w:t>
      </w:r>
      <w:r w:rsidR="004D5AD1" w:rsidRPr="004D5AD1">
        <w:rPr>
          <w:noProof/>
        </w:rPr>
        <w:t xml:space="preserve"> w</w:t>
      </w:r>
      <w:r w:rsidR="004D5AD1">
        <w:rPr>
          <w:noProof/>
        </w:rPr>
        <w:t> </w:t>
      </w:r>
      <w:r w:rsidR="004D5AD1" w:rsidRPr="004D5AD1">
        <w:rPr>
          <w:noProof/>
        </w:rPr>
        <w:t>opa</w:t>
      </w:r>
      <w:r w:rsidRPr="004D5AD1">
        <w:rPr>
          <w:noProof/>
        </w:rPr>
        <w:t>rciu</w:t>
      </w:r>
      <w:r w:rsidR="004D5AD1" w:rsidRPr="004D5AD1">
        <w:rPr>
          <w:noProof/>
        </w:rPr>
        <w:t xml:space="preserve"> o</w:t>
      </w:r>
      <w:r w:rsidR="004D5AD1">
        <w:rPr>
          <w:noProof/>
        </w:rPr>
        <w:t> </w:t>
      </w:r>
      <w:r w:rsidR="004D5AD1" w:rsidRPr="004D5AD1">
        <w:rPr>
          <w:noProof/>
        </w:rPr>
        <w:t>str</w:t>
      </w:r>
      <w:r w:rsidRPr="004D5AD1">
        <w:rPr>
          <w:noProof/>
        </w:rPr>
        <w:t>ategię konsultacji, która obejmowała szereg metod</w:t>
      </w:r>
      <w:r w:rsidR="004D5AD1" w:rsidRPr="004D5AD1">
        <w:rPr>
          <w:noProof/>
        </w:rPr>
        <w:t xml:space="preserve"> i</w:t>
      </w:r>
      <w:r w:rsidR="004D5AD1">
        <w:rPr>
          <w:noProof/>
        </w:rPr>
        <w:t> </w:t>
      </w:r>
      <w:r w:rsidR="004D5AD1" w:rsidRPr="004D5AD1">
        <w:rPr>
          <w:noProof/>
        </w:rPr>
        <w:t>nar</w:t>
      </w:r>
      <w:r w:rsidRPr="004D5AD1">
        <w:rPr>
          <w:noProof/>
        </w:rPr>
        <w:t>zędzi. Strategia konsultacji miała na celu zapewnienie uwzględnienia wszystkich istotnych dowodów,</w:t>
      </w:r>
      <w:r w:rsidR="004D5AD1" w:rsidRPr="004D5AD1">
        <w:rPr>
          <w:noProof/>
        </w:rPr>
        <w:t xml:space="preserve"> w</w:t>
      </w:r>
      <w:r w:rsidR="004D5AD1">
        <w:rPr>
          <w:noProof/>
        </w:rPr>
        <w:t> </w:t>
      </w:r>
      <w:r w:rsidR="004D5AD1" w:rsidRPr="004D5AD1">
        <w:rPr>
          <w:noProof/>
        </w:rPr>
        <w:t>tym</w:t>
      </w:r>
      <w:r w:rsidRPr="004D5AD1">
        <w:rPr>
          <w:noProof/>
        </w:rPr>
        <w:t xml:space="preserve"> danych dotyczących kosztów, skutków społecznych</w:t>
      </w:r>
      <w:r w:rsidR="004D5AD1" w:rsidRPr="004D5AD1">
        <w:rPr>
          <w:noProof/>
        </w:rPr>
        <w:t xml:space="preserve"> i</w:t>
      </w:r>
      <w:r w:rsidR="004D5AD1">
        <w:rPr>
          <w:noProof/>
        </w:rPr>
        <w:t> </w:t>
      </w:r>
      <w:r w:rsidR="004D5AD1" w:rsidRPr="004D5AD1">
        <w:rPr>
          <w:noProof/>
        </w:rPr>
        <w:t>pot</w:t>
      </w:r>
      <w:r w:rsidRPr="004D5AD1">
        <w:rPr>
          <w:noProof/>
        </w:rPr>
        <w:t>encjalnych korzyści płynących</w:t>
      </w:r>
      <w:r w:rsidR="004D5AD1" w:rsidRPr="004D5AD1">
        <w:rPr>
          <w:noProof/>
        </w:rPr>
        <w:t xml:space="preserve"> z</w:t>
      </w:r>
      <w:r w:rsidR="004D5AD1">
        <w:rPr>
          <w:noProof/>
        </w:rPr>
        <w:t> </w:t>
      </w:r>
      <w:r w:rsidR="004D5AD1" w:rsidRPr="004D5AD1">
        <w:rPr>
          <w:noProof/>
        </w:rPr>
        <w:t>ini</w:t>
      </w:r>
      <w:r w:rsidRPr="004D5AD1">
        <w:rPr>
          <w:noProof/>
        </w:rPr>
        <w:t>cjatywy. Strategia ta została opracowana zgodnie</w:t>
      </w:r>
      <w:r w:rsidR="004D5AD1" w:rsidRPr="004D5AD1">
        <w:rPr>
          <w:noProof/>
        </w:rPr>
        <w:t xml:space="preserve"> z</w:t>
      </w:r>
      <w:r w:rsidR="004D5AD1">
        <w:rPr>
          <w:noProof/>
        </w:rPr>
        <w:t> </w:t>
      </w:r>
      <w:r w:rsidR="004D5AD1" w:rsidRPr="004D5AD1">
        <w:rPr>
          <w:noProof/>
        </w:rPr>
        <w:t>log</w:t>
      </w:r>
      <w:r w:rsidRPr="004D5AD1">
        <w:rPr>
          <w:noProof/>
        </w:rPr>
        <w:t>iką interwencji</w:t>
      </w:r>
      <w:r w:rsidR="004D5AD1" w:rsidRPr="004D5AD1">
        <w:rPr>
          <w:noProof/>
        </w:rPr>
        <w:t xml:space="preserve"> i</w:t>
      </w:r>
      <w:r w:rsidR="004D5AD1">
        <w:rPr>
          <w:noProof/>
        </w:rPr>
        <w:t> </w:t>
      </w:r>
      <w:r w:rsidR="004D5AD1" w:rsidRPr="004D5AD1">
        <w:rPr>
          <w:noProof/>
        </w:rPr>
        <w:t>łąc</w:t>
      </w:r>
      <w:r w:rsidRPr="004D5AD1">
        <w:rPr>
          <w:noProof/>
        </w:rPr>
        <w:t>zyła</w:t>
      </w:r>
      <w:r w:rsidR="004D5AD1" w:rsidRPr="004D5AD1">
        <w:rPr>
          <w:noProof/>
        </w:rPr>
        <w:t xml:space="preserve"> w</w:t>
      </w:r>
      <w:r w:rsidR="004D5AD1">
        <w:rPr>
          <w:noProof/>
        </w:rPr>
        <w:t> </w:t>
      </w:r>
      <w:r w:rsidR="004D5AD1" w:rsidRPr="004D5AD1">
        <w:rPr>
          <w:noProof/>
        </w:rPr>
        <w:t>sob</w:t>
      </w:r>
      <w:r w:rsidRPr="004D5AD1">
        <w:rPr>
          <w:noProof/>
        </w:rPr>
        <w:t>ie zarówno elementy wsteczne, jak</w:t>
      </w:r>
      <w:r w:rsidR="004D5AD1" w:rsidRPr="004D5AD1">
        <w:rPr>
          <w:noProof/>
        </w:rPr>
        <w:t xml:space="preserve"> i</w:t>
      </w:r>
      <w:r w:rsidR="004D5AD1">
        <w:rPr>
          <w:noProof/>
        </w:rPr>
        <w:t> </w:t>
      </w:r>
      <w:r w:rsidR="004D5AD1" w:rsidRPr="004D5AD1">
        <w:rPr>
          <w:noProof/>
        </w:rPr>
        <w:t>prz</w:t>
      </w:r>
      <w:r w:rsidRPr="004D5AD1">
        <w:rPr>
          <w:noProof/>
        </w:rPr>
        <w:t>yszłościowe. Zastosowano kilka narzędzi konsultacyjnych: internetowe konsultacje publiczne, ukierunkowane konsultacje na temat kosztów wdrożenia rozporządzenia</w:t>
      </w:r>
      <w:r w:rsidR="004D5AD1" w:rsidRPr="004D5AD1">
        <w:rPr>
          <w:noProof/>
        </w:rPr>
        <w:t xml:space="preserve"> w</w:t>
      </w:r>
      <w:r w:rsidR="004D5AD1">
        <w:rPr>
          <w:noProof/>
        </w:rPr>
        <w:t> </w:t>
      </w:r>
      <w:r w:rsidR="004D5AD1" w:rsidRPr="004D5AD1">
        <w:rPr>
          <w:noProof/>
        </w:rPr>
        <w:t>spr</w:t>
      </w:r>
      <w:r w:rsidRPr="004D5AD1">
        <w:rPr>
          <w:noProof/>
        </w:rPr>
        <w:t>awie monitorowania, raportowania</w:t>
      </w:r>
      <w:r w:rsidR="004D5AD1" w:rsidRPr="004D5AD1">
        <w:rPr>
          <w:noProof/>
        </w:rPr>
        <w:t xml:space="preserve"> i</w:t>
      </w:r>
      <w:r w:rsidR="004D5AD1">
        <w:rPr>
          <w:noProof/>
        </w:rPr>
        <w:t> </w:t>
      </w:r>
      <w:r w:rsidR="004D5AD1" w:rsidRPr="004D5AD1">
        <w:rPr>
          <w:noProof/>
        </w:rPr>
        <w:t>wer</w:t>
      </w:r>
      <w:r w:rsidRPr="004D5AD1">
        <w:rPr>
          <w:noProof/>
        </w:rPr>
        <w:t>yfikacji (MRW)</w:t>
      </w:r>
      <w:r w:rsidR="004D5AD1" w:rsidRPr="004D5AD1">
        <w:rPr>
          <w:noProof/>
        </w:rPr>
        <w:t xml:space="preserve"> w</w:t>
      </w:r>
      <w:r w:rsidR="004D5AD1">
        <w:rPr>
          <w:noProof/>
        </w:rPr>
        <w:t> </w:t>
      </w:r>
      <w:r w:rsidR="004D5AD1" w:rsidRPr="004D5AD1">
        <w:rPr>
          <w:noProof/>
        </w:rPr>
        <w:t>opa</w:t>
      </w:r>
      <w:r w:rsidRPr="004D5AD1">
        <w:rPr>
          <w:noProof/>
        </w:rPr>
        <w:t>rciu</w:t>
      </w:r>
      <w:r w:rsidR="004D5AD1" w:rsidRPr="004D5AD1">
        <w:rPr>
          <w:noProof/>
        </w:rPr>
        <w:t xml:space="preserve"> o</w:t>
      </w:r>
      <w:r w:rsidR="004D5AD1">
        <w:rPr>
          <w:noProof/>
        </w:rPr>
        <w:t> </w:t>
      </w:r>
      <w:r w:rsidR="004D5AD1" w:rsidRPr="004D5AD1">
        <w:rPr>
          <w:noProof/>
        </w:rPr>
        <w:t>Par</w:t>
      </w:r>
      <w:r w:rsidRPr="004D5AD1">
        <w:rPr>
          <w:noProof/>
        </w:rPr>
        <w:t>tnerstwo</w:t>
      </w:r>
      <w:r w:rsidR="004D5AD1" w:rsidRPr="004D5AD1">
        <w:rPr>
          <w:noProof/>
        </w:rPr>
        <w:t xml:space="preserve"> w</w:t>
      </w:r>
      <w:r w:rsidR="004D5AD1">
        <w:rPr>
          <w:noProof/>
        </w:rPr>
        <w:t> </w:t>
      </w:r>
      <w:r w:rsidR="004D5AD1" w:rsidRPr="004D5AD1">
        <w:rPr>
          <w:noProof/>
        </w:rPr>
        <w:t>zak</w:t>
      </w:r>
      <w:r w:rsidRPr="004D5AD1">
        <w:rPr>
          <w:noProof/>
        </w:rPr>
        <w:t>resie metanu</w:t>
      </w:r>
      <w:r w:rsidR="004D5AD1" w:rsidRPr="004D5AD1">
        <w:rPr>
          <w:noProof/>
        </w:rPr>
        <w:t xml:space="preserve"> w</w:t>
      </w:r>
      <w:r w:rsidR="004D5AD1">
        <w:rPr>
          <w:noProof/>
        </w:rPr>
        <w:t> </w:t>
      </w:r>
      <w:r w:rsidR="004D5AD1" w:rsidRPr="004D5AD1">
        <w:rPr>
          <w:noProof/>
        </w:rPr>
        <w:t>sek</w:t>
      </w:r>
      <w:r w:rsidRPr="004D5AD1">
        <w:rPr>
          <w:noProof/>
        </w:rPr>
        <w:t>torze ropy naftowej</w:t>
      </w:r>
      <w:r w:rsidR="004D5AD1" w:rsidRPr="004D5AD1">
        <w:rPr>
          <w:noProof/>
        </w:rPr>
        <w:t xml:space="preserve"> i</w:t>
      </w:r>
      <w:r w:rsidR="004D5AD1">
        <w:rPr>
          <w:noProof/>
        </w:rPr>
        <w:t> </w:t>
      </w:r>
      <w:r w:rsidR="004D5AD1" w:rsidRPr="004D5AD1">
        <w:rPr>
          <w:noProof/>
        </w:rPr>
        <w:t>gaz</w:t>
      </w:r>
      <w:r w:rsidRPr="004D5AD1">
        <w:rPr>
          <w:noProof/>
        </w:rPr>
        <w:t>u</w:t>
      </w:r>
      <w:r w:rsidR="00A61797" w:rsidRPr="004D5AD1">
        <w:rPr>
          <w:rStyle w:val="FootnoteReference"/>
          <w:rFonts w:eastAsia="Arial Unicode MS"/>
          <w:noProof/>
        </w:rPr>
        <w:footnoteReference w:id="10"/>
      </w:r>
      <w:r w:rsidRPr="004D5AD1">
        <w:rPr>
          <w:noProof/>
        </w:rPr>
        <w:t>, wywiady pogłębione oraz (trzy) seminaria internetowe</w:t>
      </w:r>
      <w:r w:rsidR="004D5AD1" w:rsidRPr="004D5AD1">
        <w:rPr>
          <w:noProof/>
        </w:rPr>
        <w:t xml:space="preserve"> z</w:t>
      </w:r>
      <w:r w:rsidR="004D5AD1">
        <w:rPr>
          <w:noProof/>
        </w:rPr>
        <w:t> </w:t>
      </w:r>
      <w:r w:rsidR="004D5AD1" w:rsidRPr="004D5AD1">
        <w:rPr>
          <w:noProof/>
        </w:rPr>
        <w:t>udz</w:t>
      </w:r>
      <w:r w:rsidRPr="004D5AD1">
        <w:rPr>
          <w:noProof/>
        </w:rPr>
        <w:t>iałem zainteresowanych stron.</w:t>
      </w:r>
      <w:r w:rsidR="004D5AD1" w:rsidRPr="004D5AD1">
        <w:rPr>
          <w:noProof/>
        </w:rPr>
        <w:t xml:space="preserve"> </w:t>
      </w:r>
    </w:p>
    <w:p w14:paraId="65AF8FE3" w14:textId="34E85D72"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W ramach otwartych konsultacji publicznych otrzymano 131 odpowiedzi,</w:t>
      </w:r>
      <w:r w:rsidR="004D5AD1" w:rsidRPr="004D5AD1">
        <w:rPr>
          <w:noProof/>
        </w:rPr>
        <w:t xml:space="preserve"> z</w:t>
      </w:r>
      <w:r w:rsidR="004D5AD1">
        <w:rPr>
          <w:noProof/>
        </w:rPr>
        <w:t> </w:t>
      </w:r>
      <w:r w:rsidR="004D5AD1" w:rsidRPr="004D5AD1">
        <w:rPr>
          <w:noProof/>
        </w:rPr>
        <w:t>któ</w:t>
      </w:r>
      <w:r w:rsidRPr="004D5AD1">
        <w:rPr>
          <w:noProof/>
        </w:rPr>
        <w:t>rych 126 przekazano poprzez przynajmniej częściowe wypełnienie kwestionariusza internetowego,</w:t>
      </w:r>
      <w:r w:rsidR="004D5AD1" w:rsidRPr="004D5AD1">
        <w:rPr>
          <w:noProof/>
        </w:rPr>
        <w:t xml:space="preserve"> a</w:t>
      </w:r>
      <w:r w:rsidR="004D5AD1">
        <w:rPr>
          <w:noProof/>
        </w:rPr>
        <w:t> </w:t>
      </w:r>
      <w:r w:rsidR="004D5AD1" w:rsidRPr="004D5AD1">
        <w:rPr>
          <w:noProof/>
        </w:rPr>
        <w:t>pię</w:t>
      </w:r>
      <w:r w:rsidRPr="004D5AD1">
        <w:rPr>
          <w:noProof/>
        </w:rPr>
        <w:t>ć dodatkowych odpowiedzi otrzymano</w:t>
      </w:r>
      <w:r w:rsidR="004D5AD1" w:rsidRPr="004D5AD1">
        <w:rPr>
          <w:noProof/>
        </w:rPr>
        <w:t xml:space="preserve"> w</w:t>
      </w:r>
      <w:r w:rsidR="004D5AD1">
        <w:rPr>
          <w:noProof/>
        </w:rPr>
        <w:t> </w:t>
      </w:r>
      <w:r w:rsidR="004D5AD1" w:rsidRPr="004D5AD1">
        <w:rPr>
          <w:noProof/>
        </w:rPr>
        <w:t>for</w:t>
      </w:r>
      <w:r w:rsidRPr="004D5AD1">
        <w:rPr>
          <w:noProof/>
        </w:rPr>
        <w:t>mie wiadomości przesłanych pocztą elektroniczną.</w:t>
      </w:r>
    </w:p>
    <w:p w14:paraId="1B2FE0E4" w14:textId="7F544803" w:rsidR="00BC3357" w:rsidRPr="004D5AD1" w:rsidRDefault="00BC3357" w:rsidP="00BC3357">
      <w:pPr>
        <w:pBdr>
          <w:top w:val="nil"/>
          <w:left w:val="nil"/>
          <w:bottom w:val="nil"/>
          <w:right w:val="nil"/>
          <w:between w:val="nil"/>
          <w:bar w:val="nil"/>
        </w:pBdr>
        <w:spacing w:before="0" w:after="240"/>
        <w:rPr>
          <w:noProof/>
        </w:rPr>
      </w:pPr>
      <w:r w:rsidRPr="004D5AD1">
        <w:rPr>
          <w:noProof/>
        </w:rPr>
        <w:t>W szczególności Agencja Unii Europejskiej ds. Współpracy Organów Regulacji Energetyki (ACER) oraz Rada Europejskich Regulatorów Energetyki (CEER) przekazały ankietę przeprowadzoną wśród swoich członków jako nieformalny wkład</w:t>
      </w:r>
      <w:r w:rsidR="004D5AD1" w:rsidRPr="004D5AD1">
        <w:rPr>
          <w:noProof/>
        </w:rPr>
        <w:t xml:space="preserve"> w</w:t>
      </w:r>
      <w:r w:rsidR="004D5AD1">
        <w:rPr>
          <w:noProof/>
        </w:rPr>
        <w:t> </w:t>
      </w:r>
      <w:r w:rsidR="004D5AD1" w:rsidRPr="004D5AD1">
        <w:rPr>
          <w:noProof/>
        </w:rPr>
        <w:t>otw</w:t>
      </w:r>
      <w:r w:rsidRPr="004D5AD1">
        <w:rPr>
          <w:noProof/>
        </w:rPr>
        <w:t>arte konsultacje publiczne,</w:t>
      </w:r>
      <w:r w:rsidR="004D5AD1" w:rsidRPr="004D5AD1">
        <w:rPr>
          <w:noProof/>
        </w:rPr>
        <w:t xml:space="preserve"> w</w:t>
      </w:r>
      <w:r w:rsidR="004D5AD1">
        <w:rPr>
          <w:noProof/>
        </w:rPr>
        <w:t> </w:t>
      </w:r>
      <w:r w:rsidR="004D5AD1" w:rsidRPr="004D5AD1">
        <w:rPr>
          <w:noProof/>
        </w:rPr>
        <w:t>któ</w:t>
      </w:r>
      <w:r w:rsidRPr="004D5AD1">
        <w:rPr>
          <w:noProof/>
        </w:rPr>
        <w:t>rej wyraziły pogląd, że „krajowe organy regulacyjne szeroko popierają zharmonizowane podejście na szczeblu UE do monitorowania</w:t>
      </w:r>
      <w:r w:rsidR="004D5AD1" w:rsidRPr="004D5AD1">
        <w:rPr>
          <w:noProof/>
        </w:rPr>
        <w:t xml:space="preserve"> i</w:t>
      </w:r>
      <w:r w:rsidR="004D5AD1">
        <w:rPr>
          <w:noProof/>
        </w:rPr>
        <w:t> </w:t>
      </w:r>
      <w:r w:rsidR="004D5AD1" w:rsidRPr="004D5AD1">
        <w:rPr>
          <w:noProof/>
        </w:rPr>
        <w:t>wyk</w:t>
      </w:r>
      <w:r w:rsidRPr="004D5AD1">
        <w:rPr>
          <w:noProof/>
        </w:rPr>
        <w:t>rywania emisji metanu, oparte</w:t>
      </w:r>
      <w:r w:rsidR="004D5AD1" w:rsidRPr="004D5AD1">
        <w:rPr>
          <w:noProof/>
        </w:rPr>
        <w:t xml:space="preserve"> w</w:t>
      </w:r>
      <w:r w:rsidR="004D5AD1">
        <w:rPr>
          <w:noProof/>
        </w:rPr>
        <w:t> </w:t>
      </w:r>
      <w:r w:rsidR="004D5AD1" w:rsidRPr="004D5AD1">
        <w:rPr>
          <w:noProof/>
        </w:rPr>
        <w:t>szc</w:t>
      </w:r>
      <w:r w:rsidRPr="004D5AD1">
        <w:rPr>
          <w:noProof/>
        </w:rPr>
        <w:t xml:space="preserve">zególności na obowiązkowym monitorowaniu emisji metanu”. </w:t>
      </w:r>
    </w:p>
    <w:p w14:paraId="16D3541C" w14:textId="09366654"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Zainteresowane strony wyraziły szerokie poparcie dla opracowania solidnej normy</w:t>
      </w:r>
      <w:r w:rsidR="004D5AD1" w:rsidRPr="004D5AD1">
        <w:rPr>
          <w:noProof/>
        </w:rPr>
        <w:t xml:space="preserve"> w</w:t>
      </w:r>
      <w:r w:rsidR="004D5AD1">
        <w:rPr>
          <w:noProof/>
        </w:rPr>
        <w:t> </w:t>
      </w:r>
      <w:r w:rsidR="004D5AD1" w:rsidRPr="004D5AD1">
        <w:rPr>
          <w:noProof/>
        </w:rPr>
        <w:t>zak</w:t>
      </w:r>
      <w:r w:rsidRPr="004D5AD1">
        <w:rPr>
          <w:noProof/>
        </w:rPr>
        <w:t>resie MRW emisji metanu</w:t>
      </w:r>
      <w:r w:rsidR="004D5AD1" w:rsidRPr="004D5AD1">
        <w:rPr>
          <w:noProof/>
        </w:rPr>
        <w:t xml:space="preserve"> w</w:t>
      </w:r>
      <w:r w:rsidR="004D5AD1">
        <w:rPr>
          <w:noProof/>
        </w:rPr>
        <w:t> </w:t>
      </w:r>
      <w:r w:rsidR="004D5AD1" w:rsidRPr="004D5AD1">
        <w:rPr>
          <w:noProof/>
        </w:rPr>
        <w:t>sek</w:t>
      </w:r>
      <w:r w:rsidRPr="004D5AD1">
        <w:rPr>
          <w:noProof/>
        </w:rPr>
        <w:t>torze energetycznym</w:t>
      </w:r>
      <w:r w:rsidR="004D5AD1" w:rsidRPr="004D5AD1">
        <w:rPr>
          <w:noProof/>
        </w:rPr>
        <w:t>. W</w:t>
      </w:r>
      <w:r w:rsidR="004D5AD1">
        <w:rPr>
          <w:noProof/>
        </w:rPr>
        <w:t> </w:t>
      </w:r>
      <w:r w:rsidR="004D5AD1" w:rsidRPr="004D5AD1">
        <w:rPr>
          <w:noProof/>
        </w:rPr>
        <w:t>ram</w:t>
      </w:r>
      <w:r w:rsidRPr="004D5AD1">
        <w:rPr>
          <w:noProof/>
        </w:rPr>
        <w:t>ach otwartych konsultacji publicznych 78</w:t>
      </w:r>
      <w:r w:rsidR="004D5AD1" w:rsidRPr="004D5AD1">
        <w:rPr>
          <w:noProof/>
        </w:rPr>
        <w:t> </w:t>
      </w:r>
      <w:r w:rsidRPr="004D5AD1">
        <w:rPr>
          <w:noProof/>
        </w:rPr>
        <w:t>% respondentów wyraziło poparcie dla oparcia części wniosku</w:t>
      </w:r>
      <w:r w:rsidR="004D5AD1" w:rsidRPr="004D5AD1">
        <w:rPr>
          <w:noProof/>
        </w:rPr>
        <w:t xml:space="preserve"> w</w:t>
      </w:r>
      <w:r w:rsidR="004D5AD1">
        <w:rPr>
          <w:noProof/>
        </w:rPr>
        <w:t> </w:t>
      </w:r>
      <w:r w:rsidR="004D5AD1" w:rsidRPr="004D5AD1">
        <w:rPr>
          <w:noProof/>
        </w:rPr>
        <w:t>spr</w:t>
      </w:r>
      <w:r w:rsidRPr="004D5AD1">
        <w:rPr>
          <w:noProof/>
        </w:rPr>
        <w:t>awie MRW dotyczącej ropy naftowej</w:t>
      </w:r>
      <w:r w:rsidR="004D5AD1" w:rsidRPr="004D5AD1">
        <w:rPr>
          <w:noProof/>
        </w:rPr>
        <w:t xml:space="preserve"> i</w:t>
      </w:r>
      <w:r w:rsidR="004D5AD1">
        <w:rPr>
          <w:noProof/>
        </w:rPr>
        <w:t> </w:t>
      </w:r>
      <w:r w:rsidR="004D5AD1" w:rsidRPr="004D5AD1">
        <w:rPr>
          <w:noProof/>
        </w:rPr>
        <w:t>gaz</w:t>
      </w:r>
      <w:r w:rsidRPr="004D5AD1">
        <w:rPr>
          <w:noProof/>
        </w:rPr>
        <w:t>u na metodyce Partnerstwa</w:t>
      </w:r>
      <w:r w:rsidR="004D5AD1" w:rsidRPr="004D5AD1">
        <w:rPr>
          <w:noProof/>
        </w:rPr>
        <w:t xml:space="preserve"> w</w:t>
      </w:r>
      <w:r w:rsidR="004D5AD1">
        <w:rPr>
          <w:noProof/>
        </w:rPr>
        <w:t> </w:t>
      </w:r>
      <w:r w:rsidR="004D5AD1" w:rsidRPr="004D5AD1">
        <w:rPr>
          <w:noProof/>
        </w:rPr>
        <w:t>zak</w:t>
      </w:r>
      <w:r w:rsidRPr="004D5AD1">
        <w:rPr>
          <w:noProof/>
        </w:rPr>
        <w:t>resie metanu</w:t>
      </w:r>
      <w:r w:rsidR="004D5AD1" w:rsidRPr="004D5AD1">
        <w:rPr>
          <w:noProof/>
        </w:rPr>
        <w:t xml:space="preserve"> w</w:t>
      </w:r>
      <w:r w:rsidR="004D5AD1">
        <w:rPr>
          <w:noProof/>
        </w:rPr>
        <w:t> </w:t>
      </w:r>
      <w:r w:rsidR="004D5AD1" w:rsidRPr="004D5AD1">
        <w:rPr>
          <w:noProof/>
        </w:rPr>
        <w:t>sek</w:t>
      </w:r>
      <w:r w:rsidRPr="004D5AD1">
        <w:rPr>
          <w:noProof/>
        </w:rPr>
        <w:t>torze ropy naftowej</w:t>
      </w:r>
      <w:r w:rsidR="004D5AD1" w:rsidRPr="004D5AD1">
        <w:rPr>
          <w:noProof/>
        </w:rPr>
        <w:t xml:space="preserve"> i</w:t>
      </w:r>
      <w:r w:rsidR="004D5AD1">
        <w:rPr>
          <w:noProof/>
        </w:rPr>
        <w:t> </w:t>
      </w:r>
      <w:r w:rsidR="004D5AD1" w:rsidRPr="004D5AD1">
        <w:rPr>
          <w:noProof/>
        </w:rPr>
        <w:t>gaz</w:t>
      </w:r>
      <w:r w:rsidRPr="004D5AD1">
        <w:rPr>
          <w:noProof/>
        </w:rPr>
        <w:t>u, którą poparły również wszystkie unijne stowarzyszenia branżowe</w:t>
      </w:r>
      <w:r w:rsidR="004D5AD1" w:rsidRPr="004D5AD1">
        <w:rPr>
          <w:noProof/>
        </w:rPr>
        <w:t xml:space="preserve"> z</w:t>
      </w:r>
      <w:r w:rsidR="004D5AD1">
        <w:rPr>
          <w:noProof/>
        </w:rPr>
        <w:t> </w:t>
      </w:r>
      <w:r w:rsidR="004D5AD1" w:rsidRPr="004D5AD1">
        <w:rPr>
          <w:noProof/>
        </w:rPr>
        <w:t>sek</w:t>
      </w:r>
      <w:r w:rsidRPr="004D5AD1">
        <w:rPr>
          <w:noProof/>
        </w:rPr>
        <w:t>torów ropy naftowej</w:t>
      </w:r>
      <w:r w:rsidR="004D5AD1" w:rsidRPr="004D5AD1">
        <w:rPr>
          <w:noProof/>
        </w:rPr>
        <w:t xml:space="preserve"> i</w:t>
      </w:r>
      <w:r w:rsidR="004D5AD1">
        <w:rPr>
          <w:noProof/>
        </w:rPr>
        <w:t> </w:t>
      </w:r>
      <w:r w:rsidR="004D5AD1" w:rsidRPr="004D5AD1">
        <w:rPr>
          <w:noProof/>
        </w:rPr>
        <w:t>gaz</w:t>
      </w:r>
      <w:r w:rsidRPr="004D5AD1">
        <w:rPr>
          <w:noProof/>
        </w:rPr>
        <w:t>u. Występuje również duże poparcie,</w:t>
      </w:r>
      <w:r w:rsidR="004D5AD1" w:rsidRPr="004D5AD1">
        <w:rPr>
          <w:noProof/>
        </w:rPr>
        <w:t xml:space="preserve"> w</w:t>
      </w:r>
      <w:r w:rsidR="004D5AD1">
        <w:rPr>
          <w:noProof/>
        </w:rPr>
        <w:t> </w:t>
      </w:r>
      <w:r w:rsidR="004D5AD1" w:rsidRPr="004D5AD1">
        <w:rPr>
          <w:noProof/>
        </w:rPr>
        <w:t>tym</w:t>
      </w:r>
      <w:r w:rsidRPr="004D5AD1">
        <w:rPr>
          <w:noProof/>
        </w:rPr>
        <w:t xml:space="preserve"> ze strony przemysłu węglowego, dla włączenia przepisów dotyczących MRW</w:t>
      </w:r>
      <w:r w:rsidR="004D5AD1" w:rsidRPr="004D5AD1">
        <w:rPr>
          <w:noProof/>
        </w:rPr>
        <w:t xml:space="preserve"> w</w:t>
      </w:r>
      <w:r w:rsidR="004D5AD1">
        <w:rPr>
          <w:noProof/>
        </w:rPr>
        <w:t> </w:t>
      </w:r>
      <w:r w:rsidR="004D5AD1" w:rsidRPr="004D5AD1">
        <w:rPr>
          <w:noProof/>
        </w:rPr>
        <w:t>odn</w:t>
      </w:r>
      <w:r w:rsidRPr="004D5AD1">
        <w:rPr>
          <w:noProof/>
        </w:rPr>
        <w:t>iesieniu do węgla (96</w:t>
      </w:r>
      <w:r w:rsidR="004D5AD1" w:rsidRPr="004D5AD1">
        <w:rPr>
          <w:noProof/>
        </w:rPr>
        <w:t> </w:t>
      </w:r>
      <w:r w:rsidRPr="004D5AD1">
        <w:rPr>
          <w:noProof/>
        </w:rPr>
        <w:t>% odpowiedzi udzielonych</w:t>
      </w:r>
      <w:r w:rsidR="004D5AD1" w:rsidRPr="004D5AD1">
        <w:rPr>
          <w:noProof/>
        </w:rPr>
        <w:t xml:space="preserve"> w</w:t>
      </w:r>
      <w:r w:rsidR="004D5AD1">
        <w:rPr>
          <w:noProof/>
        </w:rPr>
        <w:t> </w:t>
      </w:r>
      <w:r w:rsidR="004D5AD1" w:rsidRPr="004D5AD1">
        <w:rPr>
          <w:noProof/>
        </w:rPr>
        <w:t>ram</w:t>
      </w:r>
      <w:r w:rsidRPr="004D5AD1">
        <w:rPr>
          <w:noProof/>
        </w:rPr>
        <w:t>ach otwartych konsultacji publicznych). Aspekty te zostały uwzględnione</w:t>
      </w:r>
      <w:r w:rsidR="004D5AD1" w:rsidRPr="004D5AD1">
        <w:rPr>
          <w:noProof/>
        </w:rPr>
        <w:t xml:space="preserve"> w</w:t>
      </w:r>
      <w:r w:rsidR="004D5AD1">
        <w:rPr>
          <w:noProof/>
        </w:rPr>
        <w:t> </w:t>
      </w:r>
      <w:r w:rsidR="004D5AD1" w:rsidRPr="004D5AD1">
        <w:rPr>
          <w:noProof/>
        </w:rPr>
        <w:t>nin</w:t>
      </w:r>
      <w:r w:rsidRPr="004D5AD1">
        <w:rPr>
          <w:noProof/>
        </w:rPr>
        <w:t>iejszym wniosku.</w:t>
      </w:r>
    </w:p>
    <w:p w14:paraId="444E8260" w14:textId="30B91BA1"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Szerokie poparcie uzyskały środki ustawodawcze mające na celu ograniczenie emisji</w:t>
      </w:r>
      <w:r w:rsidR="004D5AD1" w:rsidRPr="004D5AD1">
        <w:rPr>
          <w:noProof/>
        </w:rPr>
        <w:t xml:space="preserve"> w</w:t>
      </w:r>
      <w:r w:rsidR="004D5AD1">
        <w:rPr>
          <w:noProof/>
        </w:rPr>
        <w:t> </w:t>
      </w:r>
      <w:r w:rsidR="004D5AD1" w:rsidRPr="004D5AD1">
        <w:rPr>
          <w:noProof/>
        </w:rPr>
        <w:t>sek</w:t>
      </w:r>
      <w:r w:rsidRPr="004D5AD1">
        <w:rPr>
          <w:noProof/>
        </w:rPr>
        <w:t>torach ropy naftowej, gazu ziemnego</w:t>
      </w:r>
      <w:r w:rsidR="004D5AD1" w:rsidRPr="004D5AD1">
        <w:rPr>
          <w:noProof/>
        </w:rPr>
        <w:t xml:space="preserve"> i</w:t>
      </w:r>
      <w:r w:rsidR="004D5AD1">
        <w:rPr>
          <w:noProof/>
        </w:rPr>
        <w:t> </w:t>
      </w:r>
      <w:r w:rsidR="004D5AD1" w:rsidRPr="004D5AD1">
        <w:rPr>
          <w:noProof/>
        </w:rPr>
        <w:t>węg</w:t>
      </w:r>
      <w:r w:rsidRPr="004D5AD1">
        <w:rPr>
          <w:noProof/>
        </w:rPr>
        <w:t>la. Wszystkie stowarzyszenia branżowe</w:t>
      </w:r>
      <w:r w:rsidR="004D5AD1" w:rsidRPr="004D5AD1">
        <w:rPr>
          <w:noProof/>
        </w:rPr>
        <w:t xml:space="preserve"> z</w:t>
      </w:r>
      <w:r w:rsidR="004D5AD1">
        <w:rPr>
          <w:noProof/>
        </w:rPr>
        <w:t> </w:t>
      </w:r>
      <w:r w:rsidR="004D5AD1" w:rsidRPr="004D5AD1">
        <w:rPr>
          <w:noProof/>
        </w:rPr>
        <w:t>sek</w:t>
      </w:r>
      <w:r w:rsidRPr="004D5AD1">
        <w:rPr>
          <w:noProof/>
        </w:rPr>
        <w:t>torów ropy naftowej</w:t>
      </w:r>
      <w:r w:rsidR="004D5AD1" w:rsidRPr="004D5AD1">
        <w:rPr>
          <w:noProof/>
        </w:rPr>
        <w:t xml:space="preserve"> i</w:t>
      </w:r>
      <w:r w:rsidR="004D5AD1">
        <w:rPr>
          <w:noProof/>
        </w:rPr>
        <w:t> </w:t>
      </w:r>
      <w:r w:rsidR="004D5AD1" w:rsidRPr="004D5AD1">
        <w:rPr>
          <w:noProof/>
        </w:rPr>
        <w:t>gaz</w:t>
      </w:r>
      <w:r w:rsidRPr="004D5AD1">
        <w:rPr>
          <w:noProof/>
        </w:rPr>
        <w:t>u, które wzięły udział</w:t>
      </w:r>
      <w:r w:rsidR="004D5AD1" w:rsidRPr="004D5AD1">
        <w:rPr>
          <w:noProof/>
        </w:rPr>
        <w:t xml:space="preserve"> w</w:t>
      </w:r>
      <w:r w:rsidR="004D5AD1">
        <w:rPr>
          <w:noProof/>
        </w:rPr>
        <w:t> </w:t>
      </w:r>
      <w:r w:rsidR="004D5AD1" w:rsidRPr="004D5AD1">
        <w:rPr>
          <w:noProof/>
        </w:rPr>
        <w:t>otw</w:t>
      </w:r>
      <w:r w:rsidRPr="004D5AD1">
        <w:rPr>
          <w:noProof/>
        </w:rPr>
        <w:t>artych konsultacjach publicznych, wyraziły poparcie dla włączenia do przepisów UE obowiązku</w:t>
      </w:r>
      <w:r w:rsidR="004D5AD1" w:rsidRPr="004D5AD1">
        <w:rPr>
          <w:noProof/>
        </w:rPr>
        <w:t xml:space="preserve"> w</w:t>
      </w:r>
      <w:r w:rsidR="004D5AD1">
        <w:rPr>
          <w:noProof/>
        </w:rPr>
        <w:t> </w:t>
      </w:r>
      <w:r w:rsidR="004D5AD1" w:rsidRPr="004D5AD1">
        <w:rPr>
          <w:noProof/>
        </w:rPr>
        <w:t>zak</w:t>
      </w:r>
      <w:r w:rsidRPr="004D5AD1">
        <w:rPr>
          <w:noProof/>
        </w:rPr>
        <w:t>resie wykrywania nieszczelności</w:t>
      </w:r>
      <w:r w:rsidR="004D5AD1" w:rsidRPr="004D5AD1">
        <w:rPr>
          <w:noProof/>
        </w:rPr>
        <w:t xml:space="preserve"> i</w:t>
      </w:r>
      <w:r w:rsidR="004D5AD1">
        <w:rPr>
          <w:noProof/>
        </w:rPr>
        <w:t> </w:t>
      </w:r>
      <w:r w:rsidR="004D5AD1" w:rsidRPr="004D5AD1">
        <w:rPr>
          <w:noProof/>
        </w:rPr>
        <w:t>nap</w:t>
      </w:r>
      <w:r w:rsidRPr="004D5AD1">
        <w:rPr>
          <w:noProof/>
        </w:rPr>
        <w:t>rawy (LDAR). Wprowadzenie takiego obowiązku szeroko poparły również organizacje pozarządowe. Wszystkie organizacje pozarządowe</w:t>
      </w:r>
      <w:r w:rsidR="004D5AD1" w:rsidRPr="004D5AD1">
        <w:rPr>
          <w:noProof/>
        </w:rPr>
        <w:t xml:space="preserve"> i</w:t>
      </w:r>
      <w:r w:rsidR="004D5AD1">
        <w:rPr>
          <w:noProof/>
        </w:rPr>
        <w:t> </w:t>
      </w:r>
      <w:r w:rsidR="004D5AD1" w:rsidRPr="004D5AD1">
        <w:rPr>
          <w:noProof/>
        </w:rPr>
        <w:t>prz</w:t>
      </w:r>
      <w:r w:rsidRPr="004D5AD1">
        <w:rPr>
          <w:noProof/>
        </w:rPr>
        <w:t>edstawiciele przemysłu, którzy wzięli udział</w:t>
      </w:r>
      <w:r w:rsidR="004D5AD1" w:rsidRPr="004D5AD1">
        <w:rPr>
          <w:noProof/>
        </w:rPr>
        <w:t xml:space="preserve"> w</w:t>
      </w:r>
      <w:r w:rsidR="004D5AD1">
        <w:rPr>
          <w:noProof/>
        </w:rPr>
        <w:t> </w:t>
      </w:r>
      <w:r w:rsidR="004D5AD1" w:rsidRPr="004D5AD1">
        <w:rPr>
          <w:noProof/>
        </w:rPr>
        <w:t>otw</w:t>
      </w:r>
      <w:r w:rsidRPr="004D5AD1">
        <w:rPr>
          <w:noProof/>
        </w:rPr>
        <w:t>artych konsultacjach publicznych, wyrazili przekonanie, że stopniowe eliminowanie rutynowego uwalniania do atmosfery</w:t>
      </w:r>
      <w:r w:rsidR="004D5AD1" w:rsidRPr="004D5AD1">
        <w:rPr>
          <w:noProof/>
        </w:rPr>
        <w:t xml:space="preserve"> i</w:t>
      </w:r>
      <w:r w:rsidR="004D5AD1">
        <w:rPr>
          <w:noProof/>
        </w:rPr>
        <w:t> </w:t>
      </w:r>
      <w:r w:rsidR="004D5AD1" w:rsidRPr="004D5AD1">
        <w:rPr>
          <w:noProof/>
        </w:rPr>
        <w:t>spa</w:t>
      </w:r>
      <w:r w:rsidRPr="004D5AD1">
        <w:rPr>
          <w:noProof/>
        </w:rPr>
        <w:t>lania gazu</w:t>
      </w:r>
      <w:r w:rsidR="004D5AD1" w:rsidRPr="004D5AD1">
        <w:rPr>
          <w:noProof/>
        </w:rPr>
        <w:t xml:space="preserve"> w</w:t>
      </w:r>
      <w:r w:rsidR="004D5AD1">
        <w:rPr>
          <w:noProof/>
        </w:rPr>
        <w:t> </w:t>
      </w:r>
      <w:r w:rsidR="004D5AD1" w:rsidRPr="004D5AD1">
        <w:rPr>
          <w:noProof/>
        </w:rPr>
        <w:t>poc</w:t>
      </w:r>
      <w:r w:rsidRPr="004D5AD1">
        <w:rPr>
          <w:noProof/>
        </w:rPr>
        <w:t>hodni związanego</w:t>
      </w:r>
      <w:r w:rsidR="004D5AD1" w:rsidRPr="004D5AD1">
        <w:rPr>
          <w:noProof/>
        </w:rPr>
        <w:t xml:space="preserve"> z</w:t>
      </w:r>
      <w:r w:rsidR="004D5AD1">
        <w:rPr>
          <w:noProof/>
        </w:rPr>
        <w:t> </w:t>
      </w:r>
      <w:r w:rsidR="004D5AD1" w:rsidRPr="004D5AD1">
        <w:rPr>
          <w:noProof/>
        </w:rPr>
        <w:t>ene</w:t>
      </w:r>
      <w:r w:rsidRPr="004D5AD1">
        <w:rPr>
          <w:noProof/>
        </w:rPr>
        <w:t>rgią produkowaną</w:t>
      </w:r>
      <w:r w:rsidR="004D5AD1" w:rsidRPr="004D5AD1">
        <w:rPr>
          <w:noProof/>
        </w:rPr>
        <w:t xml:space="preserve"> i</w:t>
      </w:r>
      <w:r w:rsidR="004D5AD1">
        <w:rPr>
          <w:noProof/>
        </w:rPr>
        <w:t> </w:t>
      </w:r>
      <w:r w:rsidR="004D5AD1" w:rsidRPr="004D5AD1">
        <w:rPr>
          <w:noProof/>
        </w:rPr>
        <w:t>zuż</w:t>
      </w:r>
      <w:r w:rsidRPr="004D5AD1">
        <w:rPr>
          <w:noProof/>
        </w:rPr>
        <w:t>ywaną w UE jest wykonalne</w:t>
      </w:r>
      <w:r w:rsidR="004D5AD1" w:rsidRPr="004D5AD1">
        <w:rPr>
          <w:noProof/>
        </w:rPr>
        <w:t>. W</w:t>
      </w:r>
      <w:r w:rsidR="004D5AD1">
        <w:rPr>
          <w:noProof/>
        </w:rPr>
        <w:t> </w:t>
      </w:r>
      <w:r w:rsidR="004D5AD1" w:rsidRPr="004D5AD1">
        <w:rPr>
          <w:noProof/>
        </w:rPr>
        <w:t>ram</w:t>
      </w:r>
      <w:r w:rsidRPr="004D5AD1">
        <w:rPr>
          <w:noProof/>
        </w:rPr>
        <w:t>ach konsultacji publicznych uzyskano silne poparcie (80</w:t>
      </w:r>
      <w:r w:rsidR="004D5AD1" w:rsidRPr="004D5AD1">
        <w:rPr>
          <w:noProof/>
        </w:rPr>
        <w:t> </w:t>
      </w:r>
      <w:r w:rsidRPr="004D5AD1">
        <w:rPr>
          <w:noProof/>
        </w:rPr>
        <w:t>% respondentów) dla włączenia środków ograniczania emisji metanu</w:t>
      </w:r>
      <w:r w:rsidR="004D5AD1" w:rsidRPr="004D5AD1">
        <w:rPr>
          <w:noProof/>
        </w:rPr>
        <w:t xml:space="preserve"> z</w:t>
      </w:r>
      <w:r w:rsidR="004D5AD1">
        <w:rPr>
          <w:noProof/>
        </w:rPr>
        <w:t> </w:t>
      </w:r>
      <w:r w:rsidR="004D5AD1" w:rsidRPr="004D5AD1">
        <w:rPr>
          <w:noProof/>
        </w:rPr>
        <w:t>kop</w:t>
      </w:r>
      <w:r w:rsidRPr="004D5AD1">
        <w:rPr>
          <w:noProof/>
        </w:rPr>
        <w:t>alń węgla do przepisów. Aspekty te zostały uwzględnione</w:t>
      </w:r>
      <w:r w:rsidR="004D5AD1" w:rsidRPr="004D5AD1">
        <w:rPr>
          <w:noProof/>
        </w:rPr>
        <w:t xml:space="preserve"> w</w:t>
      </w:r>
      <w:r w:rsidR="004D5AD1">
        <w:rPr>
          <w:noProof/>
        </w:rPr>
        <w:t> </w:t>
      </w:r>
      <w:r w:rsidR="004D5AD1" w:rsidRPr="004D5AD1">
        <w:rPr>
          <w:noProof/>
        </w:rPr>
        <w:t>nin</w:t>
      </w:r>
      <w:r w:rsidRPr="004D5AD1">
        <w:rPr>
          <w:noProof/>
        </w:rPr>
        <w:t>iejszym wniosku.</w:t>
      </w:r>
    </w:p>
    <w:p w14:paraId="12EC6C4D" w14:textId="77DEA1F9"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Dziewięćdziesiąt dwa procent respondentów, którzy wzięli udział</w:t>
      </w:r>
      <w:r w:rsidR="004D5AD1" w:rsidRPr="004D5AD1">
        <w:rPr>
          <w:noProof/>
        </w:rPr>
        <w:t xml:space="preserve"> w</w:t>
      </w:r>
      <w:r w:rsidR="004D5AD1">
        <w:rPr>
          <w:noProof/>
        </w:rPr>
        <w:t> </w:t>
      </w:r>
      <w:r w:rsidR="004D5AD1" w:rsidRPr="004D5AD1">
        <w:rPr>
          <w:noProof/>
        </w:rPr>
        <w:t>otw</w:t>
      </w:r>
      <w:r w:rsidRPr="004D5AD1">
        <w:rPr>
          <w:noProof/>
        </w:rPr>
        <w:t>artych konsultacjach publicznych, wyraziło poparcie dla objęcia przepisami Unii</w:t>
      </w:r>
      <w:r w:rsidR="004D5AD1" w:rsidRPr="004D5AD1">
        <w:rPr>
          <w:noProof/>
        </w:rPr>
        <w:t xml:space="preserve"> w</w:t>
      </w:r>
      <w:r w:rsidR="004D5AD1">
        <w:rPr>
          <w:noProof/>
        </w:rPr>
        <w:t> </w:t>
      </w:r>
      <w:r w:rsidR="004D5AD1" w:rsidRPr="004D5AD1">
        <w:rPr>
          <w:noProof/>
        </w:rPr>
        <w:t>spr</w:t>
      </w:r>
      <w:r w:rsidRPr="004D5AD1">
        <w:rPr>
          <w:noProof/>
        </w:rPr>
        <w:t>awie emisji metanu</w:t>
      </w:r>
      <w:r w:rsidR="004D5AD1" w:rsidRPr="004D5AD1">
        <w:rPr>
          <w:noProof/>
        </w:rPr>
        <w:t xml:space="preserve"> w</w:t>
      </w:r>
      <w:r w:rsidR="004D5AD1">
        <w:rPr>
          <w:noProof/>
        </w:rPr>
        <w:t> </w:t>
      </w:r>
      <w:r w:rsidR="004D5AD1" w:rsidRPr="004D5AD1">
        <w:rPr>
          <w:noProof/>
        </w:rPr>
        <w:t>sek</w:t>
      </w:r>
      <w:r w:rsidRPr="004D5AD1">
        <w:rPr>
          <w:noProof/>
        </w:rPr>
        <w:t>torze energetycznym całości ropy naftowej</w:t>
      </w:r>
      <w:r w:rsidR="004D5AD1" w:rsidRPr="004D5AD1">
        <w:rPr>
          <w:noProof/>
        </w:rPr>
        <w:t xml:space="preserve"> i</w:t>
      </w:r>
      <w:r w:rsidR="004D5AD1">
        <w:rPr>
          <w:noProof/>
        </w:rPr>
        <w:t> </w:t>
      </w:r>
      <w:r w:rsidR="004D5AD1" w:rsidRPr="004D5AD1">
        <w:rPr>
          <w:noProof/>
        </w:rPr>
        <w:t>gaz</w:t>
      </w:r>
      <w:r w:rsidRPr="004D5AD1">
        <w:rPr>
          <w:noProof/>
        </w:rPr>
        <w:t>u wprowadzanych na rynek UE</w:t>
      </w:r>
      <w:r w:rsidR="004D5AD1" w:rsidRPr="004D5AD1">
        <w:rPr>
          <w:noProof/>
        </w:rPr>
        <w:t>. W</w:t>
      </w:r>
      <w:r w:rsidR="004D5AD1">
        <w:rPr>
          <w:noProof/>
        </w:rPr>
        <w:t> </w:t>
      </w:r>
      <w:r w:rsidR="004D5AD1" w:rsidRPr="004D5AD1">
        <w:rPr>
          <w:noProof/>
        </w:rPr>
        <w:t>szc</w:t>
      </w:r>
      <w:r w:rsidRPr="004D5AD1">
        <w:rPr>
          <w:noProof/>
        </w:rPr>
        <w:t>zególności 96</w:t>
      </w:r>
      <w:r w:rsidR="004D5AD1" w:rsidRPr="004D5AD1">
        <w:rPr>
          <w:noProof/>
        </w:rPr>
        <w:t> </w:t>
      </w:r>
      <w:r w:rsidRPr="004D5AD1">
        <w:rPr>
          <w:noProof/>
        </w:rPr>
        <w:t>% respondentów wyraziło poparcie dla opracowania narzędzia zapewniania przejrzystości</w:t>
      </w:r>
      <w:r w:rsidR="004D5AD1" w:rsidRPr="004D5AD1">
        <w:rPr>
          <w:noProof/>
        </w:rPr>
        <w:t xml:space="preserve"> w</w:t>
      </w:r>
      <w:r w:rsidR="004D5AD1">
        <w:rPr>
          <w:noProof/>
        </w:rPr>
        <w:t> </w:t>
      </w:r>
      <w:r w:rsidR="004D5AD1" w:rsidRPr="004D5AD1">
        <w:rPr>
          <w:noProof/>
        </w:rPr>
        <w:t>zak</w:t>
      </w:r>
      <w:r w:rsidRPr="004D5AD1">
        <w:rPr>
          <w:noProof/>
        </w:rPr>
        <w:t>resie metanu na poziomie Unii i na szczeblu międzynarodowym. Aspekt ten został uwzględniony</w:t>
      </w:r>
      <w:r w:rsidR="004D5AD1" w:rsidRPr="004D5AD1">
        <w:rPr>
          <w:noProof/>
        </w:rPr>
        <w:t xml:space="preserve"> w</w:t>
      </w:r>
      <w:r w:rsidR="004D5AD1">
        <w:rPr>
          <w:noProof/>
        </w:rPr>
        <w:t> </w:t>
      </w:r>
      <w:r w:rsidR="004D5AD1" w:rsidRPr="004D5AD1">
        <w:rPr>
          <w:noProof/>
        </w:rPr>
        <w:t>nin</w:t>
      </w:r>
      <w:r w:rsidRPr="004D5AD1">
        <w:rPr>
          <w:noProof/>
        </w:rPr>
        <w:t>iejszym wniosku.</w:t>
      </w:r>
    </w:p>
    <w:p w14:paraId="13038E22" w14:textId="1A124E11"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72</w:t>
      </w:r>
      <w:r w:rsidR="004D5AD1" w:rsidRPr="004D5AD1">
        <w:rPr>
          <w:noProof/>
        </w:rPr>
        <w:t> </w:t>
      </w:r>
      <w:r w:rsidRPr="004D5AD1">
        <w:rPr>
          <w:noProof/>
        </w:rPr>
        <w:t>% respondentów wyraziło opinię, że przepisy Unii dotyczące emisji metanu</w:t>
      </w:r>
      <w:r w:rsidR="004D5AD1" w:rsidRPr="004D5AD1">
        <w:rPr>
          <w:noProof/>
        </w:rPr>
        <w:t xml:space="preserve"> w</w:t>
      </w:r>
      <w:r w:rsidR="004D5AD1">
        <w:rPr>
          <w:noProof/>
        </w:rPr>
        <w:t> </w:t>
      </w:r>
      <w:r w:rsidR="004D5AD1" w:rsidRPr="004D5AD1">
        <w:rPr>
          <w:noProof/>
        </w:rPr>
        <w:t>sek</w:t>
      </w:r>
      <w:r w:rsidRPr="004D5AD1">
        <w:rPr>
          <w:noProof/>
        </w:rPr>
        <w:t>torze energetycznym powinny rozszerzać obowiązki na przedsiębiorstwa importujące energię</w:t>
      </w:r>
      <w:r w:rsidR="004D5AD1" w:rsidRPr="004D5AD1">
        <w:rPr>
          <w:noProof/>
        </w:rPr>
        <w:t xml:space="preserve"> z</w:t>
      </w:r>
      <w:r w:rsidR="004D5AD1">
        <w:rPr>
          <w:noProof/>
        </w:rPr>
        <w:t> </w:t>
      </w:r>
      <w:r w:rsidR="004D5AD1" w:rsidRPr="004D5AD1">
        <w:rPr>
          <w:noProof/>
        </w:rPr>
        <w:t>pal</w:t>
      </w:r>
      <w:r w:rsidRPr="004D5AD1">
        <w:rPr>
          <w:noProof/>
        </w:rPr>
        <w:t>iw kopalnych do UE lub przedsiębiorstwa eksportujące energię pochodzącą</w:t>
      </w:r>
      <w:r w:rsidR="004D5AD1" w:rsidRPr="004D5AD1">
        <w:rPr>
          <w:noProof/>
        </w:rPr>
        <w:t xml:space="preserve"> z</w:t>
      </w:r>
      <w:r w:rsidR="004D5AD1">
        <w:rPr>
          <w:noProof/>
        </w:rPr>
        <w:t> </w:t>
      </w:r>
      <w:r w:rsidR="004D5AD1" w:rsidRPr="004D5AD1">
        <w:rPr>
          <w:noProof/>
        </w:rPr>
        <w:t>pal</w:t>
      </w:r>
      <w:r w:rsidRPr="004D5AD1">
        <w:rPr>
          <w:noProof/>
        </w:rPr>
        <w:t>iw kopalnych do UE. 65</w:t>
      </w:r>
      <w:r w:rsidR="004D5AD1" w:rsidRPr="004D5AD1">
        <w:rPr>
          <w:noProof/>
        </w:rPr>
        <w:t> </w:t>
      </w:r>
      <w:r w:rsidRPr="004D5AD1">
        <w:rPr>
          <w:noProof/>
        </w:rPr>
        <w:t>% respondentów stwierdziło, że wykonalne jest nałożenie takich samych obowiązków</w:t>
      </w:r>
      <w:r w:rsidR="004D5AD1" w:rsidRPr="004D5AD1">
        <w:rPr>
          <w:noProof/>
        </w:rPr>
        <w:t xml:space="preserve"> w</w:t>
      </w:r>
      <w:r w:rsidR="004D5AD1">
        <w:rPr>
          <w:noProof/>
        </w:rPr>
        <w:t> </w:t>
      </w:r>
      <w:r w:rsidR="004D5AD1" w:rsidRPr="004D5AD1">
        <w:rPr>
          <w:noProof/>
        </w:rPr>
        <w:t>zak</w:t>
      </w:r>
      <w:r w:rsidRPr="004D5AD1">
        <w:rPr>
          <w:noProof/>
        </w:rPr>
        <w:t>resie monitorowania, raportowania</w:t>
      </w:r>
      <w:r w:rsidR="004D5AD1" w:rsidRPr="004D5AD1">
        <w:rPr>
          <w:noProof/>
        </w:rPr>
        <w:t xml:space="preserve"> i</w:t>
      </w:r>
      <w:r w:rsidR="004D5AD1">
        <w:rPr>
          <w:noProof/>
        </w:rPr>
        <w:t> </w:t>
      </w:r>
      <w:r w:rsidR="004D5AD1" w:rsidRPr="004D5AD1">
        <w:rPr>
          <w:noProof/>
        </w:rPr>
        <w:t>wer</w:t>
      </w:r>
      <w:r w:rsidRPr="004D5AD1">
        <w:rPr>
          <w:noProof/>
        </w:rPr>
        <w:t>yfikacji, wykrywania nieszczelności</w:t>
      </w:r>
      <w:r w:rsidR="004D5AD1" w:rsidRPr="004D5AD1">
        <w:rPr>
          <w:noProof/>
        </w:rPr>
        <w:t xml:space="preserve"> i</w:t>
      </w:r>
      <w:r w:rsidR="004D5AD1">
        <w:rPr>
          <w:noProof/>
        </w:rPr>
        <w:t> </w:t>
      </w:r>
      <w:r w:rsidR="004D5AD1" w:rsidRPr="004D5AD1">
        <w:rPr>
          <w:noProof/>
        </w:rPr>
        <w:t>nap</w:t>
      </w:r>
      <w:r w:rsidRPr="004D5AD1">
        <w:rPr>
          <w:noProof/>
        </w:rPr>
        <w:t>rawy oraz uwalniania do atmosfery</w:t>
      </w:r>
      <w:r w:rsidR="004D5AD1" w:rsidRPr="004D5AD1">
        <w:rPr>
          <w:noProof/>
        </w:rPr>
        <w:t xml:space="preserve"> i</w:t>
      </w:r>
      <w:r w:rsidR="004D5AD1">
        <w:rPr>
          <w:noProof/>
        </w:rPr>
        <w:t> </w:t>
      </w:r>
      <w:r w:rsidR="004D5AD1" w:rsidRPr="004D5AD1">
        <w:rPr>
          <w:noProof/>
        </w:rPr>
        <w:t>spa</w:t>
      </w:r>
      <w:r w:rsidRPr="004D5AD1">
        <w:rPr>
          <w:noProof/>
        </w:rPr>
        <w:t>lania gazu</w:t>
      </w:r>
      <w:r w:rsidR="004D5AD1" w:rsidRPr="004D5AD1">
        <w:rPr>
          <w:noProof/>
        </w:rPr>
        <w:t xml:space="preserve"> w</w:t>
      </w:r>
      <w:r w:rsidR="004D5AD1">
        <w:rPr>
          <w:noProof/>
        </w:rPr>
        <w:t> </w:t>
      </w:r>
      <w:r w:rsidR="004D5AD1" w:rsidRPr="004D5AD1">
        <w:rPr>
          <w:noProof/>
        </w:rPr>
        <w:t>poc</w:t>
      </w:r>
      <w:r w:rsidRPr="004D5AD1">
        <w:rPr>
          <w:noProof/>
        </w:rPr>
        <w:t>hodni na wszystkich uczestników łańcucha wartości ropy naftowej</w:t>
      </w:r>
      <w:r w:rsidR="004D5AD1" w:rsidRPr="004D5AD1">
        <w:rPr>
          <w:noProof/>
        </w:rPr>
        <w:t xml:space="preserve"> i</w:t>
      </w:r>
      <w:r w:rsidR="004D5AD1">
        <w:rPr>
          <w:noProof/>
        </w:rPr>
        <w:t> </w:t>
      </w:r>
      <w:r w:rsidR="004D5AD1" w:rsidRPr="004D5AD1">
        <w:rPr>
          <w:noProof/>
        </w:rPr>
        <w:t>gaz</w:t>
      </w:r>
      <w:r w:rsidRPr="004D5AD1">
        <w:rPr>
          <w:noProof/>
        </w:rPr>
        <w:t>u</w:t>
      </w:r>
      <w:r w:rsidR="004D5AD1" w:rsidRPr="004D5AD1">
        <w:rPr>
          <w:noProof/>
        </w:rPr>
        <w:t xml:space="preserve"> w</w:t>
      </w:r>
      <w:r w:rsidR="004D5AD1">
        <w:rPr>
          <w:noProof/>
        </w:rPr>
        <w:t> </w:t>
      </w:r>
      <w:r w:rsidR="004D5AD1" w:rsidRPr="004D5AD1">
        <w:rPr>
          <w:noProof/>
        </w:rPr>
        <w:t>odn</w:t>
      </w:r>
      <w:r w:rsidRPr="004D5AD1">
        <w:rPr>
          <w:noProof/>
        </w:rPr>
        <w:t>iesieniu do ropy naftowej</w:t>
      </w:r>
      <w:r w:rsidR="004D5AD1" w:rsidRPr="004D5AD1">
        <w:rPr>
          <w:noProof/>
        </w:rPr>
        <w:t xml:space="preserve"> i</w:t>
      </w:r>
      <w:r w:rsidR="004D5AD1">
        <w:rPr>
          <w:noProof/>
        </w:rPr>
        <w:t> </w:t>
      </w:r>
      <w:r w:rsidR="004D5AD1" w:rsidRPr="004D5AD1">
        <w:rPr>
          <w:noProof/>
        </w:rPr>
        <w:t>gaz</w:t>
      </w:r>
      <w:r w:rsidRPr="004D5AD1">
        <w:rPr>
          <w:noProof/>
        </w:rPr>
        <w:t>u zużywanych</w:t>
      </w:r>
      <w:r w:rsidR="004D5AD1" w:rsidRPr="004D5AD1">
        <w:rPr>
          <w:noProof/>
        </w:rPr>
        <w:t xml:space="preserve"> w</w:t>
      </w:r>
      <w:r w:rsidR="004D5AD1">
        <w:rPr>
          <w:noProof/>
        </w:rPr>
        <w:t> </w:t>
      </w:r>
      <w:r w:rsidR="004D5AD1" w:rsidRPr="004D5AD1">
        <w:rPr>
          <w:noProof/>
        </w:rPr>
        <w:t>Uni</w:t>
      </w:r>
      <w:r w:rsidRPr="004D5AD1">
        <w:rPr>
          <w:noProof/>
        </w:rPr>
        <w:t>i</w:t>
      </w:r>
      <w:r w:rsidR="004D5AD1" w:rsidRPr="004D5AD1">
        <w:rPr>
          <w:noProof/>
        </w:rPr>
        <w:t>. W</w:t>
      </w:r>
      <w:r w:rsidR="004D5AD1">
        <w:rPr>
          <w:noProof/>
        </w:rPr>
        <w:t> </w:t>
      </w:r>
      <w:r w:rsidR="004D5AD1" w:rsidRPr="004D5AD1">
        <w:rPr>
          <w:noProof/>
        </w:rPr>
        <w:t>odp</w:t>
      </w:r>
      <w:r w:rsidRPr="004D5AD1">
        <w:rPr>
          <w:noProof/>
        </w:rPr>
        <w:t>owiedzi na powyższe</w:t>
      </w:r>
      <w:r w:rsidR="004D5AD1" w:rsidRPr="004D5AD1">
        <w:rPr>
          <w:noProof/>
        </w:rPr>
        <w:t xml:space="preserve"> w</w:t>
      </w:r>
      <w:r w:rsidR="004D5AD1">
        <w:rPr>
          <w:noProof/>
        </w:rPr>
        <w:t> </w:t>
      </w:r>
      <w:r w:rsidR="004D5AD1" w:rsidRPr="004D5AD1">
        <w:rPr>
          <w:noProof/>
        </w:rPr>
        <w:t>nin</w:t>
      </w:r>
      <w:r w:rsidRPr="004D5AD1">
        <w:rPr>
          <w:noProof/>
        </w:rPr>
        <w:t>iejszym wniosku zawarto klauzulę przeglądową wyraźnie odnoszącą się do uprawnienia Komisji</w:t>
      </w:r>
      <w:r w:rsidR="004D5AD1" w:rsidRPr="004D5AD1">
        <w:rPr>
          <w:noProof/>
        </w:rPr>
        <w:t xml:space="preserve"> w</w:t>
      </w:r>
      <w:r w:rsidR="004D5AD1">
        <w:rPr>
          <w:noProof/>
        </w:rPr>
        <w:t> </w:t>
      </w:r>
      <w:r w:rsidR="004D5AD1" w:rsidRPr="004D5AD1">
        <w:rPr>
          <w:noProof/>
        </w:rPr>
        <w:t>zak</w:t>
      </w:r>
      <w:r w:rsidRPr="004D5AD1">
        <w:rPr>
          <w:noProof/>
        </w:rPr>
        <w:t>resie przedstawiania wniosków ustawodawczych</w:t>
      </w:r>
      <w:r w:rsidR="004D5AD1" w:rsidRPr="004D5AD1">
        <w:rPr>
          <w:noProof/>
        </w:rPr>
        <w:t xml:space="preserve"> w</w:t>
      </w:r>
      <w:r w:rsidR="004D5AD1">
        <w:rPr>
          <w:noProof/>
        </w:rPr>
        <w:t> </w:t>
      </w:r>
      <w:r w:rsidR="004D5AD1" w:rsidRPr="004D5AD1">
        <w:rPr>
          <w:noProof/>
        </w:rPr>
        <w:t>spr</w:t>
      </w:r>
      <w:r w:rsidRPr="004D5AD1">
        <w:rPr>
          <w:noProof/>
        </w:rPr>
        <w:t>awie zmian</w:t>
      </w:r>
      <w:r w:rsidR="004D5AD1" w:rsidRPr="004D5AD1">
        <w:rPr>
          <w:noProof/>
        </w:rPr>
        <w:t xml:space="preserve"> w</w:t>
      </w:r>
      <w:r w:rsidR="004D5AD1">
        <w:rPr>
          <w:noProof/>
        </w:rPr>
        <w:t> </w:t>
      </w:r>
      <w:r w:rsidR="004D5AD1" w:rsidRPr="004D5AD1">
        <w:rPr>
          <w:noProof/>
        </w:rPr>
        <w:t>cel</w:t>
      </w:r>
      <w:r w:rsidRPr="004D5AD1">
        <w:rPr>
          <w:noProof/>
        </w:rPr>
        <w:t xml:space="preserve">u nałożenia na importerów bardziej rygorystycznych środków, gdy dostępne będą lepsze dane dotyczące globalnej emisji metanu. </w:t>
      </w:r>
    </w:p>
    <w:p w14:paraId="0A705EC2" w14:textId="48733A19"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Gromadzenie</w:t>
      </w:r>
      <w:r w:rsidR="004D5AD1" w:rsidRPr="004D5AD1">
        <w:rPr>
          <w:noProof/>
          <w:u w:color="000000"/>
          <w:bdr w:val="nil"/>
        </w:rPr>
        <w:t xml:space="preserve"> i</w:t>
      </w:r>
      <w:r w:rsidR="004D5AD1">
        <w:rPr>
          <w:noProof/>
          <w:u w:color="000000"/>
          <w:bdr w:val="nil"/>
        </w:rPr>
        <w:t> </w:t>
      </w:r>
      <w:r w:rsidR="004D5AD1" w:rsidRPr="004D5AD1">
        <w:rPr>
          <w:noProof/>
          <w:u w:color="000000"/>
          <w:bdr w:val="nil"/>
        </w:rPr>
        <w:t>wyk</w:t>
      </w:r>
      <w:r w:rsidRPr="004D5AD1">
        <w:rPr>
          <w:noProof/>
          <w:u w:color="000000"/>
          <w:bdr w:val="nil"/>
        </w:rPr>
        <w:t>orzystanie wiedzy eksperckiej</w:t>
      </w:r>
    </w:p>
    <w:p w14:paraId="782FEACF" w14:textId="4DDCEA9C"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Wniosek</w:t>
      </w:r>
      <w:r w:rsidR="004D5AD1" w:rsidRPr="004D5AD1">
        <w:rPr>
          <w:noProof/>
        </w:rPr>
        <w:t xml:space="preserve"> i</w:t>
      </w:r>
      <w:r w:rsidR="004D5AD1">
        <w:rPr>
          <w:noProof/>
        </w:rPr>
        <w:t> </w:t>
      </w:r>
      <w:r w:rsidR="004D5AD1" w:rsidRPr="004D5AD1">
        <w:rPr>
          <w:noProof/>
        </w:rPr>
        <w:t>jeg</w:t>
      </w:r>
      <w:r w:rsidRPr="004D5AD1">
        <w:rPr>
          <w:noProof/>
        </w:rPr>
        <w:t>o podstawowa ocena skutków opierają się na dowodach pochodzących</w:t>
      </w:r>
      <w:r w:rsidR="004D5AD1" w:rsidRPr="004D5AD1">
        <w:rPr>
          <w:noProof/>
        </w:rPr>
        <w:t xml:space="preserve"> z</w:t>
      </w:r>
      <w:r w:rsidR="004D5AD1">
        <w:rPr>
          <w:noProof/>
        </w:rPr>
        <w:t> </w:t>
      </w:r>
      <w:r w:rsidR="004D5AD1" w:rsidRPr="004D5AD1">
        <w:rPr>
          <w:noProof/>
        </w:rPr>
        <w:t>wkł</w:t>
      </w:r>
      <w:r w:rsidRPr="004D5AD1">
        <w:rPr>
          <w:noProof/>
        </w:rPr>
        <w:t>adu zainteresowanych stron</w:t>
      </w:r>
      <w:r w:rsidR="004D5AD1" w:rsidRPr="004D5AD1">
        <w:rPr>
          <w:noProof/>
        </w:rPr>
        <w:t xml:space="preserve"> w</w:t>
      </w:r>
      <w:r w:rsidR="004D5AD1">
        <w:rPr>
          <w:noProof/>
        </w:rPr>
        <w:t> </w:t>
      </w:r>
      <w:r w:rsidR="004D5AD1" w:rsidRPr="004D5AD1">
        <w:rPr>
          <w:noProof/>
        </w:rPr>
        <w:t>sze</w:t>
      </w:r>
      <w:r w:rsidRPr="004D5AD1">
        <w:rPr>
          <w:noProof/>
        </w:rPr>
        <w:t>roko zakrojone konsultacje przeprowadzone</w:t>
      </w:r>
      <w:r w:rsidR="004D5AD1" w:rsidRPr="004D5AD1">
        <w:rPr>
          <w:noProof/>
        </w:rPr>
        <w:t xml:space="preserve"> w</w:t>
      </w:r>
      <w:r w:rsidR="004D5AD1">
        <w:rPr>
          <w:noProof/>
        </w:rPr>
        <w:t> </w:t>
      </w:r>
      <w:r w:rsidR="004D5AD1" w:rsidRPr="004D5AD1">
        <w:rPr>
          <w:noProof/>
        </w:rPr>
        <w:t>tym</w:t>
      </w:r>
      <w:r w:rsidRPr="004D5AD1">
        <w:rPr>
          <w:noProof/>
        </w:rPr>
        <w:t xml:space="preserve"> zakresie, na specjalnych warsztatach,</w:t>
      </w:r>
      <w:r w:rsidR="004D5AD1" w:rsidRPr="004D5AD1">
        <w:rPr>
          <w:noProof/>
        </w:rPr>
        <w:t xml:space="preserve"> a</w:t>
      </w:r>
      <w:r w:rsidR="004D5AD1">
        <w:rPr>
          <w:noProof/>
        </w:rPr>
        <w:t> </w:t>
      </w:r>
      <w:r w:rsidR="004D5AD1" w:rsidRPr="004D5AD1">
        <w:rPr>
          <w:noProof/>
        </w:rPr>
        <w:t>tak</w:t>
      </w:r>
      <w:r w:rsidRPr="004D5AD1">
        <w:rPr>
          <w:noProof/>
        </w:rPr>
        <w:t>że na przeglądzie literatury, analizie</w:t>
      </w:r>
      <w:r w:rsidR="004D5AD1" w:rsidRPr="004D5AD1">
        <w:rPr>
          <w:noProof/>
        </w:rPr>
        <w:t xml:space="preserve"> i</w:t>
      </w:r>
      <w:r w:rsidR="004D5AD1">
        <w:rPr>
          <w:noProof/>
        </w:rPr>
        <w:t> </w:t>
      </w:r>
      <w:r w:rsidR="004D5AD1" w:rsidRPr="004D5AD1">
        <w:rPr>
          <w:noProof/>
        </w:rPr>
        <w:t>mod</w:t>
      </w:r>
      <w:r w:rsidRPr="004D5AD1">
        <w:rPr>
          <w:noProof/>
        </w:rPr>
        <w:t>elowaniu. Przegląd literatury obejmował wyniki szeregu aktualnych badań dotyczących kluczowych elementów rozporządzeń dotyczących emisji metanu</w:t>
      </w:r>
      <w:r w:rsidR="004D5AD1" w:rsidRPr="004D5AD1">
        <w:rPr>
          <w:noProof/>
        </w:rPr>
        <w:t xml:space="preserve"> w</w:t>
      </w:r>
      <w:r w:rsidR="004D5AD1">
        <w:rPr>
          <w:noProof/>
        </w:rPr>
        <w:t> </w:t>
      </w:r>
      <w:r w:rsidR="004D5AD1" w:rsidRPr="004D5AD1">
        <w:rPr>
          <w:noProof/>
        </w:rPr>
        <w:t>róż</w:t>
      </w:r>
      <w:r w:rsidRPr="004D5AD1">
        <w:rPr>
          <w:noProof/>
        </w:rPr>
        <w:t>nych krajach</w:t>
      </w:r>
      <w:r w:rsidR="004D5AD1" w:rsidRPr="004D5AD1">
        <w:rPr>
          <w:noProof/>
        </w:rPr>
        <w:t xml:space="preserve"> i</w:t>
      </w:r>
      <w:r w:rsidR="004D5AD1">
        <w:rPr>
          <w:noProof/>
        </w:rPr>
        <w:t> </w:t>
      </w:r>
      <w:r w:rsidR="004D5AD1" w:rsidRPr="004D5AD1">
        <w:rPr>
          <w:noProof/>
        </w:rPr>
        <w:t>pań</w:t>
      </w:r>
      <w:r w:rsidRPr="004D5AD1">
        <w:rPr>
          <w:noProof/>
        </w:rPr>
        <w:t>stwach członkowskich UE, ograniczających emisje metanu</w:t>
      </w:r>
      <w:r w:rsidR="004D5AD1" w:rsidRPr="004D5AD1">
        <w:rPr>
          <w:noProof/>
        </w:rPr>
        <w:t xml:space="preserve"> w</w:t>
      </w:r>
      <w:r w:rsidR="004D5AD1">
        <w:rPr>
          <w:noProof/>
        </w:rPr>
        <w:t> </w:t>
      </w:r>
      <w:r w:rsidR="004D5AD1" w:rsidRPr="004D5AD1">
        <w:rPr>
          <w:noProof/>
        </w:rPr>
        <w:t>sek</w:t>
      </w:r>
      <w:r w:rsidRPr="004D5AD1">
        <w:rPr>
          <w:noProof/>
        </w:rPr>
        <w:t>torze energetycznym,</w:t>
      </w:r>
      <w:r w:rsidR="004D5AD1" w:rsidRPr="004D5AD1">
        <w:rPr>
          <w:noProof/>
        </w:rPr>
        <w:t xml:space="preserve"> a</w:t>
      </w:r>
      <w:r w:rsidR="004D5AD1">
        <w:rPr>
          <w:noProof/>
        </w:rPr>
        <w:t> </w:t>
      </w:r>
      <w:r w:rsidR="004D5AD1" w:rsidRPr="004D5AD1">
        <w:rPr>
          <w:noProof/>
        </w:rPr>
        <w:t>tak</w:t>
      </w:r>
      <w:r w:rsidRPr="004D5AD1">
        <w:rPr>
          <w:noProof/>
        </w:rPr>
        <w:t>że ewaluacje</w:t>
      </w:r>
      <w:r w:rsidR="004D5AD1" w:rsidRPr="004D5AD1">
        <w:rPr>
          <w:noProof/>
        </w:rPr>
        <w:t xml:space="preserve"> i</w:t>
      </w:r>
      <w:r w:rsidR="004D5AD1">
        <w:rPr>
          <w:noProof/>
        </w:rPr>
        <w:t> </w:t>
      </w:r>
      <w:r w:rsidR="004D5AD1" w:rsidRPr="004D5AD1">
        <w:rPr>
          <w:noProof/>
        </w:rPr>
        <w:t>oce</w:t>
      </w:r>
      <w:r w:rsidRPr="004D5AD1">
        <w:rPr>
          <w:noProof/>
        </w:rPr>
        <w:t>ny przeprowadzone</w:t>
      </w:r>
      <w:r w:rsidR="004D5AD1" w:rsidRPr="004D5AD1">
        <w:rPr>
          <w:noProof/>
        </w:rPr>
        <w:t xml:space="preserve"> w</w:t>
      </w:r>
      <w:r w:rsidR="004D5AD1">
        <w:rPr>
          <w:noProof/>
        </w:rPr>
        <w:t> </w:t>
      </w:r>
      <w:r w:rsidR="004D5AD1" w:rsidRPr="004D5AD1">
        <w:rPr>
          <w:noProof/>
        </w:rPr>
        <w:t>ram</w:t>
      </w:r>
      <w:r w:rsidRPr="004D5AD1">
        <w:rPr>
          <w:noProof/>
        </w:rPr>
        <w:t>ach innych odpowiednich inicjatyw Komisji.</w:t>
      </w:r>
    </w:p>
    <w:p w14:paraId="614FEC6D" w14:textId="77777777"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Ocena skutków</w:t>
      </w:r>
    </w:p>
    <w:p w14:paraId="1FB7346A" w14:textId="3DB227A8" w:rsidR="00BC3357" w:rsidRPr="004D5AD1" w:rsidRDefault="00BC3357" w:rsidP="00BC3357">
      <w:pPr>
        <w:pBdr>
          <w:top w:val="nil"/>
          <w:left w:val="nil"/>
          <w:bottom w:val="nil"/>
          <w:right w:val="nil"/>
          <w:between w:val="nil"/>
          <w:bar w:val="nil"/>
        </w:pBdr>
        <w:spacing w:before="0" w:after="240"/>
        <w:rPr>
          <w:noProof/>
        </w:rPr>
      </w:pPr>
      <w:r w:rsidRPr="004D5AD1">
        <w:rPr>
          <w:noProof/>
        </w:rPr>
        <w:t>W trakcie prac nad oceną skutków rozważono szereg środków we wszystkich obszarach</w:t>
      </w:r>
      <w:r w:rsidR="004D5AD1" w:rsidRPr="004D5AD1">
        <w:rPr>
          <w:noProof/>
        </w:rPr>
        <w:t xml:space="preserve"> w</w:t>
      </w:r>
      <w:r w:rsidR="004D5AD1">
        <w:rPr>
          <w:noProof/>
        </w:rPr>
        <w:t> </w:t>
      </w:r>
      <w:r w:rsidR="004D5AD1" w:rsidRPr="004D5AD1">
        <w:rPr>
          <w:noProof/>
        </w:rPr>
        <w:t>cel</w:t>
      </w:r>
      <w:r w:rsidRPr="004D5AD1">
        <w:rPr>
          <w:noProof/>
        </w:rPr>
        <w:t>u rozwiązania zidentyfikowanych problemów</w:t>
      </w:r>
      <w:r w:rsidR="004D5AD1" w:rsidRPr="004D5AD1">
        <w:rPr>
          <w:noProof/>
        </w:rPr>
        <w:t xml:space="preserve"> i</w:t>
      </w:r>
      <w:r w:rsidR="004D5AD1">
        <w:rPr>
          <w:noProof/>
        </w:rPr>
        <w:t> </w:t>
      </w:r>
      <w:r w:rsidR="004D5AD1" w:rsidRPr="004D5AD1">
        <w:rPr>
          <w:noProof/>
        </w:rPr>
        <w:t>ich</w:t>
      </w:r>
      <w:r w:rsidRPr="004D5AD1">
        <w:rPr>
          <w:noProof/>
        </w:rPr>
        <w:t xml:space="preserve"> źródeł, tak aby osiągnąć cele inicjatywy. Wszystkie obszary polityki obejmowały wariant przewidujący dotychczasowy scenariusz postępowania. Warianty preferowane zidentyfikowano</w:t>
      </w:r>
      <w:r w:rsidR="004D5AD1" w:rsidRPr="004D5AD1">
        <w:rPr>
          <w:noProof/>
        </w:rPr>
        <w:t xml:space="preserve"> w</w:t>
      </w:r>
      <w:r w:rsidR="004D5AD1">
        <w:rPr>
          <w:noProof/>
        </w:rPr>
        <w:t> </w:t>
      </w:r>
      <w:r w:rsidR="004D5AD1" w:rsidRPr="004D5AD1">
        <w:rPr>
          <w:noProof/>
        </w:rPr>
        <w:t>trz</w:t>
      </w:r>
      <w:r w:rsidRPr="004D5AD1">
        <w:rPr>
          <w:noProof/>
        </w:rPr>
        <w:t>ech obszarach polityki. Po dokonaniu oceny ich skuteczności, efektywności, spójności</w:t>
      </w:r>
      <w:r w:rsidR="004D5AD1" w:rsidRPr="004D5AD1">
        <w:rPr>
          <w:noProof/>
        </w:rPr>
        <w:t xml:space="preserve"> i</w:t>
      </w:r>
      <w:r w:rsidR="004D5AD1">
        <w:rPr>
          <w:noProof/>
        </w:rPr>
        <w:t> </w:t>
      </w:r>
      <w:r w:rsidR="004D5AD1" w:rsidRPr="004D5AD1">
        <w:rPr>
          <w:noProof/>
        </w:rPr>
        <w:t>pro</w:t>
      </w:r>
      <w:r w:rsidRPr="004D5AD1">
        <w:rPr>
          <w:noProof/>
        </w:rPr>
        <w:t>porcjonalności uznano, że do osiągnięcia wyznaczonych celów najlepiej przyczyni się pakiet preferowanych wariantów. Pakiet preferowanych wariantów zawiera następujące główne przepisy:</w:t>
      </w:r>
    </w:p>
    <w:p w14:paraId="52627C9B" w14:textId="154DD866" w:rsidR="00BC3357" w:rsidRPr="004D5AD1" w:rsidRDefault="00BC3357" w:rsidP="00BC3357">
      <w:pPr>
        <w:pBdr>
          <w:top w:val="nil"/>
          <w:left w:val="nil"/>
          <w:bottom w:val="nil"/>
          <w:right w:val="nil"/>
          <w:between w:val="nil"/>
          <w:bar w:val="nil"/>
        </w:pBdr>
        <w:spacing w:before="0" w:after="240"/>
        <w:rPr>
          <w:noProof/>
        </w:rPr>
      </w:pPr>
      <w:r w:rsidRPr="004D5AD1">
        <w:rPr>
          <w:noProof/>
        </w:rPr>
        <w:t>W ramach obszaru polityki nr</w:t>
      </w:r>
      <w:r w:rsidR="004D5AD1" w:rsidRPr="004D5AD1">
        <w:rPr>
          <w:noProof/>
        </w:rPr>
        <w:t> </w:t>
      </w:r>
      <w:r w:rsidRPr="004D5AD1">
        <w:rPr>
          <w:noProof/>
        </w:rPr>
        <w:t>1 rozważa się warianty mające na celu zwiększenie dokładności monitorowania</w:t>
      </w:r>
      <w:r w:rsidR="004D5AD1" w:rsidRPr="004D5AD1">
        <w:rPr>
          <w:noProof/>
        </w:rPr>
        <w:t xml:space="preserve"> i</w:t>
      </w:r>
      <w:r w:rsidR="004D5AD1">
        <w:rPr>
          <w:noProof/>
        </w:rPr>
        <w:t> </w:t>
      </w:r>
      <w:r w:rsidR="004D5AD1" w:rsidRPr="004D5AD1">
        <w:rPr>
          <w:noProof/>
        </w:rPr>
        <w:t>rap</w:t>
      </w:r>
      <w:r w:rsidRPr="004D5AD1">
        <w:rPr>
          <w:noProof/>
        </w:rPr>
        <w:t>ortowania emisji metanu</w:t>
      </w:r>
      <w:r w:rsidR="004D5AD1" w:rsidRPr="004D5AD1">
        <w:rPr>
          <w:noProof/>
        </w:rPr>
        <w:t xml:space="preserve"> w</w:t>
      </w:r>
      <w:r w:rsidR="004D5AD1">
        <w:rPr>
          <w:noProof/>
        </w:rPr>
        <w:t> </w:t>
      </w:r>
      <w:r w:rsidR="004D5AD1" w:rsidRPr="004D5AD1">
        <w:rPr>
          <w:noProof/>
        </w:rPr>
        <w:t>sek</w:t>
      </w:r>
      <w:r w:rsidRPr="004D5AD1">
        <w:rPr>
          <w:noProof/>
        </w:rPr>
        <w:t>torze energetycznym poprzez zobowiązanie operatorów do pomiaru emisji na poziomie aktywów</w:t>
      </w:r>
      <w:r w:rsidR="004D5AD1" w:rsidRPr="004D5AD1">
        <w:rPr>
          <w:noProof/>
        </w:rPr>
        <w:t xml:space="preserve"> i</w:t>
      </w:r>
      <w:r w:rsidR="004D5AD1">
        <w:rPr>
          <w:noProof/>
        </w:rPr>
        <w:t> </w:t>
      </w:r>
      <w:r w:rsidR="004D5AD1" w:rsidRPr="004D5AD1">
        <w:rPr>
          <w:noProof/>
        </w:rPr>
        <w:t>rap</w:t>
      </w:r>
      <w:r w:rsidRPr="004D5AD1">
        <w:rPr>
          <w:noProof/>
        </w:rPr>
        <w:t>ortowania bezpośrednich emisji metanu związanych</w:t>
      </w:r>
      <w:r w:rsidR="004D5AD1" w:rsidRPr="004D5AD1">
        <w:rPr>
          <w:noProof/>
        </w:rPr>
        <w:t xml:space="preserve"> z</w:t>
      </w:r>
      <w:r w:rsidR="004D5AD1">
        <w:rPr>
          <w:noProof/>
        </w:rPr>
        <w:t> </w:t>
      </w:r>
      <w:r w:rsidR="004D5AD1" w:rsidRPr="004D5AD1">
        <w:rPr>
          <w:noProof/>
        </w:rPr>
        <w:t>dzi</w:t>
      </w:r>
      <w:r w:rsidRPr="004D5AD1">
        <w:rPr>
          <w:noProof/>
        </w:rPr>
        <w:t>ałalnością gospodarczą na terytorium UE. Obejmuje to obowiązkowe monitorowanie, raportowanie</w:t>
      </w:r>
      <w:r w:rsidR="004D5AD1" w:rsidRPr="004D5AD1">
        <w:rPr>
          <w:noProof/>
        </w:rPr>
        <w:t xml:space="preserve"> i</w:t>
      </w:r>
      <w:r w:rsidR="004D5AD1">
        <w:rPr>
          <w:noProof/>
        </w:rPr>
        <w:t> </w:t>
      </w:r>
      <w:r w:rsidR="004D5AD1" w:rsidRPr="004D5AD1">
        <w:rPr>
          <w:noProof/>
        </w:rPr>
        <w:t>wer</w:t>
      </w:r>
      <w:r w:rsidRPr="004D5AD1">
        <w:rPr>
          <w:noProof/>
        </w:rPr>
        <w:t>yfikację</w:t>
      </w:r>
      <w:r w:rsidR="004D5AD1" w:rsidRPr="004D5AD1">
        <w:rPr>
          <w:noProof/>
        </w:rPr>
        <w:t xml:space="preserve"> w</w:t>
      </w:r>
      <w:r w:rsidR="004D5AD1">
        <w:rPr>
          <w:noProof/>
        </w:rPr>
        <w:t> </w:t>
      </w:r>
      <w:r w:rsidR="004D5AD1" w:rsidRPr="004D5AD1">
        <w:rPr>
          <w:noProof/>
        </w:rPr>
        <w:t>odn</w:t>
      </w:r>
      <w:r w:rsidRPr="004D5AD1">
        <w:rPr>
          <w:noProof/>
        </w:rPr>
        <w:t>iesieniu do ropy naftowej</w:t>
      </w:r>
      <w:r w:rsidR="004D5AD1" w:rsidRPr="004D5AD1">
        <w:rPr>
          <w:noProof/>
        </w:rPr>
        <w:t xml:space="preserve"> i</w:t>
      </w:r>
      <w:r w:rsidR="004D5AD1">
        <w:rPr>
          <w:noProof/>
        </w:rPr>
        <w:t> </w:t>
      </w:r>
      <w:r w:rsidR="004D5AD1" w:rsidRPr="004D5AD1">
        <w:rPr>
          <w:noProof/>
        </w:rPr>
        <w:t>gaz</w:t>
      </w:r>
      <w:r w:rsidRPr="004D5AD1">
        <w:rPr>
          <w:noProof/>
        </w:rPr>
        <w:t>u, obowiązkowe monitorowanie, raportowanie</w:t>
      </w:r>
      <w:r w:rsidR="004D5AD1" w:rsidRPr="004D5AD1">
        <w:rPr>
          <w:noProof/>
        </w:rPr>
        <w:t xml:space="preserve"> i</w:t>
      </w:r>
      <w:r w:rsidR="004D5AD1">
        <w:rPr>
          <w:noProof/>
        </w:rPr>
        <w:t> </w:t>
      </w:r>
      <w:r w:rsidR="004D5AD1" w:rsidRPr="004D5AD1">
        <w:rPr>
          <w:noProof/>
        </w:rPr>
        <w:t>wer</w:t>
      </w:r>
      <w:r w:rsidRPr="004D5AD1">
        <w:rPr>
          <w:noProof/>
        </w:rPr>
        <w:t>yfikację</w:t>
      </w:r>
      <w:r w:rsidR="004D5AD1" w:rsidRPr="004D5AD1">
        <w:rPr>
          <w:noProof/>
        </w:rPr>
        <w:t xml:space="preserve"> w</w:t>
      </w:r>
      <w:r w:rsidR="004D5AD1">
        <w:rPr>
          <w:noProof/>
        </w:rPr>
        <w:t> </w:t>
      </w:r>
      <w:r w:rsidR="004D5AD1" w:rsidRPr="004D5AD1">
        <w:rPr>
          <w:noProof/>
        </w:rPr>
        <w:t>odn</w:t>
      </w:r>
      <w:r w:rsidRPr="004D5AD1">
        <w:rPr>
          <w:noProof/>
        </w:rPr>
        <w:t>iesieniu do ropy naftowej, gazu</w:t>
      </w:r>
      <w:r w:rsidR="004D5AD1" w:rsidRPr="004D5AD1">
        <w:rPr>
          <w:noProof/>
        </w:rPr>
        <w:t xml:space="preserve"> i</w:t>
      </w:r>
      <w:r w:rsidR="004D5AD1">
        <w:rPr>
          <w:noProof/>
        </w:rPr>
        <w:t> </w:t>
      </w:r>
      <w:r w:rsidR="004D5AD1" w:rsidRPr="004D5AD1">
        <w:rPr>
          <w:noProof/>
        </w:rPr>
        <w:t>węg</w:t>
      </w:r>
      <w:r w:rsidRPr="004D5AD1">
        <w:rPr>
          <w:noProof/>
        </w:rPr>
        <w:t>la oraz obowiązkowe monitorowanie, raportowanie</w:t>
      </w:r>
      <w:r w:rsidR="004D5AD1" w:rsidRPr="004D5AD1">
        <w:rPr>
          <w:noProof/>
        </w:rPr>
        <w:t xml:space="preserve"> i</w:t>
      </w:r>
      <w:r w:rsidR="004D5AD1">
        <w:rPr>
          <w:noProof/>
        </w:rPr>
        <w:t> </w:t>
      </w:r>
      <w:r w:rsidR="004D5AD1" w:rsidRPr="004D5AD1">
        <w:rPr>
          <w:noProof/>
        </w:rPr>
        <w:t>wer</w:t>
      </w:r>
      <w:r w:rsidRPr="004D5AD1">
        <w:rPr>
          <w:noProof/>
        </w:rPr>
        <w:t>yfikację</w:t>
      </w:r>
      <w:r w:rsidR="004D5AD1" w:rsidRPr="004D5AD1">
        <w:rPr>
          <w:noProof/>
        </w:rPr>
        <w:t xml:space="preserve"> w</w:t>
      </w:r>
      <w:r w:rsidR="004D5AD1">
        <w:rPr>
          <w:noProof/>
        </w:rPr>
        <w:t> </w:t>
      </w:r>
      <w:r w:rsidR="004D5AD1" w:rsidRPr="004D5AD1">
        <w:rPr>
          <w:noProof/>
        </w:rPr>
        <w:t>odn</w:t>
      </w:r>
      <w:r w:rsidRPr="004D5AD1">
        <w:rPr>
          <w:noProof/>
        </w:rPr>
        <w:t>iesieniu do ropy naftowej, gazu</w:t>
      </w:r>
      <w:r w:rsidR="004D5AD1" w:rsidRPr="004D5AD1">
        <w:rPr>
          <w:noProof/>
        </w:rPr>
        <w:t xml:space="preserve"> i</w:t>
      </w:r>
      <w:r w:rsidR="004D5AD1">
        <w:rPr>
          <w:noProof/>
        </w:rPr>
        <w:t> </w:t>
      </w:r>
      <w:r w:rsidR="004D5AD1" w:rsidRPr="004D5AD1">
        <w:rPr>
          <w:noProof/>
        </w:rPr>
        <w:t>węg</w:t>
      </w:r>
      <w:r w:rsidRPr="004D5AD1">
        <w:rPr>
          <w:noProof/>
        </w:rPr>
        <w:t>la,</w:t>
      </w:r>
      <w:r w:rsidR="004D5AD1" w:rsidRPr="004D5AD1">
        <w:rPr>
          <w:noProof/>
        </w:rPr>
        <w:t xml:space="preserve"> z</w:t>
      </w:r>
      <w:r w:rsidR="004D5AD1">
        <w:rPr>
          <w:noProof/>
        </w:rPr>
        <w:t> </w:t>
      </w:r>
      <w:r w:rsidR="004D5AD1" w:rsidRPr="004D5AD1">
        <w:rPr>
          <w:noProof/>
        </w:rPr>
        <w:t>uwz</w:t>
      </w:r>
      <w:r w:rsidRPr="004D5AD1">
        <w:rPr>
          <w:noProof/>
        </w:rPr>
        <w:t xml:space="preserve">ględnieniem emisji pośrednich. </w:t>
      </w:r>
    </w:p>
    <w:p w14:paraId="275325B2" w14:textId="18B21AEC" w:rsidR="00BC3357" w:rsidRPr="004D5AD1" w:rsidRDefault="00BC3357" w:rsidP="00BC3357">
      <w:pPr>
        <w:pBdr>
          <w:top w:val="nil"/>
          <w:left w:val="nil"/>
          <w:bottom w:val="nil"/>
          <w:right w:val="nil"/>
          <w:between w:val="nil"/>
          <w:bar w:val="nil"/>
        </w:pBdr>
        <w:spacing w:before="0" w:after="240"/>
        <w:rPr>
          <w:noProof/>
        </w:rPr>
      </w:pPr>
      <w:r w:rsidRPr="004D5AD1">
        <w:rPr>
          <w:noProof/>
        </w:rPr>
        <w:t>Preferowanym wariantem</w:t>
      </w:r>
      <w:r w:rsidR="004D5AD1" w:rsidRPr="004D5AD1">
        <w:rPr>
          <w:noProof/>
        </w:rPr>
        <w:t xml:space="preserve"> w</w:t>
      </w:r>
      <w:r w:rsidR="004D5AD1">
        <w:rPr>
          <w:noProof/>
        </w:rPr>
        <w:t> </w:t>
      </w:r>
      <w:r w:rsidR="004D5AD1" w:rsidRPr="004D5AD1">
        <w:rPr>
          <w:noProof/>
        </w:rPr>
        <w:t>obs</w:t>
      </w:r>
      <w:r w:rsidRPr="004D5AD1">
        <w:rPr>
          <w:noProof/>
        </w:rPr>
        <w:t>zarze polityki nr</w:t>
      </w:r>
      <w:r w:rsidR="004D5AD1" w:rsidRPr="004D5AD1">
        <w:rPr>
          <w:noProof/>
        </w:rPr>
        <w:t> </w:t>
      </w:r>
      <w:r w:rsidRPr="004D5AD1">
        <w:rPr>
          <w:noProof/>
        </w:rPr>
        <w:t>1 jest nałożenie obowiązku szczegółowego (na poziomie aktywów) pomiaru</w:t>
      </w:r>
      <w:r w:rsidR="004D5AD1" w:rsidRPr="004D5AD1">
        <w:rPr>
          <w:noProof/>
        </w:rPr>
        <w:t xml:space="preserve"> i</w:t>
      </w:r>
      <w:r w:rsidR="004D5AD1">
        <w:rPr>
          <w:noProof/>
        </w:rPr>
        <w:t> </w:t>
      </w:r>
      <w:r w:rsidR="004D5AD1" w:rsidRPr="004D5AD1">
        <w:rPr>
          <w:noProof/>
        </w:rPr>
        <w:t>rap</w:t>
      </w:r>
      <w:r w:rsidRPr="004D5AD1">
        <w:rPr>
          <w:noProof/>
        </w:rPr>
        <w:t>ortowania emisji metanu</w:t>
      </w:r>
      <w:r w:rsidR="004D5AD1" w:rsidRPr="004D5AD1">
        <w:rPr>
          <w:noProof/>
        </w:rPr>
        <w:t xml:space="preserve"> z</w:t>
      </w:r>
      <w:r w:rsidR="004D5AD1">
        <w:rPr>
          <w:noProof/>
        </w:rPr>
        <w:t> </w:t>
      </w:r>
      <w:r w:rsidR="004D5AD1" w:rsidRPr="004D5AD1">
        <w:rPr>
          <w:noProof/>
        </w:rPr>
        <w:t>rop</w:t>
      </w:r>
      <w:r w:rsidRPr="004D5AD1">
        <w:rPr>
          <w:noProof/>
        </w:rPr>
        <w:t>y naftowej, gazu</w:t>
      </w:r>
      <w:r w:rsidR="004D5AD1" w:rsidRPr="004D5AD1">
        <w:rPr>
          <w:noProof/>
        </w:rPr>
        <w:t xml:space="preserve"> i</w:t>
      </w:r>
      <w:r w:rsidR="004D5AD1">
        <w:rPr>
          <w:noProof/>
        </w:rPr>
        <w:t> </w:t>
      </w:r>
      <w:r w:rsidR="004D5AD1" w:rsidRPr="004D5AD1">
        <w:rPr>
          <w:noProof/>
        </w:rPr>
        <w:t>węg</w:t>
      </w:r>
      <w:r w:rsidRPr="004D5AD1">
        <w:rPr>
          <w:noProof/>
        </w:rPr>
        <w:t>la</w:t>
      </w:r>
      <w:r w:rsidR="004D5AD1" w:rsidRPr="004D5AD1">
        <w:rPr>
          <w:noProof/>
        </w:rPr>
        <w:t xml:space="preserve"> w</w:t>
      </w:r>
      <w:r w:rsidR="004D5AD1">
        <w:rPr>
          <w:noProof/>
        </w:rPr>
        <w:t> </w:t>
      </w:r>
      <w:r w:rsidR="004D5AD1" w:rsidRPr="004D5AD1">
        <w:rPr>
          <w:noProof/>
        </w:rPr>
        <w:t>sek</w:t>
      </w:r>
      <w:r w:rsidRPr="004D5AD1">
        <w:rPr>
          <w:noProof/>
        </w:rPr>
        <w:t>torze energetycznym UE. Główna korzyść polega na tym, że poprawi to poziom raportowania takich emisji</w:t>
      </w:r>
      <w:r w:rsidR="004D5AD1" w:rsidRPr="004D5AD1">
        <w:rPr>
          <w:noProof/>
        </w:rPr>
        <w:t xml:space="preserve"> i</w:t>
      </w:r>
      <w:r w:rsidR="004D5AD1">
        <w:rPr>
          <w:noProof/>
        </w:rPr>
        <w:t> </w:t>
      </w:r>
      <w:r w:rsidR="004D5AD1" w:rsidRPr="004D5AD1">
        <w:rPr>
          <w:noProof/>
        </w:rPr>
        <w:t>zwi</w:t>
      </w:r>
      <w:r w:rsidRPr="004D5AD1">
        <w:rPr>
          <w:noProof/>
        </w:rPr>
        <w:t>ększy wiedzę na temat źródeł</w:t>
      </w:r>
      <w:r w:rsidR="004D5AD1" w:rsidRPr="004D5AD1">
        <w:rPr>
          <w:noProof/>
        </w:rPr>
        <w:t xml:space="preserve"> i</w:t>
      </w:r>
      <w:r w:rsidR="004D5AD1">
        <w:rPr>
          <w:noProof/>
        </w:rPr>
        <w:t> </w:t>
      </w:r>
      <w:r w:rsidR="004D5AD1" w:rsidRPr="004D5AD1">
        <w:rPr>
          <w:noProof/>
        </w:rPr>
        <w:t>wie</w:t>
      </w:r>
      <w:r w:rsidRPr="004D5AD1">
        <w:rPr>
          <w:noProof/>
        </w:rPr>
        <w:t>lkości tych emisji, co doprowadzi do skuteczniejszej redukcji emisji powiązanych.</w:t>
      </w:r>
    </w:p>
    <w:p w14:paraId="3BD9D9E8" w14:textId="50738D2A" w:rsidR="00BC3357" w:rsidRPr="004D5AD1" w:rsidRDefault="00BC3357" w:rsidP="00BC3357">
      <w:pPr>
        <w:pBdr>
          <w:top w:val="nil"/>
          <w:left w:val="nil"/>
          <w:bottom w:val="nil"/>
          <w:right w:val="nil"/>
          <w:between w:val="nil"/>
          <w:bar w:val="nil"/>
        </w:pBdr>
        <w:spacing w:before="0" w:after="240"/>
        <w:rPr>
          <w:noProof/>
        </w:rPr>
      </w:pPr>
      <w:r w:rsidRPr="004D5AD1">
        <w:rPr>
          <w:noProof/>
        </w:rPr>
        <w:t>Obszar polityki nr</w:t>
      </w:r>
      <w:r w:rsidR="004D5AD1" w:rsidRPr="004D5AD1">
        <w:rPr>
          <w:noProof/>
        </w:rPr>
        <w:t> </w:t>
      </w:r>
      <w:r w:rsidRPr="004D5AD1">
        <w:rPr>
          <w:noProof/>
        </w:rPr>
        <w:t>2 obejmuje warianty dotyczące ograniczenia emisji metanu w UE za pomocą środków</w:t>
      </w:r>
      <w:r w:rsidR="004D5AD1" w:rsidRPr="004D5AD1">
        <w:rPr>
          <w:noProof/>
        </w:rPr>
        <w:t xml:space="preserve"> z</w:t>
      </w:r>
      <w:r w:rsidR="004D5AD1">
        <w:rPr>
          <w:noProof/>
        </w:rPr>
        <w:t> </w:t>
      </w:r>
      <w:r w:rsidR="004D5AD1" w:rsidRPr="004D5AD1">
        <w:rPr>
          <w:noProof/>
        </w:rPr>
        <w:t>zak</w:t>
      </w:r>
      <w:r w:rsidRPr="004D5AD1">
        <w:rPr>
          <w:noProof/>
        </w:rPr>
        <w:t>resu wykrywania nieszczelności</w:t>
      </w:r>
      <w:r w:rsidR="004D5AD1" w:rsidRPr="004D5AD1">
        <w:rPr>
          <w:noProof/>
        </w:rPr>
        <w:t xml:space="preserve"> i</w:t>
      </w:r>
      <w:r w:rsidR="004D5AD1">
        <w:rPr>
          <w:noProof/>
        </w:rPr>
        <w:t> </w:t>
      </w:r>
      <w:r w:rsidR="004D5AD1" w:rsidRPr="004D5AD1">
        <w:rPr>
          <w:noProof/>
        </w:rPr>
        <w:t>nap</w:t>
      </w:r>
      <w:r w:rsidRPr="004D5AD1">
        <w:rPr>
          <w:noProof/>
        </w:rPr>
        <w:t>rawy oraz ograniczeń</w:t>
      </w:r>
      <w:r w:rsidR="004D5AD1" w:rsidRPr="004D5AD1">
        <w:rPr>
          <w:noProof/>
        </w:rPr>
        <w:t xml:space="preserve"> w</w:t>
      </w:r>
      <w:r w:rsidR="004D5AD1">
        <w:rPr>
          <w:noProof/>
        </w:rPr>
        <w:t> </w:t>
      </w:r>
      <w:r w:rsidR="004D5AD1" w:rsidRPr="004D5AD1">
        <w:rPr>
          <w:noProof/>
        </w:rPr>
        <w:t>zak</w:t>
      </w:r>
      <w:r w:rsidRPr="004D5AD1">
        <w:rPr>
          <w:noProof/>
        </w:rPr>
        <w:t>resie uwalniania do atmosfery</w:t>
      </w:r>
      <w:r w:rsidR="004D5AD1" w:rsidRPr="004D5AD1">
        <w:rPr>
          <w:noProof/>
        </w:rPr>
        <w:t xml:space="preserve"> i</w:t>
      </w:r>
      <w:r w:rsidR="004D5AD1">
        <w:rPr>
          <w:noProof/>
        </w:rPr>
        <w:t> </w:t>
      </w:r>
      <w:r w:rsidR="004D5AD1" w:rsidRPr="004D5AD1">
        <w:rPr>
          <w:noProof/>
        </w:rPr>
        <w:t>spa</w:t>
      </w:r>
      <w:r w:rsidRPr="004D5AD1">
        <w:rPr>
          <w:noProof/>
        </w:rPr>
        <w:t>lania gazu</w:t>
      </w:r>
      <w:r w:rsidR="004D5AD1" w:rsidRPr="004D5AD1">
        <w:rPr>
          <w:noProof/>
        </w:rPr>
        <w:t xml:space="preserve"> w</w:t>
      </w:r>
      <w:r w:rsidR="004D5AD1">
        <w:rPr>
          <w:noProof/>
        </w:rPr>
        <w:t> </w:t>
      </w:r>
      <w:r w:rsidR="004D5AD1" w:rsidRPr="004D5AD1">
        <w:rPr>
          <w:noProof/>
        </w:rPr>
        <w:t>poc</w:t>
      </w:r>
      <w:r w:rsidRPr="004D5AD1">
        <w:rPr>
          <w:noProof/>
        </w:rPr>
        <w:t>hodni. Mają one na celu zapewnienie dalszego skutecznego ograniczania emisji metanu</w:t>
      </w:r>
      <w:r w:rsidR="004D5AD1" w:rsidRPr="004D5AD1">
        <w:rPr>
          <w:noProof/>
        </w:rPr>
        <w:t xml:space="preserve"> w</w:t>
      </w:r>
      <w:r w:rsidR="004D5AD1">
        <w:rPr>
          <w:noProof/>
        </w:rPr>
        <w:t> </w:t>
      </w:r>
      <w:r w:rsidR="004D5AD1" w:rsidRPr="004D5AD1">
        <w:rPr>
          <w:noProof/>
        </w:rPr>
        <w:t>cał</w:t>
      </w:r>
      <w:r w:rsidRPr="004D5AD1">
        <w:rPr>
          <w:noProof/>
        </w:rPr>
        <w:t>ym łańcuchu dostaw energii. Warianty te obejmują wytyczne Komisji lub obowiązkowe środki</w:t>
      </w:r>
      <w:r w:rsidR="004D5AD1" w:rsidRPr="004D5AD1">
        <w:rPr>
          <w:noProof/>
        </w:rPr>
        <w:t xml:space="preserve"> w</w:t>
      </w:r>
      <w:r w:rsidR="004D5AD1">
        <w:rPr>
          <w:noProof/>
        </w:rPr>
        <w:t> </w:t>
      </w:r>
      <w:r w:rsidR="004D5AD1" w:rsidRPr="004D5AD1">
        <w:rPr>
          <w:noProof/>
        </w:rPr>
        <w:t>zak</w:t>
      </w:r>
      <w:r w:rsidRPr="004D5AD1">
        <w:rPr>
          <w:noProof/>
        </w:rPr>
        <w:t>resie ograniczania emisji metanu</w:t>
      </w:r>
      <w:r w:rsidR="004D5AD1" w:rsidRPr="004D5AD1">
        <w:rPr>
          <w:noProof/>
        </w:rPr>
        <w:t xml:space="preserve"> w</w:t>
      </w:r>
      <w:r w:rsidR="004D5AD1">
        <w:rPr>
          <w:noProof/>
        </w:rPr>
        <w:t> </w:t>
      </w:r>
      <w:r w:rsidR="004D5AD1" w:rsidRPr="004D5AD1">
        <w:rPr>
          <w:noProof/>
        </w:rPr>
        <w:t>sek</w:t>
      </w:r>
      <w:r w:rsidRPr="004D5AD1">
        <w:rPr>
          <w:noProof/>
        </w:rPr>
        <w:t>torach ropy naftowej</w:t>
      </w:r>
      <w:r w:rsidR="004D5AD1" w:rsidRPr="004D5AD1">
        <w:rPr>
          <w:noProof/>
        </w:rPr>
        <w:t xml:space="preserve"> i</w:t>
      </w:r>
      <w:r w:rsidR="004D5AD1">
        <w:rPr>
          <w:noProof/>
        </w:rPr>
        <w:t> </w:t>
      </w:r>
      <w:r w:rsidR="004D5AD1" w:rsidRPr="004D5AD1">
        <w:rPr>
          <w:noProof/>
        </w:rPr>
        <w:t>gaz</w:t>
      </w:r>
      <w:r w:rsidRPr="004D5AD1">
        <w:rPr>
          <w:noProof/>
        </w:rPr>
        <w:t>u ziemnego, obowiązkowe środki</w:t>
      </w:r>
      <w:r w:rsidR="004D5AD1" w:rsidRPr="004D5AD1">
        <w:rPr>
          <w:noProof/>
        </w:rPr>
        <w:t xml:space="preserve"> w</w:t>
      </w:r>
      <w:r w:rsidR="004D5AD1">
        <w:rPr>
          <w:noProof/>
        </w:rPr>
        <w:t> </w:t>
      </w:r>
      <w:r w:rsidR="004D5AD1" w:rsidRPr="004D5AD1">
        <w:rPr>
          <w:noProof/>
        </w:rPr>
        <w:t>zak</w:t>
      </w:r>
      <w:r w:rsidRPr="004D5AD1">
        <w:rPr>
          <w:noProof/>
        </w:rPr>
        <w:t>resie ograniczania emisji metanu</w:t>
      </w:r>
      <w:r w:rsidR="004D5AD1" w:rsidRPr="004D5AD1">
        <w:rPr>
          <w:noProof/>
        </w:rPr>
        <w:t xml:space="preserve"> w</w:t>
      </w:r>
      <w:r w:rsidR="004D5AD1">
        <w:rPr>
          <w:noProof/>
        </w:rPr>
        <w:t> </w:t>
      </w:r>
      <w:r w:rsidR="004D5AD1" w:rsidRPr="004D5AD1">
        <w:rPr>
          <w:noProof/>
        </w:rPr>
        <w:t>sek</w:t>
      </w:r>
      <w:r w:rsidRPr="004D5AD1">
        <w:rPr>
          <w:noProof/>
        </w:rPr>
        <w:t>torach ropy naftowej, gazu ziemnego</w:t>
      </w:r>
      <w:r w:rsidR="004D5AD1" w:rsidRPr="004D5AD1">
        <w:rPr>
          <w:noProof/>
        </w:rPr>
        <w:t xml:space="preserve"> i</w:t>
      </w:r>
      <w:r w:rsidR="004D5AD1">
        <w:rPr>
          <w:noProof/>
        </w:rPr>
        <w:t> </w:t>
      </w:r>
      <w:r w:rsidR="004D5AD1" w:rsidRPr="004D5AD1">
        <w:rPr>
          <w:noProof/>
        </w:rPr>
        <w:t>węg</w:t>
      </w:r>
      <w:r w:rsidRPr="004D5AD1">
        <w:rPr>
          <w:noProof/>
        </w:rPr>
        <w:t>la,</w:t>
      </w:r>
      <w:r w:rsidR="004D5AD1" w:rsidRPr="004D5AD1">
        <w:rPr>
          <w:noProof/>
        </w:rPr>
        <w:t xml:space="preserve"> a</w:t>
      </w:r>
      <w:r w:rsidR="004D5AD1">
        <w:rPr>
          <w:noProof/>
        </w:rPr>
        <w:t> </w:t>
      </w:r>
      <w:r w:rsidR="004D5AD1" w:rsidRPr="004D5AD1">
        <w:rPr>
          <w:noProof/>
        </w:rPr>
        <w:t>tak</w:t>
      </w:r>
      <w:r w:rsidRPr="004D5AD1">
        <w:rPr>
          <w:noProof/>
        </w:rPr>
        <w:t>że emisji pośrednich, oraz środek ustawodawczy mający na celu osiągnięcie określonej redukcji emisji metanu poprzez wymóg</w:t>
      </w:r>
      <w:r w:rsidR="004D5AD1" w:rsidRPr="004D5AD1">
        <w:rPr>
          <w:noProof/>
        </w:rPr>
        <w:t xml:space="preserve"> w</w:t>
      </w:r>
      <w:r w:rsidR="004D5AD1">
        <w:rPr>
          <w:noProof/>
        </w:rPr>
        <w:t> </w:t>
      </w:r>
      <w:r w:rsidR="004D5AD1" w:rsidRPr="004D5AD1">
        <w:rPr>
          <w:noProof/>
        </w:rPr>
        <w:t>zak</w:t>
      </w:r>
      <w:r w:rsidRPr="004D5AD1">
        <w:rPr>
          <w:noProof/>
        </w:rPr>
        <w:t xml:space="preserve">resie wydajności. </w:t>
      </w:r>
    </w:p>
    <w:p w14:paraId="2F89749F" w14:textId="202CE42F" w:rsidR="00BC3357" w:rsidRPr="004D5AD1" w:rsidRDefault="00BC3357" w:rsidP="00BC3357">
      <w:pPr>
        <w:pBdr>
          <w:top w:val="nil"/>
          <w:left w:val="nil"/>
          <w:bottom w:val="nil"/>
          <w:right w:val="nil"/>
          <w:between w:val="nil"/>
          <w:bar w:val="nil"/>
        </w:pBdr>
        <w:spacing w:before="0" w:after="240"/>
        <w:rPr>
          <w:noProof/>
        </w:rPr>
      </w:pPr>
      <w:r w:rsidRPr="004D5AD1">
        <w:rPr>
          <w:noProof/>
        </w:rPr>
        <w:t>Preferowanym wariantem</w:t>
      </w:r>
      <w:r w:rsidR="004D5AD1" w:rsidRPr="004D5AD1">
        <w:rPr>
          <w:noProof/>
        </w:rPr>
        <w:t xml:space="preserve"> w</w:t>
      </w:r>
      <w:r w:rsidR="004D5AD1">
        <w:rPr>
          <w:noProof/>
        </w:rPr>
        <w:t> </w:t>
      </w:r>
      <w:r w:rsidR="004D5AD1" w:rsidRPr="004D5AD1">
        <w:rPr>
          <w:noProof/>
        </w:rPr>
        <w:t>obs</w:t>
      </w:r>
      <w:r w:rsidRPr="004D5AD1">
        <w:rPr>
          <w:noProof/>
        </w:rPr>
        <w:t>zarze polityki nr</w:t>
      </w:r>
      <w:r w:rsidR="004D5AD1" w:rsidRPr="004D5AD1">
        <w:rPr>
          <w:noProof/>
        </w:rPr>
        <w:t> </w:t>
      </w:r>
      <w:r w:rsidRPr="004D5AD1">
        <w:rPr>
          <w:noProof/>
        </w:rPr>
        <w:t>2 jest nałożenie obowiązków ograniczenia emisji metanu</w:t>
      </w:r>
      <w:r w:rsidR="004D5AD1" w:rsidRPr="004D5AD1">
        <w:rPr>
          <w:noProof/>
        </w:rPr>
        <w:t xml:space="preserve"> z</w:t>
      </w:r>
      <w:r w:rsidR="004D5AD1">
        <w:rPr>
          <w:noProof/>
        </w:rPr>
        <w:t> </w:t>
      </w:r>
      <w:r w:rsidR="004D5AD1" w:rsidRPr="004D5AD1">
        <w:rPr>
          <w:noProof/>
        </w:rPr>
        <w:t>rop</w:t>
      </w:r>
      <w:r w:rsidRPr="004D5AD1">
        <w:rPr>
          <w:noProof/>
        </w:rPr>
        <w:t>y naftowej, gazu</w:t>
      </w:r>
      <w:r w:rsidR="004D5AD1" w:rsidRPr="004D5AD1">
        <w:rPr>
          <w:noProof/>
        </w:rPr>
        <w:t xml:space="preserve"> i</w:t>
      </w:r>
      <w:r w:rsidR="004D5AD1">
        <w:rPr>
          <w:noProof/>
        </w:rPr>
        <w:t> </w:t>
      </w:r>
      <w:r w:rsidR="004D5AD1" w:rsidRPr="004D5AD1">
        <w:rPr>
          <w:noProof/>
        </w:rPr>
        <w:t>węg</w:t>
      </w:r>
      <w:r w:rsidRPr="004D5AD1">
        <w:rPr>
          <w:noProof/>
        </w:rPr>
        <w:t>la</w:t>
      </w:r>
      <w:r w:rsidR="004D5AD1" w:rsidRPr="004D5AD1">
        <w:rPr>
          <w:noProof/>
        </w:rPr>
        <w:t xml:space="preserve"> w</w:t>
      </w:r>
      <w:r w:rsidR="004D5AD1">
        <w:rPr>
          <w:noProof/>
        </w:rPr>
        <w:t> </w:t>
      </w:r>
      <w:r w:rsidR="004D5AD1" w:rsidRPr="004D5AD1">
        <w:rPr>
          <w:noProof/>
        </w:rPr>
        <w:t>sek</w:t>
      </w:r>
      <w:r w:rsidRPr="004D5AD1">
        <w:rPr>
          <w:noProof/>
        </w:rPr>
        <w:t>torze energetycznym UE przy użyciu środków</w:t>
      </w:r>
      <w:r w:rsidR="004D5AD1" w:rsidRPr="004D5AD1">
        <w:rPr>
          <w:noProof/>
        </w:rPr>
        <w:t xml:space="preserve"> z</w:t>
      </w:r>
      <w:r w:rsidR="004D5AD1">
        <w:rPr>
          <w:noProof/>
        </w:rPr>
        <w:t> </w:t>
      </w:r>
      <w:r w:rsidR="004D5AD1" w:rsidRPr="004D5AD1">
        <w:rPr>
          <w:noProof/>
        </w:rPr>
        <w:t>zak</w:t>
      </w:r>
      <w:r w:rsidRPr="004D5AD1">
        <w:rPr>
          <w:noProof/>
        </w:rPr>
        <w:t>resu wykrywania nieszczelności</w:t>
      </w:r>
      <w:r w:rsidR="004D5AD1" w:rsidRPr="004D5AD1">
        <w:rPr>
          <w:noProof/>
        </w:rPr>
        <w:t xml:space="preserve"> i</w:t>
      </w:r>
      <w:r w:rsidR="004D5AD1">
        <w:rPr>
          <w:noProof/>
        </w:rPr>
        <w:t> </w:t>
      </w:r>
      <w:r w:rsidR="004D5AD1" w:rsidRPr="004D5AD1">
        <w:rPr>
          <w:noProof/>
        </w:rPr>
        <w:t>nap</w:t>
      </w:r>
      <w:r w:rsidRPr="004D5AD1">
        <w:rPr>
          <w:noProof/>
        </w:rPr>
        <w:t>rawy oraz zakazanie uwalniania do atmosfery</w:t>
      </w:r>
      <w:r w:rsidR="004D5AD1" w:rsidRPr="004D5AD1">
        <w:rPr>
          <w:noProof/>
        </w:rPr>
        <w:t xml:space="preserve"> i</w:t>
      </w:r>
      <w:r w:rsidR="004D5AD1">
        <w:rPr>
          <w:noProof/>
        </w:rPr>
        <w:t> </w:t>
      </w:r>
      <w:r w:rsidR="004D5AD1" w:rsidRPr="004D5AD1">
        <w:rPr>
          <w:noProof/>
        </w:rPr>
        <w:t>spa</w:t>
      </w:r>
      <w:r w:rsidRPr="004D5AD1">
        <w:rPr>
          <w:noProof/>
        </w:rPr>
        <w:t>lania gazu</w:t>
      </w:r>
      <w:r w:rsidR="004D5AD1" w:rsidRPr="004D5AD1">
        <w:rPr>
          <w:noProof/>
        </w:rPr>
        <w:t xml:space="preserve"> w</w:t>
      </w:r>
      <w:r w:rsidR="004D5AD1">
        <w:rPr>
          <w:noProof/>
        </w:rPr>
        <w:t> </w:t>
      </w:r>
      <w:r w:rsidR="004D5AD1" w:rsidRPr="004D5AD1">
        <w:rPr>
          <w:noProof/>
        </w:rPr>
        <w:t>poc</w:t>
      </w:r>
      <w:r w:rsidRPr="004D5AD1">
        <w:rPr>
          <w:noProof/>
        </w:rPr>
        <w:t>hodni. Doprowadzi to do większej redukcji emisji metanu</w:t>
      </w:r>
      <w:r w:rsidR="004D5AD1" w:rsidRPr="004D5AD1">
        <w:rPr>
          <w:noProof/>
        </w:rPr>
        <w:t xml:space="preserve"> w</w:t>
      </w:r>
      <w:r w:rsidR="004D5AD1">
        <w:rPr>
          <w:noProof/>
        </w:rPr>
        <w:t> </w:t>
      </w:r>
      <w:r w:rsidR="004D5AD1" w:rsidRPr="004D5AD1">
        <w:rPr>
          <w:noProof/>
        </w:rPr>
        <w:t>por</w:t>
      </w:r>
      <w:r w:rsidRPr="004D5AD1">
        <w:rPr>
          <w:noProof/>
        </w:rPr>
        <w:t>ównaniu</w:t>
      </w:r>
      <w:r w:rsidR="004D5AD1" w:rsidRPr="004D5AD1">
        <w:rPr>
          <w:noProof/>
        </w:rPr>
        <w:t xml:space="preserve"> z</w:t>
      </w:r>
      <w:r w:rsidR="004D5AD1">
        <w:rPr>
          <w:noProof/>
        </w:rPr>
        <w:t> </w:t>
      </w:r>
      <w:r w:rsidR="004D5AD1" w:rsidRPr="004D5AD1">
        <w:rPr>
          <w:noProof/>
        </w:rPr>
        <w:t>dot</w:t>
      </w:r>
      <w:r w:rsidRPr="004D5AD1">
        <w:rPr>
          <w:noProof/>
        </w:rPr>
        <w:t>ychczasowym scenariuszem postępowania, co przyniesie powiązane korzyści dla środowiska</w:t>
      </w:r>
      <w:r w:rsidR="004D5AD1" w:rsidRPr="004D5AD1">
        <w:rPr>
          <w:noProof/>
        </w:rPr>
        <w:t xml:space="preserve"> i</w:t>
      </w:r>
      <w:r w:rsidR="004D5AD1">
        <w:rPr>
          <w:noProof/>
        </w:rPr>
        <w:t> </w:t>
      </w:r>
      <w:r w:rsidR="004D5AD1" w:rsidRPr="004D5AD1">
        <w:rPr>
          <w:noProof/>
        </w:rPr>
        <w:t>kor</w:t>
      </w:r>
      <w:r w:rsidRPr="004D5AD1">
        <w:rPr>
          <w:noProof/>
        </w:rPr>
        <w:t>zyści społeczne</w:t>
      </w:r>
      <w:r w:rsidR="004D5AD1" w:rsidRPr="004D5AD1">
        <w:rPr>
          <w:noProof/>
        </w:rPr>
        <w:t xml:space="preserve"> w</w:t>
      </w:r>
      <w:r w:rsidR="004D5AD1">
        <w:rPr>
          <w:noProof/>
        </w:rPr>
        <w:t> </w:t>
      </w:r>
      <w:r w:rsidR="004D5AD1" w:rsidRPr="004D5AD1">
        <w:rPr>
          <w:noProof/>
        </w:rPr>
        <w:t>pos</w:t>
      </w:r>
      <w:r w:rsidRPr="004D5AD1">
        <w:rPr>
          <w:noProof/>
        </w:rPr>
        <w:t>taci spowolnienia zmiany klimatu</w:t>
      </w:r>
      <w:r w:rsidR="004D5AD1" w:rsidRPr="004D5AD1">
        <w:rPr>
          <w:noProof/>
        </w:rPr>
        <w:t xml:space="preserve"> i</w:t>
      </w:r>
      <w:r w:rsidR="004D5AD1">
        <w:rPr>
          <w:noProof/>
        </w:rPr>
        <w:t> </w:t>
      </w:r>
      <w:r w:rsidR="004D5AD1" w:rsidRPr="004D5AD1">
        <w:rPr>
          <w:noProof/>
        </w:rPr>
        <w:t>zmn</w:t>
      </w:r>
      <w:r w:rsidRPr="004D5AD1">
        <w:rPr>
          <w:noProof/>
        </w:rPr>
        <w:t>iejszenia zanieczyszczenia powietrza.</w:t>
      </w:r>
    </w:p>
    <w:p w14:paraId="474BBB59" w14:textId="0923F486" w:rsidR="00BC3357" w:rsidRPr="004D5AD1" w:rsidRDefault="00BC3357" w:rsidP="00BC3357">
      <w:pPr>
        <w:pBdr>
          <w:top w:val="nil"/>
          <w:left w:val="nil"/>
          <w:bottom w:val="nil"/>
          <w:right w:val="nil"/>
          <w:between w:val="nil"/>
          <w:bar w:val="nil"/>
        </w:pBdr>
        <w:spacing w:before="0" w:after="240"/>
        <w:rPr>
          <w:noProof/>
        </w:rPr>
      </w:pPr>
      <w:r w:rsidRPr="004D5AD1">
        <w:rPr>
          <w:noProof/>
        </w:rPr>
        <w:t>Obszar polityki nr</w:t>
      </w:r>
      <w:r w:rsidR="004D5AD1" w:rsidRPr="004D5AD1">
        <w:rPr>
          <w:noProof/>
        </w:rPr>
        <w:t> </w:t>
      </w:r>
      <w:r w:rsidRPr="004D5AD1">
        <w:rPr>
          <w:noProof/>
        </w:rPr>
        <w:t>3 zawiera warianty mające na celu redukcję emisji metanu związanych</w:t>
      </w:r>
      <w:r w:rsidR="004D5AD1" w:rsidRPr="004D5AD1">
        <w:rPr>
          <w:noProof/>
        </w:rPr>
        <w:t xml:space="preserve"> z</w:t>
      </w:r>
      <w:r w:rsidR="004D5AD1">
        <w:rPr>
          <w:noProof/>
        </w:rPr>
        <w:t> </w:t>
      </w:r>
      <w:r w:rsidR="004D5AD1" w:rsidRPr="004D5AD1">
        <w:rPr>
          <w:noProof/>
        </w:rPr>
        <w:t>imp</w:t>
      </w:r>
      <w:r w:rsidRPr="004D5AD1">
        <w:rPr>
          <w:noProof/>
        </w:rPr>
        <w:t>ortowaną energią pochodzącą</w:t>
      </w:r>
      <w:r w:rsidR="004D5AD1" w:rsidRPr="004D5AD1">
        <w:rPr>
          <w:noProof/>
        </w:rPr>
        <w:t xml:space="preserve"> z</w:t>
      </w:r>
      <w:r w:rsidR="004D5AD1">
        <w:rPr>
          <w:noProof/>
        </w:rPr>
        <w:t> </w:t>
      </w:r>
      <w:r w:rsidR="004D5AD1" w:rsidRPr="004D5AD1">
        <w:rPr>
          <w:noProof/>
        </w:rPr>
        <w:t>pal</w:t>
      </w:r>
      <w:r w:rsidRPr="004D5AD1">
        <w:rPr>
          <w:noProof/>
        </w:rPr>
        <w:t>iw kopalnych. Obejmuje warianty dotyczące pomiaru, raportowania</w:t>
      </w:r>
      <w:r w:rsidR="004D5AD1" w:rsidRPr="004D5AD1">
        <w:rPr>
          <w:noProof/>
        </w:rPr>
        <w:t xml:space="preserve"> i</w:t>
      </w:r>
      <w:r w:rsidR="004D5AD1">
        <w:rPr>
          <w:noProof/>
        </w:rPr>
        <w:t> </w:t>
      </w:r>
      <w:r w:rsidR="004D5AD1" w:rsidRPr="004D5AD1">
        <w:rPr>
          <w:noProof/>
        </w:rPr>
        <w:t>ogr</w:t>
      </w:r>
      <w:r w:rsidRPr="004D5AD1">
        <w:rPr>
          <w:noProof/>
        </w:rPr>
        <w:t>aniczania emisji metanu związanych ze zużyciem paliw kopalnych w UE, lecz występujących poza jej granicami,</w:t>
      </w:r>
      <w:r w:rsidR="004D5AD1" w:rsidRPr="004D5AD1">
        <w:rPr>
          <w:noProof/>
        </w:rPr>
        <w:t xml:space="preserve"> w</w:t>
      </w:r>
      <w:r w:rsidR="004D5AD1">
        <w:rPr>
          <w:noProof/>
        </w:rPr>
        <w:t> </w:t>
      </w:r>
      <w:r w:rsidR="004D5AD1" w:rsidRPr="004D5AD1">
        <w:rPr>
          <w:noProof/>
        </w:rPr>
        <w:t>tym</w:t>
      </w:r>
      <w:r w:rsidRPr="004D5AD1">
        <w:rPr>
          <w:noProof/>
        </w:rPr>
        <w:t xml:space="preserve"> wykorzystywanie działań dyplomatycznych</w:t>
      </w:r>
      <w:r w:rsidR="004D5AD1" w:rsidRPr="004D5AD1">
        <w:rPr>
          <w:noProof/>
        </w:rPr>
        <w:t xml:space="preserve"> i</w:t>
      </w:r>
      <w:r w:rsidR="004D5AD1">
        <w:rPr>
          <w:noProof/>
        </w:rPr>
        <w:t> </w:t>
      </w:r>
      <w:r w:rsidR="004D5AD1" w:rsidRPr="004D5AD1">
        <w:rPr>
          <w:noProof/>
        </w:rPr>
        <w:t>nar</w:t>
      </w:r>
      <w:r w:rsidRPr="004D5AD1">
        <w:rPr>
          <w:noProof/>
        </w:rPr>
        <w:t>zędzi zapewniania przejrzystości, obowiązkowe pomiary, raportowanie</w:t>
      </w:r>
      <w:r w:rsidR="004D5AD1" w:rsidRPr="004D5AD1">
        <w:rPr>
          <w:noProof/>
        </w:rPr>
        <w:t xml:space="preserve"> i</w:t>
      </w:r>
      <w:r w:rsidR="004D5AD1">
        <w:rPr>
          <w:noProof/>
        </w:rPr>
        <w:t> </w:t>
      </w:r>
      <w:r w:rsidR="004D5AD1" w:rsidRPr="004D5AD1">
        <w:rPr>
          <w:noProof/>
        </w:rPr>
        <w:t>ogr</w:t>
      </w:r>
      <w:r w:rsidRPr="004D5AD1">
        <w:rPr>
          <w:noProof/>
        </w:rPr>
        <w:t>aniczanie emisji wszystkich emisji metanu pochodzących</w:t>
      </w:r>
      <w:r w:rsidR="004D5AD1" w:rsidRPr="004D5AD1">
        <w:rPr>
          <w:noProof/>
        </w:rPr>
        <w:t xml:space="preserve"> z</w:t>
      </w:r>
      <w:r w:rsidR="004D5AD1">
        <w:rPr>
          <w:noProof/>
        </w:rPr>
        <w:t> </w:t>
      </w:r>
      <w:r w:rsidR="004D5AD1" w:rsidRPr="004D5AD1">
        <w:rPr>
          <w:noProof/>
        </w:rPr>
        <w:t>ene</w:t>
      </w:r>
      <w:r w:rsidRPr="004D5AD1">
        <w:rPr>
          <w:noProof/>
        </w:rPr>
        <w:t>rgii</w:t>
      </w:r>
      <w:r w:rsidR="004D5AD1" w:rsidRPr="004D5AD1">
        <w:rPr>
          <w:noProof/>
        </w:rPr>
        <w:t xml:space="preserve"> z</w:t>
      </w:r>
      <w:r w:rsidR="004D5AD1">
        <w:rPr>
          <w:noProof/>
        </w:rPr>
        <w:t> </w:t>
      </w:r>
      <w:r w:rsidR="004D5AD1" w:rsidRPr="004D5AD1">
        <w:rPr>
          <w:noProof/>
        </w:rPr>
        <w:t>pal</w:t>
      </w:r>
      <w:r w:rsidRPr="004D5AD1">
        <w:rPr>
          <w:noProof/>
        </w:rPr>
        <w:t>iw kopalnych zużywanej w UE</w:t>
      </w:r>
      <w:r w:rsidR="004D5AD1" w:rsidRPr="004D5AD1">
        <w:rPr>
          <w:noProof/>
        </w:rPr>
        <w:t xml:space="preserve"> w</w:t>
      </w:r>
      <w:r w:rsidR="004D5AD1">
        <w:rPr>
          <w:noProof/>
        </w:rPr>
        <w:t> </w:t>
      </w:r>
      <w:r w:rsidR="004D5AD1" w:rsidRPr="004D5AD1">
        <w:rPr>
          <w:noProof/>
        </w:rPr>
        <w:t>cał</w:t>
      </w:r>
      <w:r w:rsidRPr="004D5AD1">
        <w:rPr>
          <w:noProof/>
        </w:rPr>
        <w:t>ym łańcuchu wartości, utworzenie bazy danych zapewniającej przejrzystość</w:t>
      </w:r>
      <w:r w:rsidR="004D5AD1" w:rsidRPr="004D5AD1">
        <w:rPr>
          <w:noProof/>
        </w:rPr>
        <w:t xml:space="preserve"> w</w:t>
      </w:r>
      <w:r w:rsidR="004D5AD1">
        <w:rPr>
          <w:noProof/>
        </w:rPr>
        <w:t> </w:t>
      </w:r>
      <w:r w:rsidR="004D5AD1" w:rsidRPr="004D5AD1">
        <w:rPr>
          <w:noProof/>
        </w:rPr>
        <w:t>zak</w:t>
      </w:r>
      <w:r w:rsidRPr="004D5AD1">
        <w:rPr>
          <w:noProof/>
        </w:rPr>
        <w:t>resie emisji metanu oraz narzędzia do monitorowania wysokich emisji metanu na świecie,</w:t>
      </w:r>
      <w:r w:rsidR="004D5AD1" w:rsidRPr="004D5AD1">
        <w:rPr>
          <w:noProof/>
        </w:rPr>
        <w:t xml:space="preserve"> a</w:t>
      </w:r>
      <w:r w:rsidR="004D5AD1">
        <w:rPr>
          <w:noProof/>
        </w:rPr>
        <w:t> </w:t>
      </w:r>
      <w:r w:rsidR="004D5AD1" w:rsidRPr="004D5AD1">
        <w:rPr>
          <w:noProof/>
        </w:rPr>
        <w:t>tak</w:t>
      </w:r>
      <w:r w:rsidRPr="004D5AD1">
        <w:rPr>
          <w:noProof/>
        </w:rPr>
        <w:t>że obowiązek osiągnięcia określonej wielkości redukcji emisji metanu mający zastosowanie do całej energii pochodzącej</w:t>
      </w:r>
      <w:r w:rsidR="004D5AD1" w:rsidRPr="004D5AD1">
        <w:rPr>
          <w:noProof/>
        </w:rPr>
        <w:t xml:space="preserve"> z</w:t>
      </w:r>
      <w:r w:rsidR="004D5AD1">
        <w:rPr>
          <w:noProof/>
        </w:rPr>
        <w:t> </w:t>
      </w:r>
      <w:r w:rsidR="004D5AD1" w:rsidRPr="004D5AD1">
        <w:rPr>
          <w:noProof/>
        </w:rPr>
        <w:t>pal</w:t>
      </w:r>
      <w:r w:rsidRPr="004D5AD1">
        <w:rPr>
          <w:noProof/>
        </w:rPr>
        <w:t>iw kopalnych zużywanej w UE, obejmujący cały łańcuch wartości.</w:t>
      </w:r>
    </w:p>
    <w:p w14:paraId="3F5F1907" w14:textId="0F79AC9C"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Preferowanym wariantem</w:t>
      </w:r>
      <w:r w:rsidR="004D5AD1" w:rsidRPr="004D5AD1">
        <w:rPr>
          <w:noProof/>
        </w:rPr>
        <w:t xml:space="preserve"> w</w:t>
      </w:r>
      <w:r w:rsidR="004D5AD1">
        <w:rPr>
          <w:noProof/>
        </w:rPr>
        <w:t> </w:t>
      </w:r>
      <w:r w:rsidR="004D5AD1" w:rsidRPr="004D5AD1">
        <w:rPr>
          <w:noProof/>
        </w:rPr>
        <w:t>obs</w:t>
      </w:r>
      <w:r w:rsidRPr="004D5AD1">
        <w:rPr>
          <w:noProof/>
        </w:rPr>
        <w:t>zarze polityki nr</w:t>
      </w:r>
      <w:r w:rsidR="004D5AD1" w:rsidRPr="004D5AD1">
        <w:rPr>
          <w:noProof/>
        </w:rPr>
        <w:t> </w:t>
      </w:r>
      <w:r w:rsidRPr="004D5AD1">
        <w:rPr>
          <w:noProof/>
        </w:rPr>
        <w:t>3 jest przedstawienie różnych instrumentów służących udoskonaleniu informacji na temat źródeł emisji metanu pochodzących</w:t>
      </w:r>
      <w:r w:rsidR="004D5AD1" w:rsidRPr="004D5AD1">
        <w:rPr>
          <w:noProof/>
        </w:rPr>
        <w:t xml:space="preserve"> z</w:t>
      </w:r>
      <w:r w:rsidR="004D5AD1">
        <w:rPr>
          <w:noProof/>
        </w:rPr>
        <w:t> </w:t>
      </w:r>
      <w:r w:rsidR="004D5AD1" w:rsidRPr="004D5AD1">
        <w:rPr>
          <w:noProof/>
        </w:rPr>
        <w:t>prz</w:t>
      </w:r>
      <w:r w:rsidRPr="004D5AD1">
        <w:rPr>
          <w:noProof/>
        </w:rPr>
        <w:t>edsiębiorstw eksportujących do UE energię pochodzącą</w:t>
      </w:r>
      <w:r w:rsidR="004D5AD1" w:rsidRPr="004D5AD1">
        <w:rPr>
          <w:noProof/>
        </w:rPr>
        <w:t xml:space="preserve"> z</w:t>
      </w:r>
      <w:r w:rsidR="004D5AD1">
        <w:rPr>
          <w:noProof/>
        </w:rPr>
        <w:t> </w:t>
      </w:r>
      <w:r w:rsidR="004D5AD1" w:rsidRPr="004D5AD1">
        <w:rPr>
          <w:noProof/>
        </w:rPr>
        <w:t>pal</w:t>
      </w:r>
      <w:r w:rsidRPr="004D5AD1">
        <w:rPr>
          <w:noProof/>
        </w:rPr>
        <w:t>iw kopalnych,</w:t>
      </w:r>
      <w:r w:rsidR="004D5AD1" w:rsidRPr="004D5AD1">
        <w:rPr>
          <w:noProof/>
        </w:rPr>
        <w:t xml:space="preserve"> a</w:t>
      </w:r>
      <w:r w:rsidR="004D5AD1">
        <w:rPr>
          <w:noProof/>
        </w:rPr>
        <w:t> </w:t>
      </w:r>
      <w:r w:rsidR="004D5AD1" w:rsidRPr="004D5AD1">
        <w:rPr>
          <w:noProof/>
        </w:rPr>
        <w:t>tak</w:t>
      </w:r>
      <w:r w:rsidRPr="004D5AD1">
        <w:rPr>
          <w:noProof/>
        </w:rPr>
        <w:t>że zachęt dla krajów do redukcji emisji. Podobnie jak</w:t>
      </w:r>
      <w:r w:rsidR="004D5AD1" w:rsidRPr="004D5AD1">
        <w:rPr>
          <w:noProof/>
        </w:rPr>
        <w:t xml:space="preserve"> w</w:t>
      </w:r>
      <w:r w:rsidR="004D5AD1">
        <w:rPr>
          <w:noProof/>
        </w:rPr>
        <w:t> </w:t>
      </w:r>
      <w:r w:rsidR="004D5AD1" w:rsidRPr="004D5AD1">
        <w:rPr>
          <w:noProof/>
        </w:rPr>
        <w:t>prz</w:t>
      </w:r>
      <w:r w:rsidRPr="004D5AD1">
        <w:rPr>
          <w:noProof/>
        </w:rPr>
        <w:t>ypadku obszaru polityki nr</w:t>
      </w:r>
      <w:r w:rsidR="004D5AD1" w:rsidRPr="004D5AD1">
        <w:rPr>
          <w:noProof/>
        </w:rPr>
        <w:t> </w:t>
      </w:r>
      <w:r w:rsidRPr="004D5AD1">
        <w:rPr>
          <w:noProof/>
        </w:rPr>
        <w:t>2 redukcja globalnych emisji metanu przyniesie UE korzyści dla środowiska</w:t>
      </w:r>
      <w:r w:rsidR="004D5AD1" w:rsidRPr="004D5AD1">
        <w:rPr>
          <w:noProof/>
        </w:rPr>
        <w:t xml:space="preserve"> i</w:t>
      </w:r>
      <w:r w:rsidR="004D5AD1">
        <w:rPr>
          <w:noProof/>
        </w:rPr>
        <w:t> </w:t>
      </w:r>
      <w:r w:rsidR="004D5AD1" w:rsidRPr="004D5AD1">
        <w:rPr>
          <w:noProof/>
        </w:rPr>
        <w:t>kor</w:t>
      </w:r>
      <w:r w:rsidRPr="004D5AD1">
        <w:rPr>
          <w:noProof/>
        </w:rPr>
        <w:t>zyści społeczne,</w:t>
      </w:r>
      <w:r w:rsidR="004D5AD1" w:rsidRPr="004D5AD1">
        <w:rPr>
          <w:noProof/>
        </w:rPr>
        <w:t xml:space="preserve"> w</w:t>
      </w:r>
      <w:r w:rsidR="004D5AD1">
        <w:rPr>
          <w:noProof/>
        </w:rPr>
        <w:t> </w:t>
      </w:r>
      <w:r w:rsidR="004D5AD1" w:rsidRPr="004D5AD1">
        <w:rPr>
          <w:noProof/>
        </w:rPr>
        <w:t>szc</w:t>
      </w:r>
      <w:r w:rsidRPr="004D5AD1">
        <w:rPr>
          <w:noProof/>
        </w:rPr>
        <w:t>zególności</w:t>
      </w:r>
      <w:r w:rsidR="004D5AD1" w:rsidRPr="004D5AD1">
        <w:rPr>
          <w:noProof/>
        </w:rPr>
        <w:t xml:space="preserve"> w</w:t>
      </w:r>
      <w:r w:rsidR="004D5AD1">
        <w:rPr>
          <w:noProof/>
        </w:rPr>
        <w:t> </w:t>
      </w:r>
      <w:r w:rsidR="004D5AD1" w:rsidRPr="004D5AD1">
        <w:rPr>
          <w:noProof/>
        </w:rPr>
        <w:t>pos</w:t>
      </w:r>
      <w:r w:rsidRPr="004D5AD1">
        <w:rPr>
          <w:noProof/>
        </w:rPr>
        <w:t xml:space="preserve">taci spowolnienia zmiany klimatu. </w:t>
      </w:r>
    </w:p>
    <w:p w14:paraId="3E4FF743" w14:textId="77777777"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Prawa podstawowe</w:t>
      </w:r>
    </w:p>
    <w:p w14:paraId="163586D6" w14:textId="6079DE96" w:rsidR="00BC3357" w:rsidRPr="004D5AD1" w:rsidRDefault="00BC3357" w:rsidP="00BC3357">
      <w:pPr>
        <w:pBdr>
          <w:top w:val="nil"/>
          <w:left w:val="nil"/>
          <w:bottom w:val="nil"/>
          <w:right w:val="nil"/>
          <w:between w:val="nil"/>
          <w:bar w:val="nil"/>
        </w:pBdr>
        <w:spacing w:before="0" w:after="240"/>
        <w:rPr>
          <w:rFonts w:eastAsia="Arial Unicode MS"/>
          <w:noProof/>
        </w:rPr>
      </w:pPr>
      <w:r w:rsidRPr="004D5AD1">
        <w:rPr>
          <w:noProof/>
        </w:rPr>
        <w:t>Inicjatywa jest</w:t>
      </w:r>
      <w:r w:rsidR="004D5AD1" w:rsidRPr="004D5AD1">
        <w:rPr>
          <w:noProof/>
        </w:rPr>
        <w:t xml:space="preserve"> w</w:t>
      </w:r>
      <w:r w:rsidR="004D5AD1">
        <w:rPr>
          <w:noProof/>
        </w:rPr>
        <w:t> </w:t>
      </w:r>
      <w:r w:rsidR="004D5AD1" w:rsidRPr="004D5AD1">
        <w:rPr>
          <w:noProof/>
        </w:rPr>
        <w:t>peł</w:t>
      </w:r>
      <w:r w:rsidRPr="004D5AD1">
        <w:rPr>
          <w:noProof/>
        </w:rPr>
        <w:t>ni zgodna</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37 Karty praw podstawowych Unii Europejskiej, który zawiera wymóg zintegrowania wysokiego poziomu ochrony środowiska</w:t>
      </w:r>
      <w:r w:rsidR="004D5AD1" w:rsidRPr="004D5AD1">
        <w:rPr>
          <w:noProof/>
        </w:rPr>
        <w:t xml:space="preserve"> i</w:t>
      </w:r>
      <w:r w:rsidR="004D5AD1">
        <w:rPr>
          <w:noProof/>
        </w:rPr>
        <w:t> </w:t>
      </w:r>
      <w:r w:rsidR="004D5AD1" w:rsidRPr="004D5AD1">
        <w:rPr>
          <w:noProof/>
        </w:rPr>
        <w:t>pop</w:t>
      </w:r>
      <w:r w:rsidRPr="004D5AD1">
        <w:rPr>
          <w:noProof/>
        </w:rPr>
        <w:t>rawy jego jakości</w:t>
      </w:r>
      <w:r w:rsidR="004D5AD1" w:rsidRPr="004D5AD1">
        <w:rPr>
          <w:noProof/>
        </w:rPr>
        <w:t xml:space="preserve"> z</w:t>
      </w:r>
      <w:r w:rsidR="004D5AD1">
        <w:rPr>
          <w:noProof/>
        </w:rPr>
        <w:t> </w:t>
      </w:r>
      <w:r w:rsidR="004D5AD1" w:rsidRPr="004D5AD1">
        <w:rPr>
          <w:noProof/>
        </w:rPr>
        <w:t>pol</w:t>
      </w:r>
      <w:r w:rsidRPr="004D5AD1">
        <w:rPr>
          <w:noProof/>
        </w:rPr>
        <w:t>itykami Unii oraz zapewnienia ich zgodnie</w:t>
      </w:r>
      <w:r w:rsidR="004D5AD1" w:rsidRPr="004D5AD1">
        <w:rPr>
          <w:noProof/>
        </w:rPr>
        <w:t xml:space="preserve"> z</w:t>
      </w:r>
      <w:r w:rsidR="004D5AD1">
        <w:rPr>
          <w:noProof/>
        </w:rPr>
        <w:t> </w:t>
      </w:r>
      <w:r w:rsidR="004D5AD1" w:rsidRPr="004D5AD1">
        <w:rPr>
          <w:noProof/>
        </w:rPr>
        <w:t>zas</w:t>
      </w:r>
      <w:r w:rsidRPr="004D5AD1">
        <w:rPr>
          <w:noProof/>
        </w:rPr>
        <w:t>adą zrównoważonego rozwoju.</w:t>
      </w:r>
    </w:p>
    <w:p w14:paraId="1E82795D" w14:textId="77777777" w:rsidR="00BC3357" w:rsidRPr="004D5AD1" w:rsidRDefault="00BC3357" w:rsidP="00BC3357">
      <w:pPr>
        <w:pStyle w:val="ManualHeading1"/>
        <w:rPr>
          <w:noProof/>
        </w:rPr>
      </w:pPr>
      <w:r w:rsidRPr="004D5AD1">
        <w:rPr>
          <w:noProof/>
        </w:rPr>
        <w:t>4.</w:t>
      </w:r>
      <w:r w:rsidRPr="004D5AD1">
        <w:rPr>
          <w:noProof/>
        </w:rPr>
        <w:tab/>
        <w:t>WPŁYW NA BUDŻET</w:t>
      </w:r>
    </w:p>
    <w:p w14:paraId="2520B3CB" w14:textId="72AB580C" w:rsidR="00A626EC" w:rsidRPr="004D5AD1" w:rsidRDefault="00A626EC" w:rsidP="00A626EC">
      <w:pPr>
        <w:rPr>
          <w:noProof/>
          <w:sz w:val="22"/>
        </w:rPr>
      </w:pPr>
      <w:r w:rsidRPr="004D5AD1">
        <w:rPr>
          <w:noProof/>
        </w:rPr>
        <w:t>Wniosek obejmuje szereg wymogów mających wpływ na budżet. Po pierwsze wymóg, aby Agencja Unii Europejskiej ds. Współpracy Organów Regulacji Energetyki (ACER) co trzy lata ustanawiała</w:t>
      </w:r>
      <w:r w:rsidR="004D5AD1" w:rsidRPr="004D5AD1">
        <w:rPr>
          <w:noProof/>
        </w:rPr>
        <w:t xml:space="preserve"> i</w:t>
      </w:r>
      <w:r w:rsidR="004D5AD1">
        <w:rPr>
          <w:noProof/>
        </w:rPr>
        <w:t> </w:t>
      </w:r>
      <w:r w:rsidR="004D5AD1" w:rsidRPr="004D5AD1">
        <w:rPr>
          <w:noProof/>
        </w:rPr>
        <w:t>udo</w:t>
      </w:r>
      <w:r w:rsidRPr="004D5AD1">
        <w:rPr>
          <w:noProof/>
        </w:rPr>
        <w:t>stępniała publicznie zbiór wskaźników</w:t>
      </w:r>
      <w:r w:rsidR="004D5AD1" w:rsidRPr="004D5AD1">
        <w:rPr>
          <w:noProof/>
        </w:rPr>
        <w:t xml:space="preserve"> i</w:t>
      </w:r>
      <w:r w:rsidR="004D5AD1">
        <w:rPr>
          <w:noProof/>
        </w:rPr>
        <w:t> </w:t>
      </w:r>
      <w:r w:rsidR="004D5AD1" w:rsidRPr="004D5AD1">
        <w:rPr>
          <w:noProof/>
        </w:rPr>
        <w:t>odp</w:t>
      </w:r>
      <w:r w:rsidRPr="004D5AD1">
        <w:rPr>
          <w:noProof/>
        </w:rPr>
        <w:t>owiednich wartości odniesienia do porównania jednostkowych kosztów inwestycji</w:t>
      </w:r>
      <w:r w:rsidR="004D5AD1" w:rsidRPr="004D5AD1">
        <w:rPr>
          <w:noProof/>
        </w:rPr>
        <w:t xml:space="preserve"> w</w:t>
      </w:r>
      <w:r w:rsidR="004D5AD1">
        <w:rPr>
          <w:noProof/>
        </w:rPr>
        <w:t> </w:t>
      </w:r>
      <w:r w:rsidR="004D5AD1" w:rsidRPr="004D5AD1">
        <w:rPr>
          <w:noProof/>
        </w:rPr>
        <w:t>por</w:t>
      </w:r>
      <w:r w:rsidRPr="004D5AD1">
        <w:rPr>
          <w:noProof/>
        </w:rPr>
        <w:t>ównywalnych projektach związanych</w:t>
      </w:r>
      <w:r w:rsidR="004D5AD1" w:rsidRPr="004D5AD1">
        <w:rPr>
          <w:noProof/>
        </w:rPr>
        <w:t xml:space="preserve"> z</w:t>
      </w:r>
      <w:r w:rsidR="004D5AD1">
        <w:rPr>
          <w:noProof/>
        </w:rPr>
        <w:t> </w:t>
      </w:r>
      <w:r w:rsidR="004D5AD1" w:rsidRPr="004D5AD1">
        <w:rPr>
          <w:noProof/>
        </w:rPr>
        <w:t>pom</w:t>
      </w:r>
      <w:r w:rsidRPr="004D5AD1">
        <w:rPr>
          <w:noProof/>
        </w:rPr>
        <w:t>iarem, raportowaniem</w:t>
      </w:r>
      <w:r w:rsidR="004D5AD1" w:rsidRPr="004D5AD1">
        <w:rPr>
          <w:noProof/>
        </w:rPr>
        <w:t xml:space="preserve"> i</w:t>
      </w:r>
      <w:r w:rsidR="004D5AD1">
        <w:rPr>
          <w:noProof/>
        </w:rPr>
        <w:t> </w:t>
      </w:r>
      <w:r w:rsidR="004D5AD1" w:rsidRPr="004D5AD1">
        <w:rPr>
          <w:noProof/>
        </w:rPr>
        <w:t>red</w:t>
      </w:r>
      <w:r w:rsidRPr="004D5AD1">
        <w:rPr>
          <w:noProof/>
        </w:rPr>
        <w:t>ukcją emisji metanu. Chociaż do tej pory ACER nie zajmowała się kosztami operatorów sieci związanymi</w:t>
      </w:r>
      <w:r w:rsidR="004D5AD1" w:rsidRPr="004D5AD1">
        <w:rPr>
          <w:noProof/>
        </w:rPr>
        <w:t xml:space="preserve"> z</w:t>
      </w:r>
      <w:r w:rsidR="004D5AD1">
        <w:rPr>
          <w:noProof/>
        </w:rPr>
        <w:t> </w:t>
      </w:r>
      <w:r w:rsidR="004D5AD1" w:rsidRPr="004D5AD1">
        <w:rPr>
          <w:noProof/>
        </w:rPr>
        <w:t>pom</w:t>
      </w:r>
      <w:r w:rsidRPr="004D5AD1">
        <w:rPr>
          <w:noProof/>
        </w:rPr>
        <w:t>iarem, raportowaniem</w:t>
      </w:r>
      <w:r w:rsidR="004D5AD1" w:rsidRPr="004D5AD1">
        <w:rPr>
          <w:noProof/>
        </w:rPr>
        <w:t xml:space="preserve"> i</w:t>
      </w:r>
      <w:r w:rsidR="004D5AD1">
        <w:rPr>
          <w:noProof/>
        </w:rPr>
        <w:t> </w:t>
      </w:r>
      <w:r w:rsidR="004D5AD1" w:rsidRPr="004D5AD1">
        <w:rPr>
          <w:noProof/>
        </w:rPr>
        <w:t>red</w:t>
      </w:r>
      <w:r w:rsidRPr="004D5AD1">
        <w:rPr>
          <w:noProof/>
        </w:rPr>
        <w:t>ukcją emisji metanu, szacuje się, że dodatkowe zadania</w:t>
      </w:r>
      <w:r w:rsidR="004D5AD1" w:rsidRPr="004D5AD1">
        <w:rPr>
          <w:noProof/>
        </w:rPr>
        <w:t xml:space="preserve"> i</w:t>
      </w:r>
      <w:r w:rsidR="004D5AD1">
        <w:rPr>
          <w:noProof/>
        </w:rPr>
        <w:t> </w:t>
      </w:r>
      <w:r w:rsidR="004D5AD1" w:rsidRPr="004D5AD1">
        <w:rPr>
          <w:noProof/>
        </w:rPr>
        <w:t>zwi</w:t>
      </w:r>
      <w:r w:rsidRPr="004D5AD1">
        <w:rPr>
          <w:noProof/>
        </w:rPr>
        <w:t>ązany</w:t>
      </w:r>
      <w:r w:rsidR="004D5AD1" w:rsidRPr="004D5AD1">
        <w:rPr>
          <w:noProof/>
        </w:rPr>
        <w:t xml:space="preserve"> z</w:t>
      </w:r>
      <w:r w:rsidR="004D5AD1">
        <w:rPr>
          <w:noProof/>
        </w:rPr>
        <w:t> </w:t>
      </w:r>
      <w:r w:rsidR="004D5AD1" w:rsidRPr="004D5AD1">
        <w:rPr>
          <w:noProof/>
        </w:rPr>
        <w:t>nim</w:t>
      </w:r>
      <w:r w:rsidRPr="004D5AD1">
        <w:rPr>
          <w:noProof/>
        </w:rPr>
        <w:t>i nakład pracy dla ACER zostaną</w:t>
      </w:r>
      <w:r w:rsidR="004D5AD1" w:rsidRPr="004D5AD1">
        <w:rPr>
          <w:noProof/>
        </w:rPr>
        <w:t xml:space="preserve"> w</w:t>
      </w:r>
      <w:r w:rsidR="004D5AD1">
        <w:rPr>
          <w:noProof/>
        </w:rPr>
        <w:t> </w:t>
      </w:r>
      <w:r w:rsidR="004D5AD1" w:rsidRPr="004D5AD1">
        <w:rPr>
          <w:noProof/>
        </w:rPr>
        <w:t>wys</w:t>
      </w:r>
      <w:r w:rsidRPr="004D5AD1">
        <w:rPr>
          <w:noProof/>
        </w:rPr>
        <w:t>tarczającym stopniu pokryte przez 1 dodatkowy EPC.</w:t>
      </w:r>
    </w:p>
    <w:p w14:paraId="729E3761" w14:textId="0DA88F43" w:rsidR="00A626EC" w:rsidRPr="004D5AD1" w:rsidRDefault="00A626EC" w:rsidP="00A626EC">
      <w:pPr>
        <w:rPr>
          <w:noProof/>
        </w:rPr>
      </w:pPr>
      <w:r w:rsidRPr="004D5AD1">
        <w:rPr>
          <w:noProof/>
        </w:rPr>
        <w:t>Po drugie wymóg ustanowienia</w:t>
      </w:r>
      <w:r w:rsidR="004D5AD1" w:rsidRPr="004D5AD1">
        <w:rPr>
          <w:noProof/>
        </w:rPr>
        <w:t xml:space="preserve"> i</w:t>
      </w:r>
      <w:r w:rsidR="004D5AD1">
        <w:rPr>
          <w:noProof/>
        </w:rPr>
        <w:t> </w:t>
      </w:r>
      <w:r w:rsidR="004D5AD1" w:rsidRPr="004D5AD1">
        <w:rPr>
          <w:noProof/>
        </w:rPr>
        <w:t>pro</w:t>
      </w:r>
      <w:r w:rsidRPr="004D5AD1">
        <w:rPr>
          <w:noProof/>
        </w:rPr>
        <w:t>wadzenia przez Unię platformy przejrzystości</w:t>
      </w:r>
      <w:r w:rsidR="004D5AD1" w:rsidRPr="004D5AD1">
        <w:rPr>
          <w:noProof/>
        </w:rPr>
        <w:t xml:space="preserve"> w</w:t>
      </w:r>
      <w:r w:rsidR="004D5AD1">
        <w:rPr>
          <w:noProof/>
        </w:rPr>
        <w:t> </w:t>
      </w:r>
      <w:r w:rsidR="004D5AD1" w:rsidRPr="004D5AD1">
        <w:rPr>
          <w:noProof/>
        </w:rPr>
        <w:t>zak</w:t>
      </w:r>
      <w:r w:rsidRPr="004D5AD1">
        <w:rPr>
          <w:noProof/>
        </w:rPr>
        <w:t>resie emisji metanu, zawierającej informacje dotyczące importu do Unii energii pochodzącej</w:t>
      </w:r>
      <w:r w:rsidR="004D5AD1" w:rsidRPr="004D5AD1">
        <w:rPr>
          <w:noProof/>
        </w:rPr>
        <w:t xml:space="preserve"> z</w:t>
      </w:r>
      <w:r w:rsidR="004D5AD1">
        <w:rPr>
          <w:noProof/>
        </w:rPr>
        <w:t> </w:t>
      </w:r>
      <w:r w:rsidR="004D5AD1" w:rsidRPr="004D5AD1">
        <w:rPr>
          <w:noProof/>
        </w:rPr>
        <w:t>pal</w:t>
      </w:r>
      <w:r w:rsidRPr="004D5AD1">
        <w:rPr>
          <w:noProof/>
        </w:rPr>
        <w:t>iw kopalnych, aktualizowane co kwartał,</w:t>
      </w:r>
      <w:r w:rsidR="004D5AD1" w:rsidRPr="004D5AD1">
        <w:rPr>
          <w:noProof/>
        </w:rPr>
        <w:t xml:space="preserve"> a</w:t>
      </w:r>
      <w:r w:rsidR="004D5AD1">
        <w:rPr>
          <w:noProof/>
        </w:rPr>
        <w:t> </w:t>
      </w:r>
      <w:r w:rsidR="004D5AD1" w:rsidRPr="004D5AD1">
        <w:rPr>
          <w:noProof/>
        </w:rPr>
        <w:t>tak</w:t>
      </w:r>
      <w:r w:rsidRPr="004D5AD1">
        <w:rPr>
          <w:noProof/>
        </w:rPr>
        <w:t>że ustanowienia globalnego narzędzia monitorowania emisji metanu,</w:t>
      </w:r>
      <w:r w:rsidR="004D5AD1" w:rsidRPr="004D5AD1">
        <w:rPr>
          <w:noProof/>
        </w:rPr>
        <w:t xml:space="preserve"> w</w:t>
      </w:r>
      <w:r w:rsidR="004D5AD1">
        <w:rPr>
          <w:noProof/>
        </w:rPr>
        <w:t> </w:t>
      </w:r>
      <w:r w:rsidR="004D5AD1" w:rsidRPr="004D5AD1">
        <w:rPr>
          <w:noProof/>
        </w:rPr>
        <w:t>ram</w:t>
      </w:r>
      <w:r w:rsidRPr="004D5AD1">
        <w:rPr>
          <w:noProof/>
        </w:rPr>
        <w:t>ach którego regularnie publikowane będą wyniki monitorowania</w:t>
      </w:r>
      <w:r w:rsidR="004D5AD1" w:rsidRPr="004D5AD1">
        <w:rPr>
          <w:noProof/>
        </w:rPr>
        <w:t xml:space="preserve"> z</w:t>
      </w:r>
      <w:r w:rsidR="004D5AD1">
        <w:rPr>
          <w:noProof/>
        </w:rPr>
        <w:t> </w:t>
      </w:r>
      <w:r w:rsidR="004D5AD1" w:rsidRPr="004D5AD1">
        <w:rPr>
          <w:noProof/>
        </w:rPr>
        <w:t>pow</w:t>
      </w:r>
      <w:r w:rsidRPr="004D5AD1">
        <w:rPr>
          <w:noProof/>
        </w:rPr>
        <w:t>ietrza dużych emitentów metanu pochodzącego ze źródeł energii, aktualizowane co miesiąc. Szacuje się, że dodatkowe zadania</w:t>
      </w:r>
      <w:r w:rsidR="004D5AD1" w:rsidRPr="004D5AD1">
        <w:rPr>
          <w:noProof/>
        </w:rPr>
        <w:t xml:space="preserve"> i</w:t>
      </w:r>
      <w:r w:rsidR="004D5AD1">
        <w:rPr>
          <w:noProof/>
        </w:rPr>
        <w:t> </w:t>
      </w:r>
      <w:r w:rsidR="004D5AD1" w:rsidRPr="004D5AD1">
        <w:rPr>
          <w:noProof/>
        </w:rPr>
        <w:t>zwi</w:t>
      </w:r>
      <w:r w:rsidRPr="004D5AD1">
        <w:rPr>
          <w:noProof/>
        </w:rPr>
        <w:t>ązany</w:t>
      </w:r>
      <w:r w:rsidR="004D5AD1" w:rsidRPr="004D5AD1">
        <w:rPr>
          <w:noProof/>
        </w:rPr>
        <w:t xml:space="preserve"> z</w:t>
      </w:r>
      <w:r w:rsidR="004D5AD1">
        <w:rPr>
          <w:noProof/>
        </w:rPr>
        <w:t> </w:t>
      </w:r>
      <w:r w:rsidR="004D5AD1" w:rsidRPr="004D5AD1">
        <w:rPr>
          <w:noProof/>
        </w:rPr>
        <w:t>nim</w:t>
      </w:r>
      <w:r w:rsidRPr="004D5AD1">
        <w:rPr>
          <w:noProof/>
        </w:rPr>
        <w:t>i nakład pracy dla Komisji wymagają zatrudnienia dwóch dodatkowych urzędników</w:t>
      </w:r>
      <w:r w:rsidR="004D5AD1" w:rsidRPr="004D5AD1">
        <w:rPr>
          <w:noProof/>
        </w:rPr>
        <w:t xml:space="preserve"> w</w:t>
      </w:r>
      <w:r w:rsidR="004D5AD1">
        <w:rPr>
          <w:noProof/>
        </w:rPr>
        <w:t> </w:t>
      </w:r>
      <w:r w:rsidR="004D5AD1" w:rsidRPr="004D5AD1">
        <w:rPr>
          <w:noProof/>
        </w:rPr>
        <w:t>peł</w:t>
      </w:r>
      <w:r w:rsidRPr="004D5AD1">
        <w:rPr>
          <w:noProof/>
        </w:rPr>
        <w:t>nym wymiarze czasu pracy.</w:t>
      </w:r>
    </w:p>
    <w:p w14:paraId="3ABF6CC4" w14:textId="18306993" w:rsidR="00A626EC" w:rsidRPr="004D5AD1" w:rsidRDefault="00A626EC" w:rsidP="00A626EC">
      <w:pPr>
        <w:rPr>
          <w:noProof/>
        </w:rPr>
      </w:pPr>
      <w:r w:rsidRPr="004D5AD1">
        <w:rPr>
          <w:noProof/>
        </w:rPr>
        <w:t>W sekcji 3 oceny skutków finansowych regulacji opisano wpływ wniosku na budżet oraz kwestie związane</w:t>
      </w:r>
      <w:r w:rsidR="004D5AD1" w:rsidRPr="004D5AD1">
        <w:rPr>
          <w:noProof/>
        </w:rPr>
        <w:t xml:space="preserve"> z</w:t>
      </w:r>
      <w:r w:rsidR="004D5AD1">
        <w:rPr>
          <w:noProof/>
        </w:rPr>
        <w:t> </w:t>
      </w:r>
      <w:r w:rsidR="004D5AD1" w:rsidRPr="004D5AD1">
        <w:rPr>
          <w:noProof/>
        </w:rPr>
        <w:t>wym</w:t>
      </w:r>
      <w:r w:rsidRPr="004D5AD1">
        <w:rPr>
          <w:noProof/>
        </w:rPr>
        <w:t>aganymi zasobami ludzkimi</w:t>
      </w:r>
      <w:r w:rsidR="004D5AD1" w:rsidRPr="004D5AD1">
        <w:rPr>
          <w:noProof/>
        </w:rPr>
        <w:t xml:space="preserve"> i</w:t>
      </w:r>
      <w:r w:rsidR="004D5AD1">
        <w:rPr>
          <w:noProof/>
        </w:rPr>
        <w:t> </w:t>
      </w:r>
      <w:r w:rsidR="004D5AD1" w:rsidRPr="004D5AD1">
        <w:rPr>
          <w:noProof/>
        </w:rPr>
        <w:t>adm</w:t>
      </w:r>
      <w:r w:rsidRPr="004D5AD1">
        <w:rPr>
          <w:noProof/>
        </w:rPr>
        <w:t>inistracyjnymi.</w:t>
      </w:r>
    </w:p>
    <w:p w14:paraId="7AA746E0" w14:textId="77777777" w:rsidR="00BC3357" w:rsidRPr="004D5AD1" w:rsidRDefault="00BC3357" w:rsidP="00BC3357">
      <w:pPr>
        <w:pStyle w:val="ManualHeading1"/>
        <w:rPr>
          <w:noProof/>
        </w:rPr>
      </w:pPr>
      <w:r w:rsidRPr="004D5AD1">
        <w:rPr>
          <w:noProof/>
        </w:rPr>
        <w:t>5.</w:t>
      </w:r>
      <w:r w:rsidRPr="004D5AD1">
        <w:rPr>
          <w:noProof/>
        </w:rPr>
        <w:tab/>
        <w:t>ELEMENTY FAKULTATYWNE</w:t>
      </w:r>
    </w:p>
    <w:p w14:paraId="7E56EC51" w14:textId="693B6677"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Plany wdrożenia</w:t>
      </w:r>
      <w:r w:rsidR="004D5AD1" w:rsidRPr="004D5AD1">
        <w:rPr>
          <w:noProof/>
          <w:u w:color="000000"/>
          <w:bdr w:val="nil"/>
        </w:rPr>
        <w:t xml:space="preserve"> i</w:t>
      </w:r>
      <w:r w:rsidR="004D5AD1">
        <w:rPr>
          <w:noProof/>
          <w:u w:color="000000"/>
          <w:bdr w:val="nil"/>
        </w:rPr>
        <w:t> </w:t>
      </w:r>
      <w:r w:rsidR="004D5AD1" w:rsidRPr="004D5AD1">
        <w:rPr>
          <w:noProof/>
          <w:u w:color="000000"/>
          <w:bdr w:val="nil"/>
        </w:rPr>
        <w:t>mon</w:t>
      </w:r>
      <w:r w:rsidRPr="004D5AD1">
        <w:rPr>
          <w:noProof/>
          <w:u w:color="000000"/>
          <w:bdr w:val="nil"/>
        </w:rPr>
        <w:t>itorowanie, ocena</w:t>
      </w:r>
      <w:r w:rsidR="004D5AD1" w:rsidRPr="004D5AD1">
        <w:rPr>
          <w:noProof/>
          <w:u w:color="000000"/>
          <w:bdr w:val="nil"/>
        </w:rPr>
        <w:t xml:space="preserve"> i</w:t>
      </w:r>
      <w:r w:rsidR="004D5AD1">
        <w:rPr>
          <w:noProof/>
          <w:u w:color="000000"/>
          <w:bdr w:val="nil"/>
        </w:rPr>
        <w:t> </w:t>
      </w:r>
      <w:r w:rsidR="004D5AD1" w:rsidRPr="004D5AD1">
        <w:rPr>
          <w:noProof/>
          <w:u w:color="000000"/>
          <w:bdr w:val="nil"/>
        </w:rPr>
        <w:t>spr</w:t>
      </w:r>
      <w:r w:rsidRPr="004D5AD1">
        <w:rPr>
          <w:noProof/>
          <w:u w:color="000000"/>
          <w:bdr w:val="nil"/>
        </w:rPr>
        <w:t>awozdania</w:t>
      </w:r>
    </w:p>
    <w:p w14:paraId="67B4E3D2" w14:textId="4B34CABF" w:rsidR="00BC3357" w:rsidRPr="004D5AD1" w:rsidRDefault="00BC3357" w:rsidP="00BC3357">
      <w:pPr>
        <w:rPr>
          <w:noProof/>
        </w:rPr>
      </w:pPr>
      <w:r w:rsidRPr="004D5AD1">
        <w:rPr>
          <w:noProof/>
        </w:rPr>
        <w:t>Przepisy UE dotyczące klimatu</w:t>
      </w:r>
      <w:r w:rsidR="004D5AD1" w:rsidRPr="004D5AD1">
        <w:rPr>
          <w:noProof/>
        </w:rPr>
        <w:t xml:space="preserve"> i</w:t>
      </w:r>
      <w:r w:rsidR="004D5AD1">
        <w:rPr>
          <w:noProof/>
        </w:rPr>
        <w:t> </w:t>
      </w:r>
      <w:r w:rsidR="004D5AD1" w:rsidRPr="004D5AD1">
        <w:rPr>
          <w:noProof/>
        </w:rPr>
        <w:t>ene</w:t>
      </w:r>
      <w:r w:rsidRPr="004D5AD1">
        <w:rPr>
          <w:noProof/>
        </w:rPr>
        <w:t>rgii zapewniają kompleksowe ramy umożliwiające osiągnięcie postępów</w:t>
      </w:r>
      <w:r w:rsidR="004D5AD1" w:rsidRPr="004D5AD1">
        <w:rPr>
          <w:noProof/>
        </w:rPr>
        <w:t xml:space="preserve"> w</w:t>
      </w:r>
      <w:r w:rsidR="004D5AD1">
        <w:rPr>
          <w:noProof/>
        </w:rPr>
        <w:t> </w:t>
      </w:r>
      <w:r w:rsidR="004D5AD1" w:rsidRPr="004D5AD1">
        <w:rPr>
          <w:noProof/>
        </w:rPr>
        <w:t>rea</w:t>
      </w:r>
      <w:r w:rsidRPr="004D5AD1">
        <w:rPr>
          <w:noProof/>
        </w:rPr>
        <w:t>lizacji celów UE oraz śledzenie tych postępów, do czego przyczyni się niniejszy wniosek. Nadrzędne ramy zapewnia Europejskie prawo</w:t>
      </w:r>
      <w:r w:rsidR="004D5AD1" w:rsidRPr="004D5AD1">
        <w:rPr>
          <w:noProof/>
        </w:rPr>
        <w:t xml:space="preserve"> o</w:t>
      </w:r>
      <w:r w:rsidR="004D5AD1">
        <w:rPr>
          <w:noProof/>
        </w:rPr>
        <w:t> </w:t>
      </w:r>
      <w:r w:rsidR="004D5AD1" w:rsidRPr="004D5AD1">
        <w:rPr>
          <w:noProof/>
        </w:rPr>
        <w:t>kli</w:t>
      </w:r>
      <w:r w:rsidRPr="004D5AD1">
        <w:rPr>
          <w:noProof/>
        </w:rPr>
        <w:t>macie,</w:t>
      </w:r>
      <w:r w:rsidR="004D5AD1" w:rsidRPr="004D5AD1">
        <w:rPr>
          <w:noProof/>
        </w:rPr>
        <w:t xml:space="preserve"> a</w:t>
      </w:r>
      <w:r w:rsidR="004D5AD1">
        <w:rPr>
          <w:noProof/>
        </w:rPr>
        <w:t> </w:t>
      </w:r>
      <w:r w:rsidR="004D5AD1" w:rsidRPr="004D5AD1">
        <w:rPr>
          <w:noProof/>
        </w:rPr>
        <w:t>szc</w:t>
      </w:r>
      <w:r w:rsidRPr="004D5AD1">
        <w:rPr>
          <w:noProof/>
        </w:rPr>
        <w:t>zegółowe zintegrowane ramy monitorowania</w:t>
      </w:r>
      <w:r w:rsidR="004D5AD1" w:rsidRPr="004D5AD1">
        <w:rPr>
          <w:noProof/>
        </w:rPr>
        <w:t xml:space="preserve"> i</w:t>
      </w:r>
      <w:r w:rsidR="004D5AD1">
        <w:rPr>
          <w:noProof/>
        </w:rPr>
        <w:t> </w:t>
      </w:r>
      <w:r w:rsidR="004D5AD1" w:rsidRPr="004D5AD1">
        <w:rPr>
          <w:noProof/>
        </w:rPr>
        <w:t>spr</w:t>
      </w:r>
      <w:r w:rsidRPr="004D5AD1">
        <w:rPr>
          <w:noProof/>
        </w:rPr>
        <w:t>awozdawczości zapewnia rozporządzenie</w:t>
      </w:r>
      <w:r w:rsidR="004D5AD1" w:rsidRPr="004D5AD1">
        <w:rPr>
          <w:noProof/>
        </w:rPr>
        <w:t xml:space="preserve"> w</w:t>
      </w:r>
      <w:r w:rsidR="004D5AD1">
        <w:rPr>
          <w:noProof/>
        </w:rPr>
        <w:t> </w:t>
      </w:r>
      <w:r w:rsidR="004D5AD1" w:rsidRPr="004D5AD1">
        <w:rPr>
          <w:noProof/>
        </w:rPr>
        <w:t>spr</w:t>
      </w:r>
      <w:r w:rsidRPr="004D5AD1">
        <w:rPr>
          <w:noProof/>
        </w:rPr>
        <w:t>awie zarządzania unią energetyczną</w:t>
      </w:r>
      <w:r w:rsidR="004D5AD1" w:rsidRPr="004D5AD1">
        <w:rPr>
          <w:noProof/>
        </w:rPr>
        <w:t xml:space="preserve"> i</w:t>
      </w:r>
      <w:r w:rsidR="004D5AD1">
        <w:rPr>
          <w:noProof/>
        </w:rPr>
        <w:t> </w:t>
      </w:r>
      <w:r w:rsidR="004D5AD1" w:rsidRPr="004D5AD1">
        <w:rPr>
          <w:noProof/>
        </w:rPr>
        <w:t>dzi</w:t>
      </w:r>
      <w:r w:rsidRPr="004D5AD1">
        <w:rPr>
          <w:noProof/>
        </w:rPr>
        <w:t>ałaniami</w:t>
      </w:r>
      <w:r w:rsidR="004D5AD1" w:rsidRPr="004D5AD1">
        <w:rPr>
          <w:noProof/>
        </w:rPr>
        <w:t xml:space="preserve"> w</w:t>
      </w:r>
      <w:r w:rsidR="004D5AD1">
        <w:rPr>
          <w:noProof/>
        </w:rPr>
        <w:t> </w:t>
      </w:r>
      <w:r w:rsidR="004D5AD1" w:rsidRPr="004D5AD1">
        <w:rPr>
          <w:noProof/>
        </w:rPr>
        <w:t>dzi</w:t>
      </w:r>
      <w:r w:rsidRPr="004D5AD1">
        <w:rPr>
          <w:noProof/>
        </w:rPr>
        <w:t>edzinie klimatu. Dane zgromadzone</w:t>
      </w:r>
      <w:r w:rsidR="004D5AD1" w:rsidRPr="004D5AD1">
        <w:rPr>
          <w:noProof/>
        </w:rPr>
        <w:t xml:space="preserve"> w</w:t>
      </w:r>
      <w:r w:rsidR="004D5AD1">
        <w:rPr>
          <w:noProof/>
        </w:rPr>
        <w:t> </w:t>
      </w:r>
      <w:r w:rsidR="004D5AD1" w:rsidRPr="004D5AD1">
        <w:rPr>
          <w:noProof/>
        </w:rPr>
        <w:t>kon</w:t>
      </w:r>
      <w:r w:rsidRPr="004D5AD1">
        <w:rPr>
          <w:noProof/>
        </w:rPr>
        <w:t>tekście tego rozporządzenia mają być publicznie dostępne na e-platformie,</w:t>
      </w:r>
      <w:r w:rsidR="004D5AD1" w:rsidRPr="004D5AD1">
        <w:rPr>
          <w:noProof/>
        </w:rPr>
        <w:t xml:space="preserve"> w</w:t>
      </w:r>
      <w:r w:rsidR="004D5AD1">
        <w:rPr>
          <w:noProof/>
        </w:rPr>
        <w:t> </w:t>
      </w:r>
      <w:r w:rsidR="004D5AD1" w:rsidRPr="004D5AD1">
        <w:rPr>
          <w:noProof/>
        </w:rPr>
        <w:t>tym</w:t>
      </w:r>
      <w:r w:rsidRPr="004D5AD1">
        <w:rPr>
          <w:noProof/>
        </w:rPr>
        <w:t xml:space="preserve"> wskaźniki służące do monitorowania postępów</w:t>
      </w:r>
      <w:r w:rsidR="004D5AD1" w:rsidRPr="004D5AD1">
        <w:rPr>
          <w:noProof/>
        </w:rPr>
        <w:t xml:space="preserve"> w</w:t>
      </w:r>
      <w:r w:rsidR="004D5AD1">
        <w:rPr>
          <w:noProof/>
        </w:rPr>
        <w:t> </w:t>
      </w:r>
      <w:r w:rsidR="004D5AD1" w:rsidRPr="004D5AD1">
        <w:rPr>
          <w:noProof/>
        </w:rPr>
        <w:t>rea</w:t>
      </w:r>
      <w:r w:rsidRPr="004D5AD1">
        <w:rPr>
          <w:noProof/>
        </w:rPr>
        <w:t>lizacji celów Unii</w:t>
      </w:r>
      <w:r w:rsidR="004D5AD1" w:rsidRPr="004D5AD1">
        <w:rPr>
          <w:noProof/>
        </w:rPr>
        <w:t xml:space="preserve"> w</w:t>
      </w:r>
      <w:r w:rsidR="004D5AD1">
        <w:rPr>
          <w:noProof/>
        </w:rPr>
        <w:t> </w:t>
      </w:r>
      <w:r w:rsidR="004D5AD1" w:rsidRPr="004D5AD1">
        <w:rPr>
          <w:noProof/>
        </w:rPr>
        <w:t>zak</w:t>
      </w:r>
      <w:r w:rsidRPr="004D5AD1">
        <w:rPr>
          <w:noProof/>
        </w:rPr>
        <w:t>resie energii</w:t>
      </w:r>
      <w:r w:rsidR="004D5AD1" w:rsidRPr="004D5AD1">
        <w:rPr>
          <w:noProof/>
        </w:rPr>
        <w:t xml:space="preserve"> i</w:t>
      </w:r>
      <w:r w:rsidR="004D5AD1">
        <w:rPr>
          <w:noProof/>
        </w:rPr>
        <w:t> </w:t>
      </w:r>
      <w:r w:rsidR="004D5AD1" w:rsidRPr="004D5AD1">
        <w:rPr>
          <w:noProof/>
        </w:rPr>
        <w:t>kli</w:t>
      </w:r>
      <w:r w:rsidRPr="004D5AD1">
        <w:rPr>
          <w:noProof/>
        </w:rPr>
        <w:t>matu.</w:t>
      </w:r>
    </w:p>
    <w:p w14:paraId="514CAE0C" w14:textId="20CB2FC6" w:rsidR="004C2F24" w:rsidRPr="004D5AD1" w:rsidRDefault="00B401DD" w:rsidP="004C2F24">
      <w:pPr>
        <w:rPr>
          <w:noProof/>
        </w:rPr>
      </w:pPr>
      <w:r w:rsidRPr="004D5AD1">
        <w:rPr>
          <w:noProof/>
        </w:rPr>
        <w:t>Komisja sprawdza co pięć lat krajowe polityki</w:t>
      </w:r>
      <w:r w:rsidR="004D5AD1" w:rsidRPr="004D5AD1">
        <w:rPr>
          <w:noProof/>
        </w:rPr>
        <w:t xml:space="preserve"> i</w:t>
      </w:r>
      <w:r w:rsidR="004D5AD1">
        <w:rPr>
          <w:noProof/>
        </w:rPr>
        <w:t> </w:t>
      </w:r>
      <w:r w:rsidR="004D5AD1" w:rsidRPr="004D5AD1">
        <w:rPr>
          <w:noProof/>
        </w:rPr>
        <w:t>śro</w:t>
      </w:r>
      <w:r w:rsidRPr="004D5AD1">
        <w:rPr>
          <w:noProof/>
        </w:rPr>
        <w:t>dki państw członkowskich służące osiągnięciu ich celów</w:t>
      </w:r>
      <w:r w:rsidR="004D5AD1" w:rsidRPr="004D5AD1">
        <w:rPr>
          <w:noProof/>
        </w:rPr>
        <w:t xml:space="preserve"> w</w:t>
      </w:r>
      <w:r w:rsidR="004D5AD1">
        <w:rPr>
          <w:noProof/>
        </w:rPr>
        <w:t> </w:t>
      </w:r>
      <w:r w:rsidR="004D5AD1" w:rsidRPr="004D5AD1">
        <w:rPr>
          <w:noProof/>
        </w:rPr>
        <w:t>ram</w:t>
      </w:r>
      <w:r w:rsidRPr="004D5AD1">
        <w:rPr>
          <w:noProof/>
        </w:rPr>
        <w:t>ach rozporządzenia</w:t>
      </w:r>
      <w:r w:rsidR="004D5AD1" w:rsidRPr="004D5AD1">
        <w:rPr>
          <w:noProof/>
        </w:rPr>
        <w:t xml:space="preserve"> w</w:t>
      </w:r>
      <w:r w:rsidR="004D5AD1">
        <w:rPr>
          <w:noProof/>
        </w:rPr>
        <w:t> </w:t>
      </w:r>
      <w:r w:rsidR="004D5AD1" w:rsidRPr="004D5AD1">
        <w:rPr>
          <w:noProof/>
        </w:rPr>
        <w:t>spr</w:t>
      </w:r>
      <w:r w:rsidRPr="004D5AD1">
        <w:rPr>
          <w:noProof/>
        </w:rPr>
        <w:t>awie wspólnego wysiłku redukcyjnego. Wdrożenie</w:t>
      </w:r>
      <w:r w:rsidR="004D5AD1" w:rsidRPr="004D5AD1">
        <w:rPr>
          <w:noProof/>
        </w:rPr>
        <w:t xml:space="preserve"> i</w:t>
      </w:r>
      <w:r w:rsidR="004D5AD1">
        <w:rPr>
          <w:noProof/>
        </w:rPr>
        <w:t> </w:t>
      </w:r>
      <w:r w:rsidR="004D5AD1" w:rsidRPr="004D5AD1">
        <w:rPr>
          <w:noProof/>
        </w:rPr>
        <w:t>sku</w:t>
      </w:r>
      <w:r w:rsidRPr="004D5AD1">
        <w:rPr>
          <w:noProof/>
        </w:rPr>
        <w:t>teczność przepisów zawartych we wniosku będą zatem również śledzone</w:t>
      </w:r>
      <w:r w:rsidR="004D5AD1" w:rsidRPr="004D5AD1">
        <w:rPr>
          <w:noProof/>
        </w:rPr>
        <w:t xml:space="preserve"> w</w:t>
      </w:r>
      <w:r w:rsidR="004D5AD1">
        <w:rPr>
          <w:noProof/>
        </w:rPr>
        <w:t> </w:t>
      </w:r>
      <w:r w:rsidR="004D5AD1" w:rsidRPr="004D5AD1">
        <w:rPr>
          <w:noProof/>
        </w:rPr>
        <w:t>ram</w:t>
      </w:r>
      <w:r w:rsidRPr="004D5AD1">
        <w:rPr>
          <w:noProof/>
        </w:rPr>
        <w:t>ach realizacji celu określonego</w:t>
      </w:r>
      <w:r w:rsidR="004D5AD1" w:rsidRPr="004D5AD1">
        <w:rPr>
          <w:noProof/>
        </w:rPr>
        <w:t xml:space="preserve"> w</w:t>
      </w:r>
      <w:r w:rsidR="004D5AD1">
        <w:rPr>
          <w:noProof/>
        </w:rPr>
        <w:t> </w:t>
      </w:r>
      <w:r w:rsidR="004D5AD1" w:rsidRPr="004D5AD1">
        <w:rPr>
          <w:noProof/>
        </w:rPr>
        <w:t>roz</w:t>
      </w:r>
      <w:r w:rsidRPr="004D5AD1">
        <w:rPr>
          <w:noProof/>
        </w:rPr>
        <w:t>porządzeniu</w:t>
      </w:r>
      <w:r w:rsidR="004D5AD1" w:rsidRPr="004D5AD1">
        <w:rPr>
          <w:noProof/>
        </w:rPr>
        <w:t xml:space="preserve"> w</w:t>
      </w:r>
      <w:r w:rsidR="004D5AD1">
        <w:rPr>
          <w:noProof/>
        </w:rPr>
        <w:t> </w:t>
      </w:r>
      <w:r w:rsidR="004D5AD1" w:rsidRPr="004D5AD1">
        <w:rPr>
          <w:noProof/>
        </w:rPr>
        <w:t>spr</w:t>
      </w:r>
      <w:r w:rsidRPr="004D5AD1">
        <w:rPr>
          <w:noProof/>
        </w:rPr>
        <w:t>awie wspólnego wysiłku redukcyjnego. Ustanowione mechanizmy kontroli jakości informacji przekazywanych przez poszczególne państwa pozwolą również na ocenę skuteczności przepisów zawartych</w:t>
      </w:r>
      <w:r w:rsidR="004D5AD1" w:rsidRPr="004D5AD1">
        <w:rPr>
          <w:noProof/>
        </w:rPr>
        <w:t xml:space="preserve"> w</w:t>
      </w:r>
      <w:r w:rsidR="004D5AD1">
        <w:rPr>
          <w:noProof/>
        </w:rPr>
        <w:t> </w:t>
      </w:r>
      <w:r w:rsidR="004D5AD1" w:rsidRPr="004D5AD1">
        <w:rPr>
          <w:noProof/>
        </w:rPr>
        <w:t>nin</w:t>
      </w:r>
      <w:r w:rsidRPr="004D5AD1">
        <w:rPr>
          <w:noProof/>
        </w:rPr>
        <w:t>iejszym wniosku</w:t>
      </w:r>
      <w:r w:rsidR="004D5AD1" w:rsidRPr="004D5AD1">
        <w:rPr>
          <w:noProof/>
        </w:rPr>
        <w:t xml:space="preserve"> w</w:t>
      </w:r>
      <w:r w:rsidR="004D5AD1">
        <w:rPr>
          <w:noProof/>
        </w:rPr>
        <w:t> </w:t>
      </w:r>
      <w:r w:rsidR="004D5AD1" w:rsidRPr="004D5AD1">
        <w:rPr>
          <w:noProof/>
        </w:rPr>
        <w:t>zak</w:t>
      </w:r>
      <w:r w:rsidRPr="004D5AD1">
        <w:rPr>
          <w:noProof/>
        </w:rPr>
        <w:t>resie osiągania poprawy</w:t>
      </w:r>
      <w:r w:rsidR="004D5AD1" w:rsidRPr="004D5AD1">
        <w:rPr>
          <w:noProof/>
        </w:rPr>
        <w:t xml:space="preserve"> w</w:t>
      </w:r>
      <w:r w:rsidR="004D5AD1">
        <w:rPr>
          <w:noProof/>
        </w:rPr>
        <w:t> </w:t>
      </w:r>
      <w:r w:rsidR="004D5AD1" w:rsidRPr="004D5AD1">
        <w:rPr>
          <w:noProof/>
        </w:rPr>
        <w:t>zak</w:t>
      </w:r>
      <w:r w:rsidRPr="004D5AD1">
        <w:rPr>
          <w:noProof/>
        </w:rPr>
        <w:t>resie dokładności danych</w:t>
      </w:r>
      <w:r w:rsidR="004D5AD1" w:rsidRPr="004D5AD1">
        <w:rPr>
          <w:noProof/>
        </w:rPr>
        <w:t>. W</w:t>
      </w:r>
      <w:r w:rsidR="004D5AD1">
        <w:rPr>
          <w:noProof/>
        </w:rPr>
        <w:t> </w:t>
      </w:r>
      <w:r w:rsidR="004D5AD1" w:rsidRPr="004D5AD1">
        <w:rPr>
          <w:noProof/>
        </w:rPr>
        <w:t>tym</w:t>
      </w:r>
      <w:r w:rsidRPr="004D5AD1">
        <w:rPr>
          <w:noProof/>
        </w:rPr>
        <w:t xml:space="preserve"> kontekście</w:t>
      </w:r>
      <w:r w:rsidR="004D5AD1" w:rsidRPr="004D5AD1">
        <w:rPr>
          <w:noProof/>
        </w:rPr>
        <w:t xml:space="preserve"> w</w:t>
      </w:r>
      <w:r w:rsidR="004D5AD1">
        <w:rPr>
          <w:noProof/>
        </w:rPr>
        <w:t> </w:t>
      </w:r>
      <w:r w:rsidR="004D5AD1" w:rsidRPr="004D5AD1">
        <w:rPr>
          <w:noProof/>
        </w:rPr>
        <w:t>roz</w:t>
      </w:r>
      <w:r w:rsidRPr="004D5AD1">
        <w:rPr>
          <w:noProof/>
        </w:rPr>
        <w:t>porządzeniu</w:t>
      </w:r>
      <w:r w:rsidR="004D5AD1" w:rsidRPr="004D5AD1">
        <w:rPr>
          <w:noProof/>
        </w:rPr>
        <w:t xml:space="preserve"> w</w:t>
      </w:r>
      <w:r w:rsidR="004D5AD1">
        <w:rPr>
          <w:noProof/>
        </w:rPr>
        <w:t> </w:t>
      </w:r>
      <w:r w:rsidR="004D5AD1" w:rsidRPr="004D5AD1">
        <w:rPr>
          <w:noProof/>
        </w:rPr>
        <w:t>spr</w:t>
      </w:r>
      <w:r w:rsidRPr="004D5AD1">
        <w:rPr>
          <w:noProof/>
        </w:rPr>
        <w:t>awie zarządzania unią energetyczną</w:t>
      </w:r>
      <w:r w:rsidR="004D5AD1" w:rsidRPr="004D5AD1">
        <w:rPr>
          <w:noProof/>
        </w:rPr>
        <w:t xml:space="preserve"> i</w:t>
      </w:r>
      <w:r w:rsidR="004D5AD1">
        <w:rPr>
          <w:noProof/>
        </w:rPr>
        <w:t> </w:t>
      </w:r>
      <w:r w:rsidR="004D5AD1" w:rsidRPr="004D5AD1">
        <w:rPr>
          <w:noProof/>
        </w:rPr>
        <w:t>dzi</w:t>
      </w:r>
      <w:r w:rsidRPr="004D5AD1">
        <w:rPr>
          <w:noProof/>
        </w:rPr>
        <w:t>ałaniami</w:t>
      </w:r>
      <w:r w:rsidR="004D5AD1" w:rsidRPr="004D5AD1">
        <w:rPr>
          <w:noProof/>
        </w:rPr>
        <w:t xml:space="preserve"> w</w:t>
      </w:r>
      <w:r w:rsidR="004D5AD1">
        <w:rPr>
          <w:noProof/>
        </w:rPr>
        <w:t> </w:t>
      </w:r>
      <w:r w:rsidR="004D5AD1" w:rsidRPr="004D5AD1">
        <w:rPr>
          <w:noProof/>
        </w:rPr>
        <w:t>dzi</w:t>
      </w:r>
      <w:r w:rsidRPr="004D5AD1">
        <w:rPr>
          <w:noProof/>
        </w:rPr>
        <w:t>edzinie klimatu określono wymogi dotyczące krajowych systemów wykazów</w:t>
      </w:r>
      <w:r w:rsidR="004D5AD1" w:rsidRPr="004D5AD1">
        <w:rPr>
          <w:noProof/>
        </w:rPr>
        <w:t xml:space="preserve"> i</w:t>
      </w:r>
      <w:r w:rsidR="004D5AD1">
        <w:rPr>
          <w:noProof/>
        </w:rPr>
        <w:t> </w:t>
      </w:r>
      <w:r w:rsidR="004D5AD1" w:rsidRPr="004D5AD1">
        <w:rPr>
          <w:noProof/>
        </w:rPr>
        <w:t>uni</w:t>
      </w:r>
      <w:r w:rsidRPr="004D5AD1">
        <w:rPr>
          <w:noProof/>
        </w:rPr>
        <w:t>jnego systemu wykazów</w:t>
      </w:r>
      <w:r w:rsidR="004D5AD1" w:rsidRPr="004D5AD1">
        <w:rPr>
          <w:noProof/>
        </w:rPr>
        <w:t xml:space="preserve"> w</w:t>
      </w:r>
      <w:r w:rsidR="004D5AD1">
        <w:rPr>
          <w:noProof/>
        </w:rPr>
        <w:t> </w:t>
      </w:r>
      <w:r w:rsidR="004D5AD1" w:rsidRPr="004D5AD1">
        <w:rPr>
          <w:noProof/>
        </w:rPr>
        <w:t>zak</w:t>
      </w:r>
      <w:r w:rsidRPr="004D5AD1">
        <w:rPr>
          <w:noProof/>
        </w:rPr>
        <w:t>resie emisji gazów cieplarnianych, polityk</w:t>
      </w:r>
      <w:r w:rsidR="004D5AD1" w:rsidRPr="004D5AD1">
        <w:rPr>
          <w:noProof/>
        </w:rPr>
        <w:t xml:space="preserve"> i</w:t>
      </w:r>
      <w:r w:rsidR="004D5AD1">
        <w:rPr>
          <w:noProof/>
        </w:rPr>
        <w:t> </w:t>
      </w:r>
      <w:r w:rsidR="004D5AD1" w:rsidRPr="004D5AD1">
        <w:rPr>
          <w:noProof/>
        </w:rPr>
        <w:t>śro</w:t>
      </w:r>
      <w:r w:rsidRPr="004D5AD1">
        <w:rPr>
          <w:noProof/>
        </w:rPr>
        <w:t>dków oraz prognoz, wzywając do ich ciągłego ulepszania. Ustanowienie takich systemów jest wymagane na szczeblu międzynarodowym i ma na celu wspieranie realizacji krajowych planów</w:t>
      </w:r>
      <w:r w:rsidR="004D5AD1" w:rsidRPr="004D5AD1">
        <w:rPr>
          <w:noProof/>
        </w:rPr>
        <w:t xml:space="preserve"> w</w:t>
      </w:r>
      <w:r w:rsidR="004D5AD1">
        <w:rPr>
          <w:noProof/>
        </w:rPr>
        <w:t> </w:t>
      </w:r>
      <w:r w:rsidR="004D5AD1" w:rsidRPr="004D5AD1">
        <w:rPr>
          <w:noProof/>
        </w:rPr>
        <w:t>dzi</w:t>
      </w:r>
      <w:r w:rsidRPr="004D5AD1">
        <w:rPr>
          <w:noProof/>
        </w:rPr>
        <w:t>edzinie energii</w:t>
      </w:r>
      <w:r w:rsidR="004D5AD1" w:rsidRPr="004D5AD1">
        <w:rPr>
          <w:noProof/>
        </w:rPr>
        <w:t xml:space="preserve"> i</w:t>
      </w:r>
      <w:r w:rsidR="004D5AD1">
        <w:rPr>
          <w:noProof/>
        </w:rPr>
        <w:t> </w:t>
      </w:r>
      <w:r w:rsidR="004D5AD1" w:rsidRPr="004D5AD1">
        <w:rPr>
          <w:noProof/>
        </w:rPr>
        <w:t>kli</w:t>
      </w:r>
      <w:r w:rsidRPr="004D5AD1">
        <w:rPr>
          <w:noProof/>
        </w:rPr>
        <w:t>matu</w:t>
      </w:r>
      <w:r w:rsidR="004D5AD1" w:rsidRPr="004D5AD1">
        <w:rPr>
          <w:noProof/>
        </w:rPr>
        <w:t xml:space="preserve"> w</w:t>
      </w:r>
      <w:r w:rsidR="004D5AD1">
        <w:rPr>
          <w:noProof/>
        </w:rPr>
        <w:t> </w:t>
      </w:r>
      <w:r w:rsidR="004D5AD1" w:rsidRPr="004D5AD1">
        <w:rPr>
          <w:noProof/>
        </w:rPr>
        <w:t>odn</w:t>
      </w:r>
      <w:r w:rsidRPr="004D5AD1">
        <w:rPr>
          <w:noProof/>
        </w:rPr>
        <w:t>iesieniu do wymiaru dekarbonizacji.</w:t>
      </w:r>
    </w:p>
    <w:p w14:paraId="697B0908" w14:textId="62D1643A" w:rsidR="00BC3357" w:rsidRPr="004D5AD1" w:rsidRDefault="00BC3357" w:rsidP="00BC3357">
      <w:pPr>
        <w:rPr>
          <w:noProof/>
        </w:rPr>
      </w:pPr>
      <w:r w:rsidRPr="004D5AD1">
        <w:rPr>
          <w:noProof/>
        </w:rPr>
        <w:t>Emisje metanu są</w:t>
      </w:r>
      <w:r w:rsidR="004D5AD1" w:rsidRPr="004D5AD1">
        <w:rPr>
          <w:noProof/>
        </w:rPr>
        <w:t xml:space="preserve"> w</w:t>
      </w:r>
      <w:r w:rsidR="004D5AD1">
        <w:rPr>
          <w:noProof/>
        </w:rPr>
        <w:t> </w:t>
      </w:r>
      <w:r w:rsidR="004D5AD1" w:rsidRPr="004D5AD1">
        <w:rPr>
          <w:noProof/>
        </w:rPr>
        <w:t>cor</w:t>
      </w:r>
      <w:r w:rsidRPr="004D5AD1">
        <w:rPr>
          <w:noProof/>
        </w:rPr>
        <w:t>az większym stopniu przedmiotem uwagi społeczeństwa, prowadzone są m.in.</w:t>
      </w:r>
      <w:r w:rsidR="004D5AD1" w:rsidRPr="004D5AD1">
        <w:rPr>
          <w:noProof/>
        </w:rPr>
        <w:t xml:space="preserve"> w</w:t>
      </w:r>
      <w:r w:rsidR="004D5AD1">
        <w:rPr>
          <w:noProof/>
        </w:rPr>
        <w:t> </w:t>
      </w:r>
      <w:r w:rsidR="004D5AD1" w:rsidRPr="004D5AD1">
        <w:rPr>
          <w:noProof/>
        </w:rPr>
        <w:t>tym</w:t>
      </w:r>
      <w:r w:rsidRPr="004D5AD1">
        <w:rPr>
          <w:noProof/>
        </w:rPr>
        <w:t xml:space="preserve"> kampanii skierowanych do naukowców</w:t>
      </w:r>
      <w:r w:rsidR="004D5AD1" w:rsidRPr="004D5AD1">
        <w:rPr>
          <w:noProof/>
        </w:rPr>
        <w:t xml:space="preserve"> i</w:t>
      </w:r>
      <w:r w:rsidR="004D5AD1">
        <w:rPr>
          <w:noProof/>
        </w:rPr>
        <w:t> </w:t>
      </w:r>
      <w:r w:rsidR="004D5AD1" w:rsidRPr="004D5AD1">
        <w:rPr>
          <w:noProof/>
        </w:rPr>
        <w:t>zai</w:t>
      </w:r>
      <w:r w:rsidRPr="004D5AD1">
        <w:rPr>
          <w:noProof/>
        </w:rPr>
        <w:t>nteresowanych stron, służących wykrywaniu</w:t>
      </w:r>
      <w:r w:rsidR="004D5AD1" w:rsidRPr="004D5AD1">
        <w:rPr>
          <w:noProof/>
        </w:rPr>
        <w:t xml:space="preserve"> i</w:t>
      </w:r>
      <w:r w:rsidR="004D5AD1">
        <w:rPr>
          <w:noProof/>
        </w:rPr>
        <w:t> </w:t>
      </w:r>
      <w:r w:rsidR="004D5AD1" w:rsidRPr="004D5AD1">
        <w:rPr>
          <w:noProof/>
        </w:rPr>
        <w:t>kwa</w:t>
      </w:r>
      <w:r w:rsidRPr="004D5AD1">
        <w:rPr>
          <w:noProof/>
        </w:rPr>
        <w:t>ntyfikacji emisji. Dzięki rosnącej rozdzielczości przestrzennej</w:t>
      </w:r>
      <w:r w:rsidR="004D5AD1" w:rsidRPr="004D5AD1">
        <w:rPr>
          <w:noProof/>
        </w:rPr>
        <w:t xml:space="preserve"> i</w:t>
      </w:r>
      <w:r w:rsidR="004D5AD1">
        <w:rPr>
          <w:noProof/>
        </w:rPr>
        <w:t> </w:t>
      </w:r>
      <w:r w:rsidR="004D5AD1" w:rsidRPr="004D5AD1">
        <w:rPr>
          <w:noProof/>
        </w:rPr>
        <w:t>cza</w:t>
      </w:r>
      <w:r w:rsidRPr="004D5AD1">
        <w:rPr>
          <w:noProof/>
        </w:rPr>
        <w:t>sowej danych satelitarnych taka publiczna kontrola stanowi cenny element monitorowania skutków wniosku oraz identyfikowania niedociągnięć</w:t>
      </w:r>
      <w:r w:rsidR="004D5AD1" w:rsidRPr="004D5AD1">
        <w:rPr>
          <w:noProof/>
        </w:rPr>
        <w:t xml:space="preserve"> w</w:t>
      </w:r>
      <w:r w:rsidR="004D5AD1">
        <w:rPr>
          <w:noProof/>
        </w:rPr>
        <w:t> </w:t>
      </w:r>
      <w:r w:rsidR="004D5AD1" w:rsidRPr="004D5AD1">
        <w:rPr>
          <w:noProof/>
        </w:rPr>
        <w:t>jeg</w:t>
      </w:r>
      <w:r w:rsidRPr="004D5AD1">
        <w:rPr>
          <w:noProof/>
        </w:rPr>
        <w:t xml:space="preserve">o wdrażaniu. </w:t>
      </w:r>
    </w:p>
    <w:p w14:paraId="301656FE" w14:textId="21C69699" w:rsidR="00BC3357" w:rsidRPr="004D5AD1" w:rsidRDefault="00BC3357" w:rsidP="00BC3357">
      <w:pPr>
        <w:rPr>
          <w:noProof/>
        </w:rPr>
      </w:pPr>
      <w:r w:rsidRPr="004D5AD1">
        <w:rPr>
          <w:noProof/>
        </w:rPr>
        <w:t>Jeżeli chodzi</w:t>
      </w:r>
      <w:r w:rsidR="004D5AD1" w:rsidRPr="004D5AD1">
        <w:rPr>
          <w:noProof/>
        </w:rPr>
        <w:t xml:space="preserve"> o</w:t>
      </w:r>
      <w:r w:rsidR="004D5AD1">
        <w:rPr>
          <w:noProof/>
        </w:rPr>
        <w:t> </w:t>
      </w:r>
      <w:r w:rsidR="004D5AD1" w:rsidRPr="004D5AD1">
        <w:rPr>
          <w:noProof/>
        </w:rPr>
        <w:t>mon</w:t>
      </w:r>
      <w:r w:rsidRPr="004D5AD1">
        <w:rPr>
          <w:noProof/>
        </w:rPr>
        <w:t>itorowanie</w:t>
      </w:r>
      <w:r w:rsidR="004D5AD1" w:rsidRPr="004D5AD1">
        <w:rPr>
          <w:noProof/>
        </w:rPr>
        <w:t xml:space="preserve"> i</w:t>
      </w:r>
      <w:r w:rsidR="004D5AD1">
        <w:rPr>
          <w:noProof/>
        </w:rPr>
        <w:t> </w:t>
      </w:r>
      <w:r w:rsidR="004D5AD1" w:rsidRPr="004D5AD1">
        <w:rPr>
          <w:noProof/>
        </w:rPr>
        <w:t>oce</w:t>
      </w:r>
      <w:r w:rsidRPr="004D5AD1">
        <w:rPr>
          <w:noProof/>
        </w:rPr>
        <w:t>nę obowiązków określonych</w:t>
      </w:r>
      <w:r w:rsidR="004D5AD1" w:rsidRPr="004D5AD1">
        <w:rPr>
          <w:noProof/>
        </w:rPr>
        <w:t xml:space="preserve"> w</w:t>
      </w:r>
      <w:r w:rsidR="004D5AD1">
        <w:rPr>
          <w:noProof/>
        </w:rPr>
        <w:t> </w:t>
      </w:r>
      <w:r w:rsidR="004D5AD1" w:rsidRPr="004D5AD1">
        <w:rPr>
          <w:noProof/>
        </w:rPr>
        <w:t>nin</w:t>
      </w:r>
      <w:r w:rsidRPr="004D5AD1">
        <w:rPr>
          <w:noProof/>
        </w:rPr>
        <w:t>iejszym wniosku, podstawowa odpowiedzialność za zapewnianie stosowania przepisów będzie spoczywała na właściwych organach krajowych</w:t>
      </w:r>
      <w:r w:rsidR="004D5AD1" w:rsidRPr="004D5AD1">
        <w:rPr>
          <w:noProof/>
        </w:rPr>
        <w:t>. W</w:t>
      </w:r>
      <w:r w:rsidR="004D5AD1">
        <w:rPr>
          <w:noProof/>
        </w:rPr>
        <w:t> </w:t>
      </w:r>
      <w:r w:rsidR="004D5AD1" w:rsidRPr="004D5AD1">
        <w:rPr>
          <w:noProof/>
        </w:rPr>
        <w:t>odn</w:t>
      </w:r>
      <w:r w:rsidRPr="004D5AD1">
        <w:rPr>
          <w:noProof/>
        </w:rPr>
        <w:t>iesieniu do weryfikacji danych dotyczących emisji</w:t>
      </w:r>
      <w:r w:rsidR="004D5AD1" w:rsidRPr="004D5AD1">
        <w:rPr>
          <w:noProof/>
        </w:rPr>
        <w:t xml:space="preserve"> w</w:t>
      </w:r>
      <w:r w:rsidR="004D5AD1">
        <w:rPr>
          <w:noProof/>
        </w:rPr>
        <w:t> </w:t>
      </w:r>
      <w:r w:rsidR="004D5AD1" w:rsidRPr="004D5AD1">
        <w:rPr>
          <w:noProof/>
        </w:rPr>
        <w:t>nin</w:t>
      </w:r>
      <w:r w:rsidRPr="004D5AD1">
        <w:rPr>
          <w:noProof/>
        </w:rPr>
        <w:t>iejszym wniosku przewidziano rolę niezależnych akredytowanych weryfikatorów. Międzynarodowe obserwatorium emisji metanu</w:t>
      </w:r>
      <w:r w:rsidR="006533AE" w:rsidRPr="004D5AD1">
        <w:rPr>
          <w:rStyle w:val="FootnoteReference"/>
          <w:rFonts w:eastAsia="Arial Unicode MS"/>
          <w:noProof/>
        </w:rPr>
        <w:footnoteReference w:id="11"/>
      </w:r>
      <w:r w:rsidRPr="004D5AD1">
        <w:rPr>
          <w:noProof/>
        </w:rPr>
        <w:t xml:space="preserve"> zapewni dodatkową kontrolę przekazywanych danych dotyczących emisji metanu,</w:t>
      </w:r>
      <w:r w:rsidR="004D5AD1" w:rsidRPr="004D5AD1">
        <w:rPr>
          <w:noProof/>
        </w:rPr>
        <w:t xml:space="preserve"> w</w:t>
      </w:r>
      <w:r w:rsidR="004D5AD1">
        <w:rPr>
          <w:noProof/>
        </w:rPr>
        <w:t> </w:t>
      </w:r>
      <w:r w:rsidR="004D5AD1" w:rsidRPr="004D5AD1">
        <w:rPr>
          <w:noProof/>
        </w:rPr>
        <w:t>tym</w:t>
      </w:r>
      <w:r w:rsidRPr="004D5AD1">
        <w:rPr>
          <w:noProof/>
        </w:rPr>
        <w:t xml:space="preserve"> możliwość porównania ich</w:t>
      </w:r>
      <w:r w:rsidR="004D5AD1" w:rsidRPr="004D5AD1">
        <w:rPr>
          <w:noProof/>
        </w:rPr>
        <w:t xml:space="preserve"> z</w:t>
      </w:r>
      <w:r w:rsidR="004D5AD1">
        <w:rPr>
          <w:noProof/>
        </w:rPr>
        <w:t> </w:t>
      </w:r>
      <w:r w:rsidR="004D5AD1" w:rsidRPr="004D5AD1">
        <w:rPr>
          <w:noProof/>
        </w:rPr>
        <w:t>inn</w:t>
      </w:r>
      <w:r w:rsidRPr="004D5AD1">
        <w:rPr>
          <w:noProof/>
        </w:rPr>
        <w:t>ymi źródłami, takimi jak obrazy</w:t>
      </w:r>
      <w:r w:rsidR="004D5AD1" w:rsidRPr="004D5AD1">
        <w:rPr>
          <w:noProof/>
        </w:rPr>
        <w:t xml:space="preserve"> i</w:t>
      </w:r>
      <w:r w:rsidR="004D5AD1">
        <w:rPr>
          <w:noProof/>
        </w:rPr>
        <w:t> </w:t>
      </w:r>
      <w:r w:rsidR="004D5AD1" w:rsidRPr="004D5AD1">
        <w:rPr>
          <w:noProof/>
        </w:rPr>
        <w:t>pro</w:t>
      </w:r>
      <w:r w:rsidRPr="004D5AD1">
        <w:rPr>
          <w:noProof/>
        </w:rPr>
        <w:t>dukty satelitarne.</w:t>
      </w:r>
    </w:p>
    <w:p w14:paraId="64141501" w14:textId="45FA4B84" w:rsidR="00BC3357" w:rsidRPr="004D5AD1" w:rsidRDefault="00BC3357" w:rsidP="00BC3357">
      <w:pPr>
        <w:pStyle w:val="Normal10"/>
        <w:shd w:val="clear" w:color="auto" w:fill="FFFFFF"/>
        <w:spacing w:before="0" w:beforeAutospacing="0" w:after="0" w:afterAutospacing="0"/>
        <w:jc w:val="both"/>
        <w:rPr>
          <w:noProof/>
        </w:rPr>
      </w:pPr>
      <w:r w:rsidRPr="004D5AD1">
        <w:rPr>
          <w:noProof/>
        </w:rPr>
        <w:t>Komisja będzie monitorować wdrażanie aktu prawnego poprzez weryfikację prawidłowego stosowania środków przez strony zobowiązane</w:t>
      </w:r>
      <w:r w:rsidR="004D5AD1" w:rsidRPr="004D5AD1">
        <w:rPr>
          <w:noProof/>
        </w:rPr>
        <w:t xml:space="preserve"> i</w:t>
      </w:r>
      <w:r w:rsidR="004D5AD1">
        <w:rPr>
          <w:noProof/>
        </w:rPr>
        <w:t> </w:t>
      </w:r>
      <w:r w:rsidR="004D5AD1" w:rsidRPr="004D5AD1">
        <w:rPr>
          <w:noProof/>
        </w:rPr>
        <w:t>w</w:t>
      </w:r>
      <w:r w:rsidR="004D5AD1">
        <w:rPr>
          <w:noProof/>
        </w:rPr>
        <w:t> </w:t>
      </w:r>
      <w:r w:rsidR="004D5AD1" w:rsidRPr="004D5AD1">
        <w:rPr>
          <w:noProof/>
        </w:rPr>
        <w:t>raz</w:t>
      </w:r>
      <w:r w:rsidRPr="004D5AD1">
        <w:rPr>
          <w:noProof/>
        </w:rPr>
        <w:t>ie konieczności będzie podejmować działania</w:t>
      </w:r>
      <w:r w:rsidR="004D5AD1" w:rsidRPr="004D5AD1">
        <w:rPr>
          <w:noProof/>
        </w:rPr>
        <w:t xml:space="preserve"> w</w:t>
      </w:r>
      <w:r w:rsidR="004D5AD1">
        <w:rPr>
          <w:noProof/>
        </w:rPr>
        <w:t> </w:t>
      </w:r>
      <w:r w:rsidR="004D5AD1" w:rsidRPr="004D5AD1">
        <w:rPr>
          <w:noProof/>
        </w:rPr>
        <w:t>zak</w:t>
      </w:r>
      <w:r w:rsidRPr="004D5AD1">
        <w:rPr>
          <w:noProof/>
        </w:rPr>
        <w:t>resie egzekwowania przepisów. Niniejszy wniosek zawiera klauzulę przeglądową, zgodnie</w:t>
      </w:r>
      <w:r w:rsidR="004D5AD1" w:rsidRPr="004D5AD1">
        <w:rPr>
          <w:noProof/>
        </w:rPr>
        <w:t xml:space="preserve"> z</w:t>
      </w:r>
      <w:r w:rsidR="004D5AD1">
        <w:rPr>
          <w:noProof/>
        </w:rPr>
        <w:t> </w:t>
      </w:r>
      <w:r w:rsidR="004D5AD1" w:rsidRPr="004D5AD1">
        <w:rPr>
          <w:noProof/>
        </w:rPr>
        <w:t>któ</w:t>
      </w:r>
      <w:r w:rsidRPr="004D5AD1">
        <w:rPr>
          <w:noProof/>
        </w:rPr>
        <w:t>rą Komisja przedłoży sprawozdanie</w:t>
      </w:r>
      <w:r w:rsidR="004D5AD1" w:rsidRPr="004D5AD1">
        <w:rPr>
          <w:noProof/>
        </w:rPr>
        <w:t xml:space="preserve"> z</w:t>
      </w:r>
      <w:r w:rsidR="004D5AD1">
        <w:rPr>
          <w:noProof/>
        </w:rPr>
        <w:t> </w:t>
      </w:r>
      <w:r w:rsidR="004D5AD1" w:rsidRPr="004D5AD1">
        <w:rPr>
          <w:noProof/>
        </w:rPr>
        <w:t>oce</w:t>
      </w:r>
      <w:r w:rsidRPr="004D5AD1">
        <w:rPr>
          <w:noProof/>
        </w:rPr>
        <w:t>ny</w:t>
      </w:r>
      <w:r w:rsidR="004D5AD1" w:rsidRPr="004D5AD1">
        <w:rPr>
          <w:noProof/>
        </w:rPr>
        <w:t xml:space="preserve"> i</w:t>
      </w:r>
      <w:r w:rsidR="004D5AD1">
        <w:rPr>
          <w:noProof/>
        </w:rPr>
        <w:t> </w:t>
      </w:r>
      <w:r w:rsidR="004D5AD1" w:rsidRPr="004D5AD1">
        <w:rPr>
          <w:noProof/>
        </w:rPr>
        <w:t>prz</w:t>
      </w:r>
      <w:r w:rsidRPr="004D5AD1">
        <w:rPr>
          <w:noProof/>
        </w:rPr>
        <w:t>eglądu niniejszego rozporządzenia.</w:t>
      </w:r>
    </w:p>
    <w:p w14:paraId="7176B32F" w14:textId="77777777" w:rsidR="00BC3357" w:rsidRPr="004D5AD1" w:rsidRDefault="00BC3357" w:rsidP="00BC3357">
      <w:pPr>
        <w:pStyle w:val="ManualHeading2"/>
        <w:rPr>
          <w:rFonts w:eastAsia="Arial Unicode MS"/>
          <w:noProof/>
          <w:u w:color="000000"/>
          <w:bdr w:val="nil"/>
        </w:rPr>
      </w:pPr>
      <w:r w:rsidRPr="004D5AD1">
        <w:rPr>
          <w:noProof/>
          <w:u w:color="000000"/>
          <w:bdr w:val="nil"/>
        </w:rPr>
        <w:t>•</w:t>
      </w:r>
      <w:r w:rsidRPr="004D5AD1">
        <w:rPr>
          <w:noProof/>
          <w:u w:color="000000"/>
          <w:bdr w:val="nil"/>
        </w:rPr>
        <w:tab/>
        <w:t>Szczegółowe objaśnienia poszczególnych przepisów wniosku</w:t>
      </w:r>
    </w:p>
    <w:p w14:paraId="71C4FA86" w14:textId="7FA9E813" w:rsidR="00BC3357" w:rsidRPr="004D5AD1" w:rsidRDefault="00BC3357" w:rsidP="00BC3357">
      <w:pPr>
        <w:pStyle w:val="Normal10"/>
        <w:shd w:val="clear" w:color="auto" w:fill="FFFFFF"/>
        <w:spacing w:before="0" w:beforeAutospacing="0" w:after="0" w:afterAutospacing="0"/>
        <w:jc w:val="both"/>
        <w:rPr>
          <w:noProof/>
        </w:rPr>
      </w:pPr>
      <w:r w:rsidRPr="004D5AD1">
        <w:rPr>
          <w:noProof/>
        </w:rPr>
        <w:t>Wniosek dotyczący rozporządzenia składa się</w:t>
      </w:r>
      <w:r w:rsidR="004D5AD1" w:rsidRPr="004D5AD1">
        <w:rPr>
          <w:noProof/>
        </w:rPr>
        <w:t xml:space="preserve"> z</w:t>
      </w:r>
      <w:r w:rsidR="004D5AD1">
        <w:rPr>
          <w:noProof/>
        </w:rPr>
        <w:t> </w:t>
      </w:r>
      <w:r w:rsidR="004D5AD1" w:rsidRPr="004D5AD1">
        <w:rPr>
          <w:noProof/>
        </w:rPr>
        <w:t>sze</w:t>
      </w:r>
      <w:r w:rsidRPr="004D5AD1">
        <w:rPr>
          <w:noProof/>
        </w:rPr>
        <w:t>ściu rozdziałów liczących 35 artykułów.</w:t>
      </w:r>
    </w:p>
    <w:p w14:paraId="2CCBC89D" w14:textId="103BE92D" w:rsidR="00BC3357" w:rsidRPr="004D5AD1" w:rsidRDefault="00BC3357" w:rsidP="00BC3357">
      <w:pPr>
        <w:pStyle w:val="Normal10"/>
        <w:shd w:val="clear" w:color="auto" w:fill="FFFFFF"/>
        <w:spacing w:before="0" w:beforeAutospacing="0" w:after="0" w:afterAutospacing="0"/>
        <w:jc w:val="both"/>
        <w:rPr>
          <w:noProof/>
        </w:rPr>
      </w:pPr>
    </w:p>
    <w:p w14:paraId="20DBF219" w14:textId="24341849" w:rsidR="00BC3357" w:rsidRPr="004D5AD1" w:rsidRDefault="00BC3357" w:rsidP="00BC3357">
      <w:pPr>
        <w:pStyle w:val="Normal10"/>
        <w:shd w:val="clear" w:color="auto" w:fill="FFFFFF"/>
        <w:spacing w:before="0" w:beforeAutospacing="0" w:after="0" w:afterAutospacing="0"/>
        <w:jc w:val="both"/>
        <w:rPr>
          <w:noProof/>
        </w:rPr>
      </w:pPr>
      <w:r w:rsidRPr="004D5AD1">
        <w:rPr>
          <w:noProof/>
        </w:rPr>
        <w:t>Rozdział 1 – Przepisy ogólne</w:t>
      </w:r>
    </w:p>
    <w:p w14:paraId="30E3725D" w14:textId="4118661C" w:rsidR="00BC3357" w:rsidRPr="004D5AD1" w:rsidRDefault="00BC3357" w:rsidP="00BC3357">
      <w:pPr>
        <w:pStyle w:val="Normal10"/>
        <w:shd w:val="clear" w:color="auto" w:fill="FFFFFF"/>
        <w:spacing w:before="0" w:beforeAutospacing="0" w:after="0" w:afterAutospacing="0"/>
        <w:jc w:val="both"/>
        <w:rPr>
          <w:noProof/>
        </w:rPr>
      </w:pPr>
      <w:r w:rsidRPr="004D5AD1">
        <w:rPr>
          <w:noProof/>
        </w:rPr>
        <w:t>W rozdziale tym określono zakres</w:t>
      </w:r>
      <w:r w:rsidR="004D5AD1" w:rsidRPr="004D5AD1">
        <w:rPr>
          <w:noProof/>
        </w:rPr>
        <w:t xml:space="preserve"> i</w:t>
      </w:r>
      <w:r w:rsidR="004D5AD1">
        <w:rPr>
          <w:noProof/>
        </w:rPr>
        <w:t> </w:t>
      </w:r>
      <w:r w:rsidR="004D5AD1" w:rsidRPr="004D5AD1">
        <w:rPr>
          <w:noProof/>
        </w:rPr>
        <w:t>głó</w:t>
      </w:r>
      <w:r w:rsidRPr="004D5AD1">
        <w:rPr>
          <w:noProof/>
        </w:rPr>
        <w:t>wne terminy stosowane</w:t>
      </w:r>
      <w:r w:rsidR="004D5AD1" w:rsidRPr="004D5AD1">
        <w:rPr>
          <w:noProof/>
        </w:rPr>
        <w:t xml:space="preserve"> w</w:t>
      </w:r>
      <w:r w:rsidR="004D5AD1">
        <w:rPr>
          <w:noProof/>
        </w:rPr>
        <w:t> </w:t>
      </w:r>
      <w:r w:rsidR="004D5AD1" w:rsidRPr="004D5AD1">
        <w:rPr>
          <w:noProof/>
        </w:rPr>
        <w:t>roz</w:t>
      </w:r>
      <w:r w:rsidRPr="004D5AD1">
        <w:rPr>
          <w:noProof/>
        </w:rPr>
        <w:t>porządzeniu, którego dotyczy niniejszy wniosek. Zawiera on również przepis uznający koszty ponoszone przez operatorów sieci</w:t>
      </w:r>
      <w:r w:rsidR="004D5AD1" w:rsidRPr="004D5AD1">
        <w:rPr>
          <w:noProof/>
        </w:rPr>
        <w:t xml:space="preserve"> w</w:t>
      </w:r>
      <w:r w:rsidR="004D5AD1">
        <w:rPr>
          <w:noProof/>
        </w:rPr>
        <w:t> </w:t>
      </w:r>
      <w:r w:rsidR="004D5AD1" w:rsidRPr="004D5AD1">
        <w:rPr>
          <w:noProof/>
        </w:rPr>
        <w:t>zwi</w:t>
      </w:r>
      <w:r w:rsidRPr="004D5AD1">
        <w:rPr>
          <w:noProof/>
        </w:rPr>
        <w:t>ązku</w:t>
      </w:r>
      <w:r w:rsidR="004D5AD1" w:rsidRPr="004D5AD1">
        <w:rPr>
          <w:noProof/>
        </w:rPr>
        <w:t xml:space="preserve"> z</w:t>
      </w:r>
      <w:r w:rsidR="004D5AD1">
        <w:rPr>
          <w:noProof/>
        </w:rPr>
        <w:t> </w:t>
      </w:r>
      <w:r w:rsidR="004D5AD1" w:rsidRPr="004D5AD1">
        <w:rPr>
          <w:noProof/>
        </w:rPr>
        <w:t>wdr</w:t>
      </w:r>
      <w:r w:rsidRPr="004D5AD1">
        <w:rPr>
          <w:noProof/>
        </w:rPr>
        <w:t>ażaniem niniejszego rozporządzenia.</w:t>
      </w:r>
    </w:p>
    <w:p w14:paraId="20A725FD" w14:textId="2FC7CA6C" w:rsidR="00BC3357" w:rsidRPr="004D5AD1" w:rsidRDefault="00BC3357" w:rsidP="00BC3357">
      <w:pPr>
        <w:pStyle w:val="Normal10"/>
        <w:shd w:val="clear" w:color="auto" w:fill="FFFFFF"/>
        <w:spacing w:before="0" w:beforeAutospacing="0" w:after="0" w:afterAutospacing="0"/>
        <w:jc w:val="both"/>
        <w:rPr>
          <w:noProof/>
        </w:rPr>
      </w:pPr>
    </w:p>
    <w:p w14:paraId="47692A56" w14:textId="7A0376D6" w:rsidR="00BC3357" w:rsidRPr="004D5AD1" w:rsidRDefault="00BC3357" w:rsidP="00BC3357">
      <w:pPr>
        <w:pStyle w:val="Normal10"/>
        <w:shd w:val="clear" w:color="auto" w:fill="FFFFFF"/>
        <w:spacing w:before="0" w:beforeAutospacing="0" w:after="0" w:afterAutospacing="0"/>
        <w:jc w:val="both"/>
        <w:rPr>
          <w:noProof/>
        </w:rPr>
      </w:pPr>
      <w:r w:rsidRPr="004D5AD1">
        <w:rPr>
          <w:noProof/>
        </w:rPr>
        <w:t>Rozdział 2 – Właściwe organy</w:t>
      </w:r>
      <w:r w:rsidR="004D5AD1" w:rsidRPr="004D5AD1">
        <w:rPr>
          <w:noProof/>
        </w:rPr>
        <w:t xml:space="preserve"> i</w:t>
      </w:r>
      <w:r w:rsidR="004D5AD1">
        <w:rPr>
          <w:noProof/>
        </w:rPr>
        <w:t> </w:t>
      </w:r>
      <w:r w:rsidR="004D5AD1" w:rsidRPr="004D5AD1">
        <w:rPr>
          <w:noProof/>
        </w:rPr>
        <w:t>nie</w:t>
      </w:r>
      <w:r w:rsidRPr="004D5AD1">
        <w:rPr>
          <w:noProof/>
        </w:rPr>
        <w:t>zależna weryfikacja</w:t>
      </w:r>
    </w:p>
    <w:p w14:paraId="2889ED66" w14:textId="0D8A8415" w:rsidR="00BC3357" w:rsidRPr="004D5AD1" w:rsidRDefault="00BC3357" w:rsidP="00BC3357">
      <w:pPr>
        <w:pStyle w:val="Normal10"/>
        <w:shd w:val="clear" w:color="auto" w:fill="FFFFFF"/>
        <w:spacing w:before="0" w:beforeAutospacing="0" w:after="0" w:afterAutospacing="0"/>
        <w:jc w:val="both"/>
        <w:rPr>
          <w:noProof/>
        </w:rPr>
      </w:pPr>
      <w:r w:rsidRPr="004D5AD1">
        <w:rPr>
          <w:noProof/>
        </w:rPr>
        <w:t>W rozdziale tym określono przepisy rozporządzenia dotyczące zgodności, uzupełniające przepisy dotyczące kar zawarte</w:t>
      </w:r>
      <w:r w:rsidR="004D5AD1" w:rsidRPr="004D5AD1">
        <w:rPr>
          <w:noProof/>
        </w:rPr>
        <w:t xml:space="preserve"> w</w:t>
      </w:r>
      <w:r w:rsidR="004D5AD1">
        <w:rPr>
          <w:noProof/>
        </w:rPr>
        <w:t> </w:t>
      </w:r>
      <w:r w:rsidR="004D5AD1" w:rsidRPr="004D5AD1">
        <w:rPr>
          <w:noProof/>
        </w:rPr>
        <w:t>roz</w:t>
      </w:r>
      <w:r w:rsidRPr="004D5AD1">
        <w:rPr>
          <w:noProof/>
        </w:rPr>
        <w:t>dziale 6. Określono</w:t>
      </w:r>
      <w:r w:rsidR="004D5AD1" w:rsidRPr="004D5AD1">
        <w:rPr>
          <w:noProof/>
        </w:rPr>
        <w:t xml:space="preserve"> w</w:t>
      </w:r>
      <w:r w:rsidR="004D5AD1">
        <w:rPr>
          <w:noProof/>
        </w:rPr>
        <w:t> </w:t>
      </w:r>
      <w:r w:rsidR="004D5AD1" w:rsidRPr="004D5AD1">
        <w:rPr>
          <w:noProof/>
        </w:rPr>
        <w:t>nim</w:t>
      </w:r>
      <w:r w:rsidRPr="004D5AD1">
        <w:rPr>
          <w:noProof/>
        </w:rPr>
        <w:t xml:space="preserve"> zadania właściwych organów,</w:t>
      </w:r>
      <w:r w:rsidR="004D5AD1" w:rsidRPr="004D5AD1">
        <w:rPr>
          <w:noProof/>
        </w:rPr>
        <w:t xml:space="preserve"> w</w:t>
      </w:r>
      <w:r w:rsidR="004D5AD1">
        <w:rPr>
          <w:noProof/>
        </w:rPr>
        <w:t> </w:t>
      </w:r>
      <w:r w:rsidR="004D5AD1" w:rsidRPr="004D5AD1">
        <w:rPr>
          <w:noProof/>
        </w:rPr>
        <w:t>szc</w:t>
      </w:r>
      <w:r w:rsidRPr="004D5AD1">
        <w:rPr>
          <w:noProof/>
        </w:rPr>
        <w:t>zególności przepisy dotyczące kontroli</w:t>
      </w:r>
      <w:r w:rsidR="004D5AD1" w:rsidRPr="004D5AD1">
        <w:rPr>
          <w:noProof/>
        </w:rPr>
        <w:t xml:space="preserve"> i</w:t>
      </w:r>
      <w:r w:rsidR="004D5AD1">
        <w:rPr>
          <w:noProof/>
        </w:rPr>
        <w:t> </w:t>
      </w:r>
      <w:r w:rsidR="004D5AD1" w:rsidRPr="004D5AD1">
        <w:rPr>
          <w:noProof/>
        </w:rPr>
        <w:t>ska</w:t>
      </w:r>
      <w:r w:rsidRPr="004D5AD1">
        <w:rPr>
          <w:noProof/>
        </w:rPr>
        <w:t>rg,</w:t>
      </w:r>
      <w:r w:rsidR="004D5AD1" w:rsidRPr="004D5AD1">
        <w:rPr>
          <w:noProof/>
        </w:rPr>
        <w:t xml:space="preserve"> a</w:t>
      </w:r>
      <w:r w:rsidR="004D5AD1">
        <w:rPr>
          <w:noProof/>
        </w:rPr>
        <w:t> </w:t>
      </w:r>
      <w:r w:rsidR="004D5AD1" w:rsidRPr="004D5AD1">
        <w:rPr>
          <w:noProof/>
        </w:rPr>
        <w:t>tak</w:t>
      </w:r>
      <w:r w:rsidRPr="004D5AD1">
        <w:rPr>
          <w:noProof/>
        </w:rPr>
        <w:t>że rolę niezależnych akredytowanych weryfikatorów</w:t>
      </w:r>
      <w:r w:rsidR="004D5AD1" w:rsidRPr="004D5AD1">
        <w:rPr>
          <w:noProof/>
        </w:rPr>
        <w:t xml:space="preserve"> i</w:t>
      </w:r>
      <w:r w:rsidR="004D5AD1">
        <w:rPr>
          <w:noProof/>
        </w:rPr>
        <w:t> </w:t>
      </w:r>
      <w:r w:rsidR="004D5AD1" w:rsidRPr="004D5AD1">
        <w:rPr>
          <w:noProof/>
        </w:rPr>
        <w:t>obo</w:t>
      </w:r>
      <w:r w:rsidRPr="004D5AD1">
        <w:rPr>
          <w:noProof/>
        </w:rPr>
        <w:t>wiązujące ich procedury</w:t>
      </w:r>
      <w:r w:rsidR="004D5AD1" w:rsidRPr="004D5AD1">
        <w:rPr>
          <w:noProof/>
        </w:rPr>
        <w:t xml:space="preserve"> w</w:t>
      </w:r>
      <w:r w:rsidR="004D5AD1">
        <w:rPr>
          <w:noProof/>
        </w:rPr>
        <w:t> </w:t>
      </w:r>
      <w:r w:rsidR="004D5AD1" w:rsidRPr="004D5AD1">
        <w:rPr>
          <w:noProof/>
        </w:rPr>
        <w:t>odn</w:t>
      </w:r>
      <w:r w:rsidRPr="004D5AD1">
        <w:rPr>
          <w:noProof/>
        </w:rPr>
        <w:t>iesieniu do weryfikacji danych dotyczących emisji metanu zgłaszanych przez operatorów.</w:t>
      </w:r>
    </w:p>
    <w:p w14:paraId="4E6538D2" w14:textId="2AEDDA1A" w:rsidR="00BC3357" w:rsidRPr="004D5AD1" w:rsidRDefault="00BC3357" w:rsidP="00BC3357">
      <w:pPr>
        <w:pStyle w:val="Normal10"/>
        <w:shd w:val="clear" w:color="auto" w:fill="FFFFFF"/>
        <w:spacing w:before="0" w:beforeAutospacing="0" w:after="0" w:afterAutospacing="0"/>
        <w:jc w:val="both"/>
        <w:rPr>
          <w:noProof/>
        </w:rPr>
      </w:pPr>
    </w:p>
    <w:p w14:paraId="1C41B72B" w14:textId="61338F73" w:rsidR="00BC3357" w:rsidRPr="004D5AD1" w:rsidRDefault="00BC3357" w:rsidP="00BC3357">
      <w:pPr>
        <w:pStyle w:val="Normal10"/>
        <w:shd w:val="clear" w:color="auto" w:fill="FFFFFF"/>
        <w:spacing w:before="0" w:beforeAutospacing="0" w:after="0" w:afterAutospacing="0"/>
        <w:jc w:val="both"/>
        <w:rPr>
          <w:noProof/>
        </w:rPr>
      </w:pPr>
      <w:r w:rsidRPr="004D5AD1">
        <w:rPr>
          <w:noProof/>
        </w:rPr>
        <w:t>Rozdział 3 – Emisje metanu</w:t>
      </w:r>
      <w:r w:rsidR="004D5AD1" w:rsidRPr="004D5AD1">
        <w:rPr>
          <w:noProof/>
        </w:rPr>
        <w:t xml:space="preserve"> w</w:t>
      </w:r>
      <w:r w:rsidR="004D5AD1">
        <w:rPr>
          <w:noProof/>
        </w:rPr>
        <w:t> </w:t>
      </w:r>
      <w:r w:rsidR="004D5AD1" w:rsidRPr="004D5AD1">
        <w:rPr>
          <w:noProof/>
        </w:rPr>
        <w:t>sek</w:t>
      </w:r>
      <w:r w:rsidRPr="004D5AD1">
        <w:rPr>
          <w:noProof/>
        </w:rPr>
        <w:t>torze ropy naftowej</w:t>
      </w:r>
      <w:r w:rsidR="004D5AD1" w:rsidRPr="004D5AD1">
        <w:rPr>
          <w:noProof/>
        </w:rPr>
        <w:t xml:space="preserve"> i</w:t>
      </w:r>
      <w:r w:rsidR="004D5AD1">
        <w:rPr>
          <w:noProof/>
        </w:rPr>
        <w:t> </w:t>
      </w:r>
      <w:r w:rsidR="004D5AD1" w:rsidRPr="004D5AD1">
        <w:rPr>
          <w:noProof/>
        </w:rPr>
        <w:t>gaz</w:t>
      </w:r>
      <w:r w:rsidRPr="004D5AD1">
        <w:rPr>
          <w:noProof/>
        </w:rPr>
        <w:t>u</w:t>
      </w:r>
    </w:p>
    <w:p w14:paraId="201CAF29" w14:textId="006970A1" w:rsidR="00BC3357" w:rsidRPr="004D5AD1" w:rsidRDefault="00BC3357" w:rsidP="00BC3357">
      <w:pPr>
        <w:pStyle w:val="Normal10"/>
        <w:shd w:val="clear" w:color="auto" w:fill="FFFFFF"/>
        <w:spacing w:before="0" w:beforeAutospacing="0" w:after="0" w:afterAutospacing="0"/>
        <w:jc w:val="both"/>
        <w:rPr>
          <w:noProof/>
        </w:rPr>
      </w:pPr>
      <w:r w:rsidRPr="004D5AD1">
        <w:rPr>
          <w:noProof/>
        </w:rPr>
        <w:t>W tym rozdziale określono obowiązki operatorów</w:t>
      </w:r>
      <w:r w:rsidR="004D5AD1" w:rsidRPr="004D5AD1">
        <w:rPr>
          <w:noProof/>
        </w:rPr>
        <w:t xml:space="preserve"> i</w:t>
      </w:r>
      <w:r w:rsidR="004D5AD1">
        <w:rPr>
          <w:noProof/>
        </w:rPr>
        <w:t> </w:t>
      </w:r>
      <w:r w:rsidR="004D5AD1" w:rsidRPr="004D5AD1">
        <w:rPr>
          <w:noProof/>
        </w:rPr>
        <w:t>pań</w:t>
      </w:r>
      <w:r w:rsidRPr="004D5AD1">
        <w:rPr>
          <w:noProof/>
        </w:rPr>
        <w:t>stw członkowskich</w:t>
      </w:r>
      <w:r w:rsidR="004D5AD1" w:rsidRPr="004D5AD1">
        <w:rPr>
          <w:noProof/>
        </w:rPr>
        <w:t xml:space="preserve"> w</w:t>
      </w:r>
      <w:r w:rsidR="004D5AD1">
        <w:rPr>
          <w:noProof/>
        </w:rPr>
        <w:t> </w:t>
      </w:r>
      <w:r w:rsidR="004D5AD1" w:rsidRPr="004D5AD1">
        <w:rPr>
          <w:noProof/>
        </w:rPr>
        <w:t>odn</w:t>
      </w:r>
      <w:r w:rsidRPr="004D5AD1">
        <w:rPr>
          <w:noProof/>
        </w:rPr>
        <w:t>iesieniu do pomiaru</w:t>
      </w:r>
      <w:r w:rsidR="004D5AD1" w:rsidRPr="004D5AD1">
        <w:rPr>
          <w:noProof/>
        </w:rPr>
        <w:t xml:space="preserve"> i</w:t>
      </w:r>
      <w:r w:rsidR="004D5AD1">
        <w:rPr>
          <w:noProof/>
        </w:rPr>
        <w:t> </w:t>
      </w:r>
      <w:r w:rsidR="004D5AD1" w:rsidRPr="004D5AD1">
        <w:rPr>
          <w:noProof/>
        </w:rPr>
        <w:t>rap</w:t>
      </w:r>
      <w:r w:rsidRPr="004D5AD1">
        <w:rPr>
          <w:noProof/>
        </w:rPr>
        <w:t>ortowania danych dotyczących emisji metanu,</w:t>
      </w:r>
      <w:r w:rsidR="004D5AD1" w:rsidRPr="004D5AD1">
        <w:rPr>
          <w:noProof/>
        </w:rPr>
        <w:t xml:space="preserve"> a</w:t>
      </w:r>
      <w:r w:rsidR="004D5AD1">
        <w:rPr>
          <w:noProof/>
        </w:rPr>
        <w:t> </w:t>
      </w:r>
      <w:r w:rsidR="004D5AD1" w:rsidRPr="004D5AD1">
        <w:rPr>
          <w:noProof/>
        </w:rPr>
        <w:t>tak</w:t>
      </w:r>
      <w:r w:rsidRPr="004D5AD1">
        <w:rPr>
          <w:noProof/>
        </w:rPr>
        <w:t>że obowiązki</w:t>
      </w:r>
      <w:r w:rsidR="004D5AD1" w:rsidRPr="004D5AD1">
        <w:rPr>
          <w:noProof/>
        </w:rPr>
        <w:t xml:space="preserve"> w</w:t>
      </w:r>
      <w:r w:rsidR="004D5AD1">
        <w:rPr>
          <w:noProof/>
        </w:rPr>
        <w:t> </w:t>
      </w:r>
      <w:r w:rsidR="004D5AD1" w:rsidRPr="004D5AD1">
        <w:rPr>
          <w:noProof/>
        </w:rPr>
        <w:t>zak</w:t>
      </w:r>
      <w:r w:rsidRPr="004D5AD1">
        <w:rPr>
          <w:noProof/>
        </w:rPr>
        <w:t>resie redukcji emisji metanu</w:t>
      </w:r>
      <w:r w:rsidR="004D5AD1" w:rsidRPr="004D5AD1">
        <w:rPr>
          <w:noProof/>
        </w:rPr>
        <w:t xml:space="preserve"> w</w:t>
      </w:r>
      <w:r w:rsidR="004D5AD1">
        <w:rPr>
          <w:noProof/>
        </w:rPr>
        <w:t> </w:t>
      </w:r>
      <w:r w:rsidR="004D5AD1" w:rsidRPr="004D5AD1">
        <w:rPr>
          <w:noProof/>
        </w:rPr>
        <w:t>odn</w:t>
      </w:r>
      <w:r w:rsidRPr="004D5AD1">
        <w:rPr>
          <w:noProof/>
        </w:rPr>
        <w:t xml:space="preserve">ośnych lokalizacjach. </w:t>
      </w:r>
    </w:p>
    <w:p w14:paraId="077876C3" w14:textId="26F36836" w:rsidR="00BC3357" w:rsidRPr="004D5AD1" w:rsidRDefault="00BC3357" w:rsidP="00BC3357">
      <w:pPr>
        <w:pStyle w:val="Normal10"/>
        <w:shd w:val="clear" w:color="auto" w:fill="FFFFFF"/>
        <w:spacing w:before="0" w:beforeAutospacing="0" w:after="0" w:afterAutospacing="0"/>
        <w:jc w:val="both"/>
        <w:rPr>
          <w:noProof/>
        </w:rPr>
      </w:pPr>
    </w:p>
    <w:p w14:paraId="3370D987" w14:textId="6B4852FF" w:rsidR="00BC3357" w:rsidRPr="004D5AD1" w:rsidRDefault="00BC3357" w:rsidP="00BC3357">
      <w:pPr>
        <w:pStyle w:val="Normal10"/>
        <w:shd w:val="clear" w:color="auto" w:fill="FFFFFF"/>
        <w:spacing w:before="0" w:beforeAutospacing="0" w:after="0" w:afterAutospacing="0"/>
        <w:jc w:val="both"/>
        <w:rPr>
          <w:noProof/>
        </w:rPr>
      </w:pPr>
      <w:r w:rsidRPr="004D5AD1">
        <w:rPr>
          <w:noProof/>
        </w:rPr>
        <w:t>Rozdział 4 – Emisje metanu</w:t>
      </w:r>
      <w:r w:rsidR="004D5AD1" w:rsidRPr="004D5AD1">
        <w:rPr>
          <w:noProof/>
        </w:rPr>
        <w:t xml:space="preserve"> w</w:t>
      </w:r>
      <w:r w:rsidR="004D5AD1">
        <w:rPr>
          <w:noProof/>
        </w:rPr>
        <w:t> </w:t>
      </w:r>
      <w:r w:rsidR="004D5AD1" w:rsidRPr="004D5AD1">
        <w:rPr>
          <w:noProof/>
        </w:rPr>
        <w:t>sek</w:t>
      </w:r>
      <w:r w:rsidRPr="004D5AD1">
        <w:rPr>
          <w:noProof/>
        </w:rPr>
        <w:t>torze węglowym</w:t>
      </w:r>
    </w:p>
    <w:p w14:paraId="0B55DCD9" w14:textId="63A57AB8" w:rsidR="00BC3357" w:rsidRPr="004D5AD1" w:rsidRDefault="00BC3357" w:rsidP="00BC3357">
      <w:pPr>
        <w:pStyle w:val="Normal10"/>
        <w:shd w:val="clear" w:color="auto" w:fill="FFFFFF"/>
        <w:spacing w:before="0" w:beforeAutospacing="0" w:after="0" w:afterAutospacing="0"/>
        <w:jc w:val="both"/>
        <w:rPr>
          <w:noProof/>
        </w:rPr>
      </w:pPr>
      <w:r w:rsidRPr="004D5AD1">
        <w:rPr>
          <w:noProof/>
        </w:rPr>
        <w:t>Rozdział ten jest podzielony na trzy sekcje obejmujące następujące kwestie: monitorowanie</w:t>
      </w:r>
      <w:r w:rsidR="004D5AD1" w:rsidRPr="004D5AD1">
        <w:rPr>
          <w:noProof/>
        </w:rPr>
        <w:t xml:space="preserve"> i</w:t>
      </w:r>
      <w:r w:rsidR="004D5AD1">
        <w:rPr>
          <w:noProof/>
        </w:rPr>
        <w:t> </w:t>
      </w:r>
      <w:r w:rsidR="004D5AD1" w:rsidRPr="004D5AD1">
        <w:rPr>
          <w:noProof/>
        </w:rPr>
        <w:t>rap</w:t>
      </w:r>
      <w:r w:rsidRPr="004D5AD1">
        <w:rPr>
          <w:noProof/>
        </w:rPr>
        <w:t>ortowanie emisji metanu</w:t>
      </w:r>
      <w:r w:rsidR="004D5AD1" w:rsidRPr="004D5AD1">
        <w:rPr>
          <w:noProof/>
        </w:rPr>
        <w:t xml:space="preserve"> w</w:t>
      </w:r>
      <w:r w:rsidR="004D5AD1">
        <w:rPr>
          <w:noProof/>
        </w:rPr>
        <w:t> </w:t>
      </w:r>
      <w:r w:rsidR="004D5AD1" w:rsidRPr="004D5AD1">
        <w:rPr>
          <w:noProof/>
        </w:rPr>
        <w:t>czy</w:t>
      </w:r>
      <w:r w:rsidRPr="004D5AD1">
        <w:rPr>
          <w:noProof/>
        </w:rPr>
        <w:t>nnych kopalniach; ograniczenie emisji metanu</w:t>
      </w:r>
      <w:r w:rsidR="004D5AD1" w:rsidRPr="004D5AD1">
        <w:rPr>
          <w:noProof/>
        </w:rPr>
        <w:t xml:space="preserve"> w</w:t>
      </w:r>
      <w:r w:rsidR="004D5AD1">
        <w:rPr>
          <w:noProof/>
        </w:rPr>
        <w:t> </w:t>
      </w:r>
      <w:r w:rsidR="004D5AD1" w:rsidRPr="004D5AD1">
        <w:rPr>
          <w:noProof/>
        </w:rPr>
        <w:t>czy</w:t>
      </w:r>
      <w:r w:rsidRPr="004D5AD1">
        <w:rPr>
          <w:noProof/>
        </w:rPr>
        <w:t>nnych podziemnych kopalniach oraz</w:t>
      </w:r>
      <w:r w:rsidR="004D5AD1" w:rsidRPr="004D5AD1">
        <w:rPr>
          <w:noProof/>
        </w:rPr>
        <w:t xml:space="preserve"> w</w:t>
      </w:r>
      <w:r w:rsidR="004D5AD1">
        <w:rPr>
          <w:noProof/>
        </w:rPr>
        <w:t> </w:t>
      </w:r>
      <w:r w:rsidR="004D5AD1" w:rsidRPr="004D5AD1">
        <w:rPr>
          <w:noProof/>
        </w:rPr>
        <w:t>zam</w:t>
      </w:r>
      <w:r w:rsidRPr="004D5AD1">
        <w:rPr>
          <w:noProof/>
        </w:rPr>
        <w:t>kniętych</w:t>
      </w:r>
      <w:r w:rsidR="004D5AD1" w:rsidRPr="004D5AD1">
        <w:rPr>
          <w:noProof/>
        </w:rPr>
        <w:t xml:space="preserve"> i</w:t>
      </w:r>
      <w:r w:rsidR="004D5AD1">
        <w:rPr>
          <w:noProof/>
        </w:rPr>
        <w:t> </w:t>
      </w:r>
      <w:r w:rsidR="004D5AD1" w:rsidRPr="004D5AD1">
        <w:rPr>
          <w:noProof/>
        </w:rPr>
        <w:t>nie</w:t>
      </w:r>
      <w:r w:rsidRPr="004D5AD1">
        <w:rPr>
          <w:noProof/>
        </w:rPr>
        <w:t>czynnych podziemnych kopalniach.</w:t>
      </w:r>
    </w:p>
    <w:p w14:paraId="78062B46" w14:textId="67362D3C" w:rsidR="00BC3357" w:rsidRPr="004D5AD1" w:rsidRDefault="00BC3357" w:rsidP="00BC3357">
      <w:pPr>
        <w:pStyle w:val="Normal10"/>
        <w:shd w:val="clear" w:color="auto" w:fill="FFFFFF"/>
        <w:spacing w:before="0" w:beforeAutospacing="0" w:after="0" w:afterAutospacing="0"/>
        <w:jc w:val="both"/>
        <w:rPr>
          <w:noProof/>
        </w:rPr>
      </w:pPr>
      <w:r w:rsidRPr="004D5AD1">
        <w:rPr>
          <w:noProof/>
        </w:rPr>
        <w:t>W każdej sekcji określono obowiązki operatorów</w:t>
      </w:r>
      <w:r w:rsidR="004D5AD1" w:rsidRPr="004D5AD1">
        <w:rPr>
          <w:noProof/>
        </w:rPr>
        <w:t xml:space="preserve"> i</w:t>
      </w:r>
      <w:r w:rsidR="004D5AD1">
        <w:rPr>
          <w:noProof/>
        </w:rPr>
        <w:t> </w:t>
      </w:r>
      <w:r w:rsidR="004D5AD1" w:rsidRPr="004D5AD1">
        <w:rPr>
          <w:noProof/>
        </w:rPr>
        <w:t>pań</w:t>
      </w:r>
      <w:r w:rsidRPr="004D5AD1">
        <w:rPr>
          <w:noProof/>
        </w:rPr>
        <w:t>stw członkowskich</w:t>
      </w:r>
      <w:r w:rsidR="004D5AD1" w:rsidRPr="004D5AD1">
        <w:rPr>
          <w:noProof/>
        </w:rPr>
        <w:t xml:space="preserve"> w</w:t>
      </w:r>
      <w:r w:rsidR="004D5AD1">
        <w:rPr>
          <w:noProof/>
        </w:rPr>
        <w:t> </w:t>
      </w:r>
      <w:r w:rsidR="004D5AD1" w:rsidRPr="004D5AD1">
        <w:rPr>
          <w:noProof/>
        </w:rPr>
        <w:t>odn</w:t>
      </w:r>
      <w:r w:rsidRPr="004D5AD1">
        <w:rPr>
          <w:noProof/>
        </w:rPr>
        <w:t>iesieniu do pomiaru</w:t>
      </w:r>
      <w:r w:rsidR="004D5AD1" w:rsidRPr="004D5AD1">
        <w:rPr>
          <w:noProof/>
        </w:rPr>
        <w:t xml:space="preserve"> i</w:t>
      </w:r>
      <w:r w:rsidR="004D5AD1">
        <w:rPr>
          <w:noProof/>
        </w:rPr>
        <w:t> </w:t>
      </w:r>
      <w:r w:rsidR="004D5AD1" w:rsidRPr="004D5AD1">
        <w:rPr>
          <w:noProof/>
        </w:rPr>
        <w:t>rap</w:t>
      </w:r>
      <w:r w:rsidRPr="004D5AD1">
        <w:rPr>
          <w:noProof/>
        </w:rPr>
        <w:t>ortowania danych dotyczących emisji metanu,</w:t>
      </w:r>
      <w:r w:rsidR="004D5AD1" w:rsidRPr="004D5AD1">
        <w:rPr>
          <w:noProof/>
        </w:rPr>
        <w:t xml:space="preserve"> a</w:t>
      </w:r>
      <w:r w:rsidR="004D5AD1">
        <w:rPr>
          <w:noProof/>
        </w:rPr>
        <w:t> </w:t>
      </w:r>
      <w:r w:rsidR="004D5AD1" w:rsidRPr="004D5AD1">
        <w:rPr>
          <w:noProof/>
        </w:rPr>
        <w:t>tak</w:t>
      </w:r>
      <w:r w:rsidRPr="004D5AD1">
        <w:rPr>
          <w:noProof/>
        </w:rPr>
        <w:t>że obowiązki</w:t>
      </w:r>
      <w:r w:rsidR="004D5AD1" w:rsidRPr="004D5AD1">
        <w:rPr>
          <w:noProof/>
        </w:rPr>
        <w:t xml:space="preserve"> w</w:t>
      </w:r>
      <w:r w:rsidR="004D5AD1">
        <w:rPr>
          <w:noProof/>
        </w:rPr>
        <w:t> </w:t>
      </w:r>
      <w:r w:rsidR="004D5AD1" w:rsidRPr="004D5AD1">
        <w:rPr>
          <w:noProof/>
        </w:rPr>
        <w:t>zak</w:t>
      </w:r>
      <w:r w:rsidRPr="004D5AD1">
        <w:rPr>
          <w:noProof/>
        </w:rPr>
        <w:t>resie redukcji emisji metanu</w:t>
      </w:r>
      <w:r w:rsidR="004D5AD1" w:rsidRPr="004D5AD1">
        <w:rPr>
          <w:noProof/>
        </w:rPr>
        <w:t xml:space="preserve"> w</w:t>
      </w:r>
      <w:r w:rsidR="004D5AD1">
        <w:rPr>
          <w:noProof/>
        </w:rPr>
        <w:t> </w:t>
      </w:r>
      <w:r w:rsidR="004D5AD1" w:rsidRPr="004D5AD1">
        <w:rPr>
          <w:noProof/>
        </w:rPr>
        <w:t>odn</w:t>
      </w:r>
      <w:r w:rsidRPr="004D5AD1">
        <w:rPr>
          <w:noProof/>
        </w:rPr>
        <w:t xml:space="preserve">ośnych lokalizacjach. </w:t>
      </w:r>
    </w:p>
    <w:p w14:paraId="1FB71059" w14:textId="4F89634E" w:rsidR="00BC3357" w:rsidRPr="004D5AD1" w:rsidRDefault="00BC3357" w:rsidP="00BC3357">
      <w:pPr>
        <w:pStyle w:val="Normal10"/>
        <w:shd w:val="clear" w:color="auto" w:fill="FFFFFF"/>
        <w:spacing w:before="0" w:beforeAutospacing="0" w:after="0" w:afterAutospacing="0"/>
        <w:jc w:val="both"/>
        <w:rPr>
          <w:noProof/>
        </w:rPr>
      </w:pPr>
    </w:p>
    <w:p w14:paraId="4CFAD9CF" w14:textId="54361B1D" w:rsidR="00BC3357" w:rsidRPr="004D5AD1" w:rsidRDefault="00BC3357" w:rsidP="00BC3357">
      <w:pPr>
        <w:pStyle w:val="Normal10"/>
        <w:shd w:val="clear" w:color="auto" w:fill="FFFFFF"/>
        <w:spacing w:before="0" w:beforeAutospacing="0" w:after="0" w:afterAutospacing="0"/>
        <w:jc w:val="both"/>
        <w:rPr>
          <w:noProof/>
        </w:rPr>
      </w:pPr>
      <w:r w:rsidRPr="004D5AD1">
        <w:rPr>
          <w:noProof/>
        </w:rPr>
        <w:t>Rozdział 5 – Emisje metanu występujące poza Unią</w:t>
      </w:r>
    </w:p>
    <w:p w14:paraId="4E82ABDF" w14:textId="3732C361" w:rsidR="00BC3357" w:rsidRPr="004D5AD1" w:rsidRDefault="00BC3357" w:rsidP="00BC3357">
      <w:pPr>
        <w:pStyle w:val="Normal10"/>
        <w:shd w:val="clear" w:color="auto" w:fill="FFFFFF"/>
        <w:spacing w:before="0" w:beforeAutospacing="0" w:after="0" w:afterAutospacing="0"/>
        <w:jc w:val="both"/>
        <w:rPr>
          <w:noProof/>
        </w:rPr>
      </w:pPr>
      <w:r w:rsidRPr="004D5AD1">
        <w:rPr>
          <w:noProof/>
        </w:rPr>
        <w:t>W tym rozdziale wprowadzono narzędzia zapewniania przejrzystości</w:t>
      </w:r>
      <w:r w:rsidR="004D5AD1" w:rsidRPr="004D5AD1">
        <w:rPr>
          <w:noProof/>
        </w:rPr>
        <w:t xml:space="preserve"> w</w:t>
      </w:r>
      <w:r w:rsidR="004D5AD1">
        <w:rPr>
          <w:noProof/>
        </w:rPr>
        <w:t> </w:t>
      </w:r>
      <w:r w:rsidR="004D5AD1" w:rsidRPr="004D5AD1">
        <w:rPr>
          <w:noProof/>
        </w:rPr>
        <w:t>odn</w:t>
      </w:r>
      <w:r w:rsidRPr="004D5AD1">
        <w:rPr>
          <w:noProof/>
        </w:rPr>
        <w:t>iesieniu do emisji metanu występujących poza Unią: obowiązek</w:t>
      </w:r>
      <w:r w:rsidR="004D5AD1" w:rsidRPr="004D5AD1">
        <w:rPr>
          <w:noProof/>
        </w:rPr>
        <w:t xml:space="preserve"> w</w:t>
      </w:r>
      <w:r w:rsidR="004D5AD1">
        <w:rPr>
          <w:noProof/>
        </w:rPr>
        <w:t> </w:t>
      </w:r>
      <w:r w:rsidR="004D5AD1" w:rsidRPr="004D5AD1">
        <w:rPr>
          <w:noProof/>
        </w:rPr>
        <w:t>zak</w:t>
      </w:r>
      <w:r w:rsidRPr="004D5AD1">
        <w:rPr>
          <w:noProof/>
        </w:rPr>
        <w:t>resie przekazywania przez importerów informacji na temat paliw kopalnych</w:t>
      </w:r>
      <w:r w:rsidR="004D5AD1" w:rsidRPr="004D5AD1">
        <w:rPr>
          <w:noProof/>
        </w:rPr>
        <w:t xml:space="preserve"> w</w:t>
      </w:r>
      <w:r w:rsidR="004D5AD1">
        <w:rPr>
          <w:noProof/>
        </w:rPr>
        <w:t> </w:t>
      </w:r>
      <w:r w:rsidR="004D5AD1" w:rsidRPr="004D5AD1">
        <w:rPr>
          <w:noProof/>
        </w:rPr>
        <w:t>kon</w:t>
      </w:r>
      <w:r w:rsidRPr="004D5AD1">
        <w:rPr>
          <w:noProof/>
        </w:rPr>
        <w:t>tekście emisji metanu, wykaz zapewniający przejrzystość obejmujący przedsiębiorstwa</w:t>
      </w:r>
      <w:r w:rsidR="004D5AD1" w:rsidRPr="004D5AD1">
        <w:rPr>
          <w:noProof/>
        </w:rPr>
        <w:t xml:space="preserve"> i</w:t>
      </w:r>
      <w:r w:rsidR="004D5AD1">
        <w:rPr>
          <w:noProof/>
        </w:rPr>
        <w:t> </w:t>
      </w:r>
      <w:r w:rsidR="004D5AD1" w:rsidRPr="004D5AD1">
        <w:rPr>
          <w:noProof/>
        </w:rPr>
        <w:t>pań</w:t>
      </w:r>
      <w:r w:rsidRPr="004D5AD1">
        <w:rPr>
          <w:noProof/>
        </w:rPr>
        <w:t>stwa UE oraz przedsiębiorstwa eksportujące energię pochodzącą</w:t>
      </w:r>
      <w:r w:rsidR="004D5AD1" w:rsidRPr="004D5AD1">
        <w:rPr>
          <w:noProof/>
        </w:rPr>
        <w:t xml:space="preserve"> z</w:t>
      </w:r>
      <w:r w:rsidR="004D5AD1">
        <w:rPr>
          <w:noProof/>
        </w:rPr>
        <w:t> </w:t>
      </w:r>
      <w:r w:rsidR="004D5AD1" w:rsidRPr="004D5AD1">
        <w:rPr>
          <w:noProof/>
        </w:rPr>
        <w:t>pal</w:t>
      </w:r>
      <w:r w:rsidRPr="004D5AD1">
        <w:rPr>
          <w:noProof/>
        </w:rPr>
        <w:t>iw kopalnych do Unii, zawierający informacje na temat ich międzynarodowych obowiązków sprawozdawczych</w:t>
      </w:r>
      <w:r w:rsidR="004D5AD1" w:rsidRPr="004D5AD1">
        <w:rPr>
          <w:noProof/>
        </w:rPr>
        <w:t xml:space="preserve"> w</w:t>
      </w:r>
      <w:r w:rsidR="004D5AD1">
        <w:rPr>
          <w:noProof/>
        </w:rPr>
        <w:t> </w:t>
      </w:r>
      <w:r w:rsidR="004D5AD1" w:rsidRPr="004D5AD1">
        <w:rPr>
          <w:noProof/>
        </w:rPr>
        <w:t>odn</w:t>
      </w:r>
      <w:r w:rsidRPr="004D5AD1">
        <w:rPr>
          <w:noProof/>
        </w:rPr>
        <w:t>iesieniu do emisji metanu,</w:t>
      </w:r>
      <w:r w:rsidR="004D5AD1" w:rsidRPr="004D5AD1">
        <w:rPr>
          <w:noProof/>
        </w:rPr>
        <w:t xml:space="preserve"> a</w:t>
      </w:r>
      <w:r w:rsidR="004D5AD1">
        <w:rPr>
          <w:noProof/>
        </w:rPr>
        <w:t> </w:t>
      </w:r>
      <w:r w:rsidR="004D5AD1" w:rsidRPr="004D5AD1">
        <w:rPr>
          <w:noProof/>
        </w:rPr>
        <w:t>tak</w:t>
      </w:r>
      <w:r w:rsidRPr="004D5AD1">
        <w:rPr>
          <w:noProof/>
        </w:rPr>
        <w:t>że globalne narzędzie monitorowania służące do ujawniania wielkości</w:t>
      </w:r>
      <w:r w:rsidR="004D5AD1" w:rsidRPr="004D5AD1">
        <w:rPr>
          <w:noProof/>
        </w:rPr>
        <w:t xml:space="preserve"> i</w:t>
      </w:r>
      <w:r w:rsidR="004D5AD1">
        <w:rPr>
          <w:noProof/>
        </w:rPr>
        <w:t> </w:t>
      </w:r>
      <w:r w:rsidR="004D5AD1" w:rsidRPr="004D5AD1">
        <w:rPr>
          <w:noProof/>
        </w:rPr>
        <w:t>pow</w:t>
      </w:r>
      <w:r w:rsidRPr="004D5AD1">
        <w:rPr>
          <w:noProof/>
        </w:rPr>
        <w:t>tarzalności emisji oraz lokalizacji emitentów metanu na świecie.</w:t>
      </w:r>
    </w:p>
    <w:p w14:paraId="06086368" w14:textId="50731ADD" w:rsidR="00BC3357" w:rsidRPr="004D5AD1" w:rsidRDefault="00BC3357" w:rsidP="00BC3357">
      <w:pPr>
        <w:pStyle w:val="Normal10"/>
        <w:shd w:val="clear" w:color="auto" w:fill="FFFFFF"/>
        <w:spacing w:before="0" w:beforeAutospacing="0" w:after="0" w:afterAutospacing="0"/>
        <w:jc w:val="both"/>
        <w:rPr>
          <w:noProof/>
        </w:rPr>
      </w:pPr>
      <w:r w:rsidRPr="004D5AD1">
        <w:rPr>
          <w:noProof/>
        </w:rPr>
        <w:t>Ponadto, aby uwzględnić przywóz energii pochodzącej</w:t>
      </w:r>
      <w:r w:rsidR="004D5AD1" w:rsidRPr="004D5AD1">
        <w:rPr>
          <w:noProof/>
        </w:rPr>
        <w:t xml:space="preserve"> z</w:t>
      </w:r>
      <w:r w:rsidR="004D5AD1">
        <w:rPr>
          <w:noProof/>
        </w:rPr>
        <w:t> </w:t>
      </w:r>
      <w:r w:rsidR="004D5AD1" w:rsidRPr="004D5AD1">
        <w:rPr>
          <w:noProof/>
        </w:rPr>
        <w:t>pal</w:t>
      </w:r>
      <w:r w:rsidRPr="004D5AD1">
        <w:rPr>
          <w:noProof/>
        </w:rPr>
        <w:t>iw kopalnych do Unii,</w:t>
      </w:r>
      <w:r w:rsidR="004D5AD1" w:rsidRPr="004D5AD1">
        <w:rPr>
          <w:noProof/>
        </w:rPr>
        <w:t xml:space="preserve"> w</w:t>
      </w:r>
      <w:r w:rsidR="004D5AD1">
        <w:rPr>
          <w:noProof/>
        </w:rPr>
        <w:t> </w:t>
      </w:r>
      <w:r w:rsidR="004D5AD1" w:rsidRPr="004D5AD1">
        <w:rPr>
          <w:noProof/>
        </w:rPr>
        <w:t>roz</w:t>
      </w:r>
      <w:r w:rsidRPr="004D5AD1">
        <w:rPr>
          <w:noProof/>
        </w:rPr>
        <w:t>dziale tym określono wymogi informacyjne obowiązujące importerów,</w:t>
      </w:r>
      <w:r w:rsidR="004D5AD1" w:rsidRPr="004D5AD1">
        <w:rPr>
          <w:noProof/>
        </w:rPr>
        <w:t xml:space="preserve"> a</w:t>
      </w:r>
      <w:r w:rsidR="004D5AD1">
        <w:rPr>
          <w:noProof/>
        </w:rPr>
        <w:t> </w:t>
      </w:r>
      <w:r w:rsidR="004D5AD1" w:rsidRPr="004D5AD1">
        <w:rPr>
          <w:noProof/>
        </w:rPr>
        <w:t>tak</w:t>
      </w:r>
      <w:r w:rsidRPr="004D5AD1">
        <w:rPr>
          <w:noProof/>
        </w:rPr>
        <w:t>że uprawnienia Komisji</w:t>
      </w:r>
      <w:r w:rsidR="004D5AD1" w:rsidRPr="004D5AD1">
        <w:rPr>
          <w:noProof/>
        </w:rPr>
        <w:t xml:space="preserve"> w</w:t>
      </w:r>
      <w:r w:rsidR="004D5AD1">
        <w:rPr>
          <w:noProof/>
        </w:rPr>
        <w:t> </w:t>
      </w:r>
      <w:r w:rsidR="004D5AD1" w:rsidRPr="004D5AD1">
        <w:rPr>
          <w:noProof/>
        </w:rPr>
        <w:t>zak</w:t>
      </w:r>
      <w:r w:rsidRPr="004D5AD1">
        <w:rPr>
          <w:noProof/>
        </w:rPr>
        <w:t>resie przedstawiania wniosków ustawodawczych</w:t>
      </w:r>
      <w:r w:rsidR="004D5AD1" w:rsidRPr="004D5AD1">
        <w:rPr>
          <w:noProof/>
        </w:rPr>
        <w:t xml:space="preserve"> w</w:t>
      </w:r>
      <w:r w:rsidR="004D5AD1">
        <w:rPr>
          <w:noProof/>
        </w:rPr>
        <w:t> </w:t>
      </w:r>
      <w:r w:rsidR="004D5AD1" w:rsidRPr="004D5AD1">
        <w:rPr>
          <w:noProof/>
        </w:rPr>
        <w:t>spr</w:t>
      </w:r>
      <w:r w:rsidRPr="004D5AD1">
        <w:rPr>
          <w:noProof/>
        </w:rPr>
        <w:t>awie zmian</w:t>
      </w:r>
      <w:r w:rsidR="004D5AD1" w:rsidRPr="004D5AD1">
        <w:rPr>
          <w:noProof/>
        </w:rPr>
        <w:t xml:space="preserve"> w</w:t>
      </w:r>
      <w:r w:rsidR="004D5AD1">
        <w:rPr>
          <w:noProof/>
        </w:rPr>
        <w:t> </w:t>
      </w:r>
      <w:r w:rsidR="004D5AD1" w:rsidRPr="004D5AD1">
        <w:rPr>
          <w:noProof/>
        </w:rPr>
        <w:t>cel</w:t>
      </w:r>
      <w:r w:rsidRPr="004D5AD1">
        <w:rPr>
          <w:noProof/>
        </w:rPr>
        <w:t>u nałożenia na importerów bardziej rygorystycznych środków, gdy dostępne będą lepsze dane dotyczące globalnej emisji metanu, oraz zapewnienia zgodności</w:t>
      </w:r>
      <w:r w:rsidR="004D5AD1" w:rsidRPr="004D5AD1">
        <w:rPr>
          <w:noProof/>
        </w:rPr>
        <w:t xml:space="preserve"> z</w:t>
      </w:r>
      <w:r w:rsidR="004D5AD1">
        <w:rPr>
          <w:noProof/>
        </w:rPr>
        <w:t> </w:t>
      </w:r>
      <w:r w:rsidR="004D5AD1" w:rsidRPr="004D5AD1">
        <w:rPr>
          <w:noProof/>
        </w:rPr>
        <w:t>maj</w:t>
      </w:r>
      <w:r w:rsidRPr="004D5AD1">
        <w:rPr>
          <w:noProof/>
        </w:rPr>
        <w:t>ącymi zastosowanie międzynarodowymi zobowiązaniami Unii.</w:t>
      </w:r>
    </w:p>
    <w:p w14:paraId="0ADA34A6" w14:textId="575A087A" w:rsidR="00BC3357" w:rsidRPr="004D5AD1" w:rsidRDefault="00BC3357" w:rsidP="00BC3357">
      <w:pPr>
        <w:pStyle w:val="Normal10"/>
        <w:shd w:val="clear" w:color="auto" w:fill="FFFFFF"/>
        <w:spacing w:before="0" w:beforeAutospacing="0" w:after="0" w:afterAutospacing="0"/>
        <w:jc w:val="both"/>
        <w:rPr>
          <w:noProof/>
        </w:rPr>
      </w:pPr>
    </w:p>
    <w:p w14:paraId="702269B1" w14:textId="1D92EFB4" w:rsidR="00BC3357" w:rsidRPr="004D5AD1" w:rsidRDefault="00BC3357" w:rsidP="00BC3357">
      <w:pPr>
        <w:pStyle w:val="Normal10"/>
        <w:shd w:val="clear" w:color="auto" w:fill="FFFFFF"/>
        <w:spacing w:before="0" w:beforeAutospacing="0" w:after="0" w:afterAutospacing="0"/>
        <w:jc w:val="both"/>
        <w:rPr>
          <w:noProof/>
        </w:rPr>
      </w:pPr>
      <w:r w:rsidRPr="004D5AD1">
        <w:rPr>
          <w:noProof/>
        </w:rPr>
        <w:t>Rozdział 6 – Przepisy końcowe</w:t>
      </w:r>
    </w:p>
    <w:p w14:paraId="733D9DA3" w14:textId="602F7679" w:rsidR="00BC3357" w:rsidRPr="004D5AD1" w:rsidRDefault="00BC3357" w:rsidP="00BC3357">
      <w:pPr>
        <w:pStyle w:val="Normal10"/>
        <w:shd w:val="clear" w:color="auto" w:fill="FFFFFF"/>
        <w:spacing w:before="0" w:beforeAutospacing="0" w:after="0" w:afterAutospacing="0"/>
        <w:jc w:val="both"/>
        <w:rPr>
          <w:noProof/>
        </w:rPr>
      </w:pPr>
      <w:r w:rsidRPr="004D5AD1">
        <w:rPr>
          <w:noProof/>
        </w:rPr>
        <w:t>Rozdział ten przewiduje</w:t>
      </w:r>
      <w:r w:rsidR="004D5AD1" w:rsidRPr="004D5AD1">
        <w:rPr>
          <w:noProof/>
        </w:rPr>
        <w:t xml:space="preserve"> w</w:t>
      </w:r>
      <w:r w:rsidR="004D5AD1">
        <w:rPr>
          <w:noProof/>
        </w:rPr>
        <w:t> </w:t>
      </w:r>
      <w:r w:rsidR="004D5AD1" w:rsidRPr="004D5AD1">
        <w:rPr>
          <w:noProof/>
        </w:rPr>
        <w:t>szc</w:t>
      </w:r>
      <w:r w:rsidRPr="004D5AD1">
        <w:rPr>
          <w:noProof/>
        </w:rPr>
        <w:t>zególności system kar: uznając, że ustanawianie kar należy do kompetencji krajowych, określono</w:t>
      </w:r>
      <w:r w:rsidR="004D5AD1" w:rsidRPr="004D5AD1">
        <w:rPr>
          <w:noProof/>
        </w:rPr>
        <w:t xml:space="preserve"> w</w:t>
      </w:r>
      <w:r w:rsidR="004D5AD1">
        <w:rPr>
          <w:noProof/>
        </w:rPr>
        <w:t> </w:t>
      </w:r>
      <w:r w:rsidR="004D5AD1" w:rsidRPr="004D5AD1">
        <w:rPr>
          <w:noProof/>
        </w:rPr>
        <w:t>nim</w:t>
      </w:r>
      <w:r w:rsidRPr="004D5AD1">
        <w:rPr>
          <w:noProof/>
        </w:rPr>
        <w:t xml:space="preserve"> podstawowe zasady dotyczące kar,</w:t>
      </w:r>
      <w:r w:rsidR="004D5AD1" w:rsidRPr="004D5AD1">
        <w:rPr>
          <w:noProof/>
        </w:rPr>
        <w:t xml:space="preserve"> w</w:t>
      </w:r>
      <w:r w:rsidR="004D5AD1">
        <w:rPr>
          <w:noProof/>
        </w:rPr>
        <w:t> </w:t>
      </w:r>
      <w:r w:rsidR="004D5AD1" w:rsidRPr="004D5AD1">
        <w:rPr>
          <w:noProof/>
        </w:rPr>
        <w:t>szc</w:t>
      </w:r>
      <w:r w:rsidRPr="004D5AD1">
        <w:rPr>
          <w:noProof/>
        </w:rPr>
        <w:t>zególności kryteria ich ustalania, rodzaje naruszeń zagrożonych karą, kryteria dotyczące maksymalnych pułapów,</w:t>
      </w:r>
      <w:r w:rsidR="004D5AD1" w:rsidRPr="004D5AD1">
        <w:rPr>
          <w:noProof/>
        </w:rPr>
        <w:t xml:space="preserve"> a</w:t>
      </w:r>
      <w:r w:rsidR="004D5AD1">
        <w:rPr>
          <w:noProof/>
        </w:rPr>
        <w:t> </w:t>
      </w:r>
      <w:r w:rsidR="004D5AD1" w:rsidRPr="004D5AD1">
        <w:rPr>
          <w:noProof/>
        </w:rPr>
        <w:t>tak</w:t>
      </w:r>
      <w:r w:rsidRPr="004D5AD1">
        <w:rPr>
          <w:noProof/>
        </w:rPr>
        <w:t>że możliwość nakładania okresowych kar pieniężnych.</w:t>
      </w:r>
    </w:p>
    <w:p w14:paraId="1DD57D9D" w14:textId="2BA80F66" w:rsidR="00BC3357" w:rsidRPr="004D5AD1" w:rsidRDefault="00BC3357" w:rsidP="00BC3357">
      <w:pPr>
        <w:pStyle w:val="Normal10"/>
        <w:shd w:val="clear" w:color="auto" w:fill="FFFFFF"/>
        <w:spacing w:before="0" w:beforeAutospacing="0" w:after="0" w:afterAutospacing="0"/>
        <w:jc w:val="both"/>
        <w:rPr>
          <w:rFonts w:eastAsia="Arial Unicode MS"/>
          <w:noProof/>
        </w:rPr>
      </w:pPr>
      <w:r w:rsidRPr="004D5AD1">
        <w:rPr>
          <w:noProof/>
        </w:rPr>
        <w:t>Zawiera również przepisy dotyczące upoważnienia do przyjmowania aktów delegowanych</w:t>
      </w:r>
      <w:r w:rsidR="004D5AD1" w:rsidRPr="004D5AD1">
        <w:rPr>
          <w:noProof/>
        </w:rPr>
        <w:t xml:space="preserve"> i</w:t>
      </w:r>
      <w:r w:rsidR="004D5AD1">
        <w:rPr>
          <w:noProof/>
        </w:rPr>
        <w:t> </w:t>
      </w:r>
      <w:r w:rsidR="004D5AD1" w:rsidRPr="004D5AD1">
        <w:rPr>
          <w:noProof/>
        </w:rPr>
        <w:t>akt</w:t>
      </w:r>
      <w:r w:rsidRPr="004D5AD1">
        <w:rPr>
          <w:noProof/>
        </w:rPr>
        <w:t>ów wykonawczych,</w:t>
      </w:r>
      <w:r w:rsidR="004D5AD1" w:rsidRPr="004D5AD1">
        <w:rPr>
          <w:noProof/>
        </w:rPr>
        <w:t xml:space="preserve"> a</w:t>
      </w:r>
      <w:r w:rsidR="004D5AD1">
        <w:rPr>
          <w:noProof/>
        </w:rPr>
        <w:t> </w:t>
      </w:r>
      <w:r w:rsidR="004D5AD1" w:rsidRPr="004D5AD1">
        <w:rPr>
          <w:noProof/>
        </w:rPr>
        <w:t>tak</w:t>
      </w:r>
      <w:r w:rsidRPr="004D5AD1">
        <w:rPr>
          <w:noProof/>
        </w:rPr>
        <w:t>że klauzulę przeglądową.</w:t>
      </w:r>
    </w:p>
    <w:p w14:paraId="2240AC34" w14:textId="77777777" w:rsidR="00BC3357" w:rsidRPr="004D5AD1" w:rsidRDefault="00BC3357" w:rsidP="00BC3357">
      <w:pPr>
        <w:rPr>
          <w:noProof/>
        </w:rPr>
      </w:pPr>
    </w:p>
    <w:p w14:paraId="41EDACD2" w14:textId="70BF482A" w:rsidR="00FD0FB2" w:rsidRPr="004D5AD1" w:rsidRDefault="00FD0FB2" w:rsidP="00BC3357">
      <w:pPr>
        <w:rPr>
          <w:noProof/>
        </w:rPr>
        <w:sectPr w:rsidR="00FD0FB2" w:rsidRPr="004D5AD1" w:rsidSect="0052021E">
          <w:footerReference w:type="default" r:id="rId10"/>
          <w:footerReference w:type="first" r:id="rId11"/>
          <w:pgSz w:w="11907" w:h="16839"/>
          <w:pgMar w:top="1134" w:right="1417" w:bottom="1134" w:left="1417" w:header="709" w:footer="709" w:gutter="0"/>
          <w:cols w:space="708"/>
          <w:docGrid w:linePitch="360"/>
        </w:sectPr>
      </w:pPr>
    </w:p>
    <w:p w14:paraId="74A08F1A" w14:textId="61544A73" w:rsidR="007C6BA6" w:rsidRPr="004D5AD1" w:rsidRDefault="002E256A" w:rsidP="002E256A">
      <w:pPr>
        <w:pStyle w:val="Rfrenceinterinstitutionnelle"/>
        <w:rPr>
          <w:noProof/>
        </w:rPr>
      </w:pPr>
      <w:r w:rsidRPr="002E256A">
        <w:t>2021/0423 (COD)</w:t>
      </w:r>
    </w:p>
    <w:p w14:paraId="560BCFDA" w14:textId="37AEF2FC" w:rsidR="00FD0FB2" w:rsidRPr="004D5AD1" w:rsidRDefault="004D5AD1" w:rsidP="004D5AD1">
      <w:pPr>
        <w:pStyle w:val="Statut"/>
        <w:rPr>
          <w:noProof/>
        </w:rPr>
      </w:pPr>
      <w:r w:rsidRPr="004D5AD1">
        <w:rPr>
          <w:noProof/>
        </w:rPr>
        <w:t>Wniosek</w:t>
      </w:r>
    </w:p>
    <w:p w14:paraId="1E31B6B0" w14:textId="6D7F81E5" w:rsidR="00FD0FB2" w:rsidRPr="004D5AD1" w:rsidRDefault="004D5AD1" w:rsidP="004D5AD1">
      <w:pPr>
        <w:pStyle w:val="Typedudocument"/>
        <w:rPr>
          <w:noProof/>
        </w:rPr>
      </w:pPr>
      <w:r w:rsidRPr="004D5AD1">
        <w:rPr>
          <w:noProof/>
        </w:rPr>
        <w:t>ROZPORZĄDZENIE PARLAMENTU EUROPEJSKIEGO I RADY</w:t>
      </w:r>
    </w:p>
    <w:p w14:paraId="743A4544" w14:textId="59BD40AE" w:rsidR="00FD0FB2" w:rsidRPr="004D5AD1" w:rsidRDefault="004D5AD1" w:rsidP="004D5AD1">
      <w:pPr>
        <w:pStyle w:val="Titreobjet"/>
        <w:rPr>
          <w:noProof/>
        </w:rPr>
      </w:pPr>
      <w:r w:rsidRPr="004D5AD1">
        <w:rPr>
          <w:noProof/>
        </w:rPr>
        <w:t>w sprawie redukcji emisji metanu w sektorze energetycznym oraz zmieniające rozporządzenie (UE) 2019/942</w:t>
      </w:r>
    </w:p>
    <w:p w14:paraId="7A803EE8" w14:textId="30EF9297" w:rsidR="00FD0FB2" w:rsidRPr="004D5AD1" w:rsidRDefault="004D5AD1" w:rsidP="004D5AD1">
      <w:pPr>
        <w:pStyle w:val="IntrtEEE"/>
        <w:rPr>
          <w:noProof/>
        </w:rPr>
      </w:pPr>
      <w:r w:rsidRPr="004D5AD1">
        <w:rPr>
          <w:noProof/>
        </w:rPr>
        <w:t>(Tekst mający znaczenie dla EOG)</w:t>
      </w:r>
    </w:p>
    <w:p w14:paraId="24FA3834" w14:textId="77777777" w:rsidR="00FD0FB2" w:rsidRPr="004D5AD1" w:rsidRDefault="00FD0FB2" w:rsidP="00E212DB">
      <w:pPr>
        <w:pStyle w:val="Institutionquiagit"/>
        <w:rPr>
          <w:noProof/>
        </w:rPr>
      </w:pPr>
      <w:r w:rsidRPr="004D5AD1">
        <w:rPr>
          <w:noProof/>
        </w:rPr>
        <w:t>PARLAMENT EUROPEJSKI I RADA UNII EUROPEJSKIEJ,</w:t>
      </w:r>
    </w:p>
    <w:p w14:paraId="2E4AE85A" w14:textId="657EA1F5" w:rsidR="00FD0FB2" w:rsidRPr="004D5AD1" w:rsidRDefault="00FD0FB2" w:rsidP="00E212DB">
      <w:pPr>
        <w:rPr>
          <w:noProof/>
        </w:rPr>
      </w:pPr>
      <w:r w:rsidRPr="004D5AD1">
        <w:rPr>
          <w:noProof/>
        </w:rPr>
        <w:t>uwzględniając Traktat</w:t>
      </w:r>
      <w:r w:rsidR="004D5AD1" w:rsidRPr="004D5AD1">
        <w:rPr>
          <w:noProof/>
        </w:rPr>
        <w:t xml:space="preserve"> o</w:t>
      </w:r>
      <w:r w:rsidR="004D5AD1">
        <w:rPr>
          <w:noProof/>
        </w:rPr>
        <w:t> </w:t>
      </w:r>
      <w:r w:rsidR="004D5AD1" w:rsidRPr="004D5AD1">
        <w:rPr>
          <w:noProof/>
        </w:rPr>
        <w:t>fun</w:t>
      </w:r>
      <w:r w:rsidRPr="004D5AD1">
        <w:rPr>
          <w:noProof/>
        </w:rPr>
        <w:t>kcjonowaniu Unii Europejskiej,</w:t>
      </w:r>
      <w:r w:rsidR="004D5AD1" w:rsidRPr="004D5AD1">
        <w:rPr>
          <w:noProof/>
        </w:rPr>
        <w:t xml:space="preserve"> w</w:t>
      </w:r>
      <w:r w:rsidR="004D5AD1">
        <w:rPr>
          <w:noProof/>
        </w:rPr>
        <w:t> </w:t>
      </w:r>
      <w:r w:rsidR="004D5AD1" w:rsidRPr="004D5AD1">
        <w:rPr>
          <w:noProof/>
        </w:rPr>
        <w:t>szc</w:t>
      </w:r>
      <w:r w:rsidRPr="004D5AD1">
        <w:rPr>
          <w:noProof/>
        </w:rPr>
        <w:t>zególności jego art.</w:t>
      </w:r>
      <w:r w:rsidR="004D5AD1" w:rsidRPr="004D5AD1">
        <w:rPr>
          <w:noProof/>
        </w:rPr>
        <w:t> </w:t>
      </w:r>
      <w:r w:rsidRPr="004D5AD1">
        <w:rPr>
          <w:noProof/>
        </w:rPr>
        <w:t>194 ust.</w:t>
      </w:r>
      <w:r w:rsidR="004D5AD1" w:rsidRPr="004D5AD1">
        <w:rPr>
          <w:noProof/>
        </w:rPr>
        <w:t> </w:t>
      </w:r>
      <w:r w:rsidRPr="004D5AD1">
        <w:rPr>
          <w:noProof/>
        </w:rPr>
        <w:t>2,</w:t>
      </w:r>
    </w:p>
    <w:p w14:paraId="0AC086C9" w14:textId="77777777" w:rsidR="00FD0FB2" w:rsidRPr="004D5AD1" w:rsidRDefault="00FD0FB2" w:rsidP="00E212DB">
      <w:pPr>
        <w:rPr>
          <w:noProof/>
        </w:rPr>
      </w:pPr>
      <w:r w:rsidRPr="004D5AD1">
        <w:rPr>
          <w:noProof/>
        </w:rPr>
        <w:t>uwzględniając wniosek Komisji Europejskiej,</w:t>
      </w:r>
    </w:p>
    <w:p w14:paraId="16FF8871" w14:textId="77777777" w:rsidR="00FD0FB2" w:rsidRPr="004D5AD1" w:rsidRDefault="00FD0FB2" w:rsidP="00E212DB">
      <w:pPr>
        <w:rPr>
          <w:noProof/>
        </w:rPr>
      </w:pPr>
      <w:r w:rsidRPr="004D5AD1">
        <w:rPr>
          <w:noProof/>
        </w:rPr>
        <w:t>po przekazaniu projektu aktu ustawodawczego parlamentom narodowym,</w:t>
      </w:r>
    </w:p>
    <w:p w14:paraId="64220C19" w14:textId="77777777" w:rsidR="00FD0FB2" w:rsidRPr="004D5AD1" w:rsidRDefault="00FD0FB2" w:rsidP="00E212DB">
      <w:pPr>
        <w:rPr>
          <w:noProof/>
        </w:rPr>
      </w:pPr>
      <w:r w:rsidRPr="004D5AD1">
        <w:rPr>
          <w:noProof/>
        </w:rPr>
        <w:t>uwzględniając opinię Europejskiego Komitetu Ekonomiczno-Społecznego</w:t>
      </w:r>
      <w:r w:rsidRPr="004D5AD1">
        <w:rPr>
          <w:rStyle w:val="FootnoteReference"/>
          <w:noProof/>
        </w:rPr>
        <w:footnoteReference w:id="12"/>
      </w:r>
      <w:r w:rsidRPr="004D5AD1">
        <w:rPr>
          <w:noProof/>
        </w:rPr>
        <w:t xml:space="preserve">, </w:t>
      </w:r>
    </w:p>
    <w:p w14:paraId="09370C01" w14:textId="77777777" w:rsidR="00FD0FB2" w:rsidRPr="004D5AD1" w:rsidRDefault="00FD0FB2" w:rsidP="00E212DB">
      <w:pPr>
        <w:rPr>
          <w:noProof/>
        </w:rPr>
      </w:pPr>
      <w:r w:rsidRPr="004D5AD1">
        <w:rPr>
          <w:noProof/>
        </w:rPr>
        <w:t>uwzględniając opinię Komitetu Regionów</w:t>
      </w:r>
      <w:r w:rsidRPr="004D5AD1">
        <w:rPr>
          <w:rStyle w:val="FootnoteReference"/>
          <w:noProof/>
        </w:rPr>
        <w:footnoteReference w:id="13"/>
      </w:r>
      <w:r w:rsidRPr="004D5AD1">
        <w:rPr>
          <w:noProof/>
        </w:rPr>
        <w:t>,</w:t>
      </w:r>
    </w:p>
    <w:p w14:paraId="1FD42B93" w14:textId="77777777" w:rsidR="00FD0FB2" w:rsidRPr="004D5AD1" w:rsidRDefault="00FD0FB2" w:rsidP="00E212DB">
      <w:pPr>
        <w:rPr>
          <w:noProof/>
        </w:rPr>
      </w:pPr>
      <w:r w:rsidRPr="004D5AD1">
        <w:rPr>
          <w:noProof/>
        </w:rPr>
        <w:t>stanowiąc zgodnie ze zwykłą procedurą ustawodawczą,</w:t>
      </w:r>
    </w:p>
    <w:p w14:paraId="29987C7F" w14:textId="77777777" w:rsidR="00FD0FB2" w:rsidRPr="004D5AD1" w:rsidRDefault="00FD0FB2" w:rsidP="00E212DB">
      <w:pPr>
        <w:rPr>
          <w:noProof/>
        </w:rPr>
      </w:pPr>
      <w:r w:rsidRPr="004D5AD1">
        <w:rPr>
          <w:noProof/>
        </w:rPr>
        <w:t>a także mając na uwadze, co następuje:</w:t>
      </w:r>
    </w:p>
    <w:p w14:paraId="6FC05505" w14:textId="2974A3AD" w:rsidR="00CD116D" w:rsidRPr="004D5AD1" w:rsidRDefault="00DE3FFB" w:rsidP="00DE3FFB">
      <w:pPr>
        <w:pStyle w:val="ManualConsidrant"/>
        <w:rPr>
          <w:noProof/>
        </w:rPr>
      </w:pPr>
      <w:r w:rsidRPr="00DE3FFB">
        <w:t>(1)</w:t>
      </w:r>
      <w:r w:rsidRPr="00DE3FFB">
        <w:tab/>
      </w:r>
      <w:r w:rsidR="00CD116D" w:rsidRPr="004D5AD1">
        <w:rPr>
          <w:noProof/>
        </w:rPr>
        <w:t>Metan, główny składnik gazu ziemnego, jest drugim gazem po dwutlenku węgla pod względem ogólnego wkładu</w:t>
      </w:r>
      <w:r w:rsidR="004D5AD1" w:rsidRPr="004D5AD1">
        <w:rPr>
          <w:noProof/>
        </w:rPr>
        <w:t xml:space="preserve"> w</w:t>
      </w:r>
      <w:r w:rsidR="004D5AD1">
        <w:rPr>
          <w:noProof/>
        </w:rPr>
        <w:t> </w:t>
      </w:r>
      <w:r w:rsidR="004D5AD1" w:rsidRPr="004D5AD1">
        <w:rPr>
          <w:noProof/>
        </w:rPr>
        <w:t>zmi</w:t>
      </w:r>
      <w:r w:rsidR="00CD116D" w:rsidRPr="004D5AD1">
        <w:rPr>
          <w:noProof/>
        </w:rPr>
        <w:t>anę klimatu</w:t>
      </w:r>
      <w:r w:rsidR="004D5AD1" w:rsidRPr="004D5AD1">
        <w:rPr>
          <w:noProof/>
        </w:rPr>
        <w:t xml:space="preserve"> i</w:t>
      </w:r>
      <w:r w:rsidR="004D5AD1">
        <w:rPr>
          <w:noProof/>
        </w:rPr>
        <w:t> </w:t>
      </w:r>
      <w:r w:rsidR="004D5AD1" w:rsidRPr="004D5AD1">
        <w:rPr>
          <w:noProof/>
        </w:rPr>
        <w:t>jes</w:t>
      </w:r>
      <w:r w:rsidR="00CD116D" w:rsidRPr="004D5AD1">
        <w:rPr>
          <w:noProof/>
        </w:rPr>
        <w:t xml:space="preserve">t odpowiedzialny za około jedną trzecią obecnego ocieplenia. </w:t>
      </w:r>
    </w:p>
    <w:p w14:paraId="408A82AC" w14:textId="0399418E" w:rsidR="00CD116D" w:rsidRPr="004D5AD1" w:rsidRDefault="00DE3FFB" w:rsidP="00DE3FFB">
      <w:pPr>
        <w:pStyle w:val="ManualConsidrant"/>
        <w:rPr>
          <w:noProof/>
        </w:rPr>
      </w:pPr>
      <w:r w:rsidRPr="00DE3FFB">
        <w:t>(2)</w:t>
      </w:r>
      <w:r w:rsidRPr="00DE3FFB">
        <w:tab/>
      </w:r>
      <w:r w:rsidR="00B86B2E" w:rsidRPr="004D5AD1">
        <w:rPr>
          <w:noProof/>
        </w:rPr>
        <w:t>Chociaż metan utrzymuje się</w:t>
      </w:r>
      <w:r w:rsidR="004D5AD1" w:rsidRPr="004D5AD1">
        <w:rPr>
          <w:noProof/>
        </w:rPr>
        <w:t xml:space="preserve"> w</w:t>
      </w:r>
      <w:r w:rsidR="004D5AD1">
        <w:rPr>
          <w:noProof/>
        </w:rPr>
        <w:t> </w:t>
      </w:r>
      <w:r w:rsidR="004D5AD1" w:rsidRPr="004D5AD1">
        <w:rPr>
          <w:noProof/>
        </w:rPr>
        <w:t>atm</w:t>
      </w:r>
      <w:r w:rsidR="00B86B2E" w:rsidRPr="004D5AD1">
        <w:rPr>
          <w:noProof/>
        </w:rPr>
        <w:t>osferze krócej (10–12 lat) niż dwutlenek węgla (setki lat), na poziomie molekularnym wywołuje on bardziej znaczący efekt cieplarniany wpływający na klimat</w:t>
      </w:r>
      <w:r w:rsidR="004D5AD1" w:rsidRPr="004D5AD1">
        <w:rPr>
          <w:noProof/>
        </w:rPr>
        <w:t xml:space="preserve"> i</w:t>
      </w:r>
      <w:r w:rsidR="004D5AD1">
        <w:rPr>
          <w:noProof/>
        </w:rPr>
        <w:t> </w:t>
      </w:r>
      <w:r w:rsidR="004D5AD1" w:rsidRPr="004D5AD1">
        <w:rPr>
          <w:noProof/>
        </w:rPr>
        <w:t>prz</w:t>
      </w:r>
      <w:r w:rsidR="00B86B2E" w:rsidRPr="004D5AD1">
        <w:rPr>
          <w:noProof/>
        </w:rPr>
        <w:t>yczynia się do powstawania ozonu, który jest silnym zanieczyszczeniem powietrza powodującym poważne problemy zdrowotne</w:t>
      </w:r>
      <w:r w:rsidR="004D5AD1" w:rsidRPr="004D5AD1">
        <w:rPr>
          <w:noProof/>
        </w:rPr>
        <w:t>. W</w:t>
      </w:r>
      <w:r w:rsidR="004D5AD1">
        <w:rPr>
          <w:noProof/>
        </w:rPr>
        <w:t> </w:t>
      </w:r>
      <w:r w:rsidR="004D5AD1" w:rsidRPr="004D5AD1">
        <w:rPr>
          <w:noProof/>
        </w:rPr>
        <w:t>cią</w:t>
      </w:r>
      <w:r w:rsidR="00B86B2E" w:rsidRPr="004D5AD1">
        <w:rPr>
          <w:noProof/>
        </w:rPr>
        <w:t>gu ostatniego dziesięciolecia ilość metanu</w:t>
      </w:r>
      <w:r w:rsidR="004D5AD1" w:rsidRPr="004D5AD1">
        <w:rPr>
          <w:noProof/>
        </w:rPr>
        <w:t xml:space="preserve"> w</w:t>
      </w:r>
      <w:r w:rsidR="004D5AD1">
        <w:rPr>
          <w:noProof/>
        </w:rPr>
        <w:t> </w:t>
      </w:r>
      <w:r w:rsidR="004D5AD1" w:rsidRPr="004D5AD1">
        <w:rPr>
          <w:noProof/>
        </w:rPr>
        <w:t>atm</w:t>
      </w:r>
      <w:r w:rsidR="00B86B2E" w:rsidRPr="004D5AD1">
        <w:rPr>
          <w:noProof/>
        </w:rPr>
        <w:t xml:space="preserve">osferze gwałtownie wzrosła na całym świecie. </w:t>
      </w:r>
    </w:p>
    <w:p w14:paraId="1CC3E304" w14:textId="301DD5A1" w:rsidR="00CD116D" w:rsidRPr="004D5AD1" w:rsidRDefault="00DE3FFB" w:rsidP="00DE3FFB">
      <w:pPr>
        <w:pStyle w:val="ManualConsidrant"/>
        <w:rPr>
          <w:noProof/>
        </w:rPr>
      </w:pPr>
      <w:r w:rsidRPr="00DE3FFB">
        <w:t>(3)</w:t>
      </w:r>
      <w:r w:rsidRPr="00DE3FFB">
        <w:tab/>
      </w:r>
      <w:r w:rsidR="00CD116D" w:rsidRPr="004D5AD1">
        <w:rPr>
          <w:noProof/>
        </w:rPr>
        <w:t>Według ostatnich szacunków Programu Narodów Zjednoczonych ds. Ochrony Środowiska oraz Koalicji na rzecz klimatu</w:t>
      </w:r>
      <w:r w:rsidR="004D5AD1" w:rsidRPr="004D5AD1">
        <w:rPr>
          <w:noProof/>
        </w:rPr>
        <w:t xml:space="preserve"> i</w:t>
      </w:r>
      <w:r w:rsidR="004D5AD1">
        <w:rPr>
          <w:noProof/>
        </w:rPr>
        <w:t> </w:t>
      </w:r>
      <w:r w:rsidR="004D5AD1" w:rsidRPr="004D5AD1">
        <w:rPr>
          <w:noProof/>
        </w:rPr>
        <w:t>czy</w:t>
      </w:r>
      <w:r w:rsidR="00CD116D" w:rsidRPr="004D5AD1">
        <w:rPr>
          <w:noProof/>
        </w:rPr>
        <w:t>stego powietrza redukcje emisji metanu</w:t>
      </w:r>
      <w:r w:rsidR="004D5AD1" w:rsidRPr="004D5AD1">
        <w:rPr>
          <w:noProof/>
        </w:rPr>
        <w:t xml:space="preserve"> o</w:t>
      </w:r>
      <w:r w:rsidR="004D5AD1">
        <w:rPr>
          <w:noProof/>
        </w:rPr>
        <w:t> </w:t>
      </w:r>
      <w:r w:rsidR="004D5AD1" w:rsidRPr="004D5AD1">
        <w:rPr>
          <w:noProof/>
        </w:rPr>
        <w:t>4</w:t>
      </w:r>
      <w:r w:rsidR="00CD116D" w:rsidRPr="004D5AD1">
        <w:rPr>
          <w:noProof/>
        </w:rPr>
        <w:t>5</w:t>
      </w:r>
      <w:r w:rsidR="004D5AD1" w:rsidRPr="004D5AD1">
        <w:rPr>
          <w:noProof/>
        </w:rPr>
        <w:t> </w:t>
      </w:r>
      <w:r w:rsidR="00CD116D" w:rsidRPr="004D5AD1">
        <w:rPr>
          <w:noProof/>
        </w:rPr>
        <w:t>% do</w:t>
      </w:r>
      <w:r w:rsidR="004D5AD1" w:rsidRPr="004D5AD1">
        <w:rPr>
          <w:noProof/>
        </w:rPr>
        <w:t> </w:t>
      </w:r>
      <w:r w:rsidR="00CD116D" w:rsidRPr="004D5AD1">
        <w:rPr>
          <w:noProof/>
        </w:rPr>
        <w:t>2030</w:t>
      </w:r>
      <w:r w:rsidR="004D5AD1" w:rsidRPr="004D5AD1">
        <w:rPr>
          <w:noProof/>
        </w:rPr>
        <w:t> </w:t>
      </w:r>
      <w:r w:rsidR="00CD116D" w:rsidRPr="004D5AD1">
        <w:rPr>
          <w:noProof/>
        </w:rPr>
        <w:t>r.,</w:t>
      </w:r>
      <w:r w:rsidR="004D5AD1" w:rsidRPr="004D5AD1">
        <w:rPr>
          <w:noProof/>
        </w:rPr>
        <w:t xml:space="preserve"> w</w:t>
      </w:r>
      <w:r w:rsidR="004D5AD1">
        <w:rPr>
          <w:noProof/>
        </w:rPr>
        <w:t> </w:t>
      </w:r>
      <w:r w:rsidR="004D5AD1" w:rsidRPr="004D5AD1">
        <w:rPr>
          <w:noProof/>
        </w:rPr>
        <w:t>opa</w:t>
      </w:r>
      <w:r w:rsidR="00CD116D" w:rsidRPr="004D5AD1">
        <w:rPr>
          <w:noProof/>
        </w:rPr>
        <w:t>rciu</w:t>
      </w:r>
      <w:r w:rsidR="004D5AD1" w:rsidRPr="004D5AD1">
        <w:rPr>
          <w:noProof/>
        </w:rPr>
        <w:t xml:space="preserve"> o</w:t>
      </w:r>
      <w:r w:rsidR="004D5AD1">
        <w:rPr>
          <w:noProof/>
        </w:rPr>
        <w:t> </w:t>
      </w:r>
      <w:r w:rsidR="004D5AD1" w:rsidRPr="004D5AD1">
        <w:rPr>
          <w:noProof/>
        </w:rPr>
        <w:t>dos</w:t>
      </w:r>
      <w:r w:rsidR="00CD116D" w:rsidRPr="004D5AD1">
        <w:rPr>
          <w:noProof/>
        </w:rPr>
        <w:t>tępne ukierunkowane środki</w:t>
      </w:r>
      <w:r w:rsidR="004D5AD1" w:rsidRPr="004D5AD1">
        <w:rPr>
          <w:noProof/>
        </w:rPr>
        <w:t xml:space="preserve"> i</w:t>
      </w:r>
      <w:r w:rsidR="004D5AD1">
        <w:rPr>
          <w:noProof/>
        </w:rPr>
        <w:t> </w:t>
      </w:r>
      <w:r w:rsidR="004D5AD1" w:rsidRPr="004D5AD1">
        <w:rPr>
          <w:noProof/>
        </w:rPr>
        <w:t>dod</w:t>
      </w:r>
      <w:r w:rsidR="00CD116D" w:rsidRPr="004D5AD1">
        <w:rPr>
          <w:noProof/>
        </w:rPr>
        <w:t>atkowe środki, zgodnie</w:t>
      </w:r>
      <w:r w:rsidR="004D5AD1" w:rsidRPr="004D5AD1">
        <w:rPr>
          <w:noProof/>
        </w:rPr>
        <w:t xml:space="preserve"> z</w:t>
      </w:r>
      <w:r w:rsidR="004D5AD1">
        <w:rPr>
          <w:noProof/>
        </w:rPr>
        <w:t> </w:t>
      </w:r>
      <w:r w:rsidR="004D5AD1" w:rsidRPr="004D5AD1">
        <w:rPr>
          <w:noProof/>
        </w:rPr>
        <w:t>cel</w:t>
      </w:r>
      <w:r w:rsidR="00CD116D" w:rsidRPr="004D5AD1">
        <w:rPr>
          <w:noProof/>
        </w:rPr>
        <w:t>ami ONZ</w:t>
      </w:r>
      <w:r w:rsidR="004D5AD1" w:rsidRPr="004D5AD1">
        <w:rPr>
          <w:noProof/>
        </w:rPr>
        <w:t xml:space="preserve"> w</w:t>
      </w:r>
      <w:r w:rsidR="004D5AD1">
        <w:rPr>
          <w:noProof/>
        </w:rPr>
        <w:t> </w:t>
      </w:r>
      <w:r w:rsidR="004D5AD1" w:rsidRPr="004D5AD1">
        <w:rPr>
          <w:noProof/>
        </w:rPr>
        <w:t>zak</w:t>
      </w:r>
      <w:r w:rsidR="00CD116D" w:rsidRPr="004D5AD1">
        <w:rPr>
          <w:noProof/>
        </w:rPr>
        <w:t>resie zrównoważonego rozwoju, pozwoliłyby uniknąć wzrostu globalnego ocieplenia</w:t>
      </w:r>
      <w:r w:rsidR="004D5AD1" w:rsidRPr="004D5AD1">
        <w:rPr>
          <w:noProof/>
        </w:rPr>
        <w:t xml:space="preserve"> o</w:t>
      </w:r>
      <w:r w:rsidR="004D5AD1">
        <w:rPr>
          <w:noProof/>
        </w:rPr>
        <w:t> </w:t>
      </w:r>
      <w:r w:rsidR="004D5AD1" w:rsidRPr="004D5AD1">
        <w:rPr>
          <w:noProof/>
        </w:rPr>
        <w:t>0</w:t>
      </w:r>
      <w:r w:rsidR="00CD116D" w:rsidRPr="004D5AD1">
        <w:rPr>
          <w:noProof/>
        </w:rPr>
        <w:t>,3</w:t>
      </w:r>
      <w:r w:rsidR="004D5AD1" w:rsidRPr="004D5AD1">
        <w:rPr>
          <w:noProof/>
        </w:rPr>
        <w:t> </w:t>
      </w:r>
      <w:r w:rsidR="00CD116D" w:rsidRPr="004D5AD1">
        <w:rPr>
          <w:noProof/>
        </w:rPr>
        <w:t>°C do</w:t>
      </w:r>
      <w:r w:rsidR="004D5AD1" w:rsidRPr="004D5AD1">
        <w:rPr>
          <w:noProof/>
        </w:rPr>
        <w:t> </w:t>
      </w:r>
      <w:r w:rsidR="00CD116D" w:rsidRPr="004D5AD1">
        <w:rPr>
          <w:noProof/>
        </w:rPr>
        <w:t>2045</w:t>
      </w:r>
      <w:r w:rsidR="004D5AD1" w:rsidRPr="004D5AD1">
        <w:rPr>
          <w:noProof/>
        </w:rPr>
        <w:t> </w:t>
      </w:r>
      <w:r w:rsidR="00CD116D" w:rsidRPr="004D5AD1">
        <w:rPr>
          <w:noProof/>
        </w:rPr>
        <w:t xml:space="preserve">r. </w:t>
      </w:r>
    </w:p>
    <w:p w14:paraId="21E8E4D3" w14:textId="55A82EF2" w:rsidR="00CD116D" w:rsidRPr="004D5AD1" w:rsidRDefault="00DE3FFB" w:rsidP="00DE3FFB">
      <w:pPr>
        <w:pStyle w:val="ManualConsidrant"/>
        <w:rPr>
          <w:noProof/>
        </w:rPr>
      </w:pPr>
      <w:r w:rsidRPr="00DE3FFB">
        <w:t>(4)</w:t>
      </w:r>
      <w:r w:rsidRPr="00DE3FFB">
        <w:tab/>
      </w:r>
      <w:r w:rsidR="00A12D91" w:rsidRPr="004D5AD1">
        <w:rPr>
          <w:noProof/>
        </w:rPr>
        <w:t>Zgodnie</w:t>
      </w:r>
      <w:r w:rsidR="004D5AD1" w:rsidRPr="004D5AD1">
        <w:rPr>
          <w:noProof/>
        </w:rPr>
        <w:t xml:space="preserve"> z</w:t>
      </w:r>
      <w:r w:rsidR="004D5AD1">
        <w:rPr>
          <w:noProof/>
        </w:rPr>
        <w:t> </w:t>
      </w:r>
      <w:r w:rsidR="004D5AD1" w:rsidRPr="004D5AD1">
        <w:rPr>
          <w:noProof/>
        </w:rPr>
        <w:t>dan</w:t>
      </w:r>
      <w:r w:rsidR="00A12D91" w:rsidRPr="004D5AD1">
        <w:rPr>
          <w:noProof/>
        </w:rPr>
        <w:t>ymi</w:t>
      </w:r>
      <w:r w:rsidR="004D5AD1" w:rsidRPr="004D5AD1">
        <w:rPr>
          <w:noProof/>
        </w:rPr>
        <w:t xml:space="preserve"> z</w:t>
      </w:r>
      <w:r w:rsidR="004D5AD1">
        <w:rPr>
          <w:noProof/>
        </w:rPr>
        <w:t> </w:t>
      </w:r>
      <w:r w:rsidR="004D5AD1" w:rsidRPr="004D5AD1">
        <w:rPr>
          <w:noProof/>
        </w:rPr>
        <w:t>uni</w:t>
      </w:r>
      <w:r w:rsidR="00A12D91" w:rsidRPr="004D5AD1">
        <w:rPr>
          <w:noProof/>
        </w:rPr>
        <w:t>jnych wykazów gazów cieplarnianych szacuje się, że sektor energetyczny odpowiada za</w:t>
      </w:r>
      <w:r w:rsidR="004D5AD1" w:rsidRPr="004D5AD1">
        <w:rPr>
          <w:noProof/>
        </w:rPr>
        <w:t> </w:t>
      </w:r>
      <w:r w:rsidR="00A12D91" w:rsidRPr="004D5AD1">
        <w:rPr>
          <w:noProof/>
        </w:rPr>
        <w:t>19</w:t>
      </w:r>
      <w:r w:rsidR="004D5AD1" w:rsidRPr="004D5AD1">
        <w:rPr>
          <w:noProof/>
        </w:rPr>
        <w:t> </w:t>
      </w:r>
      <w:r w:rsidR="00A12D91" w:rsidRPr="004D5AD1">
        <w:rPr>
          <w:noProof/>
        </w:rPr>
        <w:t>% emisji metanu</w:t>
      </w:r>
      <w:r w:rsidR="004D5AD1" w:rsidRPr="004D5AD1">
        <w:rPr>
          <w:noProof/>
        </w:rPr>
        <w:t xml:space="preserve"> w</w:t>
      </w:r>
      <w:r w:rsidR="004D5AD1">
        <w:rPr>
          <w:noProof/>
        </w:rPr>
        <w:t> </w:t>
      </w:r>
      <w:r w:rsidR="004D5AD1" w:rsidRPr="004D5AD1">
        <w:rPr>
          <w:noProof/>
        </w:rPr>
        <w:t>Uni</w:t>
      </w:r>
      <w:r w:rsidR="00A12D91" w:rsidRPr="004D5AD1">
        <w:rPr>
          <w:noProof/>
        </w:rPr>
        <w:t>i. Nie obejmuje to występujących poza Unią emisji metanu związanych</w:t>
      </w:r>
      <w:r w:rsidR="004D5AD1" w:rsidRPr="004D5AD1">
        <w:rPr>
          <w:noProof/>
        </w:rPr>
        <w:t xml:space="preserve"> z</w:t>
      </w:r>
      <w:r w:rsidR="004D5AD1">
        <w:rPr>
          <w:noProof/>
        </w:rPr>
        <w:t> </w:t>
      </w:r>
      <w:r w:rsidR="004D5AD1" w:rsidRPr="004D5AD1">
        <w:rPr>
          <w:noProof/>
        </w:rPr>
        <w:t>zuż</w:t>
      </w:r>
      <w:r w:rsidR="00A12D91" w:rsidRPr="004D5AD1">
        <w:rPr>
          <w:noProof/>
        </w:rPr>
        <w:t>yciem energii pochodzącej</w:t>
      </w:r>
      <w:r w:rsidR="004D5AD1" w:rsidRPr="004D5AD1">
        <w:rPr>
          <w:noProof/>
        </w:rPr>
        <w:t xml:space="preserve"> z</w:t>
      </w:r>
      <w:r w:rsidR="004D5AD1">
        <w:rPr>
          <w:noProof/>
        </w:rPr>
        <w:t> </w:t>
      </w:r>
      <w:r w:rsidR="004D5AD1" w:rsidRPr="004D5AD1">
        <w:rPr>
          <w:noProof/>
        </w:rPr>
        <w:t>pal</w:t>
      </w:r>
      <w:r w:rsidR="00A12D91" w:rsidRPr="004D5AD1">
        <w:rPr>
          <w:noProof/>
        </w:rPr>
        <w:t>iw kopalnych</w:t>
      </w:r>
      <w:r w:rsidR="004D5AD1" w:rsidRPr="004D5AD1">
        <w:rPr>
          <w:noProof/>
        </w:rPr>
        <w:t xml:space="preserve"> w</w:t>
      </w:r>
      <w:r w:rsidR="004D5AD1">
        <w:rPr>
          <w:noProof/>
        </w:rPr>
        <w:t> </w:t>
      </w:r>
      <w:r w:rsidR="004D5AD1" w:rsidRPr="004D5AD1">
        <w:rPr>
          <w:noProof/>
        </w:rPr>
        <w:t>Uni</w:t>
      </w:r>
      <w:r w:rsidR="00A12D91" w:rsidRPr="004D5AD1">
        <w:rPr>
          <w:noProof/>
        </w:rPr>
        <w:t xml:space="preserve">i. </w:t>
      </w:r>
    </w:p>
    <w:p w14:paraId="375549DE" w14:textId="24CFDEEF" w:rsidR="002C51D0" w:rsidRPr="004D5AD1" w:rsidRDefault="00DE3FFB" w:rsidP="00DE3FFB">
      <w:pPr>
        <w:pStyle w:val="ManualConsidrant"/>
        <w:rPr>
          <w:noProof/>
        </w:rPr>
      </w:pPr>
      <w:r w:rsidRPr="00DE3FFB">
        <w:t>(5)</w:t>
      </w:r>
      <w:r w:rsidRPr="00DE3FFB">
        <w:tab/>
      </w:r>
      <w:r w:rsidR="002C51D0" w:rsidRPr="004D5AD1">
        <w:rPr>
          <w:noProof/>
        </w:rPr>
        <w:t>Europejski Zielony Ład łączy</w:t>
      </w:r>
      <w:r w:rsidR="004D5AD1" w:rsidRPr="004D5AD1">
        <w:rPr>
          <w:noProof/>
        </w:rPr>
        <w:t xml:space="preserve"> w</w:t>
      </w:r>
      <w:r w:rsidR="004D5AD1">
        <w:rPr>
          <w:noProof/>
        </w:rPr>
        <w:t> </w:t>
      </w:r>
      <w:r w:rsidR="004D5AD1" w:rsidRPr="004D5AD1">
        <w:rPr>
          <w:noProof/>
        </w:rPr>
        <w:t>sob</w:t>
      </w:r>
      <w:r w:rsidR="002C51D0" w:rsidRPr="004D5AD1">
        <w:rPr>
          <w:noProof/>
        </w:rPr>
        <w:t>ie kompleksowy zestaw wzajemnie wzmacniających się środków</w:t>
      </w:r>
      <w:r w:rsidR="004D5AD1" w:rsidRPr="004D5AD1">
        <w:rPr>
          <w:noProof/>
        </w:rPr>
        <w:t xml:space="preserve"> i</w:t>
      </w:r>
      <w:r w:rsidR="004D5AD1">
        <w:rPr>
          <w:noProof/>
        </w:rPr>
        <w:t> </w:t>
      </w:r>
      <w:r w:rsidR="004D5AD1" w:rsidRPr="004D5AD1">
        <w:rPr>
          <w:noProof/>
        </w:rPr>
        <w:t>ini</w:t>
      </w:r>
      <w:r w:rsidR="002C51D0" w:rsidRPr="004D5AD1">
        <w:rPr>
          <w:noProof/>
        </w:rPr>
        <w:t>cjatyw mających na celu osiągnięcie neutralności klimatycznej</w:t>
      </w:r>
      <w:r w:rsidR="004D5AD1" w:rsidRPr="004D5AD1">
        <w:rPr>
          <w:noProof/>
        </w:rPr>
        <w:t xml:space="preserve"> w</w:t>
      </w:r>
      <w:r w:rsidR="004D5AD1">
        <w:rPr>
          <w:noProof/>
        </w:rPr>
        <w:t> </w:t>
      </w:r>
      <w:r w:rsidR="004D5AD1" w:rsidRPr="004D5AD1">
        <w:rPr>
          <w:noProof/>
        </w:rPr>
        <w:t>Uni</w:t>
      </w:r>
      <w:r w:rsidR="002C51D0" w:rsidRPr="004D5AD1">
        <w:rPr>
          <w:noProof/>
        </w:rPr>
        <w:t>i do</w:t>
      </w:r>
      <w:r w:rsidR="004D5AD1" w:rsidRPr="004D5AD1">
        <w:rPr>
          <w:noProof/>
        </w:rPr>
        <w:t> </w:t>
      </w:r>
      <w:r w:rsidR="002C51D0" w:rsidRPr="004D5AD1">
        <w:rPr>
          <w:noProof/>
        </w:rPr>
        <w:t>2050</w:t>
      </w:r>
      <w:r w:rsidR="004D5AD1" w:rsidRPr="004D5AD1">
        <w:rPr>
          <w:noProof/>
        </w:rPr>
        <w:t> </w:t>
      </w:r>
      <w:r w:rsidR="002C51D0" w:rsidRPr="004D5AD1">
        <w:rPr>
          <w:noProof/>
        </w:rPr>
        <w:t>r</w:t>
      </w:r>
      <w:r w:rsidR="004D5AD1" w:rsidRPr="004D5AD1">
        <w:rPr>
          <w:noProof/>
        </w:rPr>
        <w:t>. W</w:t>
      </w:r>
      <w:r w:rsidR="004D5AD1">
        <w:rPr>
          <w:noProof/>
        </w:rPr>
        <w:t> </w:t>
      </w:r>
      <w:r w:rsidR="004D5AD1" w:rsidRPr="004D5AD1">
        <w:rPr>
          <w:noProof/>
        </w:rPr>
        <w:t>kom</w:t>
      </w:r>
      <w:r w:rsidR="002C51D0" w:rsidRPr="004D5AD1">
        <w:rPr>
          <w:noProof/>
        </w:rPr>
        <w:t>unikacie</w:t>
      </w:r>
      <w:r w:rsidR="004D5AD1" w:rsidRPr="004D5AD1">
        <w:rPr>
          <w:noProof/>
        </w:rPr>
        <w:t xml:space="preserve"> w</w:t>
      </w:r>
      <w:r w:rsidR="004D5AD1">
        <w:rPr>
          <w:noProof/>
        </w:rPr>
        <w:t> </w:t>
      </w:r>
      <w:r w:rsidR="004D5AD1" w:rsidRPr="004D5AD1">
        <w:rPr>
          <w:noProof/>
        </w:rPr>
        <w:t>spr</w:t>
      </w:r>
      <w:r w:rsidR="002C51D0" w:rsidRPr="004D5AD1">
        <w:rPr>
          <w:noProof/>
        </w:rPr>
        <w:t>awie Europejskiego Zielonego Ładu</w:t>
      </w:r>
      <w:r w:rsidR="002C51D0" w:rsidRPr="004D5AD1">
        <w:rPr>
          <w:rStyle w:val="FootnoteReference"/>
          <w:noProof/>
        </w:rPr>
        <w:footnoteReference w:id="14"/>
      </w:r>
      <w:r w:rsidR="002C51D0" w:rsidRPr="004D5AD1">
        <w:rPr>
          <w:noProof/>
        </w:rPr>
        <w:t xml:space="preserve"> wskazano, że prowadzone będą działania pomagające obniżyć emisyjność sektora gazu,</w:t>
      </w:r>
      <w:r w:rsidR="004D5AD1" w:rsidRPr="004D5AD1">
        <w:rPr>
          <w:noProof/>
        </w:rPr>
        <w:t xml:space="preserve"> w</w:t>
      </w:r>
      <w:r w:rsidR="004D5AD1">
        <w:rPr>
          <w:noProof/>
        </w:rPr>
        <w:t> </w:t>
      </w:r>
      <w:r w:rsidR="004D5AD1" w:rsidRPr="004D5AD1">
        <w:rPr>
          <w:noProof/>
        </w:rPr>
        <w:t>tym</w:t>
      </w:r>
      <w:r w:rsidR="002C51D0" w:rsidRPr="004D5AD1">
        <w:rPr>
          <w:noProof/>
        </w:rPr>
        <w:t xml:space="preserve"> poprzez rozwiązanie problemu emisji metanu związanych</w:t>
      </w:r>
      <w:r w:rsidR="004D5AD1" w:rsidRPr="004D5AD1">
        <w:rPr>
          <w:noProof/>
        </w:rPr>
        <w:t xml:space="preserve"> z</w:t>
      </w:r>
      <w:r w:rsidR="004D5AD1">
        <w:rPr>
          <w:noProof/>
        </w:rPr>
        <w:t> </w:t>
      </w:r>
      <w:r w:rsidR="004D5AD1" w:rsidRPr="004D5AD1">
        <w:rPr>
          <w:noProof/>
        </w:rPr>
        <w:t>ene</w:t>
      </w:r>
      <w:r w:rsidR="002C51D0" w:rsidRPr="004D5AD1">
        <w:rPr>
          <w:noProof/>
        </w:rPr>
        <w:t>rgią</w:t>
      </w:r>
      <w:r w:rsidR="004D5AD1" w:rsidRPr="004D5AD1">
        <w:rPr>
          <w:noProof/>
        </w:rPr>
        <w:t>. W</w:t>
      </w:r>
      <w:r w:rsidR="004D5AD1">
        <w:rPr>
          <w:noProof/>
        </w:rPr>
        <w:t> </w:t>
      </w:r>
      <w:r w:rsidR="004D5AD1" w:rsidRPr="004D5AD1">
        <w:rPr>
          <w:noProof/>
        </w:rPr>
        <w:t>paź</w:t>
      </w:r>
      <w:r w:rsidR="002C51D0" w:rsidRPr="004D5AD1">
        <w:rPr>
          <w:noProof/>
        </w:rPr>
        <w:t>dzierniku 2020</w:t>
      </w:r>
      <w:r w:rsidR="004D5AD1" w:rsidRPr="004D5AD1">
        <w:rPr>
          <w:noProof/>
        </w:rPr>
        <w:t> </w:t>
      </w:r>
      <w:r w:rsidR="002C51D0" w:rsidRPr="004D5AD1">
        <w:rPr>
          <w:noProof/>
        </w:rPr>
        <w:t>r. Komisja przyjęła</w:t>
      </w:r>
      <w:r w:rsidR="002C51D0" w:rsidRPr="004D5AD1">
        <w:rPr>
          <w:rFonts w:ascii="Arial" w:hAnsi="Arial"/>
          <w:noProof/>
          <w:szCs w:val="24"/>
        </w:rPr>
        <w:t xml:space="preserve"> </w:t>
      </w:r>
      <w:r w:rsidR="002C51D0" w:rsidRPr="004D5AD1">
        <w:rPr>
          <w:noProof/>
        </w:rPr>
        <w:t>strategię UE na rzecz ograniczenia emisji metanu,</w:t>
      </w:r>
      <w:r w:rsidR="004D5AD1" w:rsidRPr="004D5AD1">
        <w:rPr>
          <w:noProof/>
        </w:rPr>
        <w:t xml:space="preserve"> w</w:t>
      </w:r>
      <w:r w:rsidR="004D5AD1">
        <w:rPr>
          <w:noProof/>
        </w:rPr>
        <w:t> </w:t>
      </w:r>
      <w:r w:rsidR="004D5AD1" w:rsidRPr="004D5AD1">
        <w:rPr>
          <w:noProof/>
        </w:rPr>
        <w:t>któ</w:t>
      </w:r>
      <w:r w:rsidR="002C51D0" w:rsidRPr="004D5AD1">
        <w:rPr>
          <w:noProof/>
        </w:rPr>
        <w:t>rej przedstawiono środki mające na celu obniżenie emisji metanu w UE,</w:t>
      </w:r>
      <w:r w:rsidR="004D5AD1" w:rsidRPr="004D5AD1">
        <w:rPr>
          <w:noProof/>
        </w:rPr>
        <w:t xml:space="preserve"> w</w:t>
      </w:r>
      <w:r w:rsidR="004D5AD1">
        <w:rPr>
          <w:noProof/>
        </w:rPr>
        <w:t> </w:t>
      </w:r>
      <w:r w:rsidR="004D5AD1" w:rsidRPr="004D5AD1">
        <w:rPr>
          <w:noProof/>
        </w:rPr>
        <w:t>tym w</w:t>
      </w:r>
      <w:r w:rsidR="004D5AD1">
        <w:rPr>
          <w:noProof/>
        </w:rPr>
        <w:t> </w:t>
      </w:r>
      <w:r w:rsidR="004D5AD1" w:rsidRPr="004D5AD1">
        <w:rPr>
          <w:noProof/>
        </w:rPr>
        <w:t>sek</w:t>
      </w:r>
      <w:r w:rsidR="002C51D0" w:rsidRPr="004D5AD1">
        <w:rPr>
          <w:noProof/>
        </w:rPr>
        <w:t>torze energetycznym, oraz na całym świecie</w:t>
      </w:r>
      <w:r w:rsidR="004D5AD1" w:rsidRPr="004D5AD1">
        <w:rPr>
          <w:noProof/>
        </w:rPr>
        <w:t>. W</w:t>
      </w:r>
      <w:r w:rsidR="004D5AD1">
        <w:rPr>
          <w:noProof/>
        </w:rPr>
        <w:t> </w:t>
      </w:r>
      <w:r w:rsidR="004D5AD1" w:rsidRPr="004D5AD1">
        <w:rPr>
          <w:noProof/>
        </w:rPr>
        <w:t>roz</w:t>
      </w:r>
      <w:r w:rsidR="002C51D0" w:rsidRPr="004D5AD1">
        <w:rPr>
          <w:noProof/>
        </w:rPr>
        <w:t>porządzeniu (UE) 2021/1119</w:t>
      </w:r>
      <w:r w:rsidR="0031705A" w:rsidRPr="004D5AD1">
        <w:rPr>
          <w:rStyle w:val="FootnoteReference"/>
          <w:noProof/>
        </w:rPr>
        <w:footnoteReference w:id="15"/>
      </w:r>
      <w:r w:rsidR="002C51D0" w:rsidRPr="004D5AD1">
        <w:rPr>
          <w:noProof/>
        </w:rPr>
        <w:t xml:space="preserve"> („Europejskie prawo</w:t>
      </w:r>
      <w:r w:rsidR="004D5AD1" w:rsidRPr="004D5AD1">
        <w:rPr>
          <w:noProof/>
        </w:rPr>
        <w:t xml:space="preserve"> o</w:t>
      </w:r>
      <w:r w:rsidR="004D5AD1">
        <w:rPr>
          <w:noProof/>
        </w:rPr>
        <w:t> </w:t>
      </w:r>
      <w:r w:rsidR="004D5AD1" w:rsidRPr="004D5AD1">
        <w:rPr>
          <w:noProof/>
        </w:rPr>
        <w:t>kli</w:t>
      </w:r>
      <w:r w:rsidR="002C51D0" w:rsidRPr="004D5AD1">
        <w:rPr>
          <w:noProof/>
        </w:rPr>
        <w:t>macie”) Unia wprowadziła do prawodawstwa cel osiągnięcia neutralności klimatycznej</w:t>
      </w:r>
      <w:r w:rsidR="004D5AD1" w:rsidRPr="004D5AD1">
        <w:rPr>
          <w:noProof/>
        </w:rPr>
        <w:t xml:space="preserve"> w</w:t>
      </w:r>
      <w:r w:rsidR="004D5AD1">
        <w:rPr>
          <w:noProof/>
        </w:rPr>
        <w:t> </w:t>
      </w:r>
      <w:r w:rsidR="004D5AD1" w:rsidRPr="004D5AD1">
        <w:rPr>
          <w:noProof/>
        </w:rPr>
        <w:t>cał</w:t>
      </w:r>
      <w:r w:rsidR="002C51D0" w:rsidRPr="004D5AD1">
        <w:rPr>
          <w:noProof/>
        </w:rPr>
        <w:t>ej gospodarce do</w:t>
      </w:r>
      <w:r w:rsidR="004D5AD1" w:rsidRPr="004D5AD1">
        <w:rPr>
          <w:noProof/>
        </w:rPr>
        <w:t> </w:t>
      </w:r>
      <w:r w:rsidR="002C51D0" w:rsidRPr="004D5AD1">
        <w:rPr>
          <w:noProof/>
        </w:rPr>
        <w:t>2050</w:t>
      </w:r>
      <w:r w:rsidR="004D5AD1" w:rsidRPr="004D5AD1">
        <w:rPr>
          <w:noProof/>
        </w:rPr>
        <w:t> </w:t>
      </w:r>
      <w:r w:rsidR="002C51D0" w:rsidRPr="004D5AD1">
        <w:rPr>
          <w:noProof/>
        </w:rPr>
        <w:t>r.,</w:t>
      </w:r>
      <w:r w:rsidR="004D5AD1" w:rsidRPr="004D5AD1">
        <w:rPr>
          <w:noProof/>
        </w:rPr>
        <w:t xml:space="preserve"> a</w:t>
      </w:r>
      <w:r w:rsidR="004D5AD1">
        <w:rPr>
          <w:noProof/>
        </w:rPr>
        <w:t> </w:t>
      </w:r>
      <w:r w:rsidR="004D5AD1" w:rsidRPr="004D5AD1">
        <w:rPr>
          <w:noProof/>
        </w:rPr>
        <w:t>tak</w:t>
      </w:r>
      <w:r w:rsidR="002C51D0" w:rsidRPr="004D5AD1">
        <w:rPr>
          <w:noProof/>
        </w:rPr>
        <w:t>że ustanowiła wiążące zobowiązanie na poziomie Unii dotyczące zmniejszenia emisji gazów cieplarnianych netto (emisji po odjęciu pochłaniania) o co najmniej 55</w:t>
      </w:r>
      <w:r w:rsidR="004D5AD1" w:rsidRPr="004D5AD1">
        <w:rPr>
          <w:noProof/>
        </w:rPr>
        <w:t> </w:t>
      </w:r>
      <w:r w:rsidR="002C51D0" w:rsidRPr="004D5AD1">
        <w:rPr>
          <w:noProof/>
        </w:rPr>
        <w:t>% do</w:t>
      </w:r>
      <w:r w:rsidR="004D5AD1" w:rsidRPr="004D5AD1">
        <w:rPr>
          <w:noProof/>
        </w:rPr>
        <w:t> </w:t>
      </w:r>
      <w:r w:rsidR="002C51D0" w:rsidRPr="004D5AD1">
        <w:rPr>
          <w:noProof/>
        </w:rPr>
        <w:t>2030</w:t>
      </w:r>
      <w:r w:rsidR="004D5AD1" w:rsidRPr="004D5AD1">
        <w:rPr>
          <w:noProof/>
        </w:rPr>
        <w:t> </w:t>
      </w:r>
      <w:r w:rsidR="002C51D0" w:rsidRPr="004D5AD1">
        <w:rPr>
          <w:noProof/>
        </w:rPr>
        <w:t>r.</w:t>
      </w:r>
      <w:r w:rsidR="004D5AD1" w:rsidRPr="004D5AD1">
        <w:rPr>
          <w:noProof/>
        </w:rPr>
        <w:t xml:space="preserve"> w</w:t>
      </w:r>
      <w:r w:rsidR="004D5AD1">
        <w:rPr>
          <w:noProof/>
        </w:rPr>
        <w:t> </w:t>
      </w:r>
      <w:r w:rsidR="004D5AD1" w:rsidRPr="004D5AD1">
        <w:rPr>
          <w:noProof/>
        </w:rPr>
        <w:t>por</w:t>
      </w:r>
      <w:r w:rsidR="002C51D0" w:rsidRPr="004D5AD1">
        <w:rPr>
          <w:noProof/>
        </w:rPr>
        <w:t>ównaniu</w:t>
      </w:r>
      <w:r w:rsidR="004D5AD1" w:rsidRPr="004D5AD1">
        <w:rPr>
          <w:noProof/>
        </w:rPr>
        <w:t xml:space="preserve"> z</w:t>
      </w:r>
      <w:r w:rsidR="004D5AD1">
        <w:rPr>
          <w:noProof/>
        </w:rPr>
        <w:t> </w:t>
      </w:r>
      <w:r w:rsidR="004D5AD1" w:rsidRPr="004D5AD1">
        <w:rPr>
          <w:noProof/>
        </w:rPr>
        <w:t>poz</w:t>
      </w:r>
      <w:r w:rsidR="002C51D0" w:rsidRPr="004D5AD1">
        <w:rPr>
          <w:noProof/>
        </w:rPr>
        <w:t>iomami</w:t>
      </w:r>
      <w:r w:rsidR="004D5AD1" w:rsidRPr="004D5AD1">
        <w:rPr>
          <w:noProof/>
        </w:rPr>
        <w:t xml:space="preserve"> z</w:t>
      </w:r>
      <w:r w:rsidR="004D5AD1">
        <w:rPr>
          <w:noProof/>
        </w:rPr>
        <w:t> </w:t>
      </w:r>
      <w:r w:rsidR="004D5AD1" w:rsidRPr="004D5AD1">
        <w:rPr>
          <w:noProof/>
        </w:rPr>
        <w:t>1</w:t>
      </w:r>
      <w:r w:rsidR="002C51D0" w:rsidRPr="004D5AD1">
        <w:rPr>
          <w:noProof/>
        </w:rPr>
        <w:t>990</w:t>
      </w:r>
      <w:r w:rsidR="004D5AD1" w:rsidRPr="004D5AD1">
        <w:rPr>
          <w:noProof/>
        </w:rPr>
        <w:t> </w:t>
      </w:r>
      <w:r w:rsidR="002C51D0" w:rsidRPr="004D5AD1">
        <w:rPr>
          <w:noProof/>
        </w:rPr>
        <w:t>r. Aby osiągnąć ten poziom redukcji emisji gazów cieplarnianych, do</w:t>
      </w:r>
      <w:r w:rsidR="004D5AD1" w:rsidRPr="004D5AD1">
        <w:rPr>
          <w:noProof/>
        </w:rPr>
        <w:t> </w:t>
      </w:r>
      <w:r w:rsidR="002C51D0" w:rsidRPr="004D5AD1">
        <w:rPr>
          <w:noProof/>
        </w:rPr>
        <w:t>2030</w:t>
      </w:r>
      <w:r w:rsidR="004D5AD1" w:rsidRPr="004D5AD1">
        <w:rPr>
          <w:noProof/>
        </w:rPr>
        <w:t> </w:t>
      </w:r>
      <w:r w:rsidR="002C51D0" w:rsidRPr="004D5AD1">
        <w:rPr>
          <w:noProof/>
        </w:rPr>
        <w:t>r. należy zmniejszyć emisje m</w:t>
      </w:r>
      <w:r w:rsidR="00805D0B" w:rsidRPr="004D5AD1">
        <w:rPr>
          <w:noProof/>
        </w:rPr>
        <w:t>etanu</w:t>
      </w:r>
      <w:r w:rsidR="004D5AD1" w:rsidRPr="004D5AD1">
        <w:rPr>
          <w:noProof/>
        </w:rPr>
        <w:t xml:space="preserve"> z</w:t>
      </w:r>
      <w:r w:rsidR="004D5AD1">
        <w:rPr>
          <w:noProof/>
        </w:rPr>
        <w:t> </w:t>
      </w:r>
      <w:r w:rsidR="004D5AD1" w:rsidRPr="004D5AD1">
        <w:rPr>
          <w:noProof/>
        </w:rPr>
        <w:t>sek</w:t>
      </w:r>
      <w:r w:rsidR="00805D0B" w:rsidRPr="004D5AD1">
        <w:rPr>
          <w:noProof/>
        </w:rPr>
        <w:t>tora energetycznego</w:t>
      </w:r>
      <w:r w:rsidR="004D5AD1" w:rsidRPr="004D5AD1">
        <w:rPr>
          <w:noProof/>
        </w:rPr>
        <w:t xml:space="preserve"> o</w:t>
      </w:r>
      <w:r w:rsidR="004D5AD1">
        <w:rPr>
          <w:noProof/>
        </w:rPr>
        <w:t> </w:t>
      </w:r>
      <w:r w:rsidR="004D5AD1" w:rsidRPr="004D5AD1">
        <w:rPr>
          <w:noProof/>
        </w:rPr>
        <w:t>oko</w:t>
      </w:r>
      <w:r w:rsidR="002C51D0" w:rsidRPr="004D5AD1">
        <w:rPr>
          <w:noProof/>
        </w:rPr>
        <w:t>ło 58</w:t>
      </w:r>
      <w:r w:rsidR="004D5AD1" w:rsidRPr="004D5AD1">
        <w:rPr>
          <w:noProof/>
        </w:rPr>
        <w:t> </w:t>
      </w:r>
      <w:r w:rsidR="002C51D0" w:rsidRPr="004D5AD1">
        <w:rPr>
          <w:noProof/>
        </w:rPr>
        <w:t>%</w:t>
      </w:r>
      <w:r w:rsidR="004D5AD1" w:rsidRPr="004D5AD1">
        <w:rPr>
          <w:noProof/>
        </w:rPr>
        <w:t xml:space="preserve"> w</w:t>
      </w:r>
      <w:r w:rsidR="004D5AD1">
        <w:rPr>
          <w:noProof/>
        </w:rPr>
        <w:t> </w:t>
      </w:r>
      <w:r w:rsidR="004D5AD1" w:rsidRPr="004D5AD1">
        <w:rPr>
          <w:noProof/>
        </w:rPr>
        <w:t>por</w:t>
      </w:r>
      <w:r w:rsidR="002C51D0" w:rsidRPr="004D5AD1">
        <w:rPr>
          <w:noProof/>
        </w:rPr>
        <w:t>ównaniu</w:t>
      </w:r>
      <w:r w:rsidR="004D5AD1" w:rsidRPr="004D5AD1">
        <w:rPr>
          <w:noProof/>
        </w:rPr>
        <w:t xml:space="preserve"> z</w:t>
      </w:r>
      <w:r w:rsidR="004D5AD1">
        <w:rPr>
          <w:noProof/>
        </w:rPr>
        <w:t> </w:t>
      </w:r>
      <w:r w:rsidR="004D5AD1" w:rsidRPr="004D5AD1">
        <w:rPr>
          <w:noProof/>
        </w:rPr>
        <w:t>rok</w:t>
      </w:r>
      <w:r w:rsidR="002C51D0" w:rsidRPr="004D5AD1">
        <w:rPr>
          <w:noProof/>
        </w:rPr>
        <w:t>iem 2020.</w:t>
      </w:r>
    </w:p>
    <w:p w14:paraId="7E9F3A5B" w14:textId="1E43A9A5" w:rsidR="00CD116D" w:rsidRPr="004D5AD1" w:rsidRDefault="00DE3FFB" w:rsidP="00DE3FFB">
      <w:pPr>
        <w:pStyle w:val="ManualConsidrant"/>
        <w:rPr>
          <w:noProof/>
        </w:rPr>
      </w:pPr>
      <w:r w:rsidRPr="00DE3FFB">
        <w:t>(6)</w:t>
      </w:r>
      <w:r w:rsidRPr="00DE3FFB">
        <w:tab/>
      </w:r>
      <w:r w:rsidR="0095104D" w:rsidRPr="004D5AD1">
        <w:rPr>
          <w:noProof/>
        </w:rPr>
        <w:t>Emisje metanu wchodzą</w:t>
      </w:r>
      <w:r w:rsidR="004D5AD1" w:rsidRPr="004D5AD1">
        <w:rPr>
          <w:noProof/>
        </w:rPr>
        <w:t xml:space="preserve"> w</w:t>
      </w:r>
      <w:r w:rsidR="004D5AD1">
        <w:rPr>
          <w:noProof/>
        </w:rPr>
        <w:t> </w:t>
      </w:r>
      <w:r w:rsidR="004D5AD1" w:rsidRPr="004D5AD1">
        <w:rPr>
          <w:noProof/>
        </w:rPr>
        <w:t>zak</w:t>
      </w:r>
      <w:r w:rsidR="0095104D" w:rsidRPr="004D5AD1">
        <w:rPr>
          <w:noProof/>
        </w:rPr>
        <w:t>res unijnych celów redukcji emisji gazów cieplarnianych do</w:t>
      </w:r>
      <w:r w:rsidR="004D5AD1" w:rsidRPr="004D5AD1">
        <w:rPr>
          <w:noProof/>
        </w:rPr>
        <w:t> </w:t>
      </w:r>
      <w:r w:rsidR="0095104D" w:rsidRPr="004D5AD1">
        <w:rPr>
          <w:noProof/>
        </w:rPr>
        <w:t>2030</w:t>
      </w:r>
      <w:r w:rsidR="004D5AD1" w:rsidRPr="004D5AD1">
        <w:rPr>
          <w:noProof/>
        </w:rPr>
        <w:t> </w:t>
      </w:r>
      <w:r w:rsidR="0095104D" w:rsidRPr="004D5AD1">
        <w:rPr>
          <w:noProof/>
        </w:rPr>
        <w:t>r. określonych</w:t>
      </w:r>
      <w:r w:rsidR="004D5AD1" w:rsidRPr="004D5AD1">
        <w:rPr>
          <w:noProof/>
        </w:rPr>
        <w:t xml:space="preserve"> w</w:t>
      </w:r>
      <w:r w:rsidR="004D5AD1">
        <w:rPr>
          <w:noProof/>
        </w:rPr>
        <w:t> </w:t>
      </w:r>
      <w:r w:rsidR="004D5AD1" w:rsidRPr="004D5AD1">
        <w:rPr>
          <w:noProof/>
        </w:rPr>
        <w:t>Eur</w:t>
      </w:r>
      <w:r w:rsidR="0095104D" w:rsidRPr="004D5AD1">
        <w:rPr>
          <w:noProof/>
        </w:rPr>
        <w:t>opejskim prawie</w:t>
      </w:r>
      <w:r w:rsidR="004D5AD1" w:rsidRPr="004D5AD1">
        <w:rPr>
          <w:noProof/>
        </w:rPr>
        <w:t xml:space="preserve"> o</w:t>
      </w:r>
      <w:r w:rsidR="004D5AD1">
        <w:rPr>
          <w:noProof/>
        </w:rPr>
        <w:t> </w:t>
      </w:r>
      <w:r w:rsidR="004D5AD1" w:rsidRPr="004D5AD1">
        <w:rPr>
          <w:noProof/>
        </w:rPr>
        <w:t>kli</w:t>
      </w:r>
      <w:r w:rsidR="0095104D" w:rsidRPr="004D5AD1">
        <w:rPr>
          <w:noProof/>
        </w:rPr>
        <w:t>macie oraz wiążących krajowych celów redukcji emisji na podstawie rozporządzenia (UE) 2018/842</w:t>
      </w:r>
      <w:r w:rsidR="00A12D91" w:rsidRPr="004D5AD1">
        <w:rPr>
          <w:rStyle w:val="FootnoteReference"/>
          <w:noProof/>
        </w:rPr>
        <w:footnoteReference w:id="16"/>
      </w:r>
      <w:r w:rsidR="0095104D" w:rsidRPr="004D5AD1">
        <w:rPr>
          <w:noProof/>
        </w:rPr>
        <w:t>. Obecnie nie obowiązują jednak żadne unijne ramy prawne określające konkretne środki na rzecz redukcji antropogenicznych emisji metanu</w:t>
      </w:r>
      <w:r w:rsidR="004D5AD1" w:rsidRPr="004D5AD1">
        <w:rPr>
          <w:noProof/>
        </w:rPr>
        <w:t xml:space="preserve"> w</w:t>
      </w:r>
      <w:r w:rsidR="004D5AD1">
        <w:rPr>
          <w:noProof/>
        </w:rPr>
        <w:t> </w:t>
      </w:r>
      <w:r w:rsidR="004D5AD1" w:rsidRPr="004D5AD1">
        <w:rPr>
          <w:noProof/>
        </w:rPr>
        <w:t>sek</w:t>
      </w:r>
      <w:r w:rsidR="0095104D" w:rsidRPr="004D5AD1">
        <w:rPr>
          <w:noProof/>
        </w:rPr>
        <w:t>torze energetycznym. Ponadto dyrektywa 2010/75</w:t>
      </w:r>
      <w:r w:rsidR="00907523" w:rsidRPr="004D5AD1">
        <w:rPr>
          <w:rStyle w:val="FootnoteReference"/>
          <w:noProof/>
        </w:rPr>
        <w:footnoteReference w:id="17"/>
      </w:r>
      <w:r w:rsidR="004D5AD1" w:rsidRPr="004D5AD1">
        <w:rPr>
          <w:noProof/>
        </w:rPr>
        <w:t xml:space="preserve"> w</w:t>
      </w:r>
      <w:r w:rsidR="004D5AD1">
        <w:rPr>
          <w:noProof/>
        </w:rPr>
        <w:t> </w:t>
      </w:r>
      <w:r w:rsidR="004D5AD1" w:rsidRPr="004D5AD1">
        <w:rPr>
          <w:noProof/>
        </w:rPr>
        <w:t>spr</w:t>
      </w:r>
      <w:r w:rsidR="0095104D" w:rsidRPr="004D5AD1">
        <w:rPr>
          <w:noProof/>
        </w:rPr>
        <w:t>awie emisji przemysłowych obejmuje wprawdzie emisje metanu powstające</w:t>
      </w:r>
      <w:r w:rsidR="004D5AD1" w:rsidRPr="004D5AD1">
        <w:rPr>
          <w:noProof/>
        </w:rPr>
        <w:t xml:space="preserve"> w</w:t>
      </w:r>
      <w:r w:rsidR="004D5AD1">
        <w:rPr>
          <w:noProof/>
        </w:rPr>
        <w:t> </w:t>
      </w:r>
      <w:r w:rsidR="004D5AD1" w:rsidRPr="004D5AD1">
        <w:rPr>
          <w:noProof/>
        </w:rPr>
        <w:t>pro</w:t>
      </w:r>
      <w:r w:rsidR="0095104D" w:rsidRPr="004D5AD1">
        <w:rPr>
          <w:noProof/>
        </w:rPr>
        <w:t>cesie rafinacji ropy naftowej</w:t>
      </w:r>
      <w:r w:rsidR="004D5AD1" w:rsidRPr="004D5AD1">
        <w:rPr>
          <w:noProof/>
        </w:rPr>
        <w:t xml:space="preserve"> i</w:t>
      </w:r>
      <w:r w:rsidR="004D5AD1">
        <w:rPr>
          <w:noProof/>
        </w:rPr>
        <w:t> </w:t>
      </w:r>
      <w:r w:rsidR="004D5AD1" w:rsidRPr="004D5AD1">
        <w:rPr>
          <w:noProof/>
        </w:rPr>
        <w:t>gaz</w:t>
      </w:r>
      <w:r w:rsidR="0095104D" w:rsidRPr="004D5AD1">
        <w:rPr>
          <w:noProof/>
        </w:rPr>
        <w:t>u, nie obejmuje ona jednak innych rodzajów działalności</w:t>
      </w:r>
      <w:r w:rsidR="004D5AD1" w:rsidRPr="004D5AD1">
        <w:rPr>
          <w:noProof/>
        </w:rPr>
        <w:t xml:space="preserve"> w</w:t>
      </w:r>
      <w:r w:rsidR="004D5AD1">
        <w:rPr>
          <w:noProof/>
        </w:rPr>
        <w:t> </w:t>
      </w:r>
      <w:r w:rsidR="004D5AD1" w:rsidRPr="004D5AD1">
        <w:rPr>
          <w:noProof/>
        </w:rPr>
        <w:t>sek</w:t>
      </w:r>
      <w:r w:rsidR="0095104D" w:rsidRPr="004D5AD1">
        <w:rPr>
          <w:noProof/>
        </w:rPr>
        <w:t>torze energetycznym.</w:t>
      </w:r>
    </w:p>
    <w:p w14:paraId="58779A0F" w14:textId="683D99D7" w:rsidR="00533739" w:rsidRPr="004D5AD1" w:rsidRDefault="00DE3FFB" w:rsidP="00DE3FFB">
      <w:pPr>
        <w:pStyle w:val="ManualConsidrant"/>
        <w:rPr>
          <w:noProof/>
        </w:rPr>
      </w:pPr>
      <w:r w:rsidRPr="00DE3FFB">
        <w:t>(7)</w:t>
      </w:r>
      <w:r w:rsidRPr="00DE3FFB">
        <w:tab/>
      </w:r>
      <w:r w:rsidR="00533739" w:rsidRPr="004D5AD1">
        <w:rPr>
          <w:noProof/>
        </w:rPr>
        <w:t xml:space="preserve">W tym kontekście niniejsze rozporządzenie powinno mieć zastosowanie do redukcji emisji metanu występujących na poziomie </w:t>
      </w:r>
      <w:r w:rsidR="00533739" w:rsidRPr="004D5AD1">
        <w:rPr>
          <w:rStyle w:val="normaltextrun"/>
          <w:noProof/>
        </w:rPr>
        <w:t>poszukiwania</w:t>
      </w:r>
      <w:r w:rsidR="004D5AD1" w:rsidRPr="004D5AD1">
        <w:rPr>
          <w:rStyle w:val="normaltextrun"/>
          <w:noProof/>
        </w:rPr>
        <w:t xml:space="preserve"> i</w:t>
      </w:r>
      <w:r w:rsidR="004D5AD1">
        <w:rPr>
          <w:rStyle w:val="normaltextrun"/>
          <w:noProof/>
        </w:rPr>
        <w:t> </w:t>
      </w:r>
      <w:r w:rsidR="004D5AD1" w:rsidRPr="004D5AD1">
        <w:rPr>
          <w:rStyle w:val="normaltextrun"/>
          <w:noProof/>
        </w:rPr>
        <w:t>wyd</w:t>
      </w:r>
      <w:r w:rsidR="00533739" w:rsidRPr="004D5AD1">
        <w:rPr>
          <w:rStyle w:val="normaltextrun"/>
          <w:noProof/>
        </w:rPr>
        <w:t>obycia ropy naftowej</w:t>
      </w:r>
      <w:r w:rsidR="004D5AD1" w:rsidRPr="004D5AD1">
        <w:rPr>
          <w:rStyle w:val="normaltextrun"/>
          <w:noProof/>
        </w:rPr>
        <w:t xml:space="preserve"> i</w:t>
      </w:r>
      <w:r w:rsidR="004D5AD1">
        <w:rPr>
          <w:rStyle w:val="normaltextrun"/>
          <w:noProof/>
        </w:rPr>
        <w:t> </w:t>
      </w:r>
      <w:r w:rsidR="004D5AD1" w:rsidRPr="004D5AD1">
        <w:rPr>
          <w:rStyle w:val="normaltextrun"/>
          <w:noProof/>
        </w:rPr>
        <w:t>gaz</w:t>
      </w:r>
      <w:r w:rsidR="00533739" w:rsidRPr="004D5AD1">
        <w:rPr>
          <w:rStyle w:val="normaltextrun"/>
          <w:noProof/>
        </w:rPr>
        <w:t>u ziemnego, gromadzenia</w:t>
      </w:r>
      <w:r w:rsidR="004D5AD1" w:rsidRPr="004D5AD1">
        <w:rPr>
          <w:rStyle w:val="normaltextrun"/>
          <w:noProof/>
        </w:rPr>
        <w:t xml:space="preserve"> i</w:t>
      </w:r>
      <w:r w:rsidR="004D5AD1">
        <w:rPr>
          <w:rStyle w:val="normaltextrun"/>
          <w:noProof/>
        </w:rPr>
        <w:t> </w:t>
      </w:r>
      <w:r w:rsidR="004D5AD1" w:rsidRPr="004D5AD1">
        <w:rPr>
          <w:rStyle w:val="normaltextrun"/>
          <w:noProof/>
        </w:rPr>
        <w:t>prz</w:t>
      </w:r>
      <w:r w:rsidR="00533739" w:rsidRPr="004D5AD1">
        <w:rPr>
          <w:rStyle w:val="normaltextrun"/>
          <w:noProof/>
        </w:rPr>
        <w:t>etwarzania gazu ziemnego, przesyłu, dystrybucji, podziemnego składowania</w:t>
      </w:r>
      <w:r w:rsidR="004D5AD1" w:rsidRPr="004D5AD1">
        <w:rPr>
          <w:rStyle w:val="normaltextrun"/>
          <w:noProof/>
        </w:rPr>
        <w:t xml:space="preserve"> i</w:t>
      </w:r>
      <w:r w:rsidR="004D5AD1">
        <w:rPr>
          <w:rStyle w:val="normaltextrun"/>
          <w:noProof/>
        </w:rPr>
        <w:t> </w:t>
      </w:r>
      <w:r w:rsidR="004D5AD1" w:rsidRPr="004D5AD1">
        <w:rPr>
          <w:rStyle w:val="normaltextrun"/>
          <w:noProof/>
        </w:rPr>
        <w:t>ter</w:t>
      </w:r>
      <w:r w:rsidR="00533739" w:rsidRPr="004D5AD1">
        <w:rPr>
          <w:rStyle w:val="normaltextrun"/>
          <w:noProof/>
        </w:rPr>
        <w:t>minali skroplonego gazu ziemnego (LNG),</w:t>
      </w:r>
      <w:r w:rsidR="004D5AD1" w:rsidRPr="004D5AD1">
        <w:rPr>
          <w:rStyle w:val="normaltextrun"/>
          <w:noProof/>
        </w:rPr>
        <w:t xml:space="preserve"> a</w:t>
      </w:r>
      <w:r w:rsidR="004D5AD1">
        <w:rPr>
          <w:rStyle w:val="normaltextrun"/>
          <w:noProof/>
        </w:rPr>
        <w:t> </w:t>
      </w:r>
      <w:r w:rsidR="004D5AD1" w:rsidRPr="004D5AD1">
        <w:rPr>
          <w:rStyle w:val="normaltextrun"/>
          <w:noProof/>
        </w:rPr>
        <w:t>tak</w:t>
      </w:r>
      <w:r w:rsidR="00533739" w:rsidRPr="004D5AD1">
        <w:rPr>
          <w:rStyle w:val="normaltextrun"/>
          <w:noProof/>
        </w:rPr>
        <w:t>że czynnych podziemnych</w:t>
      </w:r>
      <w:r w:rsidR="004D5AD1" w:rsidRPr="004D5AD1">
        <w:rPr>
          <w:rStyle w:val="normaltextrun"/>
          <w:noProof/>
        </w:rPr>
        <w:t xml:space="preserve"> i</w:t>
      </w:r>
      <w:r w:rsidR="004D5AD1">
        <w:rPr>
          <w:rStyle w:val="normaltextrun"/>
          <w:noProof/>
        </w:rPr>
        <w:t> </w:t>
      </w:r>
      <w:r w:rsidR="004D5AD1" w:rsidRPr="004D5AD1">
        <w:rPr>
          <w:rStyle w:val="normaltextrun"/>
          <w:noProof/>
        </w:rPr>
        <w:t>odk</w:t>
      </w:r>
      <w:r w:rsidR="00533739" w:rsidRPr="004D5AD1">
        <w:rPr>
          <w:rStyle w:val="normaltextrun"/>
          <w:noProof/>
        </w:rPr>
        <w:t>rywkowych kopalń węgla oraz nieczynnych podziemnych kopalń węgla.</w:t>
      </w:r>
    </w:p>
    <w:p w14:paraId="3D8EAEBE" w14:textId="7CFF466C" w:rsidR="00CD116D" w:rsidRPr="004D5AD1" w:rsidRDefault="00DE3FFB" w:rsidP="00DE3FFB">
      <w:pPr>
        <w:pStyle w:val="ManualConsidrant"/>
        <w:rPr>
          <w:noProof/>
        </w:rPr>
      </w:pPr>
      <w:r w:rsidRPr="00DE3FFB">
        <w:t>(8)</w:t>
      </w:r>
      <w:r w:rsidRPr="00DE3FFB">
        <w:tab/>
      </w:r>
      <w:r w:rsidR="00A70A62" w:rsidRPr="004D5AD1">
        <w:rPr>
          <w:noProof/>
        </w:rPr>
        <w:t>Przepisy dotyczące dokładnego pomiaru, raportowania</w:t>
      </w:r>
      <w:r w:rsidR="004D5AD1" w:rsidRPr="004D5AD1">
        <w:rPr>
          <w:noProof/>
        </w:rPr>
        <w:t xml:space="preserve"> i</w:t>
      </w:r>
      <w:r w:rsidR="004D5AD1">
        <w:rPr>
          <w:noProof/>
        </w:rPr>
        <w:t> </w:t>
      </w:r>
      <w:r w:rsidR="004D5AD1" w:rsidRPr="004D5AD1">
        <w:rPr>
          <w:noProof/>
        </w:rPr>
        <w:t>wer</w:t>
      </w:r>
      <w:r w:rsidR="00A70A62" w:rsidRPr="004D5AD1">
        <w:rPr>
          <w:noProof/>
        </w:rPr>
        <w:t>yfikacji emisji metanu</w:t>
      </w:r>
      <w:r w:rsidR="004D5AD1" w:rsidRPr="004D5AD1">
        <w:rPr>
          <w:noProof/>
        </w:rPr>
        <w:t xml:space="preserve"> w</w:t>
      </w:r>
      <w:r w:rsidR="004D5AD1">
        <w:rPr>
          <w:noProof/>
        </w:rPr>
        <w:t> </w:t>
      </w:r>
      <w:r w:rsidR="004D5AD1" w:rsidRPr="004D5AD1">
        <w:rPr>
          <w:noProof/>
        </w:rPr>
        <w:t>sek</w:t>
      </w:r>
      <w:r w:rsidR="00A70A62" w:rsidRPr="004D5AD1">
        <w:rPr>
          <w:noProof/>
        </w:rPr>
        <w:t>torach ropy naftowej, gazu</w:t>
      </w:r>
      <w:r w:rsidR="004D5AD1" w:rsidRPr="004D5AD1">
        <w:rPr>
          <w:noProof/>
        </w:rPr>
        <w:t xml:space="preserve"> i</w:t>
      </w:r>
      <w:r w:rsidR="004D5AD1">
        <w:rPr>
          <w:noProof/>
        </w:rPr>
        <w:t> </w:t>
      </w:r>
      <w:r w:rsidR="004D5AD1" w:rsidRPr="004D5AD1">
        <w:rPr>
          <w:noProof/>
        </w:rPr>
        <w:t>węg</w:t>
      </w:r>
      <w:r w:rsidR="00A70A62" w:rsidRPr="004D5AD1">
        <w:rPr>
          <w:noProof/>
        </w:rPr>
        <w:t>la, jak również przepisy dotyczące redukcji tych emisji,</w:t>
      </w:r>
      <w:r w:rsidR="004D5AD1" w:rsidRPr="004D5AD1">
        <w:rPr>
          <w:noProof/>
        </w:rPr>
        <w:t xml:space="preserve"> w</w:t>
      </w:r>
      <w:r w:rsidR="004D5AD1">
        <w:rPr>
          <w:noProof/>
        </w:rPr>
        <w:t> </w:t>
      </w:r>
      <w:r w:rsidR="004D5AD1" w:rsidRPr="004D5AD1">
        <w:rPr>
          <w:noProof/>
        </w:rPr>
        <w:t>tym</w:t>
      </w:r>
      <w:r w:rsidR="00A70A62" w:rsidRPr="004D5AD1">
        <w:rPr>
          <w:noProof/>
        </w:rPr>
        <w:t xml:space="preserve"> poprzez badania mające na celu wykrywanie nieszczelności</w:t>
      </w:r>
      <w:r w:rsidR="004D5AD1" w:rsidRPr="004D5AD1">
        <w:rPr>
          <w:noProof/>
        </w:rPr>
        <w:t xml:space="preserve"> i</w:t>
      </w:r>
      <w:r w:rsidR="004D5AD1">
        <w:rPr>
          <w:noProof/>
        </w:rPr>
        <w:t> </w:t>
      </w:r>
      <w:r w:rsidR="004D5AD1" w:rsidRPr="004D5AD1">
        <w:rPr>
          <w:noProof/>
        </w:rPr>
        <w:t>nap</w:t>
      </w:r>
      <w:r w:rsidR="00A70A62" w:rsidRPr="004D5AD1">
        <w:rPr>
          <w:noProof/>
        </w:rPr>
        <w:t>rawę oraz ograniczenia dotyczące uwalniania do atmosfery</w:t>
      </w:r>
      <w:r w:rsidR="004D5AD1" w:rsidRPr="004D5AD1">
        <w:rPr>
          <w:noProof/>
        </w:rPr>
        <w:t xml:space="preserve"> i</w:t>
      </w:r>
      <w:r w:rsidR="004D5AD1">
        <w:rPr>
          <w:noProof/>
        </w:rPr>
        <w:t> </w:t>
      </w:r>
      <w:r w:rsidR="004D5AD1" w:rsidRPr="004D5AD1">
        <w:rPr>
          <w:noProof/>
        </w:rPr>
        <w:t>spa</w:t>
      </w:r>
      <w:r w:rsidR="00A70A62" w:rsidRPr="004D5AD1">
        <w:rPr>
          <w:noProof/>
        </w:rPr>
        <w:t>lania gazu</w:t>
      </w:r>
      <w:r w:rsidR="004D5AD1" w:rsidRPr="004D5AD1">
        <w:rPr>
          <w:noProof/>
        </w:rPr>
        <w:t xml:space="preserve"> w</w:t>
      </w:r>
      <w:r w:rsidR="004D5AD1">
        <w:rPr>
          <w:noProof/>
        </w:rPr>
        <w:t> </w:t>
      </w:r>
      <w:r w:rsidR="004D5AD1" w:rsidRPr="004D5AD1">
        <w:rPr>
          <w:noProof/>
        </w:rPr>
        <w:t>poc</w:t>
      </w:r>
      <w:r w:rsidR="00A70A62" w:rsidRPr="004D5AD1">
        <w:rPr>
          <w:noProof/>
        </w:rPr>
        <w:t>hodni, powinny zostać uwzględnione</w:t>
      </w:r>
      <w:r w:rsidR="004D5AD1" w:rsidRPr="004D5AD1">
        <w:rPr>
          <w:noProof/>
        </w:rPr>
        <w:t xml:space="preserve"> w</w:t>
      </w:r>
      <w:r w:rsidR="004D5AD1">
        <w:rPr>
          <w:noProof/>
        </w:rPr>
        <w:t> </w:t>
      </w:r>
      <w:r w:rsidR="004D5AD1" w:rsidRPr="004D5AD1">
        <w:rPr>
          <w:noProof/>
        </w:rPr>
        <w:t>odp</w:t>
      </w:r>
      <w:r w:rsidR="00A70A62" w:rsidRPr="004D5AD1">
        <w:rPr>
          <w:noProof/>
        </w:rPr>
        <w:t>owiednich ramach prawnych Unii. Takie ramy powinny zawierać przepisy zwiększające przejrzystość, jeśli chodzi</w:t>
      </w:r>
      <w:r w:rsidR="004D5AD1" w:rsidRPr="004D5AD1">
        <w:rPr>
          <w:noProof/>
        </w:rPr>
        <w:t xml:space="preserve"> o</w:t>
      </w:r>
      <w:r w:rsidR="004D5AD1">
        <w:rPr>
          <w:noProof/>
        </w:rPr>
        <w:t> </w:t>
      </w:r>
      <w:r w:rsidR="004D5AD1" w:rsidRPr="004D5AD1">
        <w:rPr>
          <w:noProof/>
        </w:rPr>
        <w:t>imp</w:t>
      </w:r>
      <w:r w:rsidR="00A70A62" w:rsidRPr="004D5AD1">
        <w:rPr>
          <w:noProof/>
        </w:rPr>
        <w:t>ort energii pochodzącej</w:t>
      </w:r>
      <w:r w:rsidR="004D5AD1" w:rsidRPr="004D5AD1">
        <w:rPr>
          <w:noProof/>
        </w:rPr>
        <w:t xml:space="preserve"> z</w:t>
      </w:r>
      <w:r w:rsidR="004D5AD1">
        <w:rPr>
          <w:noProof/>
        </w:rPr>
        <w:t> </w:t>
      </w:r>
      <w:r w:rsidR="004D5AD1" w:rsidRPr="004D5AD1">
        <w:rPr>
          <w:noProof/>
        </w:rPr>
        <w:t>pal</w:t>
      </w:r>
      <w:r w:rsidR="00A70A62" w:rsidRPr="004D5AD1">
        <w:rPr>
          <w:noProof/>
        </w:rPr>
        <w:t>iw kopalnych do Unii,</w:t>
      </w:r>
      <w:r w:rsidR="004D5AD1" w:rsidRPr="004D5AD1">
        <w:rPr>
          <w:noProof/>
        </w:rPr>
        <w:t xml:space="preserve"> a</w:t>
      </w:r>
      <w:r w:rsidR="004D5AD1">
        <w:rPr>
          <w:noProof/>
        </w:rPr>
        <w:t> </w:t>
      </w:r>
      <w:r w:rsidR="004D5AD1" w:rsidRPr="004D5AD1">
        <w:rPr>
          <w:noProof/>
        </w:rPr>
        <w:t>tym</w:t>
      </w:r>
      <w:r w:rsidR="00A70A62" w:rsidRPr="004D5AD1">
        <w:rPr>
          <w:noProof/>
        </w:rPr>
        <w:t xml:space="preserve"> samym zwiększające zachęty do szerszego stosowania rozwiązań</w:t>
      </w:r>
      <w:r w:rsidR="004D5AD1" w:rsidRPr="004D5AD1">
        <w:rPr>
          <w:noProof/>
        </w:rPr>
        <w:t xml:space="preserve"> w</w:t>
      </w:r>
      <w:r w:rsidR="004D5AD1">
        <w:rPr>
          <w:noProof/>
        </w:rPr>
        <w:t> </w:t>
      </w:r>
      <w:r w:rsidR="004D5AD1" w:rsidRPr="004D5AD1">
        <w:rPr>
          <w:noProof/>
        </w:rPr>
        <w:t>zak</w:t>
      </w:r>
      <w:r w:rsidR="00A70A62" w:rsidRPr="004D5AD1">
        <w:rPr>
          <w:noProof/>
        </w:rPr>
        <w:t>resie ograniczania emisji metanu na całym świecie.</w:t>
      </w:r>
    </w:p>
    <w:p w14:paraId="727A0EEA" w14:textId="7793D27F" w:rsidR="00F45497" w:rsidRPr="004D5AD1" w:rsidRDefault="00DE3FFB" w:rsidP="00DE3FFB">
      <w:pPr>
        <w:pStyle w:val="ManualConsidrant"/>
        <w:rPr>
          <w:noProof/>
        </w:rPr>
      </w:pPr>
      <w:r w:rsidRPr="00DE3FFB">
        <w:t>(9)</w:t>
      </w:r>
      <w:r w:rsidRPr="00DE3FFB">
        <w:tab/>
      </w:r>
      <w:r w:rsidR="00F45497" w:rsidRPr="004D5AD1">
        <w:rPr>
          <w:noProof/>
        </w:rPr>
        <w:t>Wypełnianie zobowiązań wynikających</w:t>
      </w:r>
      <w:r w:rsidR="004D5AD1" w:rsidRPr="004D5AD1">
        <w:rPr>
          <w:noProof/>
        </w:rPr>
        <w:t xml:space="preserve"> z</w:t>
      </w:r>
      <w:r w:rsidR="004D5AD1">
        <w:rPr>
          <w:noProof/>
        </w:rPr>
        <w:t> </w:t>
      </w:r>
      <w:r w:rsidR="004D5AD1" w:rsidRPr="004D5AD1">
        <w:rPr>
          <w:noProof/>
        </w:rPr>
        <w:t>nin</w:t>
      </w:r>
      <w:r w:rsidR="00F45497" w:rsidRPr="004D5AD1">
        <w:rPr>
          <w:noProof/>
        </w:rPr>
        <w:t>iejszego rozporządzenia prawdopodobnie będzie wymagało inwestycji ze strony operatorów podlegających regulacji,</w:t>
      </w:r>
      <w:r w:rsidR="004D5AD1" w:rsidRPr="004D5AD1">
        <w:rPr>
          <w:noProof/>
        </w:rPr>
        <w:t xml:space="preserve"> a</w:t>
      </w:r>
      <w:r w:rsidR="004D5AD1">
        <w:rPr>
          <w:noProof/>
        </w:rPr>
        <w:t> </w:t>
      </w:r>
      <w:r w:rsidR="004D5AD1" w:rsidRPr="004D5AD1">
        <w:rPr>
          <w:noProof/>
        </w:rPr>
        <w:t>kos</w:t>
      </w:r>
      <w:r w:rsidR="00F45497" w:rsidRPr="004D5AD1">
        <w:rPr>
          <w:noProof/>
        </w:rPr>
        <w:t>zty związane</w:t>
      </w:r>
      <w:r w:rsidR="004D5AD1" w:rsidRPr="004D5AD1">
        <w:rPr>
          <w:noProof/>
        </w:rPr>
        <w:t xml:space="preserve"> z</w:t>
      </w:r>
      <w:r w:rsidR="004D5AD1">
        <w:rPr>
          <w:noProof/>
        </w:rPr>
        <w:t> </w:t>
      </w:r>
      <w:r w:rsidR="004D5AD1" w:rsidRPr="004D5AD1">
        <w:rPr>
          <w:noProof/>
        </w:rPr>
        <w:t>tak</w:t>
      </w:r>
      <w:r w:rsidR="00F45497" w:rsidRPr="004D5AD1">
        <w:rPr>
          <w:noProof/>
        </w:rPr>
        <w:t>imi inwestycjami należy uwzględnić przy ustalaniu taryf,</w:t>
      </w:r>
      <w:r w:rsidR="004D5AD1" w:rsidRPr="004D5AD1">
        <w:rPr>
          <w:noProof/>
        </w:rPr>
        <w:t xml:space="preserve"> z</w:t>
      </w:r>
      <w:r w:rsidR="004D5AD1">
        <w:rPr>
          <w:noProof/>
        </w:rPr>
        <w:t> </w:t>
      </w:r>
      <w:r w:rsidR="004D5AD1" w:rsidRPr="004D5AD1">
        <w:rPr>
          <w:noProof/>
        </w:rPr>
        <w:t>zas</w:t>
      </w:r>
      <w:r w:rsidR="00F45497" w:rsidRPr="004D5AD1">
        <w:rPr>
          <w:noProof/>
        </w:rPr>
        <w:t>trzeżeniem zasad dotyczących efektywności.</w:t>
      </w:r>
    </w:p>
    <w:p w14:paraId="7FFE2CE0" w14:textId="0B2DD011" w:rsidR="00AF3253" w:rsidRPr="004D5AD1" w:rsidRDefault="00DE3FFB" w:rsidP="00DE3FFB">
      <w:pPr>
        <w:pStyle w:val="ManualConsidrant"/>
        <w:rPr>
          <w:noProof/>
        </w:rPr>
      </w:pPr>
      <w:r w:rsidRPr="00DE3FFB">
        <w:t>(10)</w:t>
      </w:r>
      <w:r w:rsidRPr="00DE3FFB">
        <w:tab/>
      </w:r>
      <w:r w:rsidR="00CD116D" w:rsidRPr="004D5AD1">
        <w:rPr>
          <w:noProof/>
        </w:rPr>
        <w:t>Każde państwo członkowskie powinno wyznaczyć co najmniej jeden właściwy organ do nadzorowania, czy operatorzy skutecznie wypełniają obowiązki ustanowione</w:t>
      </w:r>
      <w:r w:rsidR="004D5AD1" w:rsidRPr="004D5AD1">
        <w:rPr>
          <w:noProof/>
        </w:rPr>
        <w:t xml:space="preserve"> w</w:t>
      </w:r>
      <w:r w:rsidR="004D5AD1">
        <w:rPr>
          <w:noProof/>
        </w:rPr>
        <w:t> </w:t>
      </w:r>
      <w:r w:rsidR="004D5AD1" w:rsidRPr="004D5AD1">
        <w:rPr>
          <w:noProof/>
        </w:rPr>
        <w:t>nin</w:t>
      </w:r>
      <w:r w:rsidR="00CD116D" w:rsidRPr="004D5AD1">
        <w:rPr>
          <w:noProof/>
        </w:rPr>
        <w:t>iejszym rozporządzeniu, oraz powinno powiadomić Komisję</w:t>
      </w:r>
      <w:r w:rsidR="004D5AD1" w:rsidRPr="004D5AD1">
        <w:rPr>
          <w:noProof/>
        </w:rPr>
        <w:t xml:space="preserve"> o</w:t>
      </w:r>
      <w:r w:rsidR="004D5AD1">
        <w:rPr>
          <w:noProof/>
        </w:rPr>
        <w:t> </w:t>
      </w:r>
      <w:r w:rsidR="004D5AD1" w:rsidRPr="004D5AD1">
        <w:rPr>
          <w:noProof/>
        </w:rPr>
        <w:t>tak</w:t>
      </w:r>
      <w:r w:rsidR="00CD116D" w:rsidRPr="004D5AD1">
        <w:rPr>
          <w:noProof/>
        </w:rPr>
        <w:t>im wyznaczeniu</w:t>
      </w:r>
      <w:r w:rsidR="004D5AD1" w:rsidRPr="004D5AD1">
        <w:rPr>
          <w:noProof/>
        </w:rPr>
        <w:t xml:space="preserve"> i</w:t>
      </w:r>
      <w:r w:rsidR="004D5AD1">
        <w:rPr>
          <w:noProof/>
        </w:rPr>
        <w:t> </w:t>
      </w:r>
      <w:r w:rsidR="004D5AD1" w:rsidRPr="004D5AD1">
        <w:rPr>
          <w:noProof/>
        </w:rPr>
        <w:t>wsz</w:t>
      </w:r>
      <w:r w:rsidR="00CD116D" w:rsidRPr="004D5AD1">
        <w:rPr>
          <w:noProof/>
        </w:rPr>
        <w:t>elkich zmianach</w:t>
      </w:r>
      <w:r w:rsidR="004D5AD1" w:rsidRPr="004D5AD1">
        <w:rPr>
          <w:noProof/>
        </w:rPr>
        <w:t xml:space="preserve"> w</w:t>
      </w:r>
      <w:r w:rsidR="004D5AD1">
        <w:rPr>
          <w:noProof/>
        </w:rPr>
        <w:t> </w:t>
      </w:r>
      <w:r w:rsidR="004D5AD1" w:rsidRPr="004D5AD1">
        <w:rPr>
          <w:noProof/>
        </w:rPr>
        <w:t>tym</w:t>
      </w:r>
      <w:r w:rsidR="00CD116D" w:rsidRPr="004D5AD1">
        <w:rPr>
          <w:noProof/>
        </w:rPr>
        <w:t xml:space="preserve"> względzie. Wyznaczone właściwe organy powinny podjąć wszelkie niezbędne działania</w:t>
      </w:r>
      <w:r w:rsidR="004D5AD1" w:rsidRPr="004D5AD1">
        <w:rPr>
          <w:noProof/>
        </w:rPr>
        <w:t xml:space="preserve"> w</w:t>
      </w:r>
      <w:r w:rsidR="004D5AD1">
        <w:rPr>
          <w:noProof/>
        </w:rPr>
        <w:t> </w:t>
      </w:r>
      <w:r w:rsidR="004D5AD1" w:rsidRPr="004D5AD1">
        <w:rPr>
          <w:noProof/>
        </w:rPr>
        <w:t>cel</w:t>
      </w:r>
      <w:r w:rsidR="00CD116D" w:rsidRPr="004D5AD1">
        <w:rPr>
          <w:noProof/>
        </w:rPr>
        <w:t>u zapewnienia zgodności</w:t>
      </w:r>
      <w:r w:rsidR="004D5AD1" w:rsidRPr="004D5AD1">
        <w:rPr>
          <w:noProof/>
        </w:rPr>
        <w:t xml:space="preserve"> z</w:t>
      </w:r>
      <w:r w:rsidR="004D5AD1">
        <w:rPr>
          <w:noProof/>
        </w:rPr>
        <w:t> </w:t>
      </w:r>
      <w:r w:rsidR="004D5AD1" w:rsidRPr="004D5AD1">
        <w:rPr>
          <w:noProof/>
        </w:rPr>
        <w:t>wym</w:t>
      </w:r>
      <w:r w:rsidR="00CD116D" w:rsidRPr="004D5AD1">
        <w:rPr>
          <w:noProof/>
        </w:rPr>
        <w:t>ogami określonymi</w:t>
      </w:r>
      <w:r w:rsidR="004D5AD1" w:rsidRPr="004D5AD1">
        <w:rPr>
          <w:noProof/>
        </w:rPr>
        <w:t xml:space="preserve"> w</w:t>
      </w:r>
      <w:r w:rsidR="004D5AD1">
        <w:rPr>
          <w:noProof/>
        </w:rPr>
        <w:t> </w:t>
      </w:r>
      <w:r w:rsidR="004D5AD1" w:rsidRPr="004D5AD1">
        <w:rPr>
          <w:noProof/>
        </w:rPr>
        <w:t>nin</w:t>
      </w:r>
      <w:r w:rsidR="00CD116D" w:rsidRPr="004D5AD1">
        <w:rPr>
          <w:noProof/>
        </w:rPr>
        <w:t>iejszym rozporządzeniu</w:t>
      </w:r>
      <w:r w:rsidR="004D5AD1" w:rsidRPr="004D5AD1">
        <w:rPr>
          <w:noProof/>
        </w:rPr>
        <w:t>. Z</w:t>
      </w:r>
      <w:r w:rsidR="004D5AD1">
        <w:rPr>
          <w:noProof/>
        </w:rPr>
        <w:t> </w:t>
      </w:r>
      <w:r w:rsidR="004D5AD1" w:rsidRPr="004D5AD1">
        <w:rPr>
          <w:noProof/>
        </w:rPr>
        <w:t>uwa</w:t>
      </w:r>
      <w:r w:rsidR="00CD116D" w:rsidRPr="004D5AD1">
        <w:rPr>
          <w:noProof/>
        </w:rPr>
        <w:t>gi na transgraniczny charakter działalności</w:t>
      </w:r>
      <w:r w:rsidR="004D5AD1" w:rsidRPr="004D5AD1">
        <w:rPr>
          <w:noProof/>
        </w:rPr>
        <w:t xml:space="preserve"> w</w:t>
      </w:r>
      <w:r w:rsidR="004D5AD1">
        <w:rPr>
          <w:noProof/>
        </w:rPr>
        <w:t> </w:t>
      </w:r>
      <w:r w:rsidR="004D5AD1" w:rsidRPr="004D5AD1">
        <w:rPr>
          <w:noProof/>
        </w:rPr>
        <w:t>sek</w:t>
      </w:r>
      <w:r w:rsidR="00CD116D" w:rsidRPr="004D5AD1">
        <w:rPr>
          <w:noProof/>
        </w:rPr>
        <w:t>torze energetycznym oraz emisji metanu, właściwe organy powinny współpracować ze sobą oraz</w:t>
      </w:r>
      <w:r w:rsidR="004D5AD1" w:rsidRPr="004D5AD1">
        <w:rPr>
          <w:noProof/>
        </w:rPr>
        <w:t xml:space="preserve"> z</w:t>
      </w:r>
      <w:r w:rsidR="004D5AD1">
        <w:rPr>
          <w:noProof/>
        </w:rPr>
        <w:t> </w:t>
      </w:r>
      <w:r w:rsidR="004D5AD1" w:rsidRPr="004D5AD1">
        <w:rPr>
          <w:noProof/>
        </w:rPr>
        <w:t>Kom</w:t>
      </w:r>
      <w:r w:rsidR="00CD116D" w:rsidRPr="004D5AD1">
        <w:rPr>
          <w:noProof/>
        </w:rPr>
        <w:t>isją</w:t>
      </w:r>
      <w:r w:rsidR="004D5AD1" w:rsidRPr="004D5AD1">
        <w:rPr>
          <w:noProof/>
        </w:rPr>
        <w:t>. W</w:t>
      </w:r>
      <w:r w:rsidR="004D5AD1">
        <w:rPr>
          <w:noProof/>
        </w:rPr>
        <w:t> </w:t>
      </w:r>
      <w:r w:rsidR="004D5AD1" w:rsidRPr="004D5AD1">
        <w:rPr>
          <w:noProof/>
        </w:rPr>
        <w:t>tym</w:t>
      </w:r>
      <w:r w:rsidR="00CD116D" w:rsidRPr="004D5AD1">
        <w:rPr>
          <w:noProof/>
        </w:rPr>
        <w:t xml:space="preserve"> kontekście Komisja</w:t>
      </w:r>
      <w:r w:rsidR="004D5AD1" w:rsidRPr="004D5AD1">
        <w:rPr>
          <w:noProof/>
        </w:rPr>
        <w:t xml:space="preserve"> i</w:t>
      </w:r>
      <w:r w:rsidR="004D5AD1">
        <w:rPr>
          <w:noProof/>
        </w:rPr>
        <w:t> </w:t>
      </w:r>
      <w:r w:rsidR="004D5AD1" w:rsidRPr="004D5AD1">
        <w:rPr>
          <w:noProof/>
        </w:rPr>
        <w:t>wła</w:t>
      </w:r>
      <w:r w:rsidR="00CD116D" w:rsidRPr="004D5AD1">
        <w:rPr>
          <w:noProof/>
        </w:rPr>
        <w:t>ściwe organy państw członkowskich powinny wspólnie utworzyć sieć organów publicznych stosujących niniejsze rozporządzenie</w:t>
      </w:r>
      <w:r w:rsidR="004D5AD1" w:rsidRPr="004D5AD1">
        <w:rPr>
          <w:noProof/>
        </w:rPr>
        <w:t xml:space="preserve"> w</w:t>
      </w:r>
      <w:r w:rsidR="004D5AD1">
        <w:rPr>
          <w:noProof/>
        </w:rPr>
        <w:t> </w:t>
      </w:r>
      <w:r w:rsidR="004D5AD1" w:rsidRPr="004D5AD1">
        <w:rPr>
          <w:noProof/>
        </w:rPr>
        <w:t>cel</w:t>
      </w:r>
      <w:r w:rsidR="00CD116D" w:rsidRPr="004D5AD1">
        <w:rPr>
          <w:noProof/>
        </w:rPr>
        <w:t>u wspierania ścisłej współpracy oraz dokonać niezbędnych uzgodnień dotyczących wymiany informacji</w:t>
      </w:r>
      <w:r w:rsidR="004D5AD1" w:rsidRPr="004D5AD1">
        <w:rPr>
          <w:noProof/>
        </w:rPr>
        <w:t xml:space="preserve"> i</w:t>
      </w:r>
      <w:r w:rsidR="004D5AD1">
        <w:rPr>
          <w:noProof/>
        </w:rPr>
        <w:t> </w:t>
      </w:r>
      <w:r w:rsidR="004D5AD1" w:rsidRPr="004D5AD1">
        <w:rPr>
          <w:noProof/>
        </w:rPr>
        <w:t>naj</w:t>
      </w:r>
      <w:r w:rsidR="00CD116D" w:rsidRPr="004D5AD1">
        <w:rPr>
          <w:noProof/>
        </w:rPr>
        <w:t>lepszych praktyk oraz</w:t>
      </w:r>
      <w:r w:rsidR="004D5AD1" w:rsidRPr="004D5AD1">
        <w:rPr>
          <w:noProof/>
        </w:rPr>
        <w:t xml:space="preserve"> w</w:t>
      </w:r>
      <w:r w:rsidR="004D5AD1">
        <w:rPr>
          <w:noProof/>
        </w:rPr>
        <w:t> </w:t>
      </w:r>
      <w:r w:rsidR="004D5AD1" w:rsidRPr="004D5AD1">
        <w:rPr>
          <w:noProof/>
        </w:rPr>
        <w:t>cel</w:t>
      </w:r>
      <w:r w:rsidR="00CD116D" w:rsidRPr="004D5AD1">
        <w:rPr>
          <w:noProof/>
        </w:rPr>
        <w:t xml:space="preserve">u zapewnienia możliwości prowadzenia konsultacji. </w:t>
      </w:r>
    </w:p>
    <w:p w14:paraId="1E36F43F" w14:textId="584932C7" w:rsidR="00DC5F45" w:rsidRPr="004D5AD1" w:rsidRDefault="00DE3FFB" w:rsidP="00DE3FFB">
      <w:pPr>
        <w:pStyle w:val="ManualConsidrant"/>
        <w:rPr>
          <w:noProof/>
        </w:rPr>
      </w:pPr>
      <w:r w:rsidRPr="00DE3FFB">
        <w:t>(11)</w:t>
      </w:r>
      <w:r w:rsidRPr="00DE3FFB">
        <w:tab/>
      </w:r>
      <w:r w:rsidR="00DC5F45" w:rsidRPr="004D5AD1">
        <w:rPr>
          <w:noProof/>
        </w:rPr>
        <w:t>W celu zapewnienia sprawnej</w:t>
      </w:r>
      <w:r w:rsidR="004D5AD1" w:rsidRPr="004D5AD1">
        <w:rPr>
          <w:noProof/>
        </w:rPr>
        <w:t xml:space="preserve"> i</w:t>
      </w:r>
      <w:r w:rsidR="004D5AD1">
        <w:rPr>
          <w:noProof/>
        </w:rPr>
        <w:t> </w:t>
      </w:r>
      <w:r w:rsidR="004D5AD1" w:rsidRPr="004D5AD1">
        <w:rPr>
          <w:noProof/>
        </w:rPr>
        <w:t>sku</w:t>
      </w:r>
      <w:r w:rsidR="00DC5F45" w:rsidRPr="004D5AD1">
        <w:rPr>
          <w:noProof/>
        </w:rPr>
        <w:t>tecznej realizacji zobowiązań ustanowionych</w:t>
      </w:r>
      <w:r w:rsidR="004D5AD1" w:rsidRPr="004D5AD1">
        <w:rPr>
          <w:noProof/>
        </w:rPr>
        <w:t xml:space="preserve"> w</w:t>
      </w:r>
      <w:r w:rsidR="004D5AD1">
        <w:rPr>
          <w:noProof/>
        </w:rPr>
        <w:t> </w:t>
      </w:r>
      <w:r w:rsidR="004D5AD1" w:rsidRPr="004D5AD1">
        <w:rPr>
          <w:noProof/>
        </w:rPr>
        <w:t>nin</w:t>
      </w:r>
      <w:r w:rsidR="00DC5F45" w:rsidRPr="004D5AD1">
        <w:rPr>
          <w:noProof/>
        </w:rPr>
        <w:t>iejszym rozporządzeniu Komisja wspiera państwa członkowskie za pośrednictwem Instrumentu Wsparcia Technicznego</w:t>
      </w:r>
      <w:r w:rsidR="00DC5F45" w:rsidRPr="004D5AD1">
        <w:rPr>
          <w:rStyle w:val="FootnoteReference"/>
          <w:noProof/>
        </w:rPr>
        <w:footnoteReference w:id="18"/>
      </w:r>
      <w:r w:rsidR="00DC5F45" w:rsidRPr="004D5AD1">
        <w:rPr>
          <w:noProof/>
        </w:rPr>
        <w:t>, zapewniając dostosowaną do potrzeb wiedzę fachową przy opracowywaniu</w:t>
      </w:r>
      <w:r w:rsidR="004D5AD1" w:rsidRPr="004D5AD1">
        <w:rPr>
          <w:noProof/>
        </w:rPr>
        <w:t xml:space="preserve"> i</w:t>
      </w:r>
      <w:r w:rsidR="004D5AD1">
        <w:rPr>
          <w:noProof/>
        </w:rPr>
        <w:t> </w:t>
      </w:r>
      <w:r w:rsidR="004D5AD1" w:rsidRPr="004D5AD1">
        <w:rPr>
          <w:noProof/>
        </w:rPr>
        <w:t>wdr</w:t>
      </w:r>
      <w:r w:rsidR="00DC5F45" w:rsidRPr="004D5AD1">
        <w:rPr>
          <w:noProof/>
        </w:rPr>
        <w:t>ażaniu reform,</w:t>
      </w:r>
      <w:r w:rsidR="004D5AD1" w:rsidRPr="004D5AD1">
        <w:rPr>
          <w:noProof/>
        </w:rPr>
        <w:t xml:space="preserve"> w</w:t>
      </w:r>
      <w:r w:rsidR="004D5AD1">
        <w:rPr>
          <w:noProof/>
        </w:rPr>
        <w:t> </w:t>
      </w:r>
      <w:r w:rsidR="004D5AD1" w:rsidRPr="004D5AD1">
        <w:rPr>
          <w:noProof/>
        </w:rPr>
        <w:t>tym</w:t>
      </w:r>
      <w:r w:rsidR="00DC5F45" w:rsidRPr="004D5AD1">
        <w:rPr>
          <w:noProof/>
        </w:rPr>
        <w:t xml:space="preserve"> reform na rzecz redukcji emisji metanu</w:t>
      </w:r>
      <w:r w:rsidR="004D5AD1" w:rsidRPr="004D5AD1">
        <w:rPr>
          <w:noProof/>
        </w:rPr>
        <w:t xml:space="preserve"> w</w:t>
      </w:r>
      <w:r w:rsidR="004D5AD1">
        <w:rPr>
          <w:noProof/>
        </w:rPr>
        <w:t> </w:t>
      </w:r>
      <w:r w:rsidR="004D5AD1" w:rsidRPr="004D5AD1">
        <w:rPr>
          <w:noProof/>
        </w:rPr>
        <w:t>sek</w:t>
      </w:r>
      <w:r w:rsidR="00DC5F45" w:rsidRPr="004D5AD1">
        <w:rPr>
          <w:noProof/>
        </w:rPr>
        <w:t>torze energetycznym. Wsparcie techniczne obejmuje przykładowo wzmocnienie zdolności administracyjnych, harmonizację ram legislacyjnych oraz wymianę odpowiednich najlepszych praktyk.</w:t>
      </w:r>
    </w:p>
    <w:p w14:paraId="162D2E95" w14:textId="070EA7D4" w:rsidR="00AF3253" w:rsidRPr="004D5AD1" w:rsidRDefault="00DE3FFB" w:rsidP="00DE3FFB">
      <w:pPr>
        <w:pStyle w:val="ManualConsidrant"/>
        <w:rPr>
          <w:noProof/>
        </w:rPr>
      </w:pPr>
      <w:r w:rsidRPr="00DE3FFB">
        <w:t>(12)</w:t>
      </w:r>
      <w:r w:rsidRPr="00DE3FFB">
        <w:tab/>
      </w:r>
      <w:r w:rsidR="00AF3253" w:rsidRPr="004D5AD1">
        <w:rPr>
          <w:noProof/>
        </w:rPr>
        <w:t>Operatorzy,</w:t>
      </w:r>
      <w:r w:rsidR="004D5AD1" w:rsidRPr="004D5AD1">
        <w:rPr>
          <w:noProof/>
        </w:rPr>
        <w:t xml:space="preserve"> w</w:t>
      </w:r>
      <w:r w:rsidR="004D5AD1">
        <w:rPr>
          <w:noProof/>
        </w:rPr>
        <w:t> </w:t>
      </w:r>
      <w:r w:rsidR="004D5AD1" w:rsidRPr="004D5AD1">
        <w:rPr>
          <w:noProof/>
        </w:rPr>
        <w:t>cel</w:t>
      </w:r>
      <w:r w:rsidR="00AF3253" w:rsidRPr="004D5AD1">
        <w:rPr>
          <w:noProof/>
        </w:rPr>
        <w:t>u zapewnienia realizacji powierzonych im zadań, powinni udzielać właściwym organom wszelkiej niezbędnej pomocy. Ponadto operatorzy powinni podjąć wszelkie niezbędne działania określone przez właściwe organy</w:t>
      </w:r>
      <w:r w:rsidR="004D5AD1" w:rsidRPr="004D5AD1">
        <w:rPr>
          <w:noProof/>
        </w:rPr>
        <w:t xml:space="preserve"> w</w:t>
      </w:r>
      <w:r w:rsidR="004D5AD1">
        <w:rPr>
          <w:noProof/>
        </w:rPr>
        <w:t> </w:t>
      </w:r>
      <w:r w:rsidR="004D5AD1" w:rsidRPr="004D5AD1">
        <w:rPr>
          <w:noProof/>
        </w:rPr>
        <w:t>ter</w:t>
      </w:r>
      <w:r w:rsidR="00AF3253" w:rsidRPr="004D5AD1">
        <w:rPr>
          <w:noProof/>
        </w:rPr>
        <w:t>minie wyznaczonym przez te organy lub</w:t>
      </w:r>
      <w:r w:rsidR="004D5AD1" w:rsidRPr="004D5AD1">
        <w:rPr>
          <w:noProof/>
        </w:rPr>
        <w:t xml:space="preserve"> w</w:t>
      </w:r>
      <w:r w:rsidR="004D5AD1">
        <w:rPr>
          <w:noProof/>
        </w:rPr>
        <w:t> </w:t>
      </w:r>
      <w:r w:rsidR="004D5AD1" w:rsidRPr="004D5AD1">
        <w:rPr>
          <w:noProof/>
        </w:rPr>
        <w:t>inn</w:t>
      </w:r>
      <w:r w:rsidR="00AF3253" w:rsidRPr="004D5AD1">
        <w:rPr>
          <w:noProof/>
        </w:rPr>
        <w:t>ym uzgodnionym</w:t>
      </w:r>
      <w:r w:rsidR="004D5AD1" w:rsidRPr="004D5AD1">
        <w:rPr>
          <w:noProof/>
        </w:rPr>
        <w:t xml:space="preserve"> z</w:t>
      </w:r>
      <w:r w:rsidR="004D5AD1">
        <w:rPr>
          <w:noProof/>
        </w:rPr>
        <w:t> </w:t>
      </w:r>
      <w:r w:rsidR="004D5AD1" w:rsidRPr="004D5AD1">
        <w:rPr>
          <w:noProof/>
        </w:rPr>
        <w:t>nim</w:t>
      </w:r>
      <w:r w:rsidR="00AF3253" w:rsidRPr="004D5AD1">
        <w:rPr>
          <w:noProof/>
        </w:rPr>
        <w:t xml:space="preserve">i terminie. </w:t>
      </w:r>
    </w:p>
    <w:p w14:paraId="224557A6" w14:textId="2950425D" w:rsidR="00AF3253" w:rsidRPr="004D5AD1" w:rsidRDefault="00DE3FFB" w:rsidP="00DE3FFB">
      <w:pPr>
        <w:pStyle w:val="ManualConsidrant"/>
        <w:rPr>
          <w:noProof/>
        </w:rPr>
      </w:pPr>
      <w:r w:rsidRPr="00DE3FFB">
        <w:t>(13)</w:t>
      </w:r>
      <w:r w:rsidRPr="00DE3FFB">
        <w:tab/>
      </w:r>
      <w:r w:rsidR="00486758" w:rsidRPr="004D5AD1">
        <w:rPr>
          <w:noProof/>
        </w:rPr>
        <w:t>Głównym mechanizmem dostępnym dla właściwych organów powinny być kontrole,</w:t>
      </w:r>
      <w:r w:rsidR="004D5AD1" w:rsidRPr="004D5AD1">
        <w:rPr>
          <w:noProof/>
        </w:rPr>
        <w:t xml:space="preserve"> w</w:t>
      </w:r>
      <w:r w:rsidR="004D5AD1">
        <w:rPr>
          <w:noProof/>
        </w:rPr>
        <w:t> </w:t>
      </w:r>
      <w:r w:rsidR="004D5AD1" w:rsidRPr="004D5AD1">
        <w:rPr>
          <w:noProof/>
        </w:rPr>
        <w:t>tym</w:t>
      </w:r>
      <w:r w:rsidR="00486758" w:rsidRPr="004D5AD1">
        <w:rPr>
          <w:noProof/>
        </w:rPr>
        <w:t xml:space="preserve"> badanie dokumentacji</w:t>
      </w:r>
      <w:r w:rsidR="004D5AD1" w:rsidRPr="004D5AD1">
        <w:rPr>
          <w:noProof/>
        </w:rPr>
        <w:t xml:space="preserve"> i</w:t>
      </w:r>
      <w:r w:rsidR="004D5AD1">
        <w:rPr>
          <w:noProof/>
        </w:rPr>
        <w:t> </w:t>
      </w:r>
      <w:r w:rsidR="004D5AD1" w:rsidRPr="004D5AD1">
        <w:rPr>
          <w:noProof/>
        </w:rPr>
        <w:t>rej</w:t>
      </w:r>
      <w:r w:rsidR="00486758" w:rsidRPr="004D5AD1">
        <w:rPr>
          <w:noProof/>
        </w:rPr>
        <w:t>estrów, pomiary emisji</w:t>
      </w:r>
      <w:r w:rsidR="004D5AD1" w:rsidRPr="004D5AD1">
        <w:rPr>
          <w:noProof/>
        </w:rPr>
        <w:t xml:space="preserve"> i</w:t>
      </w:r>
      <w:r w:rsidR="004D5AD1">
        <w:rPr>
          <w:noProof/>
        </w:rPr>
        <w:t> </w:t>
      </w:r>
      <w:r w:rsidR="004D5AD1" w:rsidRPr="004D5AD1">
        <w:rPr>
          <w:noProof/>
        </w:rPr>
        <w:t>kon</w:t>
      </w:r>
      <w:r w:rsidR="00486758" w:rsidRPr="004D5AD1">
        <w:rPr>
          <w:noProof/>
        </w:rPr>
        <w:t>trole na miejscu. Kontrole powinny być przeprowadzane regularnie na podstawie oceny ryzyka środowiskowego przeprowadzonej przez właściwe organy. Ponadto kontrole powinny być przeprowadzane</w:t>
      </w:r>
      <w:r w:rsidR="004D5AD1" w:rsidRPr="004D5AD1">
        <w:rPr>
          <w:noProof/>
        </w:rPr>
        <w:t xml:space="preserve"> w</w:t>
      </w:r>
      <w:r w:rsidR="004D5AD1">
        <w:rPr>
          <w:noProof/>
        </w:rPr>
        <w:t> </w:t>
      </w:r>
      <w:r w:rsidR="004D5AD1" w:rsidRPr="004D5AD1">
        <w:rPr>
          <w:noProof/>
        </w:rPr>
        <w:t>cel</w:t>
      </w:r>
      <w:r w:rsidR="00486758" w:rsidRPr="004D5AD1">
        <w:rPr>
          <w:noProof/>
        </w:rPr>
        <w:t>u zbadania uzasadnionych skarg</w:t>
      </w:r>
      <w:r w:rsidR="004D5AD1" w:rsidRPr="004D5AD1">
        <w:rPr>
          <w:noProof/>
        </w:rPr>
        <w:t xml:space="preserve"> i</w:t>
      </w:r>
      <w:r w:rsidR="004D5AD1">
        <w:rPr>
          <w:noProof/>
        </w:rPr>
        <w:t> </w:t>
      </w:r>
      <w:r w:rsidR="004D5AD1" w:rsidRPr="004D5AD1">
        <w:rPr>
          <w:noProof/>
        </w:rPr>
        <w:t>prz</w:t>
      </w:r>
      <w:r w:rsidR="00486758" w:rsidRPr="004D5AD1">
        <w:rPr>
          <w:noProof/>
        </w:rPr>
        <w:t>ypadków niezgodności oraz</w:t>
      </w:r>
      <w:r w:rsidR="004D5AD1" w:rsidRPr="004D5AD1">
        <w:rPr>
          <w:noProof/>
        </w:rPr>
        <w:t xml:space="preserve"> w</w:t>
      </w:r>
      <w:r w:rsidR="004D5AD1">
        <w:rPr>
          <w:noProof/>
        </w:rPr>
        <w:t> </w:t>
      </w:r>
      <w:r w:rsidR="004D5AD1" w:rsidRPr="004D5AD1">
        <w:rPr>
          <w:noProof/>
        </w:rPr>
        <w:t>cel</w:t>
      </w:r>
      <w:r w:rsidR="00486758" w:rsidRPr="004D5AD1">
        <w:rPr>
          <w:noProof/>
        </w:rPr>
        <w:t>u zapewnienia, aby naprawy lub wymiana elementów były przeprowadzane zgodnie</w:t>
      </w:r>
      <w:r w:rsidR="004D5AD1" w:rsidRPr="004D5AD1">
        <w:rPr>
          <w:noProof/>
        </w:rPr>
        <w:t xml:space="preserve"> z</w:t>
      </w:r>
      <w:r w:rsidR="004D5AD1">
        <w:rPr>
          <w:noProof/>
        </w:rPr>
        <w:t> </w:t>
      </w:r>
      <w:r w:rsidR="004D5AD1" w:rsidRPr="004D5AD1">
        <w:rPr>
          <w:noProof/>
        </w:rPr>
        <w:t>nin</w:t>
      </w:r>
      <w:r w:rsidR="00486758" w:rsidRPr="004D5AD1">
        <w:rPr>
          <w:noProof/>
        </w:rPr>
        <w:t>iejszym rozporządzeniem</w:t>
      </w:r>
      <w:r w:rsidR="004D5AD1" w:rsidRPr="004D5AD1">
        <w:rPr>
          <w:noProof/>
        </w:rPr>
        <w:t>. W</w:t>
      </w:r>
      <w:r w:rsidR="004D5AD1">
        <w:rPr>
          <w:noProof/>
        </w:rPr>
        <w:t> </w:t>
      </w:r>
      <w:r w:rsidR="004D5AD1" w:rsidRPr="004D5AD1">
        <w:rPr>
          <w:noProof/>
        </w:rPr>
        <w:t>prz</w:t>
      </w:r>
      <w:r w:rsidR="00486758" w:rsidRPr="004D5AD1">
        <w:rPr>
          <w:noProof/>
        </w:rPr>
        <w:t>ypadku stwierdzenia</w:t>
      </w:r>
      <w:r w:rsidR="004D5AD1" w:rsidRPr="004D5AD1">
        <w:rPr>
          <w:noProof/>
        </w:rPr>
        <w:t xml:space="preserve"> w</w:t>
      </w:r>
      <w:r w:rsidR="004D5AD1">
        <w:rPr>
          <w:noProof/>
        </w:rPr>
        <w:t> </w:t>
      </w:r>
      <w:r w:rsidR="004D5AD1" w:rsidRPr="004D5AD1">
        <w:rPr>
          <w:noProof/>
        </w:rPr>
        <w:t>wyn</w:t>
      </w:r>
      <w:r w:rsidR="00486758" w:rsidRPr="004D5AD1">
        <w:rPr>
          <w:noProof/>
        </w:rPr>
        <w:t>iku kontroli poważnego naruszenia wymogów niniejszego rozporządzenia właściwe organy powinny wezwać operatora do podjęcia działań zaradczych. Właściwe organy powinny prowadzić rejestr kontroli,</w:t>
      </w:r>
      <w:r w:rsidR="004D5AD1" w:rsidRPr="004D5AD1">
        <w:rPr>
          <w:noProof/>
        </w:rPr>
        <w:t xml:space="preserve"> a</w:t>
      </w:r>
      <w:r w:rsidR="004D5AD1">
        <w:rPr>
          <w:noProof/>
        </w:rPr>
        <w:t> </w:t>
      </w:r>
      <w:r w:rsidR="004D5AD1" w:rsidRPr="004D5AD1">
        <w:rPr>
          <w:noProof/>
        </w:rPr>
        <w:t>odp</w:t>
      </w:r>
      <w:r w:rsidR="00486758" w:rsidRPr="004D5AD1">
        <w:rPr>
          <w:noProof/>
        </w:rPr>
        <w:t>owiednie informacje powinny być udostępniane zgodnie</w:t>
      </w:r>
      <w:r w:rsidR="004D5AD1" w:rsidRPr="004D5AD1">
        <w:rPr>
          <w:noProof/>
        </w:rPr>
        <w:t xml:space="preserve"> z</w:t>
      </w:r>
      <w:r w:rsidR="004D5AD1">
        <w:rPr>
          <w:noProof/>
        </w:rPr>
        <w:t> </w:t>
      </w:r>
      <w:r w:rsidR="004D5AD1" w:rsidRPr="004D5AD1">
        <w:rPr>
          <w:noProof/>
        </w:rPr>
        <w:t>dyr</w:t>
      </w:r>
      <w:r w:rsidR="00486758" w:rsidRPr="004D5AD1">
        <w:rPr>
          <w:noProof/>
        </w:rPr>
        <w:t>ektywą 2003/4/WE Parlamentu Europejskiego</w:t>
      </w:r>
      <w:r w:rsidR="004D5AD1" w:rsidRPr="004D5AD1">
        <w:rPr>
          <w:noProof/>
        </w:rPr>
        <w:t xml:space="preserve"> i</w:t>
      </w:r>
      <w:r w:rsidR="004D5AD1">
        <w:rPr>
          <w:noProof/>
        </w:rPr>
        <w:t> </w:t>
      </w:r>
      <w:r w:rsidR="004D5AD1" w:rsidRPr="004D5AD1">
        <w:rPr>
          <w:noProof/>
        </w:rPr>
        <w:t>Rad</w:t>
      </w:r>
      <w:r w:rsidR="00486758" w:rsidRPr="004D5AD1">
        <w:rPr>
          <w:noProof/>
        </w:rPr>
        <w:t>y</w:t>
      </w:r>
      <w:r w:rsidR="00AF3253" w:rsidRPr="004D5AD1">
        <w:rPr>
          <w:rStyle w:val="FootnoteReference"/>
          <w:noProof/>
        </w:rPr>
        <w:footnoteReference w:id="19"/>
      </w:r>
      <w:r w:rsidR="00486758" w:rsidRPr="004D5AD1">
        <w:rPr>
          <w:noProof/>
        </w:rPr>
        <w:t xml:space="preserve">. </w:t>
      </w:r>
    </w:p>
    <w:p w14:paraId="1DFB0E4C" w14:textId="2A9821AA" w:rsidR="00C507F6" w:rsidRPr="004D5AD1" w:rsidRDefault="00DE3FFB" w:rsidP="00DE3FFB">
      <w:pPr>
        <w:pStyle w:val="ManualConsidrant"/>
        <w:rPr>
          <w:noProof/>
        </w:rPr>
      </w:pPr>
      <w:r w:rsidRPr="00DE3FFB">
        <w:t>(14)</w:t>
      </w:r>
      <w:r w:rsidRPr="00DE3FFB">
        <w:tab/>
      </w:r>
      <w:r w:rsidR="00C507F6" w:rsidRPr="004D5AD1">
        <w:rPr>
          <w:noProof/>
        </w:rPr>
        <w:t>Ponieważ niektóre źródła emisji metanu znajdują się</w:t>
      </w:r>
      <w:r w:rsidR="004D5AD1" w:rsidRPr="004D5AD1">
        <w:rPr>
          <w:noProof/>
        </w:rPr>
        <w:t xml:space="preserve"> w</w:t>
      </w:r>
      <w:r w:rsidR="004D5AD1">
        <w:rPr>
          <w:noProof/>
        </w:rPr>
        <w:t> </w:t>
      </w:r>
      <w:r w:rsidR="004D5AD1" w:rsidRPr="004D5AD1">
        <w:rPr>
          <w:noProof/>
        </w:rPr>
        <w:t>pob</w:t>
      </w:r>
      <w:r w:rsidR="00C507F6" w:rsidRPr="004D5AD1">
        <w:rPr>
          <w:noProof/>
        </w:rPr>
        <w:t>liżu obszarów miejskich lub mieszkalnych, osoby fizyczne lub prawne poszkodowane</w:t>
      </w:r>
      <w:r w:rsidR="004D5AD1" w:rsidRPr="004D5AD1">
        <w:rPr>
          <w:noProof/>
        </w:rPr>
        <w:t xml:space="preserve"> w</w:t>
      </w:r>
      <w:r w:rsidR="004D5AD1">
        <w:rPr>
          <w:noProof/>
        </w:rPr>
        <w:t> </w:t>
      </w:r>
      <w:r w:rsidR="004D5AD1" w:rsidRPr="004D5AD1">
        <w:rPr>
          <w:noProof/>
        </w:rPr>
        <w:t>wyn</w:t>
      </w:r>
      <w:r w:rsidR="00C507F6" w:rsidRPr="004D5AD1">
        <w:rPr>
          <w:noProof/>
        </w:rPr>
        <w:t>iku naruszeń niniejszego rozporządzenia powinny mieć możliwość wnoszenia odpowiednio uzasadnionych skarg do właściwych organów. Osoby składające skargi powinny być informowane</w:t>
      </w:r>
      <w:r w:rsidR="004D5AD1" w:rsidRPr="004D5AD1">
        <w:rPr>
          <w:noProof/>
        </w:rPr>
        <w:t xml:space="preserve"> o</w:t>
      </w:r>
      <w:r w:rsidR="004D5AD1">
        <w:rPr>
          <w:noProof/>
        </w:rPr>
        <w:t> </w:t>
      </w:r>
      <w:r w:rsidR="004D5AD1" w:rsidRPr="004D5AD1">
        <w:rPr>
          <w:noProof/>
        </w:rPr>
        <w:t>pro</w:t>
      </w:r>
      <w:r w:rsidR="00C507F6" w:rsidRPr="004D5AD1">
        <w:rPr>
          <w:noProof/>
        </w:rPr>
        <w:t>cedurze</w:t>
      </w:r>
      <w:r w:rsidR="004D5AD1" w:rsidRPr="004D5AD1">
        <w:rPr>
          <w:noProof/>
        </w:rPr>
        <w:t xml:space="preserve"> i</w:t>
      </w:r>
      <w:r w:rsidR="004D5AD1">
        <w:rPr>
          <w:noProof/>
        </w:rPr>
        <w:t> </w:t>
      </w:r>
      <w:r w:rsidR="004D5AD1" w:rsidRPr="004D5AD1">
        <w:rPr>
          <w:noProof/>
        </w:rPr>
        <w:t>pod</w:t>
      </w:r>
      <w:r w:rsidR="00C507F6" w:rsidRPr="004D5AD1">
        <w:rPr>
          <w:noProof/>
        </w:rPr>
        <w:t>jętych decyzjach oraz powinny otrzymać ostateczną decyzję</w:t>
      </w:r>
      <w:r w:rsidR="004D5AD1" w:rsidRPr="004D5AD1">
        <w:rPr>
          <w:noProof/>
        </w:rPr>
        <w:t xml:space="preserve"> w</w:t>
      </w:r>
      <w:r w:rsidR="004D5AD1">
        <w:rPr>
          <w:noProof/>
        </w:rPr>
        <w:t> </w:t>
      </w:r>
      <w:r w:rsidR="004D5AD1" w:rsidRPr="004D5AD1">
        <w:rPr>
          <w:noProof/>
        </w:rPr>
        <w:t>roz</w:t>
      </w:r>
      <w:r w:rsidR="00C507F6" w:rsidRPr="004D5AD1">
        <w:rPr>
          <w:noProof/>
        </w:rPr>
        <w:t>sądnym terminie od złożenia skargi.</w:t>
      </w:r>
    </w:p>
    <w:p w14:paraId="03C797B9" w14:textId="067AA853" w:rsidR="002D2AE4" w:rsidRPr="004D5AD1" w:rsidRDefault="00DE3FFB" w:rsidP="00DE3FFB">
      <w:pPr>
        <w:pStyle w:val="ManualConsidrant"/>
        <w:rPr>
          <w:noProof/>
          <w:u w:color="000000"/>
          <w:bdr w:val="nil"/>
        </w:rPr>
      </w:pPr>
      <w:r w:rsidRPr="00DE3FFB">
        <w:t>(15)</w:t>
      </w:r>
      <w:r w:rsidRPr="00DE3FFB">
        <w:tab/>
      </w:r>
      <w:r w:rsidR="0053784B" w:rsidRPr="004D5AD1">
        <w:rPr>
          <w:noProof/>
          <w:u w:color="000000"/>
          <w:bdr w:val="nil"/>
        </w:rPr>
        <w:t>Solidne ramy weryfikacji mogą zwiększyć wiarygodność zgłaszanych danych. Ponadto poziom szczegółowości</w:t>
      </w:r>
      <w:r w:rsidR="004D5AD1" w:rsidRPr="004D5AD1">
        <w:rPr>
          <w:noProof/>
          <w:u w:color="000000"/>
          <w:bdr w:val="nil"/>
        </w:rPr>
        <w:t xml:space="preserve"> i</w:t>
      </w:r>
      <w:r w:rsidR="004D5AD1">
        <w:rPr>
          <w:noProof/>
          <w:u w:color="000000"/>
          <w:bdr w:val="nil"/>
        </w:rPr>
        <w:t> </w:t>
      </w:r>
      <w:r w:rsidR="004D5AD1" w:rsidRPr="004D5AD1">
        <w:rPr>
          <w:noProof/>
          <w:u w:color="000000"/>
          <w:bdr w:val="nil"/>
        </w:rPr>
        <w:t>zło</w:t>
      </w:r>
      <w:r w:rsidR="0053784B" w:rsidRPr="004D5AD1">
        <w:rPr>
          <w:noProof/>
          <w:u w:color="000000"/>
          <w:bdr w:val="nil"/>
        </w:rPr>
        <w:t>żoności technicznej pomiarów emisji metanu wymaga właściwej weryfikacji danych dotyczących emisji metanu przekazywanych przez operatorów</w:t>
      </w:r>
      <w:r w:rsidR="004D5AD1" w:rsidRPr="004D5AD1">
        <w:rPr>
          <w:noProof/>
          <w:u w:color="000000"/>
          <w:bdr w:val="nil"/>
        </w:rPr>
        <w:t xml:space="preserve"> i</w:t>
      </w:r>
      <w:r w:rsidR="004D5AD1">
        <w:rPr>
          <w:noProof/>
          <w:u w:color="000000"/>
          <w:bdr w:val="nil"/>
        </w:rPr>
        <w:t> </w:t>
      </w:r>
      <w:r w:rsidR="004D5AD1" w:rsidRPr="004D5AD1">
        <w:rPr>
          <w:noProof/>
          <w:u w:color="000000"/>
          <w:bdr w:val="nil"/>
        </w:rPr>
        <w:t>ope</w:t>
      </w:r>
      <w:r w:rsidR="0053784B" w:rsidRPr="004D5AD1">
        <w:rPr>
          <w:noProof/>
          <w:u w:color="000000"/>
          <w:bdr w:val="nil"/>
        </w:rPr>
        <w:t>ratorów kopalń. Chociaż możliwa jest samodzielna weryfikacja, weryfikacja przez stronę trzecią zapewnia większą niezależność</w:t>
      </w:r>
      <w:r w:rsidR="004D5AD1" w:rsidRPr="004D5AD1">
        <w:rPr>
          <w:noProof/>
          <w:u w:color="000000"/>
          <w:bdr w:val="nil"/>
        </w:rPr>
        <w:t xml:space="preserve"> i</w:t>
      </w:r>
      <w:r w:rsidR="004D5AD1">
        <w:rPr>
          <w:noProof/>
          <w:u w:color="000000"/>
          <w:bdr w:val="nil"/>
        </w:rPr>
        <w:t> </w:t>
      </w:r>
      <w:r w:rsidR="004D5AD1" w:rsidRPr="004D5AD1">
        <w:rPr>
          <w:noProof/>
          <w:u w:color="000000"/>
          <w:bdr w:val="nil"/>
        </w:rPr>
        <w:t>prz</w:t>
      </w:r>
      <w:r w:rsidR="0053784B" w:rsidRPr="004D5AD1">
        <w:rPr>
          <w:noProof/>
          <w:u w:color="000000"/>
          <w:bdr w:val="nil"/>
        </w:rPr>
        <w:t>ejrzystość. Ponadto pozwala na stosowanie zharmonizowanego zestawu kompetencji</w:t>
      </w:r>
      <w:r w:rsidR="004D5AD1" w:rsidRPr="004D5AD1">
        <w:rPr>
          <w:noProof/>
          <w:u w:color="000000"/>
          <w:bdr w:val="nil"/>
        </w:rPr>
        <w:t xml:space="preserve"> i</w:t>
      </w:r>
      <w:r w:rsidR="004D5AD1">
        <w:rPr>
          <w:noProof/>
          <w:u w:color="000000"/>
          <w:bdr w:val="nil"/>
        </w:rPr>
        <w:t> </w:t>
      </w:r>
      <w:r w:rsidR="004D5AD1" w:rsidRPr="004D5AD1">
        <w:rPr>
          <w:noProof/>
          <w:u w:color="000000"/>
          <w:bdr w:val="nil"/>
        </w:rPr>
        <w:t>poz</w:t>
      </w:r>
      <w:r w:rsidR="0053784B" w:rsidRPr="004D5AD1">
        <w:rPr>
          <w:noProof/>
          <w:u w:color="000000"/>
          <w:bdr w:val="nil"/>
        </w:rPr>
        <w:t xml:space="preserve">iomu wiedzy fachowej, które mogą być niedostępne dla wszystkich podmiotów publicznych. </w:t>
      </w:r>
      <w:r w:rsidR="0053784B" w:rsidRPr="004D5AD1">
        <w:rPr>
          <w:noProof/>
        </w:rPr>
        <w:t>Weryfikatorzy powinni być akredytowani przez jednostki akredytujące zgodnie</w:t>
      </w:r>
      <w:r w:rsidR="004D5AD1" w:rsidRPr="004D5AD1">
        <w:rPr>
          <w:noProof/>
        </w:rPr>
        <w:t xml:space="preserve"> z</w:t>
      </w:r>
      <w:r w:rsidR="004D5AD1">
        <w:rPr>
          <w:noProof/>
        </w:rPr>
        <w:t> </w:t>
      </w:r>
      <w:r w:rsidR="004D5AD1" w:rsidRPr="004D5AD1">
        <w:rPr>
          <w:noProof/>
        </w:rPr>
        <w:t>roz</w:t>
      </w:r>
      <w:r w:rsidR="0053784B" w:rsidRPr="004D5AD1">
        <w:rPr>
          <w:noProof/>
        </w:rPr>
        <w:t>porządzeniem (WE) nr</w:t>
      </w:r>
      <w:r w:rsidR="004D5AD1" w:rsidRPr="004D5AD1">
        <w:rPr>
          <w:noProof/>
        </w:rPr>
        <w:t> </w:t>
      </w:r>
      <w:r w:rsidR="0053784B" w:rsidRPr="004D5AD1">
        <w:rPr>
          <w:noProof/>
        </w:rPr>
        <w:t>765/2008 Parlamentu Europejskiego</w:t>
      </w:r>
      <w:r w:rsidR="004D5AD1" w:rsidRPr="004D5AD1">
        <w:rPr>
          <w:noProof/>
        </w:rPr>
        <w:t xml:space="preserve"> i</w:t>
      </w:r>
      <w:r w:rsidR="004D5AD1">
        <w:rPr>
          <w:noProof/>
        </w:rPr>
        <w:t> </w:t>
      </w:r>
      <w:r w:rsidR="004D5AD1" w:rsidRPr="004D5AD1">
        <w:rPr>
          <w:noProof/>
        </w:rPr>
        <w:t>Rad</w:t>
      </w:r>
      <w:r w:rsidR="0053784B" w:rsidRPr="004D5AD1">
        <w:rPr>
          <w:noProof/>
        </w:rPr>
        <w:t>y</w:t>
      </w:r>
      <w:r w:rsidR="00CA3BAF" w:rsidRPr="004D5AD1">
        <w:rPr>
          <w:rStyle w:val="FootnoteReference"/>
          <w:noProof/>
        </w:rPr>
        <w:footnoteReference w:id="20"/>
      </w:r>
      <w:r w:rsidR="0053784B" w:rsidRPr="004D5AD1">
        <w:rPr>
          <w:noProof/>
        </w:rPr>
        <w:t>. Niezależni akredytowani weryfikatorzy powinni zatem zapewniać, aby raporty na temat wielkości emisji sporządzane przez operatorów</w:t>
      </w:r>
      <w:r w:rsidR="004D5AD1" w:rsidRPr="004D5AD1">
        <w:rPr>
          <w:noProof/>
        </w:rPr>
        <w:t xml:space="preserve"> i</w:t>
      </w:r>
      <w:r w:rsidR="004D5AD1">
        <w:rPr>
          <w:noProof/>
        </w:rPr>
        <w:t> </w:t>
      </w:r>
      <w:r w:rsidR="004D5AD1" w:rsidRPr="004D5AD1">
        <w:rPr>
          <w:noProof/>
        </w:rPr>
        <w:t>ope</w:t>
      </w:r>
      <w:r w:rsidR="0053784B" w:rsidRPr="004D5AD1">
        <w:rPr>
          <w:noProof/>
        </w:rPr>
        <w:t>ratorów kopalń były poprawne</w:t>
      </w:r>
      <w:r w:rsidR="004D5AD1" w:rsidRPr="004D5AD1">
        <w:rPr>
          <w:noProof/>
        </w:rPr>
        <w:t xml:space="preserve"> i</w:t>
      </w:r>
      <w:r w:rsidR="004D5AD1">
        <w:rPr>
          <w:noProof/>
        </w:rPr>
        <w:t> </w:t>
      </w:r>
      <w:r w:rsidR="004D5AD1" w:rsidRPr="004D5AD1">
        <w:rPr>
          <w:noProof/>
        </w:rPr>
        <w:t>zgo</w:t>
      </w:r>
      <w:r w:rsidR="0053784B" w:rsidRPr="004D5AD1">
        <w:rPr>
          <w:noProof/>
        </w:rPr>
        <w:t>dne</w:t>
      </w:r>
      <w:r w:rsidR="004D5AD1" w:rsidRPr="004D5AD1">
        <w:rPr>
          <w:noProof/>
        </w:rPr>
        <w:t xml:space="preserve"> z</w:t>
      </w:r>
      <w:r w:rsidR="004D5AD1">
        <w:rPr>
          <w:noProof/>
        </w:rPr>
        <w:t> </w:t>
      </w:r>
      <w:r w:rsidR="004D5AD1" w:rsidRPr="004D5AD1">
        <w:rPr>
          <w:noProof/>
        </w:rPr>
        <w:t>wym</w:t>
      </w:r>
      <w:r w:rsidR="0053784B" w:rsidRPr="004D5AD1">
        <w:rPr>
          <w:noProof/>
        </w:rPr>
        <w:t>ogami określonymi</w:t>
      </w:r>
      <w:r w:rsidR="004D5AD1" w:rsidRPr="004D5AD1">
        <w:rPr>
          <w:noProof/>
        </w:rPr>
        <w:t xml:space="preserve"> w</w:t>
      </w:r>
      <w:r w:rsidR="004D5AD1">
        <w:rPr>
          <w:noProof/>
        </w:rPr>
        <w:t> </w:t>
      </w:r>
      <w:r w:rsidR="004D5AD1" w:rsidRPr="004D5AD1">
        <w:rPr>
          <w:noProof/>
        </w:rPr>
        <w:t>nin</w:t>
      </w:r>
      <w:r w:rsidR="0053784B" w:rsidRPr="004D5AD1">
        <w:rPr>
          <w:noProof/>
        </w:rPr>
        <w:t>iejszym rozporządzeniu. Powinni oni dokonywać przeglądu danych zawartych</w:t>
      </w:r>
      <w:r w:rsidR="004D5AD1" w:rsidRPr="004D5AD1">
        <w:rPr>
          <w:noProof/>
        </w:rPr>
        <w:t xml:space="preserve"> w</w:t>
      </w:r>
      <w:r w:rsidR="004D5AD1">
        <w:rPr>
          <w:noProof/>
        </w:rPr>
        <w:t> </w:t>
      </w:r>
      <w:r w:rsidR="004D5AD1" w:rsidRPr="004D5AD1">
        <w:rPr>
          <w:noProof/>
        </w:rPr>
        <w:t>rap</w:t>
      </w:r>
      <w:r w:rsidR="0053784B" w:rsidRPr="004D5AD1">
        <w:rPr>
          <w:noProof/>
        </w:rPr>
        <w:t>ortach na temat wielkości emisji</w:t>
      </w:r>
      <w:r w:rsidR="004D5AD1" w:rsidRPr="004D5AD1">
        <w:rPr>
          <w:noProof/>
        </w:rPr>
        <w:t xml:space="preserve"> w</w:t>
      </w:r>
      <w:r w:rsidR="004D5AD1">
        <w:rPr>
          <w:noProof/>
        </w:rPr>
        <w:t> </w:t>
      </w:r>
      <w:r w:rsidR="004D5AD1" w:rsidRPr="004D5AD1">
        <w:rPr>
          <w:noProof/>
        </w:rPr>
        <w:t>cel</w:t>
      </w:r>
      <w:r w:rsidR="0053784B" w:rsidRPr="004D5AD1">
        <w:rPr>
          <w:noProof/>
        </w:rPr>
        <w:t>u oceny ich rzetelności, wiarygodności</w:t>
      </w:r>
      <w:r w:rsidR="004D5AD1" w:rsidRPr="004D5AD1">
        <w:rPr>
          <w:noProof/>
        </w:rPr>
        <w:t xml:space="preserve"> i</w:t>
      </w:r>
      <w:r w:rsidR="004D5AD1">
        <w:rPr>
          <w:noProof/>
        </w:rPr>
        <w:t> </w:t>
      </w:r>
      <w:r w:rsidR="004D5AD1" w:rsidRPr="004D5AD1">
        <w:rPr>
          <w:noProof/>
        </w:rPr>
        <w:t>dok</w:t>
      </w:r>
      <w:r w:rsidR="0053784B" w:rsidRPr="004D5AD1">
        <w:rPr>
          <w:noProof/>
        </w:rPr>
        <w:t>ładności względem bezpłatnych</w:t>
      </w:r>
      <w:r w:rsidR="004D5AD1" w:rsidRPr="004D5AD1">
        <w:rPr>
          <w:noProof/>
        </w:rPr>
        <w:t xml:space="preserve"> i</w:t>
      </w:r>
      <w:r w:rsidR="004D5AD1">
        <w:rPr>
          <w:noProof/>
        </w:rPr>
        <w:t> </w:t>
      </w:r>
      <w:r w:rsidR="004D5AD1" w:rsidRPr="004D5AD1">
        <w:rPr>
          <w:noProof/>
        </w:rPr>
        <w:t>pub</w:t>
      </w:r>
      <w:r w:rsidR="0053784B" w:rsidRPr="004D5AD1">
        <w:rPr>
          <w:noProof/>
        </w:rPr>
        <w:t>licznie dostępnych norm europejskich lub międzynarodowych, opracowanych przez niezależne organy</w:t>
      </w:r>
      <w:r w:rsidR="004D5AD1" w:rsidRPr="004D5AD1">
        <w:rPr>
          <w:noProof/>
        </w:rPr>
        <w:t xml:space="preserve"> i</w:t>
      </w:r>
      <w:r w:rsidR="004D5AD1">
        <w:rPr>
          <w:noProof/>
        </w:rPr>
        <w:t> </w:t>
      </w:r>
      <w:r w:rsidR="004D5AD1" w:rsidRPr="004D5AD1">
        <w:rPr>
          <w:noProof/>
        </w:rPr>
        <w:t>uzn</w:t>
      </w:r>
      <w:r w:rsidR="0053784B" w:rsidRPr="004D5AD1">
        <w:rPr>
          <w:noProof/>
        </w:rPr>
        <w:t>anych za mające zastosowanie przez Komisję</w:t>
      </w:r>
      <w:r w:rsidR="0053784B" w:rsidRPr="004D5AD1">
        <w:rPr>
          <w:noProof/>
          <w:u w:color="000000"/>
          <w:bdr w:val="nil"/>
        </w:rPr>
        <w:t>. Komisja powinna zatem zostać uprawniona do przyjmowania aktów delegowanych pozwalających decydować</w:t>
      </w:r>
      <w:r w:rsidR="004D5AD1" w:rsidRPr="004D5AD1">
        <w:rPr>
          <w:noProof/>
          <w:u w:color="000000"/>
          <w:bdr w:val="nil"/>
        </w:rPr>
        <w:t xml:space="preserve"> o</w:t>
      </w:r>
      <w:r w:rsidR="004D5AD1">
        <w:rPr>
          <w:noProof/>
          <w:u w:color="000000"/>
          <w:bdr w:val="nil"/>
        </w:rPr>
        <w:t> </w:t>
      </w:r>
      <w:r w:rsidR="004D5AD1" w:rsidRPr="004D5AD1">
        <w:rPr>
          <w:noProof/>
          <w:u w:color="000000"/>
          <w:bdr w:val="nil"/>
        </w:rPr>
        <w:t>sto</w:t>
      </w:r>
      <w:r w:rsidR="0053784B" w:rsidRPr="004D5AD1">
        <w:rPr>
          <w:noProof/>
          <w:u w:color="000000"/>
          <w:bdr w:val="nil"/>
        </w:rPr>
        <w:t>sowaniu takich norm europejskich lub międzynarodowych</w:t>
      </w:r>
      <w:r w:rsidR="004D5AD1" w:rsidRPr="004D5AD1">
        <w:rPr>
          <w:noProof/>
          <w:u w:color="000000"/>
          <w:bdr w:val="nil"/>
        </w:rPr>
        <w:t xml:space="preserve"> i</w:t>
      </w:r>
      <w:r w:rsidR="004D5AD1">
        <w:rPr>
          <w:noProof/>
          <w:u w:color="000000"/>
          <w:bdr w:val="nil"/>
        </w:rPr>
        <w:t> </w:t>
      </w:r>
      <w:r w:rsidR="004D5AD1" w:rsidRPr="004D5AD1">
        <w:rPr>
          <w:noProof/>
          <w:u w:color="000000"/>
          <w:bdr w:val="nil"/>
        </w:rPr>
        <w:t>włą</w:t>
      </w:r>
      <w:r w:rsidR="0053784B" w:rsidRPr="004D5AD1">
        <w:rPr>
          <w:noProof/>
          <w:u w:color="000000"/>
          <w:bdr w:val="nil"/>
        </w:rPr>
        <w:t>czać je do prawodawstwa. Weryfikatorzy działają odrębnie od właściwych organów</w:t>
      </w:r>
      <w:r w:rsidR="004D5AD1" w:rsidRPr="004D5AD1">
        <w:rPr>
          <w:noProof/>
          <w:u w:color="000000"/>
          <w:bdr w:val="nil"/>
        </w:rPr>
        <w:t xml:space="preserve"> i</w:t>
      </w:r>
      <w:r w:rsidR="004D5AD1">
        <w:rPr>
          <w:noProof/>
          <w:u w:color="000000"/>
          <w:bdr w:val="nil"/>
        </w:rPr>
        <w:t> </w:t>
      </w:r>
      <w:r w:rsidR="004D5AD1" w:rsidRPr="004D5AD1">
        <w:rPr>
          <w:noProof/>
          <w:u w:color="000000"/>
          <w:bdr w:val="nil"/>
        </w:rPr>
        <w:t>pow</w:t>
      </w:r>
      <w:r w:rsidR="0053784B" w:rsidRPr="004D5AD1">
        <w:rPr>
          <w:noProof/>
          <w:u w:color="000000"/>
          <w:bdr w:val="nil"/>
        </w:rPr>
        <w:t>inni być niezależni od operatorów</w:t>
      </w:r>
      <w:r w:rsidR="004D5AD1" w:rsidRPr="004D5AD1">
        <w:rPr>
          <w:noProof/>
          <w:u w:color="000000"/>
          <w:bdr w:val="nil"/>
        </w:rPr>
        <w:t xml:space="preserve"> i</w:t>
      </w:r>
      <w:r w:rsidR="004D5AD1">
        <w:rPr>
          <w:noProof/>
          <w:u w:color="000000"/>
          <w:bdr w:val="nil"/>
        </w:rPr>
        <w:t> </w:t>
      </w:r>
      <w:r w:rsidR="004D5AD1" w:rsidRPr="004D5AD1">
        <w:rPr>
          <w:noProof/>
          <w:u w:color="000000"/>
          <w:bdr w:val="nil"/>
        </w:rPr>
        <w:t>ope</w:t>
      </w:r>
      <w:r w:rsidR="0053784B" w:rsidRPr="004D5AD1">
        <w:rPr>
          <w:noProof/>
          <w:u w:color="000000"/>
          <w:bdr w:val="nil"/>
        </w:rPr>
        <w:t xml:space="preserve">ratorów kopalń, którzy powinni udzielać im </w:t>
      </w:r>
      <w:r w:rsidR="00805D0B" w:rsidRPr="004D5AD1">
        <w:rPr>
          <w:noProof/>
          <w:u w:color="000000"/>
          <w:bdr w:val="nil"/>
        </w:rPr>
        <w:t>wszelkiej pomocy umożliwiającej</w:t>
      </w:r>
      <w:r w:rsidR="0053784B" w:rsidRPr="004D5AD1">
        <w:rPr>
          <w:noProof/>
          <w:u w:color="000000"/>
          <w:bdr w:val="nil"/>
        </w:rPr>
        <w:t xml:space="preserve"> lub ułatwiającej przeprowadzanie działań weryfikacyjnych,</w:t>
      </w:r>
      <w:r w:rsidR="004D5AD1" w:rsidRPr="004D5AD1">
        <w:rPr>
          <w:noProof/>
          <w:u w:color="000000"/>
          <w:bdr w:val="nil"/>
        </w:rPr>
        <w:t xml:space="preserve"> w</w:t>
      </w:r>
      <w:r w:rsidR="004D5AD1">
        <w:rPr>
          <w:noProof/>
          <w:u w:color="000000"/>
          <w:bdr w:val="nil"/>
        </w:rPr>
        <w:t> </w:t>
      </w:r>
      <w:r w:rsidR="004D5AD1" w:rsidRPr="004D5AD1">
        <w:rPr>
          <w:noProof/>
          <w:u w:color="000000"/>
          <w:bdr w:val="nil"/>
        </w:rPr>
        <w:t>szc</w:t>
      </w:r>
      <w:r w:rsidR="0053784B" w:rsidRPr="004D5AD1">
        <w:rPr>
          <w:noProof/>
          <w:u w:color="000000"/>
          <w:bdr w:val="nil"/>
        </w:rPr>
        <w:t>zególności</w:t>
      </w:r>
      <w:r w:rsidR="004D5AD1" w:rsidRPr="004D5AD1">
        <w:rPr>
          <w:noProof/>
          <w:u w:color="000000"/>
          <w:bdr w:val="nil"/>
        </w:rPr>
        <w:t xml:space="preserve"> w</w:t>
      </w:r>
      <w:r w:rsidR="004D5AD1">
        <w:rPr>
          <w:noProof/>
          <w:u w:color="000000"/>
          <w:bdr w:val="nil"/>
        </w:rPr>
        <w:t> </w:t>
      </w:r>
      <w:r w:rsidR="004D5AD1" w:rsidRPr="004D5AD1">
        <w:rPr>
          <w:noProof/>
          <w:u w:color="000000"/>
          <w:bdr w:val="nil"/>
        </w:rPr>
        <w:t>zak</w:t>
      </w:r>
      <w:r w:rsidR="0053784B" w:rsidRPr="004D5AD1">
        <w:rPr>
          <w:noProof/>
          <w:u w:color="000000"/>
          <w:bdr w:val="nil"/>
        </w:rPr>
        <w:t>resie dostępu do obiektów</w:t>
      </w:r>
      <w:r w:rsidR="004D5AD1" w:rsidRPr="004D5AD1">
        <w:rPr>
          <w:noProof/>
          <w:u w:color="000000"/>
          <w:bdr w:val="nil"/>
        </w:rPr>
        <w:t xml:space="preserve"> i</w:t>
      </w:r>
      <w:r w:rsidR="004D5AD1">
        <w:rPr>
          <w:noProof/>
          <w:u w:color="000000"/>
          <w:bdr w:val="nil"/>
        </w:rPr>
        <w:t> </w:t>
      </w:r>
      <w:r w:rsidR="004D5AD1" w:rsidRPr="004D5AD1">
        <w:rPr>
          <w:noProof/>
          <w:u w:color="000000"/>
          <w:bdr w:val="nil"/>
        </w:rPr>
        <w:t>prz</w:t>
      </w:r>
      <w:r w:rsidR="0053784B" w:rsidRPr="004D5AD1">
        <w:rPr>
          <w:noProof/>
          <w:u w:color="000000"/>
          <w:bdr w:val="nil"/>
        </w:rPr>
        <w:t>edstawiania dokumentacji lub rejestrów.</w:t>
      </w:r>
    </w:p>
    <w:p w14:paraId="4421B7E2" w14:textId="4134179D" w:rsidR="000A54A9" w:rsidRPr="004D5AD1" w:rsidRDefault="00DE3FFB" w:rsidP="00DE3FFB">
      <w:pPr>
        <w:pStyle w:val="ManualConsidrant"/>
        <w:rPr>
          <w:noProof/>
          <w:u w:color="000000"/>
          <w:bdr w:val="nil"/>
        </w:rPr>
      </w:pPr>
      <w:r w:rsidRPr="00DE3FFB">
        <w:t>(16)</w:t>
      </w:r>
      <w:r w:rsidRPr="00DE3FFB">
        <w:tab/>
      </w:r>
      <w:r w:rsidR="00C67CEC" w:rsidRPr="004D5AD1">
        <w:rPr>
          <w:noProof/>
          <w:u w:color="000000"/>
          <w:bdr w:val="nil"/>
        </w:rPr>
        <w:t>Informacje zawarte</w:t>
      </w:r>
      <w:r w:rsidR="004D5AD1" w:rsidRPr="004D5AD1">
        <w:rPr>
          <w:noProof/>
          <w:u w:color="000000"/>
          <w:bdr w:val="nil"/>
        </w:rPr>
        <w:t xml:space="preserve"> w</w:t>
      </w:r>
      <w:r w:rsidR="004D5AD1">
        <w:rPr>
          <w:noProof/>
          <w:u w:color="000000"/>
          <w:bdr w:val="nil"/>
        </w:rPr>
        <w:t> </w:t>
      </w:r>
      <w:r w:rsidR="004D5AD1" w:rsidRPr="004D5AD1">
        <w:rPr>
          <w:noProof/>
          <w:u w:color="000000"/>
          <w:bdr w:val="nil"/>
        </w:rPr>
        <w:t>prz</w:t>
      </w:r>
      <w:r w:rsidR="00C67CEC" w:rsidRPr="004D5AD1">
        <w:rPr>
          <w:noProof/>
          <w:u w:color="000000"/>
          <w:bdr w:val="nil"/>
        </w:rPr>
        <w:t>edkładanych właściwym organom raportach na temat wielkości emisji należy przekazywać Komisji</w:t>
      </w:r>
      <w:r w:rsidR="004D5AD1" w:rsidRPr="004D5AD1">
        <w:rPr>
          <w:noProof/>
          <w:u w:color="000000"/>
          <w:bdr w:val="nil"/>
        </w:rPr>
        <w:t xml:space="preserve"> w</w:t>
      </w:r>
      <w:r w:rsidR="004D5AD1">
        <w:rPr>
          <w:noProof/>
          <w:u w:color="000000"/>
          <w:bdr w:val="nil"/>
        </w:rPr>
        <w:t> </w:t>
      </w:r>
      <w:r w:rsidR="004D5AD1" w:rsidRPr="004D5AD1">
        <w:rPr>
          <w:noProof/>
          <w:u w:color="000000"/>
          <w:bdr w:val="nil"/>
        </w:rPr>
        <w:t>zwi</w:t>
      </w:r>
      <w:r w:rsidR="00C67CEC" w:rsidRPr="004D5AD1">
        <w:rPr>
          <w:noProof/>
          <w:u w:color="000000"/>
          <w:bdr w:val="nil"/>
        </w:rPr>
        <w:t>ązku</w:t>
      </w:r>
      <w:r w:rsidR="004D5AD1" w:rsidRPr="004D5AD1">
        <w:rPr>
          <w:noProof/>
          <w:u w:color="000000"/>
          <w:bdr w:val="nil"/>
        </w:rPr>
        <w:t xml:space="preserve"> z</w:t>
      </w:r>
      <w:r w:rsidR="004D5AD1">
        <w:rPr>
          <w:noProof/>
          <w:u w:color="000000"/>
          <w:bdr w:val="nil"/>
        </w:rPr>
        <w:t> </w:t>
      </w:r>
      <w:r w:rsidR="004D5AD1" w:rsidRPr="004D5AD1">
        <w:rPr>
          <w:noProof/>
          <w:u w:color="000000"/>
          <w:bdr w:val="nil"/>
        </w:rPr>
        <w:t>rol</w:t>
      </w:r>
      <w:r w:rsidR="00C67CEC" w:rsidRPr="004D5AD1">
        <w:rPr>
          <w:noProof/>
          <w:u w:color="000000"/>
          <w:bdr w:val="nil"/>
        </w:rPr>
        <w:t>ą weryfikacyjną, jaka ma zostać przypisana międzynarodowemu obserwatorium emisji metanu (IMEO),</w:t>
      </w:r>
      <w:r w:rsidR="004D5AD1" w:rsidRPr="004D5AD1">
        <w:rPr>
          <w:noProof/>
          <w:u w:color="000000"/>
          <w:bdr w:val="nil"/>
        </w:rPr>
        <w:t xml:space="preserve"> w</w:t>
      </w:r>
      <w:r w:rsidR="004D5AD1">
        <w:rPr>
          <w:noProof/>
          <w:u w:color="000000"/>
          <w:bdr w:val="nil"/>
        </w:rPr>
        <w:t> </w:t>
      </w:r>
      <w:r w:rsidR="004D5AD1" w:rsidRPr="004D5AD1">
        <w:rPr>
          <w:noProof/>
          <w:u w:color="000000"/>
          <w:bdr w:val="nil"/>
        </w:rPr>
        <w:t>szc</w:t>
      </w:r>
      <w:r w:rsidR="00C67CEC" w:rsidRPr="004D5AD1">
        <w:rPr>
          <w:noProof/>
          <w:u w:color="000000"/>
          <w:bdr w:val="nil"/>
        </w:rPr>
        <w:t>zególności</w:t>
      </w:r>
      <w:r w:rsidR="004D5AD1" w:rsidRPr="004D5AD1">
        <w:rPr>
          <w:noProof/>
          <w:u w:color="000000"/>
          <w:bdr w:val="nil"/>
        </w:rPr>
        <w:t xml:space="preserve"> w</w:t>
      </w:r>
      <w:r w:rsidR="004D5AD1">
        <w:rPr>
          <w:noProof/>
          <w:u w:color="000000"/>
          <w:bdr w:val="nil"/>
        </w:rPr>
        <w:t> </w:t>
      </w:r>
      <w:r w:rsidR="004D5AD1" w:rsidRPr="004D5AD1">
        <w:rPr>
          <w:noProof/>
          <w:u w:color="000000"/>
          <w:bdr w:val="nil"/>
        </w:rPr>
        <w:t>odn</w:t>
      </w:r>
      <w:r w:rsidR="00C67CEC" w:rsidRPr="004D5AD1">
        <w:rPr>
          <w:noProof/>
          <w:u w:color="000000"/>
          <w:bdr w:val="nil"/>
        </w:rPr>
        <w:t>iesieniu do metodyki agregacji</w:t>
      </w:r>
      <w:r w:rsidR="004D5AD1" w:rsidRPr="004D5AD1">
        <w:rPr>
          <w:noProof/>
          <w:u w:color="000000"/>
          <w:bdr w:val="nil"/>
        </w:rPr>
        <w:t xml:space="preserve"> i</w:t>
      </w:r>
      <w:r w:rsidR="004D5AD1">
        <w:rPr>
          <w:noProof/>
          <w:u w:color="000000"/>
          <w:bdr w:val="nil"/>
        </w:rPr>
        <w:t> </w:t>
      </w:r>
      <w:r w:rsidR="004D5AD1" w:rsidRPr="004D5AD1">
        <w:rPr>
          <w:noProof/>
          <w:u w:color="000000"/>
          <w:bdr w:val="nil"/>
        </w:rPr>
        <w:t>ana</w:t>
      </w:r>
      <w:r w:rsidR="00C67CEC" w:rsidRPr="004D5AD1">
        <w:rPr>
          <w:noProof/>
          <w:u w:color="000000"/>
          <w:bdr w:val="nil"/>
        </w:rPr>
        <w:t>lizy danych oraz weryfikacji metod</w:t>
      </w:r>
      <w:r w:rsidR="004D5AD1" w:rsidRPr="004D5AD1">
        <w:rPr>
          <w:noProof/>
          <w:u w:color="000000"/>
          <w:bdr w:val="nil"/>
        </w:rPr>
        <w:t xml:space="preserve"> i</w:t>
      </w:r>
      <w:r w:rsidR="004D5AD1">
        <w:rPr>
          <w:noProof/>
          <w:u w:color="000000"/>
          <w:bdr w:val="nil"/>
        </w:rPr>
        <w:t> </w:t>
      </w:r>
      <w:r w:rsidR="004D5AD1" w:rsidRPr="004D5AD1">
        <w:rPr>
          <w:noProof/>
          <w:u w:color="000000"/>
          <w:bdr w:val="nil"/>
        </w:rPr>
        <w:t>pro</w:t>
      </w:r>
      <w:r w:rsidR="00C67CEC" w:rsidRPr="004D5AD1">
        <w:rPr>
          <w:noProof/>
          <w:u w:color="000000"/>
          <w:bdr w:val="nil"/>
        </w:rPr>
        <w:t>cesów statystycznych stosowanych przez przedsiębiorstwa do kwantyfikacji danych dotyczących emisji zawartych</w:t>
      </w:r>
      <w:r w:rsidR="004D5AD1" w:rsidRPr="004D5AD1">
        <w:rPr>
          <w:noProof/>
          <w:u w:color="000000"/>
          <w:bdr w:val="nil"/>
        </w:rPr>
        <w:t xml:space="preserve"> w</w:t>
      </w:r>
      <w:r w:rsidR="004D5AD1">
        <w:rPr>
          <w:noProof/>
          <w:u w:color="000000"/>
          <w:bdr w:val="nil"/>
        </w:rPr>
        <w:t> </w:t>
      </w:r>
      <w:r w:rsidR="004D5AD1" w:rsidRPr="004D5AD1">
        <w:rPr>
          <w:noProof/>
          <w:u w:color="000000"/>
          <w:bdr w:val="nil"/>
        </w:rPr>
        <w:t>rap</w:t>
      </w:r>
      <w:r w:rsidR="00C67CEC" w:rsidRPr="004D5AD1">
        <w:rPr>
          <w:noProof/>
          <w:u w:color="000000"/>
          <w:bdr w:val="nil"/>
        </w:rPr>
        <w:t>ortach</w:t>
      </w:r>
      <w:r w:rsidR="004D5AD1" w:rsidRPr="004D5AD1">
        <w:rPr>
          <w:noProof/>
          <w:u w:color="000000"/>
          <w:bdr w:val="nil"/>
        </w:rPr>
        <w:t>. W</w:t>
      </w:r>
      <w:r w:rsidR="004D5AD1">
        <w:rPr>
          <w:noProof/>
          <w:u w:color="000000"/>
          <w:bdr w:val="nil"/>
        </w:rPr>
        <w:t> </w:t>
      </w:r>
      <w:r w:rsidR="004D5AD1" w:rsidRPr="004D5AD1">
        <w:rPr>
          <w:noProof/>
          <w:u w:color="000000"/>
          <w:bdr w:val="nil"/>
        </w:rPr>
        <w:t>tym</w:t>
      </w:r>
      <w:r w:rsidR="00C67CEC" w:rsidRPr="004D5AD1">
        <w:rPr>
          <w:noProof/>
          <w:u w:color="000000"/>
          <w:bdr w:val="nil"/>
        </w:rPr>
        <w:t xml:space="preserve"> względzie kryteria odniesienia mogą obejmować normy</w:t>
      </w:r>
      <w:r w:rsidR="004D5AD1" w:rsidRPr="004D5AD1">
        <w:rPr>
          <w:noProof/>
          <w:u w:color="000000"/>
          <w:bdr w:val="nil"/>
        </w:rPr>
        <w:t xml:space="preserve"> i</w:t>
      </w:r>
      <w:r w:rsidR="004D5AD1">
        <w:rPr>
          <w:noProof/>
          <w:u w:color="000000"/>
          <w:bdr w:val="nil"/>
        </w:rPr>
        <w:t> </w:t>
      </w:r>
      <w:r w:rsidR="004D5AD1" w:rsidRPr="004D5AD1">
        <w:rPr>
          <w:noProof/>
          <w:u w:color="000000"/>
          <w:bdr w:val="nil"/>
        </w:rPr>
        <w:t>wyt</w:t>
      </w:r>
      <w:r w:rsidR="00C67CEC" w:rsidRPr="004D5AD1">
        <w:rPr>
          <w:noProof/>
          <w:u w:color="000000"/>
          <w:bdr w:val="nil"/>
        </w:rPr>
        <w:t>yczne OGMP. Informacje opracowywane przez IMEO powinny być udostępniane publicznie,</w:t>
      </w:r>
      <w:r w:rsidR="004D5AD1" w:rsidRPr="004D5AD1">
        <w:rPr>
          <w:noProof/>
          <w:u w:color="000000"/>
          <w:bdr w:val="nil"/>
        </w:rPr>
        <w:t xml:space="preserve"> a</w:t>
      </w:r>
      <w:r w:rsidR="004D5AD1">
        <w:rPr>
          <w:noProof/>
          <w:u w:color="000000"/>
          <w:bdr w:val="nil"/>
        </w:rPr>
        <w:t> </w:t>
      </w:r>
      <w:r w:rsidR="004D5AD1" w:rsidRPr="004D5AD1">
        <w:rPr>
          <w:noProof/>
          <w:u w:color="000000"/>
          <w:bdr w:val="nil"/>
        </w:rPr>
        <w:t>Kom</w:t>
      </w:r>
      <w:r w:rsidR="00C67CEC" w:rsidRPr="004D5AD1">
        <w:rPr>
          <w:noProof/>
          <w:u w:color="000000"/>
          <w:bdr w:val="nil"/>
        </w:rPr>
        <w:t>isja powinna wykorzystywać takie informacje do usuwania wszelkich stwierdzonych niedociągnięć</w:t>
      </w:r>
      <w:r w:rsidR="004D5AD1" w:rsidRPr="004D5AD1">
        <w:rPr>
          <w:noProof/>
          <w:u w:color="000000"/>
          <w:bdr w:val="nil"/>
        </w:rPr>
        <w:t xml:space="preserve"> w</w:t>
      </w:r>
      <w:r w:rsidR="004D5AD1">
        <w:rPr>
          <w:noProof/>
          <w:u w:color="000000"/>
          <w:bdr w:val="nil"/>
        </w:rPr>
        <w:t> </w:t>
      </w:r>
      <w:r w:rsidR="004D5AD1" w:rsidRPr="004D5AD1">
        <w:rPr>
          <w:noProof/>
          <w:u w:color="000000"/>
          <w:bdr w:val="nil"/>
        </w:rPr>
        <w:t>zak</w:t>
      </w:r>
      <w:r w:rsidR="00C67CEC" w:rsidRPr="004D5AD1">
        <w:rPr>
          <w:noProof/>
          <w:u w:color="000000"/>
          <w:bdr w:val="nil"/>
        </w:rPr>
        <w:t>resie pomiaru, raportowania</w:t>
      </w:r>
      <w:r w:rsidR="004D5AD1" w:rsidRPr="004D5AD1">
        <w:rPr>
          <w:noProof/>
          <w:u w:color="000000"/>
          <w:bdr w:val="nil"/>
        </w:rPr>
        <w:t xml:space="preserve"> i</w:t>
      </w:r>
      <w:r w:rsidR="004D5AD1">
        <w:rPr>
          <w:noProof/>
          <w:u w:color="000000"/>
          <w:bdr w:val="nil"/>
        </w:rPr>
        <w:t> </w:t>
      </w:r>
      <w:r w:rsidR="004D5AD1" w:rsidRPr="004D5AD1">
        <w:rPr>
          <w:noProof/>
          <w:u w:color="000000"/>
          <w:bdr w:val="nil"/>
        </w:rPr>
        <w:t>wer</w:t>
      </w:r>
      <w:r w:rsidR="00C67CEC" w:rsidRPr="004D5AD1">
        <w:rPr>
          <w:noProof/>
          <w:u w:color="000000"/>
          <w:bdr w:val="nil"/>
        </w:rPr>
        <w:t>yfikacji danych dotyczących emisji metanu.</w:t>
      </w:r>
    </w:p>
    <w:p w14:paraId="3FF2B566" w14:textId="0000FE9A" w:rsidR="00562878" w:rsidRPr="004D5AD1" w:rsidRDefault="00DE3FFB" w:rsidP="00DE3FFB">
      <w:pPr>
        <w:pStyle w:val="ManualConsidrant"/>
        <w:rPr>
          <w:noProof/>
        </w:rPr>
      </w:pPr>
      <w:r w:rsidRPr="00DE3FFB">
        <w:t>(17)</w:t>
      </w:r>
      <w:r w:rsidRPr="00DE3FFB">
        <w:tab/>
      </w:r>
      <w:r w:rsidR="005D1B22" w:rsidRPr="004D5AD1">
        <w:rPr>
          <w:noProof/>
          <w:u w:color="000000"/>
          <w:bdr w:val="nil"/>
        </w:rPr>
        <w:t>IMEO zostało ustanowione</w:t>
      </w:r>
      <w:r w:rsidR="004D5AD1" w:rsidRPr="004D5AD1">
        <w:rPr>
          <w:noProof/>
          <w:u w:color="000000"/>
          <w:bdr w:val="nil"/>
        </w:rPr>
        <w:t xml:space="preserve"> w</w:t>
      </w:r>
      <w:r w:rsidR="004D5AD1">
        <w:rPr>
          <w:noProof/>
          <w:u w:color="000000"/>
          <w:bdr w:val="nil"/>
        </w:rPr>
        <w:t> </w:t>
      </w:r>
      <w:r w:rsidR="004D5AD1" w:rsidRPr="004D5AD1">
        <w:rPr>
          <w:noProof/>
          <w:u w:color="000000"/>
          <w:bdr w:val="nil"/>
        </w:rPr>
        <w:t>paź</w:t>
      </w:r>
      <w:r w:rsidR="005D1B22" w:rsidRPr="004D5AD1">
        <w:rPr>
          <w:noProof/>
          <w:u w:color="000000"/>
          <w:bdr w:val="nil"/>
        </w:rPr>
        <w:t>dzierniku 2020</w:t>
      </w:r>
      <w:r w:rsidR="004D5AD1" w:rsidRPr="004D5AD1">
        <w:rPr>
          <w:noProof/>
          <w:u w:color="000000"/>
          <w:bdr w:val="nil"/>
        </w:rPr>
        <w:t> </w:t>
      </w:r>
      <w:r w:rsidR="005D1B22" w:rsidRPr="004D5AD1">
        <w:rPr>
          <w:noProof/>
          <w:u w:color="000000"/>
          <w:bdr w:val="nil"/>
        </w:rPr>
        <w:t xml:space="preserve">r. </w:t>
      </w:r>
      <w:r w:rsidR="005D1B22" w:rsidRPr="004D5AD1">
        <w:rPr>
          <w:noProof/>
        </w:rPr>
        <w:t>przez Unię</w:t>
      </w:r>
      <w:r w:rsidR="004D5AD1" w:rsidRPr="004D5AD1">
        <w:rPr>
          <w:noProof/>
        </w:rPr>
        <w:t xml:space="preserve"> w</w:t>
      </w:r>
      <w:r w:rsidR="004D5AD1">
        <w:rPr>
          <w:noProof/>
        </w:rPr>
        <w:t> </w:t>
      </w:r>
      <w:r w:rsidR="004D5AD1" w:rsidRPr="004D5AD1">
        <w:rPr>
          <w:noProof/>
          <w:u w:color="000000"/>
          <w:bdr w:val="nil"/>
        </w:rPr>
        <w:t>par</w:t>
      </w:r>
      <w:r w:rsidR="005D1B22" w:rsidRPr="004D5AD1">
        <w:rPr>
          <w:noProof/>
          <w:u w:color="000000"/>
          <w:bdr w:val="nil"/>
        </w:rPr>
        <w:t>tnerstwie</w:t>
      </w:r>
      <w:r w:rsidR="004D5AD1" w:rsidRPr="004D5AD1">
        <w:rPr>
          <w:noProof/>
          <w:u w:color="000000"/>
          <w:bdr w:val="nil"/>
        </w:rPr>
        <w:t xml:space="preserve"> z</w:t>
      </w:r>
      <w:r w:rsidR="004D5AD1">
        <w:rPr>
          <w:noProof/>
          <w:u w:color="000000"/>
          <w:bdr w:val="nil"/>
        </w:rPr>
        <w:t> </w:t>
      </w:r>
      <w:r w:rsidR="004D5AD1" w:rsidRPr="004D5AD1">
        <w:rPr>
          <w:noProof/>
          <w:u w:color="000000"/>
          <w:bdr w:val="nil"/>
        </w:rPr>
        <w:t>Pro</w:t>
      </w:r>
      <w:r w:rsidR="005D1B22" w:rsidRPr="004D5AD1">
        <w:rPr>
          <w:noProof/>
          <w:u w:color="000000"/>
          <w:bdr w:val="nil"/>
        </w:rPr>
        <w:t>gramem Narodów Zjednoczonych ds. Ochrony Środowiska, Koalicją na rzecz Klimatu</w:t>
      </w:r>
      <w:r w:rsidR="004D5AD1" w:rsidRPr="004D5AD1">
        <w:rPr>
          <w:noProof/>
          <w:u w:color="000000"/>
          <w:bdr w:val="nil"/>
        </w:rPr>
        <w:t xml:space="preserve"> i</w:t>
      </w:r>
      <w:r w:rsidR="004D5AD1">
        <w:rPr>
          <w:noProof/>
          <w:u w:color="000000"/>
          <w:bdr w:val="nil"/>
        </w:rPr>
        <w:t> </w:t>
      </w:r>
      <w:r w:rsidR="004D5AD1" w:rsidRPr="004D5AD1">
        <w:rPr>
          <w:noProof/>
          <w:u w:color="000000"/>
          <w:bdr w:val="nil"/>
        </w:rPr>
        <w:t>Czy</w:t>
      </w:r>
      <w:r w:rsidR="005D1B22" w:rsidRPr="004D5AD1">
        <w:rPr>
          <w:noProof/>
          <w:u w:color="000000"/>
          <w:bdr w:val="nil"/>
        </w:rPr>
        <w:t>stego Powietrza oraz Międzynarodową Agencją Energetyczną,</w:t>
      </w:r>
      <w:r w:rsidR="004D5AD1" w:rsidRPr="004D5AD1">
        <w:rPr>
          <w:noProof/>
          <w:u w:color="000000"/>
          <w:bdr w:val="nil"/>
        </w:rPr>
        <w:t xml:space="preserve"> a</w:t>
      </w:r>
      <w:r w:rsidR="004D5AD1">
        <w:rPr>
          <w:noProof/>
          <w:u w:color="000000"/>
          <w:bdr w:val="nil"/>
        </w:rPr>
        <w:t> </w:t>
      </w:r>
      <w:r w:rsidR="004D5AD1" w:rsidRPr="004D5AD1">
        <w:rPr>
          <w:noProof/>
          <w:u w:color="000000"/>
          <w:bdr w:val="nil"/>
        </w:rPr>
        <w:t>jeg</w:t>
      </w:r>
      <w:r w:rsidR="005D1B22" w:rsidRPr="004D5AD1">
        <w:rPr>
          <w:noProof/>
          <w:u w:color="000000"/>
          <w:bdr w:val="nil"/>
        </w:rPr>
        <w:t>o działalność zainaugurowano na szczycie grupy G-20</w:t>
      </w:r>
      <w:r w:rsidR="004D5AD1" w:rsidRPr="004D5AD1">
        <w:rPr>
          <w:noProof/>
          <w:u w:color="000000"/>
          <w:bdr w:val="nil"/>
        </w:rPr>
        <w:t xml:space="preserve"> w</w:t>
      </w:r>
      <w:r w:rsidR="004D5AD1">
        <w:rPr>
          <w:noProof/>
          <w:u w:color="000000"/>
          <w:bdr w:val="nil"/>
        </w:rPr>
        <w:t> </w:t>
      </w:r>
      <w:r w:rsidR="004D5AD1" w:rsidRPr="004D5AD1">
        <w:rPr>
          <w:noProof/>
          <w:u w:color="000000"/>
          <w:bdr w:val="nil"/>
        </w:rPr>
        <w:t>paź</w:t>
      </w:r>
      <w:r w:rsidR="005D1B22" w:rsidRPr="004D5AD1">
        <w:rPr>
          <w:noProof/>
          <w:u w:color="000000"/>
          <w:bdr w:val="nil"/>
        </w:rPr>
        <w:t>dzierniku 2021</w:t>
      </w:r>
      <w:r w:rsidR="004D5AD1" w:rsidRPr="004D5AD1">
        <w:rPr>
          <w:noProof/>
          <w:u w:color="000000"/>
          <w:bdr w:val="nil"/>
        </w:rPr>
        <w:t> </w:t>
      </w:r>
      <w:r w:rsidR="005D1B22" w:rsidRPr="004D5AD1">
        <w:rPr>
          <w:noProof/>
          <w:u w:color="000000"/>
          <w:bdr w:val="nil"/>
        </w:rPr>
        <w:t>r. Zadaniem IMEO jest gromadzenie, uzgadnianie, weryfikowanie</w:t>
      </w:r>
      <w:r w:rsidR="004D5AD1" w:rsidRPr="004D5AD1">
        <w:rPr>
          <w:noProof/>
          <w:u w:color="000000"/>
          <w:bdr w:val="nil"/>
        </w:rPr>
        <w:t xml:space="preserve"> i</w:t>
      </w:r>
      <w:r w:rsidR="004D5AD1">
        <w:rPr>
          <w:noProof/>
          <w:u w:color="000000"/>
          <w:bdr w:val="nil"/>
        </w:rPr>
        <w:t> </w:t>
      </w:r>
      <w:r w:rsidR="004D5AD1" w:rsidRPr="004D5AD1">
        <w:rPr>
          <w:noProof/>
          <w:u w:color="000000"/>
          <w:bdr w:val="nil"/>
        </w:rPr>
        <w:t>pub</w:t>
      </w:r>
      <w:r w:rsidR="005D1B22" w:rsidRPr="004D5AD1">
        <w:rPr>
          <w:noProof/>
          <w:u w:color="000000"/>
          <w:bdr w:val="nil"/>
        </w:rPr>
        <w:t xml:space="preserve">likowanie danych dotyczących antropogenicznych emisji metanu na poziomie światowym. </w:t>
      </w:r>
      <w:r w:rsidR="005D1B22" w:rsidRPr="004D5AD1">
        <w:rPr>
          <w:noProof/>
        </w:rPr>
        <w:t>IMEO jest częścią Programu Narodów Zjednoczonych ds. Ochrony Środowiska, który zawarł protokół ustaleń</w:t>
      </w:r>
      <w:r w:rsidR="004D5AD1" w:rsidRPr="004D5AD1">
        <w:rPr>
          <w:noProof/>
        </w:rPr>
        <w:t xml:space="preserve"> z</w:t>
      </w:r>
      <w:r w:rsidR="004D5AD1">
        <w:rPr>
          <w:noProof/>
        </w:rPr>
        <w:t> </w:t>
      </w:r>
      <w:r w:rsidR="004D5AD1" w:rsidRPr="004D5AD1">
        <w:rPr>
          <w:noProof/>
        </w:rPr>
        <w:t>Uni</w:t>
      </w:r>
      <w:r w:rsidR="005D1B22" w:rsidRPr="004D5AD1">
        <w:rPr>
          <w:noProof/>
        </w:rPr>
        <w:t>ą Europejską. Odgrywa on kluczową rolę</w:t>
      </w:r>
      <w:r w:rsidR="004D5AD1" w:rsidRPr="004D5AD1">
        <w:rPr>
          <w:noProof/>
        </w:rPr>
        <w:t xml:space="preserve"> w</w:t>
      </w:r>
      <w:r w:rsidR="004D5AD1">
        <w:rPr>
          <w:noProof/>
        </w:rPr>
        <w:t> </w:t>
      </w:r>
      <w:r w:rsidR="004D5AD1" w:rsidRPr="004D5AD1">
        <w:rPr>
          <w:noProof/>
        </w:rPr>
        <w:t>kon</w:t>
      </w:r>
      <w:r w:rsidR="005D1B22" w:rsidRPr="004D5AD1">
        <w:rPr>
          <w:noProof/>
        </w:rPr>
        <w:t>tekście weryfikacji danych dotyczących emisji metanu</w:t>
      </w:r>
      <w:r w:rsidR="004D5AD1" w:rsidRPr="004D5AD1">
        <w:rPr>
          <w:noProof/>
        </w:rPr>
        <w:t xml:space="preserve"> w</w:t>
      </w:r>
      <w:r w:rsidR="004D5AD1">
        <w:rPr>
          <w:noProof/>
        </w:rPr>
        <w:t> </w:t>
      </w:r>
      <w:r w:rsidR="004D5AD1" w:rsidRPr="004D5AD1">
        <w:rPr>
          <w:noProof/>
        </w:rPr>
        <w:t>sek</w:t>
      </w:r>
      <w:r w:rsidR="005D1B22" w:rsidRPr="004D5AD1">
        <w:rPr>
          <w:noProof/>
        </w:rPr>
        <w:t>torze energetycznym, należy zatem ustanowić odpowiednie relacje</w:t>
      </w:r>
      <w:r w:rsidR="004D5AD1" w:rsidRPr="004D5AD1">
        <w:rPr>
          <w:noProof/>
        </w:rPr>
        <w:t xml:space="preserve"> w</w:t>
      </w:r>
      <w:r w:rsidR="004D5AD1">
        <w:rPr>
          <w:noProof/>
        </w:rPr>
        <w:t> </w:t>
      </w:r>
      <w:r w:rsidR="004D5AD1" w:rsidRPr="004D5AD1">
        <w:rPr>
          <w:noProof/>
        </w:rPr>
        <w:t>cel</w:t>
      </w:r>
      <w:r w:rsidR="005D1B22" w:rsidRPr="004D5AD1">
        <w:rPr>
          <w:noProof/>
        </w:rPr>
        <w:t>u skutecznego powierzenia zadań weryfikacyjnych. Ponieważ IMEO nie jest organem Unii</w:t>
      </w:r>
      <w:r w:rsidR="004D5AD1" w:rsidRPr="004D5AD1">
        <w:rPr>
          <w:noProof/>
        </w:rPr>
        <w:t xml:space="preserve"> i</w:t>
      </w:r>
      <w:r w:rsidR="004D5AD1">
        <w:rPr>
          <w:noProof/>
        </w:rPr>
        <w:t> </w:t>
      </w:r>
      <w:r w:rsidR="004D5AD1" w:rsidRPr="004D5AD1">
        <w:rPr>
          <w:noProof/>
        </w:rPr>
        <w:t>nie</w:t>
      </w:r>
      <w:r w:rsidR="005D1B22" w:rsidRPr="004D5AD1">
        <w:rPr>
          <w:noProof/>
        </w:rPr>
        <w:t xml:space="preserve"> podlega prawu Unii, należy zapewnić, aby IMEO podejmowało odpowiednie działania</w:t>
      </w:r>
      <w:r w:rsidR="004D5AD1" w:rsidRPr="004D5AD1">
        <w:rPr>
          <w:noProof/>
        </w:rPr>
        <w:t xml:space="preserve"> w</w:t>
      </w:r>
      <w:r w:rsidR="004D5AD1">
        <w:rPr>
          <w:noProof/>
        </w:rPr>
        <w:t> </w:t>
      </w:r>
      <w:r w:rsidR="004D5AD1" w:rsidRPr="004D5AD1">
        <w:rPr>
          <w:noProof/>
        </w:rPr>
        <w:t>cel</w:t>
      </w:r>
      <w:r w:rsidR="005D1B22" w:rsidRPr="004D5AD1">
        <w:rPr>
          <w:noProof/>
        </w:rPr>
        <w:t>u ochrony interesów Unii</w:t>
      </w:r>
      <w:r w:rsidR="004D5AD1" w:rsidRPr="004D5AD1">
        <w:rPr>
          <w:noProof/>
        </w:rPr>
        <w:t xml:space="preserve"> i</w:t>
      </w:r>
      <w:r w:rsidR="004D5AD1">
        <w:rPr>
          <w:noProof/>
        </w:rPr>
        <w:t> </w:t>
      </w:r>
      <w:r w:rsidR="004D5AD1" w:rsidRPr="004D5AD1">
        <w:rPr>
          <w:noProof/>
        </w:rPr>
        <w:t>jej</w:t>
      </w:r>
      <w:r w:rsidR="005D1B22" w:rsidRPr="004D5AD1">
        <w:rPr>
          <w:noProof/>
        </w:rPr>
        <w:t xml:space="preserve"> państw członkowskich. </w:t>
      </w:r>
    </w:p>
    <w:p w14:paraId="6FDB2107" w14:textId="76B45A81" w:rsidR="00C34922" w:rsidRPr="004D5AD1" w:rsidRDefault="00DE3FFB" w:rsidP="00DE3FFB">
      <w:pPr>
        <w:pStyle w:val="ManualConsidrant"/>
        <w:rPr>
          <w:noProof/>
        </w:rPr>
      </w:pPr>
      <w:r w:rsidRPr="00DE3FFB">
        <w:t>(18)</w:t>
      </w:r>
      <w:r w:rsidRPr="00DE3FFB">
        <w:tab/>
      </w:r>
      <w:r w:rsidR="00C34922" w:rsidRPr="004D5AD1">
        <w:rPr>
          <w:noProof/>
        </w:rPr>
        <w:t>Jako strona Ramowej konwencji Narodów Zjednoczonych</w:t>
      </w:r>
      <w:r w:rsidR="004D5AD1" w:rsidRPr="004D5AD1">
        <w:rPr>
          <w:noProof/>
        </w:rPr>
        <w:t xml:space="preserve"> w</w:t>
      </w:r>
      <w:r w:rsidR="004D5AD1">
        <w:rPr>
          <w:noProof/>
        </w:rPr>
        <w:t> </w:t>
      </w:r>
      <w:r w:rsidR="004D5AD1" w:rsidRPr="004D5AD1">
        <w:rPr>
          <w:noProof/>
        </w:rPr>
        <w:t>spr</w:t>
      </w:r>
      <w:r w:rsidR="00C34922" w:rsidRPr="004D5AD1">
        <w:rPr>
          <w:noProof/>
        </w:rPr>
        <w:t>awie zmian klimatu (UNFCCC) oraz porozumienia paryskiego Unia jest zobowiązana do corocznego przedstawiania sprawozdania dotyczącego wykazu na temat antropogenicznych emisji gazów cieplarnianych, stanowiącego zestawienie danych</w:t>
      </w:r>
      <w:r w:rsidR="004D5AD1" w:rsidRPr="004D5AD1">
        <w:rPr>
          <w:noProof/>
        </w:rPr>
        <w:t xml:space="preserve"> z</w:t>
      </w:r>
      <w:r w:rsidR="004D5AD1">
        <w:rPr>
          <w:noProof/>
        </w:rPr>
        <w:t> </w:t>
      </w:r>
      <w:r w:rsidR="004D5AD1" w:rsidRPr="004D5AD1">
        <w:rPr>
          <w:noProof/>
        </w:rPr>
        <w:t>kra</w:t>
      </w:r>
      <w:r w:rsidR="00C34922" w:rsidRPr="004D5AD1">
        <w:rPr>
          <w:noProof/>
        </w:rPr>
        <w:t>jowych wykazów gazów cieplarnianych państw członkowskich</w:t>
      </w:r>
      <w:r w:rsidR="004D5AD1" w:rsidRPr="004D5AD1">
        <w:rPr>
          <w:noProof/>
        </w:rPr>
        <w:t xml:space="preserve"> i</w:t>
      </w:r>
      <w:r w:rsidR="004D5AD1">
        <w:rPr>
          <w:noProof/>
        </w:rPr>
        <w:t> </w:t>
      </w:r>
      <w:r w:rsidR="004D5AD1" w:rsidRPr="004D5AD1">
        <w:rPr>
          <w:noProof/>
        </w:rPr>
        <w:t>spo</w:t>
      </w:r>
      <w:r w:rsidR="00C34922" w:rsidRPr="004D5AD1">
        <w:rPr>
          <w:noProof/>
        </w:rPr>
        <w:t>rządzanego</w:t>
      </w:r>
      <w:r w:rsidR="004D5AD1" w:rsidRPr="004D5AD1">
        <w:rPr>
          <w:noProof/>
        </w:rPr>
        <w:t xml:space="preserve"> z</w:t>
      </w:r>
      <w:r w:rsidR="004D5AD1">
        <w:rPr>
          <w:noProof/>
        </w:rPr>
        <w:t> </w:t>
      </w:r>
      <w:r w:rsidR="004D5AD1" w:rsidRPr="004D5AD1">
        <w:rPr>
          <w:noProof/>
        </w:rPr>
        <w:t>wyk</w:t>
      </w:r>
      <w:r w:rsidR="00C34922" w:rsidRPr="004D5AD1">
        <w:rPr>
          <w:noProof/>
        </w:rPr>
        <w:t>orzystaniem metodyki dobrych praktyk przyjętej przez Międzyrządowy Zespół do spraw Zmiany Klimatu (IPCC).</w:t>
      </w:r>
    </w:p>
    <w:p w14:paraId="448EFCC8" w14:textId="4C04FEEB" w:rsidR="00C34922" w:rsidRPr="004D5AD1" w:rsidRDefault="00DE3FFB" w:rsidP="00DE3FFB">
      <w:pPr>
        <w:pStyle w:val="ManualConsidrant"/>
        <w:rPr>
          <w:noProof/>
        </w:rPr>
      </w:pPr>
      <w:r w:rsidRPr="00DE3FFB">
        <w:t>(19)</w:t>
      </w:r>
      <w:r w:rsidRPr="00DE3FFB">
        <w:tab/>
      </w:r>
      <w:r w:rsidR="00C34922" w:rsidRPr="004D5AD1">
        <w:rPr>
          <w:noProof/>
        </w:rPr>
        <w:t>Rozporządzenie Parlamentu Europejskiego</w:t>
      </w:r>
      <w:r w:rsidR="004D5AD1" w:rsidRPr="004D5AD1">
        <w:rPr>
          <w:noProof/>
        </w:rPr>
        <w:t xml:space="preserve"> i</w:t>
      </w:r>
      <w:r w:rsidR="004D5AD1">
        <w:rPr>
          <w:noProof/>
        </w:rPr>
        <w:t> </w:t>
      </w:r>
      <w:r w:rsidR="004D5AD1" w:rsidRPr="004D5AD1">
        <w:rPr>
          <w:noProof/>
        </w:rPr>
        <w:t>Rad</w:t>
      </w:r>
      <w:r w:rsidR="00C34922" w:rsidRPr="004D5AD1">
        <w:rPr>
          <w:noProof/>
        </w:rPr>
        <w:t>y (UE) 2018/1999</w:t>
      </w:r>
      <w:r w:rsidR="00CA3BAF" w:rsidRPr="004D5AD1">
        <w:rPr>
          <w:rStyle w:val="FootnoteReference"/>
          <w:noProof/>
        </w:rPr>
        <w:footnoteReference w:id="21"/>
      </w:r>
      <w:r w:rsidR="00C34922" w:rsidRPr="004D5AD1">
        <w:rPr>
          <w:noProof/>
        </w:rPr>
        <w:t xml:space="preserve"> zawiera wymóg, aby państwa członkowskie przekazywały Komisji dane</w:t>
      </w:r>
      <w:r w:rsidR="004D5AD1" w:rsidRPr="004D5AD1">
        <w:rPr>
          <w:noProof/>
        </w:rPr>
        <w:t xml:space="preserve"> z</w:t>
      </w:r>
      <w:r w:rsidR="004D5AD1">
        <w:rPr>
          <w:noProof/>
        </w:rPr>
        <w:t> </w:t>
      </w:r>
      <w:r w:rsidR="004D5AD1" w:rsidRPr="004D5AD1">
        <w:rPr>
          <w:noProof/>
        </w:rPr>
        <w:t>wyk</w:t>
      </w:r>
      <w:r w:rsidR="00C34922" w:rsidRPr="004D5AD1">
        <w:rPr>
          <w:noProof/>
        </w:rPr>
        <w:t>azów gazów cieplarnianych oraz aby zgłaszały swoje prognozy krajowe. Na podstawie art.</w:t>
      </w:r>
      <w:r w:rsidR="004D5AD1" w:rsidRPr="004D5AD1">
        <w:rPr>
          <w:noProof/>
        </w:rPr>
        <w:t> </w:t>
      </w:r>
      <w:r w:rsidR="00C34922" w:rsidRPr="004D5AD1">
        <w:rPr>
          <w:noProof/>
        </w:rPr>
        <w:t>17 ust.</w:t>
      </w:r>
      <w:r w:rsidR="004D5AD1" w:rsidRPr="004D5AD1">
        <w:rPr>
          <w:noProof/>
        </w:rPr>
        <w:t> </w:t>
      </w:r>
      <w:r w:rsidR="00C34922" w:rsidRPr="004D5AD1">
        <w:rPr>
          <w:noProof/>
        </w:rPr>
        <w:t>2 rozporządzenia (UE) 2018/1999 sprawozdania mają być sporządzane na podstawie wytycznych UNFCCC dotyczących sprawozdawczości</w:t>
      </w:r>
      <w:r w:rsidR="004D5AD1" w:rsidRPr="004D5AD1">
        <w:rPr>
          <w:noProof/>
        </w:rPr>
        <w:t xml:space="preserve"> i</w:t>
      </w:r>
      <w:r w:rsidR="004D5AD1">
        <w:rPr>
          <w:noProof/>
        </w:rPr>
        <w:t> </w:t>
      </w:r>
      <w:r w:rsidR="004D5AD1" w:rsidRPr="004D5AD1">
        <w:rPr>
          <w:noProof/>
        </w:rPr>
        <w:t>czę</w:t>
      </w:r>
      <w:r w:rsidR="00C34922" w:rsidRPr="004D5AD1">
        <w:rPr>
          <w:noProof/>
        </w:rPr>
        <w:t>sto opierają się na domyślnych współczynnikach emisji,</w:t>
      </w:r>
      <w:r w:rsidR="004D5AD1" w:rsidRPr="004D5AD1">
        <w:rPr>
          <w:noProof/>
        </w:rPr>
        <w:t xml:space="preserve"> a</w:t>
      </w:r>
      <w:r w:rsidR="004D5AD1">
        <w:rPr>
          <w:noProof/>
        </w:rPr>
        <w:t> </w:t>
      </w:r>
      <w:r w:rsidR="004D5AD1" w:rsidRPr="004D5AD1">
        <w:rPr>
          <w:noProof/>
        </w:rPr>
        <w:t>nie</w:t>
      </w:r>
      <w:r w:rsidR="00C34922" w:rsidRPr="004D5AD1">
        <w:rPr>
          <w:noProof/>
        </w:rPr>
        <w:t xml:space="preserve"> na bezpośrednich pomiarach na poziomie źródła, co powoduje brak pewności co do źródła, częstotliwości</w:t>
      </w:r>
      <w:r w:rsidR="004D5AD1" w:rsidRPr="004D5AD1">
        <w:rPr>
          <w:noProof/>
        </w:rPr>
        <w:t xml:space="preserve"> i</w:t>
      </w:r>
      <w:r w:rsidR="004D5AD1">
        <w:rPr>
          <w:noProof/>
        </w:rPr>
        <w:t> </w:t>
      </w:r>
      <w:r w:rsidR="004D5AD1" w:rsidRPr="004D5AD1">
        <w:rPr>
          <w:noProof/>
        </w:rPr>
        <w:t>wie</w:t>
      </w:r>
      <w:r w:rsidR="00C34922" w:rsidRPr="004D5AD1">
        <w:rPr>
          <w:noProof/>
        </w:rPr>
        <w:t>lkości emisji.</w:t>
      </w:r>
    </w:p>
    <w:p w14:paraId="3C846C95" w14:textId="2C22BEF8" w:rsidR="0069675A" w:rsidRPr="004D5AD1" w:rsidRDefault="00DE3FFB" w:rsidP="00DE3FFB">
      <w:pPr>
        <w:pStyle w:val="ManualConsidrant"/>
        <w:rPr>
          <w:noProof/>
        </w:rPr>
      </w:pPr>
      <w:r w:rsidRPr="00DE3FFB">
        <w:t>(20)</w:t>
      </w:r>
      <w:r w:rsidRPr="00DE3FFB">
        <w:tab/>
      </w:r>
      <w:r w:rsidR="00C34922" w:rsidRPr="004D5AD1">
        <w:rPr>
          <w:noProof/>
        </w:rPr>
        <w:t>Dane dotyczące poszczególnych krajów zgłaszane na podstawie przepisów UNFCCC dotyczących sprawozdawczości są przedkładane sekretariatowi UNFCCC zgodnie</w:t>
      </w:r>
      <w:r w:rsidR="004D5AD1" w:rsidRPr="004D5AD1">
        <w:rPr>
          <w:noProof/>
        </w:rPr>
        <w:t xml:space="preserve"> z</w:t>
      </w:r>
      <w:r w:rsidR="004D5AD1">
        <w:rPr>
          <w:noProof/>
        </w:rPr>
        <w:t> </w:t>
      </w:r>
      <w:r w:rsidR="004D5AD1" w:rsidRPr="004D5AD1">
        <w:rPr>
          <w:noProof/>
        </w:rPr>
        <w:t>róż</w:t>
      </w:r>
      <w:r w:rsidR="00C34922" w:rsidRPr="004D5AD1">
        <w:rPr>
          <w:noProof/>
        </w:rPr>
        <w:t>nymi poziomami sprawozdawczości według wytycznych IPCC</w:t>
      </w:r>
      <w:r w:rsidR="004D5AD1" w:rsidRPr="004D5AD1">
        <w:rPr>
          <w:noProof/>
        </w:rPr>
        <w:t>. W</w:t>
      </w:r>
      <w:r w:rsidR="004D5AD1">
        <w:rPr>
          <w:noProof/>
        </w:rPr>
        <w:t> </w:t>
      </w:r>
      <w:r w:rsidR="004D5AD1" w:rsidRPr="004D5AD1">
        <w:rPr>
          <w:noProof/>
        </w:rPr>
        <w:t>tym</w:t>
      </w:r>
      <w:r w:rsidR="00C34922" w:rsidRPr="004D5AD1">
        <w:rPr>
          <w:noProof/>
        </w:rPr>
        <w:t xml:space="preserve"> kontekście IPCC ogólnie sugeruje stosowanie metod wyższego poziomu</w:t>
      </w:r>
      <w:r w:rsidR="004D5AD1" w:rsidRPr="004D5AD1">
        <w:rPr>
          <w:noProof/>
        </w:rPr>
        <w:t xml:space="preserve"> w</w:t>
      </w:r>
      <w:r w:rsidR="004D5AD1">
        <w:rPr>
          <w:noProof/>
        </w:rPr>
        <w:t> </w:t>
      </w:r>
      <w:r w:rsidR="004D5AD1" w:rsidRPr="004D5AD1">
        <w:rPr>
          <w:noProof/>
        </w:rPr>
        <w:t>odn</w:t>
      </w:r>
      <w:r w:rsidR="00C34922" w:rsidRPr="004D5AD1">
        <w:rPr>
          <w:noProof/>
        </w:rPr>
        <w:t>iesieniu do tych źródeł emisji, które mają znaczący wpływ na łączny wykaz gazów cieplarnianych</w:t>
      </w:r>
      <w:r w:rsidR="004D5AD1" w:rsidRPr="004D5AD1">
        <w:rPr>
          <w:noProof/>
        </w:rPr>
        <w:t xml:space="preserve"> w</w:t>
      </w:r>
      <w:r w:rsidR="004D5AD1">
        <w:rPr>
          <w:noProof/>
        </w:rPr>
        <w:t> </w:t>
      </w:r>
      <w:r w:rsidR="004D5AD1" w:rsidRPr="004D5AD1">
        <w:rPr>
          <w:noProof/>
        </w:rPr>
        <w:t>dan</w:t>
      </w:r>
      <w:r w:rsidR="00C34922" w:rsidRPr="004D5AD1">
        <w:rPr>
          <w:noProof/>
        </w:rPr>
        <w:t xml:space="preserve">ym kraju pod względem poziomu bezwzględnego, tendencji lub niepewności. </w:t>
      </w:r>
    </w:p>
    <w:p w14:paraId="3F46677F" w14:textId="1D89021C" w:rsidR="00C34922" w:rsidRPr="004D5AD1" w:rsidRDefault="00DE3FFB" w:rsidP="00DE3FFB">
      <w:pPr>
        <w:pStyle w:val="ManualConsidrant"/>
        <w:rPr>
          <w:noProof/>
        </w:rPr>
      </w:pPr>
      <w:r w:rsidRPr="00DE3FFB">
        <w:t>(21)</w:t>
      </w:r>
      <w:r w:rsidRPr="00DE3FFB">
        <w:tab/>
      </w:r>
      <w:r w:rsidR="00C34922" w:rsidRPr="004D5AD1">
        <w:rPr>
          <w:noProof/>
        </w:rPr>
        <w:t>Poziom jest odzwierciedleniem stopnia złożoności metodycznej. Dostępne są trzy poziomy. Metody poziomu 1 zazwyczaj wykorzystują domyślne współczynniki emisji IPCC</w:t>
      </w:r>
      <w:r w:rsidR="004D5AD1" w:rsidRPr="004D5AD1">
        <w:rPr>
          <w:noProof/>
        </w:rPr>
        <w:t xml:space="preserve"> i</w:t>
      </w:r>
      <w:r w:rsidR="004D5AD1">
        <w:rPr>
          <w:noProof/>
        </w:rPr>
        <w:t> </w:t>
      </w:r>
      <w:r w:rsidR="004D5AD1" w:rsidRPr="004D5AD1">
        <w:rPr>
          <w:noProof/>
        </w:rPr>
        <w:t>wym</w:t>
      </w:r>
      <w:r w:rsidR="00C34922" w:rsidRPr="004D5AD1">
        <w:rPr>
          <w:noProof/>
        </w:rPr>
        <w:t>agają najbardziej podstawowych</w:t>
      </w:r>
      <w:r w:rsidR="004D5AD1" w:rsidRPr="004D5AD1">
        <w:rPr>
          <w:noProof/>
        </w:rPr>
        <w:t xml:space="preserve"> i</w:t>
      </w:r>
      <w:r w:rsidR="004D5AD1">
        <w:rPr>
          <w:noProof/>
        </w:rPr>
        <w:t> </w:t>
      </w:r>
      <w:r w:rsidR="004D5AD1" w:rsidRPr="004D5AD1">
        <w:rPr>
          <w:noProof/>
        </w:rPr>
        <w:t>naj</w:t>
      </w:r>
      <w:r w:rsidR="00C34922" w:rsidRPr="004D5AD1">
        <w:rPr>
          <w:noProof/>
        </w:rPr>
        <w:t>mniej zdezagregowanych danych dotyczących działalności. Wyższe poziomy zwykle wykorzystują bardziej rozbudowane metody</w:t>
      </w:r>
      <w:r w:rsidR="004D5AD1" w:rsidRPr="004D5AD1">
        <w:rPr>
          <w:noProof/>
        </w:rPr>
        <w:t xml:space="preserve"> i</w:t>
      </w:r>
      <w:r w:rsidR="004D5AD1">
        <w:rPr>
          <w:noProof/>
        </w:rPr>
        <w:t> </w:t>
      </w:r>
      <w:r w:rsidR="004D5AD1" w:rsidRPr="004D5AD1">
        <w:rPr>
          <w:noProof/>
        </w:rPr>
        <w:t>szc</w:t>
      </w:r>
      <w:r w:rsidR="00C34922" w:rsidRPr="004D5AD1">
        <w:rPr>
          <w:noProof/>
        </w:rPr>
        <w:t>zególne współczynniki emisji odpowiednie dla danego źródła, danej technologii, danego regionu lub danego kraju, które często opierają się na pomiarach</w:t>
      </w:r>
      <w:r w:rsidR="004D5AD1" w:rsidRPr="004D5AD1">
        <w:rPr>
          <w:noProof/>
        </w:rPr>
        <w:t xml:space="preserve"> i</w:t>
      </w:r>
      <w:r w:rsidR="004D5AD1">
        <w:rPr>
          <w:noProof/>
        </w:rPr>
        <w:t> </w:t>
      </w:r>
      <w:r w:rsidR="004D5AD1" w:rsidRPr="004D5AD1">
        <w:rPr>
          <w:noProof/>
        </w:rPr>
        <w:t>zaz</w:t>
      </w:r>
      <w:r w:rsidR="00C34922" w:rsidRPr="004D5AD1">
        <w:rPr>
          <w:noProof/>
        </w:rPr>
        <w:t>wyczaj wymagają bardziej zdezagregowanych danych dotyczących działalności</w:t>
      </w:r>
      <w:r w:rsidR="004D5AD1" w:rsidRPr="004D5AD1">
        <w:rPr>
          <w:noProof/>
        </w:rPr>
        <w:t>. W</w:t>
      </w:r>
      <w:r w:rsidR="004D5AD1">
        <w:rPr>
          <w:noProof/>
        </w:rPr>
        <w:t> </w:t>
      </w:r>
      <w:r w:rsidR="004D5AD1" w:rsidRPr="004D5AD1">
        <w:rPr>
          <w:noProof/>
        </w:rPr>
        <w:t>szc</w:t>
      </w:r>
      <w:r w:rsidR="00C34922" w:rsidRPr="004D5AD1">
        <w:rPr>
          <w:noProof/>
        </w:rPr>
        <w:t>zególności poziom 2 wymaga stosowania współczynników emisji odpowiednich dla danego kraju, zamiast współczynników domyślnych, natomiast poziom 3 wymaga danych lub pomiarów dotyczących poszczególnych obiektów</w:t>
      </w:r>
      <w:r w:rsidR="004D5AD1" w:rsidRPr="004D5AD1">
        <w:rPr>
          <w:noProof/>
        </w:rPr>
        <w:t xml:space="preserve"> i</w:t>
      </w:r>
      <w:r w:rsidR="004D5AD1">
        <w:rPr>
          <w:noProof/>
        </w:rPr>
        <w:t> </w:t>
      </w:r>
      <w:r w:rsidR="004D5AD1" w:rsidRPr="004D5AD1">
        <w:rPr>
          <w:noProof/>
        </w:rPr>
        <w:t>obe</w:t>
      </w:r>
      <w:r w:rsidR="00C34922" w:rsidRPr="004D5AD1">
        <w:rPr>
          <w:noProof/>
        </w:rPr>
        <w:t>jmuje zastosowanie rygorystycznej oceny oddolnej według typu źródła na poziomie pojedynczego obiektu. Przejście od poziomu 1 do poziomu 3 oznacza zwiększenie pewności pomiarów emisji metanu</w:t>
      </w:r>
      <w:r w:rsidR="00C34922" w:rsidRPr="004D5AD1">
        <w:rPr>
          <w:rStyle w:val="FootnoteReference"/>
          <w:noProof/>
        </w:rPr>
        <w:footnoteReference w:id="22"/>
      </w:r>
      <w:r w:rsidR="00C34922" w:rsidRPr="004D5AD1">
        <w:rPr>
          <w:noProof/>
        </w:rPr>
        <w:t xml:space="preserve">. </w:t>
      </w:r>
    </w:p>
    <w:p w14:paraId="0AFD4509" w14:textId="62B03909" w:rsidR="00C34922" w:rsidRPr="004D5AD1" w:rsidRDefault="00DE3FFB" w:rsidP="00DE3FFB">
      <w:pPr>
        <w:pStyle w:val="ManualConsidrant"/>
        <w:rPr>
          <w:noProof/>
        </w:rPr>
      </w:pPr>
      <w:r w:rsidRPr="00DE3FFB">
        <w:t>(22)</w:t>
      </w:r>
      <w:r w:rsidRPr="00DE3FFB">
        <w:tab/>
      </w:r>
      <w:r w:rsidR="00C609EB" w:rsidRPr="004D5AD1">
        <w:rPr>
          <w:noProof/>
        </w:rPr>
        <w:t>Państwa członkowskie stosują różne praktyki, jeśli chodzi</w:t>
      </w:r>
      <w:r w:rsidR="004D5AD1" w:rsidRPr="004D5AD1">
        <w:rPr>
          <w:noProof/>
        </w:rPr>
        <w:t xml:space="preserve"> o</w:t>
      </w:r>
      <w:r w:rsidR="004D5AD1">
        <w:rPr>
          <w:noProof/>
        </w:rPr>
        <w:t> </w:t>
      </w:r>
      <w:r w:rsidR="004D5AD1" w:rsidRPr="004D5AD1">
        <w:rPr>
          <w:noProof/>
        </w:rPr>
        <w:t>poz</w:t>
      </w:r>
      <w:r w:rsidR="00C609EB" w:rsidRPr="004D5AD1">
        <w:rPr>
          <w:noProof/>
        </w:rPr>
        <w:t>iom, na którym zgłaszają do UNFCCC swo</w:t>
      </w:r>
      <w:r w:rsidR="00805D0B" w:rsidRPr="004D5AD1">
        <w:rPr>
          <w:noProof/>
        </w:rPr>
        <w:t>je emisje metanu związane</w:t>
      </w:r>
      <w:r w:rsidR="004D5AD1" w:rsidRPr="004D5AD1">
        <w:rPr>
          <w:noProof/>
        </w:rPr>
        <w:t xml:space="preserve"> z</w:t>
      </w:r>
      <w:r w:rsidR="004D5AD1">
        <w:rPr>
          <w:noProof/>
        </w:rPr>
        <w:t> </w:t>
      </w:r>
      <w:r w:rsidR="004D5AD1" w:rsidRPr="004D5AD1">
        <w:rPr>
          <w:noProof/>
        </w:rPr>
        <w:t>ene</w:t>
      </w:r>
      <w:r w:rsidR="00C609EB" w:rsidRPr="004D5AD1">
        <w:rPr>
          <w:noProof/>
        </w:rPr>
        <w:t>rgią. Sprawozdawczość na poziomie 2 dla dużych źródeł emisji jest zgodna</w:t>
      </w:r>
      <w:r w:rsidR="004D5AD1" w:rsidRPr="004D5AD1">
        <w:rPr>
          <w:noProof/>
        </w:rPr>
        <w:t xml:space="preserve"> z</w:t>
      </w:r>
      <w:r w:rsidR="004D5AD1">
        <w:rPr>
          <w:noProof/>
        </w:rPr>
        <w:t> </w:t>
      </w:r>
      <w:r w:rsidR="004D5AD1" w:rsidRPr="004D5AD1">
        <w:rPr>
          <w:noProof/>
        </w:rPr>
        <w:t>wyt</w:t>
      </w:r>
      <w:r w:rsidR="00C609EB" w:rsidRPr="004D5AD1">
        <w:rPr>
          <w:noProof/>
        </w:rPr>
        <w:t>ycznymi IPCC dotyczącymi sprawozdawczości, ponieważ poziom 2 uważa się za metodę wyższego poziomu</w:t>
      </w:r>
      <w:r w:rsidR="004D5AD1" w:rsidRPr="004D5AD1">
        <w:rPr>
          <w:noProof/>
        </w:rPr>
        <w:t>. W</w:t>
      </w:r>
      <w:r w:rsidR="004D5AD1">
        <w:rPr>
          <w:noProof/>
        </w:rPr>
        <w:t> </w:t>
      </w:r>
      <w:r w:rsidR="004D5AD1" w:rsidRPr="004D5AD1">
        <w:rPr>
          <w:noProof/>
        </w:rPr>
        <w:t>zwi</w:t>
      </w:r>
      <w:r w:rsidR="00C609EB" w:rsidRPr="004D5AD1">
        <w:rPr>
          <w:noProof/>
        </w:rPr>
        <w:t>ązku</w:t>
      </w:r>
      <w:r w:rsidR="004D5AD1" w:rsidRPr="004D5AD1">
        <w:rPr>
          <w:noProof/>
        </w:rPr>
        <w:t xml:space="preserve"> z</w:t>
      </w:r>
      <w:r w:rsidR="004D5AD1">
        <w:rPr>
          <w:noProof/>
        </w:rPr>
        <w:t> </w:t>
      </w:r>
      <w:r w:rsidR="004D5AD1" w:rsidRPr="004D5AD1">
        <w:rPr>
          <w:noProof/>
        </w:rPr>
        <w:t>tym</w:t>
      </w:r>
      <w:r w:rsidR="00C609EB" w:rsidRPr="004D5AD1">
        <w:rPr>
          <w:noProof/>
        </w:rPr>
        <w:t xml:space="preserve"> metody szacowania</w:t>
      </w:r>
      <w:r w:rsidR="004D5AD1" w:rsidRPr="004D5AD1">
        <w:rPr>
          <w:noProof/>
        </w:rPr>
        <w:t xml:space="preserve"> i</w:t>
      </w:r>
      <w:r w:rsidR="004D5AD1">
        <w:rPr>
          <w:noProof/>
        </w:rPr>
        <w:t> </w:t>
      </w:r>
      <w:r w:rsidR="004D5AD1" w:rsidRPr="004D5AD1">
        <w:rPr>
          <w:noProof/>
        </w:rPr>
        <w:t>spr</w:t>
      </w:r>
      <w:r w:rsidR="00C609EB" w:rsidRPr="004D5AD1">
        <w:rPr>
          <w:noProof/>
        </w:rPr>
        <w:t>awozdawczości</w:t>
      </w:r>
      <w:r w:rsidR="004D5AD1" w:rsidRPr="004D5AD1">
        <w:rPr>
          <w:noProof/>
        </w:rPr>
        <w:t xml:space="preserve"> w</w:t>
      </w:r>
      <w:r w:rsidR="004D5AD1">
        <w:rPr>
          <w:noProof/>
        </w:rPr>
        <w:t> </w:t>
      </w:r>
      <w:r w:rsidR="004D5AD1" w:rsidRPr="004D5AD1">
        <w:rPr>
          <w:noProof/>
        </w:rPr>
        <w:t>zak</w:t>
      </w:r>
      <w:r w:rsidR="00C609EB" w:rsidRPr="004D5AD1">
        <w:rPr>
          <w:noProof/>
        </w:rPr>
        <w:t>resie emisji metanu związanych</w:t>
      </w:r>
      <w:r w:rsidR="004D5AD1" w:rsidRPr="004D5AD1">
        <w:rPr>
          <w:noProof/>
        </w:rPr>
        <w:t xml:space="preserve"> z</w:t>
      </w:r>
      <w:r w:rsidR="004D5AD1">
        <w:rPr>
          <w:noProof/>
        </w:rPr>
        <w:t> </w:t>
      </w:r>
      <w:r w:rsidR="004D5AD1" w:rsidRPr="004D5AD1">
        <w:rPr>
          <w:noProof/>
        </w:rPr>
        <w:t>sek</w:t>
      </w:r>
      <w:r w:rsidR="00C609EB" w:rsidRPr="004D5AD1">
        <w:rPr>
          <w:noProof/>
        </w:rPr>
        <w:t>torem energetycznym różnią się</w:t>
      </w:r>
      <w:r w:rsidR="004D5AD1" w:rsidRPr="004D5AD1">
        <w:rPr>
          <w:noProof/>
        </w:rPr>
        <w:t xml:space="preserve"> w</w:t>
      </w:r>
      <w:r w:rsidR="004D5AD1">
        <w:rPr>
          <w:noProof/>
        </w:rPr>
        <w:t> </w:t>
      </w:r>
      <w:r w:rsidR="004D5AD1" w:rsidRPr="004D5AD1">
        <w:rPr>
          <w:noProof/>
        </w:rPr>
        <w:t>pos</w:t>
      </w:r>
      <w:r w:rsidR="00C609EB" w:rsidRPr="004D5AD1">
        <w:rPr>
          <w:noProof/>
        </w:rPr>
        <w:t>zczególnych państwach członkowskich, przy czym sprawozdawczość na najniższym poziomie, tj. poziomie 1, jest nadal bardzo powszechna</w:t>
      </w:r>
      <w:r w:rsidR="004D5AD1" w:rsidRPr="004D5AD1">
        <w:rPr>
          <w:noProof/>
        </w:rPr>
        <w:t xml:space="preserve"> w</w:t>
      </w:r>
      <w:r w:rsidR="004D5AD1">
        <w:rPr>
          <w:noProof/>
        </w:rPr>
        <w:t> </w:t>
      </w:r>
      <w:r w:rsidR="004D5AD1" w:rsidRPr="004D5AD1">
        <w:rPr>
          <w:noProof/>
        </w:rPr>
        <w:t>kil</w:t>
      </w:r>
      <w:r w:rsidR="00C609EB" w:rsidRPr="004D5AD1">
        <w:rPr>
          <w:noProof/>
        </w:rPr>
        <w:t>ku państwach członkowskich</w:t>
      </w:r>
      <w:r w:rsidR="004D5AD1" w:rsidRPr="004D5AD1">
        <w:rPr>
          <w:noProof/>
        </w:rPr>
        <w:t xml:space="preserve"> w</w:t>
      </w:r>
      <w:r w:rsidR="004D5AD1">
        <w:rPr>
          <w:noProof/>
        </w:rPr>
        <w:t> </w:t>
      </w:r>
      <w:r w:rsidR="004D5AD1" w:rsidRPr="004D5AD1">
        <w:rPr>
          <w:noProof/>
        </w:rPr>
        <w:t>odn</w:t>
      </w:r>
      <w:r w:rsidR="00C609EB" w:rsidRPr="004D5AD1">
        <w:rPr>
          <w:noProof/>
        </w:rPr>
        <w:t>iesieniu do emisji metanu</w:t>
      </w:r>
      <w:r w:rsidR="004D5AD1" w:rsidRPr="004D5AD1">
        <w:rPr>
          <w:noProof/>
        </w:rPr>
        <w:t xml:space="preserve"> z</w:t>
      </w:r>
      <w:r w:rsidR="004D5AD1">
        <w:rPr>
          <w:noProof/>
        </w:rPr>
        <w:t> </w:t>
      </w:r>
      <w:r w:rsidR="004D5AD1" w:rsidRPr="004D5AD1">
        <w:rPr>
          <w:noProof/>
        </w:rPr>
        <w:t>węg</w:t>
      </w:r>
      <w:r w:rsidR="00C609EB" w:rsidRPr="004D5AD1">
        <w:rPr>
          <w:noProof/>
        </w:rPr>
        <w:t>la, gazu oraz ropy naftowej.</w:t>
      </w:r>
    </w:p>
    <w:p w14:paraId="11CFC5C2" w14:textId="1C2F6E89" w:rsidR="002D571F" w:rsidRPr="004D5AD1" w:rsidRDefault="00DE3FFB" w:rsidP="00DE3FFB">
      <w:pPr>
        <w:pStyle w:val="ManualConsidrant"/>
        <w:rPr>
          <w:noProof/>
        </w:rPr>
      </w:pPr>
      <w:r w:rsidRPr="00DE3FFB">
        <w:t>(23)</w:t>
      </w:r>
      <w:r w:rsidRPr="00DE3FFB">
        <w:tab/>
      </w:r>
      <w:r w:rsidR="006510BD" w:rsidRPr="004D5AD1">
        <w:rPr>
          <w:noProof/>
        </w:rPr>
        <w:t>Obecnie dobrowolne inicjatywy prowadzone przez przemysł pozostają głównym sposobem dzia</w:t>
      </w:r>
      <w:r w:rsidR="00805D0B" w:rsidRPr="004D5AD1">
        <w:rPr>
          <w:noProof/>
        </w:rPr>
        <w:t>łania</w:t>
      </w:r>
      <w:r w:rsidR="004D5AD1" w:rsidRPr="004D5AD1">
        <w:rPr>
          <w:noProof/>
        </w:rPr>
        <w:t xml:space="preserve"> w</w:t>
      </w:r>
      <w:r w:rsidR="004D5AD1">
        <w:rPr>
          <w:noProof/>
        </w:rPr>
        <w:t> </w:t>
      </w:r>
      <w:r w:rsidR="004D5AD1" w:rsidRPr="004D5AD1">
        <w:rPr>
          <w:noProof/>
        </w:rPr>
        <w:t>zak</w:t>
      </w:r>
      <w:r w:rsidR="00805D0B" w:rsidRPr="004D5AD1">
        <w:rPr>
          <w:noProof/>
        </w:rPr>
        <w:t>resie kwantyfikacji</w:t>
      </w:r>
      <w:r w:rsidR="004D5AD1" w:rsidRPr="004D5AD1">
        <w:rPr>
          <w:noProof/>
        </w:rPr>
        <w:t xml:space="preserve"> i</w:t>
      </w:r>
      <w:r w:rsidR="004D5AD1">
        <w:rPr>
          <w:noProof/>
        </w:rPr>
        <w:t> </w:t>
      </w:r>
      <w:r w:rsidR="004D5AD1" w:rsidRPr="004D5AD1">
        <w:rPr>
          <w:noProof/>
        </w:rPr>
        <w:t>ogr</w:t>
      </w:r>
      <w:r w:rsidR="006510BD" w:rsidRPr="004D5AD1">
        <w:rPr>
          <w:noProof/>
        </w:rPr>
        <w:t>aniczania emisji metanu</w:t>
      </w:r>
      <w:r w:rsidR="004D5AD1" w:rsidRPr="004D5AD1">
        <w:rPr>
          <w:noProof/>
        </w:rPr>
        <w:t xml:space="preserve"> w</w:t>
      </w:r>
      <w:r w:rsidR="004D5AD1">
        <w:rPr>
          <w:noProof/>
        </w:rPr>
        <w:t> </w:t>
      </w:r>
      <w:r w:rsidR="004D5AD1" w:rsidRPr="004D5AD1">
        <w:rPr>
          <w:noProof/>
        </w:rPr>
        <w:t>wie</w:t>
      </w:r>
      <w:r w:rsidR="006510BD" w:rsidRPr="004D5AD1">
        <w:rPr>
          <w:noProof/>
        </w:rPr>
        <w:t>lu krajach. Kluczową inicjatywą prowadzoną przez sektor energetyczny jest Partnerstwo</w:t>
      </w:r>
      <w:r w:rsidR="004D5AD1" w:rsidRPr="004D5AD1">
        <w:rPr>
          <w:noProof/>
        </w:rPr>
        <w:t xml:space="preserve"> w</w:t>
      </w:r>
      <w:r w:rsidR="004D5AD1">
        <w:rPr>
          <w:noProof/>
        </w:rPr>
        <w:t> </w:t>
      </w:r>
      <w:r w:rsidR="004D5AD1" w:rsidRPr="004D5AD1">
        <w:rPr>
          <w:noProof/>
        </w:rPr>
        <w:t>zak</w:t>
      </w:r>
      <w:r w:rsidR="006510BD" w:rsidRPr="004D5AD1">
        <w:rPr>
          <w:noProof/>
        </w:rPr>
        <w:t>resie metanu</w:t>
      </w:r>
      <w:r w:rsidR="004D5AD1" w:rsidRPr="004D5AD1">
        <w:rPr>
          <w:noProof/>
        </w:rPr>
        <w:t xml:space="preserve"> w</w:t>
      </w:r>
      <w:r w:rsidR="004D5AD1">
        <w:rPr>
          <w:noProof/>
        </w:rPr>
        <w:t> </w:t>
      </w:r>
      <w:r w:rsidR="004D5AD1" w:rsidRPr="004D5AD1">
        <w:rPr>
          <w:noProof/>
        </w:rPr>
        <w:t>sek</w:t>
      </w:r>
      <w:r w:rsidR="006510BD" w:rsidRPr="004D5AD1">
        <w:rPr>
          <w:noProof/>
        </w:rPr>
        <w:t>torze ropy naftowej</w:t>
      </w:r>
      <w:r w:rsidR="004D5AD1" w:rsidRPr="004D5AD1">
        <w:rPr>
          <w:noProof/>
        </w:rPr>
        <w:t xml:space="preserve"> i</w:t>
      </w:r>
      <w:r w:rsidR="004D5AD1">
        <w:rPr>
          <w:noProof/>
        </w:rPr>
        <w:t> </w:t>
      </w:r>
      <w:r w:rsidR="004D5AD1" w:rsidRPr="004D5AD1">
        <w:rPr>
          <w:noProof/>
        </w:rPr>
        <w:t>gaz</w:t>
      </w:r>
      <w:r w:rsidR="006510BD" w:rsidRPr="004D5AD1">
        <w:rPr>
          <w:noProof/>
        </w:rPr>
        <w:t>u („OGMP”) – dobrowolna inicjatywa</w:t>
      </w:r>
      <w:r w:rsidR="004D5AD1" w:rsidRPr="004D5AD1">
        <w:rPr>
          <w:noProof/>
        </w:rPr>
        <w:t xml:space="preserve"> w</w:t>
      </w:r>
      <w:r w:rsidR="004D5AD1">
        <w:rPr>
          <w:noProof/>
        </w:rPr>
        <w:t> </w:t>
      </w:r>
      <w:r w:rsidR="004D5AD1" w:rsidRPr="004D5AD1">
        <w:rPr>
          <w:noProof/>
        </w:rPr>
        <w:t>dzi</w:t>
      </w:r>
      <w:r w:rsidR="006510BD" w:rsidRPr="004D5AD1">
        <w:rPr>
          <w:noProof/>
        </w:rPr>
        <w:t>edzinie pomiarów</w:t>
      </w:r>
      <w:r w:rsidR="004D5AD1" w:rsidRPr="004D5AD1">
        <w:rPr>
          <w:noProof/>
        </w:rPr>
        <w:t xml:space="preserve"> i</w:t>
      </w:r>
      <w:r w:rsidR="004D5AD1">
        <w:rPr>
          <w:noProof/>
        </w:rPr>
        <w:t> </w:t>
      </w:r>
      <w:r w:rsidR="004D5AD1" w:rsidRPr="004D5AD1">
        <w:rPr>
          <w:noProof/>
        </w:rPr>
        <w:t>spr</w:t>
      </w:r>
      <w:r w:rsidR="006510BD" w:rsidRPr="004D5AD1">
        <w:rPr>
          <w:noProof/>
        </w:rPr>
        <w:t>awozdawczości</w:t>
      </w:r>
      <w:r w:rsidR="004D5AD1" w:rsidRPr="004D5AD1">
        <w:rPr>
          <w:noProof/>
        </w:rPr>
        <w:t xml:space="preserve"> w</w:t>
      </w:r>
      <w:r w:rsidR="004D5AD1">
        <w:rPr>
          <w:noProof/>
        </w:rPr>
        <w:t> </w:t>
      </w:r>
      <w:r w:rsidR="004D5AD1" w:rsidRPr="004D5AD1">
        <w:rPr>
          <w:noProof/>
        </w:rPr>
        <w:t>zak</w:t>
      </w:r>
      <w:r w:rsidR="006510BD" w:rsidRPr="004D5AD1">
        <w:rPr>
          <w:noProof/>
        </w:rPr>
        <w:t>resie emisji metanu, utworzona</w:t>
      </w:r>
      <w:r w:rsidR="004D5AD1" w:rsidRPr="004D5AD1">
        <w:rPr>
          <w:noProof/>
        </w:rPr>
        <w:t xml:space="preserve"> w</w:t>
      </w:r>
      <w:r w:rsidR="004D5AD1">
        <w:rPr>
          <w:noProof/>
        </w:rPr>
        <w:t> </w:t>
      </w:r>
      <w:r w:rsidR="004D5AD1" w:rsidRPr="004D5AD1">
        <w:rPr>
          <w:noProof/>
        </w:rPr>
        <w:t>2</w:t>
      </w:r>
      <w:r w:rsidR="006510BD" w:rsidRPr="004D5AD1">
        <w:rPr>
          <w:noProof/>
        </w:rPr>
        <w:t>014</w:t>
      </w:r>
      <w:r w:rsidR="004D5AD1" w:rsidRPr="004D5AD1">
        <w:rPr>
          <w:noProof/>
        </w:rPr>
        <w:t> </w:t>
      </w:r>
      <w:r w:rsidR="006510BD" w:rsidRPr="004D5AD1">
        <w:rPr>
          <w:noProof/>
        </w:rPr>
        <w:t>r. przez Program Narodów Zjednoczonych ds. Ochrony Środowiska (UNEP)</w:t>
      </w:r>
      <w:r w:rsidR="004D5AD1" w:rsidRPr="004D5AD1">
        <w:rPr>
          <w:noProof/>
        </w:rPr>
        <w:t xml:space="preserve"> i</w:t>
      </w:r>
      <w:r w:rsidR="004D5AD1">
        <w:rPr>
          <w:noProof/>
        </w:rPr>
        <w:t> </w:t>
      </w:r>
      <w:r w:rsidR="004D5AD1" w:rsidRPr="004D5AD1">
        <w:rPr>
          <w:noProof/>
        </w:rPr>
        <w:t>Koa</w:t>
      </w:r>
      <w:r w:rsidR="006510BD" w:rsidRPr="004D5AD1">
        <w:rPr>
          <w:noProof/>
        </w:rPr>
        <w:t>licję na rzecz klimatu</w:t>
      </w:r>
      <w:r w:rsidR="004D5AD1" w:rsidRPr="004D5AD1">
        <w:rPr>
          <w:noProof/>
        </w:rPr>
        <w:t xml:space="preserve"> i</w:t>
      </w:r>
      <w:r w:rsidR="004D5AD1">
        <w:rPr>
          <w:noProof/>
        </w:rPr>
        <w:t> </w:t>
      </w:r>
      <w:r w:rsidR="004D5AD1" w:rsidRPr="004D5AD1">
        <w:rPr>
          <w:noProof/>
        </w:rPr>
        <w:t>czy</w:t>
      </w:r>
      <w:r w:rsidR="006510BD" w:rsidRPr="004D5AD1">
        <w:rPr>
          <w:noProof/>
        </w:rPr>
        <w:t>stego powietrza (UNEP) –</w:t>
      </w:r>
      <w:r w:rsidR="004D5AD1" w:rsidRPr="004D5AD1">
        <w:rPr>
          <w:noProof/>
        </w:rPr>
        <w:t xml:space="preserve"> w</w:t>
      </w:r>
      <w:r w:rsidR="004D5AD1">
        <w:rPr>
          <w:noProof/>
        </w:rPr>
        <w:t> </w:t>
      </w:r>
      <w:r w:rsidR="004D5AD1" w:rsidRPr="004D5AD1">
        <w:rPr>
          <w:noProof/>
        </w:rPr>
        <w:t>któ</w:t>
      </w:r>
      <w:r w:rsidR="006510BD" w:rsidRPr="004D5AD1">
        <w:rPr>
          <w:noProof/>
        </w:rPr>
        <w:t>rego zarządzie reprezentowana jest Komisja. Głównym celem OGMP jest ustanawianie najlepszych praktyk na potrzeby zwiększenia dostępności globalnych informacji na temat kwantyfikacji emisji metanu oraz zarządzania nimi,</w:t>
      </w:r>
      <w:r w:rsidR="004D5AD1" w:rsidRPr="004D5AD1">
        <w:rPr>
          <w:noProof/>
        </w:rPr>
        <w:t xml:space="preserve"> a</w:t>
      </w:r>
      <w:r w:rsidR="004D5AD1">
        <w:rPr>
          <w:noProof/>
        </w:rPr>
        <w:t> </w:t>
      </w:r>
      <w:r w:rsidR="004D5AD1" w:rsidRPr="004D5AD1">
        <w:rPr>
          <w:noProof/>
        </w:rPr>
        <w:t>tak</w:t>
      </w:r>
      <w:r w:rsidR="006510BD" w:rsidRPr="004D5AD1">
        <w:rPr>
          <w:noProof/>
        </w:rPr>
        <w:t>że wspieranie działań ograniczających służących redukcji emisji metanu. Do OGMP przystąpiło do tej pory ponad 60 przedsiębiorstw odpowiedzialnych za ponad 30</w:t>
      </w:r>
      <w:r w:rsidR="004D5AD1" w:rsidRPr="004D5AD1">
        <w:rPr>
          <w:noProof/>
        </w:rPr>
        <w:t> </w:t>
      </w:r>
      <w:r w:rsidR="006510BD" w:rsidRPr="004D5AD1">
        <w:rPr>
          <w:noProof/>
        </w:rPr>
        <w:t>% światowej produkcji ropy naftowej</w:t>
      </w:r>
      <w:r w:rsidR="004D5AD1" w:rsidRPr="004D5AD1">
        <w:rPr>
          <w:noProof/>
        </w:rPr>
        <w:t xml:space="preserve"> i</w:t>
      </w:r>
      <w:r w:rsidR="004D5AD1">
        <w:rPr>
          <w:noProof/>
        </w:rPr>
        <w:t> </w:t>
      </w:r>
      <w:r w:rsidR="004D5AD1" w:rsidRPr="004D5AD1">
        <w:rPr>
          <w:noProof/>
        </w:rPr>
        <w:t>gaz</w:t>
      </w:r>
      <w:r w:rsidR="006510BD" w:rsidRPr="004D5AD1">
        <w:rPr>
          <w:noProof/>
        </w:rPr>
        <w:t>u</w:t>
      </w:r>
      <w:r w:rsidR="004D5AD1" w:rsidRPr="004D5AD1">
        <w:rPr>
          <w:noProof/>
        </w:rPr>
        <w:t xml:space="preserve"> i</w:t>
      </w:r>
      <w:r w:rsidR="004D5AD1">
        <w:rPr>
          <w:noProof/>
        </w:rPr>
        <w:t> </w:t>
      </w:r>
      <w:r w:rsidR="004D5AD1" w:rsidRPr="004D5AD1">
        <w:rPr>
          <w:noProof/>
        </w:rPr>
        <w:t>pos</w:t>
      </w:r>
      <w:r w:rsidR="006510BD" w:rsidRPr="004D5AD1">
        <w:rPr>
          <w:noProof/>
        </w:rPr>
        <w:t>iadających aktywa</w:t>
      </w:r>
      <w:r w:rsidR="004D5AD1" w:rsidRPr="004D5AD1">
        <w:rPr>
          <w:noProof/>
        </w:rPr>
        <w:t xml:space="preserve"> w</w:t>
      </w:r>
      <w:r w:rsidR="004D5AD1">
        <w:rPr>
          <w:noProof/>
        </w:rPr>
        <w:t> </w:t>
      </w:r>
      <w:r w:rsidR="004D5AD1" w:rsidRPr="004D5AD1">
        <w:rPr>
          <w:noProof/>
        </w:rPr>
        <w:t>tym</w:t>
      </w:r>
      <w:r w:rsidR="006510BD" w:rsidRPr="004D5AD1">
        <w:rPr>
          <w:noProof/>
        </w:rPr>
        <w:t xml:space="preserve"> sektorze na pięciu kontynentach</w:t>
      </w:r>
      <w:r w:rsidR="004D5AD1" w:rsidRPr="004D5AD1">
        <w:rPr>
          <w:noProof/>
        </w:rPr>
        <w:t>. W</w:t>
      </w:r>
      <w:r w:rsidR="004D5AD1">
        <w:rPr>
          <w:noProof/>
        </w:rPr>
        <w:t> </w:t>
      </w:r>
      <w:r w:rsidR="004D5AD1" w:rsidRPr="004D5AD1">
        <w:rPr>
          <w:noProof/>
        </w:rPr>
        <w:t>pra</w:t>
      </w:r>
      <w:r w:rsidR="006510BD" w:rsidRPr="004D5AD1">
        <w:rPr>
          <w:noProof/>
        </w:rPr>
        <w:t>ce OGMP nad opracowywaniem norm</w:t>
      </w:r>
      <w:r w:rsidR="004D5AD1" w:rsidRPr="004D5AD1">
        <w:rPr>
          <w:noProof/>
        </w:rPr>
        <w:t xml:space="preserve"> i</w:t>
      </w:r>
      <w:r w:rsidR="004D5AD1">
        <w:rPr>
          <w:noProof/>
        </w:rPr>
        <w:t> </w:t>
      </w:r>
      <w:r w:rsidR="004D5AD1" w:rsidRPr="004D5AD1">
        <w:rPr>
          <w:noProof/>
        </w:rPr>
        <w:t>met</w:t>
      </w:r>
      <w:r w:rsidR="006510BD" w:rsidRPr="004D5AD1">
        <w:rPr>
          <w:noProof/>
        </w:rPr>
        <w:t>odologii zaangażowane są rządy, społeczeństwo obywatelskie</w:t>
      </w:r>
      <w:r w:rsidR="004D5AD1" w:rsidRPr="004D5AD1">
        <w:rPr>
          <w:noProof/>
        </w:rPr>
        <w:t xml:space="preserve"> i</w:t>
      </w:r>
      <w:r w:rsidR="004D5AD1">
        <w:rPr>
          <w:noProof/>
        </w:rPr>
        <w:t> </w:t>
      </w:r>
      <w:r w:rsidR="004D5AD1" w:rsidRPr="004D5AD1">
        <w:rPr>
          <w:noProof/>
        </w:rPr>
        <w:t>prz</w:t>
      </w:r>
      <w:r w:rsidR="006510BD" w:rsidRPr="004D5AD1">
        <w:rPr>
          <w:noProof/>
        </w:rPr>
        <w:t>edsiębiorstwa. Ramy OGMP 2.0 są najnowszą wersją dynamicznej normy emisji metanu</w:t>
      </w:r>
      <w:r w:rsidR="004D5AD1" w:rsidRPr="004D5AD1">
        <w:rPr>
          <w:noProof/>
        </w:rPr>
        <w:t xml:space="preserve"> i</w:t>
      </w:r>
      <w:r w:rsidR="004D5AD1">
        <w:rPr>
          <w:noProof/>
        </w:rPr>
        <w:t> </w:t>
      </w:r>
      <w:r w:rsidR="004D5AD1" w:rsidRPr="004D5AD1">
        <w:rPr>
          <w:noProof/>
        </w:rPr>
        <w:t>mog</w:t>
      </w:r>
      <w:r w:rsidR="006510BD" w:rsidRPr="004D5AD1">
        <w:rPr>
          <w:noProof/>
        </w:rPr>
        <w:t>ą stanowić odpowiednią podstawę norm emisji metanu opartych na solidnych normach naukowych.</w:t>
      </w:r>
    </w:p>
    <w:p w14:paraId="4C651C49" w14:textId="44EB913B" w:rsidR="00C34922" w:rsidRPr="004D5AD1" w:rsidRDefault="00DE3FFB" w:rsidP="00DE3FFB">
      <w:pPr>
        <w:pStyle w:val="ManualConsidrant"/>
        <w:rPr>
          <w:noProof/>
        </w:rPr>
      </w:pPr>
      <w:r w:rsidRPr="00DE3FFB">
        <w:t>(24)</w:t>
      </w:r>
      <w:r w:rsidRPr="00DE3FFB">
        <w:tab/>
      </w:r>
      <w:r w:rsidR="00492B5D" w:rsidRPr="004D5AD1">
        <w:rPr>
          <w:noProof/>
        </w:rPr>
        <w:t>W tym kontekście konieczna jest poprawa pomiaru</w:t>
      </w:r>
      <w:r w:rsidR="004D5AD1" w:rsidRPr="004D5AD1">
        <w:rPr>
          <w:noProof/>
        </w:rPr>
        <w:t xml:space="preserve"> i</w:t>
      </w:r>
      <w:r w:rsidR="004D5AD1">
        <w:rPr>
          <w:noProof/>
        </w:rPr>
        <w:t> </w:t>
      </w:r>
      <w:r w:rsidR="004D5AD1" w:rsidRPr="004D5AD1">
        <w:rPr>
          <w:noProof/>
        </w:rPr>
        <w:t>jak</w:t>
      </w:r>
      <w:r w:rsidR="00492B5D" w:rsidRPr="004D5AD1">
        <w:rPr>
          <w:noProof/>
        </w:rPr>
        <w:t>ości zgłaszanych danych dotyczących emisji metanu,</w:t>
      </w:r>
      <w:r w:rsidR="004D5AD1" w:rsidRPr="004D5AD1">
        <w:rPr>
          <w:noProof/>
        </w:rPr>
        <w:t xml:space="preserve"> w</w:t>
      </w:r>
      <w:r w:rsidR="004D5AD1">
        <w:rPr>
          <w:noProof/>
        </w:rPr>
        <w:t> </w:t>
      </w:r>
      <w:r w:rsidR="004D5AD1" w:rsidRPr="004D5AD1">
        <w:rPr>
          <w:noProof/>
        </w:rPr>
        <w:t>tym</w:t>
      </w:r>
      <w:r w:rsidR="00492B5D" w:rsidRPr="004D5AD1">
        <w:rPr>
          <w:noProof/>
        </w:rPr>
        <w:t xml:space="preserve"> danych dotyczących głównych źródeł emisji metanu związanych</w:t>
      </w:r>
      <w:r w:rsidR="004D5AD1" w:rsidRPr="004D5AD1">
        <w:rPr>
          <w:noProof/>
        </w:rPr>
        <w:t xml:space="preserve"> z</w:t>
      </w:r>
      <w:r w:rsidR="004D5AD1">
        <w:rPr>
          <w:noProof/>
        </w:rPr>
        <w:t> </w:t>
      </w:r>
      <w:r w:rsidR="004D5AD1" w:rsidRPr="004D5AD1">
        <w:rPr>
          <w:noProof/>
        </w:rPr>
        <w:t>ene</w:t>
      </w:r>
      <w:r w:rsidR="00492B5D" w:rsidRPr="004D5AD1">
        <w:rPr>
          <w:noProof/>
        </w:rPr>
        <w:t>rgią produkowaną</w:t>
      </w:r>
      <w:r w:rsidR="004D5AD1" w:rsidRPr="004D5AD1">
        <w:rPr>
          <w:noProof/>
        </w:rPr>
        <w:t xml:space="preserve"> i</w:t>
      </w:r>
      <w:r w:rsidR="004D5AD1">
        <w:rPr>
          <w:noProof/>
        </w:rPr>
        <w:t> </w:t>
      </w:r>
      <w:r w:rsidR="004D5AD1" w:rsidRPr="004D5AD1">
        <w:rPr>
          <w:noProof/>
        </w:rPr>
        <w:t>zuż</w:t>
      </w:r>
      <w:r w:rsidR="00492B5D" w:rsidRPr="004D5AD1">
        <w:rPr>
          <w:noProof/>
        </w:rPr>
        <w:t>ywaną</w:t>
      </w:r>
      <w:r w:rsidR="004D5AD1" w:rsidRPr="004D5AD1">
        <w:rPr>
          <w:noProof/>
        </w:rPr>
        <w:t xml:space="preserve"> w</w:t>
      </w:r>
      <w:r w:rsidR="004D5AD1">
        <w:rPr>
          <w:noProof/>
        </w:rPr>
        <w:t> </w:t>
      </w:r>
      <w:r w:rsidR="004D5AD1" w:rsidRPr="004D5AD1">
        <w:rPr>
          <w:noProof/>
        </w:rPr>
        <w:t>Uni</w:t>
      </w:r>
      <w:r w:rsidR="00492B5D" w:rsidRPr="004D5AD1">
        <w:rPr>
          <w:noProof/>
        </w:rPr>
        <w:t>i. Ponadto należy zapewnić dostępność danych na poziomie źródła oraz rzetelną kwantyfikację emisji, co pozwoli zwiększyć wiarygodność raportów,</w:t>
      </w:r>
      <w:r w:rsidR="004D5AD1" w:rsidRPr="004D5AD1">
        <w:rPr>
          <w:noProof/>
        </w:rPr>
        <w:t xml:space="preserve"> a</w:t>
      </w:r>
      <w:r w:rsidR="004D5AD1">
        <w:rPr>
          <w:noProof/>
        </w:rPr>
        <w:t> </w:t>
      </w:r>
      <w:r w:rsidR="004D5AD1" w:rsidRPr="004D5AD1">
        <w:rPr>
          <w:noProof/>
        </w:rPr>
        <w:t>tak</w:t>
      </w:r>
      <w:r w:rsidR="00492B5D" w:rsidRPr="004D5AD1">
        <w:rPr>
          <w:noProof/>
        </w:rPr>
        <w:t>że rozszerzyć zakres odpowiednich środków ograniczających emisje.</w:t>
      </w:r>
    </w:p>
    <w:p w14:paraId="5DFB0A10" w14:textId="38C3A707" w:rsidR="00C34922" w:rsidRPr="004D5AD1" w:rsidRDefault="00DE3FFB" w:rsidP="00DE3FFB">
      <w:pPr>
        <w:pStyle w:val="ManualConsidrant"/>
        <w:rPr>
          <w:noProof/>
        </w:rPr>
      </w:pPr>
      <w:r w:rsidRPr="00DE3FFB">
        <w:t>(25)</w:t>
      </w:r>
      <w:r w:rsidRPr="00DE3FFB">
        <w:tab/>
      </w:r>
      <w:r w:rsidR="00F42568" w:rsidRPr="004D5AD1">
        <w:rPr>
          <w:noProof/>
        </w:rPr>
        <w:t>W celu zapewnienia skuteczności pomiarów</w:t>
      </w:r>
      <w:r w:rsidR="004D5AD1" w:rsidRPr="004D5AD1">
        <w:rPr>
          <w:noProof/>
        </w:rPr>
        <w:t xml:space="preserve"> i</w:t>
      </w:r>
      <w:r w:rsidR="004D5AD1">
        <w:rPr>
          <w:noProof/>
        </w:rPr>
        <w:t> </w:t>
      </w:r>
      <w:r w:rsidR="004D5AD1" w:rsidRPr="004D5AD1">
        <w:rPr>
          <w:noProof/>
        </w:rPr>
        <w:t>rap</w:t>
      </w:r>
      <w:r w:rsidR="00F42568" w:rsidRPr="004D5AD1">
        <w:rPr>
          <w:noProof/>
        </w:rPr>
        <w:t>ortowania przedsiębiorstwa naftowe</w:t>
      </w:r>
      <w:r w:rsidR="004D5AD1" w:rsidRPr="004D5AD1">
        <w:rPr>
          <w:noProof/>
        </w:rPr>
        <w:t xml:space="preserve"> i</w:t>
      </w:r>
      <w:r w:rsidR="004D5AD1">
        <w:rPr>
          <w:noProof/>
        </w:rPr>
        <w:t> </w:t>
      </w:r>
      <w:r w:rsidR="004D5AD1" w:rsidRPr="004D5AD1">
        <w:rPr>
          <w:noProof/>
        </w:rPr>
        <w:t>gaz</w:t>
      </w:r>
      <w:r w:rsidR="00F42568" w:rsidRPr="004D5AD1">
        <w:rPr>
          <w:noProof/>
        </w:rPr>
        <w:t>owe powinny być zobowiązane do pomiaru</w:t>
      </w:r>
      <w:r w:rsidR="004D5AD1" w:rsidRPr="004D5AD1">
        <w:rPr>
          <w:noProof/>
        </w:rPr>
        <w:t xml:space="preserve"> i</w:t>
      </w:r>
      <w:r w:rsidR="004D5AD1">
        <w:rPr>
          <w:noProof/>
        </w:rPr>
        <w:t> </w:t>
      </w:r>
      <w:r w:rsidR="004D5AD1" w:rsidRPr="004D5AD1">
        <w:rPr>
          <w:noProof/>
        </w:rPr>
        <w:t>rap</w:t>
      </w:r>
      <w:r w:rsidR="00F42568" w:rsidRPr="004D5AD1">
        <w:rPr>
          <w:noProof/>
        </w:rPr>
        <w:t>ortowania emisji metanu według źródeł oraz do udostępniania państwom członkowskim zagregowanych danych, tak aby państwa członkowskie mogły zwiększyć dokładność swoich raportów na temat wykazów. Ponadto konieczna jest skuteczna weryfikacja danych przekazywanych przez przedsiębiorstwa oraz, aby zminimalizować obciążenie administracyjne dla operatorów, raporty powinny być sporządzane</w:t>
      </w:r>
      <w:r w:rsidR="004D5AD1" w:rsidRPr="004D5AD1">
        <w:rPr>
          <w:noProof/>
        </w:rPr>
        <w:t xml:space="preserve"> w</w:t>
      </w:r>
      <w:r w:rsidR="004D5AD1">
        <w:rPr>
          <w:noProof/>
        </w:rPr>
        <w:t> </w:t>
      </w:r>
      <w:r w:rsidR="004D5AD1" w:rsidRPr="004D5AD1">
        <w:rPr>
          <w:noProof/>
        </w:rPr>
        <w:t>uję</w:t>
      </w:r>
      <w:r w:rsidR="00F42568" w:rsidRPr="004D5AD1">
        <w:rPr>
          <w:noProof/>
        </w:rPr>
        <w:t>ciu rocznym.</w:t>
      </w:r>
    </w:p>
    <w:p w14:paraId="02BDF716" w14:textId="58CC82D2" w:rsidR="00C34922" w:rsidRPr="004D5AD1" w:rsidRDefault="00DE3FFB" w:rsidP="00DE3FFB">
      <w:pPr>
        <w:pStyle w:val="ManualConsidrant"/>
        <w:rPr>
          <w:noProof/>
        </w:rPr>
      </w:pPr>
      <w:r w:rsidRPr="00DE3FFB">
        <w:t>(26)</w:t>
      </w:r>
      <w:r w:rsidRPr="00DE3FFB">
        <w:tab/>
      </w:r>
      <w:r w:rsidR="00C34922" w:rsidRPr="004D5AD1">
        <w:rPr>
          <w:noProof/>
          <w:u w:color="000000"/>
          <w:bdr w:val="nil"/>
        </w:rPr>
        <w:t>Niniejsze rozporządzenie opiera się na ramach OGMP 2.0</w:t>
      </w:r>
      <w:r w:rsidR="004D5AD1" w:rsidRPr="004D5AD1">
        <w:rPr>
          <w:noProof/>
          <w:u w:color="000000"/>
          <w:bdr w:val="nil"/>
        </w:rPr>
        <w:t xml:space="preserve"> w</w:t>
      </w:r>
      <w:r w:rsidR="004D5AD1">
        <w:rPr>
          <w:noProof/>
          <w:u w:color="000000"/>
          <w:bdr w:val="nil"/>
        </w:rPr>
        <w:t> </w:t>
      </w:r>
      <w:r w:rsidR="004D5AD1" w:rsidRPr="004D5AD1">
        <w:rPr>
          <w:noProof/>
          <w:u w:color="000000"/>
          <w:bdr w:val="nil"/>
        </w:rPr>
        <w:t>zak</w:t>
      </w:r>
      <w:r w:rsidR="00C34922" w:rsidRPr="004D5AD1">
        <w:rPr>
          <w:noProof/>
          <w:u w:color="000000"/>
          <w:bdr w:val="nil"/>
        </w:rPr>
        <w:t>resie,</w:t>
      </w:r>
      <w:r w:rsidR="004D5AD1" w:rsidRPr="004D5AD1">
        <w:rPr>
          <w:noProof/>
          <w:u w:color="000000"/>
          <w:bdr w:val="nil"/>
        </w:rPr>
        <w:t xml:space="preserve"> w</w:t>
      </w:r>
      <w:r w:rsidR="004D5AD1">
        <w:rPr>
          <w:noProof/>
          <w:u w:color="000000"/>
          <w:bdr w:val="nil"/>
        </w:rPr>
        <w:t> </w:t>
      </w:r>
      <w:r w:rsidR="004D5AD1" w:rsidRPr="004D5AD1">
        <w:rPr>
          <w:noProof/>
          <w:u w:color="000000"/>
          <w:bdr w:val="nil"/>
        </w:rPr>
        <w:t>jak</w:t>
      </w:r>
      <w:r w:rsidR="00C34922" w:rsidRPr="004D5AD1">
        <w:rPr>
          <w:noProof/>
          <w:u w:color="000000"/>
          <w:bdr w:val="nil"/>
        </w:rPr>
        <w:t>im spełniają one kryteria,</w:t>
      </w:r>
      <w:r w:rsidR="004D5AD1" w:rsidRPr="004D5AD1">
        <w:rPr>
          <w:noProof/>
          <w:u w:color="000000"/>
          <w:bdr w:val="nil"/>
        </w:rPr>
        <w:t xml:space="preserve"> o</w:t>
      </w:r>
      <w:r w:rsidR="004D5AD1">
        <w:rPr>
          <w:noProof/>
          <w:u w:color="000000"/>
          <w:bdr w:val="nil"/>
        </w:rPr>
        <w:t> </w:t>
      </w:r>
      <w:r w:rsidR="004D5AD1" w:rsidRPr="004D5AD1">
        <w:rPr>
          <w:noProof/>
          <w:u w:color="000000"/>
          <w:bdr w:val="nil"/>
        </w:rPr>
        <w:t>któ</w:t>
      </w:r>
      <w:r w:rsidR="00C34922" w:rsidRPr="004D5AD1">
        <w:rPr>
          <w:noProof/>
          <w:u w:color="000000"/>
          <w:bdr w:val="nil"/>
        </w:rPr>
        <w:t>rych mowa</w:t>
      </w:r>
      <w:r w:rsidR="004D5AD1" w:rsidRPr="004D5AD1">
        <w:rPr>
          <w:noProof/>
          <w:u w:color="000000"/>
          <w:bdr w:val="nil"/>
        </w:rPr>
        <w:t xml:space="preserve"> w</w:t>
      </w:r>
      <w:r w:rsidR="004D5AD1">
        <w:rPr>
          <w:noProof/>
          <w:u w:color="000000"/>
          <w:bdr w:val="nil"/>
        </w:rPr>
        <w:t> </w:t>
      </w:r>
      <w:r w:rsidR="004D5AD1" w:rsidRPr="004D5AD1">
        <w:rPr>
          <w:noProof/>
          <w:u w:color="000000"/>
          <w:bdr w:val="nil"/>
        </w:rPr>
        <w:t>mot</w:t>
      </w:r>
      <w:r w:rsidR="00C34922" w:rsidRPr="004D5AD1">
        <w:rPr>
          <w:noProof/>
          <w:u w:color="000000"/>
          <w:bdr w:val="nil"/>
        </w:rPr>
        <w:t>ywach 24</w:t>
      </w:r>
      <w:r w:rsidR="004D5AD1" w:rsidRPr="004D5AD1">
        <w:rPr>
          <w:noProof/>
          <w:u w:color="000000"/>
          <w:bdr w:val="nil"/>
        </w:rPr>
        <w:t xml:space="preserve"> i</w:t>
      </w:r>
      <w:r w:rsidR="004D5AD1">
        <w:rPr>
          <w:noProof/>
          <w:u w:color="000000"/>
          <w:bdr w:val="nil"/>
        </w:rPr>
        <w:t> </w:t>
      </w:r>
      <w:r w:rsidR="004D5AD1" w:rsidRPr="004D5AD1">
        <w:rPr>
          <w:noProof/>
          <w:u w:color="000000"/>
          <w:bdr w:val="nil"/>
        </w:rPr>
        <w:t>2</w:t>
      </w:r>
      <w:r w:rsidR="00C34922" w:rsidRPr="004D5AD1">
        <w:rPr>
          <w:noProof/>
          <w:u w:color="000000"/>
          <w:bdr w:val="nil"/>
        </w:rPr>
        <w:t xml:space="preserve">5, </w:t>
      </w:r>
      <w:r w:rsidR="00C34922" w:rsidRPr="004D5AD1">
        <w:rPr>
          <w:noProof/>
        </w:rPr>
        <w:t>aby</w:t>
      </w:r>
      <w:r w:rsidR="00C34922" w:rsidRPr="004D5AD1">
        <w:rPr>
          <w:noProof/>
          <w:u w:color="000000"/>
          <w:bdr w:val="nil"/>
        </w:rPr>
        <w:t xml:space="preserve"> przyczynić się do gromadzenia </w:t>
      </w:r>
      <w:r w:rsidR="00C34922" w:rsidRPr="004D5AD1">
        <w:rPr>
          <w:noProof/>
        </w:rPr>
        <w:t>wiarygodnych</w:t>
      </w:r>
      <w:r w:rsidR="004D5AD1" w:rsidRPr="004D5AD1">
        <w:rPr>
          <w:noProof/>
        </w:rPr>
        <w:t xml:space="preserve"> i</w:t>
      </w:r>
      <w:r w:rsidR="004D5AD1">
        <w:rPr>
          <w:noProof/>
        </w:rPr>
        <w:t> </w:t>
      </w:r>
      <w:r w:rsidR="004D5AD1" w:rsidRPr="004D5AD1">
        <w:rPr>
          <w:noProof/>
        </w:rPr>
        <w:t>rze</w:t>
      </w:r>
      <w:r w:rsidR="00C34922" w:rsidRPr="004D5AD1">
        <w:rPr>
          <w:noProof/>
        </w:rPr>
        <w:t>telnych danych, które stanowiłyby wystarczającą podstawę monitorowania emisji metanu,</w:t>
      </w:r>
      <w:r w:rsidR="004D5AD1" w:rsidRPr="004D5AD1">
        <w:rPr>
          <w:noProof/>
        </w:rPr>
        <w:t xml:space="preserve"> a</w:t>
      </w:r>
      <w:r w:rsidR="004D5AD1">
        <w:rPr>
          <w:noProof/>
        </w:rPr>
        <w:t> </w:t>
      </w:r>
      <w:r w:rsidR="004D5AD1" w:rsidRPr="004D5AD1">
        <w:rPr>
          <w:noProof/>
        </w:rPr>
        <w:t>w</w:t>
      </w:r>
      <w:r w:rsidR="004D5AD1">
        <w:rPr>
          <w:noProof/>
        </w:rPr>
        <w:t> </w:t>
      </w:r>
      <w:r w:rsidR="004D5AD1" w:rsidRPr="004D5AD1">
        <w:rPr>
          <w:noProof/>
        </w:rPr>
        <w:t>raz</w:t>
      </w:r>
      <w:r w:rsidR="00C34922" w:rsidRPr="004D5AD1">
        <w:rPr>
          <w:noProof/>
        </w:rPr>
        <w:t>ie potrzeby – podejmowania dodatkowych działań</w:t>
      </w:r>
      <w:r w:rsidR="004D5AD1" w:rsidRPr="004D5AD1">
        <w:rPr>
          <w:noProof/>
        </w:rPr>
        <w:t xml:space="preserve"> w</w:t>
      </w:r>
      <w:r w:rsidR="004D5AD1">
        <w:rPr>
          <w:noProof/>
        </w:rPr>
        <w:t> </w:t>
      </w:r>
      <w:r w:rsidR="004D5AD1" w:rsidRPr="004D5AD1">
        <w:rPr>
          <w:noProof/>
        </w:rPr>
        <w:t>cel</w:t>
      </w:r>
      <w:r w:rsidR="00C34922" w:rsidRPr="004D5AD1">
        <w:rPr>
          <w:noProof/>
        </w:rPr>
        <w:t xml:space="preserve">u dalszego ograniczania emisji metanu. </w:t>
      </w:r>
    </w:p>
    <w:p w14:paraId="7DC650B9" w14:textId="3B94DC19" w:rsidR="00C34922" w:rsidRPr="004D5AD1" w:rsidRDefault="00DE3FFB" w:rsidP="00DE3FFB">
      <w:pPr>
        <w:pStyle w:val="ManualConsidrant"/>
        <w:rPr>
          <w:noProof/>
          <w:u w:color="000000"/>
          <w:bdr w:val="nil"/>
        </w:rPr>
      </w:pPr>
      <w:r w:rsidRPr="00DE3FFB">
        <w:t>(27)</w:t>
      </w:r>
      <w:r w:rsidRPr="00DE3FFB">
        <w:tab/>
      </w:r>
      <w:r w:rsidR="00C34922" w:rsidRPr="004D5AD1">
        <w:rPr>
          <w:noProof/>
          <w:u w:color="000000"/>
          <w:bdr w:val="nil"/>
        </w:rPr>
        <w:t>Ramy OGMP 2.0 mają pięć poziomów raportowania. Raportowanie na poziomie źródła rozpoczyna się na poziomie 3, który uważa się za porównywalny</w:t>
      </w:r>
      <w:r w:rsidR="004D5AD1" w:rsidRPr="004D5AD1">
        <w:rPr>
          <w:noProof/>
          <w:u w:color="000000"/>
          <w:bdr w:val="nil"/>
        </w:rPr>
        <w:t xml:space="preserve"> z</w:t>
      </w:r>
      <w:r w:rsidR="004D5AD1">
        <w:rPr>
          <w:noProof/>
          <w:u w:color="000000"/>
          <w:bdr w:val="nil"/>
        </w:rPr>
        <w:t> </w:t>
      </w:r>
      <w:r w:rsidR="004D5AD1" w:rsidRPr="004D5AD1">
        <w:rPr>
          <w:noProof/>
          <w:u w:color="000000"/>
          <w:bdr w:val="nil"/>
        </w:rPr>
        <w:t>poz</w:t>
      </w:r>
      <w:r w:rsidR="00C34922" w:rsidRPr="004D5AD1">
        <w:rPr>
          <w:noProof/>
          <w:u w:color="000000"/>
          <w:bdr w:val="nil"/>
        </w:rPr>
        <w:t>iomem 3 UNFCCC. Umożliwia on wykorzystywanie ogólnych współczynników emisji. Raportowanie na poziomie 4 OGMP 2.0 wymaga bezpośrednich pomiarów emisji metanu na poziomie źródła. Umożliwia wykorzystywanie szczególnych współczynników emisji. Raportowanie na poziomie 5 OGMP 2.0 wymaga uzupełnienia</w:t>
      </w:r>
      <w:r w:rsidR="004D5AD1" w:rsidRPr="004D5AD1">
        <w:rPr>
          <w:noProof/>
          <w:u w:color="000000"/>
          <w:bdr w:val="nil"/>
        </w:rPr>
        <w:t xml:space="preserve"> o</w:t>
      </w:r>
      <w:r w:rsidR="004D5AD1">
        <w:rPr>
          <w:noProof/>
          <w:u w:color="000000"/>
          <w:bdr w:val="nil"/>
        </w:rPr>
        <w:t> </w:t>
      </w:r>
      <w:r w:rsidR="004D5AD1" w:rsidRPr="004D5AD1">
        <w:rPr>
          <w:noProof/>
          <w:u w:color="000000"/>
          <w:bdr w:val="nil"/>
        </w:rPr>
        <w:t>dod</w:t>
      </w:r>
      <w:r w:rsidR="00C34922" w:rsidRPr="004D5AD1">
        <w:rPr>
          <w:noProof/>
          <w:u w:color="000000"/>
          <w:bdr w:val="nil"/>
        </w:rPr>
        <w:t>atkowe pomiary na poziomie lokalizacji. Ponadto ramy OGMP 2.0 wymagają, aby przedsiębiorstwa zgłaszały bezpośrednie pomiary emisji metanu</w:t>
      </w:r>
      <w:r w:rsidR="004D5AD1" w:rsidRPr="004D5AD1">
        <w:rPr>
          <w:noProof/>
          <w:u w:color="000000"/>
          <w:bdr w:val="nil"/>
        </w:rPr>
        <w:t xml:space="preserve"> w</w:t>
      </w:r>
      <w:r w:rsidR="004D5AD1">
        <w:rPr>
          <w:noProof/>
          <w:u w:color="000000"/>
          <w:bdr w:val="nil"/>
        </w:rPr>
        <w:t> </w:t>
      </w:r>
      <w:r w:rsidR="004D5AD1" w:rsidRPr="004D5AD1">
        <w:rPr>
          <w:noProof/>
          <w:u w:color="000000"/>
          <w:bdr w:val="nil"/>
        </w:rPr>
        <w:t>cią</w:t>
      </w:r>
      <w:r w:rsidR="00C34922" w:rsidRPr="004D5AD1">
        <w:rPr>
          <w:noProof/>
          <w:u w:color="000000"/>
          <w:bdr w:val="nil"/>
        </w:rPr>
        <w:t>gu trzech lat od przystąpienia do OGMP 2.0</w:t>
      </w:r>
      <w:r w:rsidR="004D5AD1" w:rsidRPr="004D5AD1">
        <w:rPr>
          <w:noProof/>
          <w:u w:color="000000"/>
          <w:bdr w:val="nil"/>
        </w:rPr>
        <w:t xml:space="preserve"> w</w:t>
      </w:r>
      <w:r w:rsidR="004D5AD1">
        <w:rPr>
          <w:noProof/>
          <w:u w:color="000000"/>
          <w:bdr w:val="nil"/>
        </w:rPr>
        <w:t> </w:t>
      </w:r>
      <w:r w:rsidR="004D5AD1" w:rsidRPr="004D5AD1">
        <w:rPr>
          <w:noProof/>
          <w:u w:color="000000"/>
          <w:bdr w:val="nil"/>
        </w:rPr>
        <w:t>prz</w:t>
      </w:r>
      <w:r w:rsidR="00C34922" w:rsidRPr="004D5AD1">
        <w:rPr>
          <w:noProof/>
          <w:u w:color="000000"/>
          <w:bdr w:val="nil"/>
        </w:rPr>
        <w:t>ypadku aktywów eksploatowanych</w:t>
      </w:r>
      <w:r w:rsidR="004D5AD1" w:rsidRPr="004D5AD1">
        <w:rPr>
          <w:noProof/>
          <w:u w:color="000000"/>
          <w:bdr w:val="nil"/>
        </w:rPr>
        <w:t xml:space="preserve"> i</w:t>
      </w:r>
      <w:r w:rsidR="004D5AD1">
        <w:rPr>
          <w:noProof/>
          <w:u w:color="000000"/>
          <w:bdr w:val="nil"/>
        </w:rPr>
        <w:t> </w:t>
      </w:r>
      <w:r w:rsidR="004D5AD1" w:rsidRPr="004D5AD1">
        <w:rPr>
          <w:noProof/>
          <w:u w:color="000000"/>
          <w:bdr w:val="nil"/>
        </w:rPr>
        <w:t>w</w:t>
      </w:r>
      <w:r w:rsidR="004D5AD1">
        <w:rPr>
          <w:noProof/>
          <w:u w:color="000000"/>
          <w:bdr w:val="nil"/>
        </w:rPr>
        <w:t> </w:t>
      </w:r>
      <w:r w:rsidR="004D5AD1" w:rsidRPr="004D5AD1">
        <w:rPr>
          <w:noProof/>
          <w:u w:color="000000"/>
          <w:bdr w:val="nil"/>
        </w:rPr>
        <w:t>cią</w:t>
      </w:r>
      <w:r w:rsidR="00C34922" w:rsidRPr="004D5AD1">
        <w:rPr>
          <w:noProof/>
          <w:u w:color="000000"/>
          <w:bdr w:val="nil"/>
        </w:rPr>
        <w:t>gu pięciu lat</w:t>
      </w:r>
      <w:r w:rsidR="004D5AD1" w:rsidRPr="004D5AD1">
        <w:rPr>
          <w:noProof/>
          <w:u w:color="000000"/>
          <w:bdr w:val="nil"/>
        </w:rPr>
        <w:t xml:space="preserve"> w</w:t>
      </w:r>
      <w:r w:rsidR="004D5AD1">
        <w:rPr>
          <w:noProof/>
          <w:u w:color="000000"/>
          <w:bdr w:val="nil"/>
        </w:rPr>
        <w:t> </w:t>
      </w:r>
      <w:r w:rsidR="004D5AD1" w:rsidRPr="004D5AD1">
        <w:rPr>
          <w:noProof/>
          <w:u w:color="000000"/>
          <w:bdr w:val="nil"/>
        </w:rPr>
        <w:t>prz</w:t>
      </w:r>
      <w:r w:rsidR="00C34922" w:rsidRPr="004D5AD1">
        <w:rPr>
          <w:noProof/>
          <w:u w:color="000000"/>
          <w:bdr w:val="nil"/>
        </w:rPr>
        <w:t>ypad</w:t>
      </w:r>
      <w:r w:rsidR="00805D0B" w:rsidRPr="004D5AD1">
        <w:rPr>
          <w:noProof/>
          <w:u w:color="000000"/>
          <w:bdr w:val="nil"/>
        </w:rPr>
        <w:t xml:space="preserve">ku aktywów nieeksploatowanych. </w:t>
      </w:r>
      <w:r w:rsidR="00C34922" w:rsidRPr="004D5AD1">
        <w:rPr>
          <w:noProof/>
          <w:u w:color="000000"/>
          <w:bdr w:val="nil"/>
        </w:rPr>
        <w:t>Na podstawie podejścia przyjętego w OGMP 2.0</w:t>
      </w:r>
      <w:r w:rsidR="004D5AD1" w:rsidRPr="004D5AD1">
        <w:rPr>
          <w:noProof/>
          <w:u w:color="000000"/>
          <w:bdr w:val="nil"/>
        </w:rPr>
        <w:t xml:space="preserve"> w</w:t>
      </w:r>
      <w:r w:rsidR="004D5AD1">
        <w:rPr>
          <w:noProof/>
          <w:u w:color="000000"/>
          <w:bdr w:val="nil"/>
        </w:rPr>
        <w:t> </w:t>
      </w:r>
      <w:r w:rsidR="004D5AD1" w:rsidRPr="004D5AD1">
        <w:rPr>
          <w:noProof/>
          <w:u w:color="000000"/>
          <w:bdr w:val="nil"/>
        </w:rPr>
        <w:t>odn</w:t>
      </w:r>
      <w:r w:rsidR="00C34922" w:rsidRPr="004D5AD1">
        <w:rPr>
          <w:noProof/>
          <w:u w:color="000000"/>
          <w:bdr w:val="nil"/>
        </w:rPr>
        <w:t>iesieniu do raportowania na poziomie źródła oraz biorąc pod uwagę fakt, że duża liczba przedsiębiorstw unijnych przystąpiła już do OGMP 2.0</w:t>
      </w:r>
      <w:r w:rsidR="004D5AD1" w:rsidRPr="004D5AD1">
        <w:rPr>
          <w:noProof/>
          <w:u w:color="000000"/>
          <w:bdr w:val="nil"/>
        </w:rPr>
        <w:t xml:space="preserve"> w</w:t>
      </w:r>
      <w:r w:rsidR="004D5AD1">
        <w:rPr>
          <w:noProof/>
          <w:u w:color="000000"/>
          <w:bdr w:val="nil"/>
        </w:rPr>
        <w:t> </w:t>
      </w:r>
      <w:r w:rsidR="004D5AD1" w:rsidRPr="004D5AD1">
        <w:rPr>
          <w:noProof/>
          <w:u w:color="000000"/>
          <w:bdr w:val="nil"/>
        </w:rPr>
        <w:t>2</w:t>
      </w:r>
      <w:r w:rsidR="00C34922" w:rsidRPr="004D5AD1">
        <w:rPr>
          <w:noProof/>
          <w:u w:color="000000"/>
          <w:bdr w:val="nil"/>
        </w:rPr>
        <w:t>021</w:t>
      </w:r>
      <w:r w:rsidR="004D5AD1" w:rsidRPr="004D5AD1">
        <w:rPr>
          <w:noProof/>
          <w:u w:color="000000"/>
          <w:bdr w:val="nil"/>
        </w:rPr>
        <w:t> </w:t>
      </w:r>
      <w:r w:rsidR="00C34922" w:rsidRPr="004D5AD1">
        <w:rPr>
          <w:noProof/>
          <w:u w:color="000000"/>
          <w:bdr w:val="nil"/>
        </w:rPr>
        <w:t>r., operatorzy unijni powinni być zobowiązani do przekazywania bezpośrednich pomiarów emisji na poziomie źródła</w:t>
      </w:r>
      <w:r w:rsidR="004D5AD1" w:rsidRPr="004D5AD1">
        <w:rPr>
          <w:noProof/>
          <w:u w:color="000000"/>
          <w:bdr w:val="nil"/>
        </w:rPr>
        <w:t xml:space="preserve"> w</w:t>
      </w:r>
      <w:r w:rsidR="004D5AD1">
        <w:rPr>
          <w:noProof/>
          <w:u w:color="000000"/>
          <w:bdr w:val="nil"/>
        </w:rPr>
        <w:t> </w:t>
      </w:r>
      <w:r w:rsidR="004D5AD1" w:rsidRPr="004D5AD1">
        <w:rPr>
          <w:noProof/>
          <w:u w:color="000000"/>
          <w:bdr w:val="nil"/>
        </w:rPr>
        <w:t>ter</w:t>
      </w:r>
      <w:r w:rsidR="00C34922" w:rsidRPr="004D5AD1">
        <w:rPr>
          <w:noProof/>
          <w:u w:color="000000"/>
          <w:bdr w:val="nil"/>
        </w:rPr>
        <w:t>minie 24 miesięcy</w:t>
      </w:r>
      <w:r w:rsidR="004D5AD1" w:rsidRPr="004D5AD1">
        <w:rPr>
          <w:noProof/>
          <w:u w:color="000000"/>
          <w:bdr w:val="nil"/>
        </w:rPr>
        <w:t xml:space="preserve"> w</w:t>
      </w:r>
      <w:r w:rsidR="004D5AD1">
        <w:rPr>
          <w:noProof/>
          <w:u w:color="000000"/>
          <w:bdr w:val="nil"/>
        </w:rPr>
        <w:t> </w:t>
      </w:r>
      <w:r w:rsidR="004D5AD1" w:rsidRPr="004D5AD1">
        <w:rPr>
          <w:noProof/>
          <w:u w:color="000000"/>
          <w:bdr w:val="nil"/>
        </w:rPr>
        <w:t>prz</w:t>
      </w:r>
      <w:r w:rsidR="00C34922" w:rsidRPr="004D5AD1">
        <w:rPr>
          <w:noProof/>
          <w:u w:color="000000"/>
          <w:bdr w:val="nil"/>
        </w:rPr>
        <w:t>ypadku aktywów eksploatowanych oraz</w:t>
      </w:r>
      <w:r w:rsidR="004D5AD1" w:rsidRPr="004D5AD1">
        <w:rPr>
          <w:noProof/>
          <w:u w:color="000000"/>
          <w:bdr w:val="nil"/>
        </w:rPr>
        <w:t xml:space="preserve"> w</w:t>
      </w:r>
      <w:r w:rsidR="004D5AD1">
        <w:rPr>
          <w:noProof/>
          <w:u w:color="000000"/>
          <w:bdr w:val="nil"/>
        </w:rPr>
        <w:t> </w:t>
      </w:r>
      <w:r w:rsidR="004D5AD1" w:rsidRPr="004D5AD1">
        <w:rPr>
          <w:noProof/>
          <w:u w:color="000000"/>
          <w:bdr w:val="nil"/>
        </w:rPr>
        <w:t>ter</w:t>
      </w:r>
      <w:r w:rsidR="00C34922" w:rsidRPr="004D5AD1">
        <w:rPr>
          <w:noProof/>
          <w:u w:color="000000"/>
          <w:bdr w:val="nil"/>
        </w:rPr>
        <w:t>minie 36 miesięcy</w:t>
      </w:r>
      <w:r w:rsidR="004D5AD1" w:rsidRPr="004D5AD1">
        <w:rPr>
          <w:noProof/>
          <w:u w:color="000000"/>
          <w:bdr w:val="nil"/>
        </w:rPr>
        <w:t xml:space="preserve"> w</w:t>
      </w:r>
      <w:r w:rsidR="004D5AD1">
        <w:rPr>
          <w:noProof/>
          <w:u w:color="000000"/>
          <w:bdr w:val="nil"/>
        </w:rPr>
        <w:t> </w:t>
      </w:r>
      <w:r w:rsidR="004D5AD1" w:rsidRPr="004D5AD1">
        <w:rPr>
          <w:noProof/>
          <w:u w:color="000000"/>
          <w:bdr w:val="nil"/>
        </w:rPr>
        <w:t>prz</w:t>
      </w:r>
      <w:r w:rsidR="00C34922" w:rsidRPr="004D5AD1">
        <w:rPr>
          <w:noProof/>
          <w:u w:color="000000"/>
          <w:bdr w:val="nil"/>
        </w:rPr>
        <w:t>ypadku aktywów nieeksploatowanych</w:t>
      </w:r>
      <w:r w:rsidR="004D5AD1" w:rsidRPr="004D5AD1">
        <w:rPr>
          <w:noProof/>
          <w:u w:color="000000"/>
          <w:bdr w:val="nil"/>
        </w:rPr>
        <w:t>. W</w:t>
      </w:r>
      <w:r w:rsidR="004D5AD1">
        <w:rPr>
          <w:noProof/>
          <w:u w:color="000000"/>
          <w:bdr w:val="nil"/>
        </w:rPr>
        <w:t> </w:t>
      </w:r>
      <w:r w:rsidR="004D5AD1" w:rsidRPr="004D5AD1">
        <w:rPr>
          <w:noProof/>
          <w:u w:color="000000"/>
          <w:bdr w:val="nil"/>
        </w:rPr>
        <w:t>uzu</w:t>
      </w:r>
      <w:r w:rsidR="00C34922" w:rsidRPr="004D5AD1">
        <w:rPr>
          <w:noProof/>
          <w:u w:color="000000"/>
          <w:bdr w:val="nil"/>
        </w:rPr>
        <w:t>pełnieniu kwantyfikacji na poziomie źródła kwantyfikacja na poziomie lokalizacji umożliwia ocenę, weryfikację</w:t>
      </w:r>
      <w:r w:rsidR="004D5AD1" w:rsidRPr="004D5AD1">
        <w:rPr>
          <w:noProof/>
          <w:u w:color="000000"/>
          <w:bdr w:val="nil"/>
        </w:rPr>
        <w:t xml:space="preserve"> i</w:t>
      </w:r>
      <w:r w:rsidR="004D5AD1">
        <w:rPr>
          <w:noProof/>
          <w:u w:color="000000"/>
          <w:bdr w:val="nil"/>
        </w:rPr>
        <w:t> </w:t>
      </w:r>
      <w:r w:rsidR="004D5AD1" w:rsidRPr="004D5AD1">
        <w:rPr>
          <w:noProof/>
          <w:u w:color="000000"/>
          <w:bdr w:val="nil"/>
        </w:rPr>
        <w:t>uzg</w:t>
      </w:r>
      <w:r w:rsidR="00C34922" w:rsidRPr="004D5AD1">
        <w:rPr>
          <w:noProof/>
          <w:u w:color="000000"/>
          <w:bdr w:val="nil"/>
        </w:rPr>
        <w:t>odnienie oszacowań na poziomie źródła zagregowanych według lokalizacji, zapewniając tym samym większą pewność zgłaszanych emisji. Podobnie jak w OGMP 2.0</w:t>
      </w:r>
      <w:r w:rsidR="004D5AD1" w:rsidRPr="004D5AD1">
        <w:rPr>
          <w:noProof/>
          <w:u w:color="000000"/>
          <w:bdr w:val="nil"/>
        </w:rPr>
        <w:t xml:space="preserve"> w</w:t>
      </w:r>
      <w:r w:rsidR="004D5AD1">
        <w:rPr>
          <w:noProof/>
          <w:u w:color="000000"/>
          <w:bdr w:val="nil"/>
        </w:rPr>
        <w:t> </w:t>
      </w:r>
      <w:r w:rsidR="004D5AD1" w:rsidRPr="004D5AD1">
        <w:rPr>
          <w:noProof/>
          <w:u w:color="000000"/>
          <w:bdr w:val="nil"/>
        </w:rPr>
        <w:t>nin</w:t>
      </w:r>
      <w:r w:rsidR="00C34922" w:rsidRPr="004D5AD1">
        <w:rPr>
          <w:noProof/>
          <w:u w:color="000000"/>
          <w:bdr w:val="nil"/>
        </w:rPr>
        <w:t>iejszym rozporządzeniu wymaga się pomiarów na poziomie lokalizacji</w:t>
      </w:r>
      <w:r w:rsidR="004D5AD1" w:rsidRPr="004D5AD1">
        <w:rPr>
          <w:noProof/>
          <w:u w:color="000000"/>
          <w:bdr w:val="nil"/>
        </w:rPr>
        <w:t xml:space="preserve"> w</w:t>
      </w:r>
      <w:r w:rsidR="004D5AD1">
        <w:rPr>
          <w:noProof/>
          <w:u w:color="000000"/>
          <w:bdr w:val="nil"/>
        </w:rPr>
        <w:t> </w:t>
      </w:r>
      <w:r w:rsidR="004D5AD1" w:rsidRPr="004D5AD1">
        <w:rPr>
          <w:noProof/>
          <w:u w:color="000000"/>
          <w:bdr w:val="nil"/>
        </w:rPr>
        <w:t>cel</w:t>
      </w:r>
      <w:r w:rsidR="00C34922" w:rsidRPr="004D5AD1">
        <w:rPr>
          <w:noProof/>
          <w:u w:color="000000"/>
          <w:bdr w:val="nil"/>
        </w:rPr>
        <w:t>u uzgodnienia pomiarów na poziomie źródła.</w:t>
      </w:r>
    </w:p>
    <w:p w14:paraId="3D7529F8" w14:textId="6B3A6DD8" w:rsidR="000A494D" w:rsidRPr="004D5AD1" w:rsidRDefault="00DE3FFB" w:rsidP="00DE3FFB">
      <w:pPr>
        <w:pStyle w:val="ManualConsidrant"/>
        <w:rPr>
          <w:noProof/>
        </w:rPr>
      </w:pPr>
      <w:r w:rsidRPr="00DE3FFB">
        <w:t>(28)</w:t>
      </w:r>
      <w:r w:rsidRPr="00DE3FFB">
        <w:tab/>
      </w:r>
      <w:r w:rsidR="000A494D" w:rsidRPr="004D5AD1">
        <w:rPr>
          <w:noProof/>
        </w:rPr>
        <w:t>Według danych</w:t>
      </w:r>
      <w:r w:rsidR="004D5AD1" w:rsidRPr="004D5AD1">
        <w:rPr>
          <w:noProof/>
        </w:rPr>
        <w:t xml:space="preserve"> z</w:t>
      </w:r>
      <w:r w:rsidR="004D5AD1">
        <w:rPr>
          <w:noProof/>
        </w:rPr>
        <w:t> </w:t>
      </w:r>
      <w:r w:rsidR="004D5AD1" w:rsidRPr="004D5AD1">
        <w:rPr>
          <w:noProof/>
        </w:rPr>
        <w:t>uni</w:t>
      </w:r>
      <w:r w:rsidR="000A494D" w:rsidRPr="004D5AD1">
        <w:rPr>
          <w:noProof/>
        </w:rPr>
        <w:t>jnego wykazu gazów cieplarnianych ponad połowa wszystkich bezpośrednich emisji metanu związanych</w:t>
      </w:r>
      <w:r w:rsidR="004D5AD1" w:rsidRPr="004D5AD1">
        <w:rPr>
          <w:noProof/>
        </w:rPr>
        <w:t xml:space="preserve"> z</w:t>
      </w:r>
      <w:r w:rsidR="004D5AD1">
        <w:rPr>
          <w:noProof/>
        </w:rPr>
        <w:t> </w:t>
      </w:r>
      <w:r w:rsidR="004D5AD1" w:rsidRPr="004D5AD1">
        <w:rPr>
          <w:noProof/>
        </w:rPr>
        <w:t>ene</w:t>
      </w:r>
      <w:r w:rsidR="000A494D" w:rsidRPr="004D5AD1">
        <w:rPr>
          <w:noProof/>
        </w:rPr>
        <w:t>rgią wynika</w:t>
      </w:r>
      <w:r w:rsidR="004D5AD1" w:rsidRPr="004D5AD1">
        <w:rPr>
          <w:noProof/>
        </w:rPr>
        <w:t xml:space="preserve"> z</w:t>
      </w:r>
      <w:r w:rsidR="004D5AD1">
        <w:rPr>
          <w:noProof/>
        </w:rPr>
        <w:t> </w:t>
      </w:r>
      <w:r w:rsidR="004D5AD1" w:rsidRPr="004D5AD1">
        <w:rPr>
          <w:noProof/>
        </w:rPr>
        <w:t>nie</w:t>
      </w:r>
      <w:r w:rsidR="000A494D" w:rsidRPr="004D5AD1">
        <w:rPr>
          <w:noProof/>
        </w:rPr>
        <w:t>zamierzonego uwalniania emisji do atmosfery</w:t>
      </w:r>
      <w:r w:rsidR="004D5AD1" w:rsidRPr="004D5AD1">
        <w:rPr>
          <w:noProof/>
        </w:rPr>
        <w:t>. W</w:t>
      </w:r>
      <w:r w:rsidR="004D5AD1">
        <w:rPr>
          <w:noProof/>
        </w:rPr>
        <w:t> </w:t>
      </w:r>
      <w:r w:rsidR="004D5AD1" w:rsidRPr="004D5AD1">
        <w:rPr>
          <w:noProof/>
        </w:rPr>
        <w:t>prz</w:t>
      </w:r>
      <w:r w:rsidR="000A494D" w:rsidRPr="004D5AD1">
        <w:rPr>
          <w:noProof/>
        </w:rPr>
        <w:t>ypadku ropy naftowej</w:t>
      </w:r>
      <w:r w:rsidR="004D5AD1" w:rsidRPr="004D5AD1">
        <w:rPr>
          <w:noProof/>
        </w:rPr>
        <w:t xml:space="preserve"> i</w:t>
      </w:r>
      <w:r w:rsidR="004D5AD1">
        <w:rPr>
          <w:noProof/>
        </w:rPr>
        <w:t> </w:t>
      </w:r>
      <w:r w:rsidR="004D5AD1" w:rsidRPr="004D5AD1">
        <w:rPr>
          <w:noProof/>
        </w:rPr>
        <w:t>gaz</w:t>
      </w:r>
      <w:r w:rsidR="000A494D" w:rsidRPr="004D5AD1">
        <w:rPr>
          <w:noProof/>
        </w:rPr>
        <w:t>u ziemnego ma ono największy udział</w:t>
      </w:r>
      <w:r w:rsidR="004D5AD1" w:rsidRPr="004D5AD1">
        <w:rPr>
          <w:noProof/>
        </w:rPr>
        <w:t xml:space="preserve"> w</w:t>
      </w:r>
      <w:r w:rsidR="004D5AD1">
        <w:rPr>
          <w:noProof/>
        </w:rPr>
        <w:t> </w:t>
      </w:r>
      <w:r w:rsidR="004D5AD1" w:rsidRPr="004D5AD1">
        <w:rPr>
          <w:noProof/>
        </w:rPr>
        <w:t>emi</w:t>
      </w:r>
      <w:r w:rsidR="000A494D" w:rsidRPr="004D5AD1">
        <w:rPr>
          <w:noProof/>
        </w:rPr>
        <w:t xml:space="preserve">sjach metanu. </w:t>
      </w:r>
    </w:p>
    <w:p w14:paraId="2E29E27A" w14:textId="3CB79E23" w:rsidR="00CD116D" w:rsidRPr="004D5AD1" w:rsidRDefault="00DE3FFB" w:rsidP="00DE3FFB">
      <w:pPr>
        <w:pStyle w:val="ManualConsidrant"/>
        <w:rPr>
          <w:noProof/>
        </w:rPr>
      </w:pPr>
      <w:r w:rsidRPr="00DE3FFB">
        <w:t>(29)</w:t>
      </w:r>
      <w:r w:rsidRPr="00DE3FFB">
        <w:tab/>
      </w:r>
      <w:r w:rsidR="00CD116D" w:rsidRPr="004D5AD1">
        <w:rPr>
          <w:noProof/>
        </w:rPr>
        <w:t>Niezamierzone wycieki metanu do atmosfery mogą wystąpić podczas wiercenia, wydobycia,</w:t>
      </w:r>
      <w:r w:rsidR="004D5AD1" w:rsidRPr="004D5AD1">
        <w:rPr>
          <w:noProof/>
        </w:rPr>
        <w:t xml:space="preserve"> a</w:t>
      </w:r>
      <w:r w:rsidR="004D5AD1">
        <w:rPr>
          <w:noProof/>
        </w:rPr>
        <w:t> </w:t>
      </w:r>
      <w:r w:rsidR="004D5AD1" w:rsidRPr="004D5AD1">
        <w:rPr>
          <w:noProof/>
        </w:rPr>
        <w:t>tak</w:t>
      </w:r>
      <w:r w:rsidR="00CD116D" w:rsidRPr="004D5AD1">
        <w:rPr>
          <w:noProof/>
        </w:rPr>
        <w:t>że podczas przetwarzania, składowania, przesyłu</w:t>
      </w:r>
      <w:r w:rsidR="004D5AD1" w:rsidRPr="004D5AD1">
        <w:rPr>
          <w:noProof/>
        </w:rPr>
        <w:t xml:space="preserve"> i</w:t>
      </w:r>
      <w:r w:rsidR="004D5AD1">
        <w:rPr>
          <w:noProof/>
        </w:rPr>
        <w:t> </w:t>
      </w:r>
      <w:r w:rsidR="004D5AD1" w:rsidRPr="004D5AD1">
        <w:rPr>
          <w:noProof/>
        </w:rPr>
        <w:t>dys</w:t>
      </w:r>
      <w:r w:rsidR="00CD116D" w:rsidRPr="004D5AD1">
        <w:rPr>
          <w:noProof/>
        </w:rPr>
        <w:t>trybucji do odbiorców końcowych. Mogą one również wystąpić</w:t>
      </w:r>
      <w:r w:rsidR="004D5AD1" w:rsidRPr="004D5AD1">
        <w:rPr>
          <w:noProof/>
        </w:rPr>
        <w:t xml:space="preserve"> w</w:t>
      </w:r>
      <w:r w:rsidR="004D5AD1">
        <w:rPr>
          <w:noProof/>
        </w:rPr>
        <w:t> </w:t>
      </w:r>
      <w:r w:rsidR="004D5AD1" w:rsidRPr="004D5AD1">
        <w:rPr>
          <w:noProof/>
        </w:rPr>
        <w:t>nie</w:t>
      </w:r>
      <w:r w:rsidR="00CD116D" w:rsidRPr="004D5AD1">
        <w:rPr>
          <w:noProof/>
        </w:rPr>
        <w:t>aktywnych odwiertach naftowych lub gazowych. Niektóre emisje wynikają</w:t>
      </w:r>
      <w:r w:rsidR="004D5AD1" w:rsidRPr="004D5AD1">
        <w:rPr>
          <w:noProof/>
        </w:rPr>
        <w:t xml:space="preserve"> z</w:t>
      </w:r>
      <w:r w:rsidR="004D5AD1">
        <w:rPr>
          <w:noProof/>
        </w:rPr>
        <w:t> </w:t>
      </w:r>
      <w:r w:rsidR="004D5AD1" w:rsidRPr="004D5AD1">
        <w:rPr>
          <w:noProof/>
        </w:rPr>
        <w:t>nie</w:t>
      </w:r>
      <w:r w:rsidR="00CD116D" w:rsidRPr="004D5AD1">
        <w:rPr>
          <w:noProof/>
        </w:rPr>
        <w:t>doskonałości lub normalnego zużycia elementów technicznych, takich jak złącza, kołnierze</w:t>
      </w:r>
      <w:r w:rsidR="004D5AD1" w:rsidRPr="004D5AD1">
        <w:rPr>
          <w:noProof/>
        </w:rPr>
        <w:t xml:space="preserve"> i</w:t>
      </w:r>
      <w:r w:rsidR="004D5AD1">
        <w:rPr>
          <w:noProof/>
        </w:rPr>
        <w:t> </w:t>
      </w:r>
      <w:r w:rsidR="004D5AD1" w:rsidRPr="004D5AD1">
        <w:rPr>
          <w:noProof/>
        </w:rPr>
        <w:t>zaw</w:t>
      </w:r>
      <w:r w:rsidR="00CD116D" w:rsidRPr="004D5AD1">
        <w:rPr>
          <w:noProof/>
        </w:rPr>
        <w:t>ory, lub</w:t>
      </w:r>
      <w:r w:rsidR="004D5AD1" w:rsidRPr="004D5AD1">
        <w:rPr>
          <w:noProof/>
        </w:rPr>
        <w:t xml:space="preserve"> z</w:t>
      </w:r>
      <w:r w:rsidR="004D5AD1">
        <w:rPr>
          <w:noProof/>
        </w:rPr>
        <w:t> </w:t>
      </w:r>
      <w:r w:rsidR="004D5AD1" w:rsidRPr="004D5AD1">
        <w:rPr>
          <w:noProof/>
        </w:rPr>
        <w:t>usz</w:t>
      </w:r>
      <w:r w:rsidR="00CD116D" w:rsidRPr="004D5AD1">
        <w:rPr>
          <w:noProof/>
        </w:rPr>
        <w:t>kodzenia elementów, na przykład wskutek wypadków. Korozja lub uszkodzenia mogą również powodować wycieki ze ścian urządzeń ciśnieniowych.</w:t>
      </w:r>
    </w:p>
    <w:p w14:paraId="17E22097" w14:textId="26022E51" w:rsidR="00CD116D" w:rsidRPr="004D5AD1" w:rsidRDefault="00DE3FFB" w:rsidP="00DE3FFB">
      <w:pPr>
        <w:pStyle w:val="ManualConsidrant"/>
        <w:rPr>
          <w:noProof/>
        </w:rPr>
      </w:pPr>
      <w:r w:rsidRPr="00DE3FFB">
        <w:t>(30)</w:t>
      </w:r>
      <w:r w:rsidRPr="00DE3FFB">
        <w:tab/>
      </w:r>
      <w:r w:rsidR="00CD116D" w:rsidRPr="004D5AD1">
        <w:rPr>
          <w:noProof/>
        </w:rPr>
        <w:t>Chociaż uwalnianie metanu do atmosfery ma zwykle charakter zamierzony</w:t>
      </w:r>
      <w:r w:rsidR="004D5AD1" w:rsidRPr="004D5AD1">
        <w:rPr>
          <w:noProof/>
        </w:rPr>
        <w:t xml:space="preserve"> i</w:t>
      </w:r>
      <w:r w:rsidR="004D5AD1">
        <w:rPr>
          <w:noProof/>
        </w:rPr>
        <w:t> </w:t>
      </w:r>
      <w:r w:rsidR="004D5AD1" w:rsidRPr="004D5AD1">
        <w:rPr>
          <w:noProof/>
        </w:rPr>
        <w:t>wyn</w:t>
      </w:r>
      <w:r w:rsidR="00CD116D" w:rsidRPr="004D5AD1">
        <w:rPr>
          <w:noProof/>
        </w:rPr>
        <w:t>ika</w:t>
      </w:r>
      <w:r w:rsidR="004D5AD1" w:rsidRPr="004D5AD1">
        <w:rPr>
          <w:noProof/>
        </w:rPr>
        <w:t xml:space="preserve"> z</w:t>
      </w:r>
      <w:r w:rsidR="004D5AD1">
        <w:rPr>
          <w:noProof/>
        </w:rPr>
        <w:t> </w:t>
      </w:r>
      <w:r w:rsidR="004D5AD1" w:rsidRPr="004D5AD1">
        <w:rPr>
          <w:noProof/>
        </w:rPr>
        <w:t>pro</w:t>
      </w:r>
      <w:r w:rsidR="00CD116D" w:rsidRPr="004D5AD1">
        <w:rPr>
          <w:noProof/>
        </w:rPr>
        <w:t>cesów lub czynności</w:t>
      </w:r>
      <w:r w:rsidR="004D5AD1" w:rsidRPr="004D5AD1">
        <w:rPr>
          <w:noProof/>
        </w:rPr>
        <w:t xml:space="preserve"> i</w:t>
      </w:r>
      <w:r w:rsidR="004D5AD1">
        <w:rPr>
          <w:noProof/>
        </w:rPr>
        <w:t> </w:t>
      </w:r>
      <w:r w:rsidR="004D5AD1" w:rsidRPr="004D5AD1">
        <w:rPr>
          <w:noProof/>
        </w:rPr>
        <w:t>urz</w:t>
      </w:r>
      <w:r w:rsidR="00CD116D" w:rsidRPr="004D5AD1">
        <w:rPr>
          <w:noProof/>
        </w:rPr>
        <w:t>ądzeń zaprojektowanych do tego celu, może być również niezamierzone, jak</w:t>
      </w:r>
      <w:r w:rsidR="004D5AD1" w:rsidRPr="004D5AD1">
        <w:rPr>
          <w:noProof/>
        </w:rPr>
        <w:t xml:space="preserve"> w</w:t>
      </w:r>
      <w:r w:rsidR="004D5AD1">
        <w:rPr>
          <w:noProof/>
        </w:rPr>
        <w:t> </w:t>
      </w:r>
      <w:r w:rsidR="004D5AD1" w:rsidRPr="004D5AD1">
        <w:rPr>
          <w:noProof/>
        </w:rPr>
        <w:t>prz</w:t>
      </w:r>
      <w:r w:rsidR="00CD116D" w:rsidRPr="004D5AD1">
        <w:rPr>
          <w:noProof/>
        </w:rPr>
        <w:t xml:space="preserve">ypadku niesprawności. </w:t>
      </w:r>
    </w:p>
    <w:p w14:paraId="3D953499" w14:textId="50995943" w:rsidR="003708B0" w:rsidRPr="004D5AD1" w:rsidRDefault="00DE3FFB" w:rsidP="00DE3FFB">
      <w:pPr>
        <w:pStyle w:val="ManualConsidrant"/>
        <w:rPr>
          <w:noProof/>
        </w:rPr>
      </w:pPr>
      <w:r w:rsidRPr="00DE3FFB">
        <w:t>(31)</w:t>
      </w:r>
      <w:r w:rsidRPr="00DE3FFB">
        <w:tab/>
      </w:r>
      <w:r w:rsidR="00CD116D" w:rsidRPr="004D5AD1">
        <w:rPr>
          <w:noProof/>
        </w:rPr>
        <w:t>Aby ograniczyć te emisje, operatorzy powinni zastosować wszelkie dostępne środki</w:t>
      </w:r>
      <w:r w:rsidR="004D5AD1" w:rsidRPr="004D5AD1">
        <w:rPr>
          <w:noProof/>
        </w:rPr>
        <w:t xml:space="preserve"> w</w:t>
      </w:r>
      <w:r w:rsidR="004D5AD1">
        <w:rPr>
          <w:noProof/>
        </w:rPr>
        <w:t> </w:t>
      </w:r>
      <w:r w:rsidR="004D5AD1" w:rsidRPr="004D5AD1">
        <w:rPr>
          <w:noProof/>
        </w:rPr>
        <w:t>cel</w:t>
      </w:r>
      <w:r w:rsidR="00CD116D" w:rsidRPr="004D5AD1">
        <w:rPr>
          <w:noProof/>
        </w:rPr>
        <w:t>u zminimalizowania emisji metanu</w:t>
      </w:r>
      <w:r w:rsidR="004D5AD1" w:rsidRPr="004D5AD1">
        <w:rPr>
          <w:noProof/>
        </w:rPr>
        <w:t xml:space="preserve"> w</w:t>
      </w:r>
      <w:r w:rsidR="004D5AD1">
        <w:rPr>
          <w:noProof/>
        </w:rPr>
        <w:t> </w:t>
      </w:r>
      <w:r w:rsidR="004D5AD1" w:rsidRPr="004D5AD1">
        <w:rPr>
          <w:noProof/>
        </w:rPr>
        <w:t>ram</w:t>
      </w:r>
      <w:r w:rsidR="00CD116D" w:rsidRPr="004D5AD1">
        <w:rPr>
          <w:noProof/>
        </w:rPr>
        <w:t xml:space="preserve">ach prowadzonej przez siebie działalności. </w:t>
      </w:r>
    </w:p>
    <w:p w14:paraId="50B025C8" w14:textId="197C4CC1" w:rsidR="00CD116D" w:rsidRPr="004D5AD1" w:rsidRDefault="00DE3FFB" w:rsidP="00DE3FFB">
      <w:pPr>
        <w:pStyle w:val="ManualConsidrant"/>
        <w:rPr>
          <w:noProof/>
        </w:rPr>
      </w:pPr>
      <w:r w:rsidRPr="00DE3FFB">
        <w:t>(32)</w:t>
      </w:r>
      <w:r w:rsidRPr="00DE3FFB">
        <w:tab/>
      </w:r>
      <w:r w:rsidR="00CD116D" w:rsidRPr="004D5AD1">
        <w:rPr>
          <w:noProof/>
        </w:rPr>
        <w:t>Mówiąc dokładniej, emisje metanu spowodowane wyciekami są najczęściej ograniczane</w:t>
      </w:r>
      <w:r w:rsidR="004D5AD1" w:rsidRPr="004D5AD1">
        <w:rPr>
          <w:noProof/>
        </w:rPr>
        <w:t xml:space="preserve"> w</w:t>
      </w:r>
      <w:r w:rsidR="004D5AD1">
        <w:rPr>
          <w:noProof/>
        </w:rPr>
        <w:t> </w:t>
      </w:r>
      <w:r w:rsidR="004D5AD1" w:rsidRPr="004D5AD1">
        <w:rPr>
          <w:noProof/>
        </w:rPr>
        <w:t>dro</w:t>
      </w:r>
      <w:r w:rsidR="00CD116D" w:rsidRPr="004D5AD1">
        <w:rPr>
          <w:noProof/>
        </w:rPr>
        <w:t>dze badań mających na celu wykrywanie nieszczelności</w:t>
      </w:r>
      <w:r w:rsidR="004D5AD1" w:rsidRPr="004D5AD1">
        <w:rPr>
          <w:noProof/>
        </w:rPr>
        <w:t xml:space="preserve"> i</w:t>
      </w:r>
      <w:r w:rsidR="004D5AD1">
        <w:rPr>
          <w:noProof/>
        </w:rPr>
        <w:t> </w:t>
      </w:r>
      <w:r w:rsidR="004D5AD1" w:rsidRPr="004D5AD1">
        <w:rPr>
          <w:noProof/>
        </w:rPr>
        <w:t>nap</w:t>
      </w:r>
      <w:r w:rsidR="00CD116D" w:rsidRPr="004D5AD1">
        <w:rPr>
          <w:noProof/>
        </w:rPr>
        <w:t>rawę (badań LDAR), prowadzonych</w:t>
      </w:r>
      <w:r w:rsidR="004D5AD1" w:rsidRPr="004D5AD1">
        <w:rPr>
          <w:noProof/>
        </w:rPr>
        <w:t xml:space="preserve"> w</w:t>
      </w:r>
      <w:r w:rsidR="004D5AD1">
        <w:rPr>
          <w:noProof/>
        </w:rPr>
        <w:t> </w:t>
      </w:r>
      <w:r w:rsidR="004D5AD1" w:rsidRPr="004D5AD1">
        <w:rPr>
          <w:noProof/>
        </w:rPr>
        <w:t>cel</w:t>
      </w:r>
      <w:r w:rsidR="00CD116D" w:rsidRPr="004D5AD1">
        <w:rPr>
          <w:noProof/>
        </w:rPr>
        <w:t>u stwierdzenia nieszczelności,</w:t>
      </w:r>
      <w:r w:rsidR="004D5AD1" w:rsidRPr="004D5AD1">
        <w:rPr>
          <w:noProof/>
        </w:rPr>
        <w:t xml:space="preserve"> a</w:t>
      </w:r>
      <w:r w:rsidR="004D5AD1">
        <w:rPr>
          <w:noProof/>
        </w:rPr>
        <w:t> </w:t>
      </w:r>
      <w:r w:rsidR="004D5AD1" w:rsidRPr="004D5AD1">
        <w:rPr>
          <w:noProof/>
        </w:rPr>
        <w:t>nas</w:t>
      </w:r>
      <w:r w:rsidR="00CD116D" w:rsidRPr="004D5AD1">
        <w:rPr>
          <w:noProof/>
        </w:rPr>
        <w:t>tępnie ich naprawy. Operatorzy powinni zatem przeprowadzać co najmniej okresowe badania LDAR, które powinny również obejmować badanie elementów uwalniających metan, co umożliwi wykrycie niezamierzonego uwalniania metanu do atmosfery.</w:t>
      </w:r>
    </w:p>
    <w:p w14:paraId="10A65362" w14:textId="7B377479" w:rsidR="00CD116D" w:rsidRPr="004D5AD1" w:rsidRDefault="00DE3FFB" w:rsidP="00DE3FFB">
      <w:pPr>
        <w:pStyle w:val="ManualConsidrant"/>
        <w:rPr>
          <w:noProof/>
        </w:rPr>
      </w:pPr>
      <w:r w:rsidRPr="00DE3FFB">
        <w:t>(33)</w:t>
      </w:r>
      <w:r w:rsidRPr="00DE3FFB">
        <w:tab/>
      </w:r>
      <w:r w:rsidR="00A963D5" w:rsidRPr="004D5AD1">
        <w:rPr>
          <w:noProof/>
        </w:rPr>
        <w:t>Należy</w:t>
      </w:r>
      <w:r w:rsidR="004D5AD1" w:rsidRPr="004D5AD1">
        <w:rPr>
          <w:noProof/>
        </w:rPr>
        <w:t xml:space="preserve"> w</w:t>
      </w:r>
      <w:r w:rsidR="004D5AD1">
        <w:rPr>
          <w:noProof/>
        </w:rPr>
        <w:t> </w:t>
      </w:r>
      <w:r w:rsidR="004D5AD1" w:rsidRPr="004D5AD1">
        <w:rPr>
          <w:noProof/>
        </w:rPr>
        <w:t>tym</w:t>
      </w:r>
      <w:r w:rsidR="00A963D5" w:rsidRPr="004D5AD1">
        <w:rPr>
          <w:noProof/>
        </w:rPr>
        <w:t xml:space="preserve"> celu wprowadzić zharmonizowane podejście, aby zapewnić równe warunki działania wszystkim operatorom</w:t>
      </w:r>
      <w:r w:rsidR="004D5AD1" w:rsidRPr="004D5AD1">
        <w:rPr>
          <w:noProof/>
        </w:rPr>
        <w:t xml:space="preserve"> w</w:t>
      </w:r>
      <w:r w:rsidR="004D5AD1">
        <w:rPr>
          <w:noProof/>
        </w:rPr>
        <w:t> </w:t>
      </w:r>
      <w:r w:rsidR="004D5AD1" w:rsidRPr="004D5AD1">
        <w:rPr>
          <w:noProof/>
        </w:rPr>
        <w:t>Uni</w:t>
      </w:r>
      <w:r w:rsidR="00A963D5" w:rsidRPr="004D5AD1">
        <w:rPr>
          <w:noProof/>
        </w:rPr>
        <w:t>i. Podejście to powinno obejmować minimalne wymogi dotyczące badań LDAR,</w:t>
      </w:r>
      <w:r w:rsidR="004D5AD1" w:rsidRPr="004D5AD1">
        <w:rPr>
          <w:noProof/>
        </w:rPr>
        <w:t xml:space="preserve"> a</w:t>
      </w:r>
      <w:r w:rsidR="004D5AD1">
        <w:rPr>
          <w:noProof/>
        </w:rPr>
        <w:t> </w:t>
      </w:r>
      <w:r w:rsidR="004D5AD1" w:rsidRPr="004D5AD1">
        <w:rPr>
          <w:noProof/>
        </w:rPr>
        <w:t>jed</w:t>
      </w:r>
      <w:r w:rsidR="00A963D5" w:rsidRPr="004D5AD1">
        <w:rPr>
          <w:noProof/>
        </w:rPr>
        <w:t>nocześnie pozostawiać państwom członkowskim</w:t>
      </w:r>
      <w:r w:rsidR="004D5AD1" w:rsidRPr="004D5AD1">
        <w:rPr>
          <w:noProof/>
        </w:rPr>
        <w:t xml:space="preserve"> i</w:t>
      </w:r>
      <w:r w:rsidR="004D5AD1">
        <w:rPr>
          <w:noProof/>
        </w:rPr>
        <w:t> </w:t>
      </w:r>
      <w:r w:rsidR="004D5AD1" w:rsidRPr="004D5AD1">
        <w:rPr>
          <w:noProof/>
        </w:rPr>
        <w:t>ope</w:t>
      </w:r>
      <w:r w:rsidR="00A963D5" w:rsidRPr="004D5AD1">
        <w:rPr>
          <w:noProof/>
        </w:rPr>
        <w:t>ratorom odpowiedni stopień elastyczności. Jest to konieczne, aby umożliwić innowacje</w:t>
      </w:r>
      <w:r w:rsidR="004D5AD1" w:rsidRPr="004D5AD1">
        <w:rPr>
          <w:noProof/>
        </w:rPr>
        <w:t xml:space="preserve"> i</w:t>
      </w:r>
      <w:r w:rsidR="004D5AD1">
        <w:rPr>
          <w:noProof/>
        </w:rPr>
        <w:t> </w:t>
      </w:r>
      <w:r w:rsidR="004D5AD1" w:rsidRPr="004D5AD1">
        <w:rPr>
          <w:noProof/>
        </w:rPr>
        <w:t>roz</w:t>
      </w:r>
      <w:r w:rsidR="00A963D5" w:rsidRPr="004D5AD1">
        <w:rPr>
          <w:noProof/>
        </w:rPr>
        <w:t>wój nowych technologii</w:t>
      </w:r>
      <w:r w:rsidR="004D5AD1" w:rsidRPr="004D5AD1">
        <w:rPr>
          <w:noProof/>
        </w:rPr>
        <w:t xml:space="preserve"> i</w:t>
      </w:r>
      <w:r w:rsidR="004D5AD1">
        <w:rPr>
          <w:noProof/>
        </w:rPr>
        <w:t> </w:t>
      </w:r>
      <w:r w:rsidR="004D5AD1" w:rsidRPr="004D5AD1">
        <w:rPr>
          <w:noProof/>
        </w:rPr>
        <w:t>met</w:t>
      </w:r>
      <w:r w:rsidR="00A963D5" w:rsidRPr="004D5AD1">
        <w:rPr>
          <w:noProof/>
        </w:rPr>
        <w:t>od LDAR oraz zapobiec</w:t>
      </w:r>
      <w:r w:rsidR="004D5AD1" w:rsidRPr="004D5AD1">
        <w:rPr>
          <w:noProof/>
        </w:rPr>
        <w:t xml:space="preserve"> w</w:t>
      </w:r>
      <w:r w:rsidR="004D5AD1">
        <w:rPr>
          <w:noProof/>
        </w:rPr>
        <w:t> </w:t>
      </w:r>
      <w:r w:rsidR="004D5AD1" w:rsidRPr="004D5AD1">
        <w:rPr>
          <w:noProof/>
        </w:rPr>
        <w:t>ten</w:t>
      </w:r>
      <w:r w:rsidR="00A963D5" w:rsidRPr="004D5AD1">
        <w:rPr>
          <w:noProof/>
        </w:rPr>
        <w:t xml:space="preserve"> sposób blokadzie technologicznej ze szkodą dla ochrony środowiska. Wciąż pojawiają się nowe technologie</w:t>
      </w:r>
      <w:r w:rsidR="004D5AD1" w:rsidRPr="004D5AD1">
        <w:rPr>
          <w:noProof/>
        </w:rPr>
        <w:t xml:space="preserve"> i</w:t>
      </w:r>
      <w:r w:rsidR="004D5AD1">
        <w:rPr>
          <w:noProof/>
        </w:rPr>
        <w:t> </w:t>
      </w:r>
      <w:r w:rsidR="004D5AD1" w:rsidRPr="004D5AD1">
        <w:rPr>
          <w:noProof/>
        </w:rPr>
        <w:t>met</w:t>
      </w:r>
      <w:r w:rsidR="00A963D5" w:rsidRPr="004D5AD1">
        <w:rPr>
          <w:noProof/>
        </w:rPr>
        <w:t>ody wykrywania,</w:t>
      </w:r>
      <w:r w:rsidR="004D5AD1" w:rsidRPr="004D5AD1">
        <w:rPr>
          <w:noProof/>
        </w:rPr>
        <w:t xml:space="preserve"> a</w:t>
      </w:r>
      <w:r w:rsidR="004D5AD1">
        <w:rPr>
          <w:noProof/>
        </w:rPr>
        <w:t> </w:t>
      </w:r>
      <w:r w:rsidR="004D5AD1" w:rsidRPr="004D5AD1">
        <w:rPr>
          <w:noProof/>
        </w:rPr>
        <w:t>pań</w:t>
      </w:r>
      <w:r w:rsidR="00A963D5" w:rsidRPr="004D5AD1">
        <w:rPr>
          <w:noProof/>
        </w:rPr>
        <w:t>stwa członkowskie powinny zachęcać do innowacji</w:t>
      </w:r>
      <w:r w:rsidR="004D5AD1" w:rsidRPr="004D5AD1">
        <w:rPr>
          <w:noProof/>
        </w:rPr>
        <w:t xml:space="preserve"> w</w:t>
      </w:r>
      <w:r w:rsidR="004D5AD1">
        <w:rPr>
          <w:noProof/>
        </w:rPr>
        <w:t> </w:t>
      </w:r>
      <w:r w:rsidR="004D5AD1" w:rsidRPr="004D5AD1">
        <w:rPr>
          <w:noProof/>
        </w:rPr>
        <w:t>tym</w:t>
      </w:r>
      <w:r w:rsidR="00A963D5" w:rsidRPr="004D5AD1">
        <w:rPr>
          <w:noProof/>
        </w:rPr>
        <w:t xml:space="preserve"> sektorze, aby można było przyjąć metody najdokładniejsze</w:t>
      </w:r>
      <w:r w:rsidR="004D5AD1" w:rsidRPr="004D5AD1">
        <w:rPr>
          <w:noProof/>
        </w:rPr>
        <w:t xml:space="preserve"> i</w:t>
      </w:r>
      <w:r w:rsidR="004D5AD1">
        <w:rPr>
          <w:noProof/>
        </w:rPr>
        <w:t> </w:t>
      </w:r>
      <w:r w:rsidR="004D5AD1" w:rsidRPr="004D5AD1">
        <w:rPr>
          <w:noProof/>
        </w:rPr>
        <w:t>naj</w:t>
      </w:r>
      <w:r w:rsidR="00A963D5" w:rsidRPr="004D5AD1">
        <w:rPr>
          <w:noProof/>
        </w:rPr>
        <w:t>bardziej opłacalne.</w:t>
      </w:r>
    </w:p>
    <w:p w14:paraId="5144FF69" w14:textId="7EA42BF6" w:rsidR="00CD116D" w:rsidRPr="004D5AD1" w:rsidRDefault="00DE3FFB" w:rsidP="00DE3FFB">
      <w:pPr>
        <w:pStyle w:val="ManualConsidrant"/>
        <w:rPr>
          <w:noProof/>
        </w:rPr>
      </w:pPr>
      <w:r w:rsidRPr="00DE3FFB">
        <w:t>(34)</w:t>
      </w:r>
      <w:r w:rsidRPr="00DE3FFB">
        <w:tab/>
      </w:r>
      <w:r w:rsidR="00D850DC" w:rsidRPr="004D5AD1">
        <w:rPr>
          <w:noProof/>
        </w:rPr>
        <w:t>Obowiązki</w:t>
      </w:r>
      <w:r w:rsidR="004D5AD1" w:rsidRPr="004D5AD1">
        <w:rPr>
          <w:noProof/>
        </w:rPr>
        <w:t xml:space="preserve"> w</w:t>
      </w:r>
      <w:r w:rsidR="004D5AD1">
        <w:rPr>
          <w:noProof/>
        </w:rPr>
        <w:t> </w:t>
      </w:r>
      <w:r w:rsidR="004D5AD1" w:rsidRPr="004D5AD1">
        <w:rPr>
          <w:noProof/>
        </w:rPr>
        <w:t>zak</w:t>
      </w:r>
      <w:r w:rsidR="00D850DC" w:rsidRPr="004D5AD1">
        <w:rPr>
          <w:noProof/>
        </w:rPr>
        <w:t>resie badań LDAR powinny opierać się na szeregu dobrych praktyk. Badania LDAR powinny mieć na celu przede wszystkim wykrycie</w:t>
      </w:r>
      <w:r w:rsidR="004D5AD1" w:rsidRPr="004D5AD1">
        <w:rPr>
          <w:noProof/>
        </w:rPr>
        <w:t xml:space="preserve"> i</w:t>
      </w:r>
      <w:r w:rsidR="004D5AD1">
        <w:rPr>
          <w:noProof/>
        </w:rPr>
        <w:t> </w:t>
      </w:r>
      <w:r w:rsidR="004D5AD1" w:rsidRPr="004D5AD1">
        <w:rPr>
          <w:noProof/>
        </w:rPr>
        <w:t>nap</w:t>
      </w:r>
      <w:r w:rsidR="00D850DC" w:rsidRPr="004D5AD1">
        <w:rPr>
          <w:noProof/>
        </w:rPr>
        <w:t>rawę nieszczelności,</w:t>
      </w:r>
      <w:r w:rsidR="004D5AD1" w:rsidRPr="004D5AD1">
        <w:rPr>
          <w:noProof/>
        </w:rPr>
        <w:t xml:space="preserve"> a</w:t>
      </w:r>
      <w:r w:rsidR="004D5AD1">
        <w:rPr>
          <w:noProof/>
        </w:rPr>
        <w:t> </w:t>
      </w:r>
      <w:r w:rsidR="004D5AD1" w:rsidRPr="004D5AD1">
        <w:rPr>
          <w:noProof/>
        </w:rPr>
        <w:t>nie</w:t>
      </w:r>
      <w:r w:rsidR="00D850DC" w:rsidRPr="004D5AD1">
        <w:rPr>
          <w:noProof/>
        </w:rPr>
        <w:t xml:space="preserve"> ich określenie ilościowe,</w:t>
      </w:r>
      <w:r w:rsidR="004D5AD1" w:rsidRPr="004D5AD1">
        <w:rPr>
          <w:noProof/>
        </w:rPr>
        <w:t xml:space="preserve"> a</w:t>
      </w:r>
      <w:r w:rsidR="004D5AD1">
        <w:rPr>
          <w:noProof/>
        </w:rPr>
        <w:t> </w:t>
      </w:r>
      <w:r w:rsidR="004D5AD1" w:rsidRPr="004D5AD1">
        <w:rPr>
          <w:noProof/>
        </w:rPr>
        <w:t>obs</w:t>
      </w:r>
      <w:r w:rsidR="00D850DC" w:rsidRPr="004D5AD1">
        <w:rPr>
          <w:noProof/>
        </w:rPr>
        <w:t>zary</w:t>
      </w:r>
      <w:r w:rsidR="004D5AD1" w:rsidRPr="004D5AD1">
        <w:rPr>
          <w:noProof/>
        </w:rPr>
        <w:t xml:space="preserve"> o</w:t>
      </w:r>
      <w:r w:rsidR="004D5AD1">
        <w:rPr>
          <w:noProof/>
        </w:rPr>
        <w:t> </w:t>
      </w:r>
      <w:r w:rsidR="004D5AD1" w:rsidRPr="004D5AD1">
        <w:rPr>
          <w:noProof/>
        </w:rPr>
        <w:t>wyż</w:t>
      </w:r>
      <w:r w:rsidR="00D850DC" w:rsidRPr="004D5AD1">
        <w:rPr>
          <w:noProof/>
        </w:rPr>
        <w:t>szym ryzyku wycieków należy sprawdzać częściej; częstotliwość badań powinna wynikać nie tylko</w:t>
      </w:r>
      <w:r w:rsidR="004D5AD1" w:rsidRPr="004D5AD1">
        <w:rPr>
          <w:noProof/>
        </w:rPr>
        <w:t xml:space="preserve"> z</w:t>
      </w:r>
      <w:r w:rsidR="004D5AD1">
        <w:rPr>
          <w:noProof/>
        </w:rPr>
        <w:t> </w:t>
      </w:r>
      <w:r w:rsidR="004D5AD1" w:rsidRPr="004D5AD1">
        <w:rPr>
          <w:noProof/>
        </w:rPr>
        <w:t>pot</w:t>
      </w:r>
      <w:r w:rsidR="00D850DC" w:rsidRPr="004D5AD1">
        <w:rPr>
          <w:noProof/>
        </w:rPr>
        <w:t>rzeby naprawy elementów uwalniających metan powyżej progu emisji metanu, ale również ze względów operacyjnych,</w:t>
      </w:r>
      <w:r w:rsidR="004D5AD1" w:rsidRPr="004D5AD1">
        <w:rPr>
          <w:noProof/>
        </w:rPr>
        <w:t xml:space="preserve"> w</w:t>
      </w:r>
      <w:r w:rsidR="004D5AD1">
        <w:rPr>
          <w:noProof/>
        </w:rPr>
        <w:t> </w:t>
      </w:r>
      <w:r w:rsidR="004D5AD1" w:rsidRPr="004D5AD1">
        <w:rPr>
          <w:noProof/>
        </w:rPr>
        <w:t>tym</w:t>
      </w:r>
      <w:r w:rsidR="00D850DC" w:rsidRPr="004D5AD1">
        <w:rPr>
          <w:noProof/>
        </w:rPr>
        <w:t xml:space="preserve"> zagrożeń dla bezpieczeństwa</w:t>
      </w:r>
      <w:r w:rsidR="004D5AD1" w:rsidRPr="004D5AD1">
        <w:rPr>
          <w:noProof/>
        </w:rPr>
        <w:t>. W</w:t>
      </w:r>
      <w:r w:rsidR="004D5AD1">
        <w:rPr>
          <w:noProof/>
        </w:rPr>
        <w:t> </w:t>
      </w:r>
      <w:r w:rsidR="004D5AD1" w:rsidRPr="004D5AD1">
        <w:rPr>
          <w:noProof/>
        </w:rPr>
        <w:t>zwi</w:t>
      </w:r>
      <w:r w:rsidR="00D850DC" w:rsidRPr="004D5AD1">
        <w:rPr>
          <w:noProof/>
        </w:rPr>
        <w:t>ązku</w:t>
      </w:r>
      <w:r w:rsidR="004D5AD1" w:rsidRPr="004D5AD1">
        <w:rPr>
          <w:noProof/>
        </w:rPr>
        <w:t xml:space="preserve"> z</w:t>
      </w:r>
      <w:r w:rsidR="004D5AD1">
        <w:rPr>
          <w:noProof/>
        </w:rPr>
        <w:t> </w:t>
      </w:r>
      <w:r w:rsidR="004D5AD1" w:rsidRPr="004D5AD1">
        <w:rPr>
          <w:noProof/>
        </w:rPr>
        <w:t>pow</w:t>
      </w:r>
      <w:r w:rsidR="00D850DC" w:rsidRPr="004D5AD1">
        <w:rPr>
          <w:noProof/>
        </w:rPr>
        <w:t>yższym</w:t>
      </w:r>
      <w:r w:rsidR="004D5AD1" w:rsidRPr="004D5AD1">
        <w:rPr>
          <w:noProof/>
        </w:rPr>
        <w:t xml:space="preserve"> w</w:t>
      </w:r>
      <w:r w:rsidR="004D5AD1">
        <w:rPr>
          <w:noProof/>
        </w:rPr>
        <w:t> </w:t>
      </w:r>
      <w:r w:rsidR="004D5AD1" w:rsidRPr="004D5AD1">
        <w:rPr>
          <w:noProof/>
        </w:rPr>
        <w:t>prz</w:t>
      </w:r>
      <w:r w:rsidR="00D850DC" w:rsidRPr="004D5AD1">
        <w:rPr>
          <w:noProof/>
        </w:rPr>
        <w:t>ypadku stwierdzenia wyższego ryzyka dla bezpieczeństwa lub wyższego ryzyka utraty metanu właściwe organy powinny mieć możliwość zalecenia większej częstotliwości badań</w:t>
      </w:r>
      <w:r w:rsidR="004D5AD1" w:rsidRPr="004D5AD1">
        <w:rPr>
          <w:noProof/>
        </w:rPr>
        <w:t xml:space="preserve"> w</w:t>
      </w:r>
      <w:r w:rsidR="004D5AD1">
        <w:rPr>
          <w:noProof/>
        </w:rPr>
        <w:t> </w:t>
      </w:r>
      <w:r w:rsidR="004D5AD1" w:rsidRPr="004D5AD1">
        <w:rPr>
          <w:noProof/>
        </w:rPr>
        <w:t>odn</w:t>
      </w:r>
      <w:r w:rsidR="00D850DC" w:rsidRPr="004D5AD1">
        <w:rPr>
          <w:noProof/>
        </w:rPr>
        <w:t>iesieniu do odpowiednich elementów; wszystkie nieszczelności niezależnie od wielkości powinny być rejestrowane</w:t>
      </w:r>
      <w:r w:rsidR="004D5AD1" w:rsidRPr="004D5AD1">
        <w:rPr>
          <w:noProof/>
        </w:rPr>
        <w:t xml:space="preserve"> i</w:t>
      </w:r>
      <w:r w:rsidR="004D5AD1">
        <w:rPr>
          <w:noProof/>
        </w:rPr>
        <w:t> </w:t>
      </w:r>
      <w:r w:rsidR="004D5AD1" w:rsidRPr="004D5AD1">
        <w:rPr>
          <w:noProof/>
        </w:rPr>
        <w:t>mon</w:t>
      </w:r>
      <w:r w:rsidR="00D850DC" w:rsidRPr="004D5AD1">
        <w:rPr>
          <w:noProof/>
        </w:rPr>
        <w:t>itorowane, ponieważ małe nieszczelności mogą się przekształcić</w:t>
      </w:r>
      <w:r w:rsidR="004D5AD1" w:rsidRPr="004D5AD1">
        <w:rPr>
          <w:noProof/>
        </w:rPr>
        <w:t xml:space="preserve"> w</w:t>
      </w:r>
      <w:r w:rsidR="004D5AD1">
        <w:rPr>
          <w:noProof/>
        </w:rPr>
        <w:t> </w:t>
      </w:r>
      <w:r w:rsidR="004D5AD1" w:rsidRPr="004D5AD1">
        <w:rPr>
          <w:noProof/>
        </w:rPr>
        <w:t>wię</w:t>
      </w:r>
      <w:r w:rsidR="00D850DC" w:rsidRPr="004D5AD1">
        <w:rPr>
          <w:noProof/>
        </w:rPr>
        <w:t>ksze; po naprawach nieszczelności należy potwierdzić ich skuteczność; aby umożliwić stosowanie</w:t>
      </w:r>
      <w:r w:rsidR="004D5AD1" w:rsidRPr="004D5AD1">
        <w:rPr>
          <w:noProof/>
        </w:rPr>
        <w:t xml:space="preserve"> w</w:t>
      </w:r>
      <w:r w:rsidR="004D5AD1">
        <w:rPr>
          <w:noProof/>
        </w:rPr>
        <w:t> </w:t>
      </w:r>
      <w:r w:rsidR="004D5AD1" w:rsidRPr="004D5AD1">
        <w:rPr>
          <w:noProof/>
        </w:rPr>
        <w:t>prz</w:t>
      </w:r>
      <w:r w:rsidR="00D850DC" w:rsidRPr="004D5AD1">
        <w:rPr>
          <w:noProof/>
        </w:rPr>
        <w:t>yszłości bardziej zaawansowanych technologii wykrywania emisji metanu, należy określić wielkość utraty metanu, przy której lub powyżej której uzasadniona jest naprawa,</w:t>
      </w:r>
      <w:r w:rsidR="004D5AD1" w:rsidRPr="004D5AD1">
        <w:rPr>
          <w:noProof/>
        </w:rPr>
        <w:t xml:space="preserve"> a</w:t>
      </w:r>
      <w:r w:rsidR="004D5AD1">
        <w:rPr>
          <w:noProof/>
        </w:rPr>
        <w:t> </w:t>
      </w:r>
      <w:r w:rsidR="004D5AD1" w:rsidRPr="004D5AD1">
        <w:rPr>
          <w:noProof/>
        </w:rPr>
        <w:t>zar</w:t>
      </w:r>
      <w:r w:rsidR="00D850DC" w:rsidRPr="004D5AD1">
        <w:rPr>
          <w:noProof/>
        </w:rPr>
        <w:t>azem umożliwić operatorom wybór urządzenia wykrywającego</w:t>
      </w:r>
      <w:r w:rsidR="004D5AD1" w:rsidRPr="004D5AD1">
        <w:rPr>
          <w:noProof/>
        </w:rPr>
        <w:t>. W</w:t>
      </w:r>
      <w:r w:rsidR="004D5AD1">
        <w:rPr>
          <w:noProof/>
        </w:rPr>
        <w:t> </w:t>
      </w:r>
      <w:r w:rsidR="004D5AD1" w:rsidRPr="004D5AD1">
        <w:rPr>
          <w:noProof/>
        </w:rPr>
        <w:t>sto</w:t>
      </w:r>
      <w:r w:rsidR="00D850DC" w:rsidRPr="004D5AD1">
        <w:rPr>
          <w:noProof/>
        </w:rPr>
        <w:t>sownych przypadkach</w:t>
      </w:r>
      <w:r w:rsidR="004D5AD1" w:rsidRPr="004D5AD1">
        <w:rPr>
          <w:noProof/>
        </w:rPr>
        <w:t xml:space="preserve"> w</w:t>
      </w:r>
      <w:r w:rsidR="004D5AD1">
        <w:rPr>
          <w:noProof/>
        </w:rPr>
        <w:t> </w:t>
      </w:r>
      <w:r w:rsidR="004D5AD1" w:rsidRPr="004D5AD1">
        <w:rPr>
          <w:noProof/>
        </w:rPr>
        <w:t>kon</w:t>
      </w:r>
      <w:r w:rsidR="00D850DC" w:rsidRPr="004D5AD1">
        <w:rPr>
          <w:noProof/>
        </w:rPr>
        <w:t>tekście niniejszego rozporządzenia można stosować monitorowanie ciągłe.</w:t>
      </w:r>
      <w:r w:rsidR="004D5AD1" w:rsidRPr="004D5AD1">
        <w:rPr>
          <w:noProof/>
        </w:rPr>
        <w:t xml:space="preserve"> </w:t>
      </w:r>
    </w:p>
    <w:p w14:paraId="74DB1DBE" w14:textId="7FD7389F" w:rsidR="00CD116D" w:rsidRPr="004D5AD1" w:rsidRDefault="00DE3FFB" w:rsidP="00DE3FFB">
      <w:pPr>
        <w:pStyle w:val="ManualConsidrant"/>
        <w:rPr>
          <w:noProof/>
        </w:rPr>
      </w:pPr>
      <w:r w:rsidRPr="00DE3FFB">
        <w:t>(35)</w:t>
      </w:r>
      <w:r w:rsidRPr="00DE3FFB">
        <w:tab/>
      </w:r>
      <w:r w:rsidR="00E14275" w:rsidRPr="004D5AD1">
        <w:rPr>
          <w:noProof/>
        </w:rPr>
        <w:t>Uwalnianie do atmosfery polega na wypuszczaniu niespalonego metanu do atmosfery</w:t>
      </w:r>
      <w:r w:rsidR="004D5AD1" w:rsidRPr="004D5AD1">
        <w:rPr>
          <w:noProof/>
        </w:rPr>
        <w:t xml:space="preserve"> w</w:t>
      </w:r>
      <w:r w:rsidR="004D5AD1">
        <w:rPr>
          <w:noProof/>
        </w:rPr>
        <w:t> </w:t>
      </w:r>
      <w:r w:rsidR="004D5AD1" w:rsidRPr="004D5AD1">
        <w:rPr>
          <w:noProof/>
        </w:rPr>
        <w:t>spo</w:t>
      </w:r>
      <w:r w:rsidR="00E14275" w:rsidRPr="004D5AD1">
        <w:rPr>
          <w:noProof/>
        </w:rPr>
        <w:t>sób zamierzony</w:t>
      </w:r>
      <w:r w:rsidR="004D5AD1" w:rsidRPr="004D5AD1">
        <w:rPr>
          <w:noProof/>
        </w:rPr>
        <w:t xml:space="preserve"> z</w:t>
      </w:r>
      <w:r w:rsidR="004D5AD1">
        <w:rPr>
          <w:noProof/>
        </w:rPr>
        <w:t> </w:t>
      </w:r>
      <w:r w:rsidR="004D5AD1" w:rsidRPr="004D5AD1">
        <w:rPr>
          <w:noProof/>
        </w:rPr>
        <w:t>pro</w:t>
      </w:r>
      <w:r w:rsidR="00E14275" w:rsidRPr="004D5AD1">
        <w:rPr>
          <w:noProof/>
        </w:rPr>
        <w:t>cesów lub czynności, lub urządzeń zaprojektowanych do tego celu, albo</w:t>
      </w:r>
      <w:r w:rsidR="004D5AD1" w:rsidRPr="004D5AD1">
        <w:rPr>
          <w:noProof/>
        </w:rPr>
        <w:t xml:space="preserve"> w</w:t>
      </w:r>
      <w:r w:rsidR="004D5AD1">
        <w:rPr>
          <w:noProof/>
        </w:rPr>
        <w:t> </w:t>
      </w:r>
      <w:r w:rsidR="004D5AD1" w:rsidRPr="004D5AD1">
        <w:rPr>
          <w:noProof/>
        </w:rPr>
        <w:t>spo</w:t>
      </w:r>
      <w:r w:rsidR="00E14275" w:rsidRPr="004D5AD1">
        <w:rPr>
          <w:noProof/>
        </w:rPr>
        <w:t>sób niezamierzony</w:t>
      </w:r>
      <w:r w:rsidR="004D5AD1" w:rsidRPr="004D5AD1">
        <w:rPr>
          <w:noProof/>
        </w:rPr>
        <w:t xml:space="preserve"> w</w:t>
      </w:r>
      <w:r w:rsidR="004D5AD1">
        <w:rPr>
          <w:noProof/>
        </w:rPr>
        <w:t> </w:t>
      </w:r>
      <w:r w:rsidR="004D5AD1" w:rsidRPr="004D5AD1">
        <w:rPr>
          <w:noProof/>
        </w:rPr>
        <w:t>prz</w:t>
      </w:r>
      <w:r w:rsidR="00E14275" w:rsidRPr="004D5AD1">
        <w:rPr>
          <w:noProof/>
        </w:rPr>
        <w:t>ypadku niesprawności. Ze względu na silny wpływ uwalniania do atmosfery na emisję gazów cieplarnianych należy zakazać takiego uwalniania,</w:t>
      </w:r>
      <w:r w:rsidR="004D5AD1" w:rsidRPr="004D5AD1">
        <w:rPr>
          <w:noProof/>
        </w:rPr>
        <w:t xml:space="preserve"> z</w:t>
      </w:r>
      <w:r w:rsidR="004D5AD1">
        <w:rPr>
          <w:noProof/>
        </w:rPr>
        <w:t> </w:t>
      </w:r>
      <w:r w:rsidR="004D5AD1" w:rsidRPr="004D5AD1">
        <w:rPr>
          <w:noProof/>
        </w:rPr>
        <w:t>wyj</w:t>
      </w:r>
      <w:r w:rsidR="00E14275" w:rsidRPr="004D5AD1">
        <w:rPr>
          <w:noProof/>
        </w:rPr>
        <w:t>ątkiem sytuacji awaryjnych, niesprawności lub pewnych szczególnych zdarzeń,</w:t>
      </w:r>
      <w:r w:rsidR="004D5AD1" w:rsidRPr="004D5AD1">
        <w:rPr>
          <w:noProof/>
        </w:rPr>
        <w:t xml:space="preserve"> w</w:t>
      </w:r>
      <w:r w:rsidR="004D5AD1">
        <w:rPr>
          <w:noProof/>
        </w:rPr>
        <w:t> </w:t>
      </w:r>
      <w:r w:rsidR="004D5AD1" w:rsidRPr="004D5AD1">
        <w:rPr>
          <w:noProof/>
        </w:rPr>
        <w:t>prz</w:t>
      </w:r>
      <w:r w:rsidR="00E14275" w:rsidRPr="004D5AD1">
        <w:rPr>
          <w:noProof/>
        </w:rPr>
        <w:t xml:space="preserve">ypadku których uniknięcie uwolnienia do atmosfery nie jest możliwe. </w:t>
      </w:r>
    </w:p>
    <w:p w14:paraId="1510F065" w14:textId="78DAE02E" w:rsidR="00CD116D" w:rsidRPr="004D5AD1" w:rsidRDefault="00DE3FFB" w:rsidP="00DE3FFB">
      <w:pPr>
        <w:pStyle w:val="ManualConsidrant"/>
        <w:rPr>
          <w:noProof/>
        </w:rPr>
      </w:pPr>
      <w:r w:rsidRPr="00DE3FFB">
        <w:t>(36)</w:t>
      </w:r>
      <w:r w:rsidRPr="00DE3FFB">
        <w:tab/>
      </w:r>
      <w:r w:rsidR="002B590F" w:rsidRPr="004D5AD1">
        <w:rPr>
          <w:noProof/>
        </w:rPr>
        <w:t>Spalanie gazu</w:t>
      </w:r>
      <w:r w:rsidR="004D5AD1" w:rsidRPr="004D5AD1">
        <w:rPr>
          <w:noProof/>
        </w:rPr>
        <w:t xml:space="preserve"> w</w:t>
      </w:r>
      <w:r w:rsidR="004D5AD1">
        <w:rPr>
          <w:noProof/>
        </w:rPr>
        <w:t> </w:t>
      </w:r>
      <w:r w:rsidR="004D5AD1" w:rsidRPr="004D5AD1">
        <w:rPr>
          <w:noProof/>
        </w:rPr>
        <w:t>poc</w:t>
      </w:r>
      <w:r w:rsidR="002B590F" w:rsidRPr="004D5AD1">
        <w:rPr>
          <w:noProof/>
        </w:rPr>
        <w:t>hodni oznacza kontrolowane spalanie metanu</w:t>
      </w:r>
      <w:r w:rsidR="004D5AD1" w:rsidRPr="004D5AD1">
        <w:rPr>
          <w:noProof/>
        </w:rPr>
        <w:t xml:space="preserve"> w</w:t>
      </w:r>
      <w:r w:rsidR="004D5AD1">
        <w:rPr>
          <w:noProof/>
        </w:rPr>
        <w:t> </w:t>
      </w:r>
      <w:r w:rsidR="004D5AD1" w:rsidRPr="004D5AD1">
        <w:rPr>
          <w:noProof/>
        </w:rPr>
        <w:t>cel</w:t>
      </w:r>
      <w:r w:rsidR="002B590F" w:rsidRPr="004D5AD1">
        <w:rPr>
          <w:noProof/>
        </w:rPr>
        <w:t>u jego unieszkodliwienia</w:t>
      </w:r>
      <w:r w:rsidR="004D5AD1" w:rsidRPr="004D5AD1">
        <w:rPr>
          <w:noProof/>
        </w:rPr>
        <w:t xml:space="preserve"> w</w:t>
      </w:r>
      <w:r w:rsidR="004D5AD1">
        <w:rPr>
          <w:noProof/>
        </w:rPr>
        <w:t> </w:t>
      </w:r>
      <w:r w:rsidR="004D5AD1" w:rsidRPr="004D5AD1">
        <w:rPr>
          <w:noProof/>
        </w:rPr>
        <w:t>urz</w:t>
      </w:r>
      <w:r w:rsidR="002B590F" w:rsidRPr="004D5AD1">
        <w:rPr>
          <w:noProof/>
        </w:rPr>
        <w:t>ądzeniu przeznaczonym do wspomnianego spalania. Za rutynowe spalanie gazu</w:t>
      </w:r>
      <w:r w:rsidR="004D5AD1" w:rsidRPr="004D5AD1">
        <w:rPr>
          <w:noProof/>
        </w:rPr>
        <w:t xml:space="preserve"> w</w:t>
      </w:r>
      <w:r w:rsidR="004D5AD1">
        <w:rPr>
          <w:noProof/>
        </w:rPr>
        <w:t> </w:t>
      </w:r>
      <w:r w:rsidR="004D5AD1" w:rsidRPr="004D5AD1">
        <w:rPr>
          <w:noProof/>
        </w:rPr>
        <w:t>poc</w:t>
      </w:r>
      <w:r w:rsidR="002B590F" w:rsidRPr="004D5AD1">
        <w:rPr>
          <w:noProof/>
        </w:rPr>
        <w:t>hodni uznaje się przeprowadzanie spalania gazu podczas normalnej produkcji ropy naftowej lub gazu ziemnego oraz ze względu na brak wystarczającej infrastruktury lub geologii umożliwiających ponowne zatłoczenie metanu, wykorzystanie go na miejscu lub wysłanie na rynek. Należy zakazać rutynowego spalania gazu</w:t>
      </w:r>
      <w:r w:rsidR="004D5AD1" w:rsidRPr="004D5AD1">
        <w:rPr>
          <w:noProof/>
        </w:rPr>
        <w:t xml:space="preserve"> w</w:t>
      </w:r>
      <w:r w:rsidR="004D5AD1">
        <w:rPr>
          <w:noProof/>
        </w:rPr>
        <w:t> </w:t>
      </w:r>
      <w:r w:rsidR="004D5AD1" w:rsidRPr="004D5AD1">
        <w:rPr>
          <w:noProof/>
        </w:rPr>
        <w:t>poc</w:t>
      </w:r>
      <w:r w:rsidR="002B590F" w:rsidRPr="004D5AD1">
        <w:rPr>
          <w:noProof/>
        </w:rPr>
        <w:t>hodni. Spalanie gazu</w:t>
      </w:r>
      <w:r w:rsidR="004D5AD1" w:rsidRPr="004D5AD1">
        <w:rPr>
          <w:noProof/>
        </w:rPr>
        <w:t xml:space="preserve"> w</w:t>
      </w:r>
      <w:r w:rsidR="004D5AD1">
        <w:rPr>
          <w:noProof/>
        </w:rPr>
        <w:t> </w:t>
      </w:r>
      <w:r w:rsidR="004D5AD1" w:rsidRPr="004D5AD1">
        <w:rPr>
          <w:noProof/>
        </w:rPr>
        <w:t>poc</w:t>
      </w:r>
      <w:r w:rsidR="002B590F" w:rsidRPr="004D5AD1">
        <w:rPr>
          <w:noProof/>
        </w:rPr>
        <w:t>hodni powinno być dopuszczalne wyłącznie wtedy, gdy jest jedyną alternatywą dla uwalniania do atmosfery</w:t>
      </w:r>
      <w:r w:rsidR="004D5AD1" w:rsidRPr="004D5AD1">
        <w:rPr>
          <w:noProof/>
        </w:rPr>
        <w:t xml:space="preserve"> i</w:t>
      </w:r>
      <w:r w:rsidR="004D5AD1">
        <w:rPr>
          <w:noProof/>
        </w:rPr>
        <w:t> </w:t>
      </w:r>
      <w:r w:rsidR="004D5AD1" w:rsidRPr="004D5AD1">
        <w:rPr>
          <w:noProof/>
        </w:rPr>
        <w:t>gdy</w:t>
      </w:r>
      <w:r w:rsidR="002B590F" w:rsidRPr="004D5AD1">
        <w:rPr>
          <w:noProof/>
        </w:rPr>
        <w:t xml:space="preserve"> takie uwalnianie nie jest zabronione. Uwalnianie do atmosfery jest</w:t>
      </w:r>
      <w:r w:rsidR="004D5AD1" w:rsidRPr="004D5AD1">
        <w:rPr>
          <w:noProof/>
        </w:rPr>
        <w:t xml:space="preserve"> z</w:t>
      </w:r>
      <w:r w:rsidR="004D5AD1">
        <w:rPr>
          <w:noProof/>
        </w:rPr>
        <w:t> </w:t>
      </w:r>
      <w:r w:rsidR="004D5AD1" w:rsidRPr="004D5AD1">
        <w:rPr>
          <w:noProof/>
        </w:rPr>
        <w:t>bar</w:t>
      </w:r>
      <w:r w:rsidR="002B590F" w:rsidRPr="004D5AD1">
        <w:rPr>
          <w:noProof/>
        </w:rPr>
        <w:t>dziej szkodliwe dla środowiska niż spalanie gazu</w:t>
      </w:r>
      <w:r w:rsidR="004D5AD1" w:rsidRPr="004D5AD1">
        <w:rPr>
          <w:noProof/>
        </w:rPr>
        <w:t xml:space="preserve"> w</w:t>
      </w:r>
      <w:r w:rsidR="004D5AD1">
        <w:rPr>
          <w:noProof/>
        </w:rPr>
        <w:t> </w:t>
      </w:r>
      <w:r w:rsidR="004D5AD1" w:rsidRPr="004D5AD1">
        <w:rPr>
          <w:noProof/>
        </w:rPr>
        <w:t>poc</w:t>
      </w:r>
      <w:r w:rsidR="002B590F" w:rsidRPr="004D5AD1">
        <w:rPr>
          <w:noProof/>
        </w:rPr>
        <w:t>hodni, ponieważ uwolniony gaz zawiera zwykle wysokie poziomy metanu, natomiast</w:t>
      </w:r>
      <w:r w:rsidR="004D5AD1" w:rsidRPr="004D5AD1">
        <w:rPr>
          <w:noProof/>
        </w:rPr>
        <w:t xml:space="preserve"> w</w:t>
      </w:r>
      <w:r w:rsidR="004D5AD1">
        <w:rPr>
          <w:noProof/>
        </w:rPr>
        <w:t> </w:t>
      </w:r>
      <w:r w:rsidR="004D5AD1" w:rsidRPr="004D5AD1">
        <w:rPr>
          <w:noProof/>
        </w:rPr>
        <w:t>wyn</w:t>
      </w:r>
      <w:r w:rsidR="002B590F" w:rsidRPr="004D5AD1">
        <w:rPr>
          <w:noProof/>
        </w:rPr>
        <w:t>iku spalania</w:t>
      </w:r>
      <w:r w:rsidR="004D5AD1" w:rsidRPr="004D5AD1">
        <w:rPr>
          <w:noProof/>
        </w:rPr>
        <w:t xml:space="preserve"> w</w:t>
      </w:r>
      <w:r w:rsidR="004D5AD1">
        <w:rPr>
          <w:noProof/>
        </w:rPr>
        <w:t> </w:t>
      </w:r>
      <w:r w:rsidR="004D5AD1" w:rsidRPr="004D5AD1">
        <w:rPr>
          <w:noProof/>
        </w:rPr>
        <w:t>poc</w:t>
      </w:r>
      <w:r w:rsidR="002B590F" w:rsidRPr="004D5AD1">
        <w:rPr>
          <w:noProof/>
        </w:rPr>
        <w:t>hodni metan ulega utlenieniu do dwutlenku węgla.</w:t>
      </w:r>
    </w:p>
    <w:p w14:paraId="45E31B99" w14:textId="2EFB46E1" w:rsidR="00CD116D" w:rsidRPr="004D5AD1" w:rsidRDefault="00DE3FFB" w:rsidP="00DE3FFB">
      <w:pPr>
        <w:pStyle w:val="ManualConsidrant"/>
        <w:rPr>
          <w:noProof/>
        </w:rPr>
      </w:pPr>
      <w:r w:rsidRPr="00DE3FFB">
        <w:t>(37)</w:t>
      </w:r>
      <w:r w:rsidRPr="00DE3FFB">
        <w:tab/>
      </w:r>
      <w:r w:rsidR="00CD116D" w:rsidRPr="004D5AD1">
        <w:rPr>
          <w:noProof/>
        </w:rPr>
        <w:t>Stosowanie spalania gazu</w:t>
      </w:r>
      <w:r w:rsidR="004D5AD1" w:rsidRPr="004D5AD1">
        <w:rPr>
          <w:noProof/>
        </w:rPr>
        <w:t xml:space="preserve"> w</w:t>
      </w:r>
      <w:r w:rsidR="004D5AD1">
        <w:rPr>
          <w:noProof/>
        </w:rPr>
        <w:t> </w:t>
      </w:r>
      <w:r w:rsidR="004D5AD1" w:rsidRPr="004D5AD1">
        <w:rPr>
          <w:noProof/>
        </w:rPr>
        <w:t>poc</w:t>
      </w:r>
      <w:r w:rsidR="00CD116D" w:rsidRPr="004D5AD1">
        <w:rPr>
          <w:noProof/>
        </w:rPr>
        <w:t>hodni jako alternatywy dla uwalniania do atmosfery wymaga, aby urządzenia do spalania</w:t>
      </w:r>
      <w:r w:rsidR="004D5AD1" w:rsidRPr="004D5AD1">
        <w:rPr>
          <w:noProof/>
        </w:rPr>
        <w:t xml:space="preserve"> w</w:t>
      </w:r>
      <w:r w:rsidR="004D5AD1">
        <w:rPr>
          <w:noProof/>
        </w:rPr>
        <w:t> </w:t>
      </w:r>
      <w:r w:rsidR="004D5AD1" w:rsidRPr="004D5AD1">
        <w:rPr>
          <w:noProof/>
        </w:rPr>
        <w:t>poc</w:t>
      </w:r>
      <w:r w:rsidR="00CD116D" w:rsidRPr="004D5AD1">
        <w:rPr>
          <w:noProof/>
        </w:rPr>
        <w:t>hodni zapewniały sprawne spalanie metanu</w:t>
      </w:r>
      <w:r w:rsidR="004D5AD1" w:rsidRPr="004D5AD1">
        <w:rPr>
          <w:noProof/>
        </w:rPr>
        <w:t>. W</w:t>
      </w:r>
      <w:r w:rsidR="004D5AD1">
        <w:rPr>
          <w:noProof/>
        </w:rPr>
        <w:t> </w:t>
      </w:r>
      <w:r w:rsidR="004D5AD1" w:rsidRPr="004D5AD1">
        <w:rPr>
          <w:noProof/>
        </w:rPr>
        <w:t>prz</w:t>
      </w:r>
      <w:r w:rsidR="00CD116D" w:rsidRPr="004D5AD1">
        <w:rPr>
          <w:noProof/>
        </w:rPr>
        <w:t>ypadkach,</w:t>
      </w:r>
      <w:r w:rsidR="004D5AD1" w:rsidRPr="004D5AD1">
        <w:rPr>
          <w:noProof/>
        </w:rPr>
        <w:t xml:space="preserve"> w</w:t>
      </w:r>
      <w:r w:rsidR="004D5AD1">
        <w:rPr>
          <w:noProof/>
        </w:rPr>
        <w:t> </w:t>
      </w:r>
      <w:r w:rsidR="004D5AD1" w:rsidRPr="004D5AD1">
        <w:rPr>
          <w:noProof/>
        </w:rPr>
        <w:t>któ</w:t>
      </w:r>
      <w:r w:rsidR="00CD116D" w:rsidRPr="004D5AD1">
        <w:rPr>
          <w:noProof/>
        </w:rPr>
        <w:t>rych spalanie gazu</w:t>
      </w:r>
      <w:r w:rsidR="004D5AD1" w:rsidRPr="004D5AD1">
        <w:rPr>
          <w:noProof/>
        </w:rPr>
        <w:t xml:space="preserve"> w</w:t>
      </w:r>
      <w:r w:rsidR="004D5AD1">
        <w:rPr>
          <w:noProof/>
        </w:rPr>
        <w:t> </w:t>
      </w:r>
      <w:r w:rsidR="004D5AD1" w:rsidRPr="004D5AD1">
        <w:rPr>
          <w:noProof/>
        </w:rPr>
        <w:t>poc</w:t>
      </w:r>
      <w:r w:rsidR="00CD116D" w:rsidRPr="004D5AD1">
        <w:rPr>
          <w:noProof/>
        </w:rPr>
        <w:t>hodni jest dopuszczalne, należy</w:t>
      </w:r>
      <w:r w:rsidR="004D5AD1" w:rsidRPr="004D5AD1">
        <w:rPr>
          <w:noProof/>
        </w:rPr>
        <w:t xml:space="preserve"> w</w:t>
      </w:r>
      <w:r w:rsidR="004D5AD1">
        <w:rPr>
          <w:noProof/>
        </w:rPr>
        <w:t> </w:t>
      </w:r>
      <w:r w:rsidR="004D5AD1" w:rsidRPr="004D5AD1">
        <w:rPr>
          <w:noProof/>
        </w:rPr>
        <w:t>zwi</w:t>
      </w:r>
      <w:r w:rsidR="00CD116D" w:rsidRPr="004D5AD1">
        <w:rPr>
          <w:noProof/>
        </w:rPr>
        <w:t>ązku</w:t>
      </w:r>
      <w:r w:rsidR="004D5AD1" w:rsidRPr="004D5AD1">
        <w:rPr>
          <w:noProof/>
        </w:rPr>
        <w:t xml:space="preserve"> z</w:t>
      </w:r>
      <w:r w:rsidR="004D5AD1">
        <w:rPr>
          <w:noProof/>
        </w:rPr>
        <w:t> </w:t>
      </w:r>
      <w:r w:rsidR="004D5AD1" w:rsidRPr="004D5AD1">
        <w:rPr>
          <w:noProof/>
        </w:rPr>
        <w:t>tym</w:t>
      </w:r>
      <w:r w:rsidR="00CD116D" w:rsidRPr="004D5AD1">
        <w:rPr>
          <w:noProof/>
        </w:rPr>
        <w:t xml:space="preserve"> również uwzględnić wymóg sprawności spalania. Ponadto należy wymagać stosowania palników oszczędnościowych, które zapewniają bardziej niezawodny zapłon, ponieważ nie są podatne na skutki działania wiatru.</w:t>
      </w:r>
    </w:p>
    <w:p w14:paraId="34A68C4F" w14:textId="66503B2E" w:rsidR="00CD116D" w:rsidRPr="004D5AD1" w:rsidRDefault="00DE3FFB" w:rsidP="00DE3FFB">
      <w:pPr>
        <w:pStyle w:val="ManualConsidrant"/>
        <w:rPr>
          <w:noProof/>
        </w:rPr>
      </w:pPr>
      <w:r w:rsidRPr="00DE3FFB">
        <w:t>(38)</w:t>
      </w:r>
      <w:r w:rsidRPr="00DE3FFB">
        <w:tab/>
      </w:r>
      <w:r w:rsidR="00CD116D" w:rsidRPr="004D5AD1">
        <w:rPr>
          <w:noProof/>
        </w:rPr>
        <w:t>Ponowne zatłaczanie, wykorzystanie na miejscu lub wysłanie metanu na rynek powinny być zawsze wyborem preferowanym</w:t>
      </w:r>
      <w:r w:rsidR="004D5AD1" w:rsidRPr="004D5AD1">
        <w:rPr>
          <w:noProof/>
        </w:rPr>
        <w:t xml:space="preserve"> w</w:t>
      </w:r>
      <w:r w:rsidR="004D5AD1">
        <w:rPr>
          <w:noProof/>
        </w:rPr>
        <w:t> </w:t>
      </w:r>
      <w:r w:rsidR="004D5AD1" w:rsidRPr="004D5AD1">
        <w:rPr>
          <w:noProof/>
        </w:rPr>
        <w:t>sto</w:t>
      </w:r>
      <w:r w:rsidR="00CD116D" w:rsidRPr="004D5AD1">
        <w:rPr>
          <w:noProof/>
        </w:rPr>
        <w:t>sunku do spalania</w:t>
      </w:r>
      <w:r w:rsidR="004D5AD1" w:rsidRPr="004D5AD1">
        <w:rPr>
          <w:noProof/>
        </w:rPr>
        <w:t xml:space="preserve"> w</w:t>
      </w:r>
      <w:r w:rsidR="004D5AD1">
        <w:rPr>
          <w:noProof/>
        </w:rPr>
        <w:t> </w:t>
      </w:r>
      <w:r w:rsidR="004D5AD1" w:rsidRPr="004D5AD1">
        <w:rPr>
          <w:noProof/>
        </w:rPr>
        <w:t>poc</w:t>
      </w:r>
      <w:r w:rsidR="00CD116D" w:rsidRPr="004D5AD1">
        <w:rPr>
          <w:noProof/>
        </w:rPr>
        <w:t>hodni,</w:t>
      </w:r>
      <w:r w:rsidR="004D5AD1" w:rsidRPr="004D5AD1">
        <w:rPr>
          <w:noProof/>
        </w:rPr>
        <w:t xml:space="preserve"> a</w:t>
      </w:r>
      <w:r w:rsidR="004D5AD1">
        <w:rPr>
          <w:noProof/>
        </w:rPr>
        <w:t> </w:t>
      </w:r>
      <w:r w:rsidR="004D5AD1" w:rsidRPr="004D5AD1">
        <w:rPr>
          <w:noProof/>
        </w:rPr>
        <w:t>tym</w:t>
      </w:r>
      <w:r w:rsidR="00CD116D" w:rsidRPr="004D5AD1">
        <w:rPr>
          <w:noProof/>
        </w:rPr>
        <w:t xml:space="preserve"> samym uwalniania metanu do atmosfery. Operatorzy, którzy prowadzą uwalnianie do atmosfery, powinni przedstawiać właściwym organom dowód, że ponowne zatłoczenie metanu, wykorzystanie go na miejscu, wysłanie na rynek, ani spalanie</w:t>
      </w:r>
      <w:r w:rsidR="004D5AD1" w:rsidRPr="004D5AD1">
        <w:rPr>
          <w:noProof/>
        </w:rPr>
        <w:t xml:space="preserve"> w</w:t>
      </w:r>
      <w:r w:rsidR="004D5AD1">
        <w:rPr>
          <w:noProof/>
        </w:rPr>
        <w:t> </w:t>
      </w:r>
      <w:r w:rsidR="004D5AD1" w:rsidRPr="004D5AD1">
        <w:rPr>
          <w:noProof/>
        </w:rPr>
        <w:t>poc</w:t>
      </w:r>
      <w:r w:rsidR="00CD116D" w:rsidRPr="004D5AD1">
        <w:rPr>
          <w:noProof/>
        </w:rPr>
        <w:t>hodni nie były możliwe,</w:t>
      </w:r>
      <w:r w:rsidR="004D5AD1" w:rsidRPr="004D5AD1">
        <w:rPr>
          <w:noProof/>
        </w:rPr>
        <w:t xml:space="preserve"> a</w:t>
      </w:r>
      <w:r w:rsidR="004D5AD1">
        <w:rPr>
          <w:noProof/>
        </w:rPr>
        <w:t> </w:t>
      </w:r>
      <w:r w:rsidR="004D5AD1" w:rsidRPr="004D5AD1">
        <w:rPr>
          <w:noProof/>
        </w:rPr>
        <w:t>ope</w:t>
      </w:r>
      <w:r w:rsidR="00CD116D" w:rsidRPr="004D5AD1">
        <w:rPr>
          <w:noProof/>
        </w:rPr>
        <w:t>ratorzy, którzy stosują spalanie gazu</w:t>
      </w:r>
      <w:r w:rsidR="004D5AD1" w:rsidRPr="004D5AD1">
        <w:rPr>
          <w:noProof/>
        </w:rPr>
        <w:t xml:space="preserve"> w</w:t>
      </w:r>
      <w:r w:rsidR="004D5AD1">
        <w:rPr>
          <w:noProof/>
        </w:rPr>
        <w:t> </w:t>
      </w:r>
      <w:r w:rsidR="004D5AD1" w:rsidRPr="004D5AD1">
        <w:rPr>
          <w:noProof/>
        </w:rPr>
        <w:t>poc</w:t>
      </w:r>
      <w:r w:rsidR="00CD116D" w:rsidRPr="004D5AD1">
        <w:rPr>
          <w:noProof/>
        </w:rPr>
        <w:t>hodni, powinni przedstawić właściwym organom dowód, że ponowne zatłoczenie metanu, wykorzystanie go na miejscu ani wysłanie na rynek nie były możliwe.</w:t>
      </w:r>
      <w:r w:rsidR="004D5AD1" w:rsidRPr="004D5AD1">
        <w:rPr>
          <w:noProof/>
        </w:rPr>
        <w:t xml:space="preserve"> </w:t>
      </w:r>
    </w:p>
    <w:p w14:paraId="7461705D" w14:textId="5B36F48A" w:rsidR="00F42D38" w:rsidRPr="004D5AD1" w:rsidRDefault="00DE3FFB" w:rsidP="00DE3FFB">
      <w:pPr>
        <w:pStyle w:val="ManualConsidrant"/>
        <w:rPr>
          <w:noProof/>
        </w:rPr>
      </w:pPr>
      <w:r w:rsidRPr="00DE3FFB">
        <w:t>(39)</w:t>
      </w:r>
      <w:r w:rsidRPr="00DE3FFB">
        <w:tab/>
      </w:r>
      <w:r w:rsidR="003910B8" w:rsidRPr="004D5AD1">
        <w:rPr>
          <w:noProof/>
        </w:rPr>
        <w:t>Operatorzy powinni niezwłocznie powiadamiać właściwe organy</w:t>
      </w:r>
      <w:r w:rsidR="004D5AD1" w:rsidRPr="004D5AD1">
        <w:rPr>
          <w:noProof/>
        </w:rPr>
        <w:t xml:space="preserve"> o</w:t>
      </w:r>
      <w:r w:rsidR="004D5AD1">
        <w:rPr>
          <w:noProof/>
        </w:rPr>
        <w:t> </w:t>
      </w:r>
      <w:r w:rsidR="004D5AD1" w:rsidRPr="004D5AD1">
        <w:rPr>
          <w:noProof/>
        </w:rPr>
        <w:t>pow</w:t>
      </w:r>
      <w:r w:rsidR="003910B8" w:rsidRPr="004D5AD1">
        <w:rPr>
          <w:noProof/>
        </w:rPr>
        <w:t>ażnych przypadkach uwalniania do atmosfery</w:t>
      </w:r>
      <w:r w:rsidR="004D5AD1" w:rsidRPr="004D5AD1">
        <w:rPr>
          <w:noProof/>
        </w:rPr>
        <w:t xml:space="preserve"> i</w:t>
      </w:r>
      <w:r w:rsidR="004D5AD1">
        <w:rPr>
          <w:noProof/>
        </w:rPr>
        <w:t> </w:t>
      </w:r>
      <w:r w:rsidR="004D5AD1" w:rsidRPr="004D5AD1">
        <w:rPr>
          <w:noProof/>
        </w:rPr>
        <w:t>spa</w:t>
      </w:r>
      <w:r w:rsidR="003910B8" w:rsidRPr="004D5AD1">
        <w:rPr>
          <w:noProof/>
        </w:rPr>
        <w:t>lania gazu</w:t>
      </w:r>
      <w:r w:rsidR="004D5AD1" w:rsidRPr="004D5AD1">
        <w:rPr>
          <w:noProof/>
        </w:rPr>
        <w:t xml:space="preserve"> w</w:t>
      </w:r>
      <w:r w:rsidR="004D5AD1">
        <w:rPr>
          <w:noProof/>
        </w:rPr>
        <w:t> </w:t>
      </w:r>
      <w:r w:rsidR="004D5AD1" w:rsidRPr="004D5AD1">
        <w:rPr>
          <w:noProof/>
        </w:rPr>
        <w:t>poc</w:t>
      </w:r>
      <w:r w:rsidR="003910B8" w:rsidRPr="004D5AD1">
        <w:rPr>
          <w:noProof/>
        </w:rPr>
        <w:t>hodni oraz przedkładać bardziej szczegółowe sprawozdania na temat wszystkich takich zdarzeń. Powinni oni również zapewnić zgodność sprzętu</w:t>
      </w:r>
      <w:r w:rsidR="004D5AD1" w:rsidRPr="004D5AD1">
        <w:rPr>
          <w:noProof/>
        </w:rPr>
        <w:t xml:space="preserve"> i</w:t>
      </w:r>
      <w:r w:rsidR="004D5AD1">
        <w:rPr>
          <w:noProof/>
        </w:rPr>
        <w:t> </w:t>
      </w:r>
      <w:r w:rsidR="004D5AD1" w:rsidRPr="004D5AD1">
        <w:rPr>
          <w:noProof/>
        </w:rPr>
        <w:t>urz</w:t>
      </w:r>
      <w:r w:rsidR="003910B8" w:rsidRPr="004D5AD1">
        <w:rPr>
          <w:noProof/>
        </w:rPr>
        <w:t>ądzeń</w:t>
      </w:r>
      <w:r w:rsidR="004D5AD1" w:rsidRPr="004D5AD1">
        <w:rPr>
          <w:noProof/>
        </w:rPr>
        <w:t xml:space="preserve"> z</w:t>
      </w:r>
      <w:r w:rsidR="004D5AD1">
        <w:rPr>
          <w:noProof/>
        </w:rPr>
        <w:t> </w:t>
      </w:r>
      <w:r w:rsidR="004D5AD1" w:rsidRPr="004D5AD1">
        <w:rPr>
          <w:noProof/>
        </w:rPr>
        <w:t>nor</w:t>
      </w:r>
      <w:r w:rsidR="003910B8" w:rsidRPr="004D5AD1">
        <w:rPr>
          <w:noProof/>
        </w:rPr>
        <w:t>mami określonymi</w:t>
      </w:r>
      <w:r w:rsidR="004D5AD1" w:rsidRPr="004D5AD1">
        <w:rPr>
          <w:noProof/>
        </w:rPr>
        <w:t xml:space="preserve"> w</w:t>
      </w:r>
      <w:r w:rsidR="004D5AD1">
        <w:rPr>
          <w:noProof/>
        </w:rPr>
        <w:t> </w:t>
      </w:r>
      <w:r w:rsidR="004D5AD1" w:rsidRPr="004D5AD1">
        <w:rPr>
          <w:noProof/>
        </w:rPr>
        <w:t>pra</w:t>
      </w:r>
      <w:r w:rsidR="003910B8" w:rsidRPr="004D5AD1">
        <w:rPr>
          <w:noProof/>
        </w:rPr>
        <w:t xml:space="preserve">wie Unii. </w:t>
      </w:r>
    </w:p>
    <w:p w14:paraId="20D31A79" w14:textId="1CC8B791" w:rsidR="00FA63F6" w:rsidRPr="004D5AD1" w:rsidRDefault="00DE3FFB" w:rsidP="00DE3FFB">
      <w:pPr>
        <w:pStyle w:val="ManualConsidrant"/>
        <w:rPr>
          <w:noProof/>
          <w:szCs w:val="24"/>
        </w:rPr>
      </w:pPr>
      <w:r w:rsidRPr="00DE3FFB">
        <w:t>(40)</w:t>
      </w:r>
      <w:r w:rsidRPr="00DE3FFB">
        <w:tab/>
      </w:r>
      <w:r w:rsidR="00BE3DEC" w:rsidRPr="004D5AD1">
        <w:rPr>
          <w:noProof/>
        </w:rPr>
        <w:t>Emisje metanu</w:t>
      </w:r>
      <w:r w:rsidR="004D5AD1" w:rsidRPr="004D5AD1">
        <w:rPr>
          <w:noProof/>
        </w:rPr>
        <w:t xml:space="preserve"> z</w:t>
      </w:r>
      <w:r w:rsidR="004D5AD1">
        <w:rPr>
          <w:noProof/>
        </w:rPr>
        <w:t> </w:t>
      </w:r>
      <w:r w:rsidR="004D5AD1" w:rsidRPr="004D5AD1">
        <w:rPr>
          <w:noProof/>
        </w:rPr>
        <w:t>nie</w:t>
      </w:r>
      <w:r w:rsidR="00BE3DEC" w:rsidRPr="004D5AD1">
        <w:rPr>
          <w:noProof/>
        </w:rPr>
        <w:t>aktywnych odwiertów naftowych</w:t>
      </w:r>
      <w:r w:rsidR="004D5AD1" w:rsidRPr="004D5AD1">
        <w:rPr>
          <w:noProof/>
        </w:rPr>
        <w:t xml:space="preserve"> i</w:t>
      </w:r>
      <w:r w:rsidR="004D5AD1">
        <w:rPr>
          <w:noProof/>
        </w:rPr>
        <w:t> </w:t>
      </w:r>
      <w:r w:rsidR="004D5AD1" w:rsidRPr="004D5AD1">
        <w:rPr>
          <w:noProof/>
        </w:rPr>
        <w:t>gaz</w:t>
      </w:r>
      <w:r w:rsidR="00BE3DEC" w:rsidRPr="004D5AD1">
        <w:rPr>
          <w:noProof/>
        </w:rPr>
        <w:t>owych stanowią zagrożenie dla zdrowia publicznego, bezpieczeństwa</w:t>
      </w:r>
      <w:r w:rsidR="004D5AD1" w:rsidRPr="004D5AD1">
        <w:rPr>
          <w:noProof/>
        </w:rPr>
        <w:t xml:space="preserve"> i</w:t>
      </w:r>
      <w:r w:rsidR="004D5AD1">
        <w:rPr>
          <w:noProof/>
        </w:rPr>
        <w:t> </w:t>
      </w:r>
      <w:r w:rsidR="004D5AD1" w:rsidRPr="004D5AD1">
        <w:rPr>
          <w:noProof/>
        </w:rPr>
        <w:t>śro</w:t>
      </w:r>
      <w:r w:rsidR="00BE3DEC" w:rsidRPr="004D5AD1">
        <w:rPr>
          <w:noProof/>
        </w:rPr>
        <w:t>dowiska</w:t>
      </w:r>
      <w:r w:rsidR="004D5AD1" w:rsidRPr="004D5AD1">
        <w:rPr>
          <w:noProof/>
        </w:rPr>
        <w:t>. W</w:t>
      </w:r>
      <w:r w:rsidR="004D5AD1">
        <w:rPr>
          <w:noProof/>
        </w:rPr>
        <w:t> </w:t>
      </w:r>
      <w:r w:rsidR="004D5AD1" w:rsidRPr="004D5AD1">
        <w:rPr>
          <w:noProof/>
        </w:rPr>
        <w:t>zwi</w:t>
      </w:r>
      <w:r w:rsidR="00BE3DEC" w:rsidRPr="004D5AD1">
        <w:rPr>
          <w:noProof/>
        </w:rPr>
        <w:t>ązku</w:t>
      </w:r>
      <w:r w:rsidR="004D5AD1" w:rsidRPr="004D5AD1">
        <w:rPr>
          <w:noProof/>
        </w:rPr>
        <w:t xml:space="preserve"> z</w:t>
      </w:r>
      <w:r w:rsidR="004D5AD1">
        <w:rPr>
          <w:noProof/>
        </w:rPr>
        <w:t> </w:t>
      </w:r>
      <w:r w:rsidR="004D5AD1" w:rsidRPr="004D5AD1">
        <w:rPr>
          <w:noProof/>
        </w:rPr>
        <w:t>tym</w:t>
      </w:r>
      <w:r w:rsidR="00BE3DEC" w:rsidRPr="004D5AD1">
        <w:rPr>
          <w:noProof/>
        </w:rPr>
        <w:t xml:space="preserve"> obowiązki</w:t>
      </w:r>
      <w:r w:rsidR="004D5AD1" w:rsidRPr="004D5AD1">
        <w:rPr>
          <w:noProof/>
        </w:rPr>
        <w:t xml:space="preserve"> w</w:t>
      </w:r>
      <w:r w:rsidR="004D5AD1">
        <w:rPr>
          <w:noProof/>
        </w:rPr>
        <w:t> </w:t>
      </w:r>
      <w:r w:rsidR="004D5AD1" w:rsidRPr="004D5AD1">
        <w:rPr>
          <w:noProof/>
        </w:rPr>
        <w:t>zak</w:t>
      </w:r>
      <w:r w:rsidR="00BE3DEC" w:rsidRPr="004D5AD1">
        <w:rPr>
          <w:noProof/>
        </w:rPr>
        <w:t>resie monitorowania</w:t>
      </w:r>
      <w:r w:rsidR="004D5AD1" w:rsidRPr="004D5AD1">
        <w:rPr>
          <w:noProof/>
        </w:rPr>
        <w:t xml:space="preserve"> i</w:t>
      </w:r>
      <w:r w:rsidR="004D5AD1">
        <w:rPr>
          <w:noProof/>
        </w:rPr>
        <w:t> </w:t>
      </w:r>
      <w:r w:rsidR="004D5AD1" w:rsidRPr="004D5AD1">
        <w:rPr>
          <w:noProof/>
        </w:rPr>
        <w:t>rap</w:t>
      </w:r>
      <w:r w:rsidR="00BE3DEC" w:rsidRPr="004D5AD1">
        <w:rPr>
          <w:noProof/>
        </w:rPr>
        <w:t>ortowania powinny nadal mieć zastosowanie,</w:t>
      </w:r>
      <w:r w:rsidR="004D5AD1" w:rsidRPr="004D5AD1">
        <w:rPr>
          <w:noProof/>
        </w:rPr>
        <w:t xml:space="preserve"> a</w:t>
      </w:r>
      <w:r w:rsidR="004D5AD1">
        <w:rPr>
          <w:noProof/>
        </w:rPr>
        <w:t> </w:t>
      </w:r>
      <w:r w:rsidR="004D5AD1" w:rsidRPr="004D5AD1">
        <w:rPr>
          <w:noProof/>
        </w:rPr>
        <w:t>wsp</w:t>
      </w:r>
      <w:r w:rsidR="00BE3DEC" w:rsidRPr="004D5AD1">
        <w:rPr>
          <w:noProof/>
        </w:rPr>
        <w:t>omniane odwierty</w:t>
      </w:r>
      <w:r w:rsidR="004D5AD1" w:rsidRPr="004D5AD1">
        <w:rPr>
          <w:noProof/>
        </w:rPr>
        <w:t xml:space="preserve"> i</w:t>
      </w:r>
      <w:r w:rsidR="004D5AD1">
        <w:rPr>
          <w:noProof/>
        </w:rPr>
        <w:t> </w:t>
      </w:r>
      <w:r w:rsidR="004D5AD1" w:rsidRPr="004D5AD1">
        <w:rPr>
          <w:noProof/>
        </w:rPr>
        <w:t>ter</w:t>
      </w:r>
      <w:r w:rsidR="00BE3DEC" w:rsidRPr="004D5AD1">
        <w:rPr>
          <w:noProof/>
        </w:rPr>
        <w:t>eny odwiertów należy poddać rekultywacji</w:t>
      </w:r>
      <w:r w:rsidR="004D5AD1" w:rsidRPr="004D5AD1">
        <w:rPr>
          <w:noProof/>
        </w:rPr>
        <w:t xml:space="preserve"> i</w:t>
      </w:r>
      <w:r w:rsidR="004D5AD1">
        <w:rPr>
          <w:noProof/>
        </w:rPr>
        <w:t> </w:t>
      </w:r>
      <w:r w:rsidR="004D5AD1" w:rsidRPr="004D5AD1">
        <w:rPr>
          <w:noProof/>
        </w:rPr>
        <w:t>rem</w:t>
      </w:r>
      <w:r w:rsidR="00BE3DEC" w:rsidRPr="004D5AD1">
        <w:rPr>
          <w:noProof/>
        </w:rPr>
        <w:t>ediacji</w:t>
      </w:r>
      <w:r w:rsidR="004D5AD1" w:rsidRPr="004D5AD1">
        <w:rPr>
          <w:noProof/>
        </w:rPr>
        <w:t>. W</w:t>
      </w:r>
      <w:r w:rsidR="004D5AD1">
        <w:rPr>
          <w:noProof/>
        </w:rPr>
        <w:t> </w:t>
      </w:r>
      <w:r w:rsidR="004D5AD1" w:rsidRPr="004D5AD1">
        <w:rPr>
          <w:noProof/>
        </w:rPr>
        <w:t>tak</w:t>
      </w:r>
      <w:r w:rsidR="00BE3DEC" w:rsidRPr="004D5AD1">
        <w:rPr>
          <w:noProof/>
        </w:rPr>
        <w:t>ich przypadkach państwa członkowskie powinny odgrywać dominującą rolę,</w:t>
      </w:r>
      <w:r w:rsidR="004D5AD1" w:rsidRPr="004D5AD1">
        <w:rPr>
          <w:noProof/>
        </w:rPr>
        <w:t xml:space="preserve"> w</w:t>
      </w:r>
      <w:r w:rsidR="004D5AD1">
        <w:rPr>
          <w:noProof/>
        </w:rPr>
        <w:t> </w:t>
      </w:r>
      <w:r w:rsidR="004D5AD1" w:rsidRPr="004D5AD1">
        <w:rPr>
          <w:noProof/>
        </w:rPr>
        <w:t>szc</w:t>
      </w:r>
      <w:r w:rsidR="00BE3DEC" w:rsidRPr="004D5AD1">
        <w:rPr>
          <w:noProof/>
        </w:rPr>
        <w:t>zególności</w:t>
      </w:r>
      <w:r w:rsidR="004D5AD1" w:rsidRPr="004D5AD1">
        <w:rPr>
          <w:noProof/>
        </w:rPr>
        <w:t xml:space="preserve"> w</w:t>
      </w:r>
      <w:r w:rsidR="004D5AD1">
        <w:rPr>
          <w:noProof/>
        </w:rPr>
        <w:t> </w:t>
      </w:r>
      <w:r w:rsidR="004D5AD1" w:rsidRPr="004D5AD1">
        <w:rPr>
          <w:noProof/>
        </w:rPr>
        <w:t>zak</w:t>
      </w:r>
      <w:r w:rsidR="00BE3DEC" w:rsidRPr="004D5AD1">
        <w:rPr>
          <w:noProof/>
        </w:rPr>
        <w:t>resie sporządzania wykazów</w:t>
      </w:r>
      <w:r w:rsidR="004D5AD1" w:rsidRPr="004D5AD1">
        <w:rPr>
          <w:noProof/>
        </w:rPr>
        <w:t xml:space="preserve"> i</w:t>
      </w:r>
      <w:r w:rsidR="004D5AD1">
        <w:rPr>
          <w:noProof/>
        </w:rPr>
        <w:t> </w:t>
      </w:r>
      <w:r w:rsidR="004D5AD1" w:rsidRPr="004D5AD1">
        <w:rPr>
          <w:noProof/>
        </w:rPr>
        <w:t>pla</w:t>
      </w:r>
      <w:r w:rsidR="00BE3DEC" w:rsidRPr="004D5AD1">
        <w:rPr>
          <w:noProof/>
        </w:rPr>
        <w:t xml:space="preserve">nów ograniczenia emisji. </w:t>
      </w:r>
    </w:p>
    <w:p w14:paraId="50B8407C" w14:textId="0B8F8AB3" w:rsidR="00C72694" w:rsidRPr="004D5AD1" w:rsidRDefault="00DE3FFB" w:rsidP="00DE3FFB">
      <w:pPr>
        <w:pStyle w:val="ManualConsidrant"/>
        <w:rPr>
          <w:noProof/>
          <w:szCs w:val="24"/>
        </w:rPr>
      </w:pPr>
      <w:r w:rsidRPr="00DE3FFB">
        <w:t>(41)</w:t>
      </w:r>
      <w:r w:rsidRPr="00DE3FFB">
        <w:tab/>
      </w:r>
      <w:r w:rsidR="002C6AA9" w:rsidRPr="004D5AD1">
        <w:rPr>
          <w:noProof/>
        </w:rPr>
        <w:t>Dane</w:t>
      </w:r>
      <w:r w:rsidR="004D5AD1" w:rsidRPr="004D5AD1">
        <w:rPr>
          <w:noProof/>
        </w:rPr>
        <w:t xml:space="preserve"> z</w:t>
      </w:r>
      <w:r w:rsidR="004D5AD1">
        <w:rPr>
          <w:noProof/>
        </w:rPr>
        <w:t> </w:t>
      </w:r>
      <w:r w:rsidR="004D5AD1" w:rsidRPr="004D5AD1">
        <w:rPr>
          <w:noProof/>
        </w:rPr>
        <w:t>uni</w:t>
      </w:r>
      <w:r w:rsidR="002C6AA9" w:rsidRPr="004D5AD1">
        <w:rPr>
          <w:noProof/>
        </w:rPr>
        <w:t>jnego wykazu gazów cieplarnianych pokazują, że emisje metanu</w:t>
      </w:r>
      <w:r w:rsidR="004D5AD1" w:rsidRPr="004D5AD1">
        <w:rPr>
          <w:noProof/>
        </w:rPr>
        <w:t xml:space="preserve"> z</w:t>
      </w:r>
      <w:r w:rsidR="004D5AD1">
        <w:rPr>
          <w:noProof/>
        </w:rPr>
        <w:t> </w:t>
      </w:r>
      <w:r w:rsidR="004D5AD1" w:rsidRPr="004D5AD1">
        <w:rPr>
          <w:noProof/>
        </w:rPr>
        <w:t>kop</w:t>
      </w:r>
      <w:r w:rsidR="002C6AA9" w:rsidRPr="004D5AD1">
        <w:rPr>
          <w:noProof/>
        </w:rPr>
        <w:t>alń węgla stanowią największe pojedyncze źródło emisji metanu</w:t>
      </w:r>
      <w:r w:rsidR="004D5AD1" w:rsidRPr="004D5AD1">
        <w:rPr>
          <w:noProof/>
        </w:rPr>
        <w:t xml:space="preserve"> w</w:t>
      </w:r>
      <w:r w:rsidR="004D5AD1">
        <w:rPr>
          <w:noProof/>
        </w:rPr>
        <w:t> </w:t>
      </w:r>
      <w:r w:rsidR="004D5AD1" w:rsidRPr="004D5AD1">
        <w:rPr>
          <w:noProof/>
        </w:rPr>
        <w:t>uni</w:t>
      </w:r>
      <w:r w:rsidR="002C6AA9" w:rsidRPr="004D5AD1">
        <w:rPr>
          <w:noProof/>
        </w:rPr>
        <w:t>jnym sektorze energetycznym. W 2019</w:t>
      </w:r>
      <w:r w:rsidR="004D5AD1" w:rsidRPr="004D5AD1">
        <w:rPr>
          <w:noProof/>
        </w:rPr>
        <w:t> </w:t>
      </w:r>
      <w:r w:rsidR="002C6AA9" w:rsidRPr="004D5AD1">
        <w:rPr>
          <w:noProof/>
        </w:rPr>
        <w:t>r. emisje bezpośrednie</w:t>
      </w:r>
      <w:r w:rsidR="004D5AD1" w:rsidRPr="004D5AD1">
        <w:rPr>
          <w:noProof/>
        </w:rPr>
        <w:t xml:space="preserve"> z</w:t>
      </w:r>
      <w:r w:rsidR="004D5AD1">
        <w:rPr>
          <w:noProof/>
        </w:rPr>
        <w:t> </w:t>
      </w:r>
      <w:r w:rsidR="004D5AD1" w:rsidRPr="004D5AD1">
        <w:rPr>
          <w:noProof/>
        </w:rPr>
        <w:t>sek</w:t>
      </w:r>
      <w:r w:rsidR="002C6AA9" w:rsidRPr="004D5AD1">
        <w:rPr>
          <w:noProof/>
        </w:rPr>
        <w:t>tora węglowego stanowiły 31 % emisji metanu, co jest niemal równe odsetkowi emisji bezpośrednich metanu związanych</w:t>
      </w:r>
      <w:r w:rsidR="004D5AD1" w:rsidRPr="004D5AD1">
        <w:rPr>
          <w:noProof/>
        </w:rPr>
        <w:t xml:space="preserve"> z</w:t>
      </w:r>
      <w:r w:rsidR="004D5AD1">
        <w:rPr>
          <w:noProof/>
        </w:rPr>
        <w:t> </w:t>
      </w:r>
      <w:r w:rsidR="004D5AD1" w:rsidRPr="004D5AD1">
        <w:rPr>
          <w:noProof/>
        </w:rPr>
        <w:t>gaz</w:t>
      </w:r>
      <w:r w:rsidR="002C6AA9" w:rsidRPr="004D5AD1">
        <w:rPr>
          <w:noProof/>
        </w:rPr>
        <w:t>em ziemnym</w:t>
      </w:r>
      <w:r w:rsidR="004D5AD1" w:rsidRPr="004D5AD1">
        <w:rPr>
          <w:noProof/>
        </w:rPr>
        <w:t xml:space="preserve"> i</w:t>
      </w:r>
      <w:r w:rsidR="004D5AD1">
        <w:rPr>
          <w:noProof/>
        </w:rPr>
        <w:t> </w:t>
      </w:r>
      <w:r w:rsidR="004D5AD1" w:rsidRPr="004D5AD1">
        <w:rPr>
          <w:noProof/>
        </w:rPr>
        <w:t>rop</w:t>
      </w:r>
      <w:r w:rsidR="002C6AA9" w:rsidRPr="004D5AD1">
        <w:rPr>
          <w:noProof/>
        </w:rPr>
        <w:t>ą naftową łącznie, wynoszącemu 33 %.</w:t>
      </w:r>
    </w:p>
    <w:p w14:paraId="478EBDCC" w14:textId="060511FB" w:rsidR="00C72694" w:rsidRPr="004D5AD1" w:rsidRDefault="00DE3FFB" w:rsidP="00DE3FFB">
      <w:pPr>
        <w:pStyle w:val="ManualConsidrant"/>
        <w:rPr>
          <w:noProof/>
          <w:szCs w:val="24"/>
        </w:rPr>
      </w:pPr>
      <w:r w:rsidRPr="00DE3FFB">
        <w:t>(42)</w:t>
      </w:r>
      <w:r w:rsidRPr="00DE3FFB">
        <w:tab/>
      </w:r>
      <w:r w:rsidR="00C72694" w:rsidRPr="004D5AD1">
        <w:rPr>
          <w:noProof/>
        </w:rPr>
        <w:t>Obecnie nie ma szczegółowych przepisów ogólnounijnych ograniczających emisje metanu</w:t>
      </w:r>
      <w:r w:rsidR="004D5AD1" w:rsidRPr="004D5AD1">
        <w:rPr>
          <w:noProof/>
        </w:rPr>
        <w:t xml:space="preserve"> z</w:t>
      </w:r>
      <w:r w:rsidR="004D5AD1">
        <w:rPr>
          <w:noProof/>
        </w:rPr>
        <w:t> </w:t>
      </w:r>
      <w:r w:rsidR="004D5AD1" w:rsidRPr="004D5AD1">
        <w:rPr>
          <w:noProof/>
        </w:rPr>
        <w:t>sek</w:t>
      </w:r>
      <w:r w:rsidR="00C72694" w:rsidRPr="004D5AD1">
        <w:rPr>
          <w:noProof/>
        </w:rPr>
        <w:t>tora węglowego, pomimo dostępności szerokiej gamy technologii ograniczających te emisje. Nie istnieje żadna unijna ani międzynarodowa norma monitorowania, raportowania</w:t>
      </w:r>
      <w:r w:rsidR="004D5AD1" w:rsidRPr="004D5AD1">
        <w:rPr>
          <w:noProof/>
        </w:rPr>
        <w:t xml:space="preserve"> i</w:t>
      </w:r>
      <w:r w:rsidR="004D5AD1">
        <w:rPr>
          <w:noProof/>
        </w:rPr>
        <w:t> </w:t>
      </w:r>
      <w:r w:rsidR="004D5AD1" w:rsidRPr="004D5AD1">
        <w:rPr>
          <w:noProof/>
        </w:rPr>
        <w:t>wer</w:t>
      </w:r>
      <w:r w:rsidR="00C72694" w:rsidRPr="004D5AD1">
        <w:rPr>
          <w:noProof/>
        </w:rPr>
        <w:t>yfikacji odnosząca się tylko do węgla. W Unii raporty na temat wielkości emisji metanu</w:t>
      </w:r>
      <w:r w:rsidR="004D5AD1" w:rsidRPr="004D5AD1">
        <w:rPr>
          <w:noProof/>
        </w:rPr>
        <w:t xml:space="preserve"> z</w:t>
      </w:r>
      <w:r w:rsidR="004D5AD1">
        <w:rPr>
          <w:noProof/>
        </w:rPr>
        <w:t> </w:t>
      </w:r>
      <w:r w:rsidR="004D5AD1" w:rsidRPr="004D5AD1">
        <w:rPr>
          <w:noProof/>
        </w:rPr>
        <w:t>prz</w:t>
      </w:r>
      <w:r w:rsidR="00C72694" w:rsidRPr="004D5AD1">
        <w:rPr>
          <w:noProof/>
        </w:rPr>
        <w:t>emysłu węglowego stanowią część raportów państw członkowskich na temat wielkości emisji gazów cieplarnianych,</w:t>
      </w:r>
      <w:r w:rsidR="004D5AD1" w:rsidRPr="004D5AD1">
        <w:rPr>
          <w:noProof/>
        </w:rPr>
        <w:t xml:space="preserve"> a</w:t>
      </w:r>
      <w:r w:rsidR="004D5AD1">
        <w:rPr>
          <w:noProof/>
        </w:rPr>
        <w:t> </w:t>
      </w:r>
      <w:r w:rsidR="004D5AD1" w:rsidRPr="004D5AD1">
        <w:rPr>
          <w:noProof/>
        </w:rPr>
        <w:t>dan</w:t>
      </w:r>
      <w:r w:rsidR="00C72694" w:rsidRPr="004D5AD1">
        <w:rPr>
          <w:noProof/>
        </w:rPr>
        <w:t>e dotyczące kopalń podziemnych są również uwzględnione</w:t>
      </w:r>
      <w:r w:rsidR="004D5AD1" w:rsidRPr="004D5AD1">
        <w:rPr>
          <w:noProof/>
        </w:rPr>
        <w:t xml:space="preserve"> w</w:t>
      </w:r>
      <w:r w:rsidR="004D5AD1">
        <w:rPr>
          <w:noProof/>
        </w:rPr>
        <w:t> </w:t>
      </w:r>
      <w:r w:rsidR="004D5AD1" w:rsidRPr="004D5AD1">
        <w:rPr>
          <w:noProof/>
        </w:rPr>
        <w:t>Eur</w:t>
      </w:r>
      <w:r w:rsidR="00C72694" w:rsidRPr="004D5AD1">
        <w:rPr>
          <w:noProof/>
        </w:rPr>
        <w:t>opejskim Rejestrze Uwalniania</w:t>
      </w:r>
      <w:r w:rsidR="004D5AD1" w:rsidRPr="004D5AD1">
        <w:rPr>
          <w:noProof/>
        </w:rPr>
        <w:t xml:space="preserve"> i</w:t>
      </w:r>
      <w:r w:rsidR="004D5AD1">
        <w:rPr>
          <w:noProof/>
        </w:rPr>
        <w:t> </w:t>
      </w:r>
      <w:r w:rsidR="004D5AD1" w:rsidRPr="004D5AD1">
        <w:rPr>
          <w:noProof/>
        </w:rPr>
        <w:t>Tra</w:t>
      </w:r>
      <w:r w:rsidR="00C72694" w:rsidRPr="004D5AD1">
        <w:rPr>
          <w:noProof/>
        </w:rPr>
        <w:t>nsferu Zanieczyszczeń ustanowionym rozporządzeniem (WE) nr</w:t>
      </w:r>
      <w:r w:rsidR="004D5AD1" w:rsidRPr="004D5AD1">
        <w:rPr>
          <w:noProof/>
        </w:rPr>
        <w:t> </w:t>
      </w:r>
      <w:r w:rsidR="00C72694" w:rsidRPr="004D5AD1">
        <w:rPr>
          <w:noProof/>
        </w:rPr>
        <w:t>166/2006</w:t>
      </w:r>
      <w:r w:rsidR="00DE439A" w:rsidRPr="004D5AD1">
        <w:rPr>
          <w:rStyle w:val="FootnoteReference"/>
          <w:noProof/>
          <w:szCs w:val="24"/>
        </w:rPr>
        <w:footnoteReference w:id="23"/>
      </w:r>
      <w:r w:rsidR="00C72694" w:rsidRPr="004D5AD1">
        <w:rPr>
          <w:noProof/>
        </w:rPr>
        <w:t xml:space="preserve">. </w:t>
      </w:r>
    </w:p>
    <w:p w14:paraId="7DC4B5E5" w14:textId="372448AE" w:rsidR="009C39A9" w:rsidRPr="004D5AD1" w:rsidRDefault="00DE3FFB" w:rsidP="00DE3FFB">
      <w:pPr>
        <w:pStyle w:val="ManualConsidrant"/>
        <w:rPr>
          <w:noProof/>
        </w:rPr>
      </w:pPr>
      <w:r w:rsidRPr="00DE3FFB">
        <w:t>(43)</w:t>
      </w:r>
      <w:r w:rsidRPr="00DE3FFB">
        <w:tab/>
      </w:r>
      <w:r w:rsidR="009C39A9" w:rsidRPr="004D5AD1">
        <w:rPr>
          <w:noProof/>
        </w:rPr>
        <w:t>Emisje metanu są związane przede wszystkim</w:t>
      </w:r>
      <w:r w:rsidR="004D5AD1" w:rsidRPr="004D5AD1">
        <w:rPr>
          <w:noProof/>
        </w:rPr>
        <w:t xml:space="preserve"> z</w:t>
      </w:r>
      <w:r w:rsidR="004D5AD1">
        <w:rPr>
          <w:noProof/>
        </w:rPr>
        <w:t> </w:t>
      </w:r>
      <w:r w:rsidR="004D5AD1" w:rsidRPr="004D5AD1">
        <w:rPr>
          <w:noProof/>
        </w:rPr>
        <w:t>pod</w:t>
      </w:r>
      <w:r w:rsidR="009C39A9" w:rsidRPr="004D5AD1">
        <w:rPr>
          <w:noProof/>
        </w:rPr>
        <w:t>ziemną działalnością przemysłu wydobywczego, zarówno</w:t>
      </w:r>
      <w:r w:rsidR="004D5AD1" w:rsidRPr="004D5AD1">
        <w:rPr>
          <w:noProof/>
        </w:rPr>
        <w:t xml:space="preserve"> w</w:t>
      </w:r>
      <w:r w:rsidR="004D5AD1">
        <w:rPr>
          <w:noProof/>
        </w:rPr>
        <w:t> </w:t>
      </w:r>
      <w:r w:rsidR="004D5AD1" w:rsidRPr="004D5AD1">
        <w:rPr>
          <w:noProof/>
        </w:rPr>
        <w:t>kop</w:t>
      </w:r>
      <w:r w:rsidR="009C39A9" w:rsidRPr="004D5AD1">
        <w:rPr>
          <w:noProof/>
        </w:rPr>
        <w:t>alniach czynnych, jak</w:t>
      </w:r>
      <w:r w:rsidR="004D5AD1" w:rsidRPr="004D5AD1">
        <w:rPr>
          <w:noProof/>
        </w:rPr>
        <w:t xml:space="preserve"> i</w:t>
      </w:r>
      <w:r w:rsidR="004D5AD1">
        <w:rPr>
          <w:noProof/>
        </w:rPr>
        <w:t> </w:t>
      </w:r>
      <w:r w:rsidR="004D5AD1" w:rsidRPr="004D5AD1">
        <w:rPr>
          <w:noProof/>
        </w:rPr>
        <w:t>nie</w:t>
      </w:r>
      <w:r w:rsidR="009C39A9" w:rsidRPr="004D5AD1">
        <w:rPr>
          <w:noProof/>
        </w:rPr>
        <w:t>czynnych</w:t>
      </w:r>
      <w:r w:rsidR="0061670B" w:rsidRPr="004D5AD1">
        <w:rPr>
          <w:rStyle w:val="FootnoteReference"/>
          <w:noProof/>
        </w:rPr>
        <w:footnoteReference w:id="24"/>
      </w:r>
      <w:r w:rsidR="004D5AD1" w:rsidRPr="004D5AD1">
        <w:rPr>
          <w:noProof/>
        </w:rPr>
        <w:t>. W</w:t>
      </w:r>
      <w:r w:rsidR="004D5AD1">
        <w:rPr>
          <w:noProof/>
        </w:rPr>
        <w:t> </w:t>
      </w:r>
      <w:r w:rsidR="004D5AD1" w:rsidRPr="004D5AD1">
        <w:rPr>
          <w:noProof/>
        </w:rPr>
        <w:t>czy</w:t>
      </w:r>
      <w:r w:rsidR="009C39A9" w:rsidRPr="004D5AD1">
        <w:rPr>
          <w:noProof/>
        </w:rPr>
        <w:t>nnych kopalniach podziemnych stężenie metanu</w:t>
      </w:r>
      <w:r w:rsidR="004D5AD1" w:rsidRPr="004D5AD1">
        <w:rPr>
          <w:noProof/>
        </w:rPr>
        <w:t xml:space="preserve"> w</w:t>
      </w:r>
      <w:r w:rsidR="004D5AD1">
        <w:rPr>
          <w:noProof/>
        </w:rPr>
        <w:t> </w:t>
      </w:r>
      <w:r w:rsidR="004D5AD1" w:rsidRPr="004D5AD1">
        <w:rPr>
          <w:noProof/>
        </w:rPr>
        <w:t>pow</w:t>
      </w:r>
      <w:r w:rsidR="009C39A9" w:rsidRPr="004D5AD1">
        <w:rPr>
          <w:noProof/>
        </w:rPr>
        <w:t>ietrzu jest kontrolowane</w:t>
      </w:r>
      <w:r w:rsidR="004D5AD1" w:rsidRPr="004D5AD1">
        <w:rPr>
          <w:noProof/>
        </w:rPr>
        <w:t xml:space="preserve"> w</w:t>
      </w:r>
      <w:r w:rsidR="004D5AD1">
        <w:rPr>
          <w:noProof/>
        </w:rPr>
        <w:t> </w:t>
      </w:r>
      <w:r w:rsidR="004D5AD1" w:rsidRPr="004D5AD1">
        <w:rPr>
          <w:noProof/>
        </w:rPr>
        <w:t>spo</w:t>
      </w:r>
      <w:r w:rsidR="009C39A9" w:rsidRPr="004D5AD1">
        <w:rPr>
          <w:noProof/>
        </w:rPr>
        <w:t>sób ciągły, ponieważ stanowi zagrożenie dla zdrowia</w:t>
      </w:r>
      <w:r w:rsidR="004D5AD1" w:rsidRPr="004D5AD1">
        <w:rPr>
          <w:noProof/>
        </w:rPr>
        <w:t xml:space="preserve"> i</w:t>
      </w:r>
      <w:r w:rsidR="004D5AD1">
        <w:rPr>
          <w:noProof/>
        </w:rPr>
        <w:t> </w:t>
      </w:r>
      <w:r w:rsidR="004D5AD1" w:rsidRPr="004D5AD1">
        <w:rPr>
          <w:noProof/>
        </w:rPr>
        <w:t>bez</w:t>
      </w:r>
      <w:r w:rsidR="009C39A9" w:rsidRPr="004D5AD1">
        <w:rPr>
          <w:noProof/>
        </w:rPr>
        <w:t>pieczeństwa</w:t>
      </w:r>
      <w:r w:rsidR="004D5AD1" w:rsidRPr="004D5AD1">
        <w:rPr>
          <w:noProof/>
        </w:rPr>
        <w:t>. W</w:t>
      </w:r>
      <w:r w:rsidR="004D5AD1">
        <w:rPr>
          <w:noProof/>
        </w:rPr>
        <w:t> </w:t>
      </w:r>
      <w:r w:rsidR="004D5AD1" w:rsidRPr="004D5AD1">
        <w:rPr>
          <w:noProof/>
        </w:rPr>
        <w:t>prz</w:t>
      </w:r>
      <w:r w:rsidR="009C39A9" w:rsidRPr="004D5AD1">
        <w:rPr>
          <w:noProof/>
        </w:rPr>
        <w:t>ypadku podziemnych kopalń węgla zdecydowana większość emisji metanu pochodzi</w:t>
      </w:r>
      <w:r w:rsidR="004D5AD1" w:rsidRPr="004D5AD1">
        <w:rPr>
          <w:noProof/>
        </w:rPr>
        <w:t xml:space="preserve"> z</w:t>
      </w:r>
      <w:r w:rsidR="004D5AD1">
        <w:rPr>
          <w:noProof/>
        </w:rPr>
        <w:t> </w:t>
      </w:r>
      <w:r w:rsidR="004D5AD1" w:rsidRPr="004D5AD1">
        <w:rPr>
          <w:noProof/>
        </w:rPr>
        <w:t>sys</w:t>
      </w:r>
      <w:r w:rsidR="009C39A9" w:rsidRPr="004D5AD1">
        <w:rPr>
          <w:noProof/>
        </w:rPr>
        <w:t>temów wentylacji</w:t>
      </w:r>
      <w:r w:rsidR="004D5AD1" w:rsidRPr="004D5AD1">
        <w:rPr>
          <w:noProof/>
        </w:rPr>
        <w:t xml:space="preserve"> i</w:t>
      </w:r>
      <w:r w:rsidR="004D5AD1">
        <w:rPr>
          <w:noProof/>
        </w:rPr>
        <w:t> </w:t>
      </w:r>
      <w:r w:rsidR="004D5AD1" w:rsidRPr="004D5AD1">
        <w:rPr>
          <w:noProof/>
        </w:rPr>
        <w:t>odm</w:t>
      </w:r>
      <w:r w:rsidR="009C39A9" w:rsidRPr="004D5AD1">
        <w:rPr>
          <w:noProof/>
        </w:rPr>
        <w:t>etanowania lub odgazowywania, które stanowią dwa główne sposoby obniżenia stężenia metanu</w:t>
      </w:r>
      <w:r w:rsidR="004D5AD1" w:rsidRPr="004D5AD1">
        <w:rPr>
          <w:noProof/>
        </w:rPr>
        <w:t xml:space="preserve"> w</w:t>
      </w:r>
      <w:r w:rsidR="004D5AD1">
        <w:rPr>
          <w:noProof/>
        </w:rPr>
        <w:t> </w:t>
      </w:r>
      <w:r w:rsidR="004D5AD1" w:rsidRPr="004D5AD1">
        <w:rPr>
          <w:noProof/>
        </w:rPr>
        <w:t>wyr</w:t>
      </w:r>
      <w:r w:rsidR="009C39A9" w:rsidRPr="004D5AD1">
        <w:rPr>
          <w:noProof/>
        </w:rPr>
        <w:t>obiskach wentylacyjnych kopalni.</w:t>
      </w:r>
    </w:p>
    <w:p w14:paraId="2DAD7369" w14:textId="1437AE3E" w:rsidR="00C72694" w:rsidRPr="004D5AD1" w:rsidRDefault="00DE3FFB" w:rsidP="00DE3FFB">
      <w:pPr>
        <w:pStyle w:val="ManualConsidrant"/>
        <w:rPr>
          <w:noProof/>
          <w:szCs w:val="24"/>
        </w:rPr>
      </w:pPr>
      <w:r w:rsidRPr="00DE3FFB">
        <w:t>(44)</w:t>
      </w:r>
      <w:r w:rsidRPr="00DE3FFB">
        <w:tab/>
      </w:r>
      <w:r w:rsidR="00C72694" w:rsidRPr="004D5AD1">
        <w:rPr>
          <w:noProof/>
        </w:rPr>
        <w:t>Przez długi okres po wstrzymaniu produkcji</w:t>
      </w:r>
      <w:r w:rsidR="004D5AD1" w:rsidRPr="004D5AD1">
        <w:rPr>
          <w:noProof/>
        </w:rPr>
        <w:t xml:space="preserve"> i</w:t>
      </w:r>
      <w:r w:rsidR="004D5AD1">
        <w:rPr>
          <w:noProof/>
        </w:rPr>
        <w:t> </w:t>
      </w:r>
      <w:r w:rsidR="004D5AD1" w:rsidRPr="004D5AD1">
        <w:rPr>
          <w:noProof/>
        </w:rPr>
        <w:t>zam</w:t>
      </w:r>
      <w:r w:rsidR="00C72694" w:rsidRPr="004D5AD1">
        <w:rPr>
          <w:noProof/>
        </w:rPr>
        <w:t>knięciu lub zaprzestaniu eksploatacji kopalni nadal uwalniany jest metan, który określa się jako metan</w:t>
      </w:r>
      <w:r w:rsidR="004D5AD1" w:rsidRPr="004D5AD1">
        <w:rPr>
          <w:noProof/>
        </w:rPr>
        <w:t xml:space="preserve"> z</w:t>
      </w:r>
      <w:r w:rsidR="004D5AD1">
        <w:rPr>
          <w:noProof/>
        </w:rPr>
        <w:t> </w:t>
      </w:r>
      <w:r w:rsidR="004D5AD1" w:rsidRPr="004D5AD1">
        <w:rPr>
          <w:noProof/>
        </w:rPr>
        <w:t>nie</w:t>
      </w:r>
      <w:r w:rsidR="00C72694" w:rsidRPr="004D5AD1">
        <w:rPr>
          <w:noProof/>
        </w:rPr>
        <w:t>czynnych kopalń. Emisje te występują zazwyczaj</w:t>
      </w:r>
      <w:r w:rsidR="004D5AD1" w:rsidRPr="004D5AD1">
        <w:rPr>
          <w:noProof/>
        </w:rPr>
        <w:t xml:space="preserve"> w</w:t>
      </w:r>
      <w:r w:rsidR="004D5AD1">
        <w:rPr>
          <w:noProof/>
        </w:rPr>
        <w:t> </w:t>
      </w:r>
      <w:r w:rsidR="004D5AD1" w:rsidRPr="004D5AD1">
        <w:rPr>
          <w:noProof/>
        </w:rPr>
        <w:t>dob</w:t>
      </w:r>
      <w:r w:rsidR="00C72694" w:rsidRPr="004D5AD1">
        <w:rPr>
          <w:noProof/>
        </w:rPr>
        <w:t>rze określonych źródłach punktowych, takich jak szyby wentylacyjne lub zawory nadmiarowe ciśnieniowe. Wraz</w:t>
      </w:r>
      <w:r w:rsidR="004D5AD1" w:rsidRPr="004D5AD1">
        <w:rPr>
          <w:noProof/>
        </w:rPr>
        <w:t xml:space="preserve"> z</w:t>
      </w:r>
      <w:r w:rsidR="004D5AD1">
        <w:rPr>
          <w:noProof/>
        </w:rPr>
        <w:t> </w:t>
      </w:r>
      <w:r w:rsidR="004D5AD1" w:rsidRPr="004D5AD1">
        <w:rPr>
          <w:noProof/>
        </w:rPr>
        <w:t>bar</w:t>
      </w:r>
      <w:r w:rsidR="00C72694" w:rsidRPr="004D5AD1">
        <w:rPr>
          <w:noProof/>
        </w:rPr>
        <w:t>dziej ambitnymi celami klimatycznymi</w:t>
      </w:r>
      <w:r w:rsidR="004D5AD1" w:rsidRPr="004D5AD1">
        <w:rPr>
          <w:noProof/>
        </w:rPr>
        <w:t xml:space="preserve"> i</w:t>
      </w:r>
      <w:r w:rsidR="004D5AD1">
        <w:rPr>
          <w:noProof/>
        </w:rPr>
        <w:t> </w:t>
      </w:r>
      <w:r w:rsidR="004D5AD1" w:rsidRPr="004D5AD1">
        <w:rPr>
          <w:noProof/>
        </w:rPr>
        <w:t>prz</w:t>
      </w:r>
      <w:r w:rsidR="00C72694" w:rsidRPr="004D5AD1">
        <w:rPr>
          <w:noProof/>
        </w:rPr>
        <w:t>ejściem</w:t>
      </w:r>
      <w:r w:rsidR="004D5AD1" w:rsidRPr="004D5AD1">
        <w:rPr>
          <w:noProof/>
        </w:rPr>
        <w:t xml:space="preserve"> w</w:t>
      </w:r>
      <w:r w:rsidR="004D5AD1">
        <w:rPr>
          <w:noProof/>
        </w:rPr>
        <w:t> </w:t>
      </w:r>
      <w:r w:rsidR="004D5AD1" w:rsidRPr="004D5AD1">
        <w:rPr>
          <w:noProof/>
        </w:rPr>
        <w:t>pro</w:t>
      </w:r>
      <w:r w:rsidR="00C72694" w:rsidRPr="004D5AD1">
        <w:rPr>
          <w:noProof/>
        </w:rPr>
        <w:t>dukcji energii na mniej emisyjne źródła energii emisje metanu</w:t>
      </w:r>
      <w:r w:rsidR="004D5AD1" w:rsidRPr="004D5AD1">
        <w:rPr>
          <w:noProof/>
        </w:rPr>
        <w:t xml:space="preserve"> z</w:t>
      </w:r>
      <w:r w:rsidR="004D5AD1">
        <w:rPr>
          <w:noProof/>
        </w:rPr>
        <w:t> </w:t>
      </w:r>
      <w:r w:rsidR="004D5AD1" w:rsidRPr="004D5AD1">
        <w:rPr>
          <w:noProof/>
        </w:rPr>
        <w:t>nie</w:t>
      </w:r>
      <w:r w:rsidR="00C72694" w:rsidRPr="004D5AD1">
        <w:rPr>
          <w:noProof/>
        </w:rPr>
        <w:t>czynnych kopalń</w:t>
      </w:r>
      <w:r w:rsidR="004D5AD1" w:rsidRPr="004D5AD1">
        <w:rPr>
          <w:noProof/>
        </w:rPr>
        <w:t xml:space="preserve"> w</w:t>
      </w:r>
      <w:r w:rsidR="004D5AD1">
        <w:rPr>
          <w:noProof/>
        </w:rPr>
        <w:t> </w:t>
      </w:r>
      <w:r w:rsidR="004D5AD1" w:rsidRPr="004D5AD1">
        <w:rPr>
          <w:noProof/>
        </w:rPr>
        <w:t>Uni</w:t>
      </w:r>
      <w:r w:rsidR="00C72694" w:rsidRPr="004D5AD1">
        <w:rPr>
          <w:noProof/>
        </w:rPr>
        <w:t>i prawdopodobnie wzrosną. Szacuje się, że nawet 10 lat po zakończeniu wydobycia metan</w:t>
      </w:r>
      <w:r w:rsidR="004D5AD1" w:rsidRPr="004D5AD1">
        <w:rPr>
          <w:noProof/>
        </w:rPr>
        <w:t xml:space="preserve"> z</w:t>
      </w:r>
      <w:r w:rsidR="004D5AD1">
        <w:rPr>
          <w:noProof/>
        </w:rPr>
        <w:t> </w:t>
      </w:r>
      <w:r w:rsidR="004D5AD1" w:rsidRPr="004D5AD1">
        <w:rPr>
          <w:noProof/>
        </w:rPr>
        <w:t>nie</w:t>
      </w:r>
      <w:r w:rsidR="00C72694" w:rsidRPr="004D5AD1">
        <w:rPr>
          <w:noProof/>
        </w:rPr>
        <w:t>zatopionych kopalń jest nadal emitowany na poziomie osiągającym około 40 % emisji odnotowanych</w:t>
      </w:r>
      <w:r w:rsidR="004D5AD1" w:rsidRPr="004D5AD1">
        <w:rPr>
          <w:noProof/>
        </w:rPr>
        <w:t xml:space="preserve"> w</w:t>
      </w:r>
      <w:r w:rsidR="004D5AD1">
        <w:rPr>
          <w:noProof/>
        </w:rPr>
        <w:t> </w:t>
      </w:r>
      <w:r w:rsidR="004D5AD1" w:rsidRPr="004D5AD1">
        <w:rPr>
          <w:noProof/>
        </w:rPr>
        <w:t>chw</w:t>
      </w:r>
      <w:r w:rsidR="00C72694" w:rsidRPr="004D5AD1">
        <w:rPr>
          <w:noProof/>
        </w:rPr>
        <w:t>ili zamknięcia</w:t>
      </w:r>
      <w:r w:rsidR="00D33CB9" w:rsidRPr="004D5AD1">
        <w:rPr>
          <w:rStyle w:val="FootnoteReference"/>
          <w:noProof/>
          <w:szCs w:val="24"/>
        </w:rPr>
        <w:footnoteReference w:id="25"/>
      </w:r>
      <w:r w:rsidR="00C72694" w:rsidRPr="004D5AD1">
        <w:rPr>
          <w:noProof/>
        </w:rPr>
        <w:t>. Ponadto przetwarzanie metanu</w:t>
      </w:r>
      <w:r w:rsidR="004D5AD1" w:rsidRPr="004D5AD1">
        <w:rPr>
          <w:noProof/>
        </w:rPr>
        <w:t xml:space="preserve"> z</w:t>
      </w:r>
      <w:r w:rsidR="004D5AD1">
        <w:rPr>
          <w:noProof/>
        </w:rPr>
        <w:t> </w:t>
      </w:r>
      <w:r w:rsidR="004D5AD1" w:rsidRPr="004D5AD1">
        <w:rPr>
          <w:noProof/>
        </w:rPr>
        <w:t>nie</w:t>
      </w:r>
      <w:r w:rsidR="00C72694" w:rsidRPr="004D5AD1">
        <w:rPr>
          <w:noProof/>
        </w:rPr>
        <w:t>czynnych kopalń pozostaje fragmentaryczne ze względu na różnice</w:t>
      </w:r>
      <w:r w:rsidR="004D5AD1" w:rsidRPr="004D5AD1">
        <w:rPr>
          <w:noProof/>
        </w:rPr>
        <w:t xml:space="preserve"> w</w:t>
      </w:r>
      <w:r w:rsidR="004D5AD1">
        <w:rPr>
          <w:noProof/>
        </w:rPr>
        <w:t> </w:t>
      </w:r>
      <w:r w:rsidR="004D5AD1" w:rsidRPr="004D5AD1">
        <w:rPr>
          <w:noProof/>
        </w:rPr>
        <w:t>pra</w:t>
      </w:r>
      <w:r w:rsidR="00C72694" w:rsidRPr="004D5AD1">
        <w:rPr>
          <w:noProof/>
        </w:rPr>
        <w:t>wach własności</w:t>
      </w:r>
      <w:r w:rsidR="004D5AD1" w:rsidRPr="004D5AD1">
        <w:rPr>
          <w:noProof/>
        </w:rPr>
        <w:t xml:space="preserve"> i</w:t>
      </w:r>
      <w:r w:rsidR="004D5AD1">
        <w:rPr>
          <w:noProof/>
        </w:rPr>
        <w:t> </w:t>
      </w:r>
      <w:r w:rsidR="004D5AD1" w:rsidRPr="004D5AD1">
        <w:rPr>
          <w:noProof/>
        </w:rPr>
        <w:t>eks</w:t>
      </w:r>
      <w:r w:rsidR="00C72694" w:rsidRPr="004D5AD1">
        <w:rPr>
          <w:noProof/>
        </w:rPr>
        <w:t>ploatacji w UE. Państwa członkowskie powinny zatem ustanowić wykazy zamkniętych</w:t>
      </w:r>
      <w:r w:rsidR="004D5AD1" w:rsidRPr="004D5AD1">
        <w:rPr>
          <w:noProof/>
        </w:rPr>
        <w:t xml:space="preserve"> i</w:t>
      </w:r>
      <w:r w:rsidR="004D5AD1">
        <w:rPr>
          <w:noProof/>
        </w:rPr>
        <w:t> </w:t>
      </w:r>
      <w:r w:rsidR="004D5AD1" w:rsidRPr="004D5AD1">
        <w:rPr>
          <w:noProof/>
        </w:rPr>
        <w:t>nie</w:t>
      </w:r>
      <w:r w:rsidR="00C72694" w:rsidRPr="004D5AD1">
        <w:rPr>
          <w:noProof/>
        </w:rPr>
        <w:t>czynnych zasobów węgla</w:t>
      </w:r>
      <w:r w:rsidR="004D5AD1" w:rsidRPr="004D5AD1">
        <w:rPr>
          <w:noProof/>
        </w:rPr>
        <w:t xml:space="preserve"> i</w:t>
      </w:r>
      <w:r w:rsidR="004D5AD1">
        <w:rPr>
          <w:noProof/>
        </w:rPr>
        <w:t> </w:t>
      </w:r>
      <w:r w:rsidR="004D5AD1" w:rsidRPr="004D5AD1">
        <w:rPr>
          <w:noProof/>
        </w:rPr>
        <w:t>nal</w:t>
      </w:r>
      <w:r w:rsidR="00C72694" w:rsidRPr="004D5AD1">
        <w:rPr>
          <w:noProof/>
        </w:rPr>
        <w:t xml:space="preserve">eży wprowadzić wymóg, aby albo państwa członkowskie, albo zidentyfikowane strony odpowiedzialne instalowały urządzenia do pomiaru emisji metanu. </w:t>
      </w:r>
    </w:p>
    <w:p w14:paraId="1318C253" w14:textId="1112AB06" w:rsidR="000B7BCE" w:rsidRPr="004D5AD1" w:rsidRDefault="00DE3FFB" w:rsidP="00DE3FFB">
      <w:pPr>
        <w:pStyle w:val="ManualConsidrant"/>
        <w:rPr>
          <w:noProof/>
          <w:szCs w:val="24"/>
        </w:rPr>
      </w:pPr>
      <w:r w:rsidRPr="00DE3FFB">
        <w:t>(45)</w:t>
      </w:r>
      <w:r w:rsidRPr="00DE3FFB">
        <w:tab/>
      </w:r>
      <w:r w:rsidR="000B7BCE" w:rsidRPr="004D5AD1">
        <w:rPr>
          <w:noProof/>
        </w:rPr>
        <w:t>Czynne odkrywkowe kopalnie węgla</w:t>
      </w:r>
      <w:r w:rsidR="004D5AD1" w:rsidRPr="004D5AD1">
        <w:rPr>
          <w:noProof/>
        </w:rPr>
        <w:t xml:space="preserve"> w</w:t>
      </w:r>
      <w:r w:rsidR="004D5AD1">
        <w:rPr>
          <w:noProof/>
        </w:rPr>
        <w:t> </w:t>
      </w:r>
      <w:r w:rsidR="004D5AD1" w:rsidRPr="004D5AD1">
        <w:rPr>
          <w:noProof/>
        </w:rPr>
        <w:t>Uni</w:t>
      </w:r>
      <w:r w:rsidR="000B7BCE" w:rsidRPr="004D5AD1">
        <w:rPr>
          <w:noProof/>
        </w:rPr>
        <w:t>i produkują węgiel brunatny</w:t>
      </w:r>
      <w:r w:rsidR="004D5AD1" w:rsidRPr="004D5AD1">
        <w:rPr>
          <w:noProof/>
        </w:rPr>
        <w:t xml:space="preserve"> i</w:t>
      </w:r>
      <w:r w:rsidR="004D5AD1">
        <w:rPr>
          <w:noProof/>
        </w:rPr>
        <w:t> </w:t>
      </w:r>
      <w:r w:rsidR="004D5AD1" w:rsidRPr="004D5AD1">
        <w:rPr>
          <w:noProof/>
        </w:rPr>
        <w:t>emi</w:t>
      </w:r>
      <w:r w:rsidR="000B7BCE" w:rsidRPr="004D5AD1">
        <w:rPr>
          <w:noProof/>
        </w:rPr>
        <w:t>tują mniej metanu niż podziemne kopalnie węgla. Zgodnie</w:t>
      </w:r>
      <w:r w:rsidR="004D5AD1" w:rsidRPr="004D5AD1">
        <w:rPr>
          <w:noProof/>
        </w:rPr>
        <w:t xml:space="preserve"> z</w:t>
      </w:r>
      <w:r w:rsidR="004D5AD1">
        <w:rPr>
          <w:noProof/>
        </w:rPr>
        <w:t> </w:t>
      </w:r>
      <w:r w:rsidR="004D5AD1" w:rsidRPr="004D5AD1">
        <w:rPr>
          <w:noProof/>
        </w:rPr>
        <w:t>uni</w:t>
      </w:r>
      <w:r w:rsidR="000B7BCE" w:rsidRPr="004D5AD1">
        <w:rPr>
          <w:noProof/>
        </w:rPr>
        <w:t>jnym wykazem gazów cieplarnianych</w:t>
      </w:r>
      <w:r w:rsidR="004D5AD1" w:rsidRPr="004D5AD1">
        <w:rPr>
          <w:noProof/>
        </w:rPr>
        <w:t xml:space="preserve"> w</w:t>
      </w:r>
      <w:r w:rsidR="004D5AD1">
        <w:rPr>
          <w:noProof/>
        </w:rPr>
        <w:t> </w:t>
      </w:r>
      <w:r w:rsidR="004D5AD1" w:rsidRPr="004D5AD1">
        <w:rPr>
          <w:noProof/>
        </w:rPr>
        <w:t>2</w:t>
      </w:r>
      <w:r w:rsidR="000B7BCE" w:rsidRPr="004D5AD1">
        <w:rPr>
          <w:noProof/>
        </w:rPr>
        <w:t>019</w:t>
      </w:r>
      <w:r w:rsidR="004D5AD1" w:rsidRPr="004D5AD1">
        <w:rPr>
          <w:noProof/>
        </w:rPr>
        <w:t> </w:t>
      </w:r>
      <w:r w:rsidR="000B7BCE" w:rsidRPr="004D5AD1">
        <w:rPr>
          <w:noProof/>
        </w:rPr>
        <w:t xml:space="preserve">r. czynne kopalnie odkrywkowe wyemitowały 166 kiloton, natomiast podziemne kopalnie węgla– 828 kiloton </w:t>
      </w:r>
      <w:r w:rsidR="000B7BCE" w:rsidRPr="004D5AD1">
        <w:rPr>
          <w:rStyle w:val="FootnoteReference"/>
          <w:noProof/>
          <w:szCs w:val="24"/>
        </w:rPr>
        <w:footnoteReference w:id="26"/>
      </w:r>
      <w:r w:rsidR="000B7BCE" w:rsidRPr="004D5AD1">
        <w:rPr>
          <w:noProof/>
        </w:rPr>
        <w:t>. Pomiar emisji metanu</w:t>
      </w:r>
      <w:r w:rsidR="004D5AD1" w:rsidRPr="004D5AD1">
        <w:rPr>
          <w:noProof/>
        </w:rPr>
        <w:t xml:space="preserve"> z</w:t>
      </w:r>
      <w:r w:rsidR="004D5AD1">
        <w:rPr>
          <w:noProof/>
        </w:rPr>
        <w:t> </w:t>
      </w:r>
      <w:r w:rsidR="004D5AD1" w:rsidRPr="004D5AD1">
        <w:rPr>
          <w:noProof/>
        </w:rPr>
        <w:t>odk</w:t>
      </w:r>
      <w:r w:rsidR="000B7BCE" w:rsidRPr="004D5AD1">
        <w:rPr>
          <w:noProof/>
        </w:rPr>
        <w:t>rywkowych kopalń węgla jest trudny ze względu na ich rozproszenie na rozległym obszarze</w:t>
      </w:r>
      <w:r w:rsidR="004D5AD1" w:rsidRPr="004D5AD1">
        <w:rPr>
          <w:noProof/>
        </w:rPr>
        <w:t>. W</w:t>
      </w:r>
      <w:r w:rsidR="004D5AD1">
        <w:rPr>
          <w:noProof/>
        </w:rPr>
        <w:t> </w:t>
      </w:r>
      <w:r w:rsidR="004D5AD1" w:rsidRPr="004D5AD1">
        <w:rPr>
          <w:noProof/>
        </w:rPr>
        <w:t>zwi</w:t>
      </w:r>
      <w:r w:rsidR="000B7BCE" w:rsidRPr="004D5AD1">
        <w:rPr>
          <w:noProof/>
        </w:rPr>
        <w:t>ązku</w:t>
      </w:r>
      <w:r w:rsidR="004D5AD1" w:rsidRPr="004D5AD1">
        <w:rPr>
          <w:noProof/>
        </w:rPr>
        <w:t xml:space="preserve"> z</w:t>
      </w:r>
      <w:r w:rsidR="004D5AD1">
        <w:rPr>
          <w:noProof/>
        </w:rPr>
        <w:t> </w:t>
      </w:r>
      <w:r w:rsidR="004D5AD1" w:rsidRPr="004D5AD1">
        <w:rPr>
          <w:noProof/>
        </w:rPr>
        <w:t>tym</w:t>
      </w:r>
      <w:r w:rsidR="000B7BCE" w:rsidRPr="004D5AD1">
        <w:rPr>
          <w:noProof/>
        </w:rPr>
        <w:t>, pomimo dostępnej technologii</w:t>
      </w:r>
      <w:r w:rsidR="00293EF8" w:rsidRPr="004D5AD1">
        <w:rPr>
          <w:rStyle w:val="FootnoteReference"/>
          <w:noProof/>
          <w:szCs w:val="24"/>
        </w:rPr>
        <w:footnoteReference w:id="27"/>
      </w:r>
      <w:r w:rsidR="000B7BCE" w:rsidRPr="004D5AD1">
        <w:rPr>
          <w:noProof/>
        </w:rPr>
        <w:t>, rzadko mierzy się emisje</w:t>
      </w:r>
      <w:r w:rsidR="004D5AD1" w:rsidRPr="004D5AD1">
        <w:rPr>
          <w:noProof/>
        </w:rPr>
        <w:t xml:space="preserve"> z</w:t>
      </w:r>
      <w:r w:rsidR="004D5AD1">
        <w:rPr>
          <w:noProof/>
        </w:rPr>
        <w:t> </w:t>
      </w:r>
      <w:r w:rsidR="004D5AD1" w:rsidRPr="004D5AD1">
        <w:rPr>
          <w:noProof/>
        </w:rPr>
        <w:t>kop</w:t>
      </w:r>
      <w:r w:rsidR="000B7BCE" w:rsidRPr="004D5AD1">
        <w:rPr>
          <w:noProof/>
        </w:rPr>
        <w:t>alń odkrywkowych. Emisje metanu</w:t>
      </w:r>
      <w:r w:rsidR="004D5AD1" w:rsidRPr="004D5AD1">
        <w:rPr>
          <w:noProof/>
        </w:rPr>
        <w:t xml:space="preserve"> z</w:t>
      </w:r>
      <w:r w:rsidR="004D5AD1">
        <w:rPr>
          <w:noProof/>
        </w:rPr>
        <w:t> </w:t>
      </w:r>
      <w:r w:rsidR="004D5AD1" w:rsidRPr="004D5AD1">
        <w:rPr>
          <w:noProof/>
        </w:rPr>
        <w:t>kop</w:t>
      </w:r>
      <w:r w:rsidR="000B7BCE" w:rsidRPr="004D5AD1">
        <w:rPr>
          <w:noProof/>
        </w:rPr>
        <w:t>alń odkrywkowych można obliczyć przy użyciu współczynników emisji węgla specyficznych dla danego zagłębia</w:t>
      </w:r>
      <w:r w:rsidR="000B7BCE" w:rsidRPr="004D5AD1">
        <w:rPr>
          <w:rStyle w:val="FootnoteReference"/>
          <w:noProof/>
          <w:szCs w:val="24"/>
        </w:rPr>
        <w:footnoteReference w:id="28"/>
      </w:r>
      <w:r w:rsidR="000B7BCE" w:rsidRPr="004D5AD1">
        <w:rPr>
          <w:noProof/>
        </w:rPr>
        <w:t xml:space="preserve"> oraz,</w:t>
      </w:r>
      <w:r w:rsidR="004D5AD1" w:rsidRPr="004D5AD1">
        <w:rPr>
          <w:noProof/>
        </w:rPr>
        <w:t xml:space="preserve"> z</w:t>
      </w:r>
      <w:r w:rsidR="004D5AD1">
        <w:rPr>
          <w:noProof/>
        </w:rPr>
        <w:t> </w:t>
      </w:r>
      <w:r w:rsidR="004D5AD1" w:rsidRPr="004D5AD1">
        <w:rPr>
          <w:noProof/>
        </w:rPr>
        <w:t>wię</w:t>
      </w:r>
      <w:r w:rsidR="000B7BCE" w:rsidRPr="004D5AD1">
        <w:rPr>
          <w:noProof/>
        </w:rPr>
        <w:t>kszą precyzją,</w:t>
      </w:r>
      <w:r w:rsidR="004D5AD1" w:rsidRPr="004D5AD1">
        <w:rPr>
          <w:noProof/>
        </w:rPr>
        <w:t xml:space="preserve"> z</w:t>
      </w:r>
      <w:r w:rsidR="004D5AD1">
        <w:rPr>
          <w:noProof/>
        </w:rPr>
        <w:t> </w:t>
      </w:r>
      <w:r w:rsidR="004D5AD1" w:rsidRPr="004D5AD1">
        <w:rPr>
          <w:noProof/>
        </w:rPr>
        <w:t>zas</w:t>
      </w:r>
      <w:r w:rsidR="000B7BCE" w:rsidRPr="004D5AD1">
        <w:rPr>
          <w:noProof/>
        </w:rPr>
        <w:t>tosowaniem współczynników emisji specyficznych dla kopalni lub złoża, ponieważ</w:t>
      </w:r>
      <w:r w:rsidR="004D5AD1" w:rsidRPr="004D5AD1">
        <w:rPr>
          <w:noProof/>
        </w:rPr>
        <w:t xml:space="preserve"> w</w:t>
      </w:r>
      <w:r w:rsidR="004D5AD1">
        <w:rPr>
          <w:noProof/>
        </w:rPr>
        <w:t> </w:t>
      </w:r>
      <w:r w:rsidR="004D5AD1" w:rsidRPr="004D5AD1">
        <w:rPr>
          <w:noProof/>
        </w:rPr>
        <w:t>zag</w:t>
      </w:r>
      <w:r w:rsidR="000B7BCE" w:rsidRPr="004D5AD1">
        <w:rPr>
          <w:noProof/>
        </w:rPr>
        <w:t>łębiach węglowych występują złoża</w:t>
      </w:r>
      <w:r w:rsidR="004D5AD1" w:rsidRPr="004D5AD1">
        <w:rPr>
          <w:noProof/>
        </w:rPr>
        <w:t xml:space="preserve"> o</w:t>
      </w:r>
      <w:r w:rsidR="004D5AD1">
        <w:rPr>
          <w:noProof/>
        </w:rPr>
        <w:t> </w:t>
      </w:r>
      <w:r w:rsidR="004D5AD1" w:rsidRPr="004D5AD1">
        <w:rPr>
          <w:noProof/>
        </w:rPr>
        <w:t>róż</w:t>
      </w:r>
      <w:r w:rsidR="000B7BCE" w:rsidRPr="004D5AD1">
        <w:rPr>
          <w:noProof/>
        </w:rPr>
        <w:t>nej metanowości</w:t>
      </w:r>
      <w:r w:rsidR="000B7BCE" w:rsidRPr="004D5AD1">
        <w:rPr>
          <w:rStyle w:val="FootnoteReference"/>
          <w:noProof/>
          <w:szCs w:val="24"/>
        </w:rPr>
        <w:footnoteReference w:id="29"/>
      </w:r>
      <w:r w:rsidR="000B7BCE" w:rsidRPr="004D5AD1">
        <w:rPr>
          <w:noProof/>
        </w:rPr>
        <w:t>. Współczynniki emisji można wyprowadzić</w:t>
      </w:r>
      <w:r w:rsidR="004D5AD1" w:rsidRPr="004D5AD1">
        <w:rPr>
          <w:noProof/>
        </w:rPr>
        <w:t xml:space="preserve"> z</w:t>
      </w:r>
      <w:r w:rsidR="004D5AD1">
        <w:rPr>
          <w:noProof/>
        </w:rPr>
        <w:t> </w:t>
      </w:r>
      <w:r w:rsidR="004D5AD1" w:rsidRPr="004D5AD1">
        <w:rPr>
          <w:noProof/>
        </w:rPr>
        <w:t>pom</w:t>
      </w:r>
      <w:r w:rsidR="000B7BCE" w:rsidRPr="004D5AD1">
        <w:rPr>
          <w:noProof/>
        </w:rPr>
        <w:t>iarów zawartości gazu</w:t>
      </w:r>
      <w:r w:rsidR="004D5AD1" w:rsidRPr="004D5AD1">
        <w:rPr>
          <w:noProof/>
        </w:rPr>
        <w:t xml:space="preserve"> w</w:t>
      </w:r>
      <w:r w:rsidR="004D5AD1">
        <w:rPr>
          <w:noProof/>
        </w:rPr>
        <w:t> </w:t>
      </w:r>
      <w:r w:rsidR="004D5AD1" w:rsidRPr="004D5AD1">
        <w:rPr>
          <w:noProof/>
        </w:rPr>
        <w:t>pró</w:t>
      </w:r>
      <w:r w:rsidR="000B7BCE" w:rsidRPr="004D5AD1">
        <w:rPr>
          <w:noProof/>
        </w:rPr>
        <w:t>bkach pokładów pobranych</w:t>
      </w:r>
      <w:r w:rsidR="004D5AD1" w:rsidRPr="004D5AD1">
        <w:rPr>
          <w:noProof/>
        </w:rPr>
        <w:t xml:space="preserve"> z</w:t>
      </w:r>
      <w:r w:rsidR="004D5AD1">
        <w:rPr>
          <w:noProof/>
        </w:rPr>
        <w:t> </w:t>
      </w:r>
      <w:r w:rsidR="004D5AD1" w:rsidRPr="004D5AD1">
        <w:rPr>
          <w:noProof/>
        </w:rPr>
        <w:t>rdz</w:t>
      </w:r>
      <w:r w:rsidR="000B7BCE" w:rsidRPr="004D5AD1">
        <w:rPr>
          <w:noProof/>
        </w:rPr>
        <w:t>eni odwiertów</w:t>
      </w:r>
      <w:r w:rsidR="000B7BCE" w:rsidRPr="004D5AD1">
        <w:rPr>
          <w:rStyle w:val="FootnoteReference"/>
          <w:noProof/>
          <w:szCs w:val="24"/>
        </w:rPr>
        <w:footnoteReference w:id="30"/>
      </w:r>
      <w:r w:rsidR="000B7BCE" w:rsidRPr="004D5AD1">
        <w:rPr>
          <w:noProof/>
        </w:rPr>
        <w:t>. Operatorzy kopalń powinni zatem przeprowadzać pomiary emisji metanu</w:t>
      </w:r>
      <w:r w:rsidR="004D5AD1" w:rsidRPr="004D5AD1">
        <w:rPr>
          <w:noProof/>
        </w:rPr>
        <w:t xml:space="preserve"> w</w:t>
      </w:r>
      <w:r w:rsidR="004D5AD1">
        <w:rPr>
          <w:noProof/>
        </w:rPr>
        <w:t> </w:t>
      </w:r>
      <w:r w:rsidR="004D5AD1" w:rsidRPr="004D5AD1">
        <w:rPr>
          <w:noProof/>
        </w:rPr>
        <w:t>odk</w:t>
      </w:r>
      <w:r w:rsidR="000B7BCE" w:rsidRPr="004D5AD1">
        <w:rPr>
          <w:noProof/>
        </w:rPr>
        <w:t>rywkowych kopalniach węgla przy użyciu takich współczynników emisji.</w:t>
      </w:r>
    </w:p>
    <w:p w14:paraId="06F9F30A" w14:textId="1DA9AB05" w:rsidR="003009DC" w:rsidRPr="004D5AD1" w:rsidRDefault="00DE3FFB" w:rsidP="00DE3FFB">
      <w:pPr>
        <w:pStyle w:val="ManualConsidrant"/>
        <w:rPr>
          <w:noProof/>
          <w:szCs w:val="24"/>
        </w:rPr>
      </w:pPr>
      <w:r w:rsidRPr="00DE3FFB">
        <w:t>(46)</w:t>
      </w:r>
      <w:r w:rsidRPr="00DE3FFB">
        <w:tab/>
      </w:r>
      <w:r w:rsidR="003009DC" w:rsidRPr="004D5AD1">
        <w:rPr>
          <w:noProof/>
        </w:rPr>
        <w:t>W związku</w:t>
      </w:r>
      <w:r w:rsidR="004D5AD1" w:rsidRPr="004D5AD1">
        <w:rPr>
          <w:noProof/>
        </w:rPr>
        <w:t xml:space="preserve"> z</w:t>
      </w:r>
      <w:r w:rsidR="004D5AD1">
        <w:rPr>
          <w:noProof/>
        </w:rPr>
        <w:t> </w:t>
      </w:r>
      <w:r w:rsidR="004D5AD1" w:rsidRPr="004D5AD1">
        <w:rPr>
          <w:noProof/>
        </w:rPr>
        <w:t>tym</w:t>
      </w:r>
      <w:r w:rsidR="003009DC" w:rsidRPr="004D5AD1">
        <w:rPr>
          <w:noProof/>
        </w:rPr>
        <w:t xml:space="preserve"> operatorzy kopalń powinni prowadzić ciągłe pomiary</w:t>
      </w:r>
      <w:r w:rsidR="004D5AD1" w:rsidRPr="004D5AD1">
        <w:rPr>
          <w:noProof/>
        </w:rPr>
        <w:t xml:space="preserve"> i</w:t>
      </w:r>
      <w:r w:rsidR="004D5AD1">
        <w:rPr>
          <w:noProof/>
        </w:rPr>
        <w:t> </w:t>
      </w:r>
      <w:r w:rsidR="004D5AD1" w:rsidRPr="004D5AD1">
        <w:rPr>
          <w:noProof/>
        </w:rPr>
        <w:t>kwa</w:t>
      </w:r>
      <w:r w:rsidR="003009DC" w:rsidRPr="004D5AD1">
        <w:rPr>
          <w:noProof/>
        </w:rPr>
        <w:t>ntyfikacje emisji metanu</w:t>
      </w:r>
      <w:r w:rsidR="004D5AD1" w:rsidRPr="004D5AD1">
        <w:rPr>
          <w:noProof/>
        </w:rPr>
        <w:t xml:space="preserve"> z</w:t>
      </w:r>
      <w:r w:rsidR="004D5AD1">
        <w:rPr>
          <w:noProof/>
        </w:rPr>
        <w:t> </w:t>
      </w:r>
      <w:r w:rsidR="004D5AD1" w:rsidRPr="004D5AD1">
        <w:rPr>
          <w:noProof/>
        </w:rPr>
        <w:t>szy</w:t>
      </w:r>
      <w:r w:rsidR="003009DC" w:rsidRPr="004D5AD1">
        <w:rPr>
          <w:noProof/>
        </w:rPr>
        <w:t>bów wentylacyjnych</w:t>
      </w:r>
      <w:r w:rsidR="004D5AD1" w:rsidRPr="004D5AD1">
        <w:rPr>
          <w:noProof/>
        </w:rPr>
        <w:t xml:space="preserve"> w</w:t>
      </w:r>
      <w:r w:rsidR="004D5AD1">
        <w:rPr>
          <w:noProof/>
        </w:rPr>
        <w:t> </w:t>
      </w:r>
      <w:r w:rsidR="004D5AD1" w:rsidRPr="004D5AD1">
        <w:rPr>
          <w:noProof/>
        </w:rPr>
        <w:t>pod</w:t>
      </w:r>
      <w:r w:rsidR="003009DC" w:rsidRPr="004D5AD1">
        <w:rPr>
          <w:noProof/>
        </w:rPr>
        <w:t>ziemnych kopalniach węgla, ciągłe pomiary metanu uwalnianego do atmosfery</w:t>
      </w:r>
      <w:r w:rsidR="004D5AD1" w:rsidRPr="004D5AD1">
        <w:rPr>
          <w:noProof/>
        </w:rPr>
        <w:t xml:space="preserve"> i</w:t>
      </w:r>
      <w:r w:rsidR="004D5AD1">
        <w:rPr>
          <w:noProof/>
        </w:rPr>
        <w:t> </w:t>
      </w:r>
      <w:r w:rsidR="004D5AD1" w:rsidRPr="004D5AD1">
        <w:rPr>
          <w:noProof/>
        </w:rPr>
        <w:t>spa</w:t>
      </w:r>
      <w:r w:rsidR="003009DC" w:rsidRPr="004D5AD1">
        <w:rPr>
          <w:noProof/>
        </w:rPr>
        <w:t>lanego</w:t>
      </w:r>
      <w:r w:rsidR="004D5AD1" w:rsidRPr="004D5AD1">
        <w:rPr>
          <w:noProof/>
        </w:rPr>
        <w:t xml:space="preserve"> w</w:t>
      </w:r>
      <w:r w:rsidR="004D5AD1">
        <w:rPr>
          <w:noProof/>
        </w:rPr>
        <w:t> </w:t>
      </w:r>
      <w:r w:rsidR="004D5AD1" w:rsidRPr="004D5AD1">
        <w:rPr>
          <w:noProof/>
        </w:rPr>
        <w:t>poc</w:t>
      </w:r>
      <w:r w:rsidR="003009DC" w:rsidRPr="004D5AD1">
        <w:rPr>
          <w:noProof/>
        </w:rPr>
        <w:t>hodni</w:t>
      </w:r>
      <w:r w:rsidR="004D5AD1" w:rsidRPr="004D5AD1">
        <w:rPr>
          <w:noProof/>
        </w:rPr>
        <w:t xml:space="preserve"> w</w:t>
      </w:r>
      <w:r w:rsidR="004D5AD1">
        <w:rPr>
          <w:noProof/>
        </w:rPr>
        <w:t> </w:t>
      </w:r>
      <w:r w:rsidR="004D5AD1" w:rsidRPr="004D5AD1">
        <w:rPr>
          <w:noProof/>
        </w:rPr>
        <w:t>sta</w:t>
      </w:r>
      <w:r w:rsidR="003009DC" w:rsidRPr="004D5AD1">
        <w:rPr>
          <w:noProof/>
        </w:rPr>
        <w:t>cjach odmetanowania oraz stosować określone współczynniki emisji</w:t>
      </w:r>
      <w:r w:rsidR="004D5AD1" w:rsidRPr="004D5AD1">
        <w:rPr>
          <w:noProof/>
        </w:rPr>
        <w:t xml:space="preserve"> w</w:t>
      </w:r>
      <w:r w:rsidR="004D5AD1">
        <w:rPr>
          <w:noProof/>
        </w:rPr>
        <w:t> </w:t>
      </w:r>
      <w:r w:rsidR="004D5AD1" w:rsidRPr="004D5AD1">
        <w:rPr>
          <w:noProof/>
        </w:rPr>
        <w:t>odn</w:t>
      </w:r>
      <w:r w:rsidR="003009DC" w:rsidRPr="004D5AD1">
        <w:rPr>
          <w:noProof/>
        </w:rPr>
        <w:t>iesieniu do odkrywkowych kopalń węgla. Powinni oni zgłaszać te dane właściwym organom.</w:t>
      </w:r>
    </w:p>
    <w:p w14:paraId="35F16F52" w14:textId="79F741F1" w:rsidR="000B7BCE" w:rsidRPr="004D5AD1" w:rsidRDefault="00DE3FFB" w:rsidP="00DE3FFB">
      <w:pPr>
        <w:pStyle w:val="ManualConsidrant"/>
        <w:rPr>
          <w:noProof/>
          <w:szCs w:val="24"/>
        </w:rPr>
      </w:pPr>
      <w:r w:rsidRPr="00DE3FFB">
        <w:t>(47)</w:t>
      </w:r>
      <w:r w:rsidRPr="00DE3FFB">
        <w:tab/>
      </w:r>
      <w:r w:rsidR="00ED7C74" w:rsidRPr="004D5AD1">
        <w:rPr>
          <w:noProof/>
        </w:rPr>
        <w:t>Obecnie ograniczenie emisji metanu można najlepiej osiągnąć</w:t>
      </w:r>
      <w:r w:rsidR="004D5AD1" w:rsidRPr="004D5AD1">
        <w:rPr>
          <w:noProof/>
        </w:rPr>
        <w:t xml:space="preserve"> w</w:t>
      </w:r>
      <w:r w:rsidR="004D5AD1">
        <w:rPr>
          <w:noProof/>
        </w:rPr>
        <w:t> </w:t>
      </w:r>
      <w:r w:rsidR="004D5AD1" w:rsidRPr="004D5AD1">
        <w:rPr>
          <w:noProof/>
        </w:rPr>
        <w:t>czy</w:t>
      </w:r>
      <w:r w:rsidR="00ED7C74" w:rsidRPr="004D5AD1">
        <w:rPr>
          <w:noProof/>
        </w:rPr>
        <w:t>nnych</w:t>
      </w:r>
      <w:r w:rsidR="004D5AD1" w:rsidRPr="004D5AD1">
        <w:rPr>
          <w:noProof/>
        </w:rPr>
        <w:t xml:space="preserve"> i</w:t>
      </w:r>
      <w:r w:rsidR="004D5AD1">
        <w:rPr>
          <w:noProof/>
        </w:rPr>
        <w:t> </w:t>
      </w:r>
      <w:r w:rsidR="004D5AD1" w:rsidRPr="004D5AD1">
        <w:rPr>
          <w:noProof/>
        </w:rPr>
        <w:t>zam</w:t>
      </w:r>
      <w:r w:rsidR="00ED7C74" w:rsidRPr="004D5AD1">
        <w:rPr>
          <w:noProof/>
        </w:rPr>
        <w:t>kniętych lub nieczynnych podziemnych kopalniach węgla. Skuteczne ograniczanie emisji metanu</w:t>
      </w:r>
      <w:r w:rsidR="004D5AD1" w:rsidRPr="004D5AD1">
        <w:rPr>
          <w:noProof/>
        </w:rPr>
        <w:t xml:space="preserve"> z</w:t>
      </w:r>
      <w:r w:rsidR="004D5AD1">
        <w:rPr>
          <w:noProof/>
        </w:rPr>
        <w:t> </w:t>
      </w:r>
      <w:r w:rsidR="004D5AD1" w:rsidRPr="004D5AD1">
        <w:rPr>
          <w:noProof/>
        </w:rPr>
        <w:t>czy</w:t>
      </w:r>
      <w:r w:rsidR="00ED7C74" w:rsidRPr="004D5AD1">
        <w:rPr>
          <w:noProof/>
        </w:rPr>
        <w:t>nnych</w:t>
      </w:r>
      <w:r w:rsidR="004D5AD1" w:rsidRPr="004D5AD1">
        <w:rPr>
          <w:noProof/>
        </w:rPr>
        <w:t xml:space="preserve"> i</w:t>
      </w:r>
      <w:r w:rsidR="004D5AD1">
        <w:rPr>
          <w:noProof/>
        </w:rPr>
        <w:t> </w:t>
      </w:r>
      <w:r w:rsidR="004D5AD1" w:rsidRPr="004D5AD1">
        <w:rPr>
          <w:noProof/>
        </w:rPr>
        <w:t>zam</w:t>
      </w:r>
      <w:r w:rsidR="00ED7C74" w:rsidRPr="004D5AD1">
        <w:rPr>
          <w:noProof/>
        </w:rPr>
        <w:t>kniętych lub nieczynnych kopalń odkrywkowych jest obecnie ograniczone pod względem technologicznym. Aby</w:t>
      </w:r>
      <w:r w:rsidR="004D5AD1" w:rsidRPr="004D5AD1">
        <w:rPr>
          <w:noProof/>
        </w:rPr>
        <w:t xml:space="preserve"> w</w:t>
      </w:r>
      <w:r w:rsidR="004D5AD1">
        <w:rPr>
          <w:noProof/>
        </w:rPr>
        <w:t> </w:t>
      </w:r>
      <w:r w:rsidR="004D5AD1" w:rsidRPr="004D5AD1">
        <w:rPr>
          <w:noProof/>
        </w:rPr>
        <w:t>prz</w:t>
      </w:r>
      <w:r w:rsidR="00ED7C74" w:rsidRPr="004D5AD1">
        <w:rPr>
          <w:noProof/>
        </w:rPr>
        <w:t>yszłości wspierać badania</w:t>
      </w:r>
      <w:r w:rsidR="004D5AD1" w:rsidRPr="004D5AD1">
        <w:rPr>
          <w:noProof/>
        </w:rPr>
        <w:t xml:space="preserve"> i</w:t>
      </w:r>
      <w:r w:rsidR="004D5AD1">
        <w:rPr>
          <w:noProof/>
        </w:rPr>
        <w:t> </w:t>
      </w:r>
      <w:r w:rsidR="004D5AD1" w:rsidRPr="004D5AD1">
        <w:rPr>
          <w:noProof/>
        </w:rPr>
        <w:t>roz</w:t>
      </w:r>
      <w:r w:rsidR="00ED7C74" w:rsidRPr="004D5AD1">
        <w:rPr>
          <w:noProof/>
        </w:rPr>
        <w:t>wój</w:t>
      </w:r>
      <w:r w:rsidR="004D5AD1" w:rsidRPr="004D5AD1">
        <w:rPr>
          <w:noProof/>
        </w:rPr>
        <w:t xml:space="preserve"> w</w:t>
      </w:r>
      <w:r w:rsidR="004D5AD1">
        <w:rPr>
          <w:noProof/>
        </w:rPr>
        <w:t> </w:t>
      </w:r>
      <w:r w:rsidR="004D5AD1" w:rsidRPr="004D5AD1">
        <w:rPr>
          <w:noProof/>
        </w:rPr>
        <w:t>zak</w:t>
      </w:r>
      <w:r w:rsidR="00ED7C74" w:rsidRPr="004D5AD1">
        <w:rPr>
          <w:noProof/>
        </w:rPr>
        <w:t>resie technologii ograniczania takich emisji, należy jednak zapewnić skuteczne</w:t>
      </w:r>
      <w:r w:rsidR="004D5AD1" w:rsidRPr="004D5AD1">
        <w:rPr>
          <w:noProof/>
        </w:rPr>
        <w:t xml:space="preserve"> i</w:t>
      </w:r>
      <w:r w:rsidR="004D5AD1">
        <w:rPr>
          <w:noProof/>
        </w:rPr>
        <w:t> </w:t>
      </w:r>
      <w:r w:rsidR="004D5AD1" w:rsidRPr="004D5AD1">
        <w:rPr>
          <w:noProof/>
        </w:rPr>
        <w:t>szc</w:t>
      </w:r>
      <w:r w:rsidR="00ED7C74" w:rsidRPr="004D5AD1">
        <w:rPr>
          <w:noProof/>
        </w:rPr>
        <w:t>zegółowe monitorowanie, raportowanie</w:t>
      </w:r>
      <w:r w:rsidR="004D5AD1" w:rsidRPr="004D5AD1">
        <w:rPr>
          <w:noProof/>
        </w:rPr>
        <w:t xml:space="preserve"> i</w:t>
      </w:r>
      <w:r w:rsidR="004D5AD1">
        <w:rPr>
          <w:noProof/>
        </w:rPr>
        <w:t> </w:t>
      </w:r>
      <w:r w:rsidR="004D5AD1" w:rsidRPr="004D5AD1">
        <w:rPr>
          <w:noProof/>
        </w:rPr>
        <w:t>wer</w:t>
      </w:r>
      <w:r w:rsidR="00ED7C74" w:rsidRPr="004D5AD1">
        <w:rPr>
          <w:noProof/>
        </w:rPr>
        <w:t>yfikację ich skali.</w:t>
      </w:r>
    </w:p>
    <w:p w14:paraId="5C9D7A5B" w14:textId="1363E28F" w:rsidR="007460DC" w:rsidRPr="004D5AD1" w:rsidRDefault="00DE3FFB" w:rsidP="00DE3FFB">
      <w:pPr>
        <w:pStyle w:val="ManualConsidrant"/>
        <w:rPr>
          <w:noProof/>
          <w:kern w:val="24"/>
          <w:szCs w:val="24"/>
        </w:rPr>
      </w:pPr>
      <w:r w:rsidRPr="00DE3FFB">
        <w:t>(48)</w:t>
      </w:r>
      <w:r w:rsidRPr="00DE3FFB">
        <w:tab/>
      </w:r>
      <w:r w:rsidR="00ED7C74" w:rsidRPr="004D5AD1">
        <w:rPr>
          <w:noProof/>
        </w:rPr>
        <w:t>Kopalnie podziemne to kopalnie węgla energetycznego lub koksowego. Węgiel energetyczny wykorzystywany jest przede wszystkim jako źródło energii,</w:t>
      </w:r>
      <w:r w:rsidR="004D5AD1" w:rsidRPr="004D5AD1">
        <w:rPr>
          <w:noProof/>
        </w:rPr>
        <w:t xml:space="preserve"> a</w:t>
      </w:r>
      <w:r w:rsidR="004D5AD1">
        <w:rPr>
          <w:noProof/>
        </w:rPr>
        <w:t> </w:t>
      </w:r>
      <w:r w:rsidR="004D5AD1" w:rsidRPr="004D5AD1">
        <w:rPr>
          <w:noProof/>
        </w:rPr>
        <w:t>węg</w:t>
      </w:r>
      <w:r w:rsidR="00ED7C74" w:rsidRPr="004D5AD1">
        <w:rPr>
          <w:noProof/>
        </w:rPr>
        <w:t>iel koksowy jako paliwo oraz jako reagent</w:t>
      </w:r>
      <w:r w:rsidR="004D5AD1" w:rsidRPr="004D5AD1">
        <w:rPr>
          <w:noProof/>
        </w:rPr>
        <w:t xml:space="preserve"> w</w:t>
      </w:r>
      <w:r w:rsidR="004D5AD1">
        <w:rPr>
          <w:noProof/>
        </w:rPr>
        <w:t> </w:t>
      </w:r>
      <w:r w:rsidR="004D5AD1" w:rsidRPr="004D5AD1">
        <w:rPr>
          <w:noProof/>
        </w:rPr>
        <w:t>pro</w:t>
      </w:r>
      <w:r w:rsidR="00ED7C74" w:rsidRPr="004D5AD1">
        <w:rPr>
          <w:noProof/>
        </w:rPr>
        <w:t>cesie produkcji stali. Zarówno kopalnie węgla koksowego, jak</w:t>
      </w:r>
      <w:r w:rsidR="004D5AD1" w:rsidRPr="004D5AD1">
        <w:rPr>
          <w:noProof/>
        </w:rPr>
        <w:t xml:space="preserve"> i</w:t>
      </w:r>
      <w:r w:rsidR="004D5AD1">
        <w:rPr>
          <w:noProof/>
        </w:rPr>
        <w:t> </w:t>
      </w:r>
      <w:r w:rsidR="004D5AD1" w:rsidRPr="004D5AD1">
        <w:rPr>
          <w:noProof/>
        </w:rPr>
        <w:t>kop</w:t>
      </w:r>
      <w:r w:rsidR="00ED7C74" w:rsidRPr="004D5AD1">
        <w:rPr>
          <w:noProof/>
        </w:rPr>
        <w:t>alnie węgla energetycznego powinny podlegać wymogom</w:t>
      </w:r>
      <w:r w:rsidR="004D5AD1" w:rsidRPr="004D5AD1">
        <w:rPr>
          <w:noProof/>
        </w:rPr>
        <w:t xml:space="preserve"> w</w:t>
      </w:r>
      <w:r w:rsidR="004D5AD1">
        <w:rPr>
          <w:noProof/>
        </w:rPr>
        <w:t> </w:t>
      </w:r>
      <w:r w:rsidR="004D5AD1" w:rsidRPr="004D5AD1">
        <w:rPr>
          <w:noProof/>
        </w:rPr>
        <w:t>zak</w:t>
      </w:r>
      <w:r w:rsidR="00ED7C74" w:rsidRPr="004D5AD1">
        <w:rPr>
          <w:noProof/>
        </w:rPr>
        <w:t>resie pomiaru, raportowania</w:t>
      </w:r>
      <w:r w:rsidR="004D5AD1" w:rsidRPr="004D5AD1">
        <w:rPr>
          <w:noProof/>
        </w:rPr>
        <w:t xml:space="preserve"> i</w:t>
      </w:r>
      <w:r w:rsidR="004D5AD1">
        <w:rPr>
          <w:noProof/>
        </w:rPr>
        <w:t> </w:t>
      </w:r>
      <w:r w:rsidR="004D5AD1" w:rsidRPr="004D5AD1">
        <w:rPr>
          <w:noProof/>
        </w:rPr>
        <w:t>wer</w:t>
      </w:r>
      <w:r w:rsidR="00ED7C74" w:rsidRPr="004D5AD1">
        <w:rPr>
          <w:noProof/>
        </w:rPr>
        <w:t>yfikacji emisji metanu.</w:t>
      </w:r>
      <w:r w:rsidR="004D5AD1" w:rsidRPr="004D5AD1">
        <w:rPr>
          <w:noProof/>
        </w:rPr>
        <w:t xml:space="preserve"> </w:t>
      </w:r>
    </w:p>
    <w:p w14:paraId="1851BF34" w14:textId="37C4C91B" w:rsidR="007D64C9" w:rsidRPr="004D5AD1" w:rsidRDefault="00DE3FFB" w:rsidP="00DE3FFB">
      <w:pPr>
        <w:pStyle w:val="ManualConsidrant"/>
        <w:rPr>
          <w:noProof/>
        </w:rPr>
      </w:pPr>
      <w:r w:rsidRPr="00DE3FFB">
        <w:t>(49)</w:t>
      </w:r>
      <w:r w:rsidRPr="00DE3FFB">
        <w:tab/>
      </w:r>
      <w:r w:rsidR="007D64C9" w:rsidRPr="004D5AD1">
        <w:rPr>
          <w:noProof/>
        </w:rPr>
        <w:t>W przypadku czynnych podziemnych kopalń węgla ograniczenie emisji metanu należy wdrożyć poprzez stopniowe odchodzenie od uwalniania do atmosfery</w:t>
      </w:r>
      <w:r w:rsidR="004D5AD1" w:rsidRPr="004D5AD1">
        <w:rPr>
          <w:noProof/>
        </w:rPr>
        <w:t xml:space="preserve"> i</w:t>
      </w:r>
      <w:r w:rsidR="004D5AD1">
        <w:rPr>
          <w:noProof/>
        </w:rPr>
        <w:t> </w:t>
      </w:r>
      <w:r w:rsidR="004D5AD1" w:rsidRPr="004D5AD1">
        <w:rPr>
          <w:noProof/>
        </w:rPr>
        <w:t>spa</w:t>
      </w:r>
      <w:r w:rsidR="007D64C9" w:rsidRPr="004D5AD1">
        <w:rPr>
          <w:noProof/>
        </w:rPr>
        <w:t>lania gazu</w:t>
      </w:r>
      <w:r w:rsidR="004D5AD1" w:rsidRPr="004D5AD1">
        <w:rPr>
          <w:noProof/>
        </w:rPr>
        <w:t xml:space="preserve"> w</w:t>
      </w:r>
      <w:r w:rsidR="004D5AD1">
        <w:rPr>
          <w:noProof/>
        </w:rPr>
        <w:t> </w:t>
      </w:r>
      <w:r w:rsidR="004D5AD1" w:rsidRPr="004D5AD1">
        <w:rPr>
          <w:noProof/>
        </w:rPr>
        <w:t>poc</w:t>
      </w:r>
      <w:r w:rsidR="007D64C9" w:rsidRPr="004D5AD1">
        <w:rPr>
          <w:noProof/>
        </w:rPr>
        <w:t>hodni</w:t>
      </w:r>
      <w:r w:rsidR="004D5AD1" w:rsidRPr="004D5AD1">
        <w:rPr>
          <w:noProof/>
        </w:rPr>
        <w:t>. W</w:t>
      </w:r>
      <w:r w:rsidR="004D5AD1">
        <w:rPr>
          <w:noProof/>
        </w:rPr>
        <w:t> </w:t>
      </w:r>
      <w:r w:rsidR="004D5AD1" w:rsidRPr="004D5AD1">
        <w:rPr>
          <w:noProof/>
        </w:rPr>
        <w:t>prz</w:t>
      </w:r>
      <w:r w:rsidR="007D64C9" w:rsidRPr="004D5AD1">
        <w:rPr>
          <w:noProof/>
        </w:rPr>
        <w:t>ypadku zamkniętych lub nieczynnych podziemnych kopalń węgla, podczas gdy zatopienie kopalni może zapobiec emisjom metanu, nie jest to systematycznie stosowane rozwiązanie</w:t>
      </w:r>
      <w:r w:rsidR="004D5AD1" w:rsidRPr="004D5AD1">
        <w:rPr>
          <w:noProof/>
        </w:rPr>
        <w:t xml:space="preserve"> i</w:t>
      </w:r>
      <w:r w:rsidR="004D5AD1">
        <w:rPr>
          <w:noProof/>
        </w:rPr>
        <w:t> </w:t>
      </w:r>
      <w:r w:rsidR="004D5AD1" w:rsidRPr="004D5AD1">
        <w:rPr>
          <w:noProof/>
        </w:rPr>
        <w:t>wią</w:t>
      </w:r>
      <w:r w:rsidR="007D64C9" w:rsidRPr="004D5AD1">
        <w:rPr>
          <w:noProof/>
        </w:rPr>
        <w:t>że się</w:t>
      </w:r>
      <w:r w:rsidR="004D5AD1" w:rsidRPr="004D5AD1">
        <w:rPr>
          <w:noProof/>
        </w:rPr>
        <w:t xml:space="preserve"> z</w:t>
      </w:r>
      <w:r w:rsidR="004D5AD1">
        <w:rPr>
          <w:noProof/>
        </w:rPr>
        <w:t> </w:t>
      </w:r>
      <w:r w:rsidR="004D5AD1" w:rsidRPr="004D5AD1">
        <w:rPr>
          <w:noProof/>
        </w:rPr>
        <w:t>ryz</w:t>
      </w:r>
      <w:r w:rsidR="007D64C9" w:rsidRPr="004D5AD1">
        <w:rPr>
          <w:noProof/>
        </w:rPr>
        <w:t>ykiem środowiskowym. Uwalnianie do atmosfery</w:t>
      </w:r>
      <w:r w:rsidR="004D5AD1" w:rsidRPr="004D5AD1">
        <w:rPr>
          <w:noProof/>
        </w:rPr>
        <w:t xml:space="preserve"> i</w:t>
      </w:r>
      <w:r w:rsidR="004D5AD1">
        <w:rPr>
          <w:noProof/>
        </w:rPr>
        <w:t> </w:t>
      </w:r>
      <w:r w:rsidR="004D5AD1" w:rsidRPr="004D5AD1">
        <w:rPr>
          <w:noProof/>
        </w:rPr>
        <w:t>spa</w:t>
      </w:r>
      <w:r w:rsidR="007D64C9" w:rsidRPr="004D5AD1">
        <w:rPr>
          <w:noProof/>
        </w:rPr>
        <w:t>lanie</w:t>
      </w:r>
      <w:r w:rsidR="004D5AD1" w:rsidRPr="004D5AD1">
        <w:rPr>
          <w:noProof/>
        </w:rPr>
        <w:t xml:space="preserve"> w</w:t>
      </w:r>
      <w:r w:rsidR="004D5AD1">
        <w:rPr>
          <w:noProof/>
        </w:rPr>
        <w:t> </w:t>
      </w:r>
      <w:r w:rsidR="004D5AD1" w:rsidRPr="004D5AD1">
        <w:rPr>
          <w:noProof/>
        </w:rPr>
        <w:t>poc</w:t>
      </w:r>
      <w:r w:rsidR="007D64C9" w:rsidRPr="004D5AD1">
        <w:rPr>
          <w:noProof/>
        </w:rPr>
        <w:t>hodni</w:t>
      </w:r>
      <w:r w:rsidR="004D5AD1" w:rsidRPr="004D5AD1">
        <w:rPr>
          <w:noProof/>
        </w:rPr>
        <w:t xml:space="preserve"> w</w:t>
      </w:r>
      <w:r w:rsidR="004D5AD1">
        <w:rPr>
          <w:noProof/>
        </w:rPr>
        <w:t> </w:t>
      </w:r>
      <w:r w:rsidR="004D5AD1" w:rsidRPr="004D5AD1">
        <w:rPr>
          <w:noProof/>
        </w:rPr>
        <w:t>tyc</w:t>
      </w:r>
      <w:r w:rsidR="007D64C9" w:rsidRPr="004D5AD1">
        <w:rPr>
          <w:noProof/>
        </w:rPr>
        <w:t>h kopalniach należy również stopniowo wycofać. Ponieważ ograniczenia geologiczne</w:t>
      </w:r>
      <w:r w:rsidR="004D5AD1" w:rsidRPr="004D5AD1">
        <w:rPr>
          <w:noProof/>
        </w:rPr>
        <w:t xml:space="preserve"> i</w:t>
      </w:r>
      <w:r w:rsidR="004D5AD1">
        <w:rPr>
          <w:noProof/>
        </w:rPr>
        <w:t> </w:t>
      </w:r>
      <w:r w:rsidR="004D5AD1" w:rsidRPr="004D5AD1">
        <w:rPr>
          <w:noProof/>
        </w:rPr>
        <w:t>wzg</w:t>
      </w:r>
      <w:r w:rsidR="007D64C9" w:rsidRPr="004D5AD1">
        <w:rPr>
          <w:noProof/>
        </w:rPr>
        <w:t>lędy środowiskowe uniemożliwiają przyjęcie uniwersalnego podejścia do ograniczania emisji metanu</w:t>
      </w:r>
      <w:r w:rsidR="004D5AD1" w:rsidRPr="004D5AD1">
        <w:rPr>
          <w:noProof/>
        </w:rPr>
        <w:t xml:space="preserve"> z</w:t>
      </w:r>
      <w:r w:rsidR="004D5AD1">
        <w:rPr>
          <w:noProof/>
        </w:rPr>
        <w:t> </w:t>
      </w:r>
      <w:r w:rsidR="004D5AD1" w:rsidRPr="004D5AD1">
        <w:rPr>
          <w:noProof/>
        </w:rPr>
        <w:t>nie</w:t>
      </w:r>
      <w:r w:rsidR="007D64C9" w:rsidRPr="004D5AD1">
        <w:rPr>
          <w:noProof/>
        </w:rPr>
        <w:t>czynnych podziemnych kopalń węgla</w:t>
      </w:r>
      <w:r w:rsidR="007D64C9" w:rsidRPr="004D5AD1">
        <w:rPr>
          <w:rStyle w:val="FootnoteReference"/>
          <w:noProof/>
          <w:szCs w:val="24"/>
        </w:rPr>
        <w:footnoteReference w:id="31"/>
      </w:r>
      <w:r w:rsidR="007D64C9" w:rsidRPr="004D5AD1">
        <w:rPr>
          <w:noProof/>
        </w:rPr>
        <w:t>, państwa członkowskie powinny opracować własny plan redukcji emisji, biorąc pod uwagę te ograniczenia</w:t>
      </w:r>
      <w:r w:rsidR="004D5AD1" w:rsidRPr="004D5AD1">
        <w:rPr>
          <w:noProof/>
        </w:rPr>
        <w:t xml:space="preserve"> i</w:t>
      </w:r>
      <w:r w:rsidR="004D5AD1">
        <w:rPr>
          <w:noProof/>
        </w:rPr>
        <w:t> </w:t>
      </w:r>
      <w:r w:rsidR="004D5AD1" w:rsidRPr="004D5AD1">
        <w:rPr>
          <w:noProof/>
        </w:rPr>
        <w:t>tec</w:t>
      </w:r>
      <w:r w:rsidR="007D64C9" w:rsidRPr="004D5AD1">
        <w:rPr>
          <w:noProof/>
        </w:rPr>
        <w:t>hniczną wykonalność ograniczenia emisji metanu</w:t>
      </w:r>
      <w:r w:rsidR="004D5AD1" w:rsidRPr="004D5AD1">
        <w:rPr>
          <w:noProof/>
        </w:rPr>
        <w:t xml:space="preserve"> z</w:t>
      </w:r>
      <w:r w:rsidR="004D5AD1">
        <w:rPr>
          <w:noProof/>
        </w:rPr>
        <w:t> </w:t>
      </w:r>
      <w:r w:rsidR="004D5AD1" w:rsidRPr="004D5AD1">
        <w:rPr>
          <w:noProof/>
        </w:rPr>
        <w:t>nie</w:t>
      </w:r>
      <w:r w:rsidR="007D64C9" w:rsidRPr="004D5AD1">
        <w:rPr>
          <w:noProof/>
        </w:rPr>
        <w:t xml:space="preserve">czynnych kopalń. </w:t>
      </w:r>
    </w:p>
    <w:p w14:paraId="52C6697E" w14:textId="792FBF24" w:rsidR="00F75FE5" w:rsidRPr="004D5AD1" w:rsidRDefault="00DE3FFB" w:rsidP="00DE3FFB">
      <w:pPr>
        <w:pStyle w:val="ManualConsidrant"/>
        <w:rPr>
          <w:noProof/>
        </w:rPr>
      </w:pPr>
      <w:r w:rsidRPr="00DE3FFB">
        <w:t>(50)</w:t>
      </w:r>
      <w:r w:rsidRPr="00DE3FFB">
        <w:tab/>
      </w:r>
      <w:r w:rsidR="00F75FE5" w:rsidRPr="004D5AD1">
        <w:rPr>
          <w:noProof/>
        </w:rPr>
        <w:t>W następstwie wniosku Komisji Rada przyjęła 28 czerwca 2021</w:t>
      </w:r>
      <w:r w:rsidR="004D5AD1" w:rsidRPr="004D5AD1">
        <w:rPr>
          <w:noProof/>
        </w:rPr>
        <w:t> </w:t>
      </w:r>
      <w:r w:rsidR="00F75FE5" w:rsidRPr="004D5AD1">
        <w:rPr>
          <w:noProof/>
        </w:rPr>
        <w:t>r. nową podstawę prawną Funduszu Badawczego Węgla</w:t>
      </w:r>
      <w:r w:rsidR="004D5AD1" w:rsidRPr="004D5AD1">
        <w:rPr>
          <w:noProof/>
        </w:rPr>
        <w:t xml:space="preserve"> i</w:t>
      </w:r>
      <w:r w:rsidR="004D5AD1">
        <w:rPr>
          <w:noProof/>
        </w:rPr>
        <w:t> </w:t>
      </w:r>
      <w:r w:rsidR="004D5AD1" w:rsidRPr="004D5AD1">
        <w:rPr>
          <w:noProof/>
        </w:rPr>
        <w:t>Sta</w:t>
      </w:r>
      <w:r w:rsidR="00F75FE5" w:rsidRPr="004D5AD1">
        <w:rPr>
          <w:noProof/>
        </w:rPr>
        <w:t>li</w:t>
      </w:r>
      <w:r w:rsidR="00F75FE5" w:rsidRPr="004D5AD1">
        <w:rPr>
          <w:rStyle w:val="FootnoteReference"/>
          <w:noProof/>
        </w:rPr>
        <w:footnoteReference w:id="32"/>
      </w:r>
      <w:r w:rsidR="00F75FE5" w:rsidRPr="004D5AD1">
        <w:rPr>
          <w:noProof/>
        </w:rPr>
        <w:t>, która przewiduje wsparcie na rzecz badań naukowych</w:t>
      </w:r>
      <w:r w:rsidR="004D5AD1" w:rsidRPr="004D5AD1">
        <w:rPr>
          <w:noProof/>
        </w:rPr>
        <w:t xml:space="preserve"> i</w:t>
      </w:r>
      <w:r w:rsidR="004D5AD1">
        <w:rPr>
          <w:noProof/>
        </w:rPr>
        <w:t> </w:t>
      </w:r>
      <w:r w:rsidR="004D5AD1" w:rsidRPr="004D5AD1">
        <w:rPr>
          <w:noProof/>
        </w:rPr>
        <w:t>inn</w:t>
      </w:r>
      <w:r w:rsidR="00F75FE5" w:rsidRPr="004D5AD1">
        <w:rPr>
          <w:noProof/>
        </w:rPr>
        <w:t>owacji</w:t>
      </w:r>
      <w:r w:rsidR="004D5AD1" w:rsidRPr="004D5AD1">
        <w:rPr>
          <w:noProof/>
        </w:rPr>
        <w:t xml:space="preserve"> w</w:t>
      </w:r>
      <w:r w:rsidR="004D5AD1">
        <w:rPr>
          <w:noProof/>
        </w:rPr>
        <w:t> </w:t>
      </w:r>
      <w:r w:rsidR="004D5AD1" w:rsidRPr="004D5AD1">
        <w:rPr>
          <w:noProof/>
        </w:rPr>
        <w:t>cel</w:t>
      </w:r>
      <w:r w:rsidR="00F75FE5" w:rsidRPr="004D5AD1">
        <w:rPr>
          <w:noProof/>
        </w:rPr>
        <w:t>u zmiany przeznaczenia wcześniej czynnych kopalń węgla lub zamykanych kopalń węgla</w:t>
      </w:r>
      <w:r w:rsidR="004D5AD1" w:rsidRPr="004D5AD1">
        <w:rPr>
          <w:noProof/>
        </w:rPr>
        <w:t xml:space="preserve"> i</w:t>
      </w:r>
      <w:r w:rsidR="004D5AD1">
        <w:rPr>
          <w:noProof/>
        </w:rPr>
        <w:t> </w:t>
      </w:r>
      <w:r w:rsidR="004D5AD1" w:rsidRPr="004D5AD1">
        <w:rPr>
          <w:noProof/>
        </w:rPr>
        <w:t>pow</w:t>
      </w:r>
      <w:r w:rsidR="00F75FE5" w:rsidRPr="004D5AD1">
        <w:rPr>
          <w:noProof/>
        </w:rPr>
        <w:t>iązanej infrastruktury zgodnie</w:t>
      </w:r>
      <w:r w:rsidR="004D5AD1" w:rsidRPr="004D5AD1">
        <w:rPr>
          <w:noProof/>
        </w:rPr>
        <w:t xml:space="preserve"> z</w:t>
      </w:r>
      <w:r w:rsidR="004D5AD1">
        <w:rPr>
          <w:noProof/>
        </w:rPr>
        <w:t> </w:t>
      </w:r>
      <w:r w:rsidR="004D5AD1" w:rsidRPr="004D5AD1">
        <w:rPr>
          <w:noProof/>
        </w:rPr>
        <w:t>ogó</w:t>
      </w:r>
      <w:r w:rsidR="00F75FE5" w:rsidRPr="004D5AD1">
        <w:rPr>
          <w:noProof/>
        </w:rPr>
        <w:t>lnym celem, jakim jest odejście od węgla,</w:t>
      </w:r>
      <w:r w:rsidR="004D5AD1" w:rsidRPr="004D5AD1">
        <w:rPr>
          <w:noProof/>
        </w:rPr>
        <w:t xml:space="preserve"> i</w:t>
      </w:r>
      <w:r w:rsidR="004D5AD1">
        <w:rPr>
          <w:noProof/>
        </w:rPr>
        <w:t> </w:t>
      </w:r>
      <w:r w:rsidR="004D5AD1" w:rsidRPr="004D5AD1">
        <w:rPr>
          <w:noProof/>
        </w:rPr>
        <w:t>mec</w:t>
      </w:r>
      <w:r w:rsidR="00F75FE5" w:rsidRPr="004D5AD1">
        <w:rPr>
          <w:noProof/>
        </w:rPr>
        <w:t>hanizmem sprawiedliwej transformacji</w:t>
      </w:r>
      <w:r w:rsidR="004D5AD1" w:rsidRPr="004D5AD1">
        <w:rPr>
          <w:noProof/>
        </w:rPr>
        <w:t>. W</w:t>
      </w:r>
      <w:r w:rsidR="004D5AD1">
        <w:rPr>
          <w:noProof/>
        </w:rPr>
        <w:t> </w:t>
      </w:r>
      <w:r w:rsidR="004D5AD1" w:rsidRPr="004D5AD1">
        <w:rPr>
          <w:noProof/>
        </w:rPr>
        <w:t>tym</w:t>
      </w:r>
      <w:r w:rsidR="00F75FE5" w:rsidRPr="004D5AD1">
        <w:rPr>
          <w:noProof/>
        </w:rPr>
        <w:t xml:space="preserve"> kontekście jednym</w:t>
      </w:r>
      <w:r w:rsidR="004D5AD1" w:rsidRPr="004D5AD1">
        <w:rPr>
          <w:noProof/>
        </w:rPr>
        <w:t xml:space="preserve"> z</w:t>
      </w:r>
      <w:r w:rsidR="004D5AD1">
        <w:rPr>
          <w:noProof/>
        </w:rPr>
        <w:t> </w:t>
      </w:r>
      <w:r w:rsidR="004D5AD1" w:rsidRPr="004D5AD1">
        <w:rPr>
          <w:noProof/>
        </w:rPr>
        <w:t>głó</w:t>
      </w:r>
      <w:r w:rsidR="00F75FE5" w:rsidRPr="004D5AD1">
        <w:rPr>
          <w:noProof/>
        </w:rPr>
        <w:t>wnych celów nowego programu Funduszu Badawczego Węgla</w:t>
      </w:r>
      <w:r w:rsidR="004D5AD1" w:rsidRPr="004D5AD1">
        <w:rPr>
          <w:noProof/>
        </w:rPr>
        <w:t xml:space="preserve"> i</w:t>
      </w:r>
      <w:r w:rsidR="004D5AD1">
        <w:rPr>
          <w:noProof/>
        </w:rPr>
        <w:t> </w:t>
      </w:r>
      <w:r w:rsidR="004D5AD1" w:rsidRPr="004D5AD1">
        <w:rPr>
          <w:noProof/>
        </w:rPr>
        <w:t>Sta</w:t>
      </w:r>
      <w:r w:rsidR="00F75FE5" w:rsidRPr="004D5AD1">
        <w:rPr>
          <w:noProof/>
        </w:rPr>
        <w:t>li na nadchodzące lata będzie zminimalizowanie wpływu na środowisko kopalń węgla</w:t>
      </w:r>
      <w:r w:rsidR="004D5AD1" w:rsidRPr="004D5AD1">
        <w:rPr>
          <w:noProof/>
        </w:rPr>
        <w:t xml:space="preserve"> w</w:t>
      </w:r>
      <w:r w:rsidR="004D5AD1">
        <w:rPr>
          <w:noProof/>
        </w:rPr>
        <w:t> </w:t>
      </w:r>
      <w:r w:rsidR="004D5AD1" w:rsidRPr="004D5AD1">
        <w:rPr>
          <w:noProof/>
        </w:rPr>
        <w:t>okr</w:t>
      </w:r>
      <w:r w:rsidR="00F75FE5" w:rsidRPr="004D5AD1">
        <w:rPr>
          <w:noProof/>
        </w:rPr>
        <w:t>esie transformacji,</w:t>
      </w:r>
      <w:r w:rsidR="004D5AD1" w:rsidRPr="004D5AD1">
        <w:rPr>
          <w:noProof/>
        </w:rPr>
        <w:t xml:space="preserve"> w</w:t>
      </w:r>
      <w:r w:rsidR="004D5AD1">
        <w:rPr>
          <w:noProof/>
        </w:rPr>
        <w:t> </w:t>
      </w:r>
      <w:r w:rsidR="004D5AD1" w:rsidRPr="004D5AD1">
        <w:rPr>
          <w:noProof/>
        </w:rPr>
        <w:t>szc</w:t>
      </w:r>
      <w:r w:rsidR="00F75FE5" w:rsidRPr="004D5AD1">
        <w:rPr>
          <w:noProof/>
        </w:rPr>
        <w:t>zególności</w:t>
      </w:r>
      <w:r w:rsidR="004D5AD1" w:rsidRPr="004D5AD1">
        <w:rPr>
          <w:noProof/>
        </w:rPr>
        <w:t xml:space="preserve"> w</w:t>
      </w:r>
      <w:r w:rsidR="004D5AD1">
        <w:rPr>
          <w:noProof/>
        </w:rPr>
        <w:t> </w:t>
      </w:r>
      <w:r w:rsidR="004D5AD1" w:rsidRPr="004D5AD1">
        <w:rPr>
          <w:noProof/>
        </w:rPr>
        <w:t>odn</w:t>
      </w:r>
      <w:r w:rsidR="00F75FE5" w:rsidRPr="004D5AD1">
        <w:rPr>
          <w:noProof/>
        </w:rPr>
        <w:t xml:space="preserve">iesieniu do emisji metanu. </w:t>
      </w:r>
    </w:p>
    <w:p w14:paraId="26AFB857" w14:textId="0690B9AC" w:rsidR="00CD116D" w:rsidRPr="004D5AD1" w:rsidRDefault="00DE3FFB" w:rsidP="00DE3FFB">
      <w:pPr>
        <w:pStyle w:val="ManualConsidrant"/>
        <w:rPr>
          <w:noProof/>
        </w:rPr>
      </w:pPr>
      <w:r w:rsidRPr="00DE3FFB">
        <w:t>(51)</w:t>
      </w:r>
      <w:r w:rsidRPr="00DE3FFB">
        <w:tab/>
      </w:r>
      <w:r w:rsidR="00FB14EF" w:rsidRPr="004D5AD1">
        <w:rPr>
          <w:noProof/>
        </w:rPr>
        <w:t>Unia jest uzależniona od przywozu na potrzeby 70 % jej zużycia węgla kamiennego, 97 % zużycia ropy naftowej</w:t>
      </w:r>
      <w:r w:rsidR="004D5AD1" w:rsidRPr="004D5AD1">
        <w:rPr>
          <w:noProof/>
        </w:rPr>
        <w:t xml:space="preserve"> i</w:t>
      </w:r>
      <w:r w:rsidR="004D5AD1">
        <w:rPr>
          <w:noProof/>
        </w:rPr>
        <w:t> </w:t>
      </w:r>
      <w:r w:rsidR="004D5AD1" w:rsidRPr="004D5AD1">
        <w:rPr>
          <w:noProof/>
        </w:rPr>
        <w:t>9</w:t>
      </w:r>
      <w:r w:rsidR="00FB14EF" w:rsidRPr="004D5AD1">
        <w:rPr>
          <w:noProof/>
        </w:rPr>
        <w:t>0 % zużycia gazu ziemnego. Nie ma dokładnej wiedzy na temat skali, pochodzenia ani charakteru emisji metanu związanych</w:t>
      </w:r>
      <w:r w:rsidR="004D5AD1" w:rsidRPr="004D5AD1">
        <w:rPr>
          <w:noProof/>
        </w:rPr>
        <w:t xml:space="preserve"> z</w:t>
      </w:r>
      <w:r w:rsidR="004D5AD1">
        <w:rPr>
          <w:noProof/>
        </w:rPr>
        <w:t> </w:t>
      </w:r>
      <w:r w:rsidR="004D5AD1" w:rsidRPr="004D5AD1">
        <w:rPr>
          <w:noProof/>
        </w:rPr>
        <w:t>ene</w:t>
      </w:r>
      <w:r w:rsidR="00FB14EF" w:rsidRPr="004D5AD1">
        <w:rPr>
          <w:noProof/>
        </w:rPr>
        <w:t>rgią pochodzącą</w:t>
      </w:r>
      <w:r w:rsidR="004D5AD1" w:rsidRPr="004D5AD1">
        <w:rPr>
          <w:noProof/>
        </w:rPr>
        <w:t xml:space="preserve"> z</w:t>
      </w:r>
      <w:r w:rsidR="004D5AD1">
        <w:rPr>
          <w:noProof/>
        </w:rPr>
        <w:t> </w:t>
      </w:r>
      <w:r w:rsidR="004D5AD1" w:rsidRPr="004D5AD1">
        <w:rPr>
          <w:noProof/>
        </w:rPr>
        <w:t>pal</w:t>
      </w:r>
      <w:r w:rsidR="00FB14EF" w:rsidRPr="004D5AD1">
        <w:rPr>
          <w:noProof/>
        </w:rPr>
        <w:t>iw kopalnych zużywaną</w:t>
      </w:r>
      <w:r w:rsidR="004D5AD1" w:rsidRPr="004D5AD1">
        <w:rPr>
          <w:noProof/>
        </w:rPr>
        <w:t xml:space="preserve"> w</w:t>
      </w:r>
      <w:r w:rsidR="004D5AD1">
        <w:rPr>
          <w:noProof/>
        </w:rPr>
        <w:t> </w:t>
      </w:r>
      <w:r w:rsidR="004D5AD1" w:rsidRPr="004D5AD1">
        <w:rPr>
          <w:noProof/>
        </w:rPr>
        <w:t>Uni</w:t>
      </w:r>
      <w:r w:rsidR="00FB14EF" w:rsidRPr="004D5AD1">
        <w:rPr>
          <w:noProof/>
        </w:rPr>
        <w:t>i, lecz występujących</w:t>
      </w:r>
      <w:r w:rsidR="004D5AD1" w:rsidRPr="004D5AD1">
        <w:rPr>
          <w:noProof/>
        </w:rPr>
        <w:t xml:space="preserve"> w</w:t>
      </w:r>
      <w:r w:rsidR="004D5AD1">
        <w:rPr>
          <w:noProof/>
        </w:rPr>
        <w:t> </w:t>
      </w:r>
      <w:r w:rsidR="004D5AD1" w:rsidRPr="004D5AD1">
        <w:rPr>
          <w:noProof/>
        </w:rPr>
        <w:t>pań</w:t>
      </w:r>
      <w:r w:rsidR="00FB14EF" w:rsidRPr="004D5AD1">
        <w:rPr>
          <w:noProof/>
        </w:rPr>
        <w:t xml:space="preserve">stwach trzecich. </w:t>
      </w:r>
    </w:p>
    <w:p w14:paraId="3E3FB154" w14:textId="57021948" w:rsidR="00CD116D" w:rsidRPr="004D5AD1" w:rsidRDefault="00DE3FFB" w:rsidP="00DE3FFB">
      <w:pPr>
        <w:pStyle w:val="ManualConsidrant"/>
        <w:rPr>
          <w:noProof/>
        </w:rPr>
      </w:pPr>
      <w:r w:rsidRPr="00DE3FFB">
        <w:t>(52)</w:t>
      </w:r>
      <w:r w:rsidRPr="00DE3FFB">
        <w:tab/>
      </w:r>
      <w:r w:rsidR="00BE5932" w:rsidRPr="004D5AD1">
        <w:rPr>
          <w:noProof/>
        </w:rPr>
        <w:t>Globalne ocieplenie powodowane przez emisje metanu ma charakter transgraniczny. Chociaż niektóre państwa produkujące energię pochodzącą</w:t>
      </w:r>
      <w:r w:rsidR="004D5AD1" w:rsidRPr="004D5AD1">
        <w:rPr>
          <w:noProof/>
        </w:rPr>
        <w:t xml:space="preserve"> z</w:t>
      </w:r>
      <w:r w:rsidR="004D5AD1">
        <w:rPr>
          <w:noProof/>
        </w:rPr>
        <w:t> </w:t>
      </w:r>
      <w:r w:rsidR="004D5AD1" w:rsidRPr="004D5AD1">
        <w:rPr>
          <w:noProof/>
        </w:rPr>
        <w:t>pal</w:t>
      </w:r>
      <w:r w:rsidR="00BE5932" w:rsidRPr="004D5AD1">
        <w:rPr>
          <w:noProof/>
        </w:rPr>
        <w:t>iw kopalnych zaczynają podejmować działania na szczeblu krajowym, aby ograniczyć emisje metanu ze swoich sektorów energetycznych, wielu eksporterów nie podlega żadnym regulacjom na swoich rynkach krajowych. Tacy operatorzy potrzebują wyraźnych zachęt do podejmowania działań</w:t>
      </w:r>
      <w:r w:rsidR="004D5AD1" w:rsidRPr="004D5AD1">
        <w:rPr>
          <w:noProof/>
        </w:rPr>
        <w:t xml:space="preserve"> w</w:t>
      </w:r>
      <w:r w:rsidR="004D5AD1">
        <w:rPr>
          <w:noProof/>
        </w:rPr>
        <w:t> </w:t>
      </w:r>
      <w:r w:rsidR="004D5AD1" w:rsidRPr="004D5AD1">
        <w:rPr>
          <w:noProof/>
        </w:rPr>
        <w:t>odn</w:t>
      </w:r>
      <w:r w:rsidR="00BE5932" w:rsidRPr="004D5AD1">
        <w:rPr>
          <w:noProof/>
        </w:rPr>
        <w:t>iesieniu do swoich emisji metanu,</w:t>
      </w:r>
      <w:r w:rsidR="004D5AD1" w:rsidRPr="004D5AD1">
        <w:rPr>
          <w:noProof/>
        </w:rPr>
        <w:t xml:space="preserve"> w</w:t>
      </w:r>
      <w:r w:rsidR="004D5AD1">
        <w:rPr>
          <w:noProof/>
        </w:rPr>
        <w:t> </w:t>
      </w:r>
      <w:r w:rsidR="004D5AD1" w:rsidRPr="004D5AD1">
        <w:rPr>
          <w:noProof/>
        </w:rPr>
        <w:t>zwi</w:t>
      </w:r>
      <w:r w:rsidR="00BE5932" w:rsidRPr="004D5AD1">
        <w:rPr>
          <w:noProof/>
        </w:rPr>
        <w:t>ązku</w:t>
      </w:r>
      <w:r w:rsidR="004D5AD1" w:rsidRPr="004D5AD1">
        <w:rPr>
          <w:noProof/>
        </w:rPr>
        <w:t xml:space="preserve"> z</w:t>
      </w:r>
      <w:r w:rsidR="004D5AD1">
        <w:rPr>
          <w:noProof/>
        </w:rPr>
        <w:t> </w:t>
      </w:r>
      <w:r w:rsidR="004D5AD1" w:rsidRPr="004D5AD1">
        <w:rPr>
          <w:noProof/>
        </w:rPr>
        <w:t>czy</w:t>
      </w:r>
      <w:r w:rsidR="00BE5932" w:rsidRPr="004D5AD1">
        <w:rPr>
          <w:noProof/>
        </w:rPr>
        <w:t>m należy udostępnić tym rynkom przejrzyste informacje na temat emisji metanu.</w:t>
      </w:r>
    </w:p>
    <w:p w14:paraId="7194A973" w14:textId="3420524D" w:rsidR="00CD116D" w:rsidRPr="004D5AD1" w:rsidRDefault="00DE3FFB" w:rsidP="00DE3FFB">
      <w:pPr>
        <w:pStyle w:val="ManualConsidrant"/>
        <w:rPr>
          <w:noProof/>
        </w:rPr>
      </w:pPr>
      <w:r w:rsidRPr="00DE3FFB">
        <w:t>(53)</w:t>
      </w:r>
      <w:r w:rsidRPr="00DE3FFB">
        <w:tab/>
      </w:r>
      <w:r w:rsidR="00586CDD" w:rsidRPr="004D5AD1">
        <w:rPr>
          <w:noProof/>
        </w:rPr>
        <w:t>Obecnie istnieje niewiele dokładnych danych (poziomu 3 UNFCCC lub równoważnego) dotyczących międzynarodowych emisji metanu. Wiele państw wywozu paliw kopalnych do tej pory nie przedłożyło UNFCCC pełnych danych</w:t>
      </w:r>
      <w:r w:rsidR="004D5AD1" w:rsidRPr="004D5AD1">
        <w:rPr>
          <w:noProof/>
        </w:rPr>
        <w:t xml:space="preserve"> z</w:t>
      </w:r>
      <w:r w:rsidR="004D5AD1">
        <w:rPr>
          <w:noProof/>
        </w:rPr>
        <w:t> </w:t>
      </w:r>
      <w:r w:rsidR="004D5AD1" w:rsidRPr="004D5AD1">
        <w:rPr>
          <w:noProof/>
        </w:rPr>
        <w:t>wyk</w:t>
      </w:r>
      <w:r w:rsidR="00586CDD" w:rsidRPr="004D5AD1">
        <w:rPr>
          <w:noProof/>
        </w:rPr>
        <w:t>azów. Jednocześnie istnieją dowody na znaczny wzrost emisji metanu</w:t>
      </w:r>
      <w:r w:rsidR="004D5AD1" w:rsidRPr="004D5AD1">
        <w:rPr>
          <w:noProof/>
        </w:rPr>
        <w:t xml:space="preserve"> z</w:t>
      </w:r>
      <w:r w:rsidR="004D5AD1">
        <w:rPr>
          <w:noProof/>
        </w:rPr>
        <w:t> </w:t>
      </w:r>
      <w:r w:rsidR="004D5AD1" w:rsidRPr="004D5AD1">
        <w:rPr>
          <w:noProof/>
        </w:rPr>
        <w:t>dzi</w:t>
      </w:r>
      <w:r w:rsidR="00586CDD" w:rsidRPr="004D5AD1">
        <w:rPr>
          <w:noProof/>
        </w:rPr>
        <w:t>ałalności związanej</w:t>
      </w:r>
      <w:r w:rsidR="004D5AD1" w:rsidRPr="004D5AD1">
        <w:rPr>
          <w:noProof/>
        </w:rPr>
        <w:t xml:space="preserve"> z</w:t>
      </w:r>
      <w:r w:rsidR="004D5AD1">
        <w:rPr>
          <w:noProof/>
        </w:rPr>
        <w:t> </w:t>
      </w:r>
      <w:r w:rsidR="004D5AD1" w:rsidRPr="004D5AD1">
        <w:rPr>
          <w:noProof/>
        </w:rPr>
        <w:t>pro</w:t>
      </w:r>
      <w:r w:rsidR="00586CDD" w:rsidRPr="004D5AD1">
        <w:rPr>
          <w:noProof/>
        </w:rPr>
        <w:t>dukcją ropy naftowej</w:t>
      </w:r>
      <w:r w:rsidR="004D5AD1" w:rsidRPr="004D5AD1">
        <w:rPr>
          <w:noProof/>
        </w:rPr>
        <w:t xml:space="preserve"> i</w:t>
      </w:r>
      <w:r w:rsidR="004D5AD1">
        <w:rPr>
          <w:noProof/>
        </w:rPr>
        <w:t> </w:t>
      </w:r>
      <w:r w:rsidR="004D5AD1" w:rsidRPr="004D5AD1">
        <w:rPr>
          <w:noProof/>
        </w:rPr>
        <w:t>gaz</w:t>
      </w:r>
      <w:r w:rsidR="00586CDD" w:rsidRPr="004D5AD1">
        <w:rPr>
          <w:noProof/>
        </w:rPr>
        <w:t>u ziemnego na całym świecie</w:t>
      </w:r>
      <w:r w:rsidR="004D5AD1" w:rsidRPr="004D5AD1">
        <w:rPr>
          <w:noProof/>
        </w:rPr>
        <w:t xml:space="preserve"> z</w:t>
      </w:r>
      <w:r w:rsidR="004D5AD1">
        <w:rPr>
          <w:noProof/>
        </w:rPr>
        <w:t> </w:t>
      </w:r>
      <w:r w:rsidR="004D5AD1" w:rsidRPr="004D5AD1">
        <w:rPr>
          <w:noProof/>
        </w:rPr>
        <w:t>6</w:t>
      </w:r>
      <w:r w:rsidR="00586CDD" w:rsidRPr="004D5AD1">
        <w:rPr>
          <w:noProof/>
        </w:rPr>
        <w:t>5 do</w:t>
      </w:r>
      <w:r w:rsidR="004D5AD1" w:rsidRPr="004D5AD1">
        <w:rPr>
          <w:noProof/>
        </w:rPr>
        <w:t> </w:t>
      </w:r>
      <w:r w:rsidR="00586CDD" w:rsidRPr="004D5AD1">
        <w:rPr>
          <w:noProof/>
        </w:rPr>
        <w:t>80 Mt rocznie</w:t>
      </w:r>
      <w:r w:rsidR="004D5AD1" w:rsidRPr="004D5AD1">
        <w:rPr>
          <w:noProof/>
        </w:rPr>
        <w:t xml:space="preserve"> w</w:t>
      </w:r>
      <w:r w:rsidR="004D5AD1">
        <w:rPr>
          <w:noProof/>
        </w:rPr>
        <w:t> </w:t>
      </w:r>
      <w:r w:rsidR="004D5AD1" w:rsidRPr="004D5AD1">
        <w:rPr>
          <w:noProof/>
        </w:rPr>
        <w:t>cią</w:t>
      </w:r>
      <w:r w:rsidR="00586CDD" w:rsidRPr="004D5AD1">
        <w:rPr>
          <w:noProof/>
        </w:rPr>
        <w:t>gu ostatnich 20 lat</w:t>
      </w:r>
      <w:r w:rsidR="001962E6" w:rsidRPr="004D5AD1">
        <w:rPr>
          <w:rStyle w:val="FootnoteReference"/>
          <w:noProof/>
        </w:rPr>
        <w:footnoteReference w:id="33"/>
      </w:r>
      <w:r w:rsidR="00586CDD" w:rsidRPr="004D5AD1">
        <w:rPr>
          <w:noProof/>
        </w:rPr>
        <w:t xml:space="preserve">. </w:t>
      </w:r>
    </w:p>
    <w:p w14:paraId="0B0A31B9" w14:textId="464DDCE7" w:rsidR="008F22BC" w:rsidRPr="004D5AD1" w:rsidRDefault="00DE3FFB" w:rsidP="00DE3FFB">
      <w:pPr>
        <w:pStyle w:val="ManualConsidrant"/>
        <w:rPr>
          <w:noProof/>
          <w:u w:color="000000"/>
          <w:bdr w:val="nil"/>
        </w:rPr>
      </w:pPr>
      <w:r w:rsidRPr="00DE3FFB">
        <w:t>(54)</w:t>
      </w:r>
      <w:r w:rsidRPr="00DE3FFB">
        <w:tab/>
      </w:r>
      <w:r w:rsidR="00412D2D" w:rsidRPr="004D5AD1">
        <w:rPr>
          <w:noProof/>
        </w:rPr>
        <w:t>Jak zapowiedziano</w:t>
      </w:r>
      <w:r w:rsidR="004D5AD1" w:rsidRPr="004D5AD1">
        <w:rPr>
          <w:noProof/>
        </w:rPr>
        <w:t xml:space="preserve"> w</w:t>
      </w:r>
      <w:r w:rsidR="004D5AD1">
        <w:rPr>
          <w:noProof/>
        </w:rPr>
        <w:t> </w:t>
      </w:r>
      <w:r w:rsidR="004D5AD1" w:rsidRPr="004D5AD1">
        <w:rPr>
          <w:noProof/>
        </w:rPr>
        <w:t>kom</w:t>
      </w:r>
      <w:r w:rsidR="00412D2D" w:rsidRPr="004D5AD1">
        <w:rPr>
          <w:noProof/>
        </w:rPr>
        <w:t>unikacie dotyczącym strategii UE na rzecz ograniczenia emisji metanu</w:t>
      </w:r>
      <w:r w:rsidR="008B6CBA" w:rsidRPr="004D5AD1">
        <w:rPr>
          <w:rStyle w:val="FootnoteReference"/>
          <w:noProof/>
        </w:rPr>
        <w:footnoteReference w:id="34"/>
      </w:r>
      <w:r w:rsidR="00412D2D" w:rsidRPr="004D5AD1">
        <w:rPr>
          <w:noProof/>
        </w:rPr>
        <w:t>, Unia zobowiązała się do współpracy ze swoimi partnerami energetycznymi</w:t>
      </w:r>
      <w:r w:rsidR="004D5AD1" w:rsidRPr="004D5AD1">
        <w:rPr>
          <w:noProof/>
        </w:rPr>
        <w:t xml:space="preserve"> i</w:t>
      </w:r>
      <w:r w:rsidR="004D5AD1">
        <w:rPr>
          <w:noProof/>
        </w:rPr>
        <w:t> </w:t>
      </w:r>
      <w:r w:rsidR="004D5AD1" w:rsidRPr="004D5AD1">
        <w:rPr>
          <w:noProof/>
        </w:rPr>
        <w:t>inn</w:t>
      </w:r>
      <w:r w:rsidR="00412D2D" w:rsidRPr="004D5AD1">
        <w:rPr>
          <w:noProof/>
        </w:rPr>
        <w:t>ymi kluczowymi państwami importującymi energię pochodzącą</w:t>
      </w:r>
      <w:r w:rsidR="004D5AD1" w:rsidRPr="004D5AD1">
        <w:rPr>
          <w:noProof/>
        </w:rPr>
        <w:t xml:space="preserve"> z</w:t>
      </w:r>
      <w:r w:rsidR="004D5AD1">
        <w:rPr>
          <w:noProof/>
        </w:rPr>
        <w:t> </w:t>
      </w:r>
      <w:r w:rsidR="004D5AD1" w:rsidRPr="004D5AD1">
        <w:rPr>
          <w:noProof/>
        </w:rPr>
        <w:t>pal</w:t>
      </w:r>
      <w:r w:rsidR="00412D2D" w:rsidRPr="004D5AD1">
        <w:rPr>
          <w:noProof/>
        </w:rPr>
        <w:t>iw kopalnych na rzecz rozwiązania problemu emisji metanu na całym świecie. Dyplomacja energetyczna</w:t>
      </w:r>
      <w:r w:rsidR="004D5AD1" w:rsidRPr="004D5AD1">
        <w:rPr>
          <w:noProof/>
        </w:rPr>
        <w:t xml:space="preserve"> w</w:t>
      </w:r>
      <w:r w:rsidR="004D5AD1">
        <w:rPr>
          <w:noProof/>
        </w:rPr>
        <w:t> </w:t>
      </w:r>
      <w:r w:rsidR="004D5AD1" w:rsidRPr="004D5AD1">
        <w:rPr>
          <w:noProof/>
        </w:rPr>
        <w:t>dzi</w:t>
      </w:r>
      <w:r w:rsidR="00412D2D" w:rsidRPr="004D5AD1">
        <w:rPr>
          <w:noProof/>
        </w:rPr>
        <w:t xml:space="preserve">edzinie emisji metanu przyniosła już ważne rezultaty. </w:t>
      </w:r>
      <w:r w:rsidR="00412D2D" w:rsidRPr="004D5AD1">
        <w:rPr>
          <w:noProof/>
          <w:u w:color="000000"/>
          <w:bdr w:val="nil"/>
        </w:rPr>
        <w:t>We wrześniu 2021</w:t>
      </w:r>
      <w:r w:rsidR="004D5AD1" w:rsidRPr="004D5AD1">
        <w:rPr>
          <w:noProof/>
          <w:u w:color="000000"/>
          <w:bdr w:val="nil"/>
        </w:rPr>
        <w:t> </w:t>
      </w:r>
      <w:r w:rsidR="00412D2D" w:rsidRPr="004D5AD1">
        <w:rPr>
          <w:noProof/>
          <w:u w:color="000000"/>
          <w:bdr w:val="nil"/>
        </w:rPr>
        <w:t>r. Unia</w:t>
      </w:r>
      <w:r w:rsidR="004D5AD1" w:rsidRPr="004D5AD1">
        <w:rPr>
          <w:noProof/>
          <w:u w:color="000000"/>
          <w:bdr w:val="nil"/>
        </w:rPr>
        <w:t xml:space="preserve"> i</w:t>
      </w:r>
      <w:r w:rsidR="004D5AD1">
        <w:rPr>
          <w:noProof/>
          <w:u w:color="000000"/>
          <w:bdr w:val="nil"/>
        </w:rPr>
        <w:t> </w:t>
      </w:r>
      <w:r w:rsidR="004D5AD1" w:rsidRPr="004D5AD1">
        <w:rPr>
          <w:noProof/>
          <w:u w:color="000000"/>
          <w:bdr w:val="nil"/>
        </w:rPr>
        <w:t>Sta</w:t>
      </w:r>
      <w:r w:rsidR="00412D2D" w:rsidRPr="004D5AD1">
        <w:rPr>
          <w:noProof/>
          <w:u w:color="000000"/>
          <w:bdr w:val="nil"/>
        </w:rPr>
        <w:t>ny Zjednoczone zapowiedziały globalne zobowiązanie dotyczące metanu, które stanowi polityczne zobowiązanie do zmniejszenia do</w:t>
      </w:r>
      <w:r w:rsidR="004D5AD1" w:rsidRPr="004D5AD1">
        <w:rPr>
          <w:noProof/>
          <w:u w:color="000000"/>
          <w:bdr w:val="nil"/>
        </w:rPr>
        <w:t> </w:t>
      </w:r>
      <w:r w:rsidR="00412D2D" w:rsidRPr="004D5AD1">
        <w:rPr>
          <w:noProof/>
          <w:u w:color="000000"/>
          <w:bdr w:val="nil"/>
        </w:rPr>
        <w:t>2030</w:t>
      </w:r>
      <w:r w:rsidR="004D5AD1" w:rsidRPr="004D5AD1">
        <w:rPr>
          <w:noProof/>
          <w:u w:color="000000"/>
          <w:bdr w:val="nil"/>
        </w:rPr>
        <w:t> </w:t>
      </w:r>
      <w:r w:rsidR="00412D2D" w:rsidRPr="004D5AD1">
        <w:rPr>
          <w:noProof/>
          <w:u w:color="000000"/>
          <w:bdr w:val="nil"/>
        </w:rPr>
        <w:t>r. globalnych emisji metanu</w:t>
      </w:r>
      <w:r w:rsidR="004D5AD1" w:rsidRPr="004D5AD1">
        <w:rPr>
          <w:noProof/>
          <w:u w:color="000000"/>
          <w:bdr w:val="nil"/>
        </w:rPr>
        <w:t xml:space="preserve"> o</w:t>
      </w:r>
      <w:r w:rsidR="004D5AD1">
        <w:rPr>
          <w:noProof/>
          <w:u w:color="000000"/>
          <w:bdr w:val="nil"/>
        </w:rPr>
        <w:t> </w:t>
      </w:r>
      <w:r w:rsidR="004D5AD1" w:rsidRPr="004D5AD1">
        <w:rPr>
          <w:noProof/>
          <w:u w:color="000000"/>
          <w:bdr w:val="nil"/>
        </w:rPr>
        <w:t>3</w:t>
      </w:r>
      <w:r w:rsidR="00412D2D" w:rsidRPr="004D5AD1">
        <w:rPr>
          <w:noProof/>
          <w:u w:color="000000"/>
          <w:bdr w:val="nil"/>
        </w:rPr>
        <w:t>0</w:t>
      </w:r>
      <w:r w:rsidR="004D5AD1" w:rsidRPr="004D5AD1">
        <w:rPr>
          <w:noProof/>
          <w:u w:color="000000"/>
          <w:bdr w:val="nil"/>
        </w:rPr>
        <w:t> </w:t>
      </w:r>
      <w:r w:rsidR="00412D2D" w:rsidRPr="004D5AD1">
        <w:rPr>
          <w:noProof/>
          <w:u w:color="000000"/>
          <w:bdr w:val="nil"/>
        </w:rPr>
        <w:t>% (w stosunku do poziomów</w:t>
      </w:r>
      <w:r w:rsidR="004D5AD1" w:rsidRPr="004D5AD1">
        <w:rPr>
          <w:noProof/>
          <w:u w:color="000000"/>
          <w:bdr w:val="nil"/>
        </w:rPr>
        <w:t xml:space="preserve"> z</w:t>
      </w:r>
      <w:r w:rsidR="004D5AD1">
        <w:rPr>
          <w:noProof/>
          <w:u w:color="000000"/>
          <w:bdr w:val="nil"/>
        </w:rPr>
        <w:t> </w:t>
      </w:r>
      <w:r w:rsidR="004D5AD1" w:rsidRPr="004D5AD1">
        <w:rPr>
          <w:noProof/>
          <w:u w:color="000000"/>
          <w:bdr w:val="nil"/>
        </w:rPr>
        <w:t>2</w:t>
      </w:r>
      <w:r w:rsidR="00412D2D" w:rsidRPr="004D5AD1">
        <w:rPr>
          <w:noProof/>
          <w:u w:color="000000"/>
          <w:bdr w:val="nil"/>
        </w:rPr>
        <w:t>020</w:t>
      </w:r>
      <w:r w:rsidR="004D5AD1" w:rsidRPr="004D5AD1">
        <w:rPr>
          <w:noProof/>
          <w:u w:color="000000"/>
          <w:bdr w:val="nil"/>
        </w:rPr>
        <w:t> </w:t>
      </w:r>
      <w:r w:rsidR="00412D2D" w:rsidRPr="004D5AD1">
        <w:rPr>
          <w:noProof/>
          <w:u w:color="000000"/>
          <w:bdr w:val="nil"/>
        </w:rPr>
        <w:t>r.) podjęte na konferencji ONZ</w:t>
      </w:r>
      <w:r w:rsidR="004D5AD1" w:rsidRPr="004D5AD1">
        <w:rPr>
          <w:noProof/>
          <w:u w:color="000000"/>
          <w:bdr w:val="nil"/>
        </w:rPr>
        <w:t xml:space="preserve"> w</w:t>
      </w:r>
      <w:r w:rsidR="004D5AD1">
        <w:rPr>
          <w:noProof/>
          <w:u w:color="000000"/>
          <w:bdr w:val="nil"/>
        </w:rPr>
        <w:t> </w:t>
      </w:r>
      <w:r w:rsidR="004D5AD1" w:rsidRPr="004D5AD1">
        <w:rPr>
          <w:noProof/>
          <w:u w:color="000000"/>
          <w:bdr w:val="nil"/>
        </w:rPr>
        <w:t>spr</w:t>
      </w:r>
      <w:r w:rsidR="00412D2D" w:rsidRPr="004D5AD1">
        <w:rPr>
          <w:noProof/>
          <w:u w:color="000000"/>
          <w:bdr w:val="nil"/>
        </w:rPr>
        <w:t>awie zmian klimatu (COP 26)</w:t>
      </w:r>
      <w:r w:rsidR="004D5AD1" w:rsidRPr="004D5AD1">
        <w:rPr>
          <w:noProof/>
          <w:u w:color="000000"/>
          <w:bdr w:val="nil"/>
        </w:rPr>
        <w:t xml:space="preserve"> w</w:t>
      </w:r>
      <w:r w:rsidR="004D5AD1">
        <w:rPr>
          <w:noProof/>
          <w:u w:color="000000"/>
          <w:bdr w:val="nil"/>
        </w:rPr>
        <w:t> </w:t>
      </w:r>
      <w:r w:rsidR="004D5AD1" w:rsidRPr="004D5AD1">
        <w:rPr>
          <w:noProof/>
          <w:u w:color="000000"/>
          <w:bdr w:val="nil"/>
        </w:rPr>
        <w:t>lis</w:t>
      </w:r>
      <w:r w:rsidR="00412D2D" w:rsidRPr="004D5AD1">
        <w:rPr>
          <w:noProof/>
          <w:u w:color="000000"/>
          <w:bdr w:val="nil"/>
        </w:rPr>
        <w:t>topadzie 2021</w:t>
      </w:r>
      <w:r w:rsidR="004D5AD1" w:rsidRPr="004D5AD1">
        <w:rPr>
          <w:noProof/>
          <w:u w:color="000000"/>
          <w:bdr w:val="nil"/>
        </w:rPr>
        <w:t> </w:t>
      </w:r>
      <w:r w:rsidR="00412D2D" w:rsidRPr="004D5AD1">
        <w:rPr>
          <w:noProof/>
          <w:u w:color="000000"/>
          <w:bdr w:val="nil"/>
        </w:rPr>
        <w:t>r.</w:t>
      </w:r>
      <w:r w:rsidR="004D5AD1" w:rsidRPr="004D5AD1">
        <w:rPr>
          <w:noProof/>
          <w:u w:color="000000"/>
          <w:bdr w:val="nil"/>
        </w:rPr>
        <w:t xml:space="preserve"> w</w:t>
      </w:r>
      <w:r w:rsidR="004D5AD1">
        <w:rPr>
          <w:noProof/>
          <w:u w:color="000000"/>
          <w:bdr w:val="nil"/>
        </w:rPr>
        <w:t> </w:t>
      </w:r>
      <w:r w:rsidR="004D5AD1" w:rsidRPr="004D5AD1">
        <w:rPr>
          <w:noProof/>
          <w:u w:color="000000"/>
          <w:bdr w:val="nil"/>
        </w:rPr>
        <w:t>Gla</w:t>
      </w:r>
      <w:r w:rsidR="00412D2D" w:rsidRPr="004D5AD1">
        <w:rPr>
          <w:noProof/>
          <w:u w:color="000000"/>
          <w:bdr w:val="nil"/>
        </w:rPr>
        <w:t xml:space="preserve">sgow. </w:t>
      </w:r>
      <w:r w:rsidR="00412D2D" w:rsidRPr="004D5AD1">
        <w:rPr>
          <w:noProof/>
          <w:szCs w:val="24"/>
          <w:u w:color="000000"/>
          <w:bdr w:val="nil"/>
          <w14:textOutline w14:w="0" w14:cap="flat" w14:cmpd="sng" w14:algn="ctr">
            <w14:noFill/>
            <w14:prstDash w14:val="solid"/>
            <w14:bevel/>
          </w14:textOutline>
        </w:rPr>
        <w:t>Ponad sto krajów, odpowiadających za niemal połowę globalnych antropogenicznych emisji metanu, zobowiązało się do wspierania tego celu</w:t>
      </w:r>
      <w:r w:rsidR="00412D2D" w:rsidRPr="004D5AD1">
        <w:rPr>
          <w:noProof/>
          <w:u w:color="000000"/>
          <w:bdr w:val="nil"/>
        </w:rPr>
        <w:t>. Globalne zobowiązanie dotyczące metanu obejmuje zobowiązanie do przejścia na stosowanie najlepszych dostępnych metod sporządzania wykazów</w:t>
      </w:r>
      <w:r w:rsidR="004D5AD1" w:rsidRPr="004D5AD1">
        <w:rPr>
          <w:noProof/>
          <w:u w:color="000000"/>
          <w:bdr w:val="nil"/>
        </w:rPr>
        <w:t xml:space="preserve"> w</w:t>
      </w:r>
      <w:r w:rsidR="004D5AD1">
        <w:rPr>
          <w:noProof/>
          <w:u w:color="000000"/>
          <w:bdr w:val="nil"/>
        </w:rPr>
        <w:t> </w:t>
      </w:r>
      <w:r w:rsidR="004D5AD1" w:rsidRPr="004D5AD1">
        <w:rPr>
          <w:noProof/>
          <w:u w:color="000000"/>
          <w:bdr w:val="nil"/>
        </w:rPr>
        <w:t>cel</w:t>
      </w:r>
      <w:r w:rsidR="00412D2D" w:rsidRPr="004D5AD1">
        <w:rPr>
          <w:noProof/>
          <w:u w:color="000000"/>
          <w:bdr w:val="nil"/>
        </w:rPr>
        <w:t xml:space="preserve">u kwantyfikacji emisji metanu ze szczególnym uwzględnieniem źródeł wysokich emisji. </w:t>
      </w:r>
    </w:p>
    <w:p w14:paraId="5AA1A19A" w14:textId="5D9C0A8E" w:rsidR="008B6CBA" w:rsidRPr="004D5AD1" w:rsidRDefault="00DE3FFB" w:rsidP="00DE3FFB">
      <w:pPr>
        <w:pStyle w:val="ManualConsidrant"/>
        <w:rPr>
          <w:noProof/>
        </w:rPr>
      </w:pPr>
      <w:r w:rsidRPr="00DE3FFB">
        <w:t>(55)</w:t>
      </w:r>
      <w:r w:rsidRPr="00DE3FFB">
        <w:tab/>
      </w:r>
      <w:r w:rsidR="008F22BC" w:rsidRPr="004D5AD1">
        <w:rPr>
          <w:noProof/>
          <w:u w:color="000000"/>
          <w:bdr w:val="nil"/>
        </w:rPr>
        <w:t>Ponadto Międzynarodowe Obserwatorium Emisji metanu (IMEO) odegra ważną, wiodącą rolę</w:t>
      </w:r>
      <w:r w:rsidR="004D5AD1" w:rsidRPr="004D5AD1">
        <w:rPr>
          <w:noProof/>
          <w:u w:color="000000"/>
          <w:bdr w:val="nil"/>
        </w:rPr>
        <w:t xml:space="preserve"> w</w:t>
      </w:r>
      <w:r w:rsidR="004D5AD1">
        <w:rPr>
          <w:noProof/>
          <w:u w:color="000000"/>
          <w:bdr w:val="nil"/>
        </w:rPr>
        <w:t> </w:t>
      </w:r>
      <w:r w:rsidR="004D5AD1" w:rsidRPr="004D5AD1">
        <w:rPr>
          <w:noProof/>
          <w:u w:color="000000"/>
          <w:bdr w:val="nil"/>
        </w:rPr>
        <w:t>zwi</w:t>
      </w:r>
      <w:r w:rsidR="008F22BC" w:rsidRPr="004D5AD1">
        <w:rPr>
          <w:noProof/>
          <w:u w:color="000000"/>
          <w:bdr w:val="nil"/>
        </w:rPr>
        <w:t>ększaniu przejrzystości</w:t>
      </w:r>
      <w:r w:rsidR="004D5AD1" w:rsidRPr="004D5AD1">
        <w:rPr>
          <w:noProof/>
          <w:u w:color="000000"/>
          <w:bdr w:val="nil"/>
        </w:rPr>
        <w:t xml:space="preserve"> w</w:t>
      </w:r>
      <w:r w:rsidR="004D5AD1">
        <w:rPr>
          <w:noProof/>
          <w:u w:color="000000"/>
          <w:bdr w:val="nil"/>
        </w:rPr>
        <w:t> </w:t>
      </w:r>
      <w:r w:rsidR="004D5AD1" w:rsidRPr="004D5AD1">
        <w:rPr>
          <w:noProof/>
          <w:u w:color="000000"/>
          <w:bdr w:val="nil"/>
        </w:rPr>
        <w:t>zak</w:t>
      </w:r>
      <w:r w:rsidR="008F22BC" w:rsidRPr="004D5AD1">
        <w:rPr>
          <w:noProof/>
          <w:u w:color="000000"/>
          <w:bdr w:val="nil"/>
        </w:rPr>
        <w:t>resie globalnych emisji metanu związanych</w:t>
      </w:r>
      <w:r w:rsidR="004D5AD1" w:rsidRPr="004D5AD1">
        <w:rPr>
          <w:noProof/>
          <w:u w:color="000000"/>
          <w:bdr w:val="nil"/>
        </w:rPr>
        <w:t xml:space="preserve"> z</w:t>
      </w:r>
      <w:r w:rsidR="004D5AD1">
        <w:rPr>
          <w:noProof/>
          <w:u w:color="000000"/>
          <w:bdr w:val="nil"/>
        </w:rPr>
        <w:t> </w:t>
      </w:r>
      <w:r w:rsidR="004D5AD1" w:rsidRPr="004D5AD1">
        <w:rPr>
          <w:noProof/>
          <w:u w:color="000000"/>
          <w:bdr w:val="nil"/>
        </w:rPr>
        <w:t>ene</w:t>
      </w:r>
      <w:r w:rsidR="008F22BC" w:rsidRPr="004D5AD1">
        <w:rPr>
          <w:noProof/>
          <w:u w:color="000000"/>
          <w:bdr w:val="nil"/>
        </w:rPr>
        <w:t>rgią. Rada poparła ustanowienie IMEO</w:t>
      </w:r>
      <w:r w:rsidR="004D5AD1" w:rsidRPr="004D5AD1">
        <w:rPr>
          <w:noProof/>
          <w:u w:color="000000"/>
          <w:bdr w:val="nil"/>
        </w:rPr>
        <w:t xml:space="preserve"> w</w:t>
      </w:r>
      <w:r w:rsidR="004D5AD1">
        <w:rPr>
          <w:noProof/>
          <w:u w:color="000000"/>
          <w:bdr w:val="nil"/>
        </w:rPr>
        <w:t> </w:t>
      </w:r>
      <w:r w:rsidR="004D5AD1" w:rsidRPr="004D5AD1">
        <w:rPr>
          <w:noProof/>
          <w:u w:color="000000"/>
          <w:bdr w:val="nil"/>
        </w:rPr>
        <w:t>kon</w:t>
      </w:r>
      <w:r w:rsidR="008F22BC" w:rsidRPr="004D5AD1">
        <w:rPr>
          <w:noProof/>
          <w:u w:color="000000"/>
          <w:bdr w:val="nil"/>
        </w:rPr>
        <w:t>kluzjach ze stycznia 2021</w:t>
      </w:r>
      <w:r w:rsidR="004D5AD1" w:rsidRPr="004D5AD1">
        <w:rPr>
          <w:noProof/>
          <w:u w:color="000000"/>
          <w:bdr w:val="nil"/>
        </w:rPr>
        <w:t> </w:t>
      </w:r>
      <w:r w:rsidR="008F22BC" w:rsidRPr="004D5AD1">
        <w:rPr>
          <w:noProof/>
          <w:u w:color="000000"/>
          <w:bdr w:val="nil"/>
        </w:rPr>
        <w:t>r.</w:t>
      </w:r>
      <w:r w:rsidR="004D5AD1" w:rsidRPr="004D5AD1">
        <w:rPr>
          <w:noProof/>
          <w:u w:color="000000"/>
          <w:bdr w:val="nil"/>
        </w:rPr>
        <w:t xml:space="preserve"> w</w:t>
      </w:r>
      <w:r w:rsidR="004D5AD1">
        <w:rPr>
          <w:noProof/>
          <w:u w:color="000000"/>
          <w:bdr w:val="nil"/>
        </w:rPr>
        <w:t> </w:t>
      </w:r>
      <w:r w:rsidR="004D5AD1" w:rsidRPr="004D5AD1">
        <w:rPr>
          <w:noProof/>
          <w:u w:color="000000"/>
          <w:bdr w:val="nil"/>
        </w:rPr>
        <w:t>spr</w:t>
      </w:r>
      <w:r w:rsidR="008F22BC" w:rsidRPr="004D5AD1">
        <w:rPr>
          <w:noProof/>
          <w:u w:color="000000"/>
          <w:bdr w:val="nil"/>
        </w:rPr>
        <w:t>awie dyplomacji energetycznej</w:t>
      </w:r>
      <w:r w:rsidR="004D5AD1" w:rsidRPr="004D5AD1">
        <w:rPr>
          <w:noProof/>
          <w:u w:color="000000"/>
          <w:bdr w:val="nil"/>
        </w:rPr>
        <w:t xml:space="preserve"> i</w:t>
      </w:r>
      <w:r w:rsidR="004D5AD1">
        <w:rPr>
          <w:noProof/>
          <w:u w:color="000000"/>
          <w:bdr w:val="nil"/>
        </w:rPr>
        <w:t> </w:t>
      </w:r>
      <w:r w:rsidR="004D5AD1" w:rsidRPr="004D5AD1">
        <w:rPr>
          <w:noProof/>
          <w:u w:color="000000"/>
          <w:bdr w:val="nil"/>
        </w:rPr>
        <w:t>kli</w:t>
      </w:r>
      <w:r w:rsidR="008F22BC" w:rsidRPr="004D5AD1">
        <w:rPr>
          <w:noProof/>
          <w:u w:color="000000"/>
          <w:bdr w:val="nil"/>
        </w:rPr>
        <w:t>matycznej</w:t>
      </w:r>
      <w:r w:rsidR="00CD116D" w:rsidRPr="004D5AD1">
        <w:rPr>
          <w:rStyle w:val="FootnoteReference"/>
          <w:noProof/>
        </w:rPr>
        <w:footnoteReference w:id="35"/>
      </w:r>
      <w:r w:rsidR="008F22BC" w:rsidRPr="004D5AD1">
        <w:rPr>
          <w:noProof/>
          <w:u w:color="000000"/>
          <w:bdr w:val="nil"/>
        </w:rPr>
        <w:t>.</w:t>
      </w:r>
    </w:p>
    <w:p w14:paraId="447A0AE3" w14:textId="7F543C58" w:rsidR="009E5F58" w:rsidRPr="004D5AD1" w:rsidRDefault="00DE3FFB" w:rsidP="00DE3FFB">
      <w:pPr>
        <w:pStyle w:val="ManualConsidrant"/>
        <w:rPr>
          <w:noProof/>
        </w:rPr>
      </w:pPr>
      <w:r w:rsidRPr="00DE3FFB">
        <w:t>(56)</w:t>
      </w:r>
      <w:r w:rsidRPr="00DE3FFB">
        <w:tab/>
      </w:r>
      <w:r w:rsidR="00E836D8" w:rsidRPr="004D5AD1">
        <w:rPr>
          <w:noProof/>
        </w:rPr>
        <w:t>Komisja będzie współpracować z IMEO</w:t>
      </w:r>
      <w:r w:rsidR="004D5AD1" w:rsidRPr="004D5AD1">
        <w:rPr>
          <w:noProof/>
        </w:rPr>
        <w:t xml:space="preserve"> w</w:t>
      </w:r>
      <w:r w:rsidR="004D5AD1">
        <w:rPr>
          <w:noProof/>
        </w:rPr>
        <w:t> </w:t>
      </w:r>
      <w:r w:rsidR="004D5AD1" w:rsidRPr="004D5AD1">
        <w:rPr>
          <w:noProof/>
        </w:rPr>
        <w:t>cel</w:t>
      </w:r>
      <w:r w:rsidR="00E836D8" w:rsidRPr="004D5AD1">
        <w:rPr>
          <w:noProof/>
        </w:rPr>
        <w:t>u ustanowienia „wskaźnika dostaw metanu”,</w:t>
      </w:r>
      <w:r w:rsidR="004D5AD1" w:rsidRPr="004D5AD1">
        <w:rPr>
          <w:noProof/>
        </w:rPr>
        <w:t xml:space="preserve"> o</w:t>
      </w:r>
      <w:r w:rsidR="004D5AD1">
        <w:rPr>
          <w:noProof/>
        </w:rPr>
        <w:t> </w:t>
      </w:r>
      <w:r w:rsidR="004D5AD1" w:rsidRPr="004D5AD1">
        <w:rPr>
          <w:noProof/>
        </w:rPr>
        <w:t>któ</w:t>
      </w:r>
      <w:r w:rsidR="00E836D8" w:rsidRPr="004D5AD1">
        <w:rPr>
          <w:noProof/>
        </w:rPr>
        <w:t>rym wyraźnie mowa</w:t>
      </w:r>
      <w:r w:rsidR="004D5AD1" w:rsidRPr="004D5AD1">
        <w:rPr>
          <w:noProof/>
        </w:rPr>
        <w:t xml:space="preserve"> w</w:t>
      </w:r>
      <w:r w:rsidR="004D5AD1">
        <w:rPr>
          <w:noProof/>
        </w:rPr>
        <w:t> </w:t>
      </w:r>
      <w:r w:rsidR="004D5AD1" w:rsidRPr="004D5AD1">
        <w:rPr>
          <w:noProof/>
        </w:rPr>
        <w:t>kom</w:t>
      </w:r>
      <w:r w:rsidR="00E836D8" w:rsidRPr="004D5AD1">
        <w:rPr>
          <w:noProof/>
        </w:rPr>
        <w:t>unikacie dotyczącym strategii UE na rzecz ograniczenia emisji metanu</w:t>
      </w:r>
      <w:r w:rsidR="001962E6" w:rsidRPr="004D5AD1">
        <w:rPr>
          <w:rStyle w:val="FootnoteReference"/>
          <w:noProof/>
        </w:rPr>
        <w:footnoteReference w:id="36"/>
      </w:r>
      <w:r w:rsidR="00E836D8" w:rsidRPr="004D5AD1">
        <w:rPr>
          <w:noProof/>
        </w:rPr>
        <w:t>. Wskaźnik ten zapewniłby dane dotyczące emisji metanu</w:t>
      </w:r>
      <w:r w:rsidR="004D5AD1" w:rsidRPr="004D5AD1">
        <w:rPr>
          <w:noProof/>
        </w:rPr>
        <w:t xml:space="preserve"> z</w:t>
      </w:r>
      <w:r w:rsidR="004D5AD1">
        <w:rPr>
          <w:noProof/>
        </w:rPr>
        <w:t> </w:t>
      </w:r>
      <w:r w:rsidR="004D5AD1" w:rsidRPr="004D5AD1">
        <w:rPr>
          <w:noProof/>
        </w:rPr>
        <w:t>róż</w:t>
      </w:r>
      <w:r w:rsidR="00E836D8" w:rsidRPr="004D5AD1">
        <w:rPr>
          <w:noProof/>
        </w:rPr>
        <w:t>nych źródeł energii pochodzącej</w:t>
      </w:r>
      <w:r w:rsidR="004D5AD1" w:rsidRPr="004D5AD1">
        <w:rPr>
          <w:noProof/>
        </w:rPr>
        <w:t xml:space="preserve"> z</w:t>
      </w:r>
      <w:r w:rsidR="004D5AD1">
        <w:rPr>
          <w:noProof/>
        </w:rPr>
        <w:t> </w:t>
      </w:r>
      <w:r w:rsidR="004D5AD1" w:rsidRPr="004D5AD1">
        <w:rPr>
          <w:noProof/>
        </w:rPr>
        <w:t>pal</w:t>
      </w:r>
      <w:r w:rsidR="00E836D8" w:rsidRPr="004D5AD1">
        <w:rPr>
          <w:noProof/>
        </w:rPr>
        <w:t>iw kopalnych</w:t>
      </w:r>
      <w:r w:rsidR="004D5AD1" w:rsidRPr="004D5AD1">
        <w:rPr>
          <w:noProof/>
        </w:rPr>
        <w:t xml:space="preserve"> z</w:t>
      </w:r>
      <w:r w:rsidR="004D5AD1">
        <w:rPr>
          <w:noProof/>
        </w:rPr>
        <w:t> </w:t>
      </w:r>
      <w:r w:rsidR="004D5AD1" w:rsidRPr="004D5AD1">
        <w:rPr>
          <w:noProof/>
        </w:rPr>
        <w:t>cał</w:t>
      </w:r>
      <w:r w:rsidR="00E836D8" w:rsidRPr="004D5AD1">
        <w:rPr>
          <w:noProof/>
        </w:rPr>
        <w:t>ego świata –</w:t>
      </w:r>
      <w:r w:rsidR="004D5AD1" w:rsidRPr="004D5AD1">
        <w:rPr>
          <w:noProof/>
        </w:rPr>
        <w:t xml:space="preserve"> w</w:t>
      </w:r>
      <w:r w:rsidR="004D5AD1">
        <w:rPr>
          <w:noProof/>
        </w:rPr>
        <w:t> </w:t>
      </w:r>
      <w:r w:rsidR="004D5AD1" w:rsidRPr="004D5AD1">
        <w:rPr>
          <w:noProof/>
        </w:rPr>
        <w:t>tym z</w:t>
      </w:r>
      <w:r w:rsidR="004D5AD1">
        <w:rPr>
          <w:noProof/>
        </w:rPr>
        <w:t> </w:t>
      </w:r>
      <w:r w:rsidR="004D5AD1" w:rsidRPr="004D5AD1">
        <w:rPr>
          <w:noProof/>
        </w:rPr>
        <w:t>sza</w:t>
      </w:r>
      <w:r w:rsidR="00E836D8" w:rsidRPr="004D5AD1">
        <w:rPr>
          <w:noProof/>
        </w:rPr>
        <w:t>cunków</w:t>
      </w:r>
      <w:r w:rsidR="004D5AD1" w:rsidRPr="004D5AD1">
        <w:rPr>
          <w:noProof/>
        </w:rPr>
        <w:t xml:space="preserve"> i</w:t>
      </w:r>
      <w:r w:rsidR="004D5AD1">
        <w:rPr>
          <w:noProof/>
        </w:rPr>
        <w:t> </w:t>
      </w:r>
      <w:r w:rsidR="004D5AD1" w:rsidRPr="004D5AD1">
        <w:rPr>
          <w:noProof/>
        </w:rPr>
        <w:t>pom</w:t>
      </w:r>
      <w:r w:rsidR="00E836D8" w:rsidRPr="004D5AD1">
        <w:rPr>
          <w:noProof/>
        </w:rPr>
        <w:t>iarów na poziomie źródła,</w:t>
      </w:r>
      <w:r w:rsidR="004D5AD1" w:rsidRPr="004D5AD1">
        <w:rPr>
          <w:noProof/>
        </w:rPr>
        <w:t xml:space="preserve"> a</w:t>
      </w:r>
      <w:r w:rsidR="004D5AD1">
        <w:rPr>
          <w:noProof/>
        </w:rPr>
        <w:t> </w:t>
      </w:r>
      <w:r w:rsidR="004D5AD1" w:rsidRPr="004D5AD1">
        <w:rPr>
          <w:noProof/>
        </w:rPr>
        <w:t>tak</w:t>
      </w:r>
      <w:r w:rsidR="00E836D8" w:rsidRPr="004D5AD1">
        <w:rPr>
          <w:noProof/>
        </w:rPr>
        <w:t>że</w:t>
      </w:r>
      <w:r w:rsidR="004D5AD1" w:rsidRPr="004D5AD1">
        <w:rPr>
          <w:noProof/>
        </w:rPr>
        <w:t xml:space="preserve"> z</w:t>
      </w:r>
      <w:r w:rsidR="004D5AD1">
        <w:rPr>
          <w:noProof/>
        </w:rPr>
        <w:t> </w:t>
      </w:r>
      <w:r w:rsidR="004D5AD1" w:rsidRPr="004D5AD1">
        <w:rPr>
          <w:noProof/>
        </w:rPr>
        <w:t>mon</w:t>
      </w:r>
      <w:r w:rsidR="00E836D8" w:rsidRPr="004D5AD1">
        <w:rPr>
          <w:noProof/>
        </w:rPr>
        <w:t>itorowania powietrznego/satelitarnego – tym samym umożliwiając nabywcom energii pochodzącej</w:t>
      </w:r>
      <w:r w:rsidR="004D5AD1" w:rsidRPr="004D5AD1">
        <w:rPr>
          <w:noProof/>
        </w:rPr>
        <w:t xml:space="preserve"> z</w:t>
      </w:r>
      <w:r w:rsidR="004D5AD1">
        <w:rPr>
          <w:noProof/>
        </w:rPr>
        <w:t> </w:t>
      </w:r>
      <w:r w:rsidR="004D5AD1" w:rsidRPr="004D5AD1">
        <w:rPr>
          <w:noProof/>
        </w:rPr>
        <w:t>pal</w:t>
      </w:r>
      <w:r w:rsidR="00E836D8" w:rsidRPr="004D5AD1">
        <w:rPr>
          <w:noProof/>
        </w:rPr>
        <w:t>iw kopalnych podejmowanie świadomych decyzji</w:t>
      </w:r>
      <w:r w:rsidR="004D5AD1" w:rsidRPr="004D5AD1">
        <w:rPr>
          <w:noProof/>
        </w:rPr>
        <w:t xml:space="preserve"> o</w:t>
      </w:r>
      <w:r w:rsidR="004D5AD1">
        <w:rPr>
          <w:noProof/>
        </w:rPr>
        <w:t> </w:t>
      </w:r>
      <w:r w:rsidR="004D5AD1" w:rsidRPr="004D5AD1">
        <w:rPr>
          <w:noProof/>
        </w:rPr>
        <w:t>zak</w:t>
      </w:r>
      <w:r w:rsidR="00E836D8" w:rsidRPr="004D5AD1">
        <w:rPr>
          <w:noProof/>
        </w:rPr>
        <w:t xml:space="preserve">upie na podstawie emisji metanu ze źródeł takiej energii. </w:t>
      </w:r>
    </w:p>
    <w:p w14:paraId="0B3D9A57" w14:textId="2AEDC967" w:rsidR="00CD116D" w:rsidRPr="004D5AD1" w:rsidRDefault="00DE3FFB" w:rsidP="00DE3FFB">
      <w:pPr>
        <w:pStyle w:val="ManualConsidrant"/>
        <w:rPr>
          <w:noProof/>
        </w:rPr>
      </w:pPr>
      <w:r w:rsidRPr="00DE3FFB">
        <w:t>(57)</w:t>
      </w:r>
      <w:r w:rsidRPr="00DE3FFB">
        <w:tab/>
      </w:r>
      <w:r w:rsidR="00A671DB" w:rsidRPr="004D5AD1">
        <w:rPr>
          <w:noProof/>
        </w:rPr>
        <w:t>Kontynuując udane działania dyplomatyczne na rzecz podjęcia takich globalnych zobowiązań Unia jednocześnie nadal zachęca do znacznej redukcji emisji metanu na całym świecie,</w:t>
      </w:r>
      <w:r w:rsidR="004D5AD1" w:rsidRPr="004D5AD1">
        <w:rPr>
          <w:noProof/>
        </w:rPr>
        <w:t xml:space="preserve"> w</w:t>
      </w:r>
      <w:r w:rsidR="004D5AD1">
        <w:rPr>
          <w:noProof/>
        </w:rPr>
        <w:t> </w:t>
      </w:r>
      <w:r w:rsidR="004D5AD1" w:rsidRPr="004D5AD1">
        <w:rPr>
          <w:noProof/>
        </w:rPr>
        <w:t>szc</w:t>
      </w:r>
      <w:r w:rsidR="00A671DB" w:rsidRPr="004D5AD1">
        <w:rPr>
          <w:noProof/>
        </w:rPr>
        <w:t>zególności</w:t>
      </w:r>
      <w:r w:rsidR="004D5AD1" w:rsidRPr="004D5AD1">
        <w:rPr>
          <w:noProof/>
        </w:rPr>
        <w:t xml:space="preserve"> w</w:t>
      </w:r>
      <w:r w:rsidR="004D5AD1">
        <w:rPr>
          <w:noProof/>
        </w:rPr>
        <w:t> </w:t>
      </w:r>
      <w:r w:rsidR="004D5AD1" w:rsidRPr="004D5AD1">
        <w:rPr>
          <w:noProof/>
        </w:rPr>
        <w:t>pań</w:t>
      </w:r>
      <w:r w:rsidR="00A671DB" w:rsidRPr="004D5AD1">
        <w:rPr>
          <w:noProof/>
        </w:rPr>
        <w:t>stwach dostarczających energię pochodzącą</w:t>
      </w:r>
      <w:r w:rsidR="004D5AD1" w:rsidRPr="004D5AD1">
        <w:rPr>
          <w:noProof/>
        </w:rPr>
        <w:t xml:space="preserve"> z</w:t>
      </w:r>
      <w:r w:rsidR="004D5AD1">
        <w:rPr>
          <w:noProof/>
        </w:rPr>
        <w:t> </w:t>
      </w:r>
      <w:r w:rsidR="004D5AD1" w:rsidRPr="004D5AD1">
        <w:rPr>
          <w:noProof/>
        </w:rPr>
        <w:t>pal</w:t>
      </w:r>
      <w:r w:rsidR="00A671DB" w:rsidRPr="004D5AD1">
        <w:rPr>
          <w:noProof/>
        </w:rPr>
        <w:t>iw kopalnych do Unii.</w:t>
      </w:r>
    </w:p>
    <w:p w14:paraId="3BDE373F" w14:textId="43583B75" w:rsidR="00512723" w:rsidRPr="004D5AD1" w:rsidRDefault="00DE3FFB" w:rsidP="00DE3FFB">
      <w:pPr>
        <w:pStyle w:val="ManualConsidrant"/>
        <w:rPr>
          <w:noProof/>
        </w:rPr>
      </w:pPr>
      <w:r w:rsidRPr="00DE3FFB">
        <w:t>(58)</w:t>
      </w:r>
      <w:r w:rsidRPr="00DE3FFB">
        <w:tab/>
      </w:r>
      <w:r w:rsidR="001962E6" w:rsidRPr="004D5AD1">
        <w:rPr>
          <w:noProof/>
        </w:rPr>
        <w:t>W związku</w:t>
      </w:r>
      <w:r w:rsidR="004D5AD1" w:rsidRPr="004D5AD1">
        <w:rPr>
          <w:noProof/>
        </w:rPr>
        <w:t xml:space="preserve"> z</w:t>
      </w:r>
      <w:r w:rsidR="004D5AD1">
        <w:rPr>
          <w:noProof/>
        </w:rPr>
        <w:t> </w:t>
      </w:r>
      <w:r w:rsidR="004D5AD1" w:rsidRPr="004D5AD1">
        <w:rPr>
          <w:noProof/>
        </w:rPr>
        <w:t>tym</w:t>
      </w:r>
      <w:r w:rsidR="001962E6" w:rsidRPr="004D5AD1">
        <w:rPr>
          <w:noProof/>
        </w:rPr>
        <w:t xml:space="preserve"> importerzy energii pochodzącej</w:t>
      </w:r>
      <w:r w:rsidR="004D5AD1" w:rsidRPr="004D5AD1">
        <w:rPr>
          <w:noProof/>
        </w:rPr>
        <w:t xml:space="preserve"> z</w:t>
      </w:r>
      <w:r w:rsidR="004D5AD1">
        <w:rPr>
          <w:noProof/>
        </w:rPr>
        <w:t> </w:t>
      </w:r>
      <w:r w:rsidR="004D5AD1" w:rsidRPr="004D5AD1">
        <w:rPr>
          <w:noProof/>
        </w:rPr>
        <w:t>pal</w:t>
      </w:r>
      <w:r w:rsidR="001962E6" w:rsidRPr="004D5AD1">
        <w:rPr>
          <w:noProof/>
        </w:rPr>
        <w:t>iw kopalnych do Unii powinni być zobowiązani do przekazywania państwom członkowskim informacji na temat stosowanych przez eksporterów środków związanych</w:t>
      </w:r>
      <w:r w:rsidR="004D5AD1" w:rsidRPr="004D5AD1">
        <w:rPr>
          <w:noProof/>
        </w:rPr>
        <w:t xml:space="preserve"> z</w:t>
      </w:r>
      <w:r w:rsidR="004D5AD1">
        <w:rPr>
          <w:noProof/>
        </w:rPr>
        <w:t> </w:t>
      </w:r>
      <w:r w:rsidR="004D5AD1" w:rsidRPr="004D5AD1">
        <w:rPr>
          <w:noProof/>
        </w:rPr>
        <w:t>pom</w:t>
      </w:r>
      <w:r w:rsidR="001962E6" w:rsidRPr="004D5AD1">
        <w:rPr>
          <w:noProof/>
        </w:rPr>
        <w:t>iarem</w:t>
      </w:r>
      <w:r w:rsidR="004D5AD1" w:rsidRPr="004D5AD1">
        <w:rPr>
          <w:noProof/>
        </w:rPr>
        <w:t xml:space="preserve"> i</w:t>
      </w:r>
      <w:r w:rsidR="004D5AD1">
        <w:rPr>
          <w:noProof/>
        </w:rPr>
        <w:t> </w:t>
      </w:r>
      <w:r w:rsidR="004D5AD1" w:rsidRPr="004D5AD1">
        <w:rPr>
          <w:noProof/>
        </w:rPr>
        <w:t>rap</w:t>
      </w:r>
      <w:r w:rsidR="001962E6" w:rsidRPr="004D5AD1">
        <w:rPr>
          <w:noProof/>
        </w:rPr>
        <w:t>ortowaniem</w:t>
      </w:r>
      <w:r w:rsidR="004D5AD1" w:rsidRPr="004D5AD1">
        <w:rPr>
          <w:noProof/>
        </w:rPr>
        <w:t xml:space="preserve"> w</w:t>
      </w:r>
      <w:r w:rsidR="004D5AD1">
        <w:rPr>
          <w:noProof/>
        </w:rPr>
        <w:t> </w:t>
      </w:r>
      <w:r w:rsidR="004D5AD1" w:rsidRPr="004D5AD1">
        <w:rPr>
          <w:noProof/>
        </w:rPr>
        <w:t>zak</w:t>
      </w:r>
      <w:r w:rsidR="001962E6" w:rsidRPr="004D5AD1">
        <w:rPr>
          <w:noProof/>
        </w:rPr>
        <w:t>resie emisji metanu oraz ograniczaniem tych emisji,</w:t>
      </w:r>
      <w:r w:rsidR="004D5AD1" w:rsidRPr="004D5AD1">
        <w:rPr>
          <w:noProof/>
        </w:rPr>
        <w:t xml:space="preserve"> a</w:t>
      </w:r>
      <w:r w:rsidR="004D5AD1">
        <w:rPr>
          <w:noProof/>
        </w:rPr>
        <w:t> </w:t>
      </w:r>
      <w:r w:rsidR="004D5AD1" w:rsidRPr="004D5AD1">
        <w:rPr>
          <w:noProof/>
        </w:rPr>
        <w:t>w</w:t>
      </w:r>
      <w:r w:rsidR="004D5AD1">
        <w:rPr>
          <w:noProof/>
        </w:rPr>
        <w:t> </w:t>
      </w:r>
      <w:r w:rsidR="004D5AD1" w:rsidRPr="004D5AD1">
        <w:rPr>
          <w:noProof/>
        </w:rPr>
        <w:t>szc</w:t>
      </w:r>
      <w:r w:rsidR="001962E6" w:rsidRPr="004D5AD1">
        <w:rPr>
          <w:noProof/>
        </w:rPr>
        <w:t>zególności stosowania środków regulacyjnych lub dobrowolnych,</w:t>
      </w:r>
      <w:r w:rsidR="004D5AD1" w:rsidRPr="004D5AD1">
        <w:rPr>
          <w:noProof/>
        </w:rPr>
        <w:t xml:space="preserve"> w</w:t>
      </w:r>
      <w:r w:rsidR="004D5AD1">
        <w:rPr>
          <w:noProof/>
        </w:rPr>
        <w:t> </w:t>
      </w:r>
      <w:r w:rsidR="004D5AD1" w:rsidRPr="004D5AD1">
        <w:rPr>
          <w:noProof/>
        </w:rPr>
        <w:t>tym</w:t>
      </w:r>
      <w:r w:rsidR="001962E6" w:rsidRPr="004D5AD1">
        <w:rPr>
          <w:noProof/>
        </w:rPr>
        <w:t xml:space="preserve"> środków takich jak badania mające na celu wykrywanie nieszczelności</w:t>
      </w:r>
      <w:r w:rsidR="004D5AD1" w:rsidRPr="004D5AD1">
        <w:rPr>
          <w:noProof/>
        </w:rPr>
        <w:t xml:space="preserve"> i</w:t>
      </w:r>
      <w:r w:rsidR="004D5AD1">
        <w:rPr>
          <w:noProof/>
        </w:rPr>
        <w:t> </w:t>
      </w:r>
      <w:r w:rsidR="004D5AD1" w:rsidRPr="004D5AD1">
        <w:rPr>
          <w:noProof/>
        </w:rPr>
        <w:t>nap</w:t>
      </w:r>
      <w:r w:rsidR="001962E6" w:rsidRPr="004D5AD1">
        <w:rPr>
          <w:noProof/>
        </w:rPr>
        <w:t>rawę lub środki służące kontrolowaniu</w:t>
      </w:r>
      <w:r w:rsidR="004D5AD1" w:rsidRPr="004D5AD1">
        <w:rPr>
          <w:noProof/>
        </w:rPr>
        <w:t xml:space="preserve"> i</w:t>
      </w:r>
      <w:r w:rsidR="004D5AD1">
        <w:rPr>
          <w:noProof/>
        </w:rPr>
        <w:t> </w:t>
      </w:r>
      <w:r w:rsidR="004D5AD1" w:rsidRPr="004D5AD1">
        <w:rPr>
          <w:noProof/>
        </w:rPr>
        <w:t>ogr</w:t>
      </w:r>
      <w:r w:rsidR="001962E6" w:rsidRPr="004D5AD1">
        <w:rPr>
          <w:noProof/>
        </w:rPr>
        <w:t>aniczaniu uwalniania metanu do atmosfery</w:t>
      </w:r>
      <w:r w:rsidR="004D5AD1" w:rsidRPr="004D5AD1">
        <w:rPr>
          <w:noProof/>
        </w:rPr>
        <w:t xml:space="preserve"> i</w:t>
      </w:r>
      <w:r w:rsidR="004D5AD1">
        <w:rPr>
          <w:noProof/>
        </w:rPr>
        <w:t> </w:t>
      </w:r>
      <w:r w:rsidR="004D5AD1" w:rsidRPr="004D5AD1">
        <w:rPr>
          <w:noProof/>
        </w:rPr>
        <w:t>spa</w:t>
      </w:r>
      <w:r w:rsidR="001962E6" w:rsidRPr="004D5AD1">
        <w:rPr>
          <w:noProof/>
        </w:rPr>
        <w:t>lania go</w:t>
      </w:r>
      <w:r w:rsidR="004D5AD1" w:rsidRPr="004D5AD1">
        <w:rPr>
          <w:noProof/>
        </w:rPr>
        <w:t xml:space="preserve"> w</w:t>
      </w:r>
      <w:r w:rsidR="004D5AD1">
        <w:rPr>
          <w:noProof/>
        </w:rPr>
        <w:t> </w:t>
      </w:r>
      <w:r w:rsidR="004D5AD1" w:rsidRPr="004D5AD1">
        <w:rPr>
          <w:noProof/>
        </w:rPr>
        <w:t>poc</w:t>
      </w:r>
      <w:r w:rsidR="001962E6" w:rsidRPr="004D5AD1">
        <w:rPr>
          <w:noProof/>
        </w:rPr>
        <w:t>hodni. Poziomy pomiaru</w:t>
      </w:r>
      <w:r w:rsidR="004D5AD1" w:rsidRPr="004D5AD1">
        <w:rPr>
          <w:noProof/>
        </w:rPr>
        <w:t xml:space="preserve"> i</w:t>
      </w:r>
      <w:r w:rsidR="004D5AD1">
        <w:rPr>
          <w:noProof/>
        </w:rPr>
        <w:t> </w:t>
      </w:r>
      <w:r w:rsidR="004D5AD1" w:rsidRPr="004D5AD1">
        <w:rPr>
          <w:noProof/>
        </w:rPr>
        <w:t>rap</w:t>
      </w:r>
      <w:r w:rsidR="001962E6" w:rsidRPr="004D5AD1">
        <w:rPr>
          <w:noProof/>
        </w:rPr>
        <w:t>ortowania określone</w:t>
      </w:r>
      <w:r w:rsidR="004D5AD1" w:rsidRPr="004D5AD1">
        <w:rPr>
          <w:noProof/>
        </w:rPr>
        <w:t xml:space="preserve"> w</w:t>
      </w:r>
      <w:r w:rsidR="004D5AD1">
        <w:rPr>
          <w:noProof/>
        </w:rPr>
        <w:t> </w:t>
      </w:r>
      <w:r w:rsidR="004D5AD1" w:rsidRPr="004D5AD1">
        <w:rPr>
          <w:noProof/>
        </w:rPr>
        <w:t>wym</w:t>
      </w:r>
      <w:r w:rsidR="001962E6" w:rsidRPr="004D5AD1">
        <w:rPr>
          <w:noProof/>
        </w:rPr>
        <w:t>ogach informacyjnych mających zastosowanie do importerów odpowiadają poziomom, które mają być wymagane od operatorów unijnych</w:t>
      </w:r>
      <w:r w:rsidR="004D5AD1" w:rsidRPr="004D5AD1">
        <w:rPr>
          <w:noProof/>
        </w:rPr>
        <w:t xml:space="preserve"> w</w:t>
      </w:r>
      <w:r w:rsidR="004D5AD1">
        <w:rPr>
          <w:noProof/>
        </w:rPr>
        <w:t> </w:t>
      </w:r>
      <w:r w:rsidR="004D5AD1" w:rsidRPr="004D5AD1">
        <w:rPr>
          <w:noProof/>
        </w:rPr>
        <w:t>nin</w:t>
      </w:r>
      <w:r w:rsidR="001962E6" w:rsidRPr="004D5AD1">
        <w:rPr>
          <w:noProof/>
        </w:rPr>
        <w:t>iejszym rozporządzeniu, jak określono</w:t>
      </w:r>
      <w:r w:rsidR="004D5AD1" w:rsidRPr="004D5AD1">
        <w:rPr>
          <w:noProof/>
        </w:rPr>
        <w:t xml:space="preserve"> w</w:t>
      </w:r>
      <w:r w:rsidR="004D5AD1">
        <w:rPr>
          <w:noProof/>
        </w:rPr>
        <w:t> </w:t>
      </w:r>
      <w:r w:rsidR="004D5AD1" w:rsidRPr="004D5AD1">
        <w:rPr>
          <w:noProof/>
        </w:rPr>
        <w:t>mot</w:t>
      </w:r>
      <w:r w:rsidR="001962E6" w:rsidRPr="004D5AD1">
        <w:rPr>
          <w:noProof/>
        </w:rPr>
        <w:t>ywach 24–26</w:t>
      </w:r>
      <w:r w:rsidR="004D5AD1" w:rsidRPr="004D5AD1">
        <w:rPr>
          <w:noProof/>
        </w:rPr>
        <w:t xml:space="preserve"> i</w:t>
      </w:r>
      <w:r w:rsidR="004D5AD1">
        <w:rPr>
          <w:noProof/>
        </w:rPr>
        <w:t> </w:t>
      </w:r>
      <w:r w:rsidR="004D5AD1" w:rsidRPr="004D5AD1">
        <w:rPr>
          <w:noProof/>
        </w:rPr>
        <w:t>4</w:t>
      </w:r>
      <w:r w:rsidR="001962E6" w:rsidRPr="004D5AD1">
        <w:rPr>
          <w:noProof/>
        </w:rPr>
        <w:t xml:space="preserve">6. Przekazywanie informacji na temat środków kontroli emisji metanu nie jest bardziej uciążliwe niż przekazywanie informacji wymaganych od operatorów unijnych. </w:t>
      </w:r>
    </w:p>
    <w:p w14:paraId="4480AAA9" w14:textId="6F9BB413" w:rsidR="00CD116D" w:rsidRPr="004D5AD1" w:rsidRDefault="00DE3FFB" w:rsidP="00DE3FFB">
      <w:pPr>
        <w:pStyle w:val="ManualConsidrant"/>
        <w:rPr>
          <w:noProof/>
        </w:rPr>
      </w:pPr>
      <w:r w:rsidRPr="00DE3FFB">
        <w:t>(59)</w:t>
      </w:r>
      <w:r w:rsidRPr="00DE3FFB">
        <w:tab/>
      </w:r>
      <w:r w:rsidR="0082713A" w:rsidRPr="004D5AD1">
        <w:rPr>
          <w:noProof/>
        </w:rPr>
        <w:t>Państwa członkowskie powinny przedkładać te informacje Komisji. Na podstawie tych informacji Unia powinna utworzyć bazę danych zapewniającą przejrzystość</w:t>
      </w:r>
      <w:r w:rsidR="004D5AD1" w:rsidRPr="004D5AD1">
        <w:rPr>
          <w:noProof/>
        </w:rPr>
        <w:t xml:space="preserve"> w</w:t>
      </w:r>
      <w:r w:rsidR="004D5AD1">
        <w:rPr>
          <w:noProof/>
        </w:rPr>
        <w:t> </w:t>
      </w:r>
      <w:r w:rsidR="004D5AD1" w:rsidRPr="004D5AD1">
        <w:rPr>
          <w:noProof/>
        </w:rPr>
        <w:t>dzi</w:t>
      </w:r>
      <w:r w:rsidR="0082713A" w:rsidRPr="004D5AD1">
        <w:rPr>
          <w:noProof/>
        </w:rPr>
        <w:t>edzinie importu energii pochodzącej</w:t>
      </w:r>
      <w:r w:rsidR="004D5AD1" w:rsidRPr="004D5AD1">
        <w:rPr>
          <w:noProof/>
        </w:rPr>
        <w:t xml:space="preserve"> z</w:t>
      </w:r>
      <w:r w:rsidR="004D5AD1">
        <w:rPr>
          <w:noProof/>
        </w:rPr>
        <w:t> </w:t>
      </w:r>
      <w:r w:rsidR="004D5AD1" w:rsidRPr="004D5AD1">
        <w:rPr>
          <w:noProof/>
        </w:rPr>
        <w:t>pal</w:t>
      </w:r>
      <w:r w:rsidR="0082713A" w:rsidRPr="004D5AD1">
        <w:rPr>
          <w:noProof/>
        </w:rPr>
        <w:t>iw kopalnych do Unii</w:t>
      </w:r>
      <w:r w:rsidR="004D5AD1" w:rsidRPr="004D5AD1">
        <w:rPr>
          <w:noProof/>
        </w:rPr>
        <w:t xml:space="preserve"> i</w:t>
      </w:r>
      <w:r w:rsidR="004D5AD1">
        <w:rPr>
          <w:noProof/>
        </w:rPr>
        <w:t> </w:t>
      </w:r>
      <w:r w:rsidR="004D5AD1" w:rsidRPr="004D5AD1">
        <w:rPr>
          <w:noProof/>
        </w:rPr>
        <w:t>baz</w:t>
      </w:r>
      <w:r w:rsidR="0082713A" w:rsidRPr="004D5AD1">
        <w:rPr>
          <w:noProof/>
        </w:rPr>
        <w:t>ą tą zarządzać,</w:t>
      </w:r>
      <w:r w:rsidR="004D5AD1" w:rsidRPr="004D5AD1">
        <w:rPr>
          <w:noProof/>
        </w:rPr>
        <w:t xml:space="preserve"> a</w:t>
      </w:r>
      <w:r w:rsidR="004D5AD1">
        <w:rPr>
          <w:noProof/>
        </w:rPr>
        <w:t> </w:t>
      </w:r>
      <w:r w:rsidR="004D5AD1" w:rsidRPr="004D5AD1">
        <w:rPr>
          <w:noProof/>
        </w:rPr>
        <w:t>sam</w:t>
      </w:r>
      <w:r w:rsidR="0082713A" w:rsidRPr="004D5AD1">
        <w:rPr>
          <w:noProof/>
        </w:rPr>
        <w:t>a baza powinna zawierać szczegółowe informacje dotyczące tego, czy przedsiębiorstwa eksportujące przystąpiły do OGMP dla przedsiębiorstw naftowych</w:t>
      </w:r>
      <w:r w:rsidR="004D5AD1" w:rsidRPr="004D5AD1">
        <w:rPr>
          <w:noProof/>
        </w:rPr>
        <w:t xml:space="preserve"> i</w:t>
      </w:r>
      <w:r w:rsidR="004D5AD1">
        <w:rPr>
          <w:noProof/>
        </w:rPr>
        <w:t> </w:t>
      </w:r>
      <w:r w:rsidR="004D5AD1" w:rsidRPr="004D5AD1">
        <w:rPr>
          <w:noProof/>
        </w:rPr>
        <w:t>gaz</w:t>
      </w:r>
      <w:r w:rsidR="0082713A" w:rsidRPr="004D5AD1">
        <w:rPr>
          <w:noProof/>
        </w:rPr>
        <w:t>owych oraz zobowiązały się do przestrzegania równoważnej, uznanej na szczeblu międzynarodowym lub unijnym normy dla przedsiębiorstw węglowych –</w:t>
      </w:r>
      <w:r w:rsidR="004D5AD1" w:rsidRPr="004D5AD1">
        <w:rPr>
          <w:noProof/>
        </w:rPr>
        <w:t xml:space="preserve"> w</w:t>
      </w:r>
      <w:r w:rsidR="004D5AD1">
        <w:rPr>
          <w:noProof/>
        </w:rPr>
        <w:t> </w:t>
      </w:r>
      <w:r w:rsidR="004D5AD1" w:rsidRPr="004D5AD1">
        <w:rPr>
          <w:noProof/>
        </w:rPr>
        <w:t>zak</w:t>
      </w:r>
      <w:r w:rsidR="0082713A" w:rsidRPr="004D5AD1">
        <w:rPr>
          <w:noProof/>
        </w:rPr>
        <w:t>resie,</w:t>
      </w:r>
      <w:r w:rsidR="004D5AD1" w:rsidRPr="004D5AD1">
        <w:rPr>
          <w:noProof/>
        </w:rPr>
        <w:t xml:space="preserve"> w</w:t>
      </w:r>
      <w:r w:rsidR="004D5AD1">
        <w:rPr>
          <w:noProof/>
        </w:rPr>
        <w:t> </w:t>
      </w:r>
      <w:r w:rsidR="004D5AD1" w:rsidRPr="004D5AD1">
        <w:rPr>
          <w:noProof/>
        </w:rPr>
        <w:t>jak</w:t>
      </w:r>
      <w:r w:rsidR="0082713A" w:rsidRPr="004D5AD1">
        <w:rPr>
          <w:noProof/>
        </w:rPr>
        <w:t>im taka norma została ustanowiona. Informacje takie powinny wykazać stopień zaangażowania przedsiębiorstw</w:t>
      </w:r>
      <w:r w:rsidR="004D5AD1" w:rsidRPr="004D5AD1">
        <w:rPr>
          <w:noProof/>
        </w:rPr>
        <w:t xml:space="preserve"> w</w:t>
      </w:r>
      <w:r w:rsidR="004D5AD1">
        <w:rPr>
          <w:noProof/>
        </w:rPr>
        <w:t> </w:t>
      </w:r>
      <w:r w:rsidR="004D5AD1" w:rsidRPr="004D5AD1">
        <w:rPr>
          <w:noProof/>
        </w:rPr>
        <w:t>pań</w:t>
      </w:r>
      <w:r w:rsidR="0082713A" w:rsidRPr="004D5AD1">
        <w:rPr>
          <w:noProof/>
        </w:rPr>
        <w:t>stwach eksportu</w:t>
      </w:r>
      <w:r w:rsidR="004D5AD1" w:rsidRPr="004D5AD1">
        <w:rPr>
          <w:noProof/>
        </w:rPr>
        <w:t xml:space="preserve"> w</w:t>
      </w:r>
      <w:r w:rsidR="004D5AD1">
        <w:rPr>
          <w:noProof/>
        </w:rPr>
        <w:t> </w:t>
      </w:r>
      <w:r w:rsidR="004D5AD1" w:rsidRPr="004D5AD1">
        <w:rPr>
          <w:noProof/>
        </w:rPr>
        <w:t>pom</w:t>
      </w:r>
      <w:r w:rsidR="0082713A" w:rsidRPr="004D5AD1">
        <w:rPr>
          <w:noProof/>
        </w:rPr>
        <w:t>iary, raportowane</w:t>
      </w:r>
      <w:r w:rsidR="004D5AD1" w:rsidRPr="004D5AD1">
        <w:rPr>
          <w:noProof/>
        </w:rPr>
        <w:t xml:space="preserve"> i</w:t>
      </w:r>
      <w:r w:rsidR="004D5AD1">
        <w:rPr>
          <w:noProof/>
        </w:rPr>
        <w:t> </w:t>
      </w:r>
      <w:r w:rsidR="004D5AD1" w:rsidRPr="004D5AD1">
        <w:rPr>
          <w:noProof/>
        </w:rPr>
        <w:t>wer</w:t>
      </w:r>
      <w:r w:rsidR="0082713A" w:rsidRPr="004D5AD1">
        <w:rPr>
          <w:noProof/>
        </w:rPr>
        <w:t>yfikację</w:t>
      </w:r>
      <w:r w:rsidR="004D5AD1" w:rsidRPr="004D5AD1">
        <w:rPr>
          <w:noProof/>
        </w:rPr>
        <w:t xml:space="preserve"> w</w:t>
      </w:r>
      <w:r w:rsidR="004D5AD1">
        <w:rPr>
          <w:noProof/>
        </w:rPr>
        <w:t> </w:t>
      </w:r>
      <w:r w:rsidR="004D5AD1" w:rsidRPr="004D5AD1">
        <w:rPr>
          <w:noProof/>
        </w:rPr>
        <w:t>zak</w:t>
      </w:r>
      <w:r w:rsidR="0082713A" w:rsidRPr="004D5AD1">
        <w:rPr>
          <w:noProof/>
        </w:rPr>
        <w:t>resie emisji metanu zgodnie</w:t>
      </w:r>
      <w:r w:rsidR="004D5AD1" w:rsidRPr="004D5AD1">
        <w:rPr>
          <w:noProof/>
        </w:rPr>
        <w:t xml:space="preserve"> z</w:t>
      </w:r>
      <w:r w:rsidR="004D5AD1">
        <w:rPr>
          <w:noProof/>
        </w:rPr>
        <w:t> </w:t>
      </w:r>
      <w:r w:rsidR="004D5AD1" w:rsidRPr="004D5AD1">
        <w:rPr>
          <w:noProof/>
        </w:rPr>
        <w:t>met</w:t>
      </w:r>
      <w:r w:rsidR="0082713A" w:rsidRPr="004D5AD1">
        <w:rPr>
          <w:noProof/>
        </w:rPr>
        <w:t>odami raportowania poziomu 3 UNFCCC. Taka baza danych zapewniająca przejrzystość służyłaby jako źródło informacji przy podejmowaniu decyzji</w:t>
      </w:r>
      <w:r w:rsidR="004D5AD1" w:rsidRPr="004D5AD1">
        <w:rPr>
          <w:noProof/>
        </w:rPr>
        <w:t xml:space="preserve"> o</w:t>
      </w:r>
      <w:r w:rsidR="004D5AD1">
        <w:rPr>
          <w:noProof/>
        </w:rPr>
        <w:t> </w:t>
      </w:r>
      <w:r w:rsidR="004D5AD1" w:rsidRPr="004D5AD1">
        <w:rPr>
          <w:noProof/>
        </w:rPr>
        <w:t>zak</w:t>
      </w:r>
      <w:r w:rsidR="0082713A" w:rsidRPr="004D5AD1">
        <w:rPr>
          <w:noProof/>
        </w:rPr>
        <w:t>upie przez importerów energii pochodzącej</w:t>
      </w:r>
      <w:r w:rsidR="004D5AD1" w:rsidRPr="004D5AD1">
        <w:rPr>
          <w:noProof/>
        </w:rPr>
        <w:t xml:space="preserve"> z</w:t>
      </w:r>
      <w:r w:rsidR="004D5AD1">
        <w:rPr>
          <w:noProof/>
        </w:rPr>
        <w:t> </w:t>
      </w:r>
      <w:r w:rsidR="004D5AD1" w:rsidRPr="004D5AD1">
        <w:rPr>
          <w:noProof/>
        </w:rPr>
        <w:t>pal</w:t>
      </w:r>
      <w:r w:rsidR="0082713A" w:rsidRPr="004D5AD1">
        <w:rPr>
          <w:noProof/>
        </w:rPr>
        <w:t>iw kopalnych do Unii,</w:t>
      </w:r>
      <w:r w:rsidR="004D5AD1" w:rsidRPr="004D5AD1">
        <w:rPr>
          <w:noProof/>
        </w:rPr>
        <w:t xml:space="preserve"> a</w:t>
      </w:r>
      <w:r w:rsidR="004D5AD1">
        <w:rPr>
          <w:noProof/>
        </w:rPr>
        <w:t> </w:t>
      </w:r>
      <w:r w:rsidR="004D5AD1" w:rsidRPr="004D5AD1">
        <w:rPr>
          <w:noProof/>
        </w:rPr>
        <w:t>tak</w:t>
      </w:r>
      <w:r w:rsidR="0082713A" w:rsidRPr="004D5AD1">
        <w:rPr>
          <w:noProof/>
        </w:rPr>
        <w:t>że dla innych zainteresowanych stron</w:t>
      </w:r>
      <w:r w:rsidR="004D5AD1" w:rsidRPr="004D5AD1">
        <w:rPr>
          <w:noProof/>
        </w:rPr>
        <w:t xml:space="preserve"> i</w:t>
      </w:r>
      <w:r w:rsidR="004D5AD1">
        <w:rPr>
          <w:noProof/>
        </w:rPr>
        <w:t> </w:t>
      </w:r>
      <w:r w:rsidR="004D5AD1" w:rsidRPr="004D5AD1">
        <w:rPr>
          <w:noProof/>
        </w:rPr>
        <w:t>opi</w:t>
      </w:r>
      <w:r w:rsidR="0082713A" w:rsidRPr="004D5AD1">
        <w:rPr>
          <w:noProof/>
        </w:rPr>
        <w:t>nii publicznej. Baza danych zapewniająca przejrzystość powinna również odzwierciedlać działania podejmowane przez przedsiębiorstwa</w:t>
      </w:r>
      <w:r w:rsidR="004D5AD1" w:rsidRPr="004D5AD1">
        <w:rPr>
          <w:noProof/>
        </w:rPr>
        <w:t xml:space="preserve"> w</w:t>
      </w:r>
      <w:r w:rsidR="004D5AD1">
        <w:rPr>
          <w:noProof/>
        </w:rPr>
        <w:t> </w:t>
      </w:r>
      <w:r w:rsidR="004D5AD1" w:rsidRPr="004D5AD1">
        <w:rPr>
          <w:noProof/>
        </w:rPr>
        <w:t>Uni</w:t>
      </w:r>
      <w:r w:rsidR="0082713A" w:rsidRPr="004D5AD1">
        <w:rPr>
          <w:noProof/>
        </w:rPr>
        <w:t>i</w:t>
      </w:r>
      <w:r w:rsidR="004D5AD1" w:rsidRPr="004D5AD1">
        <w:rPr>
          <w:noProof/>
        </w:rPr>
        <w:t xml:space="preserve"> i</w:t>
      </w:r>
      <w:r w:rsidR="004D5AD1">
        <w:rPr>
          <w:noProof/>
        </w:rPr>
        <w:t> </w:t>
      </w:r>
      <w:r w:rsidR="004D5AD1" w:rsidRPr="004D5AD1">
        <w:rPr>
          <w:noProof/>
        </w:rPr>
        <w:t>prz</w:t>
      </w:r>
      <w:r w:rsidR="0082713A" w:rsidRPr="004D5AD1">
        <w:rPr>
          <w:noProof/>
        </w:rPr>
        <w:t>edsiębiorstwa eksportujące energię pochodzącą</w:t>
      </w:r>
      <w:r w:rsidR="004D5AD1" w:rsidRPr="004D5AD1">
        <w:rPr>
          <w:noProof/>
        </w:rPr>
        <w:t xml:space="preserve"> z</w:t>
      </w:r>
      <w:r w:rsidR="004D5AD1">
        <w:rPr>
          <w:noProof/>
        </w:rPr>
        <w:t> </w:t>
      </w:r>
      <w:r w:rsidR="004D5AD1" w:rsidRPr="004D5AD1">
        <w:rPr>
          <w:noProof/>
        </w:rPr>
        <w:t>pal</w:t>
      </w:r>
      <w:r w:rsidR="0082713A" w:rsidRPr="004D5AD1">
        <w:rPr>
          <w:noProof/>
        </w:rPr>
        <w:t>iw kopalnych do Unii do celów pomiarów</w:t>
      </w:r>
      <w:r w:rsidR="004D5AD1" w:rsidRPr="004D5AD1">
        <w:rPr>
          <w:noProof/>
        </w:rPr>
        <w:t xml:space="preserve"> i</w:t>
      </w:r>
      <w:r w:rsidR="004D5AD1">
        <w:rPr>
          <w:noProof/>
        </w:rPr>
        <w:t> </w:t>
      </w:r>
      <w:r w:rsidR="004D5AD1" w:rsidRPr="004D5AD1">
        <w:rPr>
          <w:noProof/>
        </w:rPr>
        <w:t>rap</w:t>
      </w:r>
      <w:r w:rsidR="0082713A" w:rsidRPr="004D5AD1">
        <w:rPr>
          <w:noProof/>
        </w:rPr>
        <w:t>ortowania,</w:t>
      </w:r>
      <w:r w:rsidR="004D5AD1" w:rsidRPr="004D5AD1">
        <w:rPr>
          <w:noProof/>
        </w:rPr>
        <w:t xml:space="preserve"> a</w:t>
      </w:r>
      <w:r w:rsidR="004D5AD1">
        <w:rPr>
          <w:noProof/>
        </w:rPr>
        <w:t> </w:t>
      </w:r>
      <w:r w:rsidR="004D5AD1" w:rsidRPr="004D5AD1">
        <w:rPr>
          <w:noProof/>
        </w:rPr>
        <w:t>tak</w:t>
      </w:r>
      <w:r w:rsidR="0082713A" w:rsidRPr="004D5AD1">
        <w:rPr>
          <w:noProof/>
        </w:rPr>
        <w:t>że ograniczenia emisji metanu. Powinna ona również zawierać informacje na temat działań regulacyjnych</w:t>
      </w:r>
      <w:r w:rsidR="004D5AD1" w:rsidRPr="004D5AD1">
        <w:rPr>
          <w:noProof/>
        </w:rPr>
        <w:t xml:space="preserve"> w</w:t>
      </w:r>
      <w:r w:rsidR="004D5AD1">
        <w:rPr>
          <w:noProof/>
        </w:rPr>
        <w:t> </w:t>
      </w:r>
      <w:r w:rsidR="004D5AD1" w:rsidRPr="004D5AD1">
        <w:rPr>
          <w:noProof/>
        </w:rPr>
        <w:t>zak</w:t>
      </w:r>
      <w:r w:rsidR="0082713A" w:rsidRPr="004D5AD1">
        <w:rPr>
          <w:noProof/>
        </w:rPr>
        <w:t>resie pomiaru, raportowania</w:t>
      </w:r>
      <w:r w:rsidR="004D5AD1" w:rsidRPr="004D5AD1">
        <w:rPr>
          <w:noProof/>
        </w:rPr>
        <w:t xml:space="preserve"> i</w:t>
      </w:r>
      <w:r w:rsidR="004D5AD1">
        <w:rPr>
          <w:noProof/>
        </w:rPr>
        <w:t> </w:t>
      </w:r>
      <w:r w:rsidR="004D5AD1" w:rsidRPr="004D5AD1">
        <w:rPr>
          <w:noProof/>
        </w:rPr>
        <w:t>ogr</w:t>
      </w:r>
      <w:r w:rsidR="0082713A" w:rsidRPr="004D5AD1">
        <w:rPr>
          <w:noProof/>
        </w:rPr>
        <w:t>aniczania emisji podejmowanych przez kraje,</w:t>
      </w:r>
      <w:r w:rsidR="004D5AD1" w:rsidRPr="004D5AD1">
        <w:rPr>
          <w:noProof/>
        </w:rPr>
        <w:t xml:space="preserve"> w</w:t>
      </w:r>
      <w:r w:rsidR="004D5AD1">
        <w:rPr>
          <w:noProof/>
        </w:rPr>
        <w:t> </w:t>
      </w:r>
      <w:r w:rsidR="004D5AD1" w:rsidRPr="004D5AD1">
        <w:rPr>
          <w:noProof/>
        </w:rPr>
        <w:t>któ</w:t>
      </w:r>
      <w:r w:rsidR="0082713A" w:rsidRPr="004D5AD1">
        <w:rPr>
          <w:noProof/>
        </w:rPr>
        <w:t>rych produkowana jest energia pochodząca</w:t>
      </w:r>
      <w:r w:rsidR="004D5AD1" w:rsidRPr="004D5AD1">
        <w:rPr>
          <w:noProof/>
        </w:rPr>
        <w:t xml:space="preserve"> z</w:t>
      </w:r>
      <w:r w:rsidR="004D5AD1">
        <w:rPr>
          <w:noProof/>
        </w:rPr>
        <w:t> </w:t>
      </w:r>
      <w:r w:rsidR="004D5AD1" w:rsidRPr="004D5AD1">
        <w:rPr>
          <w:noProof/>
        </w:rPr>
        <w:t>pal</w:t>
      </w:r>
      <w:r w:rsidR="0082713A" w:rsidRPr="004D5AD1">
        <w:rPr>
          <w:noProof/>
        </w:rPr>
        <w:t>iw kopalnych.</w:t>
      </w:r>
    </w:p>
    <w:p w14:paraId="66F6C78F" w14:textId="7A858712" w:rsidR="00CD116D" w:rsidRPr="004D5AD1" w:rsidRDefault="00DE3FFB" w:rsidP="00DE3FFB">
      <w:pPr>
        <w:pStyle w:val="ManualConsidrant"/>
        <w:rPr>
          <w:noProof/>
        </w:rPr>
      </w:pPr>
      <w:r w:rsidRPr="00DE3FFB">
        <w:t>(60)</w:t>
      </w:r>
      <w:r w:rsidRPr="00DE3FFB">
        <w:tab/>
      </w:r>
      <w:r w:rsidR="0082713A" w:rsidRPr="004D5AD1">
        <w:rPr>
          <w:noProof/>
        </w:rPr>
        <w:t>Ponadto Unia powinna wprowadzić globalne narzędzie monitorowania emitentów metanu, dostarczające informacji na temat skali, ponownego występowania</w:t>
      </w:r>
      <w:r w:rsidR="004D5AD1" w:rsidRPr="004D5AD1">
        <w:rPr>
          <w:noProof/>
        </w:rPr>
        <w:t xml:space="preserve"> i</w:t>
      </w:r>
      <w:r w:rsidR="004D5AD1">
        <w:rPr>
          <w:noProof/>
        </w:rPr>
        <w:t> </w:t>
      </w:r>
      <w:r w:rsidR="004D5AD1" w:rsidRPr="004D5AD1">
        <w:rPr>
          <w:noProof/>
        </w:rPr>
        <w:t>lok</w:t>
      </w:r>
      <w:r w:rsidR="0082713A" w:rsidRPr="004D5AD1">
        <w:rPr>
          <w:noProof/>
        </w:rPr>
        <w:t>alizacji wysokoemisyjnych źródeł metanu. Powinno to dodatkowo sprzyjać realnym</w:t>
      </w:r>
      <w:r w:rsidR="004D5AD1" w:rsidRPr="004D5AD1">
        <w:rPr>
          <w:noProof/>
        </w:rPr>
        <w:t xml:space="preserve"> i</w:t>
      </w:r>
      <w:r w:rsidR="004D5AD1">
        <w:rPr>
          <w:noProof/>
        </w:rPr>
        <w:t> </w:t>
      </w:r>
      <w:r w:rsidR="004D5AD1" w:rsidRPr="004D5AD1">
        <w:rPr>
          <w:noProof/>
        </w:rPr>
        <w:t>moż</w:t>
      </w:r>
      <w:r w:rsidR="0082713A" w:rsidRPr="004D5AD1">
        <w:rPr>
          <w:noProof/>
        </w:rPr>
        <w:t>liwym do wykazania rezultatom wdrażania przepisów dotyczących metanu</w:t>
      </w:r>
      <w:r w:rsidR="004D5AD1" w:rsidRPr="004D5AD1">
        <w:rPr>
          <w:noProof/>
        </w:rPr>
        <w:t xml:space="preserve"> i</w:t>
      </w:r>
      <w:r w:rsidR="004D5AD1">
        <w:rPr>
          <w:noProof/>
        </w:rPr>
        <w:t> </w:t>
      </w:r>
      <w:r w:rsidR="004D5AD1" w:rsidRPr="004D5AD1">
        <w:rPr>
          <w:noProof/>
        </w:rPr>
        <w:t>sku</w:t>
      </w:r>
      <w:r w:rsidR="0082713A" w:rsidRPr="004D5AD1">
        <w:rPr>
          <w:noProof/>
        </w:rPr>
        <w:t>tecznych działań ograniczających emisje podejmowanych przez przedsiębiorstwa</w:t>
      </w:r>
      <w:r w:rsidR="004D5AD1" w:rsidRPr="004D5AD1">
        <w:rPr>
          <w:noProof/>
        </w:rPr>
        <w:t xml:space="preserve"> w</w:t>
      </w:r>
      <w:r w:rsidR="004D5AD1">
        <w:rPr>
          <w:noProof/>
        </w:rPr>
        <w:t> </w:t>
      </w:r>
      <w:r w:rsidR="004D5AD1" w:rsidRPr="004D5AD1">
        <w:rPr>
          <w:noProof/>
        </w:rPr>
        <w:t>Uni</w:t>
      </w:r>
      <w:r w:rsidR="0082713A" w:rsidRPr="004D5AD1">
        <w:rPr>
          <w:noProof/>
        </w:rPr>
        <w:t>i</w:t>
      </w:r>
      <w:r w:rsidR="004D5AD1" w:rsidRPr="004D5AD1">
        <w:rPr>
          <w:noProof/>
        </w:rPr>
        <w:t xml:space="preserve"> i</w:t>
      </w:r>
      <w:r w:rsidR="004D5AD1">
        <w:rPr>
          <w:noProof/>
        </w:rPr>
        <w:t> </w:t>
      </w:r>
      <w:r w:rsidR="004D5AD1" w:rsidRPr="004D5AD1">
        <w:rPr>
          <w:noProof/>
        </w:rPr>
        <w:t>prz</w:t>
      </w:r>
      <w:r w:rsidR="0082713A" w:rsidRPr="004D5AD1">
        <w:rPr>
          <w:noProof/>
        </w:rPr>
        <w:t>edsiębiorstwa dostarczające energię pochodzącą</w:t>
      </w:r>
      <w:r w:rsidR="004D5AD1" w:rsidRPr="004D5AD1">
        <w:rPr>
          <w:noProof/>
        </w:rPr>
        <w:t xml:space="preserve"> z</w:t>
      </w:r>
      <w:r w:rsidR="004D5AD1">
        <w:rPr>
          <w:noProof/>
        </w:rPr>
        <w:t> </w:t>
      </w:r>
      <w:r w:rsidR="004D5AD1" w:rsidRPr="004D5AD1">
        <w:rPr>
          <w:noProof/>
        </w:rPr>
        <w:t>pal</w:t>
      </w:r>
      <w:r w:rsidR="0082713A" w:rsidRPr="004D5AD1">
        <w:rPr>
          <w:noProof/>
        </w:rPr>
        <w:t>iw kopalnych do Unii. Narzędzie to powinno łączyć dane od kilku certyfikowanych dostawców danych</w:t>
      </w:r>
      <w:r w:rsidR="004D5AD1" w:rsidRPr="004D5AD1">
        <w:rPr>
          <w:noProof/>
        </w:rPr>
        <w:t xml:space="preserve"> i</w:t>
      </w:r>
      <w:r w:rsidR="004D5AD1">
        <w:rPr>
          <w:noProof/>
        </w:rPr>
        <w:t> </w:t>
      </w:r>
      <w:r w:rsidR="004D5AD1" w:rsidRPr="004D5AD1">
        <w:rPr>
          <w:noProof/>
        </w:rPr>
        <w:t>usł</w:t>
      </w:r>
      <w:r w:rsidR="0082713A" w:rsidRPr="004D5AD1">
        <w:rPr>
          <w:noProof/>
        </w:rPr>
        <w:t>ug,</w:t>
      </w:r>
      <w:r w:rsidR="004D5AD1" w:rsidRPr="004D5AD1">
        <w:rPr>
          <w:noProof/>
        </w:rPr>
        <w:t xml:space="preserve"> w</w:t>
      </w:r>
      <w:r w:rsidR="004D5AD1">
        <w:rPr>
          <w:noProof/>
        </w:rPr>
        <w:t> </w:t>
      </w:r>
      <w:r w:rsidR="004D5AD1" w:rsidRPr="004D5AD1">
        <w:rPr>
          <w:noProof/>
        </w:rPr>
        <w:t>tym</w:t>
      </w:r>
      <w:r w:rsidR="0082713A" w:rsidRPr="004D5AD1">
        <w:rPr>
          <w:noProof/>
        </w:rPr>
        <w:t xml:space="preserve"> komponentu Copernicus unijnego programu kosmicznego i IMEO. Narzędzie to powinno stanowić podstawę dwustronnych dialogów prowadzonych przez Komisję</w:t>
      </w:r>
      <w:r w:rsidR="004D5AD1" w:rsidRPr="004D5AD1">
        <w:rPr>
          <w:noProof/>
        </w:rPr>
        <w:t xml:space="preserve"> z</w:t>
      </w:r>
      <w:r w:rsidR="004D5AD1">
        <w:rPr>
          <w:noProof/>
        </w:rPr>
        <w:t> </w:t>
      </w:r>
      <w:r w:rsidR="004D5AD1" w:rsidRPr="004D5AD1">
        <w:rPr>
          <w:noProof/>
        </w:rPr>
        <w:t>zai</w:t>
      </w:r>
      <w:r w:rsidR="0082713A" w:rsidRPr="004D5AD1">
        <w:rPr>
          <w:noProof/>
        </w:rPr>
        <w:t>nteresowanymi państwami</w:t>
      </w:r>
      <w:r w:rsidR="004D5AD1" w:rsidRPr="004D5AD1">
        <w:rPr>
          <w:noProof/>
        </w:rPr>
        <w:t xml:space="preserve"> w</w:t>
      </w:r>
      <w:r w:rsidR="004D5AD1">
        <w:rPr>
          <w:noProof/>
        </w:rPr>
        <w:t> </w:t>
      </w:r>
      <w:r w:rsidR="004D5AD1" w:rsidRPr="004D5AD1">
        <w:rPr>
          <w:noProof/>
        </w:rPr>
        <w:t>cel</w:t>
      </w:r>
      <w:r w:rsidR="0082713A" w:rsidRPr="004D5AD1">
        <w:rPr>
          <w:noProof/>
        </w:rPr>
        <w:t>u omówienia różnych przewidywanych scenariuszy dotyczących polityki</w:t>
      </w:r>
      <w:r w:rsidR="004D5AD1" w:rsidRPr="004D5AD1">
        <w:rPr>
          <w:noProof/>
        </w:rPr>
        <w:t xml:space="preserve"> i</w:t>
      </w:r>
      <w:r w:rsidR="004D5AD1">
        <w:rPr>
          <w:noProof/>
        </w:rPr>
        <w:t> </w:t>
      </w:r>
      <w:r w:rsidR="004D5AD1" w:rsidRPr="004D5AD1">
        <w:rPr>
          <w:noProof/>
        </w:rPr>
        <w:t>śro</w:t>
      </w:r>
      <w:r w:rsidR="0082713A" w:rsidRPr="004D5AD1">
        <w:rPr>
          <w:noProof/>
        </w:rPr>
        <w:t>dków</w:t>
      </w:r>
      <w:r w:rsidR="004D5AD1" w:rsidRPr="004D5AD1">
        <w:rPr>
          <w:noProof/>
        </w:rPr>
        <w:t xml:space="preserve"> w</w:t>
      </w:r>
      <w:r w:rsidR="004D5AD1">
        <w:rPr>
          <w:noProof/>
        </w:rPr>
        <w:t> </w:t>
      </w:r>
      <w:r w:rsidR="004D5AD1" w:rsidRPr="004D5AD1">
        <w:rPr>
          <w:noProof/>
        </w:rPr>
        <w:t>zak</w:t>
      </w:r>
      <w:r w:rsidR="0082713A" w:rsidRPr="004D5AD1">
        <w:rPr>
          <w:noProof/>
        </w:rPr>
        <w:t>resie emisji metanu.</w:t>
      </w:r>
    </w:p>
    <w:p w14:paraId="2452AD77" w14:textId="027FC3C1" w:rsidR="00CD116D" w:rsidRPr="004D5AD1" w:rsidRDefault="00DE3FFB" w:rsidP="00DE3FFB">
      <w:pPr>
        <w:pStyle w:val="ManualConsidrant"/>
        <w:rPr>
          <w:noProof/>
        </w:rPr>
      </w:pPr>
      <w:r w:rsidRPr="00DE3FFB">
        <w:t>(61)</w:t>
      </w:r>
      <w:r w:rsidRPr="00DE3FFB">
        <w:tab/>
      </w:r>
      <w:r w:rsidR="00CD116D" w:rsidRPr="004D5AD1">
        <w:rPr>
          <w:noProof/>
        </w:rPr>
        <w:t>W połączeniu środki,</w:t>
      </w:r>
      <w:r w:rsidR="004D5AD1" w:rsidRPr="004D5AD1">
        <w:rPr>
          <w:noProof/>
        </w:rPr>
        <w:t xml:space="preserve"> o</w:t>
      </w:r>
      <w:r w:rsidR="004D5AD1">
        <w:rPr>
          <w:noProof/>
        </w:rPr>
        <w:t> </w:t>
      </w:r>
      <w:r w:rsidR="004D5AD1" w:rsidRPr="004D5AD1">
        <w:rPr>
          <w:noProof/>
        </w:rPr>
        <w:t>któ</w:t>
      </w:r>
      <w:r w:rsidR="00CD116D" w:rsidRPr="004D5AD1">
        <w:rPr>
          <w:noProof/>
        </w:rPr>
        <w:t>rych mowa</w:t>
      </w:r>
      <w:r w:rsidR="004D5AD1" w:rsidRPr="004D5AD1">
        <w:rPr>
          <w:noProof/>
        </w:rPr>
        <w:t xml:space="preserve"> w</w:t>
      </w:r>
      <w:r w:rsidR="004D5AD1">
        <w:rPr>
          <w:noProof/>
        </w:rPr>
        <w:t> </w:t>
      </w:r>
      <w:r w:rsidR="004D5AD1" w:rsidRPr="004D5AD1">
        <w:rPr>
          <w:noProof/>
        </w:rPr>
        <w:t>mot</w:t>
      </w:r>
      <w:r w:rsidR="00CD116D" w:rsidRPr="004D5AD1">
        <w:rPr>
          <w:noProof/>
        </w:rPr>
        <w:t>ywach 58–60, powinny zwiększyć przejrzystość dla nabywców, umożliwiając im podejmowanie świadomych decyzji dotyczących źródeł zaopatrzenia</w:t>
      </w:r>
      <w:r w:rsidR="004D5AD1" w:rsidRPr="004D5AD1">
        <w:rPr>
          <w:noProof/>
        </w:rPr>
        <w:t xml:space="preserve"> i</w:t>
      </w:r>
      <w:r w:rsidR="004D5AD1">
        <w:rPr>
          <w:noProof/>
        </w:rPr>
        <w:t> </w:t>
      </w:r>
      <w:r w:rsidR="004D5AD1" w:rsidRPr="004D5AD1">
        <w:rPr>
          <w:noProof/>
        </w:rPr>
        <w:t>zwi</w:t>
      </w:r>
      <w:r w:rsidR="00CD116D" w:rsidRPr="004D5AD1">
        <w:rPr>
          <w:noProof/>
        </w:rPr>
        <w:t>ększając możliwość szerszego upowszechnienia rozwiązań</w:t>
      </w:r>
      <w:r w:rsidR="004D5AD1" w:rsidRPr="004D5AD1">
        <w:rPr>
          <w:noProof/>
        </w:rPr>
        <w:t xml:space="preserve"> w</w:t>
      </w:r>
      <w:r w:rsidR="004D5AD1">
        <w:rPr>
          <w:noProof/>
        </w:rPr>
        <w:t> </w:t>
      </w:r>
      <w:r w:rsidR="004D5AD1" w:rsidRPr="004D5AD1">
        <w:rPr>
          <w:noProof/>
        </w:rPr>
        <w:t>zak</w:t>
      </w:r>
      <w:r w:rsidR="00CD116D" w:rsidRPr="004D5AD1">
        <w:rPr>
          <w:noProof/>
        </w:rPr>
        <w:t>resie ograniczania emisji metanu na całym świecie. Ponadto powinny one dodatkowo zachęcać przedsiębiorstwa międzynarodowe do przestrzegania międzynarodowych norm pomiaru</w:t>
      </w:r>
      <w:r w:rsidR="004D5AD1" w:rsidRPr="004D5AD1">
        <w:rPr>
          <w:noProof/>
        </w:rPr>
        <w:t xml:space="preserve"> i</w:t>
      </w:r>
      <w:r w:rsidR="004D5AD1">
        <w:rPr>
          <w:noProof/>
        </w:rPr>
        <w:t> </w:t>
      </w:r>
      <w:r w:rsidR="004D5AD1" w:rsidRPr="004D5AD1">
        <w:rPr>
          <w:noProof/>
        </w:rPr>
        <w:t>rap</w:t>
      </w:r>
      <w:r w:rsidR="00CD116D" w:rsidRPr="004D5AD1">
        <w:rPr>
          <w:noProof/>
        </w:rPr>
        <w:t>ortowania</w:t>
      </w:r>
      <w:r w:rsidR="004D5AD1" w:rsidRPr="004D5AD1">
        <w:rPr>
          <w:noProof/>
        </w:rPr>
        <w:t xml:space="preserve"> w</w:t>
      </w:r>
      <w:r w:rsidR="004D5AD1">
        <w:rPr>
          <w:noProof/>
        </w:rPr>
        <w:t> </w:t>
      </w:r>
      <w:r w:rsidR="004D5AD1" w:rsidRPr="004D5AD1">
        <w:rPr>
          <w:noProof/>
        </w:rPr>
        <w:t>zak</w:t>
      </w:r>
      <w:r w:rsidR="00CD116D" w:rsidRPr="004D5AD1">
        <w:rPr>
          <w:noProof/>
        </w:rPr>
        <w:t>resie emisji metanu, takich jak OGMP, lub do wprowadzenia skutecznych środków pomiaru, raportowania</w:t>
      </w:r>
      <w:r w:rsidR="004D5AD1" w:rsidRPr="004D5AD1">
        <w:rPr>
          <w:noProof/>
        </w:rPr>
        <w:t xml:space="preserve"> i</w:t>
      </w:r>
      <w:r w:rsidR="004D5AD1">
        <w:rPr>
          <w:noProof/>
        </w:rPr>
        <w:t> </w:t>
      </w:r>
      <w:r w:rsidR="004D5AD1" w:rsidRPr="004D5AD1">
        <w:rPr>
          <w:noProof/>
        </w:rPr>
        <w:t>ogr</w:t>
      </w:r>
      <w:r w:rsidR="00CD116D" w:rsidRPr="004D5AD1">
        <w:rPr>
          <w:noProof/>
        </w:rPr>
        <w:t>aniczania emisji. Środki te mają stanowić podstawę metody stopniowego zaostrzania środków mających zastosowanie do importu. Komisja powinna być zatem uprawniona do zmiany lub rozszerzenia wymogów sprawozdawczych obowiązujących importerów. Ponadto Komisja powinna ocenić wdrożenie tych środków i, jeżeli uzna to za stosowne, przedstawić wnioski dotyczące przeglądu</w:t>
      </w:r>
      <w:r w:rsidR="004D5AD1" w:rsidRPr="004D5AD1">
        <w:rPr>
          <w:noProof/>
        </w:rPr>
        <w:t xml:space="preserve"> w</w:t>
      </w:r>
      <w:r w:rsidR="004D5AD1">
        <w:rPr>
          <w:noProof/>
        </w:rPr>
        <w:t> </w:t>
      </w:r>
      <w:r w:rsidR="004D5AD1" w:rsidRPr="004D5AD1">
        <w:rPr>
          <w:noProof/>
        </w:rPr>
        <w:t>cel</w:t>
      </w:r>
      <w:r w:rsidR="00CD116D" w:rsidRPr="004D5AD1">
        <w:rPr>
          <w:noProof/>
        </w:rPr>
        <w:t>u nałożenia na importerów bardziej rygorystycznych środków oraz zapewnienia porównywalnego poziomu skuteczności środków stosowanych</w:t>
      </w:r>
      <w:r w:rsidR="004D5AD1" w:rsidRPr="004D5AD1">
        <w:rPr>
          <w:noProof/>
        </w:rPr>
        <w:t xml:space="preserve"> w</w:t>
      </w:r>
      <w:r w:rsidR="004D5AD1">
        <w:rPr>
          <w:noProof/>
        </w:rPr>
        <w:t> </w:t>
      </w:r>
      <w:r w:rsidR="004D5AD1" w:rsidRPr="004D5AD1">
        <w:rPr>
          <w:noProof/>
        </w:rPr>
        <w:t>pań</w:t>
      </w:r>
      <w:r w:rsidR="00CD116D" w:rsidRPr="004D5AD1">
        <w:rPr>
          <w:noProof/>
        </w:rPr>
        <w:t>stwach trzecich</w:t>
      </w:r>
      <w:r w:rsidR="004D5AD1" w:rsidRPr="004D5AD1">
        <w:rPr>
          <w:noProof/>
        </w:rPr>
        <w:t xml:space="preserve"> w</w:t>
      </w:r>
      <w:r w:rsidR="004D5AD1">
        <w:rPr>
          <w:noProof/>
        </w:rPr>
        <w:t> </w:t>
      </w:r>
      <w:r w:rsidR="004D5AD1" w:rsidRPr="004D5AD1">
        <w:rPr>
          <w:noProof/>
        </w:rPr>
        <w:t>cel</w:t>
      </w:r>
      <w:r w:rsidR="00CD116D" w:rsidRPr="004D5AD1">
        <w:rPr>
          <w:noProof/>
        </w:rPr>
        <w:t>u monitorowania, raportowania, weryfikacji</w:t>
      </w:r>
      <w:r w:rsidR="004D5AD1" w:rsidRPr="004D5AD1">
        <w:rPr>
          <w:noProof/>
        </w:rPr>
        <w:t xml:space="preserve"> i</w:t>
      </w:r>
      <w:r w:rsidR="004D5AD1">
        <w:rPr>
          <w:noProof/>
        </w:rPr>
        <w:t> </w:t>
      </w:r>
      <w:r w:rsidR="004D5AD1" w:rsidRPr="004D5AD1">
        <w:rPr>
          <w:noProof/>
        </w:rPr>
        <w:t>ogr</w:t>
      </w:r>
      <w:r w:rsidR="00CD116D" w:rsidRPr="004D5AD1">
        <w:rPr>
          <w:noProof/>
        </w:rPr>
        <w:t>aniczania emisji metanu</w:t>
      </w:r>
      <w:r w:rsidR="004D5AD1" w:rsidRPr="004D5AD1">
        <w:rPr>
          <w:noProof/>
        </w:rPr>
        <w:t>. W</w:t>
      </w:r>
      <w:r w:rsidR="004D5AD1">
        <w:rPr>
          <w:noProof/>
        </w:rPr>
        <w:t> </w:t>
      </w:r>
      <w:r w:rsidR="004D5AD1" w:rsidRPr="004D5AD1">
        <w:rPr>
          <w:noProof/>
        </w:rPr>
        <w:t>oce</w:t>
      </w:r>
      <w:r w:rsidR="00CD116D" w:rsidRPr="004D5AD1">
        <w:rPr>
          <w:noProof/>
        </w:rPr>
        <w:t>nie należy uwzględnić prace prowadzone przez IMEO,</w:t>
      </w:r>
      <w:r w:rsidR="004D5AD1" w:rsidRPr="004D5AD1">
        <w:rPr>
          <w:noProof/>
        </w:rPr>
        <w:t xml:space="preserve"> w</w:t>
      </w:r>
      <w:r w:rsidR="004D5AD1">
        <w:rPr>
          <w:noProof/>
        </w:rPr>
        <w:t> </w:t>
      </w:r>
      <w:r w:rsidR="004D5AD1" w:rsidRPr="004D5AD1">
        <w:rPr>
          <w:noProof/>
        </w:rPr>
        <w:t>tym</w:t>
      </w:r>
      <w:r w:rsidR="00CD116D" w:rsidRPr="004D5AD1">
        <w:rPr>
          <w:noProof/>
        </w:rPr>
        <w:t xml:space="preserve"> wskaźnik dostaw metanu, bazę danych zapewniającą przejrzystość oraz globalne narzędzie monitorowania emitentów metanu. Jeżeli Komisja uzna za stosowne zwiększenie poziomu rygorystyczności środków mających zastosowanie do importu, szczególnie ważne jest, aby Komisja podczas prac przygotowawczych prowadziła odpowiednie konsultacje, także</w:t>
      </w:r>
      <w:r w:rsidR="004D5AD1" w:rsidRPr="004D5AD1">
        <w:rPr>
          <w:noProof/>
        </w:rPr>
        <w:t xml:space="preserve"> z</w:t>
      </w:r>
      <w:r w:rsidR="004D5AD1">
        <w:rPr>
          <w:noProof/>
        </w:rPr>
        <w:t> </w:t>
      </w:r>
      <w:r w:rsidR="004D5AD1" w:rsidRPr="004D5AD1">
        <w:rPr>
          <w:noProof/>
        </w:rPr>
        <w:t>odp</w:t>
      </w:r>
      <w:r w:rsidR="00CD116D" w:rsidRPr="004D5AD1">
        <w:rPr>
          <w:noProof/>
        </w:rPr>
        <w:t>owiednimi państwami trzecimi.</w:t>
      </w:r>
      <w:r w:rsidR="004D5AD1" w:rsidRPr="004D5AD1">
        <w:rPr>
          <w:noProof/>
        </w:rPr>
        <w:t xml:space="preserve"> </w:t>
      </w:r>
    </w:p>
    <w:p w14:paraId="66B8EAF9" w14:textId="0697A41E" w:rsidR="005E07D8" w:rsidRPr="004D5AD1" w:rsidRDefault="00DE3FFB" w:rsidP="00DE3FFB">
      <w:pPr>
        <w:pStyle w:val="ManualConsidrant"/>
        <w:rPr>
          <w:noProof/>
        </w:rPr>
      </w:pPr>
      <w:r w:rsidRPr="00DE3FFB">
        <w:t>(62)</w:t>
      </w:r>
      <w:r w:rsidRPr="00DE3FFB">
        <w:tab/>
      </w:r>
      <w:r w:rsidR="00CD116D" w:rsidRPr="004D5AD1">
        <w:rPr>
          <w:noProof/>
        </w:rPr>
        <w:t>Państwa członkowskie powinny zapewnić, aby stosowano skuteczne, proporcjonalne</w:t>
      </w:r>
      <w:r w:rsidR="004D5AD1" w:rsidRPr="004D5AD1">
        <w:rPr>
          <w:noProof/>
        </w:rPr>
        <w:t xml:space="preserve"> i</w:t>
      </w:r>
      <w:r w:rsidR="004D5AD1">
        <w:rPr>
          <w:noProof/>
        </w:rPr>
        <w:t> </w:t>
      </w:r>
      <w:r w:rsidR="004D5AD1" w:rsidRPr="004D5AD1">
        <w:rPr>
          <w:noProof/>
        </w:rPr>
        <w:t>ods</w:t>
      </w:r>
      <w:r w:rsidR="00CD116D" w:rsidRPr="004D5AD1">
        <w:rPr>
          <w:noProof/>
        </w:rPr>
        <w:t>traszające kary za naruszenia przepisów niniejszego rozporządzenia, które to kary mogą obejmować grzywny</w:t>
      </w:r>
      <w:r w:rsidR="004D5AD1" w:rsidRPr="004D5AD1">
        <w:rPr>
          <w:noProof/>
        </w:rPr>
        <w:t xml:space="preserve"> i</w:t>
      </w:r>
      <w:r w:rsidR="004D5AD1">
        <w:rPr>
          <w:noProof/>
        </w:rPr>
        <w:t> </w:t>
      </w:r>
      <w:r w:rsidR="004D5AD1" w:rsidRPr="004D5AD1">
        <w:rPr>
          <w:noProof/>
        </w:rPr>
        <w:t>okr</w:t>
      </w:r>
      <w:r w:rsidR="00CD116D" w:rsidRPr="004D5AD1">
        <w:rPr>
          <w:noProof/>
        </w:rPr>
        <w:t xml:space="preserve">esowe kary pieniężne, </w:t>
      </w:r>
      <w:r w:rsidR="00CD116D" w:rsidRPr="004D5AD1">
        <w:rPr>
          <w:noProof/>
          <w:u w:color="000000"/>
          <w:bdr w:val="nil"/>
        </w:rPr>
        <w:t>oraz podjąć wszelkie działania, aby zapewnić ich wdrożenie</w:t>
      </w:r>
      <w:r w:rsidR="00CD116D" w:rsidRPr="004D5AD1">
        <w:rPr>
          <w:noProof/>
        </w:rPr>
        <w:t>.</w:t>
      </w:r>
      <w:r w:rsidR="00CD116D" w:rsidRPr="004D5AD1">
        <w:rPr>
          <w:noProof/>
          <w:u w:color="000000"/>
          <w:bdr w:val="nil"/>
        </w:rPr>
        <w:t xml:space="preserve"> </w:t>
      </w:r>
      <w:r w:rsidR="00CD116D" w:rsidRPr="004D5AD1">
        <w:rPr>
          <w:noProof/>
        </w:rPr>
        <w:t>Aby mieć znaczący skutek odstraszający, kary powinny być odpowiednie do rodzaju naruszenia, możliwej korzyści dla operatora oraz rodzaju</w:t>
      </w:r>
      <w:r w:rsidR="004D5AD1" w:rsidRPr="004D5AD1">
        <w:rPr>
          <w:noProof/>
        </w:rPr>
        <w:t xml:space="preserve"> i</w:t>
      </w:r>
      <w:r w:rsidR="004D5AD1">
        <w:rPr>
          <w:noProof/>
        </w:rPr>
        <w:t> </w:t>
      </w:r>
      <w:r w:rsidR="004D5AD1" w:rsidRPr="004D5AD1">
        <w:rPr>
          <w:noProof/>
        </w:rPr>
        <w:t>wag</w:t>
      </w:r>
      <w:r w:rsidR="00CD116D" w:rsidRPr="004D5AD1">
        <w:rPr>
          <w:noProof/>
        </w:rPr>
        <w:t>i szkód</w:t>
      </w:r>
      <w:r w:rsidR="004D5AD1" w:rsidRPr="004D5AD1">
        <w:rPr>
          <w:noProof/>
        </w:rPr>
        <w:t xml:space="preserve"> w</w:t>
      </w:r>
      <w:r w:rsidR="004D5AD1">
        <w:rPr>
          <w:noProof/>
        </w:rPr>
        <w:t> </w:t>
      </w:r>
      <w:r w:rsidR="004D5AD1" w:rsidRPr="004D5AD1">
        <w:rPr>
          <w:noProof/>
        </w:rPr>
        <w:t>śro</w:t>
      </w:r>
      <w:r w:rsidR="00CD116D" w:rsidRPr="004D5AD1">
        <w:rPr>
          <w:noProof/>
        </w:rPr>
        <w:t>dowisku. Nakładając kary, należy odpowiednio uwzględnić charakter, wagę</w:t>
      </w:r>
      <w:r w:rsidR="004D5AD1" w:rsidRPr="004D5AD1">
        <w:rPr>
          <w:noProof/>
        </w:rPr>
        <w:t xml:space="preserve"> i</w:t>
      </w:r>
      <w:r w:rsidR="004D5AD1">
        <w:rPr>
          <w:noProof/>
        </w:rPr>
        <w:t> </w:t>
      </w:r>
      <w:r w:rsidR="004D5AD1" w:rsidRPr="004D5AD1">
        <w:rPr>
          <w:noProof/>
        </w:rPr>
        <w:t>cza</w:t>
      </w:r>
      <w:r w:rsidR="00CD116D" w:rsidRPr="004D5AD1">
        <w:rPr>
          <w:noProof/>
        </w:rPr>
        <w:t>s trwania danego naruszenia. Nakładanie kar powinno być proporcjonalne</w:t>
      </w:r>
      <w:r w:rsidR="004D5AD1" w:rsidRPr="004D5AD1">
        <w:rPr>
          <w:noProof/>
        </w:rPr>
        <w:t xml:space="preserve"> i</w:t>
      </w:r>
      <w:r w:rsidR="004D5AD1">
        <w:rPr>
          <w:noProof/>
        </w:rPr>
        <w:t> </w:t>
      </w:r>
      <w:r w:rsidR="004D5AD1" w:rsidRPr="004D5AD1">
        <w:rPr>
          <w:noProof/>
        </w:rPr>
        <w:t>zgo</w:t>
      </w:r>
      <w:r w:rsidR="00CD116D" w:rsidRPr="004D5AD1">
        <w:rPr>
          <w:noProof/>
        </w:rPr>
        <w:t>dne</w:t>
      </w:r>
      <w:r w:rsidR="004D5AD1" w:rsidRPr="004D5AD1">
        <w:rPr>
          <w:noProof/>
        </w:rPr>
        <w:t xml:space="preserve"> z</w:t>
      </w:r>
      <w:r w:rsidR="004D5AD1">
        <w:rPr>
          <w:noProof/>
        </w:rPr>
        <w:t> </w:t>
      </w:r>
      <w:r w:rsidR="004D5AD1" w:rsidRPr="004D5AD1">
        <w:rPr>
          <w:noProof/>
        </w:rPr>
        <w:t>pra</w:t>
      </w:r>
      <w:r w:rsidR="00CD116D" w:rsidRPr="004D5AD1">
        <w:rPr>
          <w:noProof/>
        </w:rPr>
        <w:t>wem Unii</w:t>
      </w:r>
      <w:r w:rsidR="004D5AD1" w:rsidRPr="004D5AD1">
        <w:rPr>
          <w:noProof/>
        </w:rPr>
        <w:t xml:space="preserve"> i</w:t>
      </w:r>
      <w:r w:rsidR="004D5AD1">
        <w:rPr>
          <w:noProof/>
        </w:rPr>
        <w:t> </w:t>
      </w:r>
      <w:r w:rsidR="004D5AD1" w:rsidRPr="004D5AD1">
        <w:rPr>
          <w:noProof/>
        </w:rPr>
        <w:t>pra</w:t>
      </w:r>
      <w:r w:rsidR="00CD116D" w:rsidRPr="004D5AD1">
        <w:rPr>
          <w:noProof/>
        </w:rPr>
        <w:t>wem krajowym,</w:t>
      </w:r>
      <w:r w:rsidR="004D5AD1" w:rsidRPr="004D5AD1">
        <w:rPr>
          <w:noProof/>
        </w:rPr>
        <w:t xml:space="preserve"> w</w:t>
      </w:r>
      <w:r w:rsidR="004D5AD1">
        <w:rPr>
          <w:noProof/>
        </w:rPr>
        <w:t> </w:t>
      </w:r>
      <w:r w:rsidR="004D5AD1" w:rsidRPr="004D5AD1">
        <w:rPr>
          <w:noProof/>
        </w:rPr>
        <w:t>tym z</w:t>
      </w:r>
      <w:r w:rsidR="004D5AD1">
        <w:rPr>
          <w:noProof/>
        </w:rPr>
        <w:t> </w:t>
      </w:r>
      <w:r w:rsidR="004D5AD1" w:rsidRPr="004D5AD1">
        <w:rPr>
          <w:noProof/>
        </w:rPr>
        <w:t>maj</w:t>
      </w:r>
      <w:r w:rsidR="00CD116D" w:rsidRPr="004D5AD1">
        <w:rPr>
          <w:noProof/>
        </w:rPr>
        <w:t>ącymi zastosowanie gwarancjami proceduralnymi oraz</w:t>
      </w:r>
      <w:r w:rsidR="004D5AD1" w:rsidRPr="004D5AD1">
        <w:rPr>
          <w:noProof/>
        </w:rPr>
        <w:t xml:space="preserve"> z</w:t>
      </w:r>
      <w:r w:rsidR="004D5AD1">
        <w:rPr>
          <w:noProof/>
        </w:rPr>
        <w:t> </w:t>
      </w:r>
      <w:r w:rsidR="004D5AD1" w:rsidRPr="004D5AD1">
        <w:rPr>
          <w:noProof/>
        </w:rPr>
        <w:t>zas</w:t>
      </w:r>
      <w:r w:rsidR="00CD116D" w:rsidRPr="004D5AD1">
        <w:rPr>
          <w:noProof/>
        </w:rPr>
        <w:t>adami Karty praw podstawowych.</w:t>
      </w:r>
    </w:p>
    <w:p w14:paraId="546F49E8" w14:textId="6017A812" w:rsidR="00E51A1C" w:rsidRPr="004D5AD1" w:rsidRDefault="00DE3FFB" w:rsidP="00DE3FFB">
      <w:pPr>
        <w:pStyle w:val="ManualConsidrant"/>
        <w:rPr>
          <w:noProof/>
        </w:rPr>
      </w:pPr>
      <w:r w:rsidRPr="00DE3FFB">
        <w:t>(63)</w:t>
      </w:r>
      <w:r w:rsidRPr="00DE3FFB">
        <w:tab/>
      </w:r>
      <w:r w:rsidR="00F71F17" w:rsidRPr="004D5AD1">
        <w:rPr>
          <w:noProof/>
        </w:rPr>
        <w:t>W celu zapewnienia większej spójności należy ustanowić wykaz rodzajów naruszeń, które powinny podlegać karom. Aby ułatwić bardziej spójne stosowanie kar, należy ustanowić wspólne niewyczerpujące</w:t>
      </w:r>
      <w:r w:rsidR="004D5AD1" w:rsidRPr="004D5AD1">
        <w:rPr>
          <w:noProof/>
        </w:rPr>
        <w:t xml:space="preserve"> i</w:t>
      </w:r>
      <w:r w:rsidR="004D5AD1">
        <w:rPr>
          <w:noProof/>
        </w:rPr>
        <w:t> </w:t>
      </w:r>
      <w:r w:rsidR="004D5AD1" w:rsidRPr="004D5AD1">
        <w:rPr>
          <w:noProof/>
        </w:rPr>
        <w:t>ori</w:t>
      </w:r>
      <w:r w:rsidR="00F71F17" w:rsidRPr="004D5AD1">
        <w:rPr>
          <w:noProof/>
        </w:rPr>
        <w:t>entacyjne kryteria stosowania kar. Odstraszający skutek kar należy wzmocnić dzięki możliwości publikowania informacji dotyczących kar nałożonych przez państwa członkowskie, zgodnie</w:t>
      </w:r>
      <w:r w:rsidR="004D5AD1" w:rsidRPr="004D5AD1">
        <w:rPr>
          <w:noProof/>
        </w:rPr>
        <w:t xml:space="preserve"> z</w:t>
      </w:r>
      <w:r w:rsidR="004D5AD1">
        <w:rPr>
          <w:noProof/>
        </w:rPr>
        <w:t> </w:t>
      </w:r>
      <w:r w:rsidR="004D5AD1" w:rsidRPr="004D5AD1">
        <w:rPr>
          <w:noProof/>
        </w:rPr>
        <w:t>wym</w:t>
      </w:r>
      <w:r w:rsidR="00F71F17" w:rsidRPr="004D5AD1">
        <w:rPr>
          <w:noProof/>
        </w:rPr>
        <w:t>ogami ochrony danych określonymi</w:t>
      </w:r>
      <w:r w:rsidR="004D5AD1" w:rsidRPr="004D5AD1">
        <w:rPr>
          <w:noProof/>
        </w:rPr>
        <w:t xml:space="preserve"> w</w:t>
      </w:r>
      <w:r w:rsidR="004D5AD1">
        <w:rPr>
          <w:noProof/>
        </w:rPr>
        <w:t> </w:t>
      </w:r>
      <w:r w:rsidR="004D5AD1" w:rsidRPr="004D5AD1">
        <w:rPr>
          <w:noProof/>
        </w:rPr>
        <w:t>roz</w:t>
      </w:r>
      <w:r w:rsidR="00F71F17" w:rsidRPr="004D5AD1">
        <w:rPr>
          <w:noProof/>
        </w:rPr>
        <w:t>porządzeniach Parlamentu Europejskiego</w:t>
      </w:r>
      <w:r w:rsidR="004D5AD1" w:rsidRPr="004D5AD1">
        <w:rPr>
          <w:noProof/>
        </w:rPr>
        <w:t xml:space="preserve"> i</w:t>
      </w:r>
      <w:r w:rsidR="004D5AD1">
        <w:rPr>
          <w:noProof/>
        </w:rPr>
        <w:t> </w:t>
      </w:r>
      <w:r w:rsidR="004D5AD1" w:rsidRPr="004D5AD1">
        <w:rPr>
          <w:noProof/>
        </w:rPr>
        <w:t>Rad</w:t>
      </w:r>
      <w:r w:rsidR="00F71F17" w:rsidRPr="004D5AD1">
        <w:rPr>
          <w:noProof/>
        </w:rPr>
        <w:t>y (UE) 2016/679</w:t>
      </w:r>
      <w:r w:rsidR="00B01A68" w:rsidRPr="004D5AD1">
        <w:rPr>
          <w:rStyle w:val="FootnoteReference"/>
          <w:noProof/>
        </w:rPr>
        <w:footnoteReference w:id="37"/>
      </w:r>
      <w:r w:rsidR="00F71F17" w:rsidRPr="004D5AD1">
        <w:rPr>
          <w:noProof/>
        </w:rPr>
        <w:t xml:space="preserve"> i (UE) 2018/1725</w:t>
      </w:r>
      <w:r w:rsidR="00B01A68" w:rsidRPr="004D5AD1">
        <w:rPr>
          <w:rStyle w:val="FootnoteReference"/>
          <w:noProof/>
        </w:rPr>
        <w:footnoteReference w:id="38"/>
      </w:r>
      <w:r w:rsidR="00F71F17" w:rsidRPr="004D5AD1">
        <w:rPr>
          <w:noProof/>
        </w:rPr>
        <w:t>.</w:t>
      </w:r>
    </w:p>
    <w:p w14:paraId="0012503F" w14:textId="78549651" w:rsidR="000018A3" w:rsidRPr="004D5AD1" w:rsidRDefault="00DE3FFB" w:rsidP="00DE3FFB">
      <w:pPr>
        <w:pStyle w:val="ManualConsidrant"/>
        <w:rPr>
          <w:noProof/>
        </w:rPr>
      </w:pPr>
      <w:r w:rsidRPr="00DE3FFB">
        <w:t>(64)</w:t>
      </w:r>
      <w:r w:rsidRPr="00DE3FFB">
        <w:tab/>
      </w:r>
      <w:r w:rsidR="00F849C6" w:rsidRPr="004D5AD1">
        <w:rPr>
          <w:noProof/>
        </w:rPr>
        <w:t>W związku</w:t>
      </w:r>
      <w:r w:rsidR="004D5AD1" w:rsidRPr="004D5AD1">
        <w:rPr>
          <w:noProof/>
        </w:rPr>
        <w:t xml:space="preserve"> z</w:t>
      </w:r>
      <w:r w:rsidR="004D5AD1">
        <w:rPr>
          <w:noProof/>
        </w:rPr>
        <w:t> </w:t>
      </w:r>
      <w:r w:rsidR="004D5AD1" w:rsidRPr="004D5AD1">
        <w:rPr>
          <w:noProof/>
        </w:rPr>
        <w:t>prz</w:t>
      </w:r>
      <w:r w:rsidR="00F849C6" w:rsidRPr="004D5AD1">
        <w:rPr>
          <w:noProof/>
        </w:rPr>
        <w:t>episami nakładającymi obowiązek uwzględniania inwestycji dokonywanych przez operatorów podlegających regulacji przy ustalaniu taryf należy zmienić rozporządzenie Parlamentu Europejskiego</w:t>
      </w:r>
      <w:r w:rsidR="004D5AD1" w:rsidRPr="004D5AD1">
        <w:rPr>
          <w:noProof/>
        </w:rPr>
        <w:t xml:space="preserve"> i</w:t>
      </w:r>
      <w:r w:rsidR="004D5AD1">
        <w:rPr>
          <w:noProof/>
        </w:rPr>
        <w:t> </w:t>
      </w:r>
      <w:r w:rsidR="004D5AD1" w:rsidRPr="004D5AD1">
        <w:rPr>
          <w:noProof/>
        </w:rPr>
        <w:t>Rad</w:t>
      </w:r>
      <w:r w:rsidR="00F849C6" w:rsidRPr="004D5AD1">
        <w:rPr>
          <w:noProof/>
        </w:rPr>
        <w:t>y (UE) 2019/942</w:t>
      </w:r>
      <w:r w:rsidR="00E51A1C" w:rsidRPr="004D5AD1">
        <w:rPr>
          <w:rStyle w:val="FootnoteReference"/>
          <w:noProof/>
        </w:rPr>
        <w:footnoteReference w:id="39"/>
      </w:r>
      <w:r w:rsidR="00F849C6" w:rsidRPr="004D5AD1">
        <w:rPr>
          <w:noProof/>
        </w:rPr>
        <w:t>, aby powierzyć ACER zadanie udostępniania zestawu wskaźników</w:t>
      </w:r>
      <w:r w:rsidR="004D5AD1" w:rsidRPr="004D5AD1">
        <w:rPr>
          <w:noProof/>
        </w:rPr>
        <w:t xml:space="preserve"> i</w:t>
      </w:r>
      <w:r w:rsidR="004D5AD1">
        <w:rPr>
          <w:noProof/>
        </w:rPr>
        <w:t> </w:t>
      </w:r>
      <w:r w:rsidR="004D5AD1" w:rsidRPr="004D5AD1">
        <w:rPr>
          <w:noProof/>
        </w:rPr>
        <w:t>war</w:t>
      </w:r>
      <w:r w:rsidR="00F849C6" w:rsidRPr="004D5AD1">
        <w:rPr>
          <w:noProof/>
        </w:rPr>
        <w:t>tości odniesienia na potrzeby porównania jednostkowych kosztów inwestycji związanych</w:t>
      </w:r>
      <w:r w:rsidR="004D5AD1" w:rsidRPr="004D5AD1">
        <w:rPr>
          <w:noProof/>
        </w:rPr>
        <w:t xml:space="preserve"> z</w:t>
      </w:r>
      <w:r w:rsidR="004D5AD1">
        <w:rPr>
          <w:noProof/>
        </w:rPr>
        <w:t> </w:t>
      </w:r>
      <w:r w:rsidR="004D5AD1" w:rsidRPr="004D5AD1">
        <w:rPr>
          <w:noProof/>
        </w:rPr>
        <w:t>pom</w:t>
      </w:r>
      <w:r w:rsidR="00F849C6" w:rsidRPr="004D5AD1">
        <w:rPr>
          <w:noProof/>
        </w:rPr>
        <w:t>iarem</w:t>
      </w:r>
      <w:r w:rsidR="004D5AD1" w:rsidRPr="004D5AD1">
        <w:rPr>
          <w:noProof/>
        </w:rPr>
        <w:t xml:space="preserve"> i</w:t>
      </w:r>
      <w:r w:rsidR="004D5AD1">
        <w:rPr>
          <w:noProof/>
        </w:rPr>
        <w:t> </w:t>
      </w:r>
      <w:r w:rsidR="004D5AD1" w:rsidRPr="004D5AD1">
        <w:rPr>
          <w:noProof/>
        </w:rPr>
        <w:t>rap</w:t>
      </w:r>
      <w:r w:rsidR="00F849C6" w:rsidRPr="004D5AD1">
        <w:rPr>
          <w:noProof/>
        </w:rPr>
        <w:t>ortowaniem</w:t>
      </w:r>
      <w:r w:rsidR="004D5AD1" w:rsidRPr="004D5AD1">
        <w:rPr>
          <w:noProof/>
        </w:rPr>
        <w:t xml:space="preserve"> w</w:t>
      </w:r>
      <w:r w:rsidR="004D5AD1">
        <w:rPr>
          <w:noProof/>
        </w:rPr>
        <w:t> </w:t>
      </w:r>
      <w:r w:rsidR="004D5AD1" w:rsidRPr="004D5AD1">
        <w:rPr>
          <w:noProof/>
        </w:rPr>
        <w:t>zak</w:t>
      </w:r>
      <w:r w:rsidR="00F849C6" w:rsidRPr="004D5AD1">
        <w:rPr>
          <w:noProof/>
        </w:rPr>
        <w:t>resie emisji metanu oraz ograniczeniem tych emisji</w:t>
      </w:r>
      <w:r w:rsidR="004D5AD1" w:rsidRPr="004D5AD1">
        <w:rPr>
          <w:noProof/>
        </w:rPr>
        <w:t xml:space="preserve"> w</w:t>
      </w:r>
      <w:r w:rsidR="004D5AD1">
        <w:rPr>
          <w:noProof/>
        </w:rPr>
        <w:t> </w:t>
      </w:r>
      <w:r w:rsidR="004D5AD1" w:rsidRPr="004D5AD1">
        <w:rPr>
          <w:noProof/>
        </w:rPr>
        <w:t>prz</w:t>
      </w:r>
      <w:r w:rsidR="00F849C6" w:rsidRPr="004D5AD1">
        <w:rPr>
          <w:noProof/>
        </w:rPr>
        <w:t xml:space="preserve">ypadku porównywalnych projektów. </w:t>
      </w:r>
    </w:p>
    <w:p w14:paraId="3659885E" w14:textId="056B16C1" w:rsidR="000018A3" w:rsidRPr="004D5AD1" w:rsidRDefault="00DE3FFB" w:rsidP="00DE3FFB">
      <w:pPr>
        <w:pStyle w:val="ManualConsidrant"/>
        <w:rPr>
          <w:noProof/>
        </w:rPr>
      </w:pPr>
      <w:r w:rsidRPr="00DE3FFB">
        <w:t>(65)</w:t>
      </w:r>
      <w:r w:rsidRPr="00DE3FFB">
        <w:tab/>
      </w:r>
      <w:r w:rsidR="000018A3" w:rsidRPr="004D5AD1">
        <w:rPr>
          <w:noProof/>
        </w:rPr>
        <w:t>W celu określenia elementów stopniowego odchodzenia od uwalniania do atmosfery</w:t>
      </w:r>
      <w:r w:rsidR="004D5AD1" w:rsidRPr="004D5AD1">
        <w:rPr>
          <w:noProof/>
        </w:rPr>
        <w:t xml:space="preserve"> i</w:t>
      </w:r>
      <w:r w:rsidR="004D5AD1">
        <w:rPr>
          <w:noProof/>
        </w:rPr>
        <w:t> </w:t>
      </w:r>
      <w:r w:rsidR="004D5AD1" w:rsidRPr="004D5AD1">
        <w:rPr>
          <w:noProof/>
        </w:rPr>
        <w:t>spa</w:t>
      </w:r>
      <w:r w:rsidR="000018A3" w:rsidRPr="004D5AD1">
        <w:rPr>
          <w:noProof/>
        </w:rPr>
        <w:t>lania gazu</w:t>
      </w:r>
      <w:r w:rsidR="004D5AD1" w:rsidRPr="004D5AD1">
        <w:rPr>
          <w:noProof/>
        </w:rPr>
        <w:t xml:space="preserve"> w</w:t>
      </w:r>
      <w:r w:rsidR="004D5AD1">
        <w:rPr>
          <w:noProof/>
        </w:rPr>
        <w:t> </w:t>
      </w:r>
      <w:r w:rsidR="004D5AD1" w:rsidRPr="004D5AD1">
        <w:rPr>
          <w:noProof/>
        </w:rPr>
        <w:t>poc</w:t>
      </w:r>
      <w:r w:rsidR="000018A3" w:rsidRPr="004D5AD1">
        <w:rPr>
          <w:noProof/>
        </w:rPr>
        <w:t>hodni</w:t>
      </w:r>
      <w:r w:rsidR="004D5AD1" w:rsidRPr="004D5AD1">
        <w:rPr>
          <w:noProof/>
        </w:rPr>
        <w:t xml:space="preserve"> w</w:t>
      </w:r>
      <w:r w:rsidR="004D5AD1">
        <w:rPr>
          <w:noProof/>
        </w:rPr>
        <w:t> </w:t>
      </w:r>
      <w:r w:rsidR="004D5AD1" w:rsidRPr="004D5AD1">
        <w:rPr>
          <w:noProof/>
        </w:rPr>
        <w:t>kop</w:t>
      </w:r>
      <w:r w:rsidR="000018A3" w:rsidRPr="004D5AD1">
        <w:rPr>
          <w:noProof/>
        </w:rPr>
        <w:t>alniach węgla koksowego Komisji należy powierzyć uprawnienia do przyjmowania aktów zgodnie</w:t>
      </w:r>
      <w:r w:rsidR="004D5AD1" w:rsidRPr="004D5AD1">
        <w:rPr>
          <w:noProof/>
        </w:rPr>
        <w:t xml:space="preserve"> z</w:t>
      </w:r>
      <w:r w:rsidR="004D5AD1">
        <w:rPr>
          <w:noProof/>
        </w:rPr>
        <w:t> </w:t>
      </w:r>
      <w:r w:rsidR="004D5AD1" w:rsidRPr="004D5AD1">
        <w:rPr>
          <w:noProof/>
        </w:rPr>
        <w:t>art</w:t>
      </w:r>
      <w:r w:rsidR="000018A3" w:rsidRPr="004D5AD1">
        <w:rPr>
          <w:noProof/>
        </w:rPr>
        <w:t>.</w:t>
      </w:r>
      <w:r w:rsidR="004D5AD1" w:rsidRPr="004D5AD1">
        <w:rPr>
          <w:noProof/>
        </w:rPr>
        <w:t> </w:t>
      </w:r>
      <w:r w:rsidR="000018A3" w:rsidRPr="004D5AD1">
        <w:rPr>
          <w:noProof/>
        </w:rPr>
        <w:t>290 Traktatu</w:t>
      </w:r>
      <w:r w:rsidR="004D5AD1" w:rsidRPr="004D5AD1">
        <w:rPr>
          <w:noProof/>
        </w:rPr>
        <w:t xml:space="preserve"> o</w:t>
      </w:r>
      <w:r w:rsidR="004D5AD1">
        <w:rPr>
          <w:noProof/>
        </w:rPr>
        <w:t> </w:t>
      </w:r>
      <w:r w:rsidR="004D5AD1" w:rsidRPr="004D5AD1">
        <w:rPr>
          <w:noProof/>
        </w:rPr>
        <w:t>fun</w:t>
      </w:r>
      <w:r w:rsidR="000018A3" w:rsidRPr="004D5AD1">
        <w:rPr>
          <w:noProof/>
        </w:rPr>
        <w:t>kcjonowaniu Unii Europejskiej</w:t>
      </w:r>
      <w:r w:rsidR="004D5AD1" w:rsidRPr="004D5AD1">
        <w:rPr>
          <w:noProof/>
        </w:rPr>
        <w:t xml:space="preserve"> w</w:t>
      </w:r>
      <w:r w:rsidR="004D5AD1">
        <w:rPr>
          <w:noProof/>
        </w:rPr>
        <w:t> </w:t>
      </w:r>
      <w:r w:rsidR="004D5AD1" w:rsidRPr="004D5AD1">
        <w:rPr>
          <w:noProof/>
        </w:rPr>
        <w:t>cel</w:t>
      </w:r>
      <w:r w:rsidR="000018A3" w:rsidRPr="004D5AD1">
        <w:rPr>
          <w:noProof/>
        </w:rPr>
        <w:t>u uzupełnienia niniejszego rozporządzenia poprzez wprowadzenie ograniczeń dotyczących uwalniania do atmosfery metanu</w:t>
      </w:r>
      <w:r w:rsidR="004D5AD1" w:rsidRPr="004D5AD1">
        <w:rPr>
          <w:noProof/>
        </w:rPr>
        <w:t xml:space="preserve"> z</w:t>
      </w:r>
      <w:r w:rsidR="004D5AD1">
        <w:rPr>
          <w:noProof/>
        </w:rPr>
        <w:t> </w:t>
      </w:r>
      <w:r w:rsidR="004D5AD1" w:rsidRPr="004D5AD1">
        <w:rPr>
          <w:noProof/>
        </w:rPr>
        <w:t>szy</w:t>
      </w:r>
      <w:r w:rsidR="000018A3" w:rsidRPr="004D5AD1">
        <w:rPr>
          <w:noProof/>
        </w:rPr>
        <w:t>bów wentylacyjnych kopalni węgla koksowego. Ponadto, aby</w:t>
      </w:r>
      <w:r w:rsidR="004D5AD1" w:rsidRPr="004D5AD1">
        <w:rPr>
          <w:noProof/>
        </w:rPr>
        <w:t xml:space="preserve"> w</w:t>
      </w:r>
      <w:r w:rsidR="004D5AD1">
        <w:rPr>
          <w:noProof/>
        </w:rPr>
        <w:t> </w:t>
      </w:r>
      <w:r w:rsidR="004D5AD1" w:rsidRPr="004D5AD1">
        <w:rPr>
          <w:noProof/>
        </w:rPr>
        <w:t>raz</w:t>
      </w:r>
      <w:r w:rsidR="000018A3" w:rsidRPr="004D5AD1">
        <w:rPr>
          <w:noProof/>
        </w:rPr>
        <w:t>ie potrzeby umożliwić wymaganie od importerów dalszych informacji, Komisji należy powierzyć uprawnienia do przyjmowania aktów zgodnie</w:t>
      </w:r>
      <w:r w:rsidR="004D5AD1" w:rsidRPr="004D5AD1">
        <w:rPr>
          <w:noProof/>
        </w:rPr>
        <w:t xml:space="preserve"> z</w:t>
      </w:r>
      <w:r w:rsidR="004D5AD1">
        <w:rPr>
          <w:noProof/>
        </w:rPr>
        <w:t> </w:t>
      </w:r>
      <w:r w:rsidR="004D5AD1" w:rsidRPr="004D5AD1">
        <w:rPr>
          <w:noProof/>
        </w:rPr>
        <w:t>art</w:t>
      </w:r>
      <w:r w:rsidR="000018A3" w:rsidRPr="004D5AD1">
        <w:rPr>
          <w:noProof/>
        </w:rPr>
        <w:t>.</w:t>
      </w:r>
      <w:r w:rsidR="004D5AD1" w:rsidRPr="004D5AD1">
        <w:rPr>
          <w:noProof/>
        </w:rPr>
        <w:t> </w:t>
      </w:r>
      <w:r w:rsidR="000018A3" w:rsidRPr="004D5AD1">
        <w:rPr>
          <w:noProof/>
        </w:rPr>
        <w:t>290 Traktatu</w:t>
      </w:r>
      <w:r w:rsidR="004D5AD1" w:rsidRPr="004D5AD1">
        <w:rPr>
          <w:noProof/>
        </w:rPr>
        <w:t xml:space="preserve"> o</w:t>
      </w:r>
      <w:r w:rsidR="004D5AD1">
        <w:rPr>
          <w:noProof/>
        </w:rPr>
        <w:t> </w:t>
      </w:r>
      <w:r w:rsidR="004D5AD1" w:rsidRPr="004D5AD1">
        <w:rPr>
          <w:noProof/>
        </w:rPr>
        <w:t>fun</w:t>
      </w:r>
      <w:r w:rsidR="000018A3" w:rsidRPr="004D5AD1">
        <w:rPr>
          <w:noProof/>
        </w:rPr>
        <w:t>kcjonowaniu Unii Europejskiej</w:t>
      </w:r>
      <w:r w:rsidR="004D5AD1" w:rsidRPr="004D5AD1">
        <w:rPr>
          <w:noProof/>
        </w:rPr>
        <w:t xml:space="preserve"> w</w:t>
      </w:r>
      <w:r w:rsidR="004D5AD1">
        <w:rPr>
          <w:noProof/>
        </w:rPr>
        <w:t> </w:t>
      </w:r>
      <w:r w:rsidR="004D5AD1" w:rsidRPr="004D5AD1">
        <w:rPr>
          <w:noProof/>
        </w:rPr>
        <w:t>cel</w:t>
      </w:r>
      <w:r w:rsidR="000018A3" w:rsidRPr="004D5AD1">
        <w:rPr>
          <w:noProof/>
        </w:rPr>
        <w:t>u uzupełnienia niniejszego rozporządzenia poprzez zmianę lub rozszerzenie zakresu informacji, które mają być przekazywane przez importerów. Szczególnie ważne jest, aby</w:t>
      </w:r>
      <w:r w:rsidR="004D5AD1" w:rsidRPr="004D5AD1">
        <w:rPr>
          <w:noProof/>
        </w:rPr>
        <w:t xml:space="preserve"> w</w:t>
      </w:r>
      <w:r w:rsidR="004D5AD1">
        <w:rPr>
          <w:noProof/>
        </w:rPr>
        <w:t> </w:t>
      </w:r>
      <w:r w:rsidR="004D5AD1" w:rsidRPr="004D5AD1">
        <w:rPr>
          <w:noProof/>
        </w:rPr>
        <w:t>cza</w:t>
      </w:r>
      <w:r w:rsidR="000018A3" w:rsidRPr="004D5AD1">
        <w:rPr>
          <w:noProof/>
        </w:rPr>
        <w:t>sie prac przygotowawczych Komisja prowadziła stosowne konsultacje,</w:t>
      </w:r>
      <w:r w:rsidR="004D5AD1" w:rsidRPr="004D5AD1">
        <w:rPr>
          <w:noProof/>
        </w:rPr>
        <w:t xml:space="preserve"> w</w:t>
      </w:r>
      <w:r w:rsidR="004D5AD1">
        <w:rPr>
          <w:noProof/>
        </w:rPr>
        <w:t> </w:t>
      </w:r>
      <w:r w:rsidR="004D5AD1" w:rsidRPr="004D5AD1">
        <w:rPr>
          <w:noProof/>
        </w:rPr>
        <w:t>tym</w:t>
      </w:r>
      <w:r w:rsidR="000018A3" w:rsidRPr="004D5AD1">
        <w:rPr>
          <w:noProof/>
        </w:rPr>
        <w:t xml:space="preserve"> na poziomie ekspertów, oraz aby konsultacje te były prowadzone zgodnie</w:t>
      </w:r>
      <w:r w:rsidR="004D5AD1" w:rsidRPr="004D5AD1">
        <w:rPr>
          <w:noProof/>
        </w:rPr>
        <w:t xml:space="preserve"> z</w:t>
      </w:r>
      <w:r w:rsidR="004D5AD1">
        <w:rPr>
          <w:noProof/>
        </w:rPr>
        <w:t> </w:t>
      </w:r>
      <w:r w:rsidR="004D5AD1" w:rsidRPr="004D5AD1">
        <w:rPr>
          <w:noProof/>
        </w:rPr>
        <w:t>zas</w:t>
      </w:r>
      <w:r w:rsidR="000018A3" w:rsidRPr="004D5AD1">
        <w:rPr>
          <w:noProof/>
        </w:rPr>
        <w:t>adami określonymi</w:t>
      </w:r>
      <w:r w:rsidR="004D5AD1" w:rsidRPr="004D5AD1">
        <w:rPr>
          <w:noProof/>
        </w:rPr>
        <w:t xml:space="preserve"> w</w:t>
      </w:r>
      <w:r w:rsidR="004D5AD1">
        <w:rPr>
          <w:noProof/>
        </w:rPr>
        <w:t> </w:t>
      </w:r>
      <w:r w:rsidR="004D5AD1" w:rsidRPr="004D5AD1">
        <w:rPr>
          <w:noProof/>
        </w:rPr>
        <w:t>Por</w:t>
      </w:r>
      <w:r w:rsidR="000018A3" w:rsidRPr="004D5AD1">
        <w:rPr>
          <w:noProof/>
        </w:rPr>
        <w:t>ozumieniu międzyinstytucjonalnym</w:t>
      </w:r>
      <w:r w:rsidR="004D5AD1" w:rsidRPr="004D5AD1">
        <w:rPr>
          <w:noProof/>
        </w:rPr>
        <w:t xml:space="preserve"> w</w:t>
      </w:r>
      <w:r w:rsidR="004D5AD1">
        <w:rPr>
          <w:noProof/>
        </w:rPr>
        <w:t> </w:t>
      </w:r>
      <w:r w:rsidR="004D5AD1" w:rsidRPr="004D5AD1">
        <w:rPr>
          <w:noProof/>
        </w:rPr>
        <w:t>spr</w:t>
      </w:r>
      <w:r w:rsidR="000018A3" w:rsidRPr="004D5AD1">
        <w:rPr>
          <w:noProof/>
        </w:rPr>
        <w:t>awie lepszego stanowienia prawa</w:t>
      </w:r>
      <w:r w:rsidR="004D5AD1" w:rsidRPr="004D5AD1">
        <w:rPr>
          <w:noProof/>
        </w:rPr>
        <w:t xml:space="preserve"> z</w:t>
      </w:r>
      <w:r w:rsidR="004D5AD1">
        <w:rPr>
          <w:noProof/>
        </w:rPr>
        <w:t> </w:t>
      </w:r>
      <w:r w:rsidR="004D5AD1" w:rsidRPr="004D5AD1">
        <w:rPr>
          <w:noProof/>
        </w:rPr>
        <w:t>dni</w:t>
      </w:r>
      <w:r w:rsidR="000018A3" w:rsidRPr="004D5AD1">
        <w:rPr>
          <w:noProof/>
        </w:rPr>
        <w:t>a 13 kwietnia 2016</w:t>
      </w:r>
      <w:r w:rsidR="004D5AD1" w:rsidRPr="004D5AD1">
        <w:rPr>
          <w:noProof/>
        </w:rPr>
        <w:t> </w:t>
      </w:r>
      <w:r w:rsidR="000018A3" w:rsidRPr="004D5AD1">
        <w:rPr>
          <w:noProof/>
        </w:rPr>
        <w:t>r</w:t>
      </w:r>
      <w:r w:rsidR="004D5AD1" w:rsidRPr="004D5AD1">
        <w:rPr>
          <w:noProof/>
        </w:rPr>
        <w:t>. W</w:t>
      </w:r>
      <w:r w:rsidR="004D5AD1">
        <w:rPr>
          <w:noProof/>
        </w:rPr>
        <w:t> </w:t>
      </w:r>
      <w:r w:rsidR="004D5AD1" w:rsidRPr="004D5AD1">
        <w:rPr>
          <w:noProof/>
        </w:rPr>
        <w:t>szc</w:t>
      </w:r>
      <w:r w:rsidR="000018A3" w:rsidRPr="004D5AD1">
        <w:rPr>
          <w:noProof/>
        </w:rPr>
        <w:t>zególności, aby zapewnić udział na równych zasadach Parlamentu Europejskiego</w:t>
      </w:r>
      <w:r w:rsidR="004D5AD1" w:rsidRPr="004D5AD1">
        <w:rPr>
          <w:noProof/>
        </w:rPr>
        <w:t xml:space="preserve"> i</w:t>
      </w:r>
      <w:r w:rsidR="004D5AD1">
        <w:rPr>
          <w:noProof/>
        </w:rPr>
        <w:t> </w:t>
      </w:r>
      <w:r w:rsidR="004D5AD1" w:rsidRPr="004D5AD1">
        <w:rPr>
          <w:noProof/>
        </w:rPr>
        <w:t>Rad</w:t>
      </w:r>
      <w:r w:rsidR="000018A3" w:rsidRPr="004D5AD1">
        <w:rPr>
          <w:noProof/>
        </w:rPr>
        <w:t>y</w:t>
      </w:r>
      <w:r w:rsidR="004D5AD1" w:rsidRPr="004D5AD1">
        <w:rPr>
          <w:noProof/>
        </w:rPr>
        <w:t xml:space="preserve"> w</w:t>
      </w:r>
      <w:r w:rsidR="004D5AD1">
        <w:rPr>
          <w:noProof/>
        </w:rPr>
        <w:t> </w:t>
      </w:r>
      <w:r w:rsidR="004D5AD1" w:rsidRPr="004D5AD1">
        <w:rPr>
          <w:noProof/>
        </w:rPr>
        <w:t>prz</w:t>
      </w:r>
      <w:r w:rsidR="000018A3" w:rsidRPr="004D5AD1">
        <w:rPr>
          <w:noProof/>
        </w:rPr>
        <w:t>ygotowaniu aktów delegowanych, instytucje te otrzymują wszelkie dokumenty</w:t>
      </w:r>
      <w:r w:rsidR="004D5AD1" w:rsidRPr="004D5AD1">
        <w:rPr>
          <w:noProof/>
        </w:rPr>
        <w:t xml:space="preserve"> w</w:t>
      </w:r>
      <w:r w:rsidR="004D5AD1">
        <w:rPr>
          <w:noProof/>
        </w:rPr>
        <w:t> </w:t>
      </w:r>
      <w:r w:rsidR="004D5AD1" w:rsidRPr="004D5AD1">
        <w:rPr>
          <w:noProof/>
        </w:rPr>
        <w:t>tym</w:t>
      </w:r>
      <w:r w:rsidR="000018A3" w:rsidRPr="004D5AD1">
        <w:rPr>
          <w:noProof/>
        </w:rPr>
        <w:t xml:space="preserve"> samym czasie co eksperci państw członkowskich,</w:t>
      </w:r>
      <w:r w:rsidR="004D5AD1" w:rsidRPr="004D5AD1">
        <w:rPr>
          <w:noProof/>
        </w:rPr>
        <w:t xml:space="preserve"> a</w:t>
      </w:r>
      <w:r w:rsidR="004D5AD1">
        <w:rPr>
          <w:noProof/>
        </w:rPr>
        <w:t> </w:t>
      </w:r>
      <w:r w:rsidR="004D5AD1" w:rsidRPr="004D5AD1">
        <w:rPr>
          <w:noProof/>
        </w:rPr>
        <w:t>eks</w:t>
      </w:r>
      <w:r w:rsidR="000018A3" w:rsidRPr="004D5AD1">
        <w:rPr>
          <w:noProof/>
        </w:rPr>
        <w:t>perci tych instytucji mogą systematycznie brać udział</w:t>
      </w:r>
      <w:r w:rsidR="004D5AD1" w:rsidRPr="004D5AD1">
        <w:rPr>
          <w:noProof/>
        </w:rPr>
        <w:t xml:space="preserve"> w</w:t>
      </w:r>
      <w:r w:rsidR="004D5AD1">
        <w:rPr>
          <w:noProof/>
        </w:rPr>
        <w:t> </w:t>
      </w:r>
      <w:r w:rsidR="004D5AD1" w:rsidRPr="004D5AD1">
        <w:rPr>
          <w:noProof/>
        </w:rPr>
        <w:t>pos</w:t>
      </w:r>
      <w:r w:rsidR="000018A3" w:rsidRPr="004D5AD1">
        <w:rPr>
          <w:noProof/>
        </w:rPr>
        <w:t>iedzeniach grup eksperckich Komisji zajmujących się przygotowaniem aktów delegowanych.</w:t>
      </w:r>
    </w:p>
    <w:p w14:paraId="513D157D" w14:textId="6085BB30" w:rsidR="00CD116D" w:rsidRPr="004D5AD1" w:rsidRDefault="00DE3FFB" w:rsidP="00DE3FFB">
      <w:pPr>
        <w:pStyle w:val="ManualConsidrant"/>
        <w:rPr>
          <w:noProof/>
        </w:rPr>
      </w:pPr>
      <w:r w:rsidRPr="00DE3FFB">
        <w:t>(66)</w:t>
      </w:r>
      <w:r w:rsidRPr="00DE3FFB">
        <w:tab/>
      </w:r>
      <w:r w:rsidR="00CD116D" w:rsidRPr="004D5AD1">
        <w:rPr>
          <w:noProof/>
        </w:rPr>
        <w:t>W celu zapewnienia jednolitych warunków wdrożenia należy powierzyć Komisji uprawnienia wykonawcze do przyjmowania szczegółowych zasad dotyczących wspólnych formatów sprawozdań, zgodnie</w:t>
      </w:r>
      <w:r w:rsidR="004D5AD1" w:rsidRPr="004D5AD1">
        <w:rPr>
          <w:noProof/>
        </w:rPr>
        <w:t xml:space="preserve"> z</w:t>
      </w:r>
      <w:r w:rsidR="004D5AD1">
        <w:rPr>
          <w:noProof/>
        </w:rPr>
        <w:t> </w:t>
      </w:r>
      <w:r w:rsidR="004D5AD1" w:rsidRPr="004D5AD1">
        <w:rPr>
          <w:noProof/>
        </w:rPr>
        <w:t>art</w:t>
      </w:r>
      <w:r w:rsidR="00CD116D" w:rsidRPr="004D5AD1">
        <w:rPr>
          <w:noProof/>
        </w:rPr>
        <w:t>.</w:t>
      </w:r>
      <w:r w:rsidR="004D5AD1" w:rsidRPr="004D5AD1">
        <w:rPr>
          <w:noProof/>
        </w:rPr>
        <w:t> </w:t>
      </w:r>
      <w:r w:rsidR="00CD116D" w:rsidRPr="004D5AD1">
        <w:rPr>
          <w:noProof/>
        </w:rPr>
        <w:t>291 Traktatu</w:t>
      </w:r>
      <w:r w:rsidR="004D5AD1" w:rsidRPr="004D5AD1">
        <w:rPr>
          <w:noProof/>
        </w:rPr>
        <w:t xml:space="preserve"> o</w:t>
      </w:r>
      <w:r w:rsidR="004D5AD1">
        <w:rPr>
          <w:noProof/>
        </w:rPr>
        <w:t> </w:t>
      </w:r>
      <w:r w:rsidR="004D5AD1" w:rsidRPr="004D5AD1">
        <w:rPr>
          <w:noProof/>
        </w:rPr>
        <w:t>fun</w:t>
      </w:r>
      <w:r w:rsidR="00CD116D" w:rsidRPr="004D5AD1">
        <w:rPr>
          <w:noProof/>
        </w:rPr>
        <w:t>kcjonowaniu Unii Europejskiej. Uprawnienia te powinny być wykonywane zgodnie</w:t>
      </w:r>
      <w:r w:rsidR="004D5AD1" w:rsidRPr="004D5AD1">
        <w:rPr>
          <w:noProof/>
        </w:rPr>
        <w:t xml:space="preserve"> z</w:t>
      </w:r>
      <w:r w:rsidR="004D5AD1">
        <w:rPr>
          <w:noProof/>
        </w:rPr>
        <w:t> </w:t>
      </w:r>
      <w:r w:rsidR="004D5AD1" w:rsidRPr="004D5AD1">
        <w:rPr>
          <w:noProof/>
        </w:rPr>
        <w:t>roz</w:t>
      </w:r>
      <w:r w:rsidR="00CD116D" w:rsidRPr="004D5AD1">
        <w:rPr>
          <w:noProof/>
        </w:rPr>
        <w:t>porządzeniem Parlamentu Europejskiego</w:t>
      </w:r>
      <w:r w:rsidR="004D5AD1" w:rsidRPr="004D5AD1">
        <w:rPr>
          <w:noProof/>
        </w:rPr>
        <w:t xml:space="preserve"> i</w:t>
      </w:r>
      <w:r w:rsidR="004D5AD1">
        <w:rPr>
          <w:noProof/>
        </w:rPr>
        <w:t> </w:t>
      </w:r>
      <w:r w:rsidR="004D5AD1" w:rsidRPr="004D5AD1">
        <w:rPr>
          <w:noProof/>
        </w:rPr>
        <w:t>Rad</w:t>
      </w:r>
      <w:r w:rsidR="00CD116D" w:rsidRPr="004D5AD1">
        <w:rPr>
          <w:noProof/>
        </w:rPr>
        <w:t>y (UE) nr</w:t>
      </w:r>
      <w:r w:rsidR="004D5AD1" w:rsidRPr="004D5AD1">
        <w:rPr>
          <w:noProof/>
        </w:rPr>
        <w:t> </w:t>
      </w:r>
      <w:r w:rsidR="00CD116D" w:rsidRPr="004D5AD1">
        <w:rPr>
          <w:noProof/>
        </w:rPr>
        <w:t>182/2011</w:t>
      </w:r>
      <w:r w:rsidR="00FE7131" w:rsidRPr="004D5AD1">
        <w:rPr>
          <w:rStyle w:val="FootnoteReference"/>
          <w:noProof/>
        </w:rPr>
        <w:footnoteReference w:id="40"/>
      </w:r>
      <w:r w:rsidR="00CD116D" w:rsidRPr="004D5AD1">
        <w:rPr>
          <w:noProof/>
        </w:rPr>
        <w:t>.</w:t>
      </w:r>
    </w:p>
    <w:p w14:paraId="2F6E4AA2" w14:textId="6C8FB7A9" w:rsidR="00CD116D" w:rsidRPr="004D5AD1" w:rsidRDefault="00DE3FFB" w:rsidP="00DE3FFB">
      <w:pPr>
        <w:pStyle w:val="ManualConsidrant"/>
        <w:rPr>
          <w:noProof/>
        </w:rPr>
      </w:pPr>
      <w:r w:rsidRPr="00DE3FFB">
        <w:t>(67)</w:t>
      </w:r>
      <w:r w:rsidRPr="00DE3FFB">
        <w:tab/>
      </w:r>
      <w:r w:rsidR="00CD116D" w:rsidRPr="004D5AD1">
        <w:rPr>
          <w:noProof/>
        </w:rPr>
        <w:t>Operatorom</w:t>
      </w:r>
      <w:r w:rsidR="004D5AD1" w:rsidRPr="004D5AD1">
        <w:rPr>
          <w:noProof/>
        </w:rPr>
        <w:t xml:space="preserve"> i</w:t>
      </w:r>
      <w:r w:rsidR="004D5AD1">
        <w:rPr>
          <w:noProof/>
        </w:rPr>
        <w:t> </w:t>
      </w:r>
      <w:r w:rsidR="004D5AD1" w:rsidRPr="004D5AD1">
        <w:rPr>
          <w:noProof/>
        </w:rPr>
        <w:t>wła</w:t>
      </w:r>
      <w:r w:rsidR="00CD116D" w:rsidRPr="004D5AD1">
        <w:rPr>
          <w:noProof/>
        </w:rPr>
        <w:t>ściwym organom należy przyznać rozsądny okres na podjęcie niezbędnych działań przygotowawczych</w:t>
      </w:r>
      <w:r w:rsidR="004D5AD1" w:rsidRPr="004D5AD1">
        <w:rPr>
          <w:noProof/>
        </w:rPr>
        <w:t xml:space="preserve"> w</w:t>
      </w:r>
      <w:r w:rsidR="004D5AD1">
        <w:rPr>
          <w:noProof/>
        </w:rPr>
        <w:t> </w:t>
      </w:r>
      <w:r w:rsidR="004D5AD1" w:rsidRPr="004D5AD1">
        <w:rPr>
          <w:noProof/>
        </w:rPr>
        <w:t>cel</w:t>
      </w:r>
      <w:r w:rsidR="00CD116D" w:rsidRPr="004D5AD1">
        <w:rPr>
          <w:noProof/>
        </w:rPr>
        <w:t xml:space="preserve">u spełnienia wymogów niniejszego rozporządzenia. </w:t>
      </w:r>
    </w:p>
    <w:p w14:paraId="3531E3BF" w14:textId="409D45E8" w:rsidR="00CD116D" w:rsidRPr="004D5AD1" w:rsidRDefault="00DE3FFB" w:rsidP="00DE3FFB">
      <w:pPr>
        <w:pStyle w:val="ManualConsidrant"/>
        <w:rPr>
          <w:noProof/>
        </w:rPr>
      </w:pPr>
      <w:r w:rsidRPr="00DE3FFB">
        <w:t>(68)</w:t>
      </w:r>
      <w:r w:rsidRPr="00DE3FFB">
        <w:tab/>
      </w:r>
      <w:r w:rsidR="00CD116D" w:rsidRPr="004D5AD1">
        <w:rPr>
          <w:noProof/>
        </w:rPr>
        <w:t xml:space="preserve">Ponieważ cel niniejszego rozporządzenia, czyli </w:t>
      </w:r>
      <w:r w:rsidR="00CD116D" w:rsidRPr="004D5AD1">
        <w:rPr>
          <w:rStyle w:val="normaltextrun"/>
          <w:noProof/>
        </w:rPr>
        <w:t>dokładne pomiary, raportowanie</w:t>
      </w:r>
      <w:r w:rsidR="004D5AD1" w:rsidRPr="004D5AD1">
        <w:rPr>
          <w:rStyle w:val="normaltextrun"/>
          <w:noProof/>
        </w:rPr>
        <w:t xml:space="preserve"> i</w:t>
      </w:r>
      <w:r w:rsidR="004D5AD1">
        <w:rPr>
          <w:rStyle w:val="normaltextrun"/>
          <w:noProof/>
        </w:rPr>
        <w:t> </w:t>
      </w:r>
      <w:r w:rsidR="004D5AD1" w:rsidRPr="004D5AD1">
        <w:rPr>
          <w:rStyle w:val="normaltextrun"/>
          <w:noProof/>
        </w:rPr>
        <w:t>wer</w:t>
      </w:r>
      <w:r w:rsidR="00CD116D" w:rsidRPr="004D5AD1">
        <w:rPr>
          <w:rStyle w:val="normaltextrun"/>
          <w:noProof/>
        </w:rPr>
        <w:t xml:space="preserve">yfikacja oraz </w:t>
      </w:r>
      <w:r w:rsidR="00CD116D" w:rsidRPr="004D5AD1">
        <w:rPr>
          <w:noProof/>
        </w:rPr>
        <w:t>redukcja emisji metanu</w:t>
      </w:r>
      <w:r w:rsidR="004D5AD1" w:rsidRPr="004D5AD1">
        <w:rPr>
          <w:noProof/>
        </w:rPr>
        <w:t xml:space="preserve"> w</w:t>
      </w:r>
      <w:r w:rsidR="004D5AD1">
        <w:rPr>
          <w:noProof/>
        </w:rPr>
        <w:t> </w:t>
      </w:r>
      <w:r w:rsidR="004D5AD1" w:rsidRPr="004D5AD1">
        <w:rPr>
          <w:noProof/>
        </w:rPr>
        <w:t>sek</w:t>
      </w:r>
      <w:r w:rsidR="00CD116D" w:rsidRPr="004D5AD1">
        <w:rPr>
          <w:noProof/>
        </w:rPr>
        <w:t>torze energetycznym, nie może zostać osiągnięty przez państwa członkowskie indywidualnie, natomiast ze względu na jego rozmiary</w:t>
      </w:r>
      <w:r w:rsidR="004D5AD1" w:rsidRPr="004D5AD1">
        <w:rPr>
          <w:noProof/>
        </w:rPr>
        <w:t xml:space="preserve"> i</w:t>
      </w:r>
      <w:r w:rsidR="004D5AD1">
        <w:rPr>
          <w:noProof/>
        </w:rPr>
        <w:t> </w:t>
      </w:r>
      <w:r w:rsidR="004D5AD1" w:rsidRPr="004D5AD1">
        <w:rPr>
          <w:noProof/>
        </w:rPr>
        <w:t>sku</w:t>
      </w:r>
      <w:r w:rsidR="00CD116D" w:rsidRPr="004D5AD1">
        <w:rPr>
          <w:noProof/>
        </w:rPr>
        <w:t>tki możliwe jest lepsze jego osiągnięcie na poziomie Unii, Unia może podjąć działania zgodnie</w:t>
      </w:r>
      <w:r w:rsidR="004D5AD1" w:rsidRPr="004D5AD1">
        <w:rPr>
          <w:noProof/>
        </w:rPr>
        <w:t xml:space="preserve"> z</w:t>
      </w:r>
      <w:r w:rsidR="004D5AD1">
        <w:rPr>
          <w:noProof/>
        </w:rPr>
        <w:t> </w:t>
      </w:r>
      <w:r w:rsidR="004D5AD1" w:rsidRPr="004D5AD1">
        <w:rPr>
          <w:noProof/>
        </w:rPr>
        <w:t>zas</w:t>
      </w:r>
      <w:r w:rsidR="00CD116D" w:rsidRPr="004D5AD1">
        <w:rPr>
          <w:noProof/>
        </w:rPr>
        <w:t>adą pomocniczości określoną</w:t>
      </w:r>
      <w:r w:rsidR="004D5AD1" w:rsidRPr="004D5AD1">
        <w:rPr>
          <w:noProof/>
        </w:rPr>
        <w:t xml:space="preserve"> w</w:t>
      </w:r>
      <w:r w:rsidR="004D5AD1">
        <w:rPr>
          <w:noProof/>
        </w:rPr>
        <w:t> </w:t>
      </w:r>
      <w:r w:rsidR="004D5AD1" w:rsidRPr="004D5AD1">
        <w:rPr>
          <w:noProof/>
        </w:rPr>
        <w:t>art</w:t>
      </w:r>
      <w:r w:rsidR="00CD116D" w:rsidRPr="004D5AD1">
        <w:rPr>
          <w:noProof/>
        </w:rPr>
        <w:t>.</w:t>
      </w:r>
      <w:r w:rsidR="004D5AD1" w:rsidRPr="004D5AD1">
        <w:rPr>
          <w:noProof/>
        </w:rPr>
        <w:t> </w:t>
      </w:r>
      <w:r w:rsidR="00CD116D" w:rsidRPr="004D5AD1">
        <w:rPr>
          <w:noProof/>
        </w:rPr>
        <w:t>5 Traktatu</w:t>
      </w:r>
      <w:r w:rsidR="004D5AD1" w:rsidRPr="004D5AD1">
        <w:rPr>
          <w:noProof/>
        </w:rPr>
        <w:t xml:space="preserve"> o</w:t>
      </w:r>
      <w:r w:rsidR="004D5AD1">
        <w:rPr>
          <w:noProof/>
        </w:rPr>
        <w:t> </w:t>
      </w:r>
      <w:r w:rsidR="004D5AD1" w:rsidRPr="004D5AD1">
        <w:rPr>
          <w:noProof/>
        </w:rPr>
        <w:t>Uni</w:t>
      </w:r>
      <w:r w:rsidR="00CD116D" w:rsidRPr="004D5AD1">
        <w:rPr>
          <w:noProof/>
        </w:rPr>
        <w:t>i Europejskiej. Zgodnie</w:t>
      </w:r>
      <w:r w:rsidR="004D5AD1" w:rsidRPr="004D5AD1">
        <w:rPr>
          <w:noProof/>
        </w:rPr>
        <w:t xml:space="preserve"> z</w:t>
      </w:r>
      <w:r w:rsidR="004D5AD1">
        <w:rPr>
          <w:noProof/>
        </w:rPr>
        <w:t> </w:t>
      </w:r>
      <w:r w:rsidR="004D5AD1" w:rsidRPr="004D5AD1">
        <w:rPr>
          <w:noProof/>
        </w:rPr>
        <w:t>zas</w:t>
      </w:r>
      <w:r w:rsidR="00CD116D" w:rsidRPr="004D5AD1">
        <w:rPr>
          <w:noProof/>
        </w:rPr>
        <w:t>adą proporcjonalności, określoną</w:t>
      </w:r>
      <w:r w:rsidR="004D5AD1" w:rsidRPr="004D5AD1">
        <w:rPr>
          <w:noProof/>
        </w:rPr>
        <w:t xml:space="preserve"> w</w:t>
      </w:r>
      <w:r w:rsidR="004D5AD1">
        <w:rPr>
          <w:noProof/>
        </w:rPr>
        <w:t> </w:t>
      </w:r>
      <w:r w:rsidR="004D5AD1" w:rsidRPr="004D5AD1">
        <w:rPr>
          <w:noProof/>
        </w:rPr>
        <w:t>tym</w:t>
      </w:r>
      <w:r w:rsidR="00CD116D" w:rsidRPr="004D5AD1">
        <w:rPr>
          <w:noProof/>
        </w:rPr>
        <w:t xml:space="preserve"> artykule, niniejsze rozporządzenie nie wykracza poza to, co jest konieczne do osiągnięcia tego celu, </w:t>
      </w:r>
    </w:p>
    <w:p w14:paraId="55FAE762" w14:textId="77777777" w:rsidR="00FD0FB2" w:rsidRPr="004D5AD1" w:rsidRDefault="00FD0FB2" w:rsidP="00E212DB">
      <w:pPr>
        <w:pStyle w:val="Formuledadoption"/>
        <w:rPr>
          <w:noProof/>
        </w:rPr>
      </w:pPr>
      <w:r w:rsidRPr="004D5AD1">
        <w:rPr>
          <w:noProof/>
        </w:rPr>
        <w:t>PRZYJMUJĄ NINIEJSZE ROZPORZĄDZENIE:</w:t>
      </w:r>
    </w:p>
    <w:p w14:paraId="158B8201" w14:textId="77777777" w:rsidR="0019291A" w:rsidRPr="004D5AD1" w:rsidRDefault="0019291A" w:rsidP="0019291A">
      <w:pPr>
        <w:pStyle w:val="Titrearticle"/>
        <w:rPr>
          <w:noProof/>
        </w:rPr>
      </w:pPr>
    </w:p>
    <w:p w14:paraId="24072D51" w14:textId="77777777" w:rsidR="0019291A" w:rsidRPr="004D5AD1" w:rsidRDefault="0019291A" w:rsidP="0019291A">
      <w:pPr>
        <w:pStyle w:val="ChapterTitle"/>
        <w:rPr>
          <w:noProof/>
        </w:rPr>
      </w:pPr>
      <w:r w:rsidRPr="004D5AD1">
        <w:rPr>
          <w:noProof/>
        </w:rPr>
        <w:t>Rozdział 1</w:t>
      </w:r>
    </w:p>
    <w:p w14:paraId="426244CF" w14:textId="77777777" w:rsidR="0019291A" w:rsidRPr="004D5AD1" w:rsidRDefault="0019291A" w:rsidP="0019291A">
      <w:pPr>
        <w:pStyle w:val="ChapterTitle"/>
        <w:rPr>
          <w:noProof/>
        </w:rPr>
      </w:pPr>
      <w:r w:rsidRPr="004D5AD1">
        <w:rPr>
          <w:noProof/>
        </w:rPr>
        <w:t>Przepisy ogólne</w:t>
      </w:r>
    </w:p>
    <w:p w14:paraId="4EF67E82" w14:textId="77777777" w:rsidR="00FD0FB2" w:rsidRPr="004D5AD1" w:rsidRDefault="00FD0FB2" w:rsidP="00E212DB">
      <w:pPr>
        <w:pStyle w:val="Titrearticle"/>
        <w:rPr>
          <w:noProof/>
        </w:rPr>
      </w:pPr>
      <w:r w:rsidRPr="004D5AD1">
        <w:rPr>
          <w:noProof/>
        </w:rPr>
        <w:t>Artykuł 1</w:t>
      </w:r>
    </w:p>
    <w:p w14:paraId="61601BBD" w14:textId="67442A19" w:rsidR="00FD0FB2" w:rsidRPr="004D5AD1" w:rsidRDefault="005919F7" w:rsidP="0019291A">
      <w:pPr>
        <w:pStyle w:val="NormalCentered"/>
        <w:rPr>
          <w:b/>
          <w:noProof/>
        </w:rPr>
      </w:pPr>
      <w:r w:rsidRPr="004D5AD1">
        <w:rPr>
          <w:b/>
          <w:noProof/>
        </w:rPr>
        <w:t>Przedmiot</w:t>
      </w:r>
      <w:r w:rsidR="004D5AD1" w:rsidRPr="004D5AD1">
        <w:rPr>
          <w:b/>
          <w:noProof/>
        </w:rPr>
        <w:t xml:space="preserve"> i</w:t>
      </w:r>
      <w:r w:rsidR="004D5AD1">
        <w:rPr>
          <w:b/>
          <w:noProof/>
        </w:rPr>
        <w:t> </w:t>
      </w:r>
      <w:r w:rsidR="004D5AD1" w:rsidRPr="004D5AD1">
        <w:rPr>
          <w:b/>
          <w:noProof/>
        </w:rPr>
        <w:t>zak</w:t>
      </w:r>
      <w:r w:rsidRPr="004D5AD1">
        <w:rPr>
          <w:b/>
          <w:noProof/>
        </w:rPr>
        <w:t>res stosowania</w:t>
      </w:r>
    </w:p>
    <w:p w14:paraId="3F150BAF" w14:textId="085B7BB8" w:rsidR="00554174" w:rsidRPr="004D5AD1" w:rsidRDefault="00554174" w:rsidP="0019291A">
      <w:pPr>
        <w:rPr>
          <w:rStyle w:val="normaltextrun"/>
          <w:noProof/>
        </w:rPr>
      </w:pPr>
      <w:r w:rsidRPr="004D5AD1">
        <w:rPr>
          <w:rStyle w:val="normaltextrun"/>
          <w:noProof/>
        </w:rPr>
        <w:t>1.</w:t>
      </w:r>
      <w:r w:rsidRPr="004D5AD1">
        <w:rPr>
          <w:rStyle w:val="normaltextrun"/>
          <w:noProof/>
        </w:rPr>
        <w:tab/>
        <w:t>W niniejszym rozporządzeniu ustanawia się przepisy dotyczące dokładnych pomiarów, raportowania</w:t>
      </w:r>
      <w:r w:rsidR="004D5AD1" w:rsidRPr="004D5AD1">
        <w:rPr>
          <w:rStyle w:val="normaltextrun"/>
          <w:noProof/>
        </w:rPr>
        <w:t xml:space="preserve"> i</w:t>
      </w:r>
      <w:r w:rsidR="004D5AD1">
        <w:rPr>
          <w:rStyle w:val="normaltextrun"/>
          <w:noProof/>
        </w:rPr>
        <w:t> </w:t>
      </w:r>
      <w:r w:rsidR="004D5AD1" w:rsidRPr="004D5AD1">
        <w:rPr>
          <w:rStyle w:val="normaltextrun"/>
          <w:noProof/>
        </w:rPr>
        <w:t>wer</w:t>
      </w:r>
      <w:r w:rsidRPr="004D5AD1">
        <w:rPr>
          <w:rStyle w:val="normaltextrun"/>
          <w:noProof/>
        </w:rPr>
        <w:t>yfikacji emisji metanu</w:t>
      </w:r>
      <w:r w:rsidR="004D5AD1" w:rsidRPr="004D5AD1">
        <w:rPr>
          <w:rStyle w:val="normaltextrun"/>
          <w:noProof/>
        </w:rPr>
        <w:t xml:space="preserve"> w</w:t>
      </w:r>
      <w:r w:rsidR="004D5AD1">
        <w:rPr>
          <w:rStyle w:val="normaltextrun"/>
          <w:noProof/>
        </w:rPr>
        <w:t> </w:t>
      </w:r>
      <w:r w:rsidR="004D5AD1" w:rsidRPr="004D5AD1">
        <w:rPr>
          <w:rStyle w:val="normaltextrun"/>
          <w:noProof/>
        </w:rPr>
        <w:t>sek</w:t>
      </w:r>
      <w:r w:rsidRPr="004D5AD1">
        <w:rPr>
          <w:rStyle w:val="normaltextrun"/>
          <w:noProof/>
        </w:rPr>
        <w:t>torze energetycznym</w:t>
      </w:r>
      <w:r w:rsidR="004D5AD1" w:rsidRPr="004D5AD1">
        <w:rPr>
          <w:rStyle w:val="normaltextrun"/>
          <w:noProof/>
        </w:rPr>
        <w:t xml:space="preserve"> w</w:t>
      </w:r>
      <w:r w:rsidR="004D5AD1">
        <w:rPr>
          <w:rStyle w:val="normaltextrun"/>
          <w:noProof/>
        </w:rPr>
        <w:t> </w:t>
      </w:r>
      <w:r w:rsidR="004D5AD1" w:rsidRPr="004D5AD1">
        <w:rPr>
          <w:rStyle w:val="normaltextrun"/>
          <w:noProof/>
        </w:rPr>
        <w:t>Uni</w:t>
      </w:r>
      <w:r w:rsidRPr="004D5AD1">
        <w:rPr>
          <w:rStyle w:val="normaltextrun"/>
          <w:noProof/>
        </w:rPr>
        <w:t>i, jak również przepisy dotyczące ograniczania tych emisji,</w:t>
      </w:r>
      <w:r w:rsidR="004D5AD1" w:rsidRPr="004D5AD1">
        <w:rPr>
          <w:rStyle w:val="normaltextrun"/>
          <w:noProof/>
        </w:rPr>
        <w:t xml:space="preserve"> w</w:t>
      </w:r>
      <w:r w:rsidR="004D5AD1">
        <w:rPr>
          <w:rStyle w:val="normaltextrun"/>
          <w:noProof/>
        </w:rPr>
        <w:t> </w:t>
      </w:r>
      <w:r w:rsidR="004D5AD1" w:rsidRPr="004D5AD1">
        <w:rPr>
          <w:rStyle w:val="normaltextrun"/>
          <w:noProof/>
        </w:rPr>
        <w:t>tym w</w:t>
      </w:r>
      <w:r w:rsidR="004D5AD1">
        <w:rPr>
          <w:rStyle w:val="normaltextrun"/>
          <w:noProof/>
        </w:rPr>
        <w:t> </w:t>
      </w:r>
      <w:r w:rsidR="004D5AD1" w:rsidRPr="004D5AD1">
        <w:rPr>
          <w:rStyle w:val="normaltextrun"/>
          <w:noProof/>
        </w:rPr>
        <w:t>dro</w:t>
      </w:r>
      <w:r w:rsidRPr="004D5AD1">
        <w:rPr>
          <w:rStyle w:val="normaltextrun"/>
          <w:noProof/>
        </w:rPr>
        <w:t>dze prowadzenia badań mających na celu wykrywanie nieszczelności</w:t>
      </w:r>
      <w:r w:rsidR="004D5AD1" w:rsidRPr="004D5AD1">
        <w:rPr>
          <w:rStyle w:val="normaltextrun"/>
          <w:noProof/>
        </w:rPr>
        <w:t xml:space="preserve"> i</w:t>
      </w:r>
      <w:r w:rsidR="004D5AD1">
        <w:rPr>
          <w:rStyle w:val="normaltextrun"/>
          <w:noProof/>
        </w:rPr>
        <w:t> </w:t>
      </w:r>
      <w:r w:rsidR="004D5AD1" w:rsidRPr="004D5AD1">
        <w:rPr>
          <w:rStyle w:val="normaltextrun"/>
          <w:noProof/>
        </w:rPr>
        <w:t>nap</w:t>
      </w:r>
      <w:r w:rsidRPr="004D5AD1">
        <w:rPr>
          <w:rStyle w:val="normaltextrun"/>
          <w:noProof/>
        </w:rPr>
        <w:t>rawę, oraz ograniczenia dotyczące uwalniania do atmosfery</w:t>
      </w:r>
      <w:r w:rsidR="004D5AD1" w:rsidRPr="004D5AD1">
        <w:rPr>
          <w:rStyle w:val="normaltextrun"/>
          <w:noProof/>
        </w:rPr>
        <w:t xml:space="preserve"> i</w:t>
      </w:r>
      <w:r w:rsidR="004D5AD1">
        <w:rPr>
          <w:rStyle w:val="normaltextrun"/>
          <w:noProof/>
        </w:rPr>
        <w:t> </w:t>
      </w:r>
      <w:r w:rsidR="004D5AD1" w:rsidRPr="004D5AD1">
        <w:rPr>
          <w:rStyle w:val="normaltextrun"/>
          <w:noProof/>
        </w:rPr>
        <w:t>spa</w:t>
      </w:r>
      <w:r w:rsidRPr="004D5AD1">
        <w:rPr>
          <w:rStyle w:val="normaltextrun"/>
          <w:noProof/>
        </w:rPr>
        <w:t>lania gazu</w:t>
      </w:r>
      <w:r w:rsidR="004D5AD1" w:rsidRPr="004D5AD1">
        <w:rPr>
          <w:rStyle w:val="normaltextrun"/>
          <w:noProof/>
        </w:rPr>
        <w:t xml:space="preserve"> w</w:t>
      </w:r>
      <w:r w:rsidR="004D5AD1">
        <w:rPr>
          <w:rStyle w:val="normaltextrun"/>
          <w:noProof/>
        </w:rPr>
        <w:t> </w:t>
      </w:r>
      <w:r w:rsidR="004D5AD1" w:rsidRPr="004D5AD1">
        <w:rPr>
          <w:rStyle w:val="normaltextrun"/>
          <w:noProof/>
        </w:rPr>
        <w:t>poc</w:t>
      </w:r>
      <w:r w:rsidRPr="004D5AD1">
        <w:rPr>
          <w:rStyle w:val="normaltextrun"/>
          <w:noProof/>
        </w:rPr>
        <w:t>hodni</w:t>
      </w:r>
      <w:r w:rsidR="004D5AD1" w:rsidRPr="004D5AD1">
        <w:rPr>
          <w:rStyle w:val="normaltextrun"/>
          <w:noProof/>
        </w:rPr>
        <w:t>. W</w:t>
      </w:r>
      <w:r w:rsidR="004D5AD1">
        <w:rPr>
          <w:rStyle w:val="normaltextrun"/>
          <w:noProof/>
        </w:rPr>
        <w:t> </w:t>
      </w:r>
      <w:r w:rsidR="004D5AD1" w:rsidRPr="004D5AD1">
        <w:rPr>
          <w:rStyle w:val="normaltextrun"/>
          <w:noProof/>
        </w:rPr>
        <w:t>nin</w:t>
      </w:r>
      <w:r w:rsidRPr="004D5AD1">
        <w:rPr>
          <w:rStyle w:val="normaltextrun"/>
          <w:noProof/>
        </w:rPr>
        <w:t>iejszym rozporządzeniu ustanawia się ponadto przepisy dotyczące narzędzi zapewniających przejrzystość emisji metanu związanych</w:t>
      </w:r>
      <w:r w:rsidR="004D5AD1" w:rsidRPr="004D5AD1">
        <w:rPr>
          <w:rStyle w:val="normaltextrun"/>
          <w:noProof/>
        </w:rPr>
        <w:t xml:space="preserve"> z</w:t>
      </w:r>
      <w:r w:rsidR="004D5AD1">
        <w:rPr>
          <w:rStyle w:val="normaltextrun"/>
          <w:noProof/>
        </w:rPr>
        <w:t> </w:t>
      </w:r>
      <w:r w:rsidR="004D5AD1" w:rsidRPr="004D5AD1">
        <w:rPr>
          <w:rStyle w:val="normaltextrun"/>
          <w:noProof/>
        </w:rPr>
        <w:t>imp</w:t>
      </w:r>
      <w:r w:rsidRPr="004D5AD1">
        <w:rPr>
          <w:rStyle w:val="normaltextrun"/>
          <w:noProof/>
        </w:rPr>
        <w:t>ortowaną do Unii energią pochodzącą</w:t>
      </w:r>
      <w:r w:rsidR="004D5AD1" w:rsidRPr="004D5AD1">
        <w:rPr>
          <w:rStyle w:val="normaltextrun"/>
          <w:noProof/>
        </w:rPr>
        <w:t xml:space="preserve"> z</w:t>
      </w:r>
      <w:r w:rsidR="004D5AD1">
        <w:rPr>
          <w:rStyle w:val="normaltextrun"/>
          <w:noProof/>
        </w:rPr>
        <w:t> </w:t>
      </w:r>
      <w:r w:rsidR="004D5AD1" w:rsidRPr="004D5AD1">
        <w:rPr>
          <w:rStyle w:val="normaltextrun"/>
          <w:noProof/>
        </w:rPr>
        <w:t>pal</w:t>
      </w:r>
      <w:r w:rsidRPr="004D5AD1">
        <w:rPr>
          <w:rStyle w:val="normaltextrun"/>
          <w:noProof/>
        </w:rPr>
        <w:t>iw kopalnych.</w:t>
      </w:r>
    </w:p>
    <w:p w14:paraId="39A43EE7" w14:textId="77777777" w:rsidR="00B154B0" w:rsidRPr="004D5AD1" w:rsidRDefault="00554174" w:rsidP="0019291A">
      <w:pPr>
        <w:rPr>
          <w:rStyle w:val="normaltextrun"/>
          <w:noProof/>
        </w:rPr>
      </w:pPr>
      <w:r w:rsidRPr="004D5AD1">
        <w:rPr>
          <w:rStyle w:val="normaltextrun"/>
          <w:noProof/>
        </w:rPr>
        <w:t>2.</w:t>
      </w:r>
      <w:r w:rsidRPr="004D5AD1">
        <w:rPr>
          <w:rStyle w:val="normaltextrun"/>
          <w:noProof/>
        </w:rPr>
        <w:tab/>
        <w:t>Niniejsze rozporządzenie ma zastosowanie do:</w:t>
      </w:r>
    </w:p>
    <w:p w14:paraId="787B65A7" w14:textId="33B42536" w:rsidR="00034E56" w:rsidRPr="004D5AD1" w:rsidRDefault="00B154B0" w:rsidP="00B154B0">
      <w:pPr>
        <w:ind w:left="720"/>
        <w:rPr>
          <w:rStyle w:val="normaltextrun"/>
          <w:noProof/>
        </w:rPr>
      </w:pPr>
      <w:r w:rsidRPr="004D5AD1">
        <w:rPr>
          <w:rStyle w:val="normaltextrun"/>
          <w:noProof/>
        </w:rPr>
        <w:t>a) poszukiwania</w:t>
      </w:r>
      <w:r w:rsidR="004D5AD1" w:rsidRPr="004D5AD1">
        <w:rPr>
          <w:rStyle w:val="normaltextrun"/>
          <w:noProof/>
        </w:rPr>
        <w:t xml:space="preserve"> i</w:t>
      </w:r>
      <w:r w:rsidR="004D5AD1">
        <w:rPr>
          <w:rStyle w:val="normaltextrun"/>
          <w:noProof/>
        </w:rPr>
        <w:t> </w:t>
      </w:r>
      <w:r w:rsidR="004D5AD1" w:rsidRPr="004D5AD1">
        <w:rPr>
          <w:rStyle w:val="normaltextrun"/>
          <w:noProof/>
        </w:rPr>
        <w:t>pro</w:t>
      </w:r>
      <w:r w:rsidRPr="004D5AD1">
        <w:rPr>
          <w:rStyle w:val="normaltextrun"/>
          <w:noProof/>
        </w:rPr>
        <w:t>dukcji ropy naftowej</w:t>
      </w:r>
      <w:r w:rsidR="004D5AD1" w:rsidRPr="004D5AD1">
        <w:rPr>
          <w:rStyle w:val="normaltextrun"/>
          <w:noProof/>
        </w:rPr>
        <w:t xml:space="preserve"> i</w:t>
      </w:r>
      <w:r w:rsidR="004D5AD1">
        <w:rPr>
          <w:rStyle w:val="normaltextrun"/>
          <w:noProof/>
        </w:rPr>
        <w:t> </w:t>
      </w:r>
      <w:r w:rsidR="004D5AD1" w:rsidRPr="004D5AD1">
        <w:rPr>
          <w:rStyle w:val="normaltextrun"/>
          <w:noProof/>
        </w:rPr>
        <w:t>gaz</w:t>
      </w:r>
      <w:r w:rsidRPr="004D5AD1">
        <w:rPr>
          <w:rStyle w:val="normaltextrun"/>
          <w:noProof/>
        </w:rPr>
        <w:t>u ziemnego, gromadzenia</w:t>
      </w:r>
      <w:r w:rsidR="004D5AD1" w:rsidRPr="004D5AD1">
        <w:rPr>
          <w:rStyle w:val="normaltextrun"/>
          <w:noProof/>
        </w:rPr>
        <w:t xml:space="preserve"> i</w:t>
      </w:r>
      <w:r w:rsidR="004D5AD1">
        <w:rPr>
          <w:rStyle w:val="normaltextrun"/>
          <w:noProof/>
        </w:rPr>
        <w:t> </w:t>
      </w:r>
      <w:r w:rsidR="004D5AD1" w:rsidRPr="004D5AD1">
        <w:rPr>
          <w:rStyle w:val="normaltextrun"/>
          <w:noProof/>
        </w:rPr>
        <w:t>prz</w:t>
      </w:r>
      <w:r w:rsidRPr="004D5AD1">
        <w:rPr>
          <w:rStyle w:val="normaltextrun"/>
          <w:noProof/>
        </w:rPr>
        <w:t>etwarzania gazu ziemnego;</w:t>
      </w:r>
    </w:p>
    <w:p w14:paraId="509B5945" w14:textId="2A902D1E" w:rsidR="00B154B0" w:rsidRPr="004D5AD1" w:rsidRDefault="00034E56" w:rsidP="00B154B0">
      <w:pPr>
        <w:ind w:left="720"/>
        <w:rPr>
          <w:rStyle w:val="normaltextrun"/>
          <w:noProof/>
        </w:rPr>
      </w:pPr>
      <w:r w:rsidRPr="004D5AD1">
        <w:rPr>
          <w:rStyle w:val="normaltextrun"/>
          <w:noProof/>
        </w:rPr>
        <w:t>b) przesyłu, dystrybucji, podziemnego składowania</w:t>
      </w:r>
      <w:r w:rsidR="004D5AD1" w:rsidRPr="004D5AD1">
        <w:rPr>
          <w:rStyle w:val="normaltextrun"/>
          <w:noProof/>
        </w:rPr>
        <w:t xml:space="preserve"> i</w:t>
      </w:r>
      <w:r w:rsidR="004D5AD1">
        <w:rPr>
          <w:rStyle w:val="normaltextrun"/>
          <w:noProof/>
        </w:rPr>
        <w:t> </w:t>
      </w:r>
      <w:r w:rsidR="004D5AD1" w:rsidRPr="004D5AD1">
        <w:rPr>
          <w:rStyle w:val="normaltextrun"/>
          <w:noProof/>
        </w:rPr>
        <w:t>ter</w:t>
      </w:r>
      <w:r w:rsidRPr="004D5AD1">
        <w:rPr>
          <w:rStyle w:val="normaltextrun"/>
          <w:noProof/>
        </w:rPr>
        <w:t>minali skroplonego gazu ziemnego (LNG) działających</w:t>
      </w:r>
      <w:r w:rsidR="004D5AD1" w:rsidRPr="004D5AD1">
        <w:rPr>
          <w:rStyle w:val="normaltextrun"/>
          <w:noProof/>
        </w:rPr>
        <w:t xml:space="preserve"> z</w:t>
      </w:r>
      <w:r w:rsidR="004D5AD1">
        <w:rPr>
          <w:rStyle w:val="normaltextrun"/>
          <w:noProof/>
        </w:rPr>
        <w:t> </w:t>
      </w:r>
      <w:r w:rsidR="004D5AD1" w:rsidRPr="004D5AD1">
        <w:rPr>
          <w:rStyle w:val="normaltextrun"/>
          <w:noProof/>
        </w:rPr>
        <w:t>wyk</w:t>
      </w:r>
      <w:r w:rsidRPr="004D5AD1">
        <w:rPr>
          <w:rStyle w:val="normaltextrun"/>
          <w:noProof/>
        </w:rPr>
        <w:t>orzystaniem metanu kopalnego lub odnawialnego (biometanu lub metanu syntetycznego);</w:t>
      </w:r>
    </w:p>
    <w:p w14:paraId="2DD474C1" w14:textId="30D0CBAF" w:rsidR="005B3031" w:rsidRPr="004D5AD1" w:rsidRDefault="00B154B0" w:rsidP="005B3031">
      <w:pPr>
        <w:ind w:left="720"/>
        <w:rPr>
          <w:rStyle w:val="normaltextrun"/>
          <w:noProof/>
        </w:rPr>
      </w:pPr>
      <w:r w:rsidRPr="004D5AD1">
        <w:rPr>
          <w:rStyle w:val="normaltextrun"/>
          <w:noProof/>
        </w:rPr>
        <w:t>c) czynnych podziemnych</w:t>
      </w:r>
      <w:r w:rsidR="004D5AD1" w:rsidRPr="004D5AD1">
        <w:rPr>
          <w:rStyle w:val="normaltextrun"/>
          <w:noProof/>
        </w:rPr>
        <w:t xml:space="preserve"> i</w:t>
      </w:r>
      <w:r w:rsidR="004D5AD1">
        <w:rPr>
          <w:rStyle w:val="normaltextrun"/>
          <w:noProof/>
        </w:rPr>
        <w:t> </w:t>
      </w:r>
      <w:r w:rsidR="004D5AD1" w:rsidRPr="004D5AD1">
        <w:rPr>
          <w:rStyle w:val="normaltextrun"/>
          <w:noProof/>
        </w:rPr>
        <w:t>odk</w:t>
      </w:r>
      <w:r w:rsidRPr="004D5AD1">
        <w:rPr>
          <w:rStyle w:val="normaltextrun"/>
          <w:noProof/>
        </w:rPr>
        <w:t>rywkowych kopalń węgla oraz zamkniętych</w:t>
      </w:r>
      <w:r w:rsidR="004D5AD1" w:rsidRPr="004D5AD1">
        <w:rPr>
          <w:rStyle w:val="normaltextrun"/>
          <w:noProof/>
        </w:rPr>
        <w:t xml:space="preserve"> i</w:t>
      </w:r>
      <w:r w:rsidR="004D5AD1">
        <w:rPr>
          <w:rStyle w:val="normaltextrun"/>
          <w:noProof/>
        </w:rPr>
        <w:t> </w:t>
      </w:r>
      <w:r w:rsidR="004D5AD1" w:rsidRPr="004D5AD1">
        <w:rPr>
          <w:rStyle w:val="normaltextrun"/>
          <w:noProof/>
        </w:rPr>
        <w:t>nie</w:t>
      </w:r>
      <w:r w:rsidRPr="004D5AD1">
        <w:rPr>
          <w:rStyle w:val="normaltextrun"/>
          <w:noProof/>
        </w:rPr>
        <w:t>czynnych podziemnych kopalń węgla.</w:t>
      </w:r>
    </w:p>
    <w:p w14:paraId="0AA4EF2F" w14:textId="7804FC4E" w:rsidR="0042742B" w:rsidRPr="004D5AD1" w:rsidRDefault="0042742B" w:rsidP="00A11318">
      <w:pPr>
        <w:rPr>
          <w:rFonts w:ascii="Segoe UI" w:hAnsi="Segoe UI" w:cs="Segoe UI"/>
          <w:noProof/>
          <w:sz w:val="18"/>
          <w:szCs w:val="18"/>
        </w:rPr>
      </w:pPr>
      <w:r w:rsidRPr="004D5AD1">
        <w:rPr>
          <w:rStyle w:val="normaltextrun"/>
          <w:noProof/>
        </w:rPr>
        <w:t>3.</w:t>
      </w:r>
      <w:r w:rsidRPr="004D5AD1">
        <w:rPr>
          <w:rStyle w:val="normaltextrun"/>
          <w:noProof/>
        </w:rPr>
        <w:tab/>
        <w:t>Niniejsze rozporządzenie ma zastosowanie do emisji metanu występujących poza Unią</w:t>
      </w:r>
      <w:r w:rsidR="004D5AD1" w:rsidRPr="004D5AD1">
        <w:rPr>
          <w:rStyle w:val="normaltextrun"/>
          <w:noProof/>
        </w:rPr>
        <w:t xml:space="preserve"> w</w:t>
      </w:r>
      <w:r w:rsidR="004D5AD1">
        <w:rPr>
          <w:rStyle w:val="normaltextrun"/>
          <w:noProof/>
        </w:rPr>
        <w:t> </w:t>
      </w:r>
      <w:r w:rsidR="004D5AD1" w:rsidRPr="004D5AD1">
        <w:rPr>
          <w:rStyle w:val="normaltextrun"/>
          <w:noProof/>
        </w:rPr>
        <w:t>odn</w:t>
      </w:r>
      <w:r w:rsidRPr="004D5AD1">
        <w:rPr>
          <w:rStyle w:val="normaltextrun"/>
          <w:noProof/>
        </w:rPr>
        <w:t>iesieniu do wymogów informacyjnych obowiązujących importerów, bazy danych zapewniającej przejrzystość emisji metanu oraz narzędzia monitorowania emitentów metanu.</w:t>
      </w:r>
    </w:p>
    <w:p w14:paraId="0AE4DCC3" w14:textId="336ABE88" w:rsidR="0019291A" w:rsidRPr="004D5AD1" w:rsidRDefault="0019291A" w:rsidP="00ED06D5">
      <w:pPr>
        <w:rPr>
          <w:rFonts w:ascii="Segoe UI" w:hAnsi="Segoe UI" w:cs="Segoe UI"/>
          <w:noProof/>
          <w:sz w:val="18"/>
          <w:szCs w:val="18"/>
        </w:rPr>
      </w:pPr>
    </w:p>
    <w:p w14:paraId="08F5D0E7" w14:textId="77777777" w:rsidR="0019291A" w:rsidRPr="004D5AD1" w:rsidRDefault="0019291A" w:rsidP="0019291A">
      <w:pPr>
        <w:pStyle w:val="Titrearticle"/>
        <w:rPr>
          <w:noProof/>
        </w:rPr>
      </w:pPr>
      <w:r w:rsidRPr="004D5AD1">
        <w:rPr>
          <w:noProof/>
        </w:rPr>
        <w:t>Artykuł 2</w:t>
      </w:r>
    </w:p>
    <w:p w14:paraId="595BD9E6" w14:textId="77777777" w:rsidR="0019291A" w:rsidRPr="004D5AD1" w:rsidRDefault="0019291A" w:rsidP="0019291A">
      <w:pPr>
        <w:pStyle w:val="NormalCentered"/>
        <w:rPr>
          <w:b/>
          <w:noProof/>
        </w:rPr>
      </w:pPr>
      <w:r w:rsidRPr="004D5AD1">
        <w:rPr>
          <w:b/>
          <w:noProof/>
        </w:rPr>
        <w:t>Definicje</w:t>
      </w:r>
    </w:p>
    <w:p w14:paraId="33C33E4C" w14:textId="0B6DEF97" w:rsidR="0019291A" w:rsidRPr="004D5AD1" w:rsidRDefault="0019291A" w:rsidP="0010636C">
      <w:pPr>
        <w:rPr>
          <w:noProof/>
        </w:rPr>
      </w:pPr>
      <w:r w:rsidRPr="004D5AD1">
        <w:rPr>
          <w:noProof/>
        </w:rPr>
        <w:t>Do celów niniejszego rozporządzenia stosuje się następujące definicje:</w:t>
      </w:r>
    </w:p>
    <w:p w14:paraId="6439B91B" w14:textId="21ADC1E7" w:rsidR="000255D9" w:rsidRPr="004D5AD1" w:rsidRDefault="005919F7" w:rsidP="000255D9">
      <w:pPr>
        <w:rPr>
          <w:noProof/>
        </w:rPr>
      </w:pPr>
      <w:r w:rsidRPr="004D5AD1">
        <w:rPr>
          <w:noProof/>
        </w:rPr>
        <w:t>1)</w:t>
      </w:r>
      <w:r w:rsidRPr="004D5AD1">
        <w:rPr>
          <w:noProof/>
        </w:rPr>
        <w:tab/>
        <w:t>„emisje metanu” oznaczają wszelkie emisje bezpośrednie ze wszystkich elementów, które są potencjalnymi źródłami emisji metanu, niezależnie od tego, czy wynikają one</w:t>
      </w:r>
      <w:r w:rsidR="004D5AD1" w:rsidRPr="004D5AD1">
        <w:rPr>
          <w:noProof/>
        </w:rPr>
        <w:t xml:space="preserve"> z</w:t>
      </w:r>
      <w:r w:rsidR="004D5AD1">
        <w:rPr>
          <w:noProof/>
        </w:rPr>
        <w:t> </w:t>
      </w:r>
      <w:r w:rsidR="004D5AD1" w:rsidRPr="004D5AD1">
        <w:rPr>
          <w:noProof/>
        </w:rPr>
        <w:t>zam</w:t>
      </w:r>
      <w:r w:rsidRPr="004D5AD1">
        <w:rPr>
          <w:noProof/>
        </w:rPr>
        <w:t>ierzonego, czy</w:t>
      </w:r>
      <w:r w:rsidR="004D5AD1" w:rsidRPr="004D5AD1">
        <w:rPr>
          <w:noProof/>
        </w:rPr>
        <w:t xml:space="preserve"> z</w:t>
      </w:r>
      <w:r w:rsidR="004D5AD1">
        <w:rPr>
          <w:noProof/>
        </w:rPr>
        <w:t> </w:t>
      </w:r>
      <w:r w:rsidR="004D5AD1" w:rsidRPr="004D5AD1">
        <w:rPr>
          <w:noProof/>
        </w:rPr>
        <w:t>nie</w:t>
      </w:r>
      <w:r w:rsidRPr="004D5AD1">
        <w:rPr>
          <w:noProof/>
        </w:rPr>
        <w:t>zamierzonego uwalniania do atmosfery, spalania niecałkowitego</w:t>
      </w:r>
      <w:r w:rsidR="004D5AD1" w:rsidRPr="004D5AD1">
        <w:rPr>
          <w:noProof/>
        </w:rPr>
        <w:t xml:space="preserve"> w</w:t>
      </w:r>
      <w:r w:rsidR="004D5AD1">
        <w:rPr>
          <w:noProof/>
        </w:rPr>
        <w:t> </w:t>
      </w:r>
      <w:r w:rsidR="004D5AD1" w:rsidRPr="004D5AD1">
        <w:rPr>
          <w:noProof/>
        </w:rPr>
        <w:t>poc</w:t>
      </w:r>
      <w:r w:rsidRPr="004D5AD1">
        <w:rPr>
          <w:noProof/>
        </w:rPr>
        <w:t>hodni, czy</w:t>
      </w:r>
      <w:r w:rsidR="004D5AD1" w:rsidRPr="004D5AD1">
        <w:rPr>
          <w:noProof/>
        </w:rPr>
        <w:t xml:space="preserve"> z</w:t>
      </w:r>
      <w:r w:rsidR="004D5AD1">
        <w:rPr>
          <w:noProof/>
        </w:rPr>
        <w:t> </w:t>
      </w:r>
      <w:r w:rsidR="004D5AD1" w:rsidRPr="004D5AD1">
        <w:rPr>
          <w:noProof/>
        </w:rPr>
        <w:t>inn</w:t>
      </w:r>
      <w:r w:rsidRPr="004D5AD1">
        <w:rPr>
          <w:noProof/>
        </w:rPr>
        <w:t xml:space="preserve">ych elementów oraz niezamierzonych wycieków; </w:t>
      </w:r>
    </w:p>
    <w:p w14:paraId="4EB8578D" w14:textId="090E3ECE" w:rsidR="00597234" w:rsidRPr="004D5AD1" w:rsidRDefault="00597234" w:rsidP="00597234">
      <w:pPr>
        <w:rPr>
          <w:noProof/>
        </w:rPr>
      </w:pPr>
      <w:r w:rsidRPr="004D5AD1">
        <w:rPr>
          <w:noProof/>
        </w:rPr>
        <w:t>2)</w:t>
      </w:r>
      <w:r w:rsidRPr="004D5AD1">
        <w:rPr>
          <w:noProof/>
        </w:rPr>
        <w:tab/>
        <w:t>„operator systemu przesyłowego” ma znaczenie przypisane mu w [art.</w:t>
      </w:r>
      <w:r w:rsidR="004D5AD1" w:rsidRPr="004D5AD1">
        <w:rPr>
          <w:noProof/>
        </w:rPr>
        <w:t> </w:t>
      </w:r>
      <w:r w:rsidRPr="004D5AD1">
        <w:rPr>
          <w:noProof/>
        </w:rPr>
        <w:t>2 pkt</w:t>
      </w:r>
      <w:r w:rsidR="004D5AD1" w:rsidRPr="004D5AD1">
        <w:rPr>
          <w:noProof/>
        </w:rPr>
        <w:t> </w:t>
      </w:r>
      <w:r w:rsidRPr="004D5AD1">
        <w:rPr>
          <w:noProof/>
        </w:rPr>
        <w:t>4 dyrektywy Parlamentu Europejskiego</w:t>
      </w:r>
      <w:r w:rsidR="004D5AD1" w:rsidRPr="004D5AD1">
        <w:rPr>
          <w:noProof/>
        </w:rPr>
        <w:t xml:space="preserve"> i</w:t>
      </w:r>
      <w:r w:rsidR="004D5AD1">
        <w:rPr>
          <w:noProof/>
        </w:rPr>
        <w:t> </w:t>
      </w:r>
      <w:r w:rsidR="004D5AD1" w:rsidRPr="004D5AD1">
        <w:rPr>
          <w:noProof/>
        </w:rPr>
        <w:t>Rad</w:t>
      </w:r>
      <w:r w:rsidRPr="004D5AD1">
        <w:rPr>
          <w:noProof/>
        </w:rPr>
        <w:t>y 2009/73/WE</w:t>
      </w:r>
      <w:r w:rsidR="00FE7131" w:rsidRPr="004D5AD1">
        <w:rPr>
          <w:rStyle w:val="FootnoteReference"/>
          <w:noProof/>
        </w:rPr>
        <w:footnoteReference w:id="41"/>
      </w:r>
      <w:r w:rsidRPr="004D5AD1">
        <w:rPr>
          <w:noProof/>
        </w:rPr>
        <w:t>] [</w:t>
      </w:r>
      <w:r w:rsidRPr="004D5AD1">
        <w:rPr>
          <w:i/>
          <w:noProof/>
        </w:rPr>
        <w:t>do dostosowania zgodnie</w:t>
      </w:r>
      <w:r w:rsidR="004D5AD1" w:rsidRPr="004D5AD1">
        <w:rPr>
          <w:i/>
          <w:noProof/>
        </w:rPr>
        <w:t xml:space="preserve"> z</w:t>
      </w:r>
      <w:r w:rsidR="004D5AD1">
        <w:rPr>
          <w:i/>
          <w:noProof/>
        </w:rPr>
        <w:t> </w:t>
      </w:r>
      <w:r w:rsidR="004D5AD1" w:rsidRPr="004D5AD1">
        <w:rPr>
          <w:i/>
          <w:noProof/>
        </w:rPr>
        <w:t>roz</w:t>
      </w:r>
      <w:r w:rsidRPr="004D5AD1">
        <w:rPr>
          <w:i/>
          <w:noProof/>
        </w:rPr>
        <w:t>patrywanym wnioskiem</w:t>
      </w:r>
      <w:r w:rsidR="004D5AD1" w:rsidRPr="004D5AD1">
        <w:rPr>
          <w:i/>
          <w:noProof/>
        </w:rPr>
        <w:t xml:space="preserve"> o</w:t>
      </w:r>
      <w:r w:rsidR="004D5AD1">
        <w:rPr>
          <w:i/>
          <w:noProof/>
        </w:rPr>
        <w:t> </w:t>
      </w:r>
      <w:r w:rsidR="004D5AD1" w:rsidRPr="004D5AD1">
        <w:rPr>
          <w:i/>
          <w:noProof/>
        </w:rPr>
        <w:t>prz</w:t>
      </w:r>
      <w:r w:rsidRPr="004D5AD1">
        <w:rPr>
          <w:i/>
          <w:noProof/>
        </w:rPr>
        <w:t>ekształcenie</w:t>
      </w:r>
      <w:r w:rsidRPr="004D5AD1">
        <w:rPr>
          <w:noProof/>
        </w:rPr>
        <w:t>];</w:t>
      </w:r>
    </w:p>
    <w:p w14:paraId="5CA5AFBB" w14:textId="43AD6F22" w:rsidR="00597234" w:rsidRPr="004D5AD1" w:rsidRDefault="00597234" w:rsidP="000255D9">
      <w:pPr>
        <w:rPr>
          <w:noProof/>
        </w:rPr>
      </w:pPr>
      <w:r w:rsidRPr="004D5AD1">
        <w:rPr>
          <w:noProof/>
        </w:rPr>
        <w:t>3)</w:t>
      </w:r>
      <w:r w:rsidRPr="004D5AD1">
        <w:rPr>
          <w:noProof/>
        </w:rPr>
        <w:tab/>
        <w:t>„operator systemu dystrybucyjnego” ma znaczenie przypisane mu w [art.</w:t>
      </w:r>
      <w:r w:rsidR="004D5AD1" w:rsidRPr="004D5AD1">
        <w:rPr>
          <w:noProof/>
        </w:rPr>
        <w:t> </w:t>
      </w:r>
      <w:r w:rsidRPr="004D5AD1">
        <w:rPr>
          <w:noProof/>
        </w:rPr>
        <w:t>2 pkt</w:t>
      </w:r>
      <w:r w:rsidR="004D5AD1" w:rsidRPr="004D5AD1">
        <w:rPr>
          <w:noProof/>
        </w:rPr>
        <w:t> </w:t>
      </w:r>
      <w:r w:rsidRPr="004D5AD1">
        <w:rPr>
          <w:noProof/>
        </w:rPr>
        <w:t>6 dyrektywy 2009/73/WE] [</w:t>
      </w:r>
      <w:r w:rsidRPr="004D5AD1">
        <w:rPr>
          <w:i/>
          <w:noProof/>
        </w:rPr>
        <w:t>do dostosowania zgodnie</w:t>
      </w:r>
      <w:r w:rsidR="004D5AD1" w:rsidRPr="004D5AD1">
        <w:rPr>
          <w:i/>
          <w:noProof/>
        </w:rPr>
        <w:t xml:space="preserve"> z</w:t>
      </w:r>
      <w:r w:rsidR="004D5AD1">
        <w:rPr>
          <w:i/>
          <w:noProof/>
        </w:rPr>
        <w:t> </w:t>
      </w:r>
      <w:r w:rsidR="004D5AD1" w:rsidRPr="004D5AD1">
        <w:rPr>
          <w:i/>
          <w:noProof/>
        </w:rPr>
        <w:t>roz</w:t>
      </w:r>
      <w:r w:rsidRPr="004D5AD1">
        <w:rPr>
          <w:i/>
          <w:noProof/>
        </w:rPr>
        <w:t>patrywanym wnioskiem</w:t>
      </w:r>
      <w:r w:rsidR="004D5AD1" w:rsidRPr="004D5AD1">
        <w:rPr>
          <w:i/>
          <w:noProof/>
        </w:rPr>
        <w:t xml:space="preserve"> o</w:t>
      </w:r>
      <w:r w:rsidR="004D5AD1">
        <w:rPr>
          <w:i/>
          <w:noProof/>
        </w:rPr>
        <w:t> </w:t>
      </w:r>
      <w:r w:rsidR="004D5AD1" w:rsidRPr="004D5AD1">
        <w:rPr>
          <w:i/>
          <w:noProof/>
        </w:rPr>
        <w:t>prz</w:t>
      </w:r>
      <w:r w:rsidRPr="004D5AD1">
        <w:rPr>
          <w:i/>
          <w:noProof/>
        </w:rPr>
        <w:t>ekształcenie</w:t>
      </w:r>
      <w:r w:rsidRPr="004D5AD1">
        <w:rPr>
          <w:noProof/>
        </w:rPr>
        <w:t>];</w:t>
      </w:r>
    </w:p>
    <w:p w14:paraId="7B63DAD9" w14:textId="0AC0B55C" w:rsidR="00597234" w:rsidRPr="004D5AD1" w:rsidRDefault="00597234" w:rsidP="000255D9">
      <w:pPr>
        <w:rPr>
          <w:noProof/>
        </w:rPr>
      </w:pPr>
      <w:r w:rsidRPr="004D5AD1">
        <w:rPr>
          <w:noProof/>
        </w:rPr>
        <w:t>4)</w:t>
      </w:r>
      <w:r w:rsidRPr="004D5AD1">
        <w:rPr>
          <w:noProof/>
        </w:rPr>
        <w:tab/>
        <w:t>„operator” oznacza każdą osobę fizyczną lub prawną, która prowadzi lub kontroluje składnik aktywów lub, jeżeli przewiduje to ustawodawstwo krajowe, której przekazano uprawnienia do podejmowania decyzji ekonomicznych</w:t>
      </w:r>
      <w:r w:rsidR="004D5AD1" w:rsidRPr="004D5AD1">
        <w:rPr>
          <w:noProof/>
        </w:rPr>
        <w:t xml:space="preserve"> w</w:t>
      </w:r>
      <w:r w:rsidR="004D5AD1">
        <w:rPr>
          <w:noProof/>
        </w:rPr>
        <w:t> </w:t>
      </w:r>
      <w:r w:rsidR="004D5AD1" w:rsidRPr="004D5AD1">
        <w:rPr>
          <w:noProof/>
        </w:rPr>
        <w:t>zak</w:t>
      </w:r>
      <w:r w:rsidRPr="004D5AD1">
        <w:rPr>
          <w:noProof/>
        </w:rPr>
        <w:t>resie technicznego funkcjonowania składnika aktywów;</w:t>
      </w:r>
    </w:p>
    <w:p w14:paraId="5A8EED1C" w14:textId="43E3941C" w:rsidR="00EC6C46" w:rsidRPr="004D5AD1" w:rsidRDefault="00597234" w:rsidP="00597234">
      <w:pPr>
        <w:rPr>
          <w:noProof/>
        </w:rPr>
      </w:pPr>
      <w:r w:rsidRPr="004D5AD1">
        <w:rPr>
          <w:noProof/>
        </w:rPr>
        <w:t>5)</w:t>
      </w:r>
      <w:r w:rsidRPr="004D5AD1">
        <w:rPr>
          <w:noProof/>
        </w:rPr>
        <w:tab/>
        <w:t>„operator kopalni” oznacza każdą osobę fizyczną lub prawną, która prowadzi lub kontroluje kopalnię węgla lub, jeżeli przewiduje to ustawodawstwo krajowe, której przekazano uprawnienia do podejmowania decyzji ekonomicznych</w:t>
      </w:r>
      <w:r w:rsidR="004D5AD1" w:rsidRPr="004D5AD1">
        <w:rPr>
          <w:noProof/>
        </w:rPr>
        <w:t xml:space="preserve"> w</w:t>
      </w:r>
      <w:r w:rsidR="004D5AD1">
        <w:rPr>
          <w:noProof/>
        </w:rPr>
        <w:t> </w:t>
      </w:r>
      <w:r w:rsidR="004D5AD1" w:rsidRPr="004D5AD1">
        <w:rPr>
          <w:noProof/>
        </w:rPr>
        <w:t>zak</w:t>
      </w:r>
      <w:r w:rsidRPr="004D5AD1">
        <w:rPr>
          <w:noProof/>
        </w:rPr>
        <w:t>resie technicznego funkcjonowania kopalni węgla;</w:t>
      </w:r>
    </w:p>
    <w:p w14:paraId="484A5C1E" w14:textId="29C1CC53" w:rsidR="00597234" w:rsidRPr="004D5AD1" w:rsidRDefault="00597234" w:rsidP="00597234">
      <w:pPr>
        <w:rPr>
          <w:noProof/>
        </w:rPr>
      </w:pPr>
      <w:r w:rsidRPr="004D5AD1">
        <w:rPr>
          <w:noProof/>
        </w:rPr>
        <w:t>6)</w:t>
      </w:r>
      <w:r w:rsidRPr="004D5AD1">
        <w:rPr>
          <w:noProof/>
        </w:rPr>
        <w:tab/>
        <w:t>„weryfikacja” oznacza działania prowadzone przez weryfikatora</w:t>
      </w:r>
      <w:r w:rsidR="004D5AD1" w:rsidRPr="004D5AD1">
        <w:rPr>
          <w:noProof/>
        </w:rPr>
        <w:t xml:space="preserve"> w</w:t>
      </w:r>
      <w:r w:rsidR="004D5AD1">
        <w:rPr>
          <w:noProof/>
        </w:rPr>
        <w:t> </w:t>
      </w:r>
      <w:r w:rsidR="004D5AD1" w:rsidRPr="004D5AD1">
        <w:rPr>
          <w:noProof/>
        </w:rPr>
        <w:t>cel</w:t>
      </w:r>
      <w:r w:rsidRPr="004D5AD1">
        <w:rPr>
          <w:noProof/>
        </w:rPr>
        <w:t>u dokonania oceny zgodności sprawozdań przekazanych przez operatorów</w:t>
      </w:r>
      <w:r w:rsidR="004D5AD1" w:rsidRPr="004D5AD1">
        <w:rPr>
          <w:noProof/>
        </w:rPr>
        <w:t xml:space="preserve"> i</w:t>
      </w:r>
      <w:r w:rsidR="004D5AD1">
        <w:rPr>
          <w:noProof/>
        </w:rPr>
        <w:t> </w:t>
      </w:r>
      <w:r w:rsidR="004D5AD1" w:rsidRPr="004D5AD1">
        <w:rPr>
          <w:noProof/>
        </w:rPr>
        <w:t>ope</w:t>
      </w:r>
      <w:r w:rsidRPr="004D5AD1">
        <w:rPr>
          <w:noProof/>
        </w:rPr>
        <w:t>ratorów kopalń;</w:t>
      </w:r>
    </w:p>
    <w:p w14:paraId="627D1BE2" w14:textId="02790099" w:rsidR="00597234" w:rsidRPr="004D5AD1" w:rsidRDefault="00597234" w:rsidP="00597234">
      <w:pPr>
        <w:rPr>
          <w:noProof/>
        </w:rPr>
      </w:pPr>
      <w:r w:rsidRPr="004D5AD1">
        <w:rPr>
          <w:noProof/>
        </w:rPr>
        <w:t>7)</w:t>
      </w:r>
      <w:r w:rsidRPr="004D5AD1">
        <w:rPr>
          <w:noProof/>
        </w:rPr>
        <w:tab/>
        <w:t>„weryfikator” oznacza osobę prawną inną niż właściwe organy wyznaczone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4 niniejszego rozporządzenia, która prowadzi działania weryfikacyjne</w:t>
      </w:r>
      <w:r w:rsidR="004D5AD1" w:rsidRPr="004D5AD1">
        <w:rPr>
          <w:noProof/>
        </w:rPr>
        <w:t xml:space="preserve"> i</w:t>
      </w:r>
      <w:r w:rsidR="004D5AD1">
        <w:rPr>
          <w:noProof/>
        </w:rPr>
        <w:t> </w:t>
      </w:r>
      <w:r w:rsidR="004D5AD1" w:rsidRPr="004D5AD1">
        <w:rPr>
          <w:noProof/>
        </w:rPr>
        <w:t>jes</w:t>
      </w:r>
      <w:r w:rsidRPr="004D5AD1">
        <w:rPr>
          <w:noProof/>
        </w:rPr>
        <w:t>t akredytowana przez krajową jednostkę akredytującą na podstawie rozporządzenia (WE) nr</w:t>
      </w:r>
      <w:r w:rsidR="004D5AD1" w:rsidRPr="004D5AD1">
        <w:rPr>
          <w:noProof/>
        </w:rPr>
        <w:t> </w:t>
      </w:r>
      <w:r w:rsidRPr="004D5AD1">
        <w:rPr>
          <w:noProof/>
        </w:rPr>
        <w:t xml:space="preserve">765/2008, </w:t>
      </w:r>
      <w:r w:rsidRPr="004D5AD1">
        <w:rPr>
          <w:noProof/>
          <w:shd w:val="clear" w:color="auto" w:fill="FFFFFF"/>
        </w:rPr>
        <w:t>lub osobę fizyczną upoważnioną</w:t>
      </w:r>
      <w:r w:rsidR="004D5AD1" w:rsidRPr="004D5AD1">
        <w:rPr>
          <w:noProof/>
          <w:shd w:val="clear" w:color="auto" w:fill="FFFFFF"/>
        </w:rPr>
        <w:t xml:space="preserve"> w</w:t>
      </w:r>
      <w:r w:rsidR="004D5AD1">
        <w:rPr>
          <w:noProof/>
          <w:shd w:val="clear" w:color="auto" w:fill="FFFFFF"/>
        </w:rPr>
        <w:t> </w:t>
      </w:r>
      <w:r w:rsidR="004D5AD1" w:rsidRPr="004D5AD1">
        <w:rPr>
          <w:noProof/>
          <w:shd w:val="clear" w:color="auto" w:fill="FFFFFF"/>
        </w:rPr>
        <w:t>inn</w:t>
      </w:r>
      <w:r w:rsidRPr="004D5AD1">
        <w:rPr>
          <w:noProof/>
          <w:shd w:val="clear" w:color="auto" w:fill="FFFFFF"/>
        </w:rPr>
        <w:t>y sposób, bez uszczerbku dla przepisów art.</w:t>
      </w:r>
      <w:r w:rsidR="004D5AD1" w:rsidRPr="004D5AD1">
        <w:rPr>
          <w:noProof/>
          <w:shd w:val="clear" w:color="auto" w:fill="FFFFFF"/>
        </w:rPr>
        <w:t> </w:t>
      </w:r>
      <w:r w:rsidRPr="004D5AD1">
        <w:rPr>
          <w:noProof/>
          <w:shd w:val="clear" w:color="auto" w:fill="FFFFFF"/>
        </w:rPr>
        <w:t>5 ust.</w:t>
      </w:r>
      <w:r w:rsidR="004D5AD1" w:rsidRPr="004D5AD1">
        <w:rPr>
          <w:noProof/>
          <w:shd w:val="clear" w:color="auto" w:fill="FFFFFF"/>
        </w:rPr>
        <w:t> </w:t>
      </w:r>
      <w:r w:rsidRPr="004D5AD1">
        <w:rPr>
          <w:noProof/>
          <w:shd w:val="clear" w:color="auto" w:fill="FFFFFF"/>
        </w:rPr>
        <w:t>2 tego rozporządzenia,</w:t>
      </w:r>
      <w:r w:rsidR="004D5AD1" w:rsidRPr="004D5AD1">
        <w:rPr>
          <w:noProof/>
          <w:shd w:val="clear" w:color="auto" w:fill="FFFFFF"/>
        </w:rPr>
        <w:t xml:space="preserve"> w</w:t>
      </w:r>
      <w:r w:rsidR="004D5AD1">
        <w:rPr>
          <w:noProof/>
          <w:shd w:val="clear" w:color="auto" w:fill="FFFFFF"/>
        </w:rPr>
        <w:t> </w:t>
      </w:r>
      <w:r w:rsidR="004D5AD1" w:rsidRPr="004D5AD1">
        <w:rPr>
          <w:noProof/>
          <w:shd w:val="clear" w:color="auto" w:fill="FFFFFF"/>
        </w:rPr>
        <w:t>chw</w:t>
      </w:r>
      <w:r w:rsidRPr="004D5AD1">
        <w:rPr>
          <w:noProof/>
          <w:shd w:val="clear" w:color="auto" w:fill="FFFFFF"/>
        </w:rPr>
        <w:t>ili wydania oświadczenia weryfikacyjnego</w:t>
      </w:r>
      <w:r w:rsidRPr="004D5AD1">
        <w:rPr>
          <w:noProof/>
        </w:rPr>
        <w:t xml:space="preserve">; </w:t>
      </w:r>
    </w:p>
    <w:p w14:paraId="3FFF1C03" w14:textId="2C806FB3" w:rsidR="00EC6C46" w:rsidRPr="004D5AD1" w:rsidRDefault="00597234" w:rsidP="000255D9">
      <w:pPr>
        <w:rPr>
          <w:noProof/>
        </w:rPr>
      </w:pPr>
      <w:r w:rsidRPr="004D5AD1">
        <w:rPr>
          <w:noProof/>
        </w:rPr>
        <w:t>8)</w:t>
      </w:r>
      <w:r w:rsidRPr="004D5AD1">
        <w:rPr>
          <w:noProof/>
        </w:rPr>
        <w:tab/>
        <w:t>„źródło” oznacza element lub strukturę geologiczną uwalniające metan do atmosfery</w:t>
      </w:r>
      <w:r w:rsidR="004D5AD1" w:rsidRPr="004D5AD1">
        <w:rPr>
          <w:noProof/>
        </w:rPr>
        <w:t xml:space="preserve"> w</w:t>
      </w:r>
      <w:r w:rsidR="004D5AD1">
        <w:rPr>
          <w:noProof/>
        </w:rPr>
        <w:t> </w:t>
      </w:r>
      <w:r w:rsidR="004D5AD1" w:rsidRPr="004D5AD1">
        <w:rPr>
          <w:noProof/>
        </w:rPr>
        <w:t>spo</w:t>
      </w:r>
      <w:r w:rsidRPr="004D5AD1">
        <w:rPr>
          <w:noProof/>
        </w:rPr>
        <w:t>sób zamierzony lub niezamierzony, przerywany lub ciągły;</w:t>
      </w:r>
    </w:p>
    <w:p w14:paraId="157F364D" w14:textId="142D2F76" w:rsidR="009B2ABC" w:rsidRPr="004D5AD1" w:rsidRDefault="009B2ABC" w:rsidP="000255D9">
      <w:pPr>
        <w:rPr>
          <w:noProof/>
        </w:rPr>
      </w:pPr>
      <w:r w:rsidRPr="004D5AD1">
        <w:rPr>
          <w:noProof/>
        </w:rPr>
        <w:t>9)</w:t>
      </w:r>
      <w:r w:rsidRPr="004D5AD1">
        <w:rPr>
          <w:noProof/>
        </w:rPr>
        <w:tab/>
        <w:t>„aktywa” oznaczają przedsiębiorstwo lub jednostkę operacyjną, które mogą składać się</w:t>
      </w:r>
      <w:r w:rsidR="004D5AD1" w:rsidRPr="004D5AD1">
        <w:rPr>
          <w:noProof/>
        </w:rPr>
        <w:t xml:space="preserve"> z</w:t>
      </w:r>
      <w:r w:rsidR="004D5AD1">
        <w:rPr>
          <w:noProof/>
        </w:rPr>
        <w:t> </w:t>
      </w:r>
      <w:r w:rsidR="004D5AD1" w:rsidRPr="004D5AD1">
        <w:rPr>
          <w:noProof/>
        </w:rPr>
        <w:t>kil</w:t>
      </w:r>
      <w:r w:rsidRPr="004D5AD1">
        <w:rPr>
          <w:noProof/>
        </w:rPr>
        <w:t>ku obiektów lub lokalizacji,</w:t>
      </w:r>
      <w:r w:rsidR="004D5AD1" w:rsidRPr="004D5AD1">
        <w:rPr>
          <w:noProof/>
        </w:rPr>
        <w:t xml:space="preserve"> w</w:t>
      </w:r>
      <w:r w:rsidR="004D5AD1">
        <w:rPr>
          <w:noProof/>
        </w:rPr>
        <w:t> </w:t>
      </w:r>
      <w:r w:rsidR="004D5AD1" w:rsidRPr="004D5AD1">
        <w:rPr>
          <w:noProof/>
        </w:rPr>
        <w:t>tym z</w:t>
      </w:r>
      <w:r w:rsidR="004D5AD1">
        <w:rPr>
          <w:noProof/>
        </w:rPr>
        <w:t> </w:t>
      </w:r>
      <w:r w:rsidR="004D5AD1" w:rsidRPr="004D5AD1">
        <w:rPr>
          <w:noProof/>
        </w:rPr>
        <w:t>akt</w:t>
      </w:r>
      <w:r w:rsidRPr="004D5AD1">
        <w:rPr>
          <w:noProof/>
        </w:rPr>
        <w:t>ywów znajdujących się pod kontrolą operacyjną operatora (aktywa eksploatowane) oraz aktywów, które nie znajdują się pod kontrolą operacyjną operatora (aktywa nieeksploatowane);</w:t>
      </w:r>
    </w:p>
    <w:p w14:paraId="0E4C0BAB" w14:textId="1780B8F5" w:rsidR="009B2ABC" w:rsidRPr="004D5AD1" w:rsidRDefault="009B2ABC" w:rsidP="009B2ABC">
      <w:pPr>
        <w:rPr>
          <w:noProof/>
        </w:rPr>
      </w:pPr>
      <w:r w:rsidRPr="004D5AD1">
        <w:rPr>
          <w:noProof/>
        </w:rPr>
        <w:t>10)</w:t>
      </w:r>
      <w:r w:rsidRPr="004D5AD1">
        <w:rPr>
          <w:noProof/>
        </w:rPr>
        <w:tab/>
        <w:t>„współczynnik emisji” oznacza współczynnik umożliwiający kwantyfikację emisji lub usuwania gazu na jednostkę działalności, który często opiera się na próbie danych pomiarowych uśrednionych</w:t>
      </w:r>
      <w:r w:rsidR="004D5AD1" w:rsidRPr="004D5AD1">
        <w:rPr>
          <w:noProof/>
        </w:rPr>
        <w:t xml:space="preserve"> w</w:t>
      </w:r>
      <w:r w:rsidR="004D5AD1">
        <w:rPr>
          <w:noProof/>
        </w:rPr>
        <w:t> </w:t>
      </w:r>
      <w:r w:rsidR="004D5AD1" w:rsidRPr="004D5AD1">
        <w:rPr>
          <w:noProof/>
        </w:rPr>
        <w:t>cel</w:t>
      </w:r>
      <w:r w:rsidRPr="004D5AD1">
        <w:rPr>
          <w:noProof/>
        </w:rPr>
        <w:t>u uzyskania reprezentatywnego wskaźnika emisji dla danego poziomu działalności</w:t>
      </w:r>
      <w:r w:rsidR="004D5AD1" w:rsidRPr="004D5AD1">
        <w:rPr>
          <w:noProof/>
        </w:rPr>
        <w:t xml:space="preserve"> w</w:t>
      </w:r>
      <w:r w:rsidR="004D5AD1">
        <w:rPr>
          <w:noProof/>
        </w:rPr>
        <w:t> </w:t>
      </w:r>
      <w:r w:rsidR="004D5AD1" w:rsidRPr="004D5AD1">
        <w:rPr>
          <w:noProof/>
        </w:rPr>
        <w:t>dan</w:t>
      </w:r>
      <w:r w:rsidRPr="004D5AD1">
        <w:rPr>
          <w:noProof/>
        </w:rPr>
        <w:t xml:space="preserve">ym zbiorze warunków eksploatacji; </w:t>
      </w:r>
    </w:p>
    <w:p w14:paraId="0E9ECCF6" w14:textId="793A7AF3" w:rsidR="00EC6C46" w:rsidRPr="004D5AD1" w:rsidRDefault="009B2ABC" w:rsidP="009B2ABC">
      <w:pPr>
        <w:rPr>
          <w:noProof/>
        </w:rPr>
      </w:pPr>
      <w:r w:rsidRPr="004D5AD1">
        <w:rPr>
          <w:noProof/>
        </w:rPr>
        <w:t>11)</w:t>
      </w:r>
      <w:r w:rsidRPr="004D5AD1">
        <w:rPr>
          <w:noProof/>
        </w:rPr>
        <w:tab/>
        <w:t>„ogólny współczynnik emisji” oznacza znormalizowany współczynnik emisji dla każdego rodzaju źródła emisji, który wyprowadza się na podstawie wykazów lub baz danych,</w:t>
      </w:r>
      <w:r w:rsidR="004D5AD1" w:rsidRPr="004D5AD1">
        <w:rPr>
          <w:noProof/>
        </w:rPr>
        <w:t xml:space="preserve"> w</w:t>
      </w:r>
      <w:r w:rsidR="004D5AD1">
        <w:rPr>
          <w:noProof/>
        </w:rPr>
        <w:t> </w:t>
      </w:r>
      <w:r w:rsidR="004D5AD1" w:rsidRPr="004D5AD1">
        <w:rPr>
          <w:noProof/>
        </w:rPr>
        <w:t>każ</w:t>
      </w:r>
      <w:r w:rsidRPr="004D5AD1">
        <w:rPr>
          <w:noProof/>
        </w:rPr>
        <w:t>dym przypadku jednak niezweryfikowany za pomocą pomiarów bezpośrednich;</w:t>
      </w:r>
    </w:p>
    <w:p w14:paraId="39D3F929" w14:textId="21B1D05B" w:rsidR="009B2ABC" w:rsidRPr="004D5AD1" w:rsidRDefault="009B2ABC" w:rsidP="009B2ABC">
      <w:pPr>
        <w:rPr>
          <w:noProof/>
        </w:rPr>
      </w:pPr>
      <w:r w:rsidRPr="004D5AD1">
        <w:rPr>
          <w:noProof/>
        </w:rPr>
        <w:t>12)</w:t>
      </w:r>
      <w:r w:rsidRPr="004D5AD1">
        <w:rPr>
          <w:noProof/>
        </w:rPr>
        <w:tab/>
        <w:t>„szczególny współczynnik emisji” oznacza współczynnik emisji wyprowadzony</w:t>
      </w:r>
      <w:r w:rsidR="004D5AD1" w:rsidRPr="004D5AD1">
        <w:rPr>
          <w:noProof/>
        </w:rPr>
        <w:t xml:space="preserve"> z</w:t>
      </w:r>
      <w:r w:rsidR="004D5AD1">
        <w:rPr>
          <w:noProof/>
        </w:rPr>
        <w:t> </w:t>
      </w:r>
      <w:r w:rsidR="004D5AD1" w:rsidRPr="004D5AD1">
        <w:rPr>
          <w:noProof/>
        </w:rPr>
        <w:t>pom</w:t>
      </w:r>
      <w:r w:rsidRPr="004D5AD1">
        <w:rPr>
          <w:noProof/>
        </w:rPr>
        <w:t>iarów bezpośrednich;</w:t>
      </w:r>
    </w:p>
    <w:p w14:paraId="28ABCAF0" w14:textId="1940167B" w:rsidR="00597234" w:rsidRPr="004D5AD1" w:rsidRDefault="00597234" w:rsidP="00597234">
      <w:pPr>
        <w:rPr>
          <w:noProof/>
        </w:rPr>
      </w:pPr>
      <w:r w:rsidRPr="004D5AD1">
        <w:rPr>
          <w:noProof/>
        </w:rPr>
        <w:t>13)</w:t>
      </w:r>
      <w:r w:rsidRPr="004D5AD1">
        <w:rPr>
          <w:noProof/>
        </w:rPr>
        <w:tab/>
        <w:t>„pomiar bezpośredni” oznacza bezpośrednie określenie ilościowe emisji metanu na poziomie źródła przy użyciu urządzenia do pomiaru metanu;</w:t>
      </w:r>
    </w:p>
    <w:p w14:paraId="140A7B74" w14:textId="1C78DD58" w:rsidR="009B2ABC" w:rsidRPr="004D5AD1" w:rsidRDefault="009B2ABC" w:rsidP="009B2ABC">
      <w:pPr>
        <w:rPr>
          <w:noProof/>
        </w:rPr>
      </w:pPr>
      <w:r w:rsidRPr="004D5AD1">
        <w:rPr>
          <w:noProof/>
        </w:rPr>
        <w:t>14)</w:t>
      </w:r>
      <w:r w:rsidRPr="004D5AD1">
        <w:rPr>
          <w:noProof/>
        </w:rPr>
        <w:tab/>
        <w:t>„emisje metanu na poziomie lokalizacji” oznaczają wszystkie źródła emisji</w:t>
      </w:r>
      <w:r w:rsidR="004D5AD1" w:rsidRPr="004D5AD1">
        <w:rPr>
          <w:noProof/>
        </w:rPr>
        <w:t xml:space="preserve"> w</w:t>
      </w:r>
      <w:r w:rsidR="004D5AD1">
        <w:rPr>
          <w:noProof/>
        </w:rPr>
        <w:t> </w:t>
      </w:r>
      <w:r w:rsidR="004D5AD1" w:rsidRPr="004D5AD1">
        <w:rPr>
          <w:noProof/>
        </w:rPr>
        <w:t>obr</w:t>
      </w:r>
      <w:r w:rsidRPr="004D5AD1">
        <w:rPr>
          <w:noProof/>
        </w:rPr>
        <w:t>ębie danego składnika aktywów;</w:t>
      </w:r>
    </w:p>
    <w:p w14:paraId="712ED7A5" w14:textId="233F281C" w:rsidR="009B2ABC" w:rsidRPr="004D5AD1" w:rsidRDefault="009B2ABC" w:rsidP="009B2ABC">
      <w:pPr>
        <w:rPr>
          <w:noProof/>
        </w:rPr>
      </w:pPr>
      <w:r w:rsidRPr="004D5AD1">
        <w:rPr>
          <w:noProof/>
        </w:rPr>
        <w:t>15)</w:t>
      </w:r>
      <w:r w:rsidRPr="004D5AD1">
        <w:rPr>
          <w:noProof/>
        </w:rPr>
        <w:tab/>
        <w:t>„pomiar na poziomie lokalizacji” oznacza pomiar odgórny</w:t>
      </w:r>
      <w:r w:rsidR="004D5AD1" w:rsidRPr="004D5AD1">
        <w:rPr>
          <w:noProof/>
        </w:rPr>
        <w:t xml:space="preserve"> i</w:t>
      </w:r>
      <w:r w:rsidR="004D5AD1">
        <w:rPr>
          <w:noProof/>
        </w:rPr>
        <w:t> </w:t>
      </w:r>
      <w:r w:rsidR="004D5AD1" w:rsidRPr="004D5AD1">
        <w:rPr>
          <w:noProof/>
        </w:rPr>
        <w:t>zaz</w:t>
      </w:r>
      <w:r w:rsidRPr="004D5AD1">
        <w:rPr>
          <w:noProof/>
        </w:rPr>
        <w:t>wyczaj wiąże się</w:t>
      </w:r>
      <w:r w:rsidR="004D5AD1" w:rsidRPr="004D5AD1">
        <w:rPr>
          <w:noProof/>
        </w:rPr>
        <w:t xml:space="preserve"> z</w:t>
      </w:r>
      <w:r w:rsidR="004D5AD1">
        <w:rPr>
          <w:noProof/>
        </w:rPr>
        <w:t> </w:t>
      </w:r>
      <w:r w:rsidR="004D5AD1" w:rsidRPr="004D5AD1">
        <w:rPr>
          <w:noProof/>
        </w:rPr>
        <w:t>wyk</w:t>
      </w:r>
      <w:r w:rsidRPr="004D5AD1">
        <w:rPr>
          <w:noProof/>
        </w:rPr>
        <w:t>orzystaniem czujników zamontowanych na mobilnej platformie, takiej jak pojazdy, drony, statki powietrzne, łodzie</w:t>
      </w:r>
      <w:r w:rsidR="004D5AD1" w:rsidRPr="004D5AD1">
        <w:rPr>
          <w:noProof/>
        </w:rPr>
        <w:t xml:space="preserve"> i</w:t>
      </w:r>
      <w:r w:rsidR="004D5AD1">
        <w:rPr>
          <w:noProof/>
        </w:rPr>
        <w:t> </w:t>
      </w:r>
      <w:r w:rsidR="004D5AD1" w:rsidRPr="004D5AD1">
        <w:rPr>
          <w:noProof/>
        </w:rPr>
        <w:t>sat</w:t>
      </w:r>
      <w:r w:rsidRPr="004D5AD1">
        <w:rPr>
          <w:noProof/>
        </w:rPr>
        <w:t>elity, lub innych środków umożliwiających uzyskanie pełnego przeglądu emisji</w:t>
      </w:r>
      <w:r w:rsidR="004D5AD1" w:rsidRPr="004D5AD1">
        <w:rPr>
          <w:noProof/>
        </w:rPr>
        <w:t xml:space="preserve"> w</w:t>
      </w:r>
      <w:r w:rsidR="004D5AD1">
        <w:rPr>
          <w:noProof/>
        </w:rPr>
        <w:t> </w:t>
      </w:r>
      <w:r w:rsidR="004D5AD1" w:rsidRPr="004D5AD1">
        <w:rPr>
          <w:noProof/>
        </w:rPr>
        <w:t>cał</w:t>
      </w:r>
      <w:r w:rsidRPr="004D5AD1">
        <w:rPr>
          <w:noProof/>
        </w:rPr>
        <w:t xml:space="preserve">ej lokalizacji; </w:t>
      </w:r>
    </w:p>
    <w:p w14:paraId="611620B6" w14:textId="6BEDC112" w:rsidR="00597234" w:rsidRPr="004D5AD1" w:rsidRDefault="00597234" w:rsidP="00F53740">
      <w:pPr>
        <w:rPr>
          <w:noProof/>
        </w:rPr>
      </w:pPr>
      <w:r w:rsidRPr="004D5AD1">
        <w:rPr>
          <w:noProof/>
        </w:rPr>
        <w:t>16)</w:t>
      </w:r>
      <w:r w:rsidRPr="004D5AD1">
        <w:rPr>
          <w:noProof/>
        </w:rPr>
        <w:tab/>
        <w:t>„przedsiębiorstwo” oznacza osobę fizyczną lub prawną, która prowadzi przynajmniej jeden</w:t>
      </w:r>
      <w:r w:rsidR="004D5AD1" w:rsidRPr="004D5AD1">
        <w:rPr>
          <w:noProof/>
        </w:rPr>
        <w:t xml:space="preserve"> z</w:t>
      </w:r>
      <w:r w:rsidR="004D5AD1">
        <w:rPr>
          <w:noProof/>
        </w:rPr>
        <w:t> </w:t>
      </w:r>
      <w:r w:rsidR="004D5AD1" w:rsidRPr="004D5AD1">
        <w:rPr>
          <w:noProof/>
        </w:rPr>
        <w:t>nas</w:t>
      </w:r>
      <w:r w:rsidRPr="004D5AD1">
        <w:rPr>
          <w:noProof/>
        </w:rPr>
        <w:t>tępujących rodzajów działalności: eksploatacja, poszukiwanie</w:t>
      </w:r>
      <w:r w:rsidR="004D5AD1" w:rsidRPr="004D5AD1">
        <w:rPr>
          <w:noProof/>
        </w:rPr>
        <w:t xml:space="preserve"> i</w:t>
      </w:r>
      <w:r w:rsidR="004D5AD1">
        <w:rPr>
          <w:noProof/>
        </w:rPr>
        <w:t> </w:t>
      </w:r>
      <w:r w:rsidR="004D5AD1" w:rsidRPr="004D5AD1">
        <w:rPr>
          <w:noProof/>
        </w:rPr>
        <w:t>pro</w:t>
      </w:r>
      <w:r w:rsidRPr="004D5AD1">
        <w:rPr>
          <w:noProof/>
        </w:rPr>
        <w:t>dukcja ropy naftowej</w:t>
      </w:r>
      <w:r w:rsidR="004D5AD1" w:rsidRPr="004D5AD1">
        <w:rPr>
          <w:noProof/>
        </w:rPr>
        <w:t xml:space="preserve"> i</w:t>
      </w:r>
      <w:r w:rsidR="004D5AD1">
        <w:rPr>
          <w:noProof/>
        </w:rPr>
        <w:t> </w:t>
      </w:r>
      <w:r w:rsidR="004D5AD1" w:rsidRPr="004D5AD1">
        <w:rPr>
          <w:noProof/>
        </w:rPr>
        <w:t>gaz</w:t>
      </w:r>
      <w:r w:rsidRPr="004D5AD1">
        <w:rPr>
          <w:noProof/>
        </w:rPr>
        <w:t>u ziemnego, gromadzenie</w:t>
      </w:r>
      <w:r w:rsidR="004D5AD1" w:rsidRPr="004D5AD1">
        <w:rPr>
          <w:noProof/>
        </w:rPr>
        <w:t xml:space="preserve"> i</w:t>
      </w:r>
      <w:r w:rsidR="004D5AD1">
        <w:rPr>
          <w:noProof/>
        </w:rPr>
        <w:t> </w:t>
      </w:r>
      <w:r w:rsidR="004D5AD1" w:rsidRPr="004D5AD1">
        <w:rPr>
          <w:noProof/>
        </w:rPr>
        <w:t>prz</w:t>
      </w:r>
      <w:r w:rsidRPr="004D5AD1">
        <w:rPr>
          <w:noProof/>
        </w:rPr>
        <w:t>etwarzanie gazu ziemnego, przesył, dystrybucja</w:t>
      </w:r>
      <w:r w:rsidR="004D5AD1" w:rsidRPr="004D5AD1">
        <w:rPr>
          <w:noProof/>
        </w:rPr>
        <w:t xml:space="preserve"> i</w:t>
      </w:r>
      <w:r w:rsidR="004D5AD1">
        <w:rPr>
          <w:noProof/>
        </w:rPr>
        <w:t> </w:t>
      </w:r>
      <w:r w:rsidR="004D5AD1" w:rsidRPr="004D5AD1">
        <w:rPr>
          <w:noProof/>
        </w:rPr>
        <w:t>skł</w:t>
      </w:r>
      <w:r w:rsidRPr="004D5AD1">
        <w:rPr>
          <w:noProof/>
        </w:rPr>
        <w:t>adowanie podziemne gazu,</w:t>
      </w:r>
      <w:r w:rsidR="004D5AD1" w:rsidRPr="004D5AD1">
        <w:rPr>
          <w:noProof/>
        </w:rPr>
        <w:t xml:space="preserve"> w</w:t>
      </w:r>
      <w:r w:rsidR="004D5AD1">
        <w:rPr>
          <w:noProof/>
        </w:rPr>
        <w:t> </w:t>
      </w:r>
      <w:r w:rsidR="004D5AD1" w:rsidRPr="004D5AD1">
        <w:rPr>
          <w:noProof/>
        </w:rPr>
        <w:t>tym</w:t>
      </w:r>
      <w:r w:rsidRPr="004D5AD1">
        <w:rPr>
          <w:noProof/>
        </w:rPr>
        <w:t xml:space="preserve"> skroplonego gazu ziemnego;</w:t>
      </w:r>
    </w:p>
    <w:p w14:paraId="1EF41591" w14:textId="4E6A60D3" w:rsidR="00F53740" w:rsidRPr="004D5AD1" w:rsidRDefault="009B2ABC" w:rsidP="00F53740">
      <w:pPr>
        <w:rPr>
          <w:noProof/>
          <w:szCs w:val="24"/>
        </w:rPr>
      </w:pPr>
      <w:r w:rsidRPr="004D5AD1">
        <w:rPr>
          <w:noProof/>
        </w:rPr>
        <w:t>17)</w:t>
      </w:r>
      <w:r w:rsidRPr="004D5AD1">
        <w:rPr>
          <w:noProof/>
        </w:rPr>
        <w:tab/>
        <w:t>„badanie mające na celu wykrywanie nieszczelności</w:t>
      </w:r>
      <w:r w:rsidR="004D5AD1" w:rsidRPr="004D5AD1">
        <w:rPr>
          <w:noProof/>
        </w:rPr>
        <w:t xml:space="preserve"> i</w:t>
      </w:r>
      <w:r w:rsidR="004D5AD1">
        <w:rPr>
          <w:noProof/>
        </w:rPr>
        <w:t> </w:t>
      </w:r>
      <w:r w:rsidR="004D5AD1" w:rsidRPr="004D5AD1">
        <w:rPr>
          <w:noProof/>
        </w:rPr>
        <w:t>nap</w:t>
      </w:r>
      <w:r w:rsidRPr="004D5AD1">
        <w:rPr>
          <w:noProof/>
        </w:rPr>
        <w:t>rawę” oznacza badanie mające na celu zidentyfikowanie źródeł emisji metanu,</w:t>
      </w:r>
      <w:r w:rsidR="004D5AD1" w:rsidRPr="004D5AD1">
        <w:rPr>
          <w:noProof/>
        </w:rPr>
        <w:t xml:space="preserve"> w</w:t>
      </w:r>
      <w:r w:rsidR="004D5AD1">
        <w:rPr>
          <w:noProof/>
        </w:rPr>
        <w:t> </w:t>
      </w:r>
      <w:r w:rsidR="004D5AD1" w:rsidRPr="004D5AD1">
        <w:rPr>
          <w:noProof/>
        </w:rPr>
        <w:t>tym</w:t>
      </w:r>
      <w:r w:rsidRPr="004D5AD1">
        <w:rPr>
          <w:noProof/>
        </w:rPr>
        <w:t xml:space="preserve"> wycieków</w:t>
      </w:r>
      <w:r w:rsidR="004D5AD1" w:rsidRPr="004D5AD1">
        <w:rPr>
          <w:noProof/>
        </w:rPr>
        <w:t xml:space="preserve"> i</w:t>
      </w:r>
      <w:r w:rsidR="004D5AD1">
        <w:rPr>
          <w:noProof/>
        </w:rPr>
        <w:t> </w:t>
      </w:r>
      <w:r w:rsidR="004D5AD1" w:rsidRPr="004D5AD1">
        <w:rPr>
          <w:noProof/>
        </w:rPr>
        <w:t>nie</w:t>
      </w:r>
      <w:r w:rsidRPr="004D5AD1">
        <w:rPr>
          <w:noProof/>
        </w:rPr>
        <w:t>zamierzonego uwalniania do atmosfery;</w:t>
      </w:r>
    </w:p>
    <w:p w14:paraId="49F3720C" w14:textId="4275509D" w:rsidR="001C3E6F" w:rsidRPr="004D5AD1" w:rsidRDefault="001715A0" w:rsidP="001C3E6F">
      <w:pPr>
        <w:rPr>
          <w:noProof/>
        </w:rPr>
      </w:pPr>
      <w:r w:rsidRPr="004D5AD1">
        <w:rPr>
          <w:noProof/>
        </w:rPr>
        <w:t>18)</w:t>
      </w:r>
      <w:r w:rsidRPr="004D5AD1">
        <w:rPr>
          <w:noProof/>
        </w:rPr>
        <w:tab/>
        <w:t>„uwalnianie do atmosfery” oznacza uwalnianie niespalonego metanu do atmosfery</w:t>
      </w:r>
      <w:r w:rsidR="004D5AD1" w:rsidRPr="004D5AD1">
        <w:rPr>
          <w:noProof/>
        </w:rPr>
        <w:t xml:space="preserve"> w</w:t>
      </w:r>
      <w:r w:rsidR="004D5AD1">
        <w:rPr>
          <w:noProof/>
        </w:rPr>
        <w:t> </w:t>
      </w:r>
      <w:r w:rsidR="004D5AD1" w:rsidRPr="004D5AD1">
        <w:rPr>
          <w:noProof/>
        </w:rPr>
        <w:t>spo</w:t>
      </w:r>
      <w:r w:rsidRPr="004D5AD1">
        <w:rPr>
          <w:noProof/>
        </w:rPr>
        <w:t>sób zamierzony</w:t>
      </w:r>
      <w:r w:rsidR="004D5AD1" w:rsidRPr="004D5AD1">
        <w:rPr>
          <w:noProof/>
        </w:rPr>
        <w:t xml:space="preserve"> z</w:t>
      </w:r>
      <w:r w:rsidR="004D5AD1">
        <w:rPr>
          <w:noProof/>
        </w:rPr>
        <w:t> </w:t>
      </w:r>
      <w:r w:rsidR="004D5AD1" w:rsidRPr="004D5AD1">
        <w:rPr>
          <w:noProof/>
        </w:rPr>
        <w:t>pro</w:t>
      </w:r>
      <w:r w:rsidRPr="004D5AD1">
        <w:rPr>
          <w:noProof/>
        </w:rPr>
        <w:t>cesów lub czynności, lub urządzeń zaprojektowanych do takiego celu, albo</w:t>
      </w:r>
      <w:r w:rsidR="004D5AD1" w:rsidRPr="004D5AD1">
        <w:rPr>
          <w:noProof/>
        </w:rPr>
        <w:t xml:space="preserve"> w</w:t>
      </w:r>
      <w:r w:rsidR="004D5AD1">
        <w:rPr>
          <w:noProof/>
        </w:rPr>
        <w:t> </w:t>
      </w:r>
      <w:r w:rsidR="004D5AD1" w:rsidRPr="004D5AD1">
        <w:rPr>
          <w:noProof/>
        </w:rPr>
        <w:t>spo</w:t>
      </w:r>
      <w:r w:rsidRPr="004D5AD1">
        <w:rPr>
          <w:noProof/>
        </w:rPr>
        <w:t>sób niezamierzony</w:t>
      </w:r>
      <w:r w:rsidR="004D5AD1" w:rsidRPr="004D5AD1">
        <w:rPr>
          <w:noProof/>
        </w:rPr>
        <w:t xml:space="preserve"> w</w:t>
      </w:r>
      <w:r w:rsidR="004D5AD1">
        <w:rPr>
          <w:noProof/>
        </w:rPr>
        <w:t> </w:t>
      </w:r>
      <w:r w:rsidR="004D5AD1" w:rsidRPr="004D5AD1">
        <w:rPr>
          <w:noProof/>
        </w:rPr>
        <w:t>prz</w:t>
      </w:r>
      <w:r w:rsidRPr="004D5AD1">
        <w:rPr>
          <w:noProof/>
        </w:rPr>
        <w:t>ypadku niesprawności lub ograniczeń geologicznych;</w:t>
      </w:r>
    </w:p>
    <w:p w14:paraId="0EEFC75A" w14:textId="0D96D781" w:rsidR="001C3E6F" w:rsidRPr="004D5AD1" w:rsidRDefault="006E59E5" w:rsidP="001C3E6F">
      <w:pPr>
        <w:rPr>
          <w:noProof/>
        </w:rPr>
      </w:pPr>
      <w:r w:rsidRPr="004D5AD1">
        <w:rPr>
          <w:noProof/>
        </w:rPr>
        <w:t>19)</w:t>
      </w:r>
      <w:r w:rsidRPr="004D5AD1">
        <w:rPr>
          <w:noProof/>
        </w:rPr>
        <w:tab/>
        <w:t>„spalanie gazu</w:t>
      </w:r>
      <w:r w:rsidR="004D5AD1" w:rsidRPr="004D5AD1">
        <w:rPr>
          <w:noProof/>
        </w:rPr>
        <w:t xml:space="preserve"> w</w:t>
      </w:r>
      <w:r w:rsidR="004D5AD1">
        <w:rPr>
          <w:noProof/>
        </w:rPr>
        <w:t> </w:t>
      </w:r>
      <w:r w:rsidR="004D5AD1" w:rsidRPr="004D5AD1">
        <w:rPr>
          <w:noProof/>
        </w:rPr>
        <w:t>poc</w:t>
      </w:r>
      <w:r w:rsidRPr="004D5AD1">
        <w:rPr>
          <w:noProof/>
        </w:rPr>
        <w:t>hodni” oznacza kontrolowane spalanie metanu</w:t>
      </w:r>
      <w:r w:rsidR="004D5AD1" w:rsidRPr="004D5AD1">
        <w:rPr>
          <w:noProof/>
        </w:rPr>
        <w:t xml:space="preserve"> w</w:t>
      </w:r>
      <w:r w:rsidR="004D5AD1">
        <w:rPr>
          <w:noProof/>
        </w:rPr>
        <w:t> </w:t>
      </w:r>
      <w:r w:rsidR="004D5AD1" w:rsidRPr="004D5AD1">
        <w:rPr>
          <w:noProof/>
        </w:rPr>
        <w:t>cel</w:t>
      </w:r>
      <w:r w:rsidRPr="004D5AD1">
        <w:rPr>
          <w:noProof/>
        </w:rPr>
        <w:t>u jego unieszkodliwienia</w:t>
      </w:r>
      <w:r w:rsidR="004D5AD1" w:rsidRPr="004D5AD1">
        <w:rPr>
          <w:noProof/>
        </w:rPr>
        <w:t xml:space="preserve"> w</w:t>
      </w:r>
      <w:r w:rsidR="004D5AD1">
        <w:rPr>
          <w:noProof/>
        </w:rPr>
        <w:t> </w:t>
      </w:r>
      <w:r w:rsidR="004D5AD1" w:rsidRPr="004D5AD1">
        <w:rPr>
          <w:noProof/>
        </w:rPr>
        <w:t>urz</w:t>
      </w:r>
      <w:r w:rsidRPr="004D5AD1">
        <w:rPr>
          <w:noProof/>
        </w:rPr>
        <w:t>ądzeniu przeznaczonym do wspomnianego spalania;</w:t>
      </w:r>
    </w:p>
    <w:p w14:paraId="31C25465" w14:textId="4D6BA9EC" w:rsidR="001C3E6F" w:rsidRPr="004D5AD1" w:rsidRDefault="006E59E5" w:rsidP="001C3E6F">
      <w:pPr>
        <w:rPr>
          <w:noProof/>
        </w:rPr>
      </w:pPr>
      <w:r w:rsidRPr="004D5AD1">
        <w:rPr>
          <w:noProof/>
        </w:rPr>
        <w:t>20)</w:t>
      </w:r>
      <w:r w:rsidRPr="004D5AD1">
        <w:rPr>
          <w:noProof/>
        </w:rPr>
        <w:tab/>
        <w:t>„sytuacja awaryjna” oznacza tymczasową, niespodziewaną</w:t>
      </w:r>
      <w:r w:rsidR="004D5AD1" w:rsidRPr="004D5AD1">
        <w:rPr>
          <w:noProof/>
        </w:rPr>
        <w:t xml:space="preserve"> i</w:t>
      </w:r>
      <w:r w:rsidR="004D5AD1">
        <w:rPr>
          <w:noProof/>
        </w:rPr>
        <w:t> </w:t>
      </w:r>
      <w:r w:rsidR="004D5AD1" w:rsidRPr="004D5AD1">
        <w:rPr>
          <w:noProof/>
        </w:rPr>
        <w:t>nie</w:t>
      </w:r>
      <w:r w:rsidRPr="004D5AD1">
        <w:rPr>
          <w:noProof/>
        </w:rPr>
        <w:t>częstą sytuację,</w:t>
      </w:r>
      <w:r w:rsidR="004D5AD1" w:rsidRPr="004D5AD1">
        <w:rPr>
          <w:noProof/>
        </w:rPr>
        <w:t xml:space="preserve"> w</w:t>
      </w:r>
      <w:r w:rsidR="004D5AD1">
        <w:rPr>
          <w:noProof/>
        </w:rPr>
        <w:t> </w:t>
      </w:r>
      <w:r w:rsidR="004D5AD1" w:rsidRPr="004D5AD1">
        <w:rPr>
          <w:noProof/>
        </w:rPr>
        <w:t>któ</w:t>
      </w:r>
      <w:r w:rsidRPr="004D5AD1">
        <w:rPr>
          <w:noProof/>
        </w:rPr>
        <w:t>rej emisja metanu jest nieunikniona</w:t>
      </w:r>
      <w:r w:rsidR="004D5AD1" w:rsidRPr="004D5AD1">
        <w:rPr>
          <w:noProof/>
        </w:rPr>
        <w:t xml:space="preserve"> i</w:t>
      </w:r>
      <w:r w:rsidR="004D5AD1">
        <w:rPr>
          <w:noProof/>
        </w:rPr>
        <w:t> </w:t>
      </w:r>
      <w:r w:rsidR="004D5AD1" w:rsidRPr="004D5AD1">
        <w:rPr>
          <w:noProof/>
        </w:rPr>
        <w:t>kon</w:t>
      </w:r>
      <w:r w:rsidRPr="004D5AD1">
        <w:rPr>
          <w:noProof/>
        </w:rPr>
        <w:t>ieczna do zapobieżenia bezpośredniemu</w:t>
      </w:r>
      <w:r w:rsidR="004D5AD1" w:rsidRPr="004D5AD1">
        <w:rPr>
          <w:noProof/>
        </w:rPr>
        <w:t xml:space="preserve"> i</w:t>
      </w:r>
      <w:r w:rsidR="004D5AD1">
        <w:rPr>
          <w:noProof/>
        </w:rPr>
        <w:t> </w:t>
      </w:r>
      <w:r w:rsidR="004D5AD1" w:rsidRPr="004D5AD1">
        <w:rPr>
          <w:noProof/>
        </w:rPr>
        <w:t>zna</w:t>
      </w:r>
      <w:r w:rsidRPr="004D5AD1">
        <w:rPr>
          <w:noProof/>
        </w:rPr>
        <w:t>czącemu negatywnemu wpływowi na bezpieczeństwo ludzi, zdrowie publiczne lub środowisko, ale nie obejmuje sytuacji wynikających</w:t>
      </w:r>
      <w:r w:rsidR="004D5AD1" w:rsidRPr="004D5AD1">
        <w:rPr>
          <w:noProof/>
        </w:rPr>
        <w:t xml:space="preserve"> z</w:t>
      </w:r>
      <w:r w:rsidR="004D5AD1">
        <w:rPr>
          <w:noProof/>
        </w:rPr>
        <w:t> </w:t>
      </w:r>
      <w:r w:rsidR="004D5AD1" w:rsidRPr="004D5AD1">
        <w:rPr>
          <w:noProof/>
        </w:rPr>
        <w:t>nas</w:t>
      </w:r>
      <w:r w:rsidRPr="004D5AD1">
        <w:rPr>
          <w:noProof/>
        </w:rPr>
        <w:t>tępujących zdarzeń lub</w:t>
      </w:r>
      <w:r w:rsidR="004D5AD1" w:rsidRPr="004D5AD1">
        <w:rPr>
          <w:noProof/>
        </w:rPr>
        <w:t xml:space="preserve"> z</w:t>
      </w:r>
      <w:r w:rsidR="004D5AD1">
        <w:rPr>
          <w:noProof/>
        </w:rPr>
        <w:t> </w:t>
      </w:r>
      <w:r w:rsidR="004D5AD1" w:rsidRPr="004D5AD1">
        <w:rPr>
          <w:noProof/>
        </w:rPr>
        <w:t>nim</w:t>
      </w:r>
      <w:r w:rsidRPr="004D5AD1">
        <w:rPr>
          <w:noProof/>
        </w:rPr>
        <w:t xml:space="preserve">i związanych: </w:t>
      </w:r>
    </w:p>
    <w:p w14:paraId="0A0F7CBF" w14:textId="14F6CB8A" w:rsidR="001C3E6F" w:rsidRPr="004D5AD1" w:rsidRDefault="007D4260" w:rsidP="001C3E6F">
      <w:pPr>
        <w:pStyle w:val="Text1"/>
        <w:rPr>
          <w:noProof/>
        </w:rPr>
      </w:pPr>
      <w:r w:rsidRPr="004D5AD1">
        <w:rPr>
          <w:noProof/>
        </w:rPr>
        <w:t>a) niezainstalowanie przez operatora odpowiedniego sprzętu</w:t>
      </w:r>
      <w:r w:rsidR="004D5AD1" w:rsidRPr="004D5AD1">
        <w:rPr>
          <w:noProof/>
        </w:rPr>
        <w:t xml:space="preserve"> o</w:t>
      </w:r>
      <w:r w:rsidR="004D5AD1">
        <w:rPr>
          <w:noProof/>
        </w:rPr>
        <w:t> </w:t>
      </w:r>
      <w:r w:rsidR="004D5AD1" w:rsidRPr="004D5AD1">
        <w:rPr>
          <w:noProof/>
        </w:rPr>
        <w:t>zdo</w:t>
      </w:r>
      <w:r w:rsidRPr="004D5AD1">
        <w:rPr>
          <w:noProof/>
        </w:rPr>
        <w:t>lności wystarczającej do obsługi przewidywanego lub rzeczywistego tempa produkcji</w:t>
      </w:r>
      <w:r w:rsidR="004D5AD1" w:rsidRPr="004D5AD1">
        <w:rPr>
          <w:noProof/>
        </w:rPr>
        <w:t xml:space="preserve"> i</w:t>
      </w:r>
      <w:r w:rsidR="004D5AD1">
        <w:rPr>
          <w:noProof/>
        </w:rPr>
        <w:t> </w:t>
      </w:r>
      <w:r w:rsidR="004D5AD1" w:rsidRPr="004D5AD1">
        <w:rPr>
          <w:noProof/>
        </w:rPr>
        <w:t>ciś</w:t>
      </w:r>
      <w:r w:rsidRPr="004D5AD1">
        <w:rPr>
          <w:noProof/>
        </w:rPr>
        <w:t xml:space="preserve">nienia produkcyjnego; </w:t>
      </w:r>
    </w:p>
    <w:p w14:paraId="0F315D98" w14:textId="763424E0" w:rsidR="001C3E6F" w:rsidRPr="004D5AD1" w:rsidRDefault="007D4260" w:rsidP="001C3E6F">
      <w:pPr>
        <w:pStyle w:val="Text1"/>
        <w:rPr>
          <w:noProof/>
        </w:rPr>
      </w:pPr>
      <w:r w:rsidRPr="004D5AD1">
        <w:rPr>
          <w:noProof/>
        </w:rPr>
        <w:t>b) nieograniczenie produkcji przez operatora,</w:t>
      </w:r>
      <w:r w:rsidR="004D5AD1" w:rsidRPr="004D5AD1">
        <w:rPr>
          <w:noProof/>
        </w:rPr>
        <w:t xml:space="preserve"> w</w:t>
      </w:r>
      <w:r w:rsidR="004D5AD1">
        <w:rPr>
          <w:noProof/>
        </w:rPr>
        <w:t> </w:t>
      </w:r>
      <w:r w:rsidR="004D5AD1" w:rsidRPr="004D5AD1">
        <w:rPr>
          <w:noProof/>
        </w:rPr>
        <w:t>prz</w:t>
      </w:r>
      <w:r w:rsidRPr="004D5AD1">
        <w:rPr>
          <w:noProof/>
        </w:rPr>
        <w:t>ypadku gdy wskaźnik produkcji przekracza zdolność odnośnego sprzętu lub systemu gromadzenia,</w:t>
      </w:r>
      <w:r w:rsidR="004D5AD1" w:rsidRPr="004D5AD1">
        <w:rPr>
          <w:noProof/>
        </w:rPr>
        <w:t xml:space="preserve"> z</w:t>
      </w:r>
      <w:r w:rsidR="004D5AD1">
        <w:rPr>
          <w:noProof/>
        </w:rPr>
        <w:t> </w:t>
      </w:r>
      <w:r w:rsidR="004D5AD1" w:rsidRPr="004D5AD1">
        <w:rPr>
          <w:noProof/>
        </w:rPr>
        <w:t>wyj</w:t>
      </w:r>
      <w:r w:rsidRPr="004D5AD1">
        <w:rPr>
          <w:noProof/>
        </w:rPr>
        <w:t>ątkiem sytuacji, gdy nadwyżka produkcji jest spowodowana sytuacją awaryjną, niesprawnością lub nieplanowaną naprawą na niższym segmencie sektora (</w:t>
      </w:r>
      <w:r w:rsidRPr="004D5AD1">
        <w:rPr>
          <w:i/>
          <w:iCs/>
          <w:noProof/>
        </w:rPr>
        <w:t>downstream</w:t>
      </w:r>
      <w:r w:rsidRPr="004D5AD1">
        <w:rPr>
          <w:noProof/>
        </w:rPr>
        <w:t>)</w:t>
      </w:r>
      <w:r w:rsidR="004D5AD1" w:rsidRPr="004D5AD1">
        <w:rPr>
          <w:noProof/>
        </w:rPr>
        <w:t xml:space="preserve"> i</w:t>
      </w:r>
      <w:r w:rsidR="004D5AD1">
        <w:rPr>
          <w:noProof/>
        </w:rPr>
        <w:t> </w:t>
      </w:r>
      <w:r w:rsidR="004D5AD1" w:rsidRPr="004D5AD1">
        <w:rPr>
          <w:noProof/>
        </w:rPr>
        <w:t>trw</w:t>
      </w:r>
      <w:r w:rsidRPr="004D5AD1">
        <w:rPr>
          <w:noProof/>
        </w:rPr>
        <w:t>a nie dłużej niż osiem godzin od chwili powiadomienia</w:t>
      </w:r>
      <w:r w:rsidR="004D5AD1" w:rsidRPr="004D5AD1">
        <w:rPr>
          <w:noProof/>
        </w:rPr>
        <w:t xml:space="preserve"> o</w:t>
      </w:r>
      <w:r w:rsidR="004D5AD1">
        <w:rPr>
          <w:noProof/>
        </w:rPr>
        <w:t> </w:t>
      </w:r>
      <w:r w:rsidR="004D5AD1" w:rsidRPr="004D5AD1">
        <w:rPr>
          <w:noProof/>
        </w:rPr>
        <w:t>pro</w:t>
      </w:r>
      <w:r w:rsidRPr="004D5AD1">
        <w:rPr>
          <w:noProof/>
        </w:rPr>
        <w:t>blemie</w:t>
      </w:r>
      <w:r w:rsidR="004D5AD1" w:rsidRPr="004D5AD1">
        <w:rPr>
          <w:noProof/>
        </w:rPr>
        <w:t xml:space="preserve"> w</w:t>
      </w:r>
      <w:r w:rsidR="004D5AD1">
        <w:rPr>
          <w:noProof/>
        </w:rPr>
        <w:t> </w:t>
      </w:r>
      <w:r w:rsidR="004D5AD1" w:rsidRPr="004D5AD1">
        <w:rPr>
          <w:noProof/>
        </w:rPr>
        <w:t>zak</w:t>
      </w:r>
      <w:r w:rsidRPr="004D5AD1">
        <w:rPr>
          <w:noProof/>
        </w:rPr>
        <w:t>resie zdolności</w:t>
      </w:r>
      <w:r w:rsidR="004D5AD1" w:rsidRPr="004D5AD1">
        <w:rPr>
          <w:noProof/>
        </w:rPr>
        <w:t xml:space="preserve"> w</w:t>
      </w:r>
      <w:r w:rsidR="004D5AD1">
        <w:rPr>
          <w:noProof/>
        </w:rPr>
        <w:t> </w:t>
      </w:r>
      <w:r w:rsidR="004D5AD1" w:rsidRPr="004D5AD1">
        <w:rPr>
          <w:noProof/>
        </w:rPr>
        <w:t>niż</w:t>
      </w:r>
      <w:r w:rsidRPr="004D5AD1">
        <w:rPr>
          <w:noProof/>
        </w:rPr>
        <w:t xml:space="preserve">szym segmencie; </w:t>
      </w:r>
    </w:p>
    <w:p w14:paraId="73E03827" w14:textId="7BDFFE24" w:rsidR="001C3E6F" w:rsidRPr="004D5AD1" w:rsidRDefault="007D4260" w:rsidP="001C3E6F">
      <w:pPr>
        <w:pStyle w:val="Text1"/>
        <w:rPr>
          <w:noProof/>
        </w:rPr>
      </w:pPr>
      <w:r w:rsidRPr="004D5AD1">
        <w:rPr>
          <w:noProof/>
        </w:rPr>
        <w:t>c) zaplanowana konserwacja;</w:t>
      </w:r>
    </w:p>
    <w:p w14:paraId="7BD72940" w14:textId="304BD172" w:rsidR="001C3E6F" w:rsidRPr="004D5AD1" w:rsidRDefault="007D4260" w:rsidP="001C3E6F">
      <w:pPr>
        <w:pStyle w:val="Text1"/>
        <w:rPr>
          <w:noProof/>
        </w:rPr>
      </w:pPr>
      <w:r w:rsidRPr="004D5AD1">
        <w:rPr>
          <w:noProof/>
        </w:rPr>
        <w:t>d) zaniedbanie operatora;</w:t>
      </w:r>
    </w:p>
    <w:p w14:paraId="08566A79" w14:textId="40B497A7" w:rsidR="001C3E6F" w:rsidRPr="004D5AD1" w:rsidRDefault="007D4260" w:rsidP="001C3E6F">
      <w:pPr>
        <w:pStyle w:val="Text1"/>
        <w:rPr>
          <w:noProof/>
        </w:rPr>
      </w:pPr>
      <w:r w:rsidRPr="004D5AD1">
        <w:rPr>
          <w:noProof/>
        </w:rPr>
        <w:t>e) powtarzające się awarie, co oznacza co najmniej cztery awarie tego samego urządzenia</w:t>
      </w:r>
      <w:r w:rsidR="004D5AD1" w:rsidRPr="004D5AD1">
        <w:rPr>
          <w:noProof/>
        </w:rPr>
        <w:t xml:space="preserve"> w</w:t>
      </w:r>
      <w:r w:rsidR="004D5AD1">
        <w:rPr>
          <w:noProof/>
        </w:rPr>
        <w:t> </w:t>
      </w:r>
      <w:r w:rsidR="004D5AD1" w:rsidRPr="004D5AD1">
        <w:rPr>
          <w:noProof/>
        </w:rPr>
        <w:t>okr</w:t>
      </w:r>
      <w:r w:rsidRPr="004D5AD1">
        <w:rPr>
          <w:noProof/>
        </w:rPr>
        <w:t>esie ostatnich 30 dni;</w:t>
      </w:r>
    </w:p>
    <w:p w14:paraId="78065BAE" w14:textId="322198E7" w:rsidR="001C3E6F" w:rsidRPr="004D5AD1" w:rsidRDefault="001C3E6F" w:rsidP="001C3E6F">
      <w:pPr>
        <w:rPr>
          <w:noProof/>
        </w:rPr>
      </w:pPr>
      <w:r w:rsidRPr="004D5AD1">
        <w:rPr>
          <w:noProof/>
        </w:rPr>
        <w:t>21)</w:t>
      </w:r>
      <w:r w:rsidRPr="004D5AD1">
        <w:rPr>
          <w:noProof/>
        </w:rPr>
        <w:tab/>
        <w:t>„niesprawność” oznacza nagłą, nieuniknioną usterkę lub uszkodzenie urządzenia, pozostające poza obiektywną kontrolą operatora, które znacząco zakłócają eksploatację, ale nie obejmują usterki ani uszkodzenia, które są</w:t>
      </w:r>
      <w:r w:rsidR="004D5AD1" w:rsidRPr="004D5AD1">
        <w:rPr>
          <w:noProof/>
        </w:rPr>
        <w:t xml:space="preserve"> w</w:t>
      </w:r>
      <w:r w:rsidR="004D5AD1">
        <w:rPr>
          <w:noProof/>
        </w:rPr>
        <w:t> </w:t>
      </w:r>
      <w:r w:rsidR="004D5AD1" w:rsidRPr="004D5AD1">
        <w:rPr>
          <w:noProof/>
        </w:rPr>
        <w:t>cał</w:t>
      </w:r>
      <w:r w:rsidRPr="004D5AD1">
        <w:rPr>
          <w:noProof/>
        </w:rPr>
        <w:t>ości lub częściowo spowodowane niewłaściwą konserwacją, nieostrożną eksploatacją ani innych możliwych do uniknięcia usterek lub uszkodzeń urządzeń;</w:t>
      </w:r>
    </w:p>
    <w:p w14:paraId="4F5B1646" w14:textId="576FBA9C" w:rsidR="001C3E6F" w:rsidRPr="004D5AD1" w:rsidRDefault="001C3E6F" w:rsidP="001C3E6F">
      <w:pPr>
        <w:rPr>
          <w:noProof/>
        </w:rPr>
      </w:pPr>
      <w:r w:rsidRPr="004D5AD1">
        <w:rPr>
          <w:noProof/>
        </w:rPr>
        <w:t>22)</w:t>
      </w:r>
      <w:r w:rsidRPr="004D5AD1">
        <w:rPr>
          <w:noProof/>
        </w:rPr>
        <w:tab/>
        <w:t>„rutynowe spalanie gazu</w:t>
      </w:r>
      <w:r w:rsidR="004D5AD1" w:rsidRPr="004D5AD1">
        <w:rPr>
          <w:noProof/>
        </w:rPr>
        <w:t xml:space="preserve"> w</w:t>
      </w:r>
      <w:r w:rsidR="004D5AD1">
        <w:rPr>
          <w:noProof/>
        </w:rPr>
        <w:t> </w:t>
      </w:r>
      <w:r w:rsidR="004D5AD1" w:rsidRPr="004D5AD1">
        <w:rPr>
          <w:noProof/>
        </w:rPr>
        <w:t>poc</w:t>
      </w:r>
      <w:r w:rsidRPr="004D5AD1">
        <w:rPr>
          <w:noProof/>
        </w:rPr>
        <w:t>hodni” oznacza spalanie gazu</w:t>
      </w:r>
      <w:r w:rsidR="004D5AD1" w:rsidRPr="004D5AD1">
        <w:rPr>
          <w:noProof/>
        </w:rPr>
        <w:t xml:space="preserve"> w</w:t>
      </w:r>
      <w:r w:rsidR="004D5AD1">
        <w:rPr>
          <w:noProof/>
        </w:rPr>
        <w:t> </w:t>
      </w:r>
      <w:r w:rsidR="004D5AD1" w:rsidRPr="004D5AD1">
        <w:rPr>
          <w:noProof/>
        </w:rPr>
        <w:t>poc</w:t>
      </w:r>
      <w:r w:rsidRPr="004D5AD1">
        <w:rPr>
          <w:noProof/>
        </w:rPr>
        <w:t>hodni podczas normalnej produkcji ropy naftowej lub gazu ziemnego oraz</w:t>
      </w:r>
      <w:r w:rsidR="004D5AD1" w:rsidRPr="004D5AD1">
        <w:rPr>
          <w:noProof/>
        </w:rPr>
        <w:t xml:space="preserve"> w</w:t>
      </w:r>
      <w:r w:rsidR="004D5AD1">
        <w:rPr>
          <w:noProof/>
        </w:rPr>
        <w:t> </w:t>
      </w:r>
      <w:r w:rsidR="004D5AD1" w:rsidRPr="004D5AD1">
        <w:rPr>
          <w:noProof/>
        </w:rPr>
        <w:t>prz</w:t>
      </w:r>
      <w:r w:rsidRPr="004D5AD1">
        <w:rPr>
          <w:noProof/>
        </w:rPr>
        <w:t xml:space="preserve">ypadku braku wystarczającej infrastruktury lub geologii umożliwiających ponowne zatłoczenie metanu, wykorzystanie go na miejscu lub wysłanie na rynek; </w:t>
      </w:r>
    </w:p>
    <w:p w14:paraId="425E16B0" w14:textId="1E93621A" w:rsidR="00E212DB" w:rsidRPr="004D5AD1" w:rsidRDefault="009B2ABC" w:rsidP="00E212DB">
      <w:pPr>
        <w:rPr>
          <w:noProof/>
        </w:rPr>
      </w:pPr>
      <w:r w:rsidRPr="004D5AD1">
        <w:rPr>
          <w:noProof/>
        </w:rPr>
        <w:t>23)</w:t>
      </w:r>
      <w:r w:rsidRPr="004D5AD1">
        <w:rPr>
          <w:noProof/>
        </w:rPr>
        <w:tab/>
        <w:t>„urządzenie do spalania odpadów petrochemicznych” oznacza urządzenie wyposażone</w:t>
      </w:r>
      <w:r w:rsidR="004D5AD1" w:rsidRPr="004D5AD1">
        <w:rPr>
          <w:noProof/>
        </w:rPr>
        <w:t xml:space="preserve"> w</w:t>
      </w:r>
      <w:r w:rsidR="004D5AD1">
        <w:rPr>
          <w:noProof/>
        </w:rPr>
        <w:t> </w:t>
      </w:r>
      <w:r w:rsidR="004D5AD1" w:rsidRPr="004D5AD1">
        <w:rPr>
          <w:noProof/>
        </w:rPr>
        <w:t>pal</w:t>
      </w:r>
      <w:r w:rsidRPr="004D5AD1">
        <w:rPr>
          <w:noProof/>
        </w:rPr>
        <w:t>nik stosowany do spalania metanu</w:t>
      </w:r>
      <w:r w:rsidR="004D5AD1" w:rsidRPr="004D5AD1">
        <w:rPr>
          <w:noProof/>
        </w:rPr>
        <w:t xml:space="preserve"> w</w:t>
      </w:r>
      <w:r w:rsidR="004D5AD1">
        <w:rPr>
          <w:noProof/>
        </w:rPr>
        <w:t> </w:t>
      </w:r>
      <w:r w:rsidR="004D5AD1" w:rsidRPr="004D5AD1">
        <w:rPr>
          <w:noProof/>
        </w:rPr>
        <w:t>poc</w:t>
      </w:r>
      <w:r w:rsidRPr="004D5AD1">
        <w:rPr>
          <w:noProof/>
        </w:rPr>
        <w:t>hodni;</w:t>
      </w:r>
    </w:p>
    <w:p w14:paraId="4530BF70" w14:textId="7D16EC3B" w:rsidR="00EC6C46" w:rsidRPr="004D5AD1" w:rsidRDefault="00550A51" w:rsidP="00E212DB">
      <w:pPr>
        <w:rPr>
          <w:noProof/>
        </w:rPr>
      </w:pPr>
      <w:r w:rsidRPr="004D5AD1">
        <w:rPr>
          <w:noProof/>
        </w:rPr>
        <w:t>24)</w:t>
      </w:r>
      <w:r w:rsidRPr="004D5AD1">
        <w:rPr>
          <w:noProof/>
        </w:rPr>
        <w:tab/>
        <w:t>„odwiert nieczynny” oznacza odwiert lub teren odwiertu naftowego lub gazowego, gdzie działalność poszukiwawcza lub produkcyjna jest zakończona co najmniej od roku;</w:t>
      </w:r>
    </w:p>
    <w:p w14:paraId="322F3169" w14:textId="485C890D" w:rsidR="00187C43" w:rsidRPr="004D5AD1" w:rsidRDefault="00187C43" w:rsidP="00E212DB">
      <w:pPr>
        <w:rPr>
          <w:noProof/>
        </w:rPr>
      </w:pPr>
      <w:r w:rsidRPr="004D5AD1">
        <w:rPr>
          <w:noProof/>
        </w:rPr>
        <w:t>25)</w:t>
      </w:r>
      <w:r w:rsidRPr="004D5AD1">
        <w:rPr>
          <w:noProof/>
        </w:rPr>
        <w:tab/>
        <w:t>„remediacja” oznacza proces oczyszczania zanieczyszczonej wody</w:t>
      </w:r>
      <w:r w:rsidR="004D5AD1" w:rsidRPr="004D5AD1">
        <w:rPr>
          <w:noProof/>
        </w:rPr>
        <w:t xml:space="preserve"> i</w:t>
      </w:r>
      <w:r w:rsidR="004D5AD1">
        <w:rPr>
          <w:noProof/>
        </w:rPr>
        <w:t> </w:t>
      </w:r>
      <w:r w:rsidR="004D5AD1" w:rsidRPr="004D5AD1">
        <w:rPr>
          <w:noProof/>
        </w:rPr>
        <w:t>gle</w:t>
      </w:r>
      <w:r w:rsidRPr="004D5AD1">
        <w:rPr>
          <w:noProof/>
        </w:rPr>
        <w:t>by;</w:t>
      </w:r>
    </w:p>
    <w:p w14:paraId="0A5229AF" w14:textId="046FAF65" w:rsidR="00187C43" w:rsidRPr="004D5AD1" w:rsidRDefault="00187C43" w:rsidP="00E212DB">
      <w:pPr>
        <w:rPr>
          <w:noProof/>
        </w:rPr>
      </w:pPr>
      <w:r w:rsidRPr="004D5AD1">
        <w:rPr>
          <w:noProof/>
        </w:rPr>
        <w:t>26)</w:t>
      </w:r>
      <w:r w:rsidRPr="004D5AD1">
        <w:rPr>
          <w:noProof/>
        </w:rPr>
        <w:tab/>
        <w:t>„rekultywacja” oznacza proces przywracania</w:t>
      </w:r>
      <w:r w:rsidR="004D5AD1" w:rsidRPr="004D5AD1">
        <w:rPr>
          <w:noProof/>
        </w:rPr>
        <w:t xml:space="preserve"> w</w:t>
      </w:r>
      <w:r w:rsidR="004D5AD1">
        <w:rPr>
          <w:noProof/>
        </w:rPr>
        <w:t> </w:t>
      </w:r>
      <w:r w:rsidR="004D5AD1" w:rsidRPr="004D5AD1">
        <w:rPr>
          <w:noProof/>
        </w:rPr>
        <w:t>obr</w:t>
      </w:r>
      <w:r w:rsidRPr="004D5AD1">
        <w:rPr>
          <w:noProof/>
        </w:rPr>
        <w:t>ębie odwiertu lub terenu odwiertu warunków glebowych</w:t>
      </w:r>
      <w:r w:rsidR="004D5AD1" w:rsidRPr="004D5AD1">
        <w:rPr>
          <w:noProof/>
        </w:rPr>
        <w:t xml:space="preserve"> i</w:t>
      </w:r>
      <w:r w:rsidR="004D5AD1">
        <w:rPr>
          <w:noProof/>
        </w:rPr>
        <w:t> </w:t>
      </w:r>
      <w:r w:rsidR="004D5AD1" w:rsidRPr="004D5AD1">
        <w:rPr>
          <w:noProof/>
        </w:rPr>
        <w:t>weg</w:t>
      </w:r>
      <w:r w:rsidRPr="004D5AD1">
        <w:rPr>
          <w:noProof/>
        </w:rPr>
        <w:t>etacyjnych podobnych do tych, które istniały przed ich zakłóceniem;</w:t>
      </w:r>
    </w:p>
    <w:p w14:paraId="289D307D" w14:textId="565F0E3C" w:rsidR="00D904B7" w:rsidRPr="004D5AD1" w:rsidRDefault="00D904B7" w:rsidP="00D904B7">
      <w:pPr>
        <w:rPr>
          <w:noProof/>
        </w:rPr>
      </w:pPr>
      <w:r w:rsidRPr="004D5AD1">
        <w:rPr>
          <w:noProof/>
        </w:rPr>
        <w:t>27)</w:t>
      </w:r>
      <w:r w:rsidRPr="004D5AD1">
        <w:rPr>
          <w:noProof/>
        </w:rPr>
        <w:tab/>
        <w:t>„kopalnia węgla” oznacza lokalizację,</w:t>
      </w:r>
      <w:r w:rsidR="004D5AD1" w:rsidRPr="004D5AD1">
        <w:rPr>
          <w:noProof/>
        </w:rPr>
        <w:t xml:space="preserve"> w</w:t>
      </w:r>
      <w:r w:rsidR="004D5AD1">
        <w:rPr>
          <w:noProof/>
        </w:rPr>
        <w:t> </w:t>
      </w:r>
      <w:r w:rsidR="004D5AD1" w:rsidRPr="004D5AD1">
        <w:rPr>
          <w:noProof/>
        </w:rPr>
        <w:t>któ</w:t>
      </w:r>
      <w:r w:rsidRPr="004D5AD1">
        <w:rPr>
          <w:noProof/>
        </w:rPr>
        <w:t>rej odbywa się lub odbywało wydobycie węgla,</w:t>
      </w:r>
      <w:r w:rsidR="004D5AD1" w:rsidRPr="004D5AD1">
        <w:rPr>
          <w:noProof/>
        </w:rPr>
        <w:t xml:space="preserve"> w</w:t>
      </w:r>
      <w:r w:rsidR="004D5AD1">
        <w:rPr>
          <w:noProof/>
        </w:rPr>
        <w:t> </w:t>
      </w:r>
      <w:r w:rsidR="004D5AD1" w:rsidRPr="004D5AD1">
        <w:rPr>
          <w:noProof/>
        </w:rPr>
        <w:t>tym</w:t>
      </w:r>
      <w:r w:rsidRPr="004D5AD1">
        <w:rPr>
          <w:noProof/>
        </w:rPr>
        <w:t xml:space="preserve"> grunty, wykopy, chodniki podziemne, szyby, zbocza, tunele</w:t>
      </w:r>
      <w:r w:rsidR="004D5AD1" w:rsidRPr="004D5AD1">
        <w:rPr>
          <w:noProof/>
        </w:rPr>
        <w:t xml:space="preserve"> i</w:t>
      </w:r>
      <w:r w:rsidR="004D5AD1">
        <w:rPr>
          <w:noProof/>
        </w:rPr>
        <w:t> </w:t>
      </w:r>
      <w:r w:rsidR="004D5AD1" w:rsidRPr="004D5AD1">
        <w:rPr>
          <w:noProof/>
        </w:rPr>
        <w:t>wyr</w:t>
      </w:r>
      <w:r w:rsidRPr="004D5AD1">
        <w:rPr>
          <w:noProof/>
        </w:rPr>
        <w:t>obiska, konstrukcje, obiekty, wyposażenie, maszyny</w:t>
      </w:r>
      <w:r w:rsidR="004D5AD1" w:rsidRPr="004D5AD1">
        <w:rPr>
          <w:noProof/>
        </w:rPr>
        <w:t xml:space="preserve"> i</w:t>
      </w:r>
      <w:r w:rsidR="004D5AD1">
        <w:rPr>
          <w:noProof/>
        </w:rPr>
        <w:t> </w:t>
      </w:r>
      <w:r w:rsidR="004D5AD1" w:rsidRPr="004D5AD1">
        <w:rPr>
          <w:noProof/>
        </w:rPr>
        <w:t>nar</w:t>
      </w:r>
      <w:r w:rsidRPr="004D5AD1">
        <w:rPr>
          <w:noProof/>
        </w:rPr>
        <w:t>zędzia znajdujące się na powierzchni lub pod ziemią</w:t>
      </w:r>
      <w:r w:rsidR="004D5AD1" w:rsidRPr="004D5AD1">
        <w:rPr>
          <w:noProof/>
        </w:rPr>
        <w:t xml:space="preserve"> i</w:t>
      </w:r>
      <w:r w:rsidR="004D5AD1">
        <w:rPr>
          <w:noProof/>
        </w:rPr>
        <w:t> </w:t>
      </w:r>
      <w:r w:rsidR="004D5AD1" w:rsidRPr="004D5AD1">
        <w:rPr>
          <w:noProof/>
        </w:rPr>
        <w:t>wyk</w:t>
      </w:r>
      <w:r w:rsidRPr="004D5AD1">
        <w:rPr>
          <w:noProof/>
        </w:rPr>
        <w:t>orzystywane</w:t>
      </w:r>
      <w:r w:rsidR="004D5AD1" w:rsidRPr="004D5AD1">
        <w:rPr>
          <w:noProof/>
        </w:rPr>
        <w:t xml:space="preserve"> w</w:t>
      </w:r>
      <w:r w:rsidR="004D5AD1">
        <w:rPr>
          <w:noProof/>
        </w:rPr>
        <w:t> </w:t>
      </w:r>
      <w:r w:rsidR="004D5AD1" w:rsidRPr="004D5AD1">
        <w:rPr>
          <w:noProof/>
        </w:rPr>
        <w:t>pra</w:t>
      </w:r>
      <w:r w:rsidRPr="004D5AD1">
        <w:rPr>
          <w:noProof/>
        </w:rPr>
        <w:t>cach związanych</w:t>
      </w:r>
      <w:r w:rsidR="004D5AD1" w:rsidRPr="004D5AD1">
        <w:rPr>
          <w:noProof/>
        </w:rPr>
        <w:t xml:space="preserve"> z</w:t>
      </w:r>
      <w:r w:rsidR="004D5AD1">
        <w:rPr>
          <w:noProof/>
        </w:rPr>
        <w:t> </w:t>
      </w:r>
      <w:r w:rsidR="004D5AD1" w:rsidRPr="004D5AD1">
        <w:rPr>
          <w:noProof/>
        </w:rPr>
        <w:t>wyd</w:t>
      </w:r>
      <w:r w:rsidRPr="004D5AD1">
        <w:rPr>
          <w:noProof/>
        </w:rPr>
        <w:t>obyciem węgla brunatnego, węgla subbitumicznego, węgla bitumicznego lub węgla kamiennego</w:t>
      </w:r>
      <w:r w:rsidR="004D5AD1" w:rsidRPr="004D5AD1">
        <w:rPr>
          <w:noProof/>
        </w:rPr>
        <w:t xml:space="preserve"> z</w:t>
      </w:r>
      <w:r w:rsidR="004D5AD1">
        <w:rPr>
          <w:noProof/>
        </w:rPr>
        <w:t> </w:t>
      </w:r>
      <w:r w:rsidR="004D5AD1" w:rsidRPr="004D5AD1">
        <w:rPr>
          <w:noProof/>
        </w:rPr>
        <w:t>nat</w:t>
      </w:r>
      <w:r w:rsidRPr="004D5AD1">
        <w:rPr>
          <w:noProof/>
        </w:rPr>
        <w:t>uralnych złóż</w:t>
      </w:r>
      <w:r w:rsidR="004D5AD1" w:rsidRPr="004D5AD1">
        <w:rPr>
          <w:noProof/>
        </w:rPr>
        <w:t xml:space="preserve"> w</w:t>
      </w:r>
      <w:r w:rsidR="004D5AD1">
        <w:rPr>
          <w:noProof/>
        </w:rPr>
        <w:t> </w:t>
      </w:r>
      <w:r w:rsidR="004D5AD1" w:rsidRPr="004D5AD1">
        <w:rPr>
          <w:noProof/>
        </w:rPr>
        <w:t>zie</w:t>
      </w:r>
      <w:r w:rsidRPr="004D5AD1">
        <w:rPr>
          <w:noProof/>
        </w:rPr>
        <w:t>mi za pomocą dowolnych środków lub metod,</w:t>
      </w:r>
      <w:r w:rsidR="004D5AD1" w:rsidRPr="004D5AD1">
        <w:rPr>
          <w:noProof/>
        </w:rPr>
        <w:t xml:space="preserve"> w</w:t>
      </w:r>
      <w:r w:rsidR="004D5AD1">
        <w:rPr>
          <w:noProof/>
        </w:rPr>
        <w:t> </w:t>
      </w:r>
      <w:r w:rsidR="004D5AD1" w:rsidRPr="004D5AD1">
        <w:rPr>
          <w:noProof/>
        </w:rPr>
        <w:t>tym w</w:t>
      </w:r>
      <w:r w:rsidR="004D5AD1">
        <w:rPr>
          <w:noProof/>
        </w:rPr>
        <w:t> </w:t>
      </w:r>
      <w:r w:rsidR="004D5AD1" w:rsidRPr="004D5AD1">
        <w:rPr>
          <w:noProof/>
        </w:rPr>
        <w:t>pra</w:t>
      </w:r>
      <w:r w:rsidRPr="004D5AD1">
        <w:rPr>
          <w:noProof/>
        </w:rPr>
        <w:t>cach związanych</w:t>
      </w:r>
      <w:r w:rsidR="004D5AD1" w:rsidRPr="004D5AD1">
        <w:rPr>
          <w:noProof/>
        </w:rPr>
        <w:t xml:space="preserve"> z</w:t>
      </w:r>
      <w:r w:rsidR="004D5AD1">
        <w:rPr>
          <w:noProof/>
        </w:rPr>
        <w:t> </w:t>
      </w:r>
      <w:r w:rsidR="004D5AD1" w:rsidRPr="004D5AD1">
        <w:rPr>
          <w:noProof/>
        </w:rPr>
        <w:t>prz</w:t>
      </w:r>
      <w:r w:rsidRPr="004D5AD1">
        <w:rPr>
          <w:noProof/>
        </w:rPr>
        <w:t xml:space="preserve">ygotowaniem wydobycia węgla, lub będące wynikiem wszystkich wymienionych prac; </w:t>
      </w:r>
    </w:p>
    <w:p w14:paraId="315A028E" w14:textId="2F426FD4" w:rsidR="00F33291" w:rsidRPr="004D5AD1" w:rsidRDefault="00F33291" w:rsidP="00F33291">
      <w:pPr>
        <w:rPr>
          <w:noProof/>
        </w:rPr>
      </w:pPr>
      <w:r w:rsidRPr="004D5AD1">
        <w:rPr>
          <w:noProof/>
        </w:rPr>
        <w:t>28)</w:t>
      </w:r>
      <w:r w:rsidRPr="004D5AD1">
        <w:rPr>
          <w:noProof/>
        </w:rPr>
        <w:tab/>
        <w:t>„czynna kopalnia węgla” oznacza kopalnię węgla,</w:t>
      </w:r>
      <w:r w:rsidR="004D5AD1" w:rsidRPr="004D5AD1">
        <w:rPr>
          <w:noProof/>
        </w:rPr>
        <w:t xml:space="preserve"> w</w:t>
      </w:r>
      <w:r w:rsidR="004D5AD1">
        <w:rPr>
          <w:noProof/>
        </w:rPr>
        <w:t> </w:t>
      </w:r>
      <w:r w:rsidR="004D5AD1" w:rsidRPr="004D5AD1">
        <w:rPr>
          <w:noProof/>
        </w:rPr>
        <w:t>prz</w:t>
      </w:r>
      <w:r w:rsidRPr="004D5AD1">
        <w:rPr>
          <w:noProof/>
        </w:rPr>
        <w:t>ypadku której większość przychodów pochodzi</w:t>
      </w:r>
      <w:r w:rsidR="004D5AD1" w:rsidRPr="004D5AD1">
        <w:rPr>
          <w:noProof/>
        </w:rPr>
        <w:t xml:space="preserve"> z</w:t>
      </w:r>
      <w:r w:rsidR="004D5AD1">
        <w:rPr>
          <w:noProof/>
        </w:rPr>
        <w:t> </w:t>
      </w:r>
      <w:r w:rsidR="004D5AD1" w:rsidRPr="004D5AD1">
        <w:rPr>
          <w:noProof/>
        </w:rPr>
        <w:t>wyd</w:t>
      </w:r>
      <w:r w:rsidRPr="004D5AD1">
        <w:rPr>
          <w:noProof/>
        </w:rPr>
        <w:t>obycia węgla brunatnego, węgla subbitumicznego, węgla bitumicznego lub węgla kamiennego</w:t>
      </w:r>
      <w:r w:rsidR="004D5AD1" w:rsidRPr="004D5AD1">
        <w:rPr>
          <w:noProof/>
        </w:rPr>
        <w:t xml:space="preserve"> i</w:t>
      </w:r>
      <w:r w:rsidR="004D5AD1">
        <w:rPr>
          <w:noProof/>
        </w:rPr>
        <w:t> </w:t>
      </w:r>
      <w:r w:rsidR="004D5AD1" w:rsidRPr="004D5AD1">
        <w:rPr>
          <w:noProof/>
        </w:rPr>
        <w:t>w</w:t>
      </w:r>
      <w:r w:rsidR="004D5AD1">
        <w:rPr>
          <w:noProof/>
        </w:rPr>
        <w:t> </w:t>
      </w:r>
      <w:r w:rsidR="004D5AD1" w:rsidRPr="004D5AD1">
        <w:rPr>
          <w:noProof/>
        </w:rPr>
        <w:t>odn</w:t>
      </w:r>
      <w:r w:rsidRPr="004D5AD1">
        <w:rPr>
          <w:noProof/>
        </w:rPr>
        <w:t>iesieniu do której spełniony jest co najmniej jeden</w:t>
      </w:r>
      <w:r w:rsidR="004D5AD1" w:rsidRPr="004D5AD1">
        <w:rPr>
          <w:noProof/>
        </w:rPr>
        <w:t xml:space="preserve"> z</w:t>
      </w:r>
      <w:r w:rsidR="004D5AD1">
        <w:rPr>
          <w:noProof/>
        </w:rPr>
        <w:t> </w:t>
      </w:r>
      <w:r w:rsidR="004D5AD1" w:rsidRPr="004D5AD1">
        <w:rPr>
          <w:noProof/>
        </w:rPr>
        <w:t>nas</w:t>
      </w:r>
      <w:r w:rsidRPr="004D5AD1">
        <w:rPr>
          <w:noProof/>
        </w:rPr>
        <w:t>tępujących warunków:</w:t>
      </w:r>
    </w:p>
    <w:p w14:paraId="6520BE93" w14:textId="0DDEDE8A" w:rsidR="00D904B7" w:rsidRPr="004D5AD1" w:rsidRDefault="007D4260" w:rsidP="001C3E6F">
      <w:pPr>
        <w:ind w:firstLine="720"/>
        <w:rPr>
          <w:noProof/>
        </w:rPr>
      </w:pPr>
      <w:r w:rsidRPr="004D5AD1">
        <w:rPr>
          <w:noProof/>
        </w:rPr>
        <w:t>a) trwa budowa kopalni;</w:t>
      </w:r>
    </w:p>
    <w:p w14:paraId="343C0810" w14:textId="3E206E05" w:rsidR="00D904B7" w:rsidRPr="004D5AD1" w:rsidRDefault="007D4260" w:rsidP="0058182C">
      <w:pPr>
        <w:ind w:firstLine="720"/>
        <w:rPr>
          <w:noProof/>
        </w:rPr>
      </w:pPr>
      <w:r w:rsidRPr="004D5AD1">
        <w:rPr>
          <w:noProof/>
        </w:rPr>
        <w:t>b)</w:t>
      </w:r>
      <w:r w:rsidR="004D5AD1" w:rsidRPr="004D5AD1">
        <w:rPr>
          <w:noProof/>
        </w:rPr>
        <w:t xml:space="preserve"> w</w:t>
      </w:r>
      <w:r w:rsidR="004D5AD1">
        <w:rPr>
          <w:noProof/>
        </w:rPr>
        <w:t> </w:t>
      </w:r>
      <w:r w:rsidR="004D5AD1" w:rsidRPr="004D5AD1">
        <w:rPr>
          <w:noProof/>
        </w:rPr>
        <w:t>okr</w:t>
      </w:r>
      <w:r w:rsidRPr="004D5AD1">
        <w:rPr>
          <w:noProof/>
        </w:rPr>
        <w:t>esie ostatnich 90 dni miała miejsce produkcja węgla;</w:t>
      </w:r>
    </w:p>
    <w:p w14:paraId="7C510EA9" w14:textId="2938E1CF" w:rsidR="00D904B7" w:rsidRPr="004D5AD1" w:rsidRDefault="007D4260" w:rsidP="005E29AA">
      <w:pPr>
        <w:ind w:firstLine="720"/>
        <w:rPr>
          <w:noProof/>
        </w:rPr>
      </w:pPr>
      <w:r w:rsidRPr="004D5AD1">
        <w:rPr>
          <w:noProof/>
        </w:rPr>
        <w:t>c) wentylatory kopalni są czynne.</w:t>
      </w:r>
    </w:p>
    <w:p w14:paraId="7F1A8671" w14:textId="0DF25330" w:rsidR="001C3E6F" w:rsidRPr="004D5AD1" w:rsidRDefault="006E59E5" w:rsidP="001C3E6F">
      <w:pPr>
        <w:rPr>
          <w:noProof/>
        </w:rPr>
      </w:pPr>
      <w:r w:rsidRPr="004D5AD1">
        <w:rPr>
          <w:noProof/>
        </w:rPr>
        <w:t>29)</w:t>
      </w:r>
      <w:r w:rsidRPr="004D5AD1">
        <w:rPr>
          <w:noProof/>
        </w:rPr>
        <w:tab/>
        <w:t>„podziemna kopalnia węgla” oznacza kopalnię węgla,</w:t>
      </w:r>
      <w:r w:rsidR="004D5AD1" w:rsidRPr="004D5AD1">
        <w:rPr>
          <w:noProof/>
        </w:rPr>
        <w:t xml:space="preserve"> w</w:t>
      </w:r>
      <w:r w:rsidR="004D5AD1">
        <w:rPr>
          <w:noProof/>
        </w:rPr>
        <w:t> </w:t>
      </w:r>
      <w:r w:rsidR="004D5AD1" w:rsidRPr="004D5AD1">
        <w:rPr>
          <w:noProof/>
        </w:rPr>
        <w:t>któ</w:t>
      </w:r>
      <w:r w:rsidRPr="004D5AD1">
        <w:rPr>
          <w:noProof/>
        </w:rPr>
        <w:t>rej produkuje się węgiel</w:t>
      </w:r>
      <w:r w:rsidR="004D5AD1" w:rsidRPr="004D5AD1">
        <w:rPr>
          <w:noProof/>
        </w:rPr>
        <w:t xml:space="preserve"> w</w:t>
      </w:r>
      <w:r w:rsidR="004D5AD1">
        <w:rPr>
          <w:noProof/>
        </w:rPr>
        <w:t> </w:t>
      </w:r>
      <w:r w:rsidR="004D5AD1" w:rsidRPr="004D5AD1">
        <w:rPr>
          <w:noProof/>
        </w:rPr>
        <w:t>dro</w:t>
      </w:r>
      <w:r w:rsidRPr="004D5AD1">
        <w:rPr>
          <w:noProof/>
        </w:rPr>
        <w:t>dze prowadzenia tuneli pod ziemią do pokładów węgla,</w:t>
      </w:r>
      <w:r w:rsidR="004D5AD1" w:rsidRPr="004D5AD1">
        <w:rPr>
          <w:noProof/>
        </w:rPr>
        <w:t xml:space="preserve"> a</w:t>
      </w:r>
      <w:r w:rsidR="004D5AD1">
        <w:rPr>
          <w:noProof/>
        </w:rPr>
        <w:t> </w:t>
      </w:r>
      <w:r w:rsidR="004D5AD1" w:rsidRPr="004D5AD1">
        <w:rPr>
          <w:noProof/>
        </w:rPr>
        <w:t>ten</w:t>
      </w:r>
      <w:r w:rsidRPr="004D5AD1">
        <w:rPr>
          <w:noProof/>
        </w:rPr>
        <w:t xml:space="preserve"> jest następnie wydobywany przy użyciu podziemnego sprzętu górniczego, takiego jak maszyny tnące oraz maszyny do wydobycia ciągłego, ścianowego (eksploatacja długiej</w:t>
      </w:r>
      <w:r w:rsidR="004D5AD1" w:rsidRPr="004D5AD1">
        <w:rPr>
          <w:noProof/>
        </w:rPr>
        <w:t xml:space="preserve"> i</w:t>
      </w:r>
      <w:r w:rsidR="004D5AD1">
        <w:rPr>
          <w:noProof/>
        </w:rPr>
        <w:t> </w:t>
      </w:r>
      <w:r w:rsidR="004D5AD1" w:rsidRPr="004D5AD1">
        <w:rPr>
          <w:noProof/>
        </w:rPr>
        <w:t>kró</w:t>
      </w:r>
      <w:r w:rsidRPr="004D5AD1">
        <w:rPr>
          <w:noProof/>
        </w:rPr>
        <w:t>tkiej ściany),</w:t>
      </w:r>
      <w:r w:rsidR="004D5AD1" w:rsidRPr="004D5AD1">
        <w:rPr>
          <w:noProof/>
        </w:rPr>
        <w:t xml:space="preserve"> i</w:t>
      </w:r>
      <w:r w:rsidR="004D5AD1">
        <w:rPr>
          <w:noProof/>
        </w:rPr>
        <w:t> </w:t>
      </w:r>
      <w:r w:rsidR="004D5AD1" w:rsidRPr="004D5AD1">
        <w:rPr>
          <w:noProof/>
        </w:rPr>
        <w:t>tra</w:t>
      </w:r>
      <w:r w:rsidRPr="004D5AD1">
        <w:rPr>
          <w:noProof/>
        </w:rPr>
        <w:t>nsportowany na powierzchnię;</w:t>
      </w:r>
    </w:p>
    <w:p w14:paraId="37A48C65" w14:textId="1257FFE9" w:rsidR="001C3E6F" w:rsidRPr="004D5AD1" w:rsidRDefault="001C3E6F" w:rsidP="001C3E6F">
      <w:pPr>
        <w:rPr>
          <w:noProof/>
        </w:rPr>
      </w:pPr>
      <w:r w:rsidRPr="004D5AD1">
        <w:rPr>
          <w:noProof/>
        </w:rPr>
        <w:t>30)</w:t>
      </w:r>
      <w:r w:rsidRPr="004D5AD1">
        <w:rPr>
          <w:noProof/>
        </w:rPr>
        <w:tab/>
        <w:t>„odkrywkowa kopalnia węgla” oznacza kopalnię węgla,</w:t>
      </w:r>
      <w:r w:rsidR="004D5AD1" w:rsidRPr="004D5AD1">
        <w:rPr>
          <w:noProof/>
        </w:rPr>
        <w:t xml:space="preserve"> w</w:t>
      </w:r>
      <w:r w:rsidR="004D5AD1">
        <w:rPr>
          <w:noProof/>
        </w:rPr>
        <w:t> </w:t>
      </w:r>
      <w:r w:rsidR="004D5AD1" w:rsidRPr="004D5AD1">
        <w:rPr>
          <w:noProof/>
        </w:rPr>
        <w:t>któ</w:t>
      </w:r>
      <w:r w:rsidRPr="004D5AD1">
        <w:rPr>
          <w:noProof/>
        </w:rPr>
        <w:t>rej węgiel znajduje się</w:t>
      </w:r>
      <w:r w:rsidR="004D5AD1" w:rsidRPr="004D5AD1">
        <w:rPr>
          <w:noProof/>
        </w:rPr>
        <w:t xml:space="preserve"> w</w:t>
      </w:r>
      <w:r w:rsidR="004D5AD1">
        <w:rPr>
          <w:noProof/>
        </w:rPr>
        <w:t> </w:t>
      </w:r>
      <w:r w:rsidR="004D5AD1" w:rsidRPr="004D5AD1">
        <w:rPr>
          <w:noProof/>
        </w:rPr>
        <w:t>pob</w:t>
      </w:r>
      <w:r w:rsidRPr="004D5AD1">
        <w:rPr>
          <w:noProof/>
        </w:rPr>
        <w:t>liżu powierzchni</w:t>
      </w:r>
      <w:r w:rsidR="004D5AD1" w:rsidRPr="004D5AD1">
        <w:rPr>
          <w:noProof/>
        </w:rPr>
        <w:t xml:space="preserve"> i</w:t>
      </w:r>
      <w:r w:rsidR="004D5AD1">
        <w:rPr>
          <w:noProof/>
        </w:rPr>
        <w:t> </w:t>
      </w:r>
      <w:r w:rsidR="004D5AD1" w:rsidRPr="004D5AD1">
        <w:rPr>
          <w:noProof/>
        </w:rPr>
        <w:t>moż</w:t>
      </w:r>
      <w:r w:rsidRPr="004D5AD1">
        <w:rPr>
          <w:noProof/>
        </w:rPr>
        <w:t>e być wydobywany poprzez usunięcie przykrywających go warstw skał</w:t>
      </w:r>
      <w:r w:rsidR="004D5AD1" w:rsidRPr="004D5AD1">
        <w:rPr>
          <w:noProof/>
        </w:rPr>
        <w:t xml:space="preserve"> i</w:t>
      </w:r>
      <w:r w:rsidR="004D5AD1">
        <w:rPr>
          <w:noProof/>
        </w:rPr>
        <w:t> </w:t>
      </w:r>
      <w:r w:rsidR="004D5AD1" w:rsidRPr="004D5AD1">
        <w:rPr>
          <w:noProof/>
        </w:rPr>
        <w:t>gle</w:t>
      </w:r>
      <w:r w:rsidRPr="004D5AD1">
        <w:rPr>
          <w:noProof/>
        </w:rPr>
        <w:t>by;</w:t>
      </w:r>
    </w:p>
    <w:p w14:paraId="5B257CC4" w14:textId="6C339839" w:rsidR="001C3E6F" w:rsidRPr="004D5AD1" w:rsidRDefault="001C3E6F" w:rsidP="001C3E6F">
      <w:pPr>
        <w:rPr>
          <w:noProof/>
        </w:rPr>
      </w:pPr>
      <w:r w:rsidRPr="004D5AD1">
        <w:rPr>
          <w:noProof/>
        </w:rPr>
        <w:t>31)</w:t>
      </w:r>
      <w:r w:rsidRPr="004D5AD1">
        <w:rPr>
          <w:noProof/>
        </w:rPr>
        <w:tab/>
        <w:t>„szyb wentylacyjny” oznacza pionowy korytarz wykorzystywany do przemieszczania świeżego powietrza pod ziemią lub usuwania metanu</w:t>
      </w:r>
      <w:r w:rsidR="004D5AD1" w:rsidRPr="004D5AD1">
        <w:rPr>
          <w:noProof/>
        </w:rPr>
        <w:t xml:space="preserve"> i</w:t>
      </w:r>
      <w:r w:rsidR="004D5AD1">
        <w:rPr>
          <w:noProof/>
        </w:rPr>
        <w:t> </w:t>
      </w:r>
      <w:r w:rsidR="004D5AD1" w:rsidRPr="004D5AD1">
        <w:rPr>
          <w:noProof/>
        </w:rPr>
        <w:t>inn</w:t>
      </w:r>
      <w:r w:rsidRPr="004D5AD1">
        <w:rPr>
          <w:noProof/>
        </w:rPr>
        <w:t>ych gazów</w:t>
      </w:r>
      <w:r w:rsidR="004D5AD1" w:rsidRPr="004D5AD1">
        <w:rPr>
          <w:noProof/>
        </w:rPr>
        <w:t xml:space="preserve"> z</w:t>
      </w:r>
      <w:r w:rsidR="004D5AD1">
        <w:rPr>
          <w:noProof/>
        </w:rPr>
        <w:t> </w:t>
      </w:r>
      <w:r w:rsidR="004D5AD1" w:rsidRPr="004D5AD1">
        <w:rPr>
          <w:noProof/>
        </w:rPr>
        <w:t>pod</w:t>
      </w:r>
      <w:r w:rsidRPr="004D5AD1">
        <w:rPr>
          <w:noProof/>
        </w:rPr>
        <w:t>ziemnej kopalni węgla;</w:t>
      </w:r>
    </w:p>
    <w:p w14:paraId="676B3155" w14:textId="27645AC8" w:rsidR="0058632B" w:rsidRPr="004D5AD1" w:rsidRDefault="0058632B" w:rsidP="0058632B">
      <w:pPr>
        <w:rPr>
          <w:noProof/>
        </w:rPr>
      </w:pPr>
      <w:r w:rsidRPr="004D5AD1">
        <w:rPr>
          <w:noProof/>
        </w:rPr>
        <w:t>32)</w:t>
      </w:r>
      <w:r w:rsidRPr="004D5AD1">
        <w:rPr>
          <w:noProof/>
        </w:rPr>
        <w:tab/>
        <w:t>„stacja odmetanowania” oznacza stację pobierającą metan</w:t>
      </w:r>
      <w:r w:rsidR="004D5AD1" w:rsidRPr="004D5AD1">
        <w:rPr>
          <w:noProof/>
        </w:rPr>
        <w:t xml:space="preserve"> z</w:t>
      </w:r>
      <w:r w:rsidR="004D5AD1">
        <w:rPr>
          <w:noProof/>
        </w:rPr>
        <w:t> </w:t>
      </w:r>
      <w:r w:rsidR="004D5AD1" w:rsidRPr="004D5AD1">
        <w:rPr>
          <w:noProof/>
        </w:rPr>
        <w:t>sys</w:t>
      </w:r>
      <w:r w:rsidRPr="004D5AD1">
        <w:rPr>
          <w:noProof/>
        </w:rPr>
        <w:t xml:space="preserve">temu odmetanowania kopalni węgla; </w:t>
      </w:r>
    </w:p>
    <w:p w14:paraId="6FEB7D9F" w14:textId="0BDC6B28" w:rsidR="0058632B" w:rsidRPr="004D5AD1" w:rsidRDefault="0058632B" w:rsidP="0058632B">
      <w:pPr>
        <w:rPr>
          <w:noProof/>
        </w:rPr>
      </w:pPr>
      <w:r w:rsidRPr="004D5AD1">
        <w:rPr>
          <w:noProof/>
        </w:rPr>
        <w:t>33)</w:t>
      </w:r>
      <w:r w:rsidRPr="004D5AD1">
        <w:rPr>
          <w:noProof/>
        </w:rPr>
        <w:tab/>
        <w:t>„system odmetanowania” oznacza system, który może obejmować wiele źródeł metanu</w:t>
      </w:r>
      <w:r w:rsidR="004D5AD1" w:rsidRPr="004D5AD1">
        <w:rPr>
          <w:noProof/>
        </w:rPr>
        <w:t xml:space="preserve"> i</w:t>
      </w:r>
      <w:r w:rsidR="004D5AD1">
        <w:rPr>
          <w:noProof/>
        </w:rPr>
        <w:t> </w:t>
      </w:r>
      <w:r w:rsidR="004D5AD1" w:rsidRPr="004D5AD1">
        <w:rPr>
          <w:noProof/>
        </w:rPr>
        <w:t>któ</w:t>
      </w:r>
      <w:r w:rsidRPr="004D5AD1">
        <w:rPr>
          <w:noProof/>
        </w:rPr>
        <w:t>ry odprowadza gaz bogaty</w:t>
      </w:r>
      <w:r w:rsidR="004D5AD1" w:rsidRPr="004D5AD1">
        <w:rPr>
          <w:noProof/>
        </w:rPr>
        <w:t xml:space="preserve"> w</w:t>
      </w:r>
      <w:r w:rsidR="004D5AD1">
        <w:rPr>
          <w:noProof/>
        </w:rPr>
        <w:t> </w:t>
      </w:r>
      <w:r w:rsidR="004D5AD1" w:rsidRPr="004D5AD1">
        <w:rPr>
          <w:noProof/>
        </w:rPr>
        <w:t>met</w:t>
      </w:r>
      <w:r w:rsidRPr="004D5AD1">
        <w:rPr>
          <w:noProof/>
        </w:rPr>
        <w:t>an</w:t>
      </w:r>
      <w:r w:rsidR="004D5AD1" w:rsidRPr="004D5AD1">
        <w:rPr>
          <w:noProof/>
        </w:rPr>
        <w:t xml:space="preserve"> z</w:t>
      </w:r>
      <w:r w:rsidR="004D5AD1">
        <w:rPr>
          <w:noProof/>
        </w:rPr>
        <w:t> </w:t>
      </w:r>
      <w:r w:rsidR="004D5AD1" w:rsidRPr="004D5AD1">
        <w:rPr>
          <w:noProof/>
        </w:rPr>
        <w:t>pok</w:t>
      </w:r>
      <w:r w:rsidRPr="004D5AD1">
        <w:rPr>
          <w:noProof/>
        </w:rPr>
        <w:t>ładów węgla lub otaczających warstw skalnych</w:t>
      </w:r>
      <w:r w:rsidR="004D5AD1" w:rsidRPr="004D5AD1">
        <w:rPr>
          <w:noProof/>
        </w:rPr>
        <w:t xml:space="preserve"> i</w:t>
      </w:r>
      <w:r w:rsidR="004D5AD1">
        <w:rPr>
          <w:noProof/>
        </w:rPr>
        <w:t> </w:t>
      </w:r>
      <w:r w:rsidR="004D5AD1" w:rsidRPr="004D5AD1">
        <w:rPr>
          <w:noProof/>
        </w:rPr>
        <w:t>tra</w:t>
      </w:r>
      <w:r w:rsidRPr="004D5AD1">
        <w:rPr>
          <w:noProof/>
        </w:rPr>
        <w:t>nsportuje go do stacji odmetanowania;</w:t>
      </w:r>
    </w:p>
    <w:p w14:paraId="752133A6" w14:textId="2D9B4BE6" w:rsidR="0058632B" w:rsidRPr="004D5AD1" w:rsidRDefault="0058632B" w:rsidP="0058632B">
      <w:pPr>
        <w:rPr>
          <w:noProof/>
        </w:rPr>
      </w:pPr>
      <w:r w:rsidRPr="004D5AD1">
        <w:rPr>
          <w:noProof/>
        </w:rPr>
        <w:t>34)</w:t>
      </w:r>
      <w:r w:rsidRPr="004D5AD1">
        <w:rPr>
          <w:noProof/>
        </w:rPr>
        <w:tab/>
        <w:t>„działalność powydobywcza” oznacza działalność prowadzoną po wydobyciu</w:t>
      </w:r>
      <w:r w:rsidR="004D5AD1" w:rsidRPr="004D5AD1">
        <w:rPr>
          <w:noProof/>
        </w:rPr>
        <w:t xml:space="preserve"> i</w:t>
      </w:r>
      <w:r w:rsidR="004D5AD1">
        <w:rPr>
          <w:noProof/>
        </w:rPr>
        <w:t> </w:t>
      </w:r>
      <w:r w:rsidR="004D5AD1" w:rsidRPr="004D5AD1">
        <w:rPr>
          <w:noProof/>
        </w:rPr>
        <w:t>odt</w:t>
      </w:r>
      <w:r w:rsidRPr="004D5AD1">
        <w:rPr>
          <w:noProof/>
        </w:rPr>
        <w:t>ransportowaniu węgla na powierzchnię,</w:t>
      </w:r>
      <w:r w:rsidR="004D5AD1" w:rsidRPr="004D5AD1">
        <w:rPr>
          <w:noProof/>
        </w:rPr>
        <w:t xml:space="preserve"> w</w:t>
      </w:r>
      <w:r w:rsidR="004D5AD1">
        <w:rPr>
          <w:noProof/>
        </w:rPr>
        <w:t> </w:t>
      </w:r>
      <w:r w:rsidR="004D5AD1" w:rsidRPr="004D5AD1">
        <w:rPr>
          <w:noProof/>
        </w:rPr>
        <w:t>tym</w:t>
      </w:r>
      <w:r w:rsidRPr="004D5AD1">
        <w:rPr>
          <w:noProof/>
        </w:rPr>
        <w:t xml:space="preserve"> przeładunek, przetwarzanie, składowanie</w:t>
      </w:r>
      <w:r w:rsidR="004D5AD1" w:rsidRPr="004D5AD1">
        <w:rPr>
          <w:noProof/>
        </w:rPr>
        <w:t xml:space="preserve"> i</w:t>
      </w:r>
      <w:r w:rsidR="004D5AD1">
        <w:rPr>
          <w:noProof/>
        </w:rPr>
        <w:t> </w:t>
      </w:r>
      <w:r w:rsidR="004D5AD1" w:rsidRPr="004D5AD1">
        <w:rPr>
          <w:noProof/>
        </w:rPr>
        <w:t>tra</w:t>
      </w:r>
      <w:r w:rsidRPr="004D5AD1">
        <w:rPr>
          <w:noProof/>
        </w:rPr>
        <w:t>nsport węgla;</w:t>
      </w:r>
    </w:p>
    <w:p w14:paraId="0B9E45B5" w14:textId="41DC7AFB" w:rsidR="0058632B" w:rsidRPr="004D5AD1" w:rsidRDefault="0058632B" w:rsidP="0058632B">
      <w:pPr>
        <w:rPr>
          <w:noProof/>
        </w:rPr>
      </w:pPr>
      <w:r w:rsidRPr="004D5AD1">
        <w:rPr>
          <w:noProof/>
        </w:rPr>
        <w:t>35)</w:t>
      </w:r>
      <w:r w:rsidRPr="004D5AD1">
        <w:rPr>
          <w:noProof/>
        </w:rPr>
        <w:tab/>
        <w:t>„pomiar ciągły” oznacza pomiar,</w:t>
      </w:r>
      <w:r w:rsidR="004D5AD1" w:rsidRPr="004D5AD1">
        <w:rPr>
          <w:noProof/>
        </w:rPr>
        <w:t xml:space="preserve"> w</w:t>
      </w:r>
      <w:r w:rsidR="004D5AD1">
        <w:rPr>
          <w:noProof/>
        </w:rPr>
        <w:t> </w:t>
      </w:r>
      <w:r w:rsidR="004D5AD1" w:rsidRPr="004D5AD1">
        <w:rPr>
          <w:noProof/>
        </w:rPr>
        <w:t>ram</w:t>
      </w:r>
      <w:r w:rsidRPr="004D5AD1">
        <w:rPr>
          <w:noProof/>
        </w:rPr>
        <w:t>ach którego odczyt dokonywany jest co najmniej raz na minutę;</w:t>
      </w:r>
    </w:p>
    <w:p w14:paraId="51E4E32E" w14:textId="634B165D" w:rsidR="0058632B" w:rsidRPr="004D5AD1" w:rsidRDefault="0058632B" w:rsidP="0058632B">
      <w:pPr>
        <w:rPr>
          <w:noProof/>
        </w:rPr>
      </w:pPr>
      <w:r w:rsidRPr="004D5AD1">
        <w:rPr>
          <w:noProof/>
        </w:rPr>
        <w:t>36)</w:t>
      </w:r>
      <w:r w:rsidRPr="004D5AD1">
        <w:rPr>
          <w:noProof/>
        </w:rPr>
        <w:tab/>
        <w:t>„metan</w:t>
      </w:r>
      <w:r w:rsidR="004D5AD1" w:rsidRPr="004D5AD1">
        <w:rPr>
          <w:noProof/>
        </w:rPr>
        <w:t xml:space="preserve"> z</w:t>
      </w:r>
      <w:r w:rsidR="004D5AD1">
        <w:rPr>
          <w:noProof/>
        </w:rPr>
        <w:t> </w:t>
      </w:r>
      <w:r w:rsidR="004D5AD1" w:rsidRPr="004D5AD1">
        <w:rPr>
          <w:noProof/>
        </w:rPr>
        <w:t>pow</w:t>
      </w:r>
      <w:r w:rsidRPr="004D5AD1">
        <w:rPr>
          <w:noProof/>
        </w:rPr>
        <w:t>ietrza wentylacyjnego kopalń” oznacza metan emitowany</w:t>
      </w:r>
      <w:r w:rsidR="004D5AD1" w:rsidRPr="004D5AD1">
        <w:rPr>
          <w:noProof/>
        </w:rPr>
        <w:t xml:space="preserve"> z</w:t>
      </w:r>
      <w:r w:rsidR="004D5AD1">
        <w:rPr>
          <w:noProof/>
        </w:rPr>
        <w:t> </w:t>
      </w:r>
      <w:r w:rsidR="004D5AD1" w:rsidRPr="004D5AD1">
        <w:rPr>
          <w:noProof/>
        </w:rPr>
        <w:t>pok</w:t>
      </w:r>
      <w:r w:rsidRPr="004D5AD1">
        <w:rPr>
          <w:noProof/>
        </w:rPr>
        <w:t>ładów węgla</w:t>
      </w:r>
      <w:r w:rsidR="004D5AD1" w:rsidRPr="004D5AD1">
        <w:rPr>
          <w:noProof/>
        </w:rPr>
        <w:t xml:space="preserve"> i</w:t>
      </w:r>
      <w:r w:rsidR="004D5AD1">
        <w:rPr>
          <w:noProof/>
        </w:rPr>
        <w:t> </w:t>
      </w:r>
      <w:r w:rsidR="004D5AD1" w:rsidRPr="004D5AD1">
        <w:rPr>
          <w:noProof/>
        </w:rPr>
        <w:t>inn</w:t>
      </w:r>
      <w:r w:rsidRPr="004D5AD1">
        <w:rPr>
          <w:noProof/>
        </w:rPr>
        <w:t>ych warstw zawierających gaz, który trafia do powietrza wentylacyjnego</w:t>
      </w:r>
      <w:r w:rsidR="004D5AD1" w:rsidRPr="004D5AD1">
        <w:rPr>
          <w:noProof/>
        </w:rPr>
        <w:t xml:space="preserve"> i</w:t>
      </w:r>
      <w:r w:rsidR="004D5AD1">
        <w:rPr>
          <w:noProof/>
        </w:rPr>
        <w:t> </w:t>
      </w:r>
      <w:r w:rsidR="004D5AD1" w:rsidRPr="004D5AD1">
        <w:rPr>
          <w:noProof/>
        </w:rPr>
        <w:t>jes</w:t>
      </w:r>
      <w:r w:rsidRPr="004D5AD1">
        <w:rPr>
          <w:noProof/>
        </w:rPr>
        <w:t>t wyprowadzany</w:t>
      </w:r>
      <w:r w:rsidR="004D5AD1" w:rsidRPr="004D5AD1">
        <w:rPr>
          <w:noProof/>
        </w:rPr>
        <w:t xml:space="preserve"> z</w:t>
      </w:r>
      <w:r w:rsidR="004D5AD1">
        <w:rPr>
          <w:noProof/>
        </w:rPr>
        <w:t> </w:t>
      </w:r>
      <w:r w:rsidR="004D5AD1" w:rsidRPr="004D5AD1">
        <w:rPr>
          <w:noProof/>
        </w:rPr>
        <w:t>szy</w:t>
      </w:r>
      <w:r w:rsidRPr="004D5AD1">
        <w:rPr>
          <w:noProof/>
        </w:rPr>
        <w:t>bu wentylacyjnego;</w:t>
      </w:r>
    </w:p>
    <w:p w14:paraId="25791A4D" w14:textId="27B4E6A9" w:rsidR="0058632B" w:rsidRPr="004D5AD1" w:rsidRDefault="0058632B" w:rsidP="0058632B">
      <w:pPr>
        <w:rPr>
          <w:noProof/>
        </w:rPr>
      </w:pPr>
      <w:r w:rsidRPr="004D5AD1">
        <w:rPr>
          <w:noProof/>
        </w:rPr>
        <w:t>37)</w:t>
      </w:r>
      <w:r w:rsidRPr="004D5AD1">
        <w:rPr>
          <w:noProof/>
        </w:rPr>
        <w:tab/>
        <w:t>„złoże węgla” oznacza obszar gruntu, na którym znajdują się znaczne ilości węgla nadające się do wydobycia, określony zgodnie</w:t>
      </w:r>
      <w:r w:rsidR="004D5AD1" w:rsidRPr="004D5AD1">
        <w:rPr>
          <w:noProof/>
        </w:rPr>
        <w:t xml:space="preserve"> z</w:t>
      </w:r>
      <w:r w:rsidR="004D5AD1">
        <w:rPr>
          <w:noProof/>
        </w:rPr>
        <w:t> </w:t>
      </w:r>
      <w:r w:rsidR="004D5AD1" w:rsidRPr="004D5AD1">
        <w:rPr>
          <w:noProof/>
        </w:rPr>
        <w:t>met</w:t>
      </w:r>
      <w:r w:rsidRPr="004D5AD1">
        <w:rPr>
          <w:noProof/>
        </w:rPr>
        <w:t>odyką państwa członkowskiego dotyczącą dokumentowania geologicznych złóż kopalin;</w:t>
      </w:r>
    </w:p>
    <w:p w14:paraId="4CAC68B2" w14:textId="0E5F9B7C" w:rsidR="00D904B7" w:rsidRPr="004D5AD1" w:rsidRDefault="00D904B7" w:rsidP="00D904B7">
      <w:pPr>
        <w:rPr>
          <w:noProof/>
        </w:rPr>
      </w:pPr>
      <w:r w:rsidRPr="004D5AD1">
        <w:rPr>
          <w:noProof/>
        </w:rPr>
        <w:t>38)</w:t>
      </w:r>
      <w:r w:rsidRPr="004D5AD1">
        <w:rPr>
          <w:noProof/>
        </w:rPr>
        <w:tab/>
        <w:t>„zamknięta kopalnia węgla” oznacza kopalnię węgla, której operator, właściciel lub licencjobiorca jest znany</w:t>
      </w:r>
      <w:r w:rsidR="004D5AD1" w:rsidRPr="004D5AD1">
        <w:rPr>
          <w:noProof/>
        </w:rPr>
        <w:t xml:space="preserve"> i</w:t>
      </w:r>
      <w:r w:rsidR="004D5AD1">
        <w:rPr>
          <w:noProof/>
        </w:rPr>
        <w:t> </w:t>
      </w:r>
      <w:r w:rsidR="004D5AD1" w:rsidRPr="004D5AD1">
        <w:rPr>
          <w:noProof/>
        </w:rPr>
        <w:t>któ</w:t>
      </w:r>
      <w:r w:rsidRPr="004D5AD1">
        <w:rPr>
          <w:noProof/>
        </w:rPr>
        <w:t>ra została zamknięta zgodnie</w:t>
      </w:r>
      <w:r w:rsidR="004D5AD1" w:rsidRPr="004D5AD1">
        <w:rPr>
          <w:noProof/>
        </w:rPr>
        <w:t xml:space="preserve"> z</w:t>
      </w:r>
      <w:r w:rsidR="004D5AD1">
        <w:rPr>
          <w:noProof/>
        </w:rPr>
        <w:t> </w:t>
      </w:r>
      <w:r w:rsidR="004D5AD1" w:rsidRPr="004D5AD1">
        <w:rPr>
          <w:noProof/>
        </w:rPr>
        <w:t>obo</w:t>
      </w:r>
      <w:r w:rsidRPr="004D5AD1">
        <w:rPr>
          <w:noProof/>
        </w:rPr>
        <w:t>wiązującymi wymogami licencyjnymi lub innymi przepisami;</w:t>
      </w:r>
    </w:p>
    <w:p w14:paraId="0D3965E2" w14:textId="4979D254" w:rsidR="00D904B7" w:rsidRPr="004D5AD1" w:rsidRDefault="00D904B7" w:rsidP="00D904B7">
      <w:pPr>
        <w:rPr>
          <w:noProof/>
        </w:rPr>
      </w:pPr>
      <w:r w:rsidRPr="004D5AD1">
        <w:rPr>
          <w:noProof/>
        </w:rPr>
        <w:t>39)</w:t>
      </w:r>
      <w:r w:rsidRPr="004D5AD1">
        <w:rPr>
          <w:noProof/>
        </w:rPr>
        <w:tab/>
        <w:t>„nieczynna kopalnia węgla” oznacza kopalnię węgla, której operator, właściciel lub licencjobiorca nie jest znany, lub której nie zamknięto</w:t>
      </w:r>
      <w:r w:rsidR="004D5AD1" w:rsidRPr="004D5AD1">
        <w:rPr>
          <w:noProof/>
        </w:rPr>
        <w:t xml:space="preserve"> w</w:t>
      </w:r>
      <w:r w:rsidR="004D5AD1">
        <w:rPr>
          <w:noProof/>
        </w:rPr>
        <w:t> </w:t>
      </w:r>
      <w:r w:rsidR="004D5AD1" w:rsidRPr="004D5AD1">
        <w:rPr>
          <w:noProof/>
        </w:rPr>
        <w:t>spo</w:t>
      </w:r>
      <w:r w:rsidRPr="004D5AD1">
        <w:rPr>
          <w:noProof/>
        </w:rPr>
        <w:t>sób uregulowany;</w:t>
      </w:r>
    </w:p>
    <w:p w14:paraId="1FD0033D" w14:textId="5BBB966F" w:rsidR="00F33291" w:rsidRPr="004D5AD1" w:rsidRDefault="00F33291" w:rsidP="00F33291">
      <w:pPr>
        <w:rPr>
          <w:noProof/>
        </w:rPr>
      </w:pPr>
      <w:r w:rsidRPr="004D5AD1">
        <w:rPr>
          <w:noProof/>
        </w:rPr>
        <w:t>40)</w:t>
      </w:r>
      <w:r w:rsidRPr="004D5AD1">
        <w:rPr>
          <w:noProof/>
        </w:rPr>
        <w:tab/>
        <w:t>„kopalnia węgla koksowego” oznacza kopalnię,</w:t>
      </w:r>
      <w:r w:rsidR="004D5AD1" w:rsidRPr="004D5AD1">
        <w:rPr>
          <w:noProof/>
        </w:rPr>
        <w:t xml:space="preserve"> w</w:t>
      </w:r>
      <w:r w:rsidR="004D5AD1">
        <w:rPr>
          <w:noProof/>
        </w:rPr>
        <w:t> </w:t>
      </w:r>
      <w:r w:rsidR="004D5AD1" w:rsidRPr="004D5AD1">
        <w:rPr>
          <w:noProof/>
        </w:rPr>
        <w:t>któ</w:t>
      </w:r>
      <w:r w:rsidRPr="004D5AD1">
        <w:rPr>
          <w:noProof/>
        </w:rPr>
        <w:t>rej co najmniej 50 % uśrednionej produkcji</w:t>
      </w:r>
      <w:r w:rsidR="004D5AD1" w:rsidRPr="004D5AD1">
        <w:rPr>
          <w:noProof/>
        </w:rPr>
        <w:t xml:space="preserve"> z</w:t>
      </w:r>
      <w:r w:rsidR="004D5AD1">
        <w:rPr>
          <w:noProof/>
        </w:rPr>
        <w:t> </w:t>
      </w:r>
      <w:r w:rsidR="004D5AD1" w:rsidRPr="004D5AD1">
        <w:rPr>
          <w:noProof/>
        </w:rPr>
        <w:t>ost</w:t>
      </w:r>
      <w:r w:rsidRPr="004D5AD1">
        <w:rPr>
          <w:noProof/>
        </w:rPr>
        <w:t>atnich trzech dostępnych lat stanowi węgiel koksowy, zgodnie</w:t>
      </w:r>
      <w:r w:rsidR="004D5AD1" w:rsidRPr="004D5AD1">
        <w:rPr>
          <w:noProof/>
        </w:rPr>
        <w:t xml:space="preserve"> z</w:t>
      </w:r>
      <w:r w:rsidR="004D5AD1">
        <w:rPr>
          <w:noProof/>
        </w:rPr>
        <w:t> </w:t>
      </w:r>
      <w:r w:rsidR="004D5AD1" w:rsidRPr="004D5AD1">
        <w:rPr>
          <w:noProof/>
        </w:rPr>
        <w:t>def</w:t>
      </w:r>
      <w:r w:rsidRPr="004D5AD1">
        <w:rPr>
          <w:noProof/>
        </w:rPr>
        <w:t>inicją zawartą</w:t>
      </w:r>
      <w:r w:rsidR="004D5AD1" w:rsidRPr="004D5AD1">
        <w:rPr>
          <w:noProof/>
        </w:rPr>
        <w:t xml:space="preserve"> w</w:t>
      </w:r>
      <w:r w:rsidR="004D5AD1">
        <w:rPr>
          <w:noProof/>
        </w:rPr>
        <w:t> </w:t>
      </w:r>
      <w:r w:rsidR="004D5AD1" w:rsidRPr="004D5AD1">
        <w:rPr>
          <w:noProof/>
        </w:rPr>
        <w:t>zał</w:t>
      </w:r>
      <w:r w:rsidRPr="004D5AD1">
        <w:rPr>
          <w:noProof/>
        </w:rPr>
        <w:t>ączniku B do rozporządzenia Parlamentu Europejskiego</w:t>
      </w:r>
      <w:r w:rsidR="004D5AD1" w:rsidRPr="004D5AD1">
        <w:rPr>
          <w:noProof/>
        </w:rPr>
        <w:t xml:space="preserve"> i</w:t>
      </w:r>
      <w:r w:rsidR="004D5AD1">
        <w:rPr>
          <w:noProof/>
        </w:rPr>
        <w:t> </w:t>
      </w:r>
      <w:r w:rsidR="004D5AD1" w:rsidRPr="004D5AD1">
        <w:rPr>
          <w:noProof/>
        </w:rPr>
        <w:t>Rad</w:t>
      </w:r>
      <w:r w:rsidRPr="004D5AD1">
        <w:rPr>
          <w:noProof/>
        </w:rPr>
        <w:t>y (WE) nr</w:t>
      </w:r>
      <w:r w:rsidR="004D5AD1" w:rsidRPr="004D5AD1">
        <w:rPr>
          <w:noProof/>
        </w:rPr>
        <w:t> </w:t>
      </w:r>
      <w:r w:rsidRPr="004D5AD1">
        <w:rPr>
          <w:noProof/>
        </w:rPr>
        <w:t>1099/2008</w:t>
      </w:r>
      <w:r w:rsidR="00E023DA" w:rsidRPr="004D5AD1">
        <w:rPr>
          <w:rStyle w:val="FootnoteReference"/>
          <w:noProof/>
        </w:rPr>
        <w:footnoteReference w:id="42"/>
      </w:r>
      <w:r w:rsidRPr="004D5AD1">
        <w:rPr>
          <w:noProof/>
        </w:rPr>
        <w:t>;</w:t>
      </w:r>
    </w:p>
    <w:p w14:paraId="5AA4A1EE" w14:textId="02CBFFB4" w:rsidR="003252A1" w:rsidRPr="004D5AD1" w:rsidRDefault="003252A1" w:rsidP="003252A1">
      <w:pPr>
        <w:rPr>
          <w:noProof/>
        </w:rPr>
      </w:pPr>
      <w:r w:rsidRPr="004D5AD1">
        <w:rPr>
          <w:noProof/>
        </w:rPr>
        <w:t>41)</w:t>
      </w:r>
      <w:r w:rsidRPr="004D5AD1">
        <w:rPr>
          <w:noProof/>
        </w:rPr>
        <w:tab/>
        <w:t>„importer” oznacza osobę fizyczną lub prawną mającą siedzibę</w:t>
      </w:r>
      <w:r w:rsidR="004D5AD1" w:rsidRPr="004D5AD1">
        <w:rPr>
          <w:noProof/>
        </w:rPr>
        <w:t xml:space="preserve"> w</w:t>
      </w:r>
      <w:r w:rsidR="004D5AD1">
        <w:rPr>
          <w:noProof/>
        </w:rPr>
        <w:t> </w:t>
      </w:r>
      <w:r w:rsidR="004D5AD1" w:rsidRPr="004D5AD1">
        <w:rPr>
          <w:noProof/>
        </w:rPr>
        <w:t>Uni</w:t>
      </w:r>
      <w:r w:rsidRPr="004D5AD1">
        <w:rPr>
          <w:noProof/>
        </w:rPr>
        <w:t>i, która</w:t>
      </w:r>
      <w:r w:rsidR="004D5AD1" w:rsidRPr="004D5AD1">
        <w:rPr>
          <w:noProof/>
        </w:rPr>
        <w:t xml:space="preserve"> w</w:t>
      </w:r>
      <w:r w:rsidR="004D5AD1">
        <w:rPr>
          <w:noProof/>
        </w:rPr>
        <w:t> </w:t>
      </w:r>
      <w:r w:rsidR="004D5AD1" w:rsidRPr="004D5AD1">
        <w:rPr>
          <w:noProof/>
        </w:rPr>
        <w:t>ram</w:t>
      </w:r>
      <w:r w:rsidRPr="004D5AD1">
        <w:rPr>
          <w:noProof/>
        </w:rPr>
        <w:t>ach działalności handlowej wprowadza do obrotu</w:t>
      </w:r>
      <w:r w:rsidR="004D5AD1" w:rsidRPr="004D5AD1">
        <w:rPr>
          <w:noProof/>
        </w:rPr>
        <w:t xml:space="preserve"> w</w:t>
      </w:r>
      <w:r w:rsidR="004D5AD1">
        <w:rPr>
          <w:noProof/>
        </w:rPr>
        <w:t> </w:t>
      </w:r>
      <w:r w:rsidR="004D5AD1" w:rsidRPr="004D5AD1">
        <w:rPr>
          <w:noProof/>
        </w:rPr>
        <w:t>Uni</w:t>
      </w:r>
      <w:r w:rsidRPr="004D5AD1">
        <w:rPr>
          <w:noProof/>
        </w:rPr>
        <w:t>i energię pochodzącą</w:t>
      </w:r>
      <w:r w:rsidR="004D5AD1" w:rsidRPr="004D5AD1">
        <w:rPr>
          <w:noProof/>
        </w:rPr>
        <w:t xml:space="preserve"> z</w:t>
      </w:r>
      <w:r w:rsidR="004D5AD1">
        <w:rPr>
          <w:noProof/>
        </w:rPr>
        <w:t> </w:t>
      </w:r>
      <w:r w:rsidR="004D5AD1" w:rsidRPr="004D5AD1">
        <w:rPr>
          <w:noProof/>
        </w:rPr>
        <w:t>pal</w:t>
      </w:r>
      <w:r w:rsidRPr="004D5AD1">
        <w:rPr>
          <w:noProof/>
        </w:rPr>
        <w:t>iw kopalnych</w:t>
      </w:r>
      <w:r w:rsidR="004D5AD1" w:rsidRPr="004D5AD1">
        <w:rPr>
          <w:noProof/>
        </w:rPr>
        <w:t xml:space="preserve"> z</w:t>
      </w:r>
      <w:r w:rsidR="004D5AD1">
        <w:rPr>
          <w:noProof/>
        </w:rPr>
        <w:t> </w:t>
      </w:r>
      <w:r w:rsidR="004D5AD1" w:rsidRPr="004D5AD1">
        <w:rPr>
          <w:noProof/>
        </w:rPr>
        <w:t>pań</w:t>
      </w:r>
      <w:r w:rsidRPr="004D5AD1">
        <w:rPr>
          <w:noProof/>
        </w:rPr>
        <w:t>stwa trzeciego.</w:t>
      </w:r>
    </w:p>
    <w:p w14:paraId="351CD8D0" w14:textId="7A2E2523" w:rsidR="00F33291" w:rsidRPr="004D5AD1" w:rsidRDefault="00F33291" w:rsidP="00B46F05">
      <w:pPr>
        <w:rPr>
          <w:noProof/>
        </w:rPr>
      </w:pPr>
    </w:p>
    <w:p w14:paraId="2EB68259" w14:textId="06CA8A24" w:rsidR="008F6A15" w:rsidRPr="004D5AD1" w:rsidRDefault="008F6A15" w:rsidP="008F6A15">
      <w:pPr>
        <w:jc w:val="center"/>
        <w:rPr>
          <w:i/>
          <w:noProof/>
        </w:rPr>
      </w:pPr>
      <w:r w:rsidRPr="004D5AD1">
        <w:rPr>
          <w:i/>
          <w:noProof/>
        </w:rPr>
        <w:t>Artykuł 3</w:t>
      </w:r>
    </w:p>
    <w:p w14:paraId="2AB3618E" w14:textId="475B33A5" w:rsidR="008F6A15" w:rsidRPr="004D5AD1" w:rsidRDefault="008F6A15" w:rsidP="008F6A15">
      <w:pPr>
        <w:jc w:val="center"/>
        <w:rPr>
          <w:b/>
          <w:noProof/>
        </w:rPr>
      </w:pPr>
      <w:r w:rsidRPr="004D5AD1">
        <w:rPr>
          <w:b/>
          <w:noProof/>
        </w:rPr>
        <w:t>Koszty ponoszone przez operatorów podlegających regulacji</w:t>
      </w:r>
    </w:p>
    <w:p w14:paraId="3EB25A87" w14:textId="2050826B" w:rsidR="008F6A15" w:rsidRPr="004D5AD1" w:rsidRDefault="008F6A15" w:rsidP="008F6A15">
      <w:pPr>
        <w:rPr>
          <w:noProof/>
        </w:rPr>
      </w:pPr>
      <w:r w:rsidRPr="004D5AD1">
        <w:rPr>
          <w:noProof/>
        </w:rPr>
        <w:t>1.</w:t>
      </w:r>
      <w:r w:rsidRPr="004D5AD1">
        <w:rPr>
          <w:noProof/>
        </w:rPr>
        <w:tab/>
        <w:t>Przy ustalaniu lub zatwierdzaniu taryf przesyłowych lub dystrybucyjnych lub metod, które mają być stosowane przez operatorów systemów przesyłowych, operatorów systemów dystrybucyjnych, operatorów terminali LNG lub inne przedsiębiorstwa podlegające regulacji,</w:t>
      </w:r>
      <w:r w:rsidR="004D5AD1" w:rsidRPr="004D5AD1">
        <w:rPr>
          <w:noProof/>
        </w:rPr>
        <w:t xml:space="preserve"> w</w:t>
      </w:r>
      <w:r w:rsidR="004D5AD1">
        <w:rPr>
          <w:noProof/>
        </w:rPr>
        <w:t> </w:t>
      </w:r>
      <w:r w:rsidR="004D5AD1" w:rsidRPr="004D5AD1">
        <w:rPr>
          <w:noProof/>
        </w:rPr>
        <w:t>tym</w:t>
      </w:r>
      <w:r w:rsidRPr="004D5AD1">
        <w:rPr>
          <w:noProof/>
        </w:rPr>
        <w:t xml:space="preserve"> –</w:t>
      </w:r>
      <w:r w:rsidR="004D5AD1" w:rsidRPr="004D5AD1">
        <w:rPr>
          <w:noProof/>
        </w:rPr>
        <w:t xml:space="preserve"> w</w:t>
      </w:r>
      <w:r w:rsidR="004D5AD1">
        <w:rPr>
          <w:noProof/>
        </w:rPr>
        <w:t> </w:t>
      </w:r>
      <w:r w:rsidR="004D5AD1" w:rsidRPr="004D5AD1">
        <w:rPr>
          <w:noProof/>
        </w:rPr>
        <w:t>sto</w:t>
      </w:r>
      <w:r w:rsidRPr="004D5AD1">
        <w:rPr>
          <w:noProof/>
        </w:rPr>
        <w:t>sownych przypadkach – operatorów składowisk podziemnych gazu, organy regulacyjne uwzględniają koszty poniesione</w:t>
      </w:r>
      <w:r w:rsidR="004D5AD1" w:rsidRPr="004D5AD1">
        <w:rPr>
          <w:noProof/>
        </w:rPr>
        <w:t xml:space="preserve"> i</w:t>
      </w:r>
      <w:r w:rsidR="004D5AD1">
        <w:rPr>
          <w:noProof/>
        </w:rPr>
        <w:t> </w:t>
      </w:r>
      <w:r w:rsidR="004D5AD1" w:rsidRPr="004D5AD1">
        <w:rPr>
          <w:noProof/>
        </w:rPr>
        <w:t>inw</w:t>
      </w:r>
      <w:r w:rsidRPr="004D5AD1">
        <w:rPr>
          <w:noProof/>
        </w:rPr>
        <w:t>estycje dokonane</w:t>
      </w:r>
      <w:r w:rsidR="004D5AD1" w:rsidRPr="004D5AD1">
        <w:rPr>
          <w:noProof/>
        </w:rPr>
        <w:t xml:space="preserve"> w</w:t>
      </w:r>
      <w:r w:rsidR="004D5AD1">
        <w:rPr>
          <w:noProof/>
        </w:rPr>
        <w:t> </w:t>
      </w:r>
      <w:r w:rsidR="004D5AD1" w:rsidRPr="004D5AD1">
        <w:rPr>
          <w:noProof/>
        </w:rPr>
        <w:t>cel</w:t>
      </w:r>
      <w:r w:rsidRPr="004D5AD1">
        <w:rPr>
          <w:noProof/>
        </w:rPr>
        <w:t>u wypełnienia obowiązków wynikających</w:t>
      </w:r>
      <w:r w:rsidR="004D5AD1" w:rsidRPr="004D5AD1">
        <w:rPr>
          <w:noProof/>
        </w:rPr>
        <w:t xml:space="preserve"> z</w:t>
      </w:r>
      <w:r w:rsidR="004D5AD1">
        <w:rPr>
          <w:noProof/>
        </w:rPr>
        <w:t> </w:t>
      </w:r>
      <w:r w:rsidR="004D5AD1" w:rsidRPr="004D5AD1">
        <w:rPr>
          <w:noProof/>
        </w:rPr>
        <w:t>nin</w:t>
      </w:r>
      <w:r w:rsidRPr="004D5AD1">
        <w:rPr>
          <w:noProof/>
        </w:rPr>
        <w:t>iejszego rozporządzenia,</w:t>
      </w:r>
      <w:r w:rsidR="004D5AD1" w:rsidRPr="004D5AD1">
        <w:rPr>
          <w:noProof/>
        </w:rPr>
        <w:t xml:space="preserve"> w</w:t>
      </w:r>
      <w:r w:rsidR="004D5AD1">
        <w:rPr>
          <w:noProof/>
        </w:rPr>
        <w:t> </w:t>
      </w:r>
      <w:r w:rsidR="004D5AD1" w:rsidRPr="004D5AD1">
        <w:rPr>
          <w:noProof/>
        </w:rPr>
        <w:t>zak</w:t>
      </w:r>
      <w:r w:rsidRPr="004D5AD1">
        <w:rPr>
          <w:noProof/>
        </w:rPr>
        <w:t>resie,</w:t>
      </w:r>
      <w:r w:rsidR="004D5AD1" w:rsidRPr="004D5AD1">
        <w:rPr>
          <w:noProof/>
        </w:rPr>
        <w:t xml:space="preserve"> w</w:t>
      </w:r>
      <w:r w:rsidR="004D5AD1">
        <w:rPr>
          <w:noProof/>
        </w:rPr>
        <w:t> </w:t>
      </w:r>
      <w:r w:rsidR="004D5AD1" w:rsidRPr="004D5AD1">
        <w:rPr>
          <w:noProof/>
        </w:rPr>
        <w:t>jak</w:t>
      </w:r>
      <w:r w:rsidRPr="004D5AD1">
        <w:rPr>
          <w:noProof/>
        </w:rPr>
        <w:t>im odpowiadają one kosztom</w:t>
      </w:r>
      <w:r w:rsidR="004D5AD1" w:rsidRPr="004D5AD1">
        <w:rPr>
          <w:noProof/>
        </w:rPr>
        <w:t xml:space="preserve"> i</w:t>
      </w:r>
      <w:r w:rsidR="004D5AD1">
        <w:rPr>
          <w:noProof/>
        </w:rPr>
        <w:t> </w:t>
      </w:r>
      <w:r w:rsidR="004D5AD1" w:rsidRPr="004D5AD1">
        <w:rPr>
          <w:noProof/>
        </w:rPr>
        <w:t>inw</w:t>
      </w:r>
      <w:r w:rsidRPr="004D5AD1">
        <w:rPr>
          <w:noProof/>
        </w:rPr>
        <w:t>estycjom ponoszonym przez efektywnego</w:t>
      </w:r>
      <w:r w:rsidR="004D5AD1" w:rsidRPr="004D5AD1">
        <w:rPr>
          <w:noProof/>
        </w:rPr>
        <w:t xml:space="preserve"> i</w:t>
      </w:r>
      <w:r w:rsidR="004D5AD1">
        <w:rPr>
          <w:noProof/>
        </w:rPr>
        <w:t> </w:t>
      </w:r>
      <w:r w:rsidR="004D5AD1" w:rsidRPr="004D5AD1">
        <w:rPr>
          <w:noProof/>
        </w:rPr>
        <w:t>por</w:t>
      </w:r>
      <w:r w:rsidRPr="004D5AD1">
        <w:rPr>
          <w:noProof/>
        </w:rPr>
        <w:t>ównywalnego pod względem strukturalnym operatora podlegającego regulacji.</w:t>
      </w:r>
    </w:p>
    <w:p w14:paraId="5B47D3FE" w14:textId="1D278C87" w:rsidR="008F6A15" w:rsidRPr="004D5AD1" w:rsidRDefault="008F6A15" w:rsidP="008F6A15">
      <w:pPr>
        <w:rPr>
          <w:noProof/>
        </w:rPr>
      </w:pPr>
      <w:r w:rsidRPr="004D5AD1">
        <w:rPr>
          <w:noProof/>
        </w:rPr>
        <w:t>2.</w:t>
      </w:r>
      <w:r w:rsidRPr="004D5AD1">
        <w:rPr>
          <w:noProof/>
        </w:rPr>
        <w:tab/>
        <w:t>Agencja Unii Europejskiej ds. Współpracy Organów Regulacji Energetyki (ACER) co trzy lata ustanawia</w:t>
      </w:r>
      <w:r w:rsidR="004D5AD1" w:rsidRPr="004D5AD1">
        <w:rPr>
          <w:noProof/>
        </w:rPr>
        <w:t xml:space="preserve"> i</w:t>
      </w:r>
      <w:r w:rsidR="004D5AD1">
        <w:rPr>
          <w:noProof/>
        </w:rPr>
        <w:t> </w:t>
      </w:r>
      <w:r w:rsidR="004D5AD1" w:rsidRPr="004D5AD1">
        <w:rPr>
          <w:noProof/>
        </w:rPr>
        <w:t>udo</w:t>
      </w:r>
      <w:r w:rsidRPr="004D5AD1">
        <w:rPr>
          <w:noProof/>
        </w:rPr>
        <w:t>stępnia publicznie zbiór wskaźników</w:t>
      </w:r>
      <w:r w:rsidR="004D5AD1" w:rsidRPr="004D5AD1">
        <w:rPr>
          <w:noProof/>
        </w:rPr>
        <w:t xml:space="preserve"> i</w:t>
      </w:r>
      <w:r w:rsidR="004D5AD1">
        <w:rPr>
          <w:noProof/>
        </w:rPr>
        <w:t> </w:t>
      </w:r>
      <w:r w:rsidR="004D5AD1" w:rsidRPr="004D5AD1">
        <w:rPr>
          <w:noProof/>
        </w:rPr>
        <w:t>odp</w:t>
      </w:r>
      <w:r w:rsidRPr="004D5AD1">
        <w:rPr>
          <w:noProof/>
        </w:rPr>
        <w:t>owiednich wartości odniesienia do porównania jednostkowych kosztów inwestycji</w:t>
      </w:r>
      <w:r w:rsidR="004D5AD1" w:rsidRPr="004D5AD1">
        <w:rPr>
          <w:noProof/>
        </w:rPr>
        <w:t xml:space="preserve"> w</w:t>
      </w:r>
      <w:r w:rsidR="004D5AD1">
        <w:rPr>
          <w:noProof/>
        </w:rPr>
        <w:t> </w:t>
      </w:r>
      <w:r w:rsidR="004D5AD1" w:rsidRPr="004D5AD1">
        <w:rPr>
          <w:noProof/>
        </w:rPr>
        <w:t>por</w:t>
      </w:r>
      <w:r w:rsidRPr="004D5AD1">
        <w:rPr>
          <w:noProof/>
        </w:rPr>
        <w:t>ównywalnych projektach związanych</w:t>
      </w:r>
      <w:r w:rsidR="004D5AD1" w:rsidRPr="004D5AD1">
        <w:rPr>
          <w:noProof/>
        </w:rPr>
        <w:t xml:space="preserve"> z</w:t>
      </w:r>
      <w:r w:rsidR="004D5AD1">
        <w:rPr>
          <w:noProof/>
        </w:rPr>
        <w:t> </w:t>
      </w:r>
      <w:r w:rsidR="004D5AD1" w:rsidRPr="004D5AD1">
        <w:rPr>
          <w:noProof/>
        </w:rPr>
        <w:t>pom</w:t>
      </w:r>
      <w:r w:rsidRPr="004D5AD1">
        <w:rPr>
          <w:noProof/>
        </w:rPr>
        <w:t>iarami, raportowaniem</w:t>
      </w:r>
      <w:r w:rsidR="004D5AD1" w:rsidRPr="004D5AD1">
        <w:rPr>
          <w:noProof/>
        </w:rPr>
        <w:t xml:space="preserve"> i</w:t>
      </w:r>
      <w:r w:rsidR="004D5AD1">
        <w:rPr>
          <w:noProof/>
        </w:rPr>
        <w:t> </w:t>
      </w:r>
      <w:r w:rsidR="004D5AD1" w:rsidRPr="004D5AD1">
        <w:rPr>
          <w:noProof/>
        </w:rPr>
        <w:t>ogr</w:t>
      </w:r>
      <w:r w:rsidRPr="004D5AD1">
        <w:rPr>
          <w:noProof/>
        </w:rPr>
        <w:t>aniczaniem emisji metanu.</w:t>
      </w:r>
    </w:p>
    <w:p w14:paraId="6D9CA724" w14:textId="1ECCCBC5" w:rsidR="008F6A15" w:rsidRPr="004D5AD1" w:rsidRDefault="008F6A15" w:rsidP="00B46F05">
      <w:pPr>
        <w:rPr>
          <w:noProof/>
        </w:rPr>
      </w:pPr>
    </w:p>
    <w:p w14:paraId="2DC4F130" w14:textId="1B60082B" w:rsidR="008F6A15" w:rsidRPr="004D5AD1" w:rsidRDefault="008F6A15" w:rsidP="00B46F05">
      <w:pPr>
        <w:rPr>
          <w:noProof/>
        </w:rPr>
      </w:pPr>
    </w:p>
    <w:p w14:paraId="7765817F" w14:textId="77777777" w:rsidR="008F6A15" w:rsidRPr="004D5AD1" w:rsidRDefault="008F6A15" w:rsidP="00BC3357">
      <w:pPr>
        <w:pStyle w:val="ChapterTitle"/>
        <w:rPr>
          <w:noProof/>
        </w:rPr>
      </w:pPr>
      <w:r w:rsidRPr="004D5AD1">
        <w:rPr>
          <w:noProof/>
        </w:rPr>
        <w:t>Rozdział 2</w:t>
      </w:r>
    </w:p>
    <w:p w14:paraId="0C25D4C9" w14:textId="49C8CE6F" w:rsidR="008F6A15" w:rsidRPr="004D5AD1" w:rsidRDefault="008F6A15" w:rsidP="00BC3357">
      <w:pPr>
        <w:pStyle w:val="ChapterTitle"/>
        <w:rPr>
          <w:noProof/>
        </w:rPr>
      </w:pPr>
      <w:r w:rsidRPr="004D5AD1">
        <w:rPr>
          <w:noProof/>
        </w:rPr>
        <w:t>Właściwe organy</w:t>
      </w:r>
      <w:r w:rsidR="004D5AD1" w:rsidRPr="004D5AD1">
        <w:rPr>
          <w:noProof/>
        </w:rPr>
        <w:t xml:space="preserve"> i</w:t>
      </w:r>
      <w:r w:rsidR="004D5AD1">
        <w:rPr>
          <w:noProof/>
        </w:rPr>
        <w:t> </w:t>
      </w:r>
      <w:r w:rsidR="004D5AD1" w:rsidRPr="004D5AD1">
        <w:rPr>
          <w:noProof/>
        </w:rPr>
        <w:t>nie</w:t>
      </w:r>
      <w:r w:rsidRPr="004D5AD1">
        <w:rPr>
          <w:noProof/>
        </w:rPr>
        <w:t>zależna weryfikacja</w:t>
      </w:r>
    </w:p>
    <w:p w14:paraId="760C2F16" w14:textId="77777777" w:rsidR="0019291A" w:rsidRPr="004D5AD1" w:rsidRDefault="0019291A" w:rsidP="00BC3357">
      <w:pPr>
        <w:pStyle w:val="Titrearticle"/>
        <w:rPr>
          <w:noProof/>
          <w:szCs w:val="24"/>
        </w:rPr>
      </w:pPr>
      <w:r w:rsidRPr="004D5AD1">
        <w:rPr>
          <w:noProof/>
        </w:rPr>
        <w:t>Artykuł 4</w:t>
      </w:r>
    </w:p>
    <w:p w14:paraId="4C774545" w14:textId="77777777" w:rsidR="0019291A" w:rsidRPr="004D5AD1" w:rsidRDefault="0019291A" w:rsidP="00BC3357">
      <w:pPr>
        <w:pStyle w:val="NormalCentered"/>
        <w:keepNext/>
        <w:rPr>
          <w:b/>
          <w:noProof/>
          <w:szCs w:val="24"/>
        </w:rPr>
      </w:pPr>
      <w:r w:rsidRPr="004D5AD1">
        <w:rPr>
          <w:b/>
          <w:noProof/>
          <w:szCs w:val="24"/>
        </w:rPr>
        <w:t>Właściwe organy</w:t>
      </w:r>
    </w:p>
    <w:p w14:paraId="16A93FA9" w14:textId="6E107474" w:rsidR="0019291A" w:rsidRPr="004D5AD1" w:rsidRDefault="0019291A" w:rsidP="00BC3357">
      <w:pPr>
        <w:keepNext/>
        <w:rPr>
          <w:noProof/>
          <w:szCs w:val="24"/>
        </w:rPr>
      </w:pPr>
      <w:r w:rsidRPr="004D5AD1">
        <w:rPr>
          <w:noProof/>
        </w:rPr>
        <w:t>1.</w:t>
      </w:r>
      <w:r w:rsidRPr="004D5AD1">
        <w:rPr>
          <w:noProof/>
        </w:rPr>
        <w:tab/>
        <w:t>Każde państwo członkowskie wyznacza co najmniej jeden właściwy organ odpowiedzialny za monitorowanie</w:t>
      </w:r>
      <w:r w:rsidR="004D5AD1" w:rsidRPr="004D5AD1">
        <w:rPr>
          <w:noProof/>
        </w:rPr>
        <w:t xml:space="preserve"> i</w:t>
      </w:r>
      <w:r w:rsidR="004D5AD1">
        <w:rPr>
          <w:noProof/>
        </w:rPr>
        <w:t> </w:t>
      </w:r>
      <w:r w:rsidR="004D5AD1" w:rsidRPr="004D5AD1">
        <w:rPr>
          <w:noProof/>
        </w:rPr>
        <w:t>egz</w:t>
      </w:r>
      <w:r w:rsidRPr="004D5AD1">
        <w:rPr>
          <w:noProof/>
        </w:rPr>
        <w:t>ekwowanie stosowania niniejszego rozporządzenia.</w:t>
      </w:r>
    </w:p>
    <w:p w14:paraId="75FBF6D4" w14:textId="5459ED4A" w:rsidR="0019291A" w:rsidRPr="004D5AD1" w:rsidRDefault="0019291A" w:rsidP="0019291A">
      <w:pPr>
        <w:rPr>
          <w:noProof/>
          <w:szCs w:val="24"/>
        </w:rPr>
      </w:pPr>
      <w:r w:rsidRPr="004D5AD1">
        <w:rPr>
          <w:noProof/>
        </w:rPr>
        <w:t>Państwa członkowskie przekazują Komisji nazwy</w:t>
      </w:r>
      <w:r w:rsidR="004D5AD1" w:rsidRPr="004D5AD1">
        <w:rPr>
          <w:noProof/>
        </w:rPr>
        <w:t xml:space="preserve"> i</w:t>
      </w:r>
      <w:r w:rsidR="004D5AD1">
        <w:rPr>
          <w:noProof/>
        </w:rPr>
        <w:t> </w:t>
      </w:r>
      <w:r w:rsidR="004D5AD1" w:rsidRPr="004D5AD1">
        <w:rPr>
          <w:noProof/>
        </w:rPr>
        <w:t>dan</w:t>
      </w:r>
      <w:r w:rsidRPr="004D5AD1">
        <w:rPr>
          <w:noProof/>
        </w:rPr>
        <w:t>e kontaktowe właściwych organów do dnia... [</w:t>
      </w:r>
      <w:r w:rsidRPr="004D5AD1">
        <w:rPr>
          <w:i/>
          <w:noProof/>
          <w:szCs w:val="24"/>
        </w:rPr>
        <w:t>3 miesiące od daty wejścia</w:t>
      </w:r>
      <w:r w:rsidR="004D5AD1" w:rsidRPr="004D5AD1">
        <w:rPr>
          <w:i/>
          <w:noProof/>
          <w:szCs w:val="24"/>
        </w:rPr>
        <w:t xml:space="preserve"> w</w:t>
      </w:r>
      <w:r w:rsidR="004D5AD1">
        <w:rPr>
          <w:i/>
          <w:noProof/>
          <w:szCs w:val="24"/>
        </w:rPr>
        <w:t> </w:t>
      </w:r>
      <w:r w:rsidR="004D5AD1" w:rsidRPr="004D5AD1">
        <w:rPr>
          <w:i/>
          <w:noProof/>
          <w:szCs w:val="24"/>
        </w:rPr>
        <w:t>życ</w:t>
      </w:r>
      <w:r w:rsidRPr="004D5AD1">
        <w:rPr>
          <w:i/>
          <w:noProof/>
          <w:szCs w:val="24"/>
        </w:rPr>
        <w:t>ie niniejszego rozporządzenia</w:t>
      </w:r>
      <w:r w:rsidRPr="004D5AD1">
        <w:rPr>
          <w:noProof/>
        </w:rPr>
        <w:t>] r. Państwa członkowskie niezwłocznie informują Komisję</w:t>
      </w:r>
      <w:r w:rsidR="004D5AD1" w:rsidRPr="004D5AD1">
        <w:rPr>
          <w:noProof/>
        </w:rPr>
        <w:t xml:space="preserve"> o</w:t>
      </w:r>
      <w:r w:rsidR="004D5AD1">
        <w:rPr>
          <w:noProof/>
        </w:rPr>
        <w:t> </w:t>
      </w:r>
      <w:r w:rsidR="004D5AD1" w:rsidRPr="004D5AD1">
        <w:rPr>
          <w:noProof/>
        </w:rPr>
        <w:t>wsz</w:t>
      </w:r>
      <w:r w:rsidRPr="004D5AD1">
        <w:rPr>
          <w:noProof/>
        </w:rPr>
        <w:t>elkich zmianach nazw</w:t>
      </w:r>
      <w:r w:rsidR="004D5AD1" w:rsidRPr="004D5AD1">
        <w:rPr>
          <w:noProof/>
        </w:rPr>
        <w:t xml:space="preserve"> i</w:t>
      </w:r>
      <w:r w:rsidR="004D5AD1">
        <w:rPr>
          <w:noProof/>
        </w:rPr>
        <w:t> </w:t>
      </w:r>
      <w:r w:rsidR="004D5AD1" w:rsidRPr="004D5AD1">
        <w:rPr>
          <w:noProof/>
        </w:rPr>
        <w:t>dan</w:t>
      </w:r>
      <w:r w:rsidRPr="004D5AD1">
        <w:rPr>
          <w:noProof/>
        </w:rPr>
        <w:t>ych kontaktowych właściwych organów.</w:t>
      </w:r>
    </w:p>
    <w:p w14:paraId="5E392B4F" w14:textId="52EFF396" w:rsidR="0019291A" w:rsidRPr="004D5AD1" w:rsidRDefault="0019291A" w:rsidP="0019291A">
      <w:pPr>
        <w:rPr>
          <w:noProof/>
          <w:szCs w:val="24"/>
        </w:rPr>
      </w:pPr>
      <w:r w:rsidRPr="004D5AD1">
        <w:rPr>
          <w:noProof/>
        </w:rPr>
        <w:t>2.</w:t>
      </w:r>
      <w:r w:rsidRPr="004D5AD1">
        <w:rPr>
          <w:noProof/>
        </w:rPr>
        <w:tab/>
        <w:t>Komisja podaje do wiadomości publicznej wykaz właściwych organów</w:t>
      </w:r>
      <w:r w:rsidR="004D5AD1" w:rsidRPr="004D5AD1">
        <w:rPr>
          <w:noProof/>
        </w:rPr>
        <w:t xml:space="preserve"> i</w:t>
      </w:r>
      <w:r w:rsidR="004D5AD1">
        <w:rPr>
          <w:noProof/>
        </w:rPr>
        <w:t> </w:t>
      </w:r>
      <w:r w:rsidR="004D5AD1" w:rsidRPr="004D5AD1">
        <w:rPr>
          <w:noProof/>
        </w:rPr>
        <w:t>reg</w:t>
      </w:r>
      <w:r w:rsidRPr="004D5AD1">
        <w:rPr>
          <w:noProof/>
        </w:rPr>
        <w:t xml:space="preserve">ularnie aktualizuje ten wykaz. </w:t>
      </w:r>
    </w:p>
    <w:p w14:paraId="7D2DEBB5" w14:textId="24B82A76" w:rsidR="00397AF5" w:rsidRPr="004D5AD1" w:rsidRDefault="00397AF5" w:rsidP="0019291A">
      <w:pPr>
        <w:rPr>
          <w:noProof/>
          <w:szCs w:val="24"/>
        </w:rPr>
      </w:pPr>
      <w:r w:rsidRPr="004D5AD1">
        <w:rPr>
          <w:noProof/>
        </w:rPr>
        <w:t>3.</w:t>
      </w:r>
      <w:r w:rsidRPr="004D5AD1">
        <w:rPr>
          <w:noProof/>
        </w:rPr>
        <w:tab/>
        <w:t>Państwa członkowskie zapewniają, aby właściwe organy posiadały odpowiednie uprawnienia</w:t>
      </w:r>
      <w:r w:rsidR="004D5AD1" w:rsidRPr="004D5AD1">
        <w:rPr>
          <w:noProof/>
        </w:rPr>
        <w:t xml:space="preserve"> i</w:t>
      </w:r>
      <w:r w:rsidR="004D5AD1">
        <w:rPr>
          <w:noProof/>
        </w:rPr>
        <w:t> </w:t>
      </w:r>
      <w:r w:rsidR="004D5AD1" w:rsidRPr="004D5AD1">
        <w:rPr>
          <w:noProof/>
        </w:rPr>
        <w:t>zas</w:t>
      </w:r>
      <w:r w:rsidRPr="004D5AD1">
        <w:rPr>
          <w:noProof/>
        </w:rPr>
        <w:t>oby do wykonywania obowiązków określonych</w:t>
      </w:r>
      <w:r w:rsidR="004D5AD1" w:rsidRPr="004D5AD1">
        <w:rPr>
          <w:noProof/>
        </w:rPr>
        <w:t xml:space="preserve"> w</w:t>
      </w:r>
      <w:r w:rsidR="004D5AD1">
        <w:rPr>
          <w:noProof/>
        </w:rPr>
        <w:t> </w:t>
      </w:r>
      <w:r w:rsidR="004D5AD1" w:rsidRPr="004D5AD1">
        <w:rPr>
          <w:noProof/>
        </w:rPr>
        <w:t>nin</w:t>
      </w:r>
      <w:r w:rsidRPr="004D5AD1">
        <w:rPr>
          <w:noProof/>
        </w:rPr>
        <w:t>iejszym rozporządzeniu.</w:t>
      </w:r>
    </w:p>
    <w:p w14:paraId="523F5F1F" w14:textId="77777777" w:rsidR="0019291A" w:rsidRPr="004D5AD1" w:rsidRDefault="0019291A" w:rsidP="0019291A">
      <w:pPr>
        <w:rPr>
          <w:noProof/>
          <w:szCs w:val="24"/>
        </w:rPr>
      </w:pPr>
    </w:p>
    <w:p w14:paraId="643117E7" w14:textId="77777777" w:rsidR="0019291A" w:rsidRPr="004D5AD1" w:rsidRDefault="0019291A" w:rsidP="0019291A">
      <w:pPr>
        <w:pStyle w:val="Titrearticle"/>
        <w:rPr>
          <w:noProof/>
        </w:rPr>
      </w:pPr>
      <w:r w:rsidRPr="004D5AD1">
        <w:rPr>
          <w:noProof/>
        </w:rPr>
        <w:t>Artykuł 5</w:t>
      </w:r>
    </w:p>
    <w:p w14:paraId="4A6EEB7C" w14:textId="77777777" w:rsidR="0019291A" w:rsidRPr="004D5AD1" w:rsidRDefault="0019291A" w:rsidP="0019291A">
      <w:pPr>
        <w:pStyle w:val="NormalCentered"/>
        <w:rPr>
          <w:b/>
          <w:noProof/>
          <w:szCs w:val="24"/>
        </w:rPr>
      </w:pPr>
      <w:r w:rsidRPr="004D5AD1">
        <w:rPr>
          <w:b/>
          <w:noProof/>
          <w:szCs w:val="24"/>
        </w:rPr>
        <w:t>Zadania właściwych organów</w:t>
      </w:r>
    </w:p>
    <w:p w14:paraId="1C4CC379" w14:textId="70B128F0" w:rsidR="0019291A" w:rsidRPr="004D5AD1" w:rsidRDefault="0019291A" w:rsidP="0019291A">
      <w:pPr>
        <w:rPr>
          <w:noProof/>
          <w:szCs w:val="24"/>
        </w:rPr>
      </w:pPr>
      <w:r w:rsidRPr="004D5AD1">
        <w:rPr>
          <w:noProof/>
        </w:rPr>
        <w:t>1.</w:t>
      </w:r>
      <w:r w:rsidRPr="004D5AD1">
        <w:rPr>
          <w:noProof/>
        </w:rPr>
        <w:tab/>
        <w:t>Właściwe organy podejmują wszelkie niezbędne działania</w:t>
      </w:r>
      <w:r w:rsidR="004D5AD1" w:rsidRPr="004D5AD1">
        <w:rPr>
          <w:noProof/>
        </w:rPr>
        <w:t xml:space="preserve"> w</w:t>
      </w:r>
      <w:r w:rsidR="004D5AD1">
        <w:rPr>
          <w:noProof/>
        </w:rPr>
        <w:t> </w:t>
      </w:r>
      <w:r w:rsidR="004D5AD1" w:rsidRPr="004D5AD1">
        <w:rPr>
          <w:noProof/>
        </w:rPr>
        <w:t>cel</w:t>
      </w:r>
      <w:r w:rsidRPr="004D5AD1">
        <w:rPr>
          <w:noProof/>
        </w:rPr>
        <w:t>u zapewnienia zgodności</w:t>
      </w:r>
      <w:r w:rsidR="004D5AD1" w:rsidRPr="004D5AD1">
        <w:rPr>
          <w:noProof/>
        </w:rPr>
        <w:t xml:space="preserve"> z</w:t>
      </w:r>
      <w:r w:rsidR="004D5AD1">
        <w:rPr>
          <w:noProof/>
        </w:rPr>
        <w:t> </w:t>
      </w:r>
      <w:r w:rsidR="004D5AD1" w:rsidRPr="004D5AD1">
        <w:rPr>
          <w:noProof/>
        </w:rPr>
        <w:t>wym</w:t>
      </w:r>
      <w:r w:rsidRPr="004D5AD1">
        <w:rPr>
          <w:noProof/>
        </w:rPr>
        <w:t>ogami określonymi</w:t>
      </w:r>
      <w:r w:rsidR="004D5AD1" w:rsidRPr="004D5AD1">
        <w:rPr>
          <w:noProof/>
        </w:rPr>
        <w:t xml:space="preserve"> w</w:t>
      </w:r>
      <w:r w:rsidR="004D5AD1">
        <w:rPr>
          <w:noProof/>
        </w:rPr>
        <w:t> </w:t>
      </w:r>
      <w:r w:rsidR="004D5AD1" w:rsidRPr="004D5AD1">
        <w:rPr>
          <w:noProof/>
        </w:rPr>
        <w:t>nin</w:t>
      </w:r>
      <w:r w:rsidRPr="004D5AD1">
        <w:rPr>
          <w:noProof/>
        </w:rPr>
        <w:t>iejszym rozporządzeniu.</w:t>
      </w:r>
    </w:p>
    <w:p w14:paraId="47F3C11D" w14:textId="7D84B7C3" w:rsidR="0019291A" w:rsidRPr="004D5AD1" w:rsidRDefault="0019291A" w:rsidP="0019291A">
      <w:pPr>
        <w:rPr>
          <w:noProof/>
          <w:szCs w:val="24"/>
        </w:rPr>
      </w:pPr>
      <w:r w:rsidRPr="004D5AD1">
        <w:rPr>
          <w:noProof/>
        </w:rPr>
        <w:t>2.</w:t>
      </w:r>
      <w:r w:rsidRPr="004D5AD1">
        <w:rPr>
          <w:noProof/>
        </w:rPr>
        <w:tab/>
        <w:t>Operatorzy</w:t>
      </w:r>
      <w:r w:rsidR="004D5AD1" w:rsidRPr="004D5AD1">
        <w:rPr>
          <w:noProof/>
        </w:rPr>
        <w:t xml:space="preserve"> i</w:t>
      </w:r>
      <w:r w:rsidR="004D5AD1">
        <w:rPr>
          <w:noProof/>
        </w:rPr>
        <w:t> </w:t>
      </w:r>
      <w:r w:rsidR="004D5AD1" w:rsidRPr="004D5AD1">
        <w:rPr>
          <w:noProof/>
        </w:rPr>
        <w:t>ope</w:t>
      </w:r>
      <w:r w:rsidRPr="004D5AD1">
        <w:rPr>
          <w:noProof/>
        </w:rPr>
        <w:t>ratorzy kopalń zapewniają właściwym organom wszelką pomoc umożliwiającą lub ułatwiającą wykonywanie zadań właściwych organów,</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nin</w:t>
      </w:r>
      <w:r w:rsidRPr="004D5AD1">
        <w:rPr>
          <w:noProof/>
        </w:rPr>
        <w:t>iejszym rozporządzeniu,</w:t>
      </w:r>
      <w:r w:rsidR="004D5AD1" w:rsidRPr="004D5AD1">
        <w:rPr>
          <w:noProof/>
        </w:rPr>
        <w:t xml:space="preserve"> w</w:t>
      </w:r>
      <w:r w:rsidR="004D5AD1">
        <w:rPr>
          <w:noProof/>
        </w:rPr>
        <w:t> </w:t>
      </w:r>
      <w:r w:rsidR="004D5AD1" w:rsidRPr="004D5AD1">
        <w:rPr>
          <w:noProof/>
        </w:rPr>
        <w:t>szc</w:t>
      </w:r>
      <w:r w:rsidRPr="004D5AD1">
        <w:rPr>
          <w:noProof/>
        </w:rPr>
        <w:t>zególności</w:t>
      </w:r>
      <w:r w:rsidR="004D5AD1" w:rsidRPr="004D5AD1">
        <w:rPr>
          <w:noProof/>
        </w:rPr>
        <w:t xml:space="preserve"> w</w:t>
      </w:r>
      <w:r w:rsidR="004D5AD1">
        <w:rPr>
          <w:noProof/>
        </w:rPr>
        <w:t> </w:t>
      </w:r>
      <w:r w:rsidR="004D5AD1" w:rsidRPr="004D5AD1">
        <w:rPr>
          <w:noProof/>
        </w:rPr>
        <w:t>zak</w:t>
      </w:r>
      <w:r w:rsidRPr="004D5AD1">
        <w:rPr>
          <w:noProof/>
        </w:rPr>
        <w:t>resie dostępu do obiektów</w:t>
      </w:r>
      <w:r w:rsidR="004D5AD1" w:rsidRPr="004D5AD1">
        <w:rPr>
          <w:noProof/>
        </w:rPr>
        <w:t xml:space="preserve"> i</w:t>
      </w:r>
      <w:r w:rsidR="004D5AD1">
        <w:rPr>
          <w:noProof/>
        </w:rPr>
        <w:t> </w:t>
      </w:r>
      <w:r w:rsidR="004D5AD1" w:rsidRPr="004D5AD1">
        <w:rPr>
          <w:noProof/>
        </w:rPr>
        <w:t>prz</w:t>
      </w:r>
      <w:r w:rsidRPr="004D5AD1">
        <w:rPr>
          <w:noProof/>
        </w:rPr>
        <w:t>edstawienia dokumentacji lub rejestrów.</w:t>
      </w:r>
    </w:p>
    <w:p w14:paraId="6D444C4D" w14:textId="0FB45E34" w:rsidR="0019291A" w:rsidRPr="004D5AD1" w:rsidRDefault="0019291A" w:rsidP="0019291A">
      <w:pPr>
        <w:rPr>
          <w:noProof/>
          <w:szCs w:val="24"/>
        </w:rPr>
      </w:pPr>
      <w:r w:rsidRPr="004D5AD1">
        <w:rPr>
          <w:noProof/>
        </w:rPr>
        <w:t>3.</w:t>
      </w:r>
      <w:r w:rsidRPr="004D5AD1">
        <w:rPr>
          <w:noProof/>
        </w:rPr>
        <w:tab/>
        <w:t>Właściwe organy współpracują ze sobą oraz</w:t>
      </w:r>
      <w:r w:rsidR="004D5AD1" w:rsidRPr="004D5AD1">
        <w:rPr>
          <w:noProof/>
        </w:rPr>
        <w:t xml:space="preserve"> z</w:t>
      </w:r>
      <w:r w:rsidR="004D5AD1">
        <w:rPr>
          <w:noProof/>
        </w:rPr>
        <w:t> </w:t>
      </w:r>
      <w:r w:rsidR="004D5AD1" w:rsidRPr="004D5AD1">
        <w:rPr>
          <w:noProof/>
        </w:rPr>
        <w:t>Kom</w:t>
      </w:r>
      <w:r w:rsidRPr="004D5AD1">
        <w:rPr>
          <w:noProof/>
        </w:rPr>
        <w:t>isją,</w:t>
      </w:r>
      <w:r w:rsidR="004D5AD1" w:rsidRPr="004D5AD1">
        <w:rPr>
          <w:noProof/>
        </w:rPr>
        <w:t xml:space="preserve"> a</w:t>
      </w:r>
      <w:r w:rsidR="004D5AD1">
        <w:rPr>
          <w:noProof/>
        </w:rPr>
        <w:t> </w:t>
      </w:r>
      <w:r w:rsidR="004D5AD1" w:rsidRPr="004D5AD1">
        <w:rPr>
          <w:noProof/>
        </w:rPr>
        <w:t>w</w:t>
      </w:r>
      <w:r w:rsidR="004D5AD1">
        <w:rPr>
          <w:noProof/>
        </w:rPr>
        <w:t> </w:t>
      </w:r>
      <w:r w:rsidR="004D5AD1" w:rsidRPr="004D5AD1">
        <w:rPr>
          <w:noProof/>
        </w:rPr>
        <w:t>raz</w:t>
      </w:r>
      <w:r w:rsidRPr="004D5AD1">
        <w:rPr>
          <w:noProof/>
        </w:rPr>
        <w:t>ie potrzeby</w:t>
      </w:r>
      <w:r w:rsidR="004D5AD1" w:rsidRPr="004D5AD1">
        <w:rPr>
          <w:noProof/>
        </w:rPr>
        <w:t xml:space="preserve"> z</w:t>
      </w:r>
      <w:r w:rsidR="004D5AD1">
        <w:rPr>
          <w:noProof/>
        </w:rPr>
        <w:t> </w:t>
      </w:r>
      <w:r w:rsidR="004D5AD1" w:rsidRPr="004D5AD1">
        <w:rPr>
          <w:noProof/>
        </w:rPr>
        <w:t>org</w:t>
      </w:r>
      <w:r w:rsidRPr="004D5AD1">
        <w:rPr>
          <w:noProof/>
        </w:rPr>
        <w:t>anami państw trzecich,</w:t>
      </w:r>
      <w:r w:rsidR="004D5AD1" w:rsidRPr="004D5AD1">
        <w:rPr>
          <w:noProof/>
        </w:rPr>
        <w:t xml:space="preserve"> w</w:t>
      </w:r>
      <w:r w:rsidR="004D5AD1">
        <w:rPr>
          <w:noProof/>
        </w:rPr>
        <w:t> </w:t>
      </w:r>
      <w:r w:rsidR="004D5AD1" w:rsidRPr="004D5AD1">
        <w:rPr>
          <w:noProof/>
        </w:rPr>
        <w:t>cel</w:t>
      </w:r>
      <w:r w:rsidRPr="004D5AD1">
        <w:rPr>
          <w:noProof/>
        </w:rPr>
        <w:t>u zapewnienia zgodności</w:t>
      </w:r>
      <w:r w:rsidR="004D5AD1" w:rsidRPr="004D5AD1">
        <w:rPr>
          <w:noProof/>
        </w:rPr>
        <w:t xml:space="preserve"> z</w:t>
      </w:r>
      <w:r w:rsidR="004D5AD1">
        <w:rPr>
          <w:noProof/>
        </w:rPr>
        <w:t> </w:t>
      </w:r>
      <w:r w:rsidR="004D5AD1" w:rsidRPr="004D5AD1">
        <w:rPr>
          <w:noProof/>
        </w:rPr>
        <w:t>nin</w:t>
      </w:r>
      <w:r w:rsidRPr="004D5AD1">
        <w:rPr>
          <w:noProof/>
        </w:rPr>
        <w:t>iejszym rozporządzeniem. Komisja może ustanowić sieć właściwych organów</w:t>
      </w:r>
      <w:r w:rsidR="004D5AD1" w:rsidRPr="004D5AD1">
        <w:rPr>
          <w:noProof/>
        </w:rPr>
        <w:t xml:space="preserve"> w</w:t>
      </w:r>
      <w:r w:rsidR="004D5AD1">
        <w:rPr>
          <w:noProof/>
        </w:rPr>
        <w:t> </w:t>
      </w:r>
      <w:r w:rsidR="004D5AD1" w:rsidRPr="004D5AD1">
        <w:rPr>
          <w:noProof/>
        </w:rPr>
        <w:t>cel</w:t>
      </w:r>
      <w:r w:rsidRPr="004D5AD1">
        <w:rPr>
          <w:noProof/>
        </w:rPr>
        <w:t>u wspierania współpracy, wraz</w:t>
      </w:r>
      <w:r w:rsidR="004D5AD1" w:rsidRPr="004D5AD1">
        <w:rPr>
          <w:noProof/>
        </w:rPr>
        <w:t xml:space="preserve"> z</w:t>
      </w:r>
      <w:r w:rsidR="004D5AD1">
        <w:rPr>
          <w:noProof/>
        </w:rPr>
        <w:t> </w:t>
      </w:r>
      <w:r w:rsidR="004D5AD1" w:rsidRPr="004D5AD1">
        <w:rPr>
          <w:noProof/>
        </w:rPr>
        <w:t>nie</w:t>
      </w:r>
      <w:r w:rsidRPr="004D5AD1">
        <w:rPr>
          <w:noProof/>
        </w:rPr>
        <w:t>zbędnymi uzgodnieniami dotyczącymi wymiany informacji</w:t>
      </w:r>
      <w:r w:rsidR="004D5AD1" w:rsidRPr="004D5AD1">
        <w:rPr>
          <w:noProof/>
        </w:rPr>
        <w:t xml:space="preserve"> i</w:t>
      </w:r>
      <w:r w:rsidR="004D5AD1">
        <w:rPr>
          <w:noProof/>
        </w:rPr>
        <w:t> </w:t>
      </w:r>
      <w:r w:rsidR="004D5AD1" w:rsidRPr="004D5AD1">
        <w:rPr>
          <w:noProof/>
        </w:rPr>
        <w:t>naj</w:t>
      </w:r>
      <w:r w:rsidRPr="004D5AD1">
        <w:rPr>
          <w:noProof/>
        </w:rPr>
        <w:t>lepszych praktyk, oraz</w:t>
      </w:r>
      <w:r w:rsidR="004D5AD1" w:rsidRPr="004D5AD1">
        <w:rPr>
          <w:noProof/>
        </w:rPr>
        <w:t xml:space="preserve"> w</w:t>
      </w:r>
      <w:r w:rsidR="004D5AD1">
        <w:rPr>
          <w:noProof/>
        </w:rPr>
        <w:t> </w:t>
      </w:r>
      <w:r w:rsidR="004D5AD1" w:rsidRPr="004D5AD1">
        <w:rPr>
          <w:noProof/>
        </w:rPr>
        <w:t>cel</w:t>
      </w:r>
      <w:r w:rsidRPr="004D5AD1">
        <w:rPr>
          <w:noProof/>
        </w:rPr>
        <w:t>u umożliwienia konsultacji.</w:t>
      </w:r>
    </w:p>
    <w:p w14:paraId="26EC354A" w14:textId="27731955" w:rsidR="00D8125B" w:rsidRPr="004D5AD1" w:rsidRDefault="00D8125B" w:rsidP="00D8125B">
      <w:pPr>
        <w:rPr>
          <w:noProof/>
          <w:szCs w:val="24"/>
        </w:rPr>
      </w:pPr>
      <w:r w:rsidRPr="004D5AD1">
        <w:rPr>
          <w:noProof/>
        </w:rPr>
        <w:t>4.</w:t>
      </w:r>
      <w:r w:rsidRPr="004D5AD1">
        <w:rPr>
          <w:noProof/>
        </w:rPr>
        <w:tab/>
        <w:t>W przypadku gdy sprawozdania mają być podawane do wiadomości publicznej zgodnie</w:t>
      </w:r>
      <w:r w:rsidR="004D5AD1" w:rsidRPr="004D5AD1">
        <w:rPr>
          <w:noProof/>
        </w:rPr>
        <w:t xml:space="preserve"> z</w:t>
      </w:r>
      <w:r w:rsidR="004D5AD1">
        <w:rPr>
          <w:noProof/>
        </w:rPr>
        <w:t> </w:t>
      </w:r>
      <w:r w:rsidR="004D5AD1" w:rsidRPr="004D5AD1">
        <w:rPr>
          <w:noProof/>
        </w:rPr>
        <w:t>nin</w:t>
      </w:r>
      <w:r w:rsidRPr="004D5AD1">
        <w:rPr>
          <w:noProof/>
        </w:rPr>
        <w:t>iejszym rozporządzeniem, właściwe organy nieodpłatnie udostępniają je publicznie na wyznaczonej stronie internetowej oraz</w:t>
      </w:r>
      <w:r w:rsidR="004D5AD1" w:rsidRPr="004D5AD1">
        <w:rPr>
          <w:noProof/>
        </w:rPr>
        <w:t xml:space="preserve"> w</w:t>
      </w:r>
      <w:r w:rsidR="004D5AD1">
        <w:rPr>
          <w:noProof/>
        </w:rPr>
        <w:t> </w:t>
      </w:r>
      <w:r w:rsidR="004D5AD1" w:rsidRPr="004D5AD1">
        <w:rPr>
          <w:noProof/>
        </w:rPr>
        <w:t>łat</w:t>
      </w:r>
      <w:r w:rsidRPr="004D5AD1">
        <w:rPr>
          <w:noProof/>
        </w:rPr>
        <w:t>wo dostępnym, umożliwiającym pobranie</w:t>
      </w:r>
      <w:r w:rsidR="004D5AD1" w:rsidRPr="004D5AD1">
        <w:rPr>
          <w:noProof/>
        </w:rPr>
        <w:t xml:space="preserve"> i</w:t>
      </w:r>
      <w:r w:rsidR="004D5AD1">
        <w:rPr>
          <w:noProof/>
        </w:rPr>
        <w:t> </w:t>
      </w:r>
      <w:r w:rsidR="004D5AD1" w:rsidRPr="004D5AD1">
        <w:rPr>
          <w:noProof/>
        </w:rPr>
        <w:t>edy</w:t>
      </w:r>
      <w:r w:rsidRPr="004D5AD1">
        <w:rPr>
          <w:noProof/>
        </w:rPr>
        <w:t xml:space="preserve">towalnym formacie. </w:t>
      </w:r>
    </w:p>
    <w:p w14:paraId="0C774DB5" w14:textId="6481CCF1" w:rsidR="00606E71" w:rsidRPr="004D5AD1" w:rsidRDefault="009A2A16" w:rsidP="00D8125B">
      <w:pPr>
        <w:rPr>
          <w:noProof/>
          <w:szCs w:val="24"/>
        </w:rPr>
      </w:pPr>
      <w:r w:rsidRPr="004D5AD1">
        <w:rPr>
          <w:noProof/>
        </w:rPr>
        <w:t>W przypadku gdy informacje są traktowane jako poufne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4 dyrektywy 2003/4/WE, właściwe organy wskazują rodzaj informacji, które nie zostały ujawnione, wraz</w:t>
      </w:r>
      <w:r w:rsidR="004D5AD1" w:rsidRPr="004D5AD1">
        <w:rPr>
          <w:noProof/>
        </w:rPr>
        <w:t xml:space="preserve"> z</w:t>
      </w:r>
      <w:r w:rsidR="004D5AD1">
        <w:rPr>
          <w:noProof/>
        </w:rPr>
        <w:t> </w:t>
      </w:r>
      <w:r w:rsidR="004D5AD1" w:rsidRPr="004D5AD1">
        <w:rPr>
          <w:noProof/>
        </w:rPr>
        <w:t>uza</w:t>
      </w:r>
      <w:r w:rsidRPr="004D5AD1">
        <w:rPr>
          <w:noProof/>
        </w:rPr>
        <w:t>sadnieniem.</w:t>
      </w:r>
    </w:p>
    <w:p w14:paraId="171A9B45" w14:textId="77777777" w:rsidR="009B0215" w:rsidRPr="004D5AD1" w:rsidRDefault="009B0215" w:rsidP="00AA7224">
      <w:pPr>
        <w:pStyle w:val="Text1"/>
        <w:ind w:left="0"/>
        <w:rPr>
          <w:noProof/>
        </w:rPr>
      </w:pPr>
    </w:p>
    <w:p w14:paraId="7E69C9CE" w14:textId="77777777" w:rsidR="0019291A" w:rsidRPr="004D5AD1" w:rsidRDefault="0019291A" w:rsidP="00A8385C">
      <w:pPr>
        <w:pStyle w:val="Titrearticle"/>
        <w:rPr>
          <w:noProof/>
        </w:rPr>
      </w:pPr>
      <w:r w:rsidRPr="004D5AD1">
        <w:rPr>
          <w:noProof/>
        </w:rPr>
        <w:t>Artykuł 6</w:t>
      </w:r>
    </w:p>
    <w:p w14:paraId="3B6FD01C" w14:textId="77777777" w:rsidR="0019291A" w:rsidRPr="004D5AD1" w:rsidRDefault="0019291A" w:rsidP="00A8385C">
      <w:pPr>
        <w:pStyle w:val="NormalCentered"/>
        <w:keepNext/>
        <w:rPr>
          <w:b/>
          <w:noProof/>
          <w:szCs w:val="24"/>
        </w:rPr>
      </w:pPr>
      <w:r w:rsidRPr="004D5AD1">
        <w:rPr>
          <w:b/>
          <w:noProof/>
          <w:szCs w:val="24"/>
        </w:rPr>
        <w:t>Kontrole</w:t>
      </w:r>
    </w:p>
    <w:p w14:paraId="4B8F87C8" w14:textId="7254C600" w:rsidR="0019291A" w:rsidRPr="004D5AD1" w:rsidRDefault="0019291A" w:rsidP="00A8385C">
      <w:pPr>
        <w:keepNext/>
        <w:rPr>
          <w:noProof/>
        </w:rPr>
      </w:pPr>
      <w:r w:rsidRPr="004D5AD1">
        <w:rPr>
          <w:noProof/>
        </w:rPr>
        <w:t>1.</w:t>
      </w:r>
      <w:r w:rsidRPr="004D5AD1">
        <w:rPr>
          <w:noProof/>
        </w:rPr>
        <w:tab/>
        <w:t>Właściwe organy przeprowadzają okresowe kontrole</w:t>
      </w:r>
      <w:r w:rsidR="004D5AD1" w:rsidRPr="004D5AD1">
        <w:rPr>
          <w:noProof/>
        </w:rPr>
        <w:t xml:space="preserve"> w</w:t>
      </w:r>
      <w:r w:rsidR="004D5AD1">
        <w:rPr>
          <w:noProof/>
        </w:rPr>
        <w:t> </w:t>
      </w:r>
      <w:r w:rsidR="004D5AD1" w:rsidRPr="004D5AD1">
        <w:rPr>
          <w:noProof/>
        </w:rPr>
        <w:t>cel</w:t>
      </w:r>
      <w:r w:rsidRPr="004D5AD1">
        <w:rPr>
          <w:noProof/>
        </w:rPr>
        <w:t>u zweryfikowania przestrzegania przez operatorów lub operatorów kopalń wymogów określonych</w:t>
      </w:r>
      <w:r w:rsidR="004D5AD1" w:rsidRPr="004D5AD1">
        <w:rPr>
          <w:noProof/>
        </w:rPr>
        <w:t xml:space="preserve"> w</w:t>
      </w:r>
      <w:r w:rsidR="004D5AD1">
        <w:rPr>
          <w:noProof/>
        </w:rPr>
        <w:t> </w:t>
      </w:r>
      <w:r w:rsidR="004D5AD1" w:rsidRPr="004D5AD1">
        <w:rPr>
          <w:noProof/>
        </w:rPr>
        <w:t>nin</w:t>
      </w:r>
      <w:r w:rsidRPr="004D5AD1">
        <w:rPr>
          <w:noProof/>
        </w:rPr>
        <w:t>iejszym rozporządzeniu. Pierwsza kontrola zostaje przeprowadzona do dnia ... [</w:t>
      </w:r>
      <w:r w:rsidRPr="004D5AD1">
        <w:rPr>
          <w:i/>
          <w:noProof/>
          <w:szCs w:val="24"/>
        </w:rPr>
        <w:t>18 miesięcy od daty wejścia</w:t>
      </w:r>
      <w:r w:rsidR="004D5AD1" w:rsidRPr="004D5AD1">
        <w:rPr>
          <w:i/>
          <w:noProof/>
          <w:szCs w:val="24"/>
        </w:rPr>
        <w:t xml:space="preserve"> w</w:t>
      </w:r>
      <w:r w:rsidR="004D5AD1">
        <w:rPr>
          <w:i/>
          <w:noProof/>
          <w:szCs w:val="24"/>
        </w:rPr>
        <w:t> </w:t>
      </w:r>
      <w:r w:rsidR="004D5AD1" w:rsidRPr="004D5AD1">
        <w:rPr>
          <w:i/>
          <w:noProof/>
          <w:szCs w:val="24"/>
        </w:rPr>
        <w:t>życ</w:t>
      </w:r>
      <w:r w:rsidRPr="004D5AD1">
        <w:rPr>
          <w:i/>
          <w:noProof/>
          <w:szCs w:val="24"/>
        </w:rPr>
        <w:t>ie niniejszego rozporządzenia</w:t>
      </w:r>
      <w:r w:rsidRPr="004D5AD1">
        <w:rPr>
          <w:noProof/>
        </w:rPr>
        <w:t>] r.</w:t>
      </w:r>
    </w:p>
    <w:p w14:paraId="28E4F669" w14:textId="44304490" w:rsidR="00A24486" w:rsidRPr="004D5AD1" w:rsidRDefault="001876FA" w:rsidP="008D57DB">
      <w:pPr>
        <w:rPr>
          <w:noProof/>
        </w:rPr>
      </w:pPr>
      <w:r w:rsidRPr="004D5AD1">
        <w:rPr>
          <w:noProof/>
        </w:rPr>
        <w:t>2.</w:t>
      </w:r>
      <w:r w:rsidRPr="004D5AD1">
        <w:rPr>
          <w:noProof/>
        </w:rPr>
        <w:tab/>
        <w:t>Kontrole obejmują,</w:t>
      </w:r>
      <w:r w:rsidR="004D5AD1" w:rsidRPr="004D5AD1">
        <w:rPr>
          <w:noProof/>
        </w:rPr>
        <w:t xml:space="preserve"> w</w:t>
      </w:r>
      <w:r w:rsidR="004D5AD1">
        <w:rPr>
          <w:noProof/>
        </w:rPr>
        <w:t> </w:t>
      </w:r>
      <w:r w:rsidR="004D5AD1" w:rsidRPr="004D5AD1">
        <w:rPr>
          <w:noProof/>
        </w:rPr>
        <w:t>sto</w:t>
      </w:r>
      <w:r w:rsidRPr="004D5AD1">
        <w:rPr>
          <w:noProof/>
        </w:rPr>
        <w:t>sownych przypadkach, kontrole na miejscu lub kontrole</w:t>
      </w:r>
      <w:r w:rsidR="004D5AD1" w:rsidRPr="004D5AD1">
        <w:rPr>
          <w:noProof/>
        </w:rPr>
        <w:t xml:space="preserve"> w</w:t>
      </w:r>
      <w:r w:rsidR="004D5AD1">
        <w:rPr>
          <w:noProof/>
        </w:rPr>
        <w:t> </w:t>
      </w:r>
      <w:r w:rsidR="004D5AD1" w:rsidRPr="004D5AD1">
        <w:rPr>
          <w:noProof/>
        </w:rPr>
        <w:t>ter</w:t>
      </w:r>
      <w:r w:rsidRPr="004D5AD1">
        <w:rPr>
          <w:noProof/>
        </w:rPr>
        <w:t>enie dokumentacji</w:t>
      </w:r>
      <w:r w:rsidR="004D5AD1" w:rsidRPr="004D5AD1">
        <w:rPr>
          <w:noProof/>
        </w:rPr>
        <w:t xml:space="preserve"> i</w:t>
      </w:r>
      <w:r w:rsidR="004D5AD1">
        <w:rPr>
          <w:noProof/>
        </w:rPr>
        <w:t> </w:t>
      </w:r>
      <w:r w:rsidR="004D5AD1" w:rsidRPr="004D5AD1">
        <w:rPr>
          <w:noProof/>
        </w:rPr>
        <w:t>rej</w:t>
      </w:r>
      <w:r w:rsidRPr="004D5AD1">
        <w:rPr>
          <w:noProof/>
        </w:rPr>
        <w:t>estrów wykazujących zgodność</w:t>
      </w:r>
      <w:r w:rsidR="004D5AD1" w:rsidRPr="004D5AD1">
        <w:rPr>
          <w:noProof/>
        </w:rPr>
        <w:t xml:space="preserve"> z</w:t>
      </w:r>
      <w:r w:rsidR="004D5AD1">
        <w:rPr>
          <w:noProof/>
        </w:rPr>
        <w:t> </w:t>
      </w:r>
      <w:r w:rsidR="004D5AD1" w:rsidRPr="004D5AD1">
        <w:rPr>
          <w:noProof/>
        </w:rPr>
        <w:t>wym</w:t>
      </w:r>
      <w:r w:rsidRPr="004D5AD1">
        <w:rPr>
          <w:noProof/>
        </w:rPr>
        <w:t>ogami niniejszego rozporządzenia, dokumentujących wykrywanie emisji metanu</w:t>
      </w:r>
      <w:r w:rsidR="004D5AD1" w:rsidRPr="004D5AD1">
        <w:rPr>
          <w:noProof/>
        </w:rPr>
        <w:t xml:space="preserve"> i</w:t>
      </w:r>
      <w:r w:rsidR="004D5AD1">
        <w:rPr>
          <w:noProof/>
        </w:rPr>
        <w:t> </w:t>
      </w:r>
      <w:r w:rsidR="004D5AD1" w:rsidRPr="004D5AD1">
        <w:rPr>
          <w:noProof/>
        </w:rPr>
        <w:t>pom</w:t>
      </w:r>
      <w:r w:rsidRPr="004D5AD1">
        <w:rPr>
          <w:noProof/>
        </w:rPr>
        <w:t>iary stężenia metanu oraz wszelkie działania następcze podjęte przez właściwy organ lub</w:t>
      </w:r>
      <w:r w:rsidR="004D5AD1" w:rsidRPr="004D5AD1">
        <w:rPr>
          <w:noProof/>
        </w:rPr>
        <w:t xml:space="preserve"> w</w:t>
      </w:r>
      <w:r w:rsidR="004D5AD1">
        <w:rPr>
          <w:noProof/>
        </w:rPr>
        <w:t> </w:t>
      </w:r>
      <w:r w:rsidR="004D5AD1" w:rsidRPr="004D5AD1">
        <w:rPr>
          <w:noProof/>
        </w:rPr>
        <w:t>jeg</w:t>
      </w:r>
      <w:r w:rsidRPr="004D5AD1">
        <w:rPr>
          <w:noProof/>
        </w:rPr>
        <w:t>o imieniu</w:t>
      </w:r>
      <w:r w:rsidR="004D5AD1" w:rsidRPr="004D5AD1">
        <w:rPr>
          <w:noProof/>
        </w:rPr>
        <w:t xml:space="preserve"> w</w:t>
      </w:r>
      <w:r w:rsidR="004D5AD1">
        <w:rPr>
          <w:noProof/>
        </w:rPr>
        <w:t> </w:t>
      </w:r>
      <w:r w:rsidR="004D5AD1" w:rsidRPr="004D5AD1">
        <w:rPr>
          <w:noProof/>
        </w:rPr>
        <w:t>cel</w:t>
      </w:r>
      <w:r w:rsidRPr="004D5AD1">
        <w:rPr>
          <w:noProof/>
        </w:rPr>
        <w:t>u zweryfikowania</w:t>
      </w:r>
      <w:r w:rsidR="004D5AD1" w:rsidRPr="004D5AD1">
        <w:rPr>
          <w:noProof/>
        </w:rPr>
        <w:t xml:space="preserve"> i</w:t>
      </w:r>
      <w:r w:rsidR="004D5AD1">
        <w:rPr>
          <w:noProof/>
        </w:rPr>
        <w:t> </w:t>
      </w:r>
      <w:r w:rsidR="004D5AD1" w:rsidRPr="004D5AD1">
        <w:rPr>
          <w:noProof/>
        </w:rPr>
        <w:t>wsp</w:t>
      </w:r>
      <w:r w:rsidRPr="004D5AD1">
        <w:rPr>
          <w:noProof/>
        </w:rPr>
        <w:t>ierania zgodności lokalizacji lub obiektów</w:t>
      </w:r>
      <w:r w:rsidR="004D5AD1" w:rsidRPr="004D5AD1">
        <w:rPr>
          <w:noProof/>
        </w:rPr>
        <w:t xml:space="preserve"> z</w:t>
      </w:r>
      <w:r w:rsidR="004D5AD1">
        <w:rPr>
          <w:noProof/>
        </w:rPr>
        <w:t> </w:t>
      </w:r>
      <w:r w:rsidR="004D5AD1" w:rsidRPr="004D5AD1">
        <w:rPr>
          <w:noProof/>
        </w:rPr>
        <w:t>wym</w:t>
      </w:r>
      <w:r w:rsidRPr="004D5AD1">
        <w:rPr>
          <w:noProof/>
        </w:rPr>
        <w:t xml:space="preserve">ogami niniejszego rozporządzenia. </w:t>
      </w:r>
    </w:p>
    <w:p w14:paraId="5C58D3AE" w14:textId="4A8418CE" w:rsidR="0019291A" w:rsidRPr="004D5AD1" w:rsidRDefault="0019291A" w:rsidP="008D57DB">
      <w:pPr>
        <w:rPr>
          <w:noProof/>
        </w:rPr>
      </w:pPr>
      <w:r w:rsidRPr="004D5AD1">
        <w:rPr>
          <w:noProof/>
        </w:rPr>
        <w:t>W przypadku stwierdzenia</w:t>
      </w:r>
      <w:r w:rsidR="004D5AD1" w:rsidRPr="004D5AD1">
        <w:rPr>
          <w:noProof/>
        </w:rPr>
        <w:t xml:space="preserve"> w</w:t>
      </w:r>
      <w:r w:rsidR="004D5AD1">
        <w:rPr>
          <w:noProof/>
        </w:rPr>
        <w:t> </w:t>
      </w:r>
      <w:r w:rsidR="004D5AD1" w:rsidRPr="004D5AD1">
        <w:rPr>
          <w:noProof/>
        </w:rPr>
        <w:t>wyn</w:t>
      </w:r>
      <w:r w:rsidRPr="004D5AD1">
        <w:rPr>
          <w:noProof/>
        </w:rPr>
        <w:t>iku kontroli poważnego naruszenia wymogów niniejszego rozporządzenia, właściwe organy,</w:t>
      </w:r>
      <w:r w:rsidR="004D5AD1" w:rsidRPr="004D5AD1">
        <w:rPr>
          <w:noProof/>
        </w:rPr>
        <w:t xml:space="preserve"> w</w:t>
      </w:r>
      <w:r w:rsidR="004D5AD1">
        <w:rPr>
          <w:noProof/>
        </w:rPr>
        <w:t> </w:t>
      </w:r>
      <w:r w:rsidR="004D5AD1" w:rsidRPr="004D5AD1">
        <w:rPr>
          <w:noProof/>
        </w:rPr>
        <w:t>ram</w:t>
      </w:r>
      <w:r w:rsidRPr="004D5AD1">
        <w:rPr>
          <w:noProof/>
        </w:rPr>
        <w:t>ach sprawozdania,</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5, wydają wezwanie do podjęcia działań naprawczych przez operatora lub operatora kopalni.</w:t>
      </w:r>
    </w:p>
    <w:p w14:paraId="56BD93C0" w14:textId="11B2E44A" w:rsidR="0019291A" w:rsidRPr="004D5AD1" w:rsidRDefault="001876FA" w:rsidP="008D57DB">
      <w:pPr>
        <w:rPr>
          <w:noProof/>
        </w:rPr>
      </w:pPr>
      <w:r w:rsidRPr="004D5AD1">
        <w:rPr>
          <w:noProof/>
        </w:rPr>
        <w:t>3.</w:t>
      </w:r>
      <w:r w:rsidRPr="004D5AD1">
        <w:rPr>
          <w:noProof/>
        </w:rPr>
        <w:tab/>
        <w:t>Po pierwszej kontroli,</w:t>
      </w:r>
      <w:r w:rsidR="004D5AD1" w:rsidRPr="004D5AD1">
        <w:rPr>
          <w:noProof/>
        </w:rPr>
        <w:t xml:space="preserve"> o</w:t>
      </w:r>
      <w:r w:rsidR="004D5AD1">
        <w:rPr>
          <w:noProof/>
        </w:rPr>
        <w:t> </w:t>
      </w:r>
      <w:r w:rsidR="004D5AD1" w:rsidRPr="004D5AD1">
        <w:rPr>
          <w:noProof/>
        </w:rPr>
        <w:t>któ</w:t>
      </w:r>
      <w:r w:rsidRPr="004D5AD1">
        <w:rPr>
          <w:noProof/>
        </w:rPr>
        <w:t>rej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1, właściwe organy sporządzają programy rutynowych kontroli. Odstęp między kontrolami opiera się na ocenie ryzyka środowiskowego</w:t>
      </w:r>
      <w:r w:rsidR="004D5AD1" w:rsidRPr="004D5AD1">
        <w:rPr>
          <w:noProof/>
        </w:rPr>
        <w:t xml:space="preserve"> i</w:t>
      </w:r>
      <w:r w:rsidR="004D5AD1">
        <w:rPr>
          <w:noProof/>
        </w:rPr>
        <w:t> </w:t>
      </w:r>
      <w:r w:rsidR="004D5AD1" w:rsidRPr="004D5AD1">
        <w:rPr>
          <w:noProof/>
        </w:rPr>
        <w:t>nie</w:t>
      </w:r>
      <w:r w:rsidRPr="004D5AD1">
        <w:rPr>
          <w:noProof/>
        </w:rPr>
        <w:t xml:space="preserve"> przekracza dwóch lat</w:t>
      </w:r>
      <w:r w:rsidR="004D5AD1" w:rsidRPr="004D5AD1">
        <w:rPr>
          <w:noProof/>
        </w:rPr>
        <w:t>. W</w:t>
      </w:r>
      <w:r w:rsidR="004D5AD1">
        <w:rPr>
          <w:noProof/>
        </w:rPr>
        <w:t> </w:t>
      </w:r>
      <w:r w:rsidR="004D5AD1" w:rsidRPr="004D5AD1">
        <w:rPr>
          <w:noProof/>
        </w:rPr>
        <w:t>prz</w:t>
      </w:r>
      <w:r w:rsidRPr="004D5AD1">
        <w:rPr>
          <w:noProof/>
        </w:rPr>
        <w:t>ypadku stwierdzenia</w:t>
      </w:r>
      <w:r w:rsidR="004D5AD1" w:rsidRPr="004D5AD1">
        <w:rPr>
          <w:noProof/>
        </w:rPr>
        <w:t xml:space="preserve"> w</w:t>
      </w:r>
      <w:r w:rsidR="004D5AD1">
        <w:rPr>
          <w:noProof/>
        </w:rPr>
        <w:t> </w:t>
      </w:r>
      <w:r w:rsidR="004D5AD1" w:rsidRPr="004D5AD1">
        <w:rPr>
          <w:noProof/>
        </w:rPr>
        <w:t>wyn</w:t>
      </w:r>
      <w:r w:rsidRPr="004D5AD1">
        <w:rPr>
          <w:noProof/>
        </w:rPr>
        <w:t>iku kontroli poważnego naruszenia wymogów niniejszego rozporządzenia, kolejną kontrolę przeprowadza się przed upływem jednego roku.</w:t>
      </w:r>
    </w:p>
    <w:p w14:paraId="41DA08E9" w14:textId="0D668B05" w:rsidR="0019291A" w:rsidRPr="004D5AD1" w:rsidRDefault="001876FA" w:rsidP="008D57DB">
      <w:pPr>
        <w:rPr>
          <w:noProof/>
        </w:rPr>
      </w:pPr>
      <w:r w:rsidRPr="004D5AD1">
        <w:rPr>
          <w:noProof/>
        </w:rPr>
        <w:t>4.</w:t>
      </w:r>
      <w:r w:rsidRPr="004D5AD1">
        <w:rPr>
          <w:noProof/>
        </w:rPr>
        <w:tab/>
        <w:t>Właściwe organy przeprowadzają kontrole nierutynowe:</w:t>
      </w:r>
    </w:p>
    <w:p w14:paraId="6494BC84" w14:textId="25A43514" w:rsidR="0019291A" w:rsidRPr="004D5AD1" w:rsidRDefault="0019291A" w:rsidP="008D57DB">
      <w:pPr>
        <w:pStyle w:val="Text1"/>
        <w:rPr>
          <w:noProof/>
        </w:rPr>
      </w:pPr>
      <w:r w:rsidRPr="004D5AD1">
        <w:rPr>
          <w:noProof/>
        </w:rPr>
        <w:t>a)</w:t>
      </w:r>
      <w:r w:rsidR="004D5AD1" w:rsidRPr="004D5AD1">
        <w:rPr>
          <w:noProof/>
        </w:rPr>
        <w:t xml:space="preserve"> w</w:t>
      </w:r>
      <w:r w:rsidR="004D5AD1">
        <w:rPr>
          <w:noProof/>
        </w:rPr>
        <w:t> </w:t>
      </w:r>
      <w:r w:rsidR="004D5AD1" w:rsidRPr="004D5AD1">
        <w:rPr>
          <w:noProof/>
        </w:rPr>
        <w:t>cel</w:t>
      </w:r>
      <w:r w:rsidRPr="004D5AD1">
        <w:rPr>
          <w:noProof/>
        </w:rPr>
        <w:t>u zbadania uzasadnionych skarg,</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7, oraz przypadków niezgodności jak najszybciej po dniu,</w:t>
      </w:r>
      <w:r w:rsidR="004D5AD1" w:rsidRPr="004D5AD1">
        <w:rPr>
          <w:noProof/>
        </w:rPr>
        <w:t xml:space="preserve"> w</w:t>
      </w:r>
      <w:r w:rsidR="004D5AD1">
        <w:rPr>
          <w:noProof/>
        </w:rPr>
        <w:t> </w:t>
      </w:r>
      <w:r w:rsidR="004D5AD1" w:rsidRPr="004D5AD1">
        <w:rPr>
          <w:noProof/>
        </w:rPr>
        <w:t>któ</w:t>
      </w:r>
      <w:r w:rsidRPr="004D5AD1">
        <w:rPr>
          <w:noProof/>
        </w:rPr>
        <w:t>rym właściwe organy powzięły informację</w:t>
      </w:r>
      <w:r w:rsidR="004D5AD1" w:rsidRPr="004D5AD1">
        <w:rPr>
          <w:noProof/>
        </w:rPr>
        <w:t xml:space="preserve"> o</w:t>
      </w:r>
      <w:r w:rsidR="004D5AD1">
        <w:rPr>
          <w:noProof/>
        </w:rPr>
        <w:t> </w:t>
      </w:r>
      <w:r w:rsidR="004D5AD1" w:rsidRPr="004D5AD1">
        <w:rPr>
          <w:noProof/>
        </w:rPr>
        <w:t>tak</w:t>
      </w:r>
      <w:r w:rsidRPr="004D5AD1">
        <w:rPr>
          <w:noProof/>
        </w:rPr>
        <w:t xml:space="preserve">ich skargach lub przypadkach niezgodności; </w:t>
      </w:r>
    </w:p>
    <w:p w14:paraId="3911070B" w14:textId="495F431F" w:rsidR="0019291A" w:rsidRPr="004D5AD1" w:rsidRDefault="0019291A" w:rsidP="008D57DB">
      <w:pPr>
        <w:pStyle w:val="Text1"/>
        <w:rPr>
          <w:noProof/>
        </w:rPr>
      </w:pPr>
      <w:r w:rsidRPr="004D5AD1">
        <w:rPr>
          <w:noProof/>
        </w:rPr>
        <w:t>b)</w:t>
      </w:r>
      <w:r w:rsidR="004D5AD1" w:rsidRPr="004D5AD1">
        <w:rPr>
          <w:noProof/>
        </w:rPr>
        <w:t xml:space="preserve"> w</w:t>
      </w:r>
      <w:r w:rsidR="004D5AD1">
        <w:rPr>
          <w:noProof/>
        </w:rPr>
        <w:t> </w:t>
      </w:r>
      <w:r w:rsidR="004D5AD1" w:rsidRPr="004D5AD1">
        <w:rPr>
          <w:noProof/>
        </w:rPr>
        <w:t>cel</w:t>
      </w:r>
      <w:r w:rsidRPr="004D5AD1">
        <w:rPr>
          <w:noProof/>
        </w:rPr>
        <w:t>u zapewnienia, aby naprawy nieszczelności lub wymiany elementów były przeprowadzane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 xml:space="preserve">14. </w:t>
      </w:r>
    </w:p>
    <w:p w14:paraId="5D480AD5" w14:textId="240655E4" w:rsidR="0019291A" w:rsidRPr="004D5AD1" w:rsidRDefault="001876FA" w:rsidP="008D57DB">
      <w:pPr>
        <w:rPr>
          <w:noProof/>
        </w:rPr>
      </w:pPr>
      <w:r w:rsidRPr="004D5AD1">
        <w:rPr>
          <w:noProof/>
        </w:rPr>
        <w:t>5.</w:t>
      </w:r>
      <w:r w:rsidRPr="004D5AD1">
        <w:rPr>
          <w:noProof/>
        </w:rPr>
        <w:tab/>
        <w:t xml:space="preserve"> Po każdej kontroli właściwe organy przygotowują sprawozdanie zawierające opis podstawy prawnej kontroli, przeprowadzonych kroków proceduralnych, odpowiednich ustaleń</w:t>
      </w:r>
      <w:r w:rsidR="004D5AD1" w:rsidRPr="004D5AD1">
        <w:rPr>
          <w:noProof/>
        </w:rPr>
        <w:t xml:space="preserve"> i</w:t>
      </w:r>
      <w:r w:rsidR="004D5AD1">
        <w:rPr>
          <w:noProof/>
        </w:rPr>
        <w:t> </w:t>
      </w:r>
      <w:r w:rsidR="004D5AD1" w:rsidRPr="004D5AD1">
        <w:rPr>
          <w:noProof/>
        </w:rPr>
        <w:t>zal</w:t>
      </w:r>
      <w:r w:rsidRPr="004D5AD1">
        <w:rPr>
          <w:noProof/>
        </w:rPr>
        <w:t>eceń dotyczących dalszych działań operatora lub operatora kopalni.</w:t>
      </w:r>
    </w:p>
    <w:p w14:paraId="2FD4856A" w14:textId="1F445D64" w:rsidR="00C507F6" w:rsidRPr="004D5AD1" w:rsidRDefault="0019291A" w:rsidP="008D57DB">
      <w:pPr>
        <w:rPr>
          <w:noProof/>
        </w:rPr>
      </w:pPr>
      <w:r w:rsidRPr="004D5AD1">
        <w:rPr>
          <w:noProof/>
        </w:rPr>
        <w:t>Sprawozdanie przedkłada się odnośnemu operatorowi</w:t>
      </w:r>
      <w:r w:rsidR="004D5AD1" w:rsidRPr="004D5AD1">
        <w:rPr>
          <w:noProof/>
        </w:rPr>
        <w:t xml:space="preserve"> i</w:t>
      </w:r>
      <w:r w:rsidR="004D5AD1">
        <w:rPr>
          <w:noProof/>
        </w:rPr>
        <w:t> </w:t>
      </w:r>
      <w:r w:rsidR="004D5AD1" w:rsidRPr="004D5AD1">
        <w:rPr>
          <w:noProof/>
        </w:rPr>
        <w:t>pod</w:t>
      </w:r>
      <w:r w:rsidRPr="004D5AD1">
        <w:rPr>
          <w:noProof/>
        </w:rPr>
        <w:t>aje do wiadomości publicznej</w:t>
      </w:r>
      <w:r w:rsidR="004D5AD1" w:rsidRPr="004D5AD1">
        <w:rPr>
          <w:noProof/>
        </w:rPr>
        <w:t xml:space="preserve"> w</w:t>
      </w:r>
      <w:r w:rsidR="004D5AD1">
        <w:rPr>
          <w:noProof/>
        </w:rPr>
        <w:t> </w:t>
      </w:r>
      <w:r w:rsidR="004D5AD1" w:rsidRPr="004D5AD1">
        <w:rPr>
          <w:noProof/>
        </w:rPr>
        <w:t>ter</w:t>
      </w:r>
      <w:r w:rsidRPr="004D5AD1">
        <w:rPr>
          <w:noProof/>
        </w:rPr>
        <w:t>minie dwóch miesięcy od daty kontroli</w:t>
      </w:r>
      <w:r w:rsidR="004D5AD1" w:rsidRPr="004D5AD1">
        <w:rPr>
          <w:noProof/>
        </w:rPr>
        <w:t>. W</w:t>
      </w:r>
      <w:r w:rsidR="004D5AD1">
        <w:rPr>
          <w:noProof/>
        </w:rPr>
        <w:t> </w:t>
      </w:r>
      <w:r w:rsidR="004D5AD1" w:rsidRPr="004D5AD1">
        <w:rPr>
          <w:noProof/>
        </w:rPr>
        <w:t>prz</w:t>
      </w:r>
      <w:r w:rsidRPr="004D5AD1">
        <w:rPr>
          <w:noProof/>
        </w:rPr>
        <w:t>ypadku gdy sprawozdanie jest wynikiem skargi wniesionej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 xml:space="preserve">7, właściwe organy powiadamiają skarżącego, gdy sprawozdanie jest publicznie dostępne. </w:t>
      </w:r>
    </w:p>
    <w:p w14:paraId="070F0CE7" w14:textId="3D3AEC2B" w:rsidR="0019291A" w:rsidRPr="004D5AD1" w:rsidRDefault="0019291A" w:rsidP="008D57DB">
      <w:pPr>
        <w:rPr>
          <w:noProof/>
        </w:rPr>
      </w:pPr>
      <w:r w:rsidRPr="004D5AD1">
        <w:rPr>
          <w:noProof/>
        </w:rPr>
        <w:t>Sprawozdanie jest podawane do wiadomości publicznej przez właściwe organy zgodnie</w:t>
      </w:r>
      <w:r w:rsidR="004D5AD1" w:rsidRPr="004D5AD1">
        <w:rPr>
          <w:noProof/>
        </w:rPr>
        <w:t xml:space="preserve"> z</w:t>
      </w:r>
      <w:r w:rsidR="004D5AD1">
        <w:rPr>
          <w:noProof/>
        </w:rPr>
        <w:t> </w:t>
      </w:r>
      <w:r w:rsidR="004D5AD1" w:rsidRPr="004D5AD1">
        <w:rPr>
          <w:noProof/>
        </w:rPr>
        <w:t>dyr</w:t>
      </w:r>
      <w:r w:rsidRPr="004D5AD1">
        <w:rPr>
          <w:noProof/>
        </w:rPr>
        <w:t>ektywą 2003/4/WE</w:t>
      </w:r>
      <w:r w:rsidR="004D5AD1" w:rsidRPr="004D5AD1">
        <w:rPr>
          <w:noProof/>
        </w:rPr>
        <w:t>. W</w:t>
      </w:r>
      <w:r w:rsidR="004D5AD1">
        <w:rPr>
          <w:noProof/>
        </w:rPr>
        <w:t> </w:t>
      </w:r>
      <w:r w:rsidR="004D5AD1" w:rsidRPr="004D5AD1">
        <w:rPr>
          <w:noProof/>
        </w:rPr>
        <w:t>prz</w:t>
      </w:r>
      <w:r w:rsidRPr="004D5AD1">
        <w:rPr>
          <w:noProof/>
        </w:rPr>
        <w:t>ypadku gdy informacje są traktowane jako poufne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4 dyrektywy 2003/4/WE, właściwe organy wskazują</w:t>
      </w:r>
      <w:r w:rsidR="004D5AD1" w:rsidRPr="004D5AD1">
        <w:rPr>
          <w:noProof/>
        </w:rPr>
        <w:t xml:space="preserve"> w</w:t>
      </w:r>
      <w:r w:rsidR="004D5AD1">
        <w:rPr>
          <w:noProof/>
        </w:rPr>
        <w:t> </w:t>
      </w:r>
      <w:r w:rsidR="004D5AD1" w:rsidRPr="004D5AD1">
        <w:rPr>
          <w:noProof/>
        </w:rPr>
        <w:t>spr</w:t>
      </w:r>
      <w:r w:rsidRPr="004D5AD1">
        <w:rPr>
          <w:noProof/>
        </w:rPr>
        <w:t>awozdaniu rodzaj informacji, które nie zostały ujawnione, wraz</w:t>
      </w:r>
      <w:r w:rsidR="004D5AD1" w:rsidRPr="004D5AD1">
        <w:rPr>
          <w:noProof/>
        </w:rPr>
        <w:t xml:space="preserve"> z</w:t>
      </w:r>
      <w:r w:rsidR="004D5AD1">
        <w:rPr>
          <w:noProof/>
        </w:rPr>
        <w:t> </w:t>
      </w:r>
      <w:r w:rsidR="004D5AD1" w:rsidRPr="004D5AD1">
        <w:rPr>
          <w:noProof/>
        </w:rPr>
        <w:t>uza</w:t>
      </w:r>
      <w:r w:rsidRPr="004D5AD1">
        <w:rPr>
          <w:noProof/>
        </w:rPr>
        <w:t xml:space="preserve">sadnieniem. </w:t>
      </w:r>
    </w:p>
    <w:p w14:paraId="676EA1C7" w14:textId="0D67DC9A" w:rsidR="0019291A" w:rsidRPr="004D5AD1" w:rsidRDefault="00E9549A" w:rsidP="008D57DB">
      <w:pPr>
        <w:rPr>
          <w:noProof/>
        </w:rPr>
      </w:pPr>
      <w:r w:rsidRPr="004D5AD1">
        <w:rPr>
          <w:noProof/>
        </w:rPr>
        <w:t>6.</w:t>
      </w:r>
      <w:r w:rsidRPr="004D5AD1">
        <w:rPr>
          <w:noProof/>
        </w:rPr>
        <w:tab/>
        <w:t>W terminie wyznaczonym przez właściwe organy lub</w:t>
      </w:r>
      <w:r w:rsidR="004D5AD1" w:rsidRPr="004D5AD1">
        <w:rPr>
          <w:noProof/>
        </w:rPr>
        <w:t xml:space="preserve"> w</w:t>
      </w:r>
      <w:r w:rsidR="004D5AD1">
        <w:rPr>
          <w:noProof/>
        </w:rPr>
        <w:t> </w:t>
      </w:r>
      <w:r w:rsidR="004D5AD1" w:rsidRPr="004D5AD1">
        <w:rPr>
          <w:noProof/>
        </w:rPr>
        <w:t>inn</w:t>
      </w:r>
      <w:r w:rsidRPr="004D5AD1">
        <w:rPr>
          <w:noProof/>
        </w:rPr>
        <w:t>ym terminie uzgodnionym</w:t>
      </w:r>
      <w:r w:rsidR="004D5AD1" w:rsidRPr="004D5AD1">
        <w:rPr>
          <w:noProof/>
        </w:rPr>
        <w:t xml:space="preserve"> z</w:t>
      </w:r>
      <w:r w:rsidR="004D5AD1">
        <w:rPr>
          <w:noProof/>
        </w:rPr>
        <w:t> </w:t>
      </w:r>
      <w:r w:rsidR="004D5AD1" w:rsidRPr="004D5AD1">
        <w:rPr>
          <w:noProof/>
        </w:rPr>
        <w:t>wła</w:t>
      </w:r>
      <w:r w:rsidRPr="004D5AD1">
        <w:rPr>
          <w:noProof/>
        </w:rPr>
        <w:t>ściwymi organami operatorzy</w:t>
      </w:r>
      <w:r w:rsidR="004D5AD1" w:rsidRPr="004D5AD1">
        <w:rPr>
          <w:noProof/>
        </w:rPr>
        <w:t xml:space="preserve"> i</w:t>
      </w:r>
      <w:r w:rsidR="004D5AD1">
        <w:rPr>
          <w:noProof/>
        </w:rPr>
        <w:t> </w:t>
      </w:r>
      <w:r w:rsidR="004D5AD1" w:rsidRPr="004D5AD1">
        <w:rPr>
          <w:noProof/>
        </w:rPr>
        <w:t>ope</w:t>
      </w:r>
      <w:r w:rsidRPr="004D5AD1">
        <w:rPr>
          <w:noProof/>
        </w:rPr>
        <w:t>ratorzy kopalń podejmują wszystkie niezbędne działania określone</w:t>
      </w:r>
      <w:r w:rsidR="004D5AD1" w:rsidRPr="004D5AD1">
        <w:rPr>
          <w:noProof/>
        </w:rPr>
        <w:t xml:space="preserve"> w</w:t>
      </w:r>
      <w:r w:rsidR="004D5AD1">
        <w:rPr>
          <w:noProof/>
        </w:rPr>
        <w:t> </w:t>
      </w:r>
      <w:r w:rsidR="004D5AD1" w:rsidRPr="004D5AD1">
        <w:rPr>
          <w:noProof/>
        </w:rPr>
        <w:t>spr</w:t>
      </w:r>
      <w:r w:rsidRPr="004D5AD1">
        <w:rPr>
          <w:noProof/>
        </w:rPr>
        <w:t>awozdaniu,</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5.</w:t>
      </w:r>
    </w:p>
    <w:p w14:paraId="19DBD378" w14:textId="77777777" w:rsidR="00AA7224" w:rsidRPr="004D5AD1" w:rsidRDefault="00AA7224" w:rsidP="008D57DB">
      <w:pPr>
        <w:rPr>
          <w:noProof/>
        </w:rPr>
      </w:pPr>
    </w:p>
    <w:p w14:paraId="5477251F" w14:textId="77777777" w:rsidR="008D57DB" w:rsidRPr="004D5AD1" w:rsidRDefault="00C507F6" w:rsidP="00BC3357">
      <w:pPr>
        <w:pStyle w:val="Titrearticle"/>
        <w:rPr>
          <w:noProof/>
        </w:rPr>
      </w:pPr>
      <w:r w:rsidRPr="004D5AD1">
        <w:rPr>
          <w:noProof/>
        </w:rPr>
        <w:t>Artykuł 7</w:t>
      </w:r>
    </w:p>
    <w:p w14:paraId="79D7F724" w14:textId="77777777" w:rsidR="00C507F6" w:rsidRPr="004D5AD1" w:rsidRDefault="00C507F6" w:rsidP="00BC3357">
      <w:pPr>
        <w:pStyle w:val="NormalCentered"/>
        <w:keepNext/>
        <w:rPr>
          <w:b/>
          <w:noProof/>
        </w:rPr>
      </w:pPr>
      <w:r w:rsidRPr="004D5AD1">
        <w:rPr>
          <w:b/>
          <w:noProof/>
        </w:rPr>
        <w:t>Wnoszenie skarg do właściwych organów</w:t>
      </w:r>
    </w:p>
    <w:p w14:paraId="6D311AF5" w14:textId="1FAAA5FB" w:rsidR="00C507F6" w:rsidRPr="004D5AD1" w:rsidRDefault="00C507F6" w:rsidP="00BC3357">
      <w:pPr>
        <w:keepNext/>
        <w:rPr>
          <w:noProof/>
        </w:rPr>
      </w:pPr>
      <w:r w:rsidRPr="004D5AD1">
        <w:rPr>
          <w:noProof/>
        </w:rPr>
        <w:t>1.</w:t>
      </w:r>
      <w:r w:rsidRPr="004D5AD1">
        <w:rPr>
          <w:noProof/>
        </w:rPr>
        <w:tab/>
        <w:t>Każda osoba fizyczna lub prawna, która uważa, że poniosła szkodę</w:t>
      </w:r>
      <w:r w:rsidR="004D5AD1" w:rsidRPr="004D5AD1">
        <w:rPr>
          <w:noProof/>
        </w:rPr>
        <w:t xml:space="preserve"> w</w:t>
      </w:r>
      <w:r w:rsidR="004D5AD1">
        <w:rPr>
          <w:noProof/>
        </w:rPr>
        <w:t> </w:t>
      </w:r>
      <w:r w:rsidR="004D5AD1" w:rsidRPr="004D5AD1">
        <w:rPr>
          <w:noProof/>
        </w:rPr>
        <w:t>wyn</w:t>
      </w:r>
      <w:r w:rsidRPr="004D5AD1">
        <w:rPr>
          <w:noProof/>
        </w:rPr>
        <w:t>iku naruszenia wymogów niniejszego rozporządzenia przez operatorów lub operatorów kopalń, może wnieść pisemną skargę do właściwych organów.</w:t>
      </w:r>
    </w:p>
    <w:p w14:paraId="0FE42503" w14:textId="045F2756" w:rsidR="00C507F6" w:rsidRPr="004D5AD1" w:rsidRDefault="00C507F6" w:rsidP="00C507F6">
      <w:pPr>
        <w:rPr>
          <w:noProof/>
        </w:rPr>
      </w:pPr>
      <w:r w:rsidRPr="004D5AD1">
        <w:rPr>
          <w:noProof/>
        </w:rPr>
        <w:t>2.</w:t>
      </w:r>
      <w:r w:rsidRPr="004D5AD1">
        <w:rPr>
          <w:noProof/>
        </w:rPr>
        <w:tab/>
        <w:t>Skarga musi być należycie uzasadniona</w:t>
      </w:r>
      <w:r w:rsidR="004D5AD1" w:rsidRPr="004D5AD1">
        <w:rPr>
          <w:noProof/>
        </w:rPr>
        <w:t xml:space="preserve"> i</w:t>
      </w:r>
      <w:r w:rsidR="004D5AD1">
        <w:rPr>
          <w:noProof/>
        </w:rPr>
        <w:t> </w:t>
      </w:r>
      <w:r w:rsidR="004D5AD1" w:rsidRPr="004D5AD1">
        <w:rPr>
          <w:noProof/>
        </w:rPr>
        <w:t>zaw</w:t>
      </w:r>
      <w:r w:rsidRPr="004D5AD1">
        <w:rPr>
          <w:noProof/>
        </w:rPr>
        <w:t>ierać wystarczające dowody domniemanego naruszenia</w:t>
      </w:r>
      <w:r w:rsidR="004D5AD1" w:rsidRPr="004D5AD1">
        <w:rPr>
          <w:noProof/>
        </w:rPr>
        <w:t xml:space="preserve"> i</w:t>
      </w:r>
      <w:r w:rsidR="004D5AD1">
        <w:rPr>
          <w:noProof/>
        </w:rPr>
        <w:t> </w:t>
      </w:r>
      <w:r w:rsidR="004D5AD1" w:rsidRPr="004D5AD1">
        <w:rPr>
          <w:noProof/>
        </w:rPr>
        <w:t>wyn</w:t>
      </w:r>
      <w:r w:rsidRPr="004D5AD1">
        <w:rPr>
          <w:noProof/>
        </w:rPr>
        <w:t>ikającej</w:t>
      </w:r>
      <w:r w:rsidR="004D5AD1" w:rsidRPr="004D5AD1">
        <w:rPr>
          <w:noProof/>
        </w:rPr>
        <w:t xml:space="preserve"> z</w:t>
      </w:r>
      <w:r w:rsidR="004D5AD1">
        <w:rPr>
          <w:noProof/>
        </w:rPr>
        <w:t> </w:t>
      </w:r>
      <w:r w:rsidR="004D5AD1" w:rsidRPr="004D5AD1">
        <w:rPr>
          <w:noProof/>
        </w:rPr>
        <w:t>nie</w:t>
      </w:r>
      <w:r w:rsidRPr="004D5AD1">
        <w:rPr>
          <w:noProof/>
        </w:rPr>
        <w:t>go szkody.</w:t>
      </w:r>
    </w:p>
    <w:p w14:paraId="3E6CAF3E" w14:textId="0FBC5E13" w:rsidR="00982195" w:rsidRPr="004D5AD1" w:rsidRDefault="00C507F6" w:rsidP="00C507F6">
      <w:pPr>
        <w:rPr>
          <w:noProof/>
        </w:rPr>
      </w:pPr>
      <w:r w:rsidRPr="004D5AD1">
        <w:rPr>
          <w:noProof/>
        </w:rPr>
        <w:t>3.</w:t>
      </w:r>
      <w:r w:rsidRPr="004D5AD1">
        <w:rPr>
          <w:noProof/>
        </w:rPr>
        <w:tab/>
        <w:t>Jeżeli okaże się, że skarga nie zawiera wystarczających dowodów na uzasadnienie wszczęcia dochodzenia, właściwe organy informują skarżącego</w:t>
      </w:r>
      <w:r w:rsidR="004D5AD1" w:rsidRPr="004D5AD1">
        <w:rPr>
          <w:noProof/>
        </w:rPr>
        <w:t xml:space="preserve"> o</w:t>
      </w:r>
      <w:r w:rsidR="004D5AD1">
        <w:rPr>
          <w:noProof/>
        </w:rPr>
        <w:t> </w:t>
      </w:r>
      <w:r w:rsidR="004D5AD1" w:rsidRPr="004D5AD1">
        <w:rPr>
          <w:noProof/>
        </w:rPr>
        <w:t>pow</w:t>
      </w:r>
      <w:r w:rsidRPr="004D5AD1">
        <w:rPr>
          <w:noProof/>
        </w:rPr>
        <w:t>odach swojej decyzji</w:t>
      </w:r>
      <w:r w:rsidR="004D5AD1" w:rsidRPr="004D5AD1">
        <w:rPr>
          <w:noProof/>
        </w:rPr>
        <w:t xml:space="preserve"> o</w:t>
      </w:r>
      <w:r w:rsidR="004D5AD1">
        <w:rPr>
          <w:noProof/>
        </w:rPr>
        <w:t> </w:t>
      </w:r>
      <w:r w:rsidR="004D5AD1" w:rsidRPr="004D5AD1">
        <w:rPr>
          <w:noProof/>
        </w:rPr>
        <w:t>nie</w:t>
      </w:r>
      <w:r w:rsidRPr="004D5AD1">
        <w:rPr>
          <w:noProof/>
        </w:rPr>
        <w:t>wszczynaniu dochodzenia.</w:t>
      </w:r>
    </w:p>
    <w:p w14:paraId="6A8BBE7A" w14:textId="26C83FBE" w:rsidR="008D57DB" w:rsidRPr="004D5AD1" w:rsidRDefault="00982195" w:rsidP="00C507F6">
      <w:pPr>
        <w:rPr>
          <w:noProof/>
        </w:rPr>
      </w:pPr>
      <w:r w:rsidRPr="004D5AD1">
        <w:rPr>
          <w:noProof/>
        </w:rPr>
        <w:t>4.</w:t>
      </w:r>
      <w:r w:rsidRPr="004D5AD1">
        <w:rPr>
          <w:noProof/>
        </w:rPr>
        <w:tab/>
        <w:t>Nie naruszając przepisów mających zastosowanie na podstawie prawa krajowego, właściwe organy informują skarżącego na bieżąco na temat działań podejmowanych</w:t>
      </w:r>
      <w:r w:rsidR="004D5AD1" w:rsidRPr="004D5AD1">
        <w:rPr>
          <w:noProof/>
        </w:rPr>
        <w:t xml:space="preserve"> w</w:t>
      </w:r>
      <w:r w:rsidR="004D5AD1">
        <w:rPr>
          <w:noProof/>
        </w:rPr>
        <w:t> </w:t>
      </w:r>
      <w:r w:rsidR="004D5AD1" w:rsidRPr="004D5AD1">
        <w:rPr>
          <w:noProof/>
        </w:rPr>
        <w:t>ram</w:t>
      </w:r>
      <w:r w:rsidRPr="004D5AD1">
        <w:rPr>
          <w:noProof/>
        </w:rPr>
        <w:t>ach procedury oraz –</w:t>
      </w:r>
      <w:r w:rsidR="004D5AD1" w:rsidRPr="004D5AD1">
        <w:rPr>
          <w:noProof/>
        </w:rPr>
        <w:t xml:space="preserve"> w</w:t>
      </w:r>
      <w:r w:rsidR="004D5AD1">
        <w:rPr>
          <w:noProof/>
        </w:rPr>
        <w:t> </w:t>
      </w:r>
      <w:r w:rsidR="004D5AD1" w:rsidRPr="004D5AD1">
        <w:rPr>
          <w:noProof/>
        </w:rPr>
        <w:t>sto</w:t>
      </w:r>
      <w:r w:rsidRPr="004D5AD1">
        <w:rPr>
          <w:noProof/>
        </w:rPr>
        <w:t>sownych przypadkach – informują skarżącego</w:t>
      </w:r>
      <w:r w:rsidR="004D5AD1" w:rsidRPr="004D5AD1">
        <w:rPr>
          <w:noProof/>
        </w:rPr>
        <w:t xml:space="preserve"> o</w:t>
      </w:r>
      <w:r w:rsidR="004D5AD1">
        <w:rPr>
          <w:noProof/>
        </w:rPr>
        <w:t> </w:t>
      </w:r>
      <w:r w:rsidR="004D5AD1" w:rsidRPr="004D5AD1">
        <w:rPr>
          <w:noProof/>
        </w:rPr>
        <w:t>odp</w:t>
      </w:r>
      <w:r w:rsidRPr="004D5AD1">
        <w:rPr>
          <w:noProof/>
        </w:rPr>
        <w:t>owiednich alternatywnych formach dochodzenia roszczeń, takich jak możliwość odwołania się do sądu krajowego lub jakakolwiek inna krajowa lub międzynarodowa procedura rozpatrywania skarg.</w:t>
      </w:r>
    </w:p>
    <w:p w14:paraId="0E17502D" w14:textId="1FC5B1D0" w:rsidR="00C507F6" w:rsidRPr="004D5AD1" w:rsidRDefault="00982195" w:rsidP="00982195">
      <w:pPr>
        <w:rPr>
          <w:noProof/>
          <w:sz w:val="27"/>
          <w:szCs w:val="27"/>
        </w:rPr>
      </w:pPr>
      <w:r w:rsidRPr="004D5AD1">
        <w:rPr>
          <w:noProof/>
        </w:rPr>
        <w:t>5.</w:t>
      </w:r>
      <w:r w:rsidRPr="004D5AD1">
        <w:rPr>
          <w:noProof/>
        </w:rPr>
        <w:tab/>
        <w:t>Nie naruszając przepisów mających zastosowanie na podstawie prawa krajowego,</w:t>
      </w:r>
      <w:r w:rsidR="004D5AD1" w:rsidRPr="004D5AD1">
        <w:rPr>
          <w:noProof/>
        </w:rPr>
        <w:t xml:space="preserve"> a</w:t>
      </w:r>
      <w:r w:rsidR="004D5AD1">
        <w:rPr>
          <w:noProof/>
        </w:rPr>
        <w:t> </w:t>
      </w:r>
      <w:r w:rsidR="004D5AD1" w:rsidRPr="004D5AD1">
        <w:rPr>
          <w:noProof/>
        </w:rPr>
        <w:t>tak</w:t>
      </w:r>
      <w:r w:rsidRPr="004D5AD1">
        <w:rPr>
          <w:noProof/>
        </w:rPr>
        <w:t>że na podstawie porównywalnych procedur właściwe organy ustanawiają</w:t>
      </w:r>
      <w:r w:rsidR="004D5AD1" w:rsidRPr="004D5AD1">
        <w:rPr>
          <w:noProof/>
        </w:rPr>
        <w:t xml:space="preserve"> i</w:t>
      </w:r>
      <w:r w:rsidR="004D5AD1">
        <w:rPr>
          <w:noProof/>
        </w:rPr>
        <w:t> </w:t>
      </w:r>
      <w:r w:rsidR="004D5AD1" w:rsidRPr="004D5AD1">
        <w:rPr>
          <w:noProof/>
        </w:rPr>
        <w:t>udo</w:t>
      </w:r>
      <w:r w:rsidRPr="004D5AD1">
        <w:rPr>
          <w:noProof/>
        </w:rPr>
        <w:t>stępniają opinii publicznej orientacyjne terminy podejmowania decyzji</w:t>
      </w:r>
      <w:r w:rsidR="004D5AD1" w:rsidRPr="004D5AD1">
        <w:rPr>
          <w:noProof/>
        </w:rPr>
        <w:t xml:space="preserve"> w</w:t>
      </w:r>
      <w:r w:rsidR="004D5AD1">
        <w:rPr>
          <w:noProof/>
        </w:rPr>
        <w:t> </w:t>
      </w:r>
      <w:r w:rsidR="004D5AD1" w:rsidRPr="004D5AD1">
        <w:rPr>
          <w:noProof/>
        </w:rPr>
        <w:t>spr</w:t>
      </w:r>
      <w:r w:rsidRPr="004D5AD1">
        <w:rPr>
          <w:noProof/>
        </w:rPr>
        <w:t xml:space="preserve">awie skarg. </w:t>
      </w:r>
    </w:p>
    <w:p w14:paraId="2F6B7982" w14:textId="77777777" w:rsidR="00C507F6" w:rsidRPr="004D5AD1" w:rsidRDefault="00C507F6" w:rsidP="00C507F6">
      <w:pPr>
        <w:rPr>
          <w:noProof/>
        </w:rPr>
      </w:pPr>
    </w:p>
    <w:p w14:paraId="49213BAE" w14:textId="77777777" w:rsidR="00AC51F6" w:rsidRPr="004D5AD1" w:rsidRDefault="00AC51F6" w:rsidP="00AC51F6">
      <w:pPr>
        <w:pStyle w:val="Titrearticle"/>
        <w:rPr>
          <w:noProof/>
        </w:rPr>
      </w:pPr>
      <w:r w:rsidRPr="004D5AD1">
        <w:rPr>
          <w:noProof/>
        </w:rPr>
        <w:t>Artykuł 8</w:t>
      </w:r>
    </w:p>
    <w:p w14:paraId="1AFB58AE" w14:textId="2AE6CE82" w:rsidR="00AC51F6" w:rsidRPr="004D5AD1" w:rsidRDefault="00AC51F6" w:rsidP="00AC51F6">
      <w:pPr>
        <w:pStyle w:val="Text1"/>
        <w:ind w:left="0"/>
        <w:jc w:val="center"/>
        <w:rPr>
          <w:b/>
          <w:noProof/>
        </w:rPr>
      </w:pPr>
      <w:r w:rsidRPr="004D5AD1">
        <w:rPr>
          <w:b/>
          <w:noProof/>
        </w:rPr>
        <w:t>Działania weryfikacyjne</w:t>
      </w:r>
      <w:r w:rsidR="004D5AD1" w:rsidRPr="004D5AD1">
        <w:rPr>
          <w:b/>
          <w:noProof/>
        </w:rPr>
        <w:t xml:space="preserve"> i</w:t>
      </w:r>
      <w:r w:rsidR="004D5AD1">
        <w:rPr>
          <w:b/>
          <w:noProof/>
        </w:rPr>
        <w:t> </w:t>
      </w:r>
      <w:r w:rsidR="004D5AD1" w:rsidRPr="004D5AD1">
        <w:rPr>
          <w:b/>
          <w:noProof/>
        </w:rPr>
        <w:t>ośw</w:t>
      </w:r>
      <w:r w:rsidRPr="004D5AD1">
        <w:rPr>
          <w:b/>
          <w:noProof/>
        </w:rPr>
        <w:t>iadczenie weryfikacyjne</w:t>
      </w:r>
    </w:p>
    <w:p w14:paraId="2C5DCC42" w14:textId="2CE5076B" w:rsidR="001032EE" w:rsidRPr="004D5AD1" w:rsidRDefault="00AC51F6" w:rsidP="001032EE">
      <w:pPr>
        <w:rPr>
          <w:noProof/>
        </w:rPr>
      </w:pPr>
      <w:r w:rsidRPr="004D5AD1">
        <w:rPr>
          <w:noProof/>
        </w:rPr>
        <w:t>1.</w:t>
      </w:r>
      <w:r w:rsidRPr="004D5AD1">
        <w:rPr>
          <w:noProof/>
        </w:rPr>
        <w:tab/>
        <w:t>Weryfikatorzy oceniają zgodność raportów na temat wielkości emisji przedkładanych im przez operatorów lub operatorów kopalń zgodnie</w:t>
      </w:r>
      <w:r w:rsidR="004D5AD1" w:rsidRPr="004D5AD1">
        <w:rPr>
          <w:noProof/>
        </w:rPr>
        <w:t xml:space="preserve"> z</w:t>
      </w:r>
      <w:r w:rsidR="004D5AD1">
        <w:rPr>
          <w:noProof/>
        </w:rPr>
        <w:t> </w:t>
      </w:r>
      <w:r w:rsidR="004D5AD1" w:rsidRPr="004D5AD1">
        <w:rPr>
          <w:noProof/>
        </w:rPr>
        <w:t>nin</w:t>
      </w:r>
      <w:r w:rsidRPr="004D5AD1">
        <w:rPr>
          <w:noProof/>
        </w:rPr>
        <w:t>iejszym rozporządzeniem. Oceniają oni zgodność raportów</w:t>
      </w:r>
      <w:r w:rsidR="004D5AD1" w:rsidRPr="004D5AD1">
        <w:rPr>
          <w:noProof/>
        </w:rPr>
        <w:t xml:space="preserve"> z</w:t>
      </w:r>
      <w:r w:rsidR="004D5AD1">
        <w:rPr>
          <w:noProof/>
        </w:rPr>
        <w:t> </w:t>
      </w:r>
      <w:r w:rsidR="004D5AD1" w:rsidRPr="004D5AD1">
        <w:rPr>
          <w:noProof/>
        </w:rPr>
        <w:t>wym</w:t>
      </w:r>
      <w:r w:rsidRPr="004D5AD1">
        <w:rPr>
          <w:noProof/>
        </w:rPr>
        <w:t>ogami określonymi</w:t>
      </w:r>
      <w:r w:rsidR="004D5AD1" w:rsidRPr="004D5AD1">
        <w:rPr>
          <w:noProof/>
        </w:rPr>
        <w:t xml:space="preserve"> w</w:t>
      </w:r>
      <w:r w:rsidR="004D5AD1">
        <w:rPr>
          <w:noProof/>
        </w:rPr>
        <w:t> </w:t>
      </w:r>
      <w:r w:rsidR="004D5AD1" w:rsidRPr="004D5AD1">
        <w:rPr>
          <w:noProof/>
        </w:rPr>
        <w:t>nin</w:t>
      </w:r>
      <w:r w:rsidRPr="004D5AD1">
        <w:rPr>
          <w:noProof/>
        </w:rPr>
        <w:t>iejszym rozporządzeniu</w:t>
      </w:r>
      <w:r w:rsidR="004D5AD1" w:rsidRPr="004D5AD1">
        <w:rPr>
          <w:noProof/>
        </w:rPr>
        <w:t xml:space="preserve"> i</w:t>
      </w:r>
      <w:r w:rsidR="004D5AD1">
        <w:rPr>
          <w:noProof/>
        </w:rPr>
        <w:t> </w:t>
      </w:r>
      <w:r w:rsidR="004D5AD1" w:rsidRPr="004D5AD1">
        <w:rPr>
          <w:noProof/>
        </w:rPr>
        <w:t>dok</w:t>
      </w:r>
      <w:r w:rsidRPr="004D5AD1">
        <w:rPr>
          <w:noProof/>
        </w:rPr>
        <w:t>onują przeglądu wszystkich wykorzystanych źródeł danych</w:t>
      </w:r>
      <w:r w:rsidR="004D5AD1" w:rsidRPr="004D5AD1">
        <w:rPr>
          <w:noProof/>
        </w:rPr>
        <w:t xml:space="preserve"> i</w:t>
      </w:r>
      <w:r w:rsidR="004D5AD1">
        <w:rPr>
          <w:noProof/>
        </w:rPr>
        <w:t> </w:t>
      </w:r>
      <w:r w:rsidR="004D5AD1" w:rsidRPr="004D5AD1">
        <w:rPr>
          <w:noProof/>
        </w:rPr>
        <w:t>met</w:t>
      </w:r>
      <w:r w:rsidRPr="004D5AD1">
        <w:rPr>
          <w:noProof/>
        </w:rPr>
        <w:t>od</w:t>
      </w:r>
      <w:r w:rsidR="004D5AD1" w:rsidRPr="004D5AD1">
        <w:rPr>
          <w:noProof/>
        </w:rPr>
        <w:t xml:space="preserve"> w</w:t>
      </w:r>
      <w:r w:rsidR="004D5AD1">
        <w:rPr>
          <w:noProof/>
        </w:rPr>
        <w:t> </w:t>
      </w:r>
      <w:r w:rsidR="004D5AD1" w:rsidRPr="004D5AD1">
        <w:rPr>
          <w:noProof/>
        </w:rPr>
        <w:t>cel</w:t>
      </w:r>
      <w:r w:rsidRPr="004D5AD1">
        <w:rPr>
          <w:noProof/>
        </w:rPr>
        <w:t>u oceny ich rzetelności, wiarygodności</w:t>
      </w:r>
      <w:r w:rsidR="004D5AD1" w:rsidRPr="004D5AD1">
        <w:rPr>
          <w:noProof/>
        </w:rPr>
        <w:t xml:space="preserve"> i</w:t>
      </w:r>
      <w:r w:rsidR="004D5AD1">
        <w:rPr>
          <w:noProof/>
        </w:rPr>
        <w:t> </w:t>
      </w:r>
      <w:r w:rsidR="004D5AD1" w:rsidRPr="004D5AD1">
        <w:rPr>
          <w:noProof/>
        </w:rPr>
        <w:t>dok</w:t>
      </w:r>
      <w:r w:rsidRPr="004D5AD1">
        <w:rPr>
          <w:noProof/>
        </w:rPr>
        <w:t>ładności, szczególnie pod kątem następujących elementów:</w:t>
      </w:r>
    </w:p>
    <w:p w14:paraId="2571D40C" w14:textId="1963FBBB" w:rsidR="001032EE" w:rsidRPr="004D5AD1" w:rsidRDefault="001032EE" w:rsidP="001032EE">
      <w:pPr>
        <w:pStyle w:val="Text1"/>
        <w:rPr>
          <w:noProof/>
        </w:rPr>
      </w:pPr>
      <w:r w:rsidRPr="004D5AD1">
        <w:rPr>
          <w:noProof/>
        </w:rPr>
        <w:t>a) dobór oraz sposób wykorzystania współczynników emisji;</w:t>
      </w:r>
    </w:p>
    <w:p w14:paraId="1AE0A28F" w14:textId="22D9C92E" w:rsidR="001032EE" w:rsidRPr="004D5AD1" w:rsidRDefault="001032EE" w:rsidP="001032EE">
      <w:pPr>
        <w:pStyle w:val="Text1"/>
        <w:rPr>
          <w:noProof/>
        </w:rPr>
      </w:pPr>
      <w:r w:rsidRPr="004D5AD1">
        <w:rPr>
          <w:noProof/>
        </w:rPr>
        <w:t>b) metodyka, obliczenia, próbkowanie, rozkład statystyczny</w:t>
      </w:r>
      <w:r w:rsidR="004D5AD1" w:rsidRPr="004D5AD1">
        <w:rPr>
          <w:noProof/>
        </w:rPr>
        <w:t xml:space="preserve"> i</w:t>
      </w:r>
      <w:r w:rsidR="004D5AD1">
        <w:rPr>
          <w:noProof/>
        </w:rPr>
        <w:t> </w:t>
      </w:r>
      <w:r w:rsidR="004D5AD1" w:rsidRPr="004D5AD1">
        <w:rPr>
          <w:noProof/>
        </w:rPr>
        <w:t>poz</w:t>
      </w:r>
      <w:r w:rsidRPr="004D5AD1">
        <w:rPr>
          <w:noProof/>
        </w:rPr>
        <w:t>iomy istotności prowadzące do określenia wielkości emisji metanu;</w:t>
      </w:r>
    </w:p>
    <w:p w14:paraId="41B16578" w14:textId="343C7C54" w:rsidR="00327685" w:rsidRPr="004D5AD1" w:rsidRDefault="001032EE" w:rsidP="00327685">
      <w:pPr>
        <w:pStyle w:val="Text1"/>
        <w:rPr>
          <w:noProof/>
        </w:rPr>
      </w:pPr>
      <w:r w:rsidRPr="004D5AD1">
        <w:rPr>
          <w:noProof/>
        </w:rPr>
        <w:t>c) wszelkie ryzyko niewłaściwego pomiaru lub raportowania;</w:t>
      </w:r>
    </w:p>
    <w:p w14:paraId="0F7A7C0F" w14:textId="0730C774" w:rsidR="00327685" w:rsidRPr="004D5AD1" w:rsidRDefault="00781211" w:rsidP="00327685">
      <w:pPr>
        <w:pStyle w:val="Text1"/>
        <w:rPr>
          <w:noProof/>
        </w:rPr>
      </w:pPr>
      <w:r w:rsidRPr="004D5AD1">
        <w:rPr>
          <w:noProof/>
        </w:rPr>
        <w:t>d) wszelkie systemy kontroli jakości lub zapewniania jakości stosowane przez operatorów lub operatorów kopalń.</w:t>
      </w:r>
    </w:p>
    <w:p w14:paraId="58E0A511" w14:textId="085862B0" w:rsidR="001032EE" w:rsidRPr="004D5AD1" w:rsidRDefault="001876FA" w:rsidP="001032EE">
      <w:pPr>
        <w:pStyle w:val="Text1"/>
        <w:ind w:left="0"/>
        <w:rPr>
          <w:noProof/>
        </w:rPr>
      </w:pPr>
      <w:r w:rsidRPr="004D5AD1">
        <w:rPr>
          <w:noProof/>
        </w:rPr>
        <w:t>2.</w:t>
      </w:r>
      <w:r w:rsidRPr="004D5AD1">
        <w:rPr>
          <w:noProof/>
        </w:rPr>
        <w:tab/>
        <w:t>Prowadząc działania weryfikacyjne,</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1, weryfikatorzy stosują bezpłatne</w:t>
      </w:r>
      <w:r w:rsidR="004D5AD1" w:rsidRPr="004D5AD1">
        <w:rPr>
          <w:noProof/>
        </w:rPr>
        <w:t xml:space="preserve"> i</w:t>
      </w:r>
      <w:r w:rsidR="004D5AD1">
        <w:rPr>
          <w:noProof/>
        </w:rPr>
        <w:t> </w:t>
      </w:r>
      <w:r w:rsidR="004D5AD1" w:rsidRPr="004D5AD1">
        <w:rPr>
          <w:noProof/>
        </w:rPr>
        <w:t>pub</w:t>
      </w:r>
      <w:r w:rsidRPr="004D5AD1">
        <w:rPr>
          <w:noProof/>
        </w:rPr>
        <w:t>licznie dostępne europejskie lub międzynarodowe normy</w:t>
      </w:r>
      <w:r w:rsidR="004D5AD1" w:rsidRPr="004D5AD1">
        <w:rPr>
          <w:noProof/>
        </w:rPr>
        <w:t xml:space="preserve"> w</w:t>
      </w:r>
      <w:r w:rsidR="004D5AD1">
        <w:rPr>
          <w:noProof/>
        </w:rPr>
        <w:t> </w:t>
      </w:r>
      <w:r w:rsidR="004D5AD1" w:rsidRPr="004D5AD1">
        <w:rPr>
          <w:noProof/>
        </w:rPr>
        <w:t>zak</w:t>
      </w:r>
      <w:r w:rsidRPr="004D5AD1">
        <w:rPr>
          <w:noProof/>
        </w:rPr>
        <w:t>resie kwantyfikacji emisji metanu, mające zastosowanie na mocy aktów przyjętych przez Komisję zgodnie</w:t>
      </w:r>
      <w:r w:rsidR="004D5AD1" w:rsidRPr="004D5AD1">
        <w:rPr>
          <w:noProof/>
        </w:rPr>
        <w:t xml:space="preserve"> z</w:t>
      </w:r>
      <w:r w:rsidR="004D5AD1">
        <w:rPr>
          <w:noProof/>
        </w:rPr>
        <w:t> </w:t>
      </w:r>
      <w:r w:rsidR="004D5AD1" w:rsidRPr="004D5AD1">
        <w:rPr>
          <w:noProof/>
        </w:rPr>
        <w:t>ust</w:t>
      </w:r>
      <w:r w:rsidRPr="004D5AD1">
        <w:rPr>
          <w:noProof/>
        </w:rPr>
        <w:t>.</w:t>
      </w:r>
      <w:r w:rsidR="004D5AD1" w:rsidRPr="004D5AD1">
        <w:rPr>
          <w:noProof/>
        </w:rPr>
        <w:t> </w:t>
      </w:r>
      <w:r w:rsidRPr="004D5AD1">
        <w:rPr>
          <w:noProof/>
        </w:rPr>
        <w:t>5. Do dnia,</w:t>
      </w:r>
      <w:r w:rsidR="004D5AD1" w:rsidRPr="004D5AD1">
        <w:rPr>
          <w:noProof/>
        </w:rPr>
        <w:t xml:space="preserve"> w</w:t>
      </w:r>
      <w:r w:rsidR="004D5AD1">
        <w:rPr>
          <w:noProof/>
        </w:rPr>
        <w:t> </w:t>
      </w:r>
      <w:r w:rsidR="004D5AD1" w:rsidRPr="004D5AD1">
        <w:rPr>
          <w:noProof/>
        </w:rPr>
        <w:t>któ</w:t>
      </w:r>
      <w:r w:rsidRPr="004D5AD1">
        <w:rPr>
          <w:noProof/>
        </w:rPr>
        <w:t>rym Komisja określi możliwość stosowania tych norm, weryfikatorzy stosują istniejące normy europejskie lub międzynarodowe</w:t>
      </w:r>
      <w:r w:rsidR="004D5AD1" w:rsidRPr="004D5AD1">
        <w:rPr>
          <w:noProof/>
        </w:rPr>
        <w:t xml:space="preserve"> w</w:t>
      </w:r>
      <w:r w:rsidR="004D5AD1">
        <w:rPr>
          <w:noProof/>
        </w:rPr>
        <w:t> </w:t>
      </w:r>
      <w:r w:rsidR="004D5AD1" w:rsidRPr="004D5AD1">
        <w:rPr>
          <w:noProof/>
        </w:rPr>
        <w:t>zak</w:t>
      </w:r>
      <w:r w:rsidRPr="004D5AD1">
        <w:rPr>
          <w:noProof/>
        </w:rPr>
        <w:t>resie kwantyfikacji</w:t>
      </w:r>
      <w:r w:rsidR="004D5AD1" w:rsidRPr="004D5AD1">
        <w:rPr>
          <w:noProof/>
        </w:rPr>
        <w:t xml:space="preserve"> i</w:t>
      </w:r>
      <w:r w:rsidR="004D5AD1">
        <w:rPr>
          <w:noProof/>
        </w:rPr>
        <w:t> </w:t>
      </w:r>
      <w:r w:rsidR="004D5AD1" w:rsidRPr="004D5AD1">
        <w:rPr>
          <w:noProof/>
        </w:rPr>
        <w:t>wer</w:t>
      </w:r>
      <w:r w:rsidRPr="004D5AD1">
        <w:rPr>
          <w:noProof/>
        </w:rPr>
        <w:t>yfikacji emisji gazów cieplarnianych.</w:t>
      </w:r>
    </w:p>
    <w:p w14:paraId="3D2971EA" w14:textId="6FA30DAD" w:rsidR="001032EE" w:rsidRPr="004D5AD1" w:rsidRDefault="001876FA" w:rsidP="001032EE">
      <w:pPr>
        <w:rPr>
          <w:noProof/>
        </w:rPr>
      </w:pPr>
      <w:r w:rsidRPr="004D5AD1">
        <w:rPr>
          <w:noProof/>
        </w:rPr>
        <w:t>Weryfikatorzy mogą przeprowadzać kontrole na miejscu</w:t>
      </w:r>
      <w:r w:rsidR="004D5AD1" w:rsidRPr="004D5AD1">
        <w:rPr>
          <w:noProof/>
        </w:rPr>
        <w:t xml:space="preserve"> w</w:t>
      </w:r>
      <w:r w:rsidR="004D5AD1">
        <w:rPr>
          <w:noProof/>
        </w:rPr>
        <w:t> </w:t>
      </w:r>
      <w:r w:rsidR="004D5AD1" w:rsidRPr="004D5AD1">
        <w:rPr>
          <w:noProof/>
        </w:rPr>
        <w:t>cel</w:t>
      </w:r>
      <w:r w:rsidRPr="004D5AD1">
        <w:rPr>
          <w:noProof/>
        </w:rPr>
        <w:t>u ustalenia rzetelności, wiarygodności</w:t>
      </w:r>
      <w:r w:rsidR="004D5AD1" w:rsidRPr="004D5AD1">
        <w:rPr>
          <w:noProof/>
        </w:rPr>
        <w:t xml:space="preserve"> i</w:t>
      </w:r>
      <w:r w:rsidR="004D5AD1">
        <w:rPr>
          <w:noProof/>
        </w:rPr>
        <w:t> </w:t>
      </w:r>
      <w:r w:rsidR="004D5AD1" w:rsidRPr="004D5AD1">
        <w:rPr>
          <w:noProof/>
        </w:rPr>
        <w:t>dok</w:t>
      </w:r>
      <w:r w:rsidRPr="004D5AD1">
        <w:rPr>
          <w:noProof/>
        </w:rPr>
        <w:t>ładności wykorzystywanych źródeł danych</w:t>
      </w:r>
      <w:r w:rsidR="004D5AD1" w:rsidRPr="004D5AD1">
        <w:rPr>
          <w:noProof/>
        </w:rPr>
        <w:t xml:space="preserve"> i</w:t>
      </w:r>
      <w:r w:rsidR="004D5AD1">
        <w:rPr>
          <w:noProof/>
        </w:rPr>
        <w:t> </w:t>
      </w:r>
      <w:r w:rsidR="004D5AD1" w:rsidRPr="004D5AD1">
        <w:rPr>
          <w:noProof/>
        </w:rPr>
        <w:t>met</w:t>
      </w:r>
      <w:r w:rsidRPr="004D5AD1">
        <w:rPr>
          <w:noProof/>
        </w:rPr>
        <w:t>odyki.</w:t>
      </w:r>
    </w:p>
    <w:p w14:paraId="2477CF01" w14:textId="51AFC4E4" w:rsidR="00AC51F6" w:rsidRPr="004D5AD1" w:rsidRDefault="00A12B08" w:rsidP="00AC51F6">
      <w:pPr>
        <w:rPr>
          <w:noProof/>
        </w:rPr>
      </w:pPr>
      <w:r w:rsidRPr="004D5AD1">
        <w:rPr>
          <w:noProof/>
        </w:rPr>
        <w:t>3.</w:t>
      </w:r>
      <w:r w:rsidRPr="004D5AD1">
        <w:rPr>
          <w:noProof/>
        </w:rPr>
        <w:tab/>
        <w:t>Gdy na podstawie oceny uzyskana zostanie wystarczająca pewność, że dany raport na temat wielkości emisji spełnia wymogi niniejszego rozporządzenia, weryfikatorzy wydają oświadczenie weryfikacyjne,</w:t>
      </w:r>
      <w:r w:rsidR="004D5AD1" w:rsidRPr="004D5AD1">
        <w:rPr>
          <w:noProof/>
        </w:rPr>
        <w:t xml:space="preserve"> w</w:t>
      </w:r>
      <w:r w:rsidR="004D5AD1">
        <w:rPr>
          <w:noProof/>
        </w:rPr>
        <w:t> </w:t>
      </w:r>
      <w:r w:rsidR="004D5AD1" w:rsidRPr="004D5AD1">
        <w:rPr>
          <w:noProof/>
        </w:rPr>
        <w:t>któ</w:t>
      </w:r>
      <w:r w:rsidRPr="004D5AD1">
        <w:rPr>
          <w:noProof/>
        </w:rPr>
        <w:t>rym potwierdzają zgodność raportu na temat wielkości emisji</w:t>
      </w:r>
      <w:r w:rsidR="004D5AD1" w:rsidRPr="004D5AD1">
        <w:rPr>
          <w:noProof/>
        </w:rPr>
        <w:t xml:space="preserve"> z</w:t>
      </w:r>
      <w:r w:rsidR="004D5AD1">
        <w:rPr>
          <w:noProof/>
        </w:rPr>
        <w:t> </w:t>
      </w:r>
      <w:r w:rsidR="004D5AD1" w:rsidRPr="004D5AD1">
        <w:rPr>
          <w:noProof/>
        </w:rPr>
        <w:t>wym</w:t>
      </w:r>
      <w:r w:rsidRPr="004D5AD1">
        <w:rPr>
          <w:noProof/>
        </w:rPr>
        <w:t>ogami</w:t>
      </w:r>
      <w:r w:rsidR="004D5AD1" w:rsidRPr="004D5AD1">
        <w:rPr>
          <w:noProof/>
        </w:rPr>
        <w:t xml:space="preserve"> i</w:t>
      </w:r>
      <w:r w:rsidR="004D5AD1">
        <w:rPr>
          <w:noProof/>
        </w:rPr>
        <w:t> </w:t>
      </w:r>
      <w:r w:rsidR="004D5AD1" w:rsidRPr="004D5AD1">
        <w:rPr>
          <w:noProof/>
        </w:rPr>
        <w:t>wys</w:t>
      </w:r>
      <w:r w:rsidRPr="004D5AD1">
        <w:rPr>
          <w:noProof/>
        </w:rPr>
        <w:t xml:space="preserve">zczególniają przeprowadzone prace weryfikacyjne. </w:t>
      </w:r>
    </w:p>
    <w:p w14:paraId="20B323DD" w14:textId="7C66BB70" w:rsidR="009B0215" w:rsidRPr="004D5AD1" w:rsidRDefault="009B0215" w:rsidP="00AC51F6">
      <w:pPr>
        <w:rPr>
          <w:noProof/>
        </w:rPr>
      </w:pPr>
      <w:r w:rsidRPr="004D5AD1">
        <w:rPr>
          <w:noProof/>
        </w:rPr>
        <w:t>Weryfikatorzy wydają oświadczenie weryfikacyjne jedynie</w:t>
      </w:r>
      <w:r w:rsidR="004D5AD1" w:rsidRPr="004D5AD1">
        <w:rPr>
          <w:noProof/>
        </w:rPr>
        <w:t xml:space="preserve"> w</w:t>
      </w:r>
      <w:r w:rsidR="004D5AD1">
        <w:rPr>
          <w:noProof/>
        </w:rPr>
        <w:t> </w:t>
      </w:r>
      <w:r w:rsidR="004D5AD1" w:rsidRPr="004D5AD1">
        <w:rPr>
          <w:noProof/>
        </w:rPr>
        <w:t>prz</w:t>
      </w:r>
      <w:r w:rsidRPr="004D5AD1">
        <w:rPr>
          <w:noProof/>
        </w:rPr>
        <w:t>ypadku, gdy na podstawie rzetelnych, wiarygodnych</w:t>
      </w:r>
      <w:r w:rsidR="004D5AD1" w:rsidRPr="004D5AD1">
        <w:rPr>
          <w:noProof/>
        </w:rPr>
        <w:t xml:space="preserve"> i</w:t>
      </w:r>
      <w:r w:rsidR="004D5AD1">
        <w:rPr>
          <w:noProof/>
        </w:rPr>
        <w:t> </w:t>
      </w:r>
      <w:r w:rsidR="004D5AD1" w:rsidRPr="004D5AD1">
        <w:rPr>
          <w:noProof/>
        </w:rPr>
        <w:t>dok</w:t>
      </w:r>
      <w:r w:rsidRPr="004D5AD1">
        <w:rPr>
          <w:noProof/>
        </w:rPr>
        <w:t>ładnych danych</w:t>
      </w:r>
      <w:r w:rsidR="004D5AD1" w:rsidRPr="004D5AD1">
        <w:rPr>
          <w:noProof/>
        </w:rPr>
        <w:t xml:space="preserve"> i</w:t>
      </w:r>
      <w:r w:rsidR="004D5AD1">
        <w:rPr>
          <w:noProof/>
        </w:rPr>
        <w:t> </w:t>
      </w:r>
      <w:r w:rsidR="004D5AD1" w:rsidRPr="004D5AD1">
        <w:rPr>
          <w:noProof/>
        </w:rPr>
        <w:t>inf</w:t>
      </w:r>
      <w:r w:rsidRPr="004D5AD1">
        <w:rPr>
          <w:noProof/>
        </w:rPr>
        <w:t>ormacji możliwe jest określenie</w:t>
      </w:r>
      <w:r w:rsidR="004D5AD1" w:rsidRPr="004D5AD1">
        <w:rPr>
          <w:noProof/>
        </w:rPr>
        <w:t xml:space="preserve"> z</w:t>
      </w:r>
      <w:r w:rsidR="004D5AD1">
        <w:rPr>
          <w:noProof/>
        </w:rPr>
        <w:t> </w:t>
      </w:r>
      <w:r w:rsidR="004D5AD1" w:rsidRPr="004D5AD1">
        <w:rPr>
          <w:noProof/>
        </w:rPr>
        <w:t>dos</w:t>
      </w:r>
      <w:r w:rsidRPr="004D5AD1">
        <w:rPr>
          <w:noProof/>
        </w:rPr>
        <w:t>tateczną pewnością wielkości emisji metanu</w:t>
      </w:r>
      <w:r w:rsidR="004D5AD1" w:rsidRPr="004D5AD1">
        <w:rPr>
          <w:noProof/>
        </w:rPr>
        <w:t xml:space="preserve"> i</w:t>
      </w:r>
      <w:r w:rsidR="004D5AD1">
        <w:rPr>
          <w:noProof/>
        </w:rPr>
        <w:t> </w:t>
      </w:r>
      <w:r w:rsidR="004D5AD1" w:rsidRPr="004D5AD1">
        <w:rPr>
          <w:noProof/>
        </w:rPr>
        <w:t>pod</w:t>
      </w:r>
      <w:r w:rsidRPr="004D5AD1">
        <w:rPr>
          <w:noProof/>
        </w:rPr>
        <w:t xml:space="preserve"> warunkiem, że dane przedstawione</w:t>
      </w:r>
      <w:r w:rsidR="004D5AD1" w:rsidRPr="004D5AD1">
        <w:rPr>
          <w:noProof/>
        </w:rPr>
        <w:t xml:space="preserve"> w</w:t>
      </w:r>
      <w:r w:rsidR="004D5AD1">
        <w:rPr>
          <w:noProof/>
        </w:rPr>
        <w:t> </w:t>
      </w:r>
      <w:r w:rsidR="004D5AD1" w:rsidRPr="004D5AD1">
        <w:rPr>
          <w:noProof/>
        </w:rPr>
        <w:t>rap</w:t>
      </w:r>
      <w:r w:rsidRPr="004D5AD1">
        <w:rPr>
          <w:noProof/>
        </w:rPr>
        <w:t>orcie są spójne</w:t>
      </w:r>
      <w:r w:rsidR="004D5AD1" w:rsidRPr="004D5AD1">
        <w:rPr>
          <w:noProof/>
        </w:rPr>
        <w:t xml:space="preserve"> z</w:t>
      </w:r>
      <w:r w:rsidR="004D5AD1">
        <w:rPr>
          <w:noProof/>
        </w:rPr>
        <w:t> </w:t>
      </w:r>
      <w:r w:rsidR="004D5AD1" w:rsidRPr="004D5AD1">
        <w:rPr>
          <w:noProof/>
        </w:rPr>
        <w:t>dan</w:t>
      </w:r>
      <w:r w:rsidRPr="004D5AD1">
        <w:rPr>
          <w:noProof/>
        </w:rPr>
        <w:t>ymi szacunkowymi, kompletne</w:t>
      </w:r>
      <w:r w:rsidR="004D5AD1" w:rsidRPr="004D5AD1">
        <w:rPr>
          <w:noProof/>
        </w:rPr>
        <w:t xml:space="preserve"> i</w:t>
      </w:r>
      <w:r w:rsidR="004D5AD1">
        <w:rPr>
          <w:noProof/>
        </w:rPr>
        <w:t> </w:t>
      </w:r>
      <w:r w:rsidR="004D5AD1" w:rsidRPr="004D5AD1">
        <w:rPr>
          <w:noProof/>
        </w:rPr>
        <w:t>nie</w:t>
      </w:r>
      <w:r w:rsidRPr="004D5AD1">
        <w:rPr>
          <w:noProof/>
        </w:rPr>
        <w:t xml:space="preserve"> zawierają niespójności.</w:t>
      </w:r>
    </w:p>
    <w:p w14:paraId="234D16BB" w14:textId="6AAD0F55" w:rsidR="00AC51F6" w:rsidRPr="004D5AD1" w:rsidRDefault="00AC51F6" w:rsidP="00AC51F6">
      <w:pPr>
        <w:rPr>
          <w:noProof/>
        </w:rPr>
      </w:pPr>
      <w:r w:rsidRPr="004D5AD1">
        <w:rPr>
          <w:noProof/>
        </w:rPr>
        <w:t>Jeżeli</w:t>
      </w:r>
      <w:r w:rsidR="004D5AD1" w:rsidRPr="004D5AD1">
        <w:rPr>
          <w:noProof/>
        </w:rPr>
        <w:t xml:space="preserve"> w</w:t>
      </w:r>
      <w:r w:rsidR="004D5AD1">
        <w:rPr>
          <w:noProof/>
        </w:rPr>
        <w:t> </w:t>
      </w:r>
      <w:r w:rsidR="004D5AD1" w:rsidRPr="004D5AD1">
        <w:rPr>
          <w:noProof/>
        </w:rPr>
        <w:t>oce</w:t>
      </w:r>
      <w:r w:rsidRPr="004D5AD1">
        <w:rPr>
          <w:noProof/>
        </w:rPr>
        <w:t>nie stwierdza się, że raport na temat wielkości emisji nie spełnia wymogów niniejszego rozporządzenia, weryfikatorzy informują</w:t>
      </w:r>
      <w:r w:rsidR="004D5AD1" w:rsidRPr="004D5AD1">
        <w:rPr>
          <w:noProof/>
        </w:rPr>
        <w:t xml:space="preserve"> o</w:t>
      </w:r>
      <w:r w:rsidR="004D5AD1">
        <w:rPr>
          <w:noProof/>
        </w:rPr>
        <w:t> </w:t>
      </w:r>
      <w:r w:rsidR="004D5AD1" w:rsidRPr="004D5AD1">
        <w:rPr>
          <w:noProof/>
        </w:rPr>
        <w:t>tym</w:t>
      </w:r>
      <w:r w:rsidRPr="004D5AD1">
        <w:rPr>
          <w:noProof/>
        </w:rPr>
        <w:t xml:space="preserve"> fakcie operatora lub operatora kopalni,</w:t>
      </w:r>
      <w:r w:rsidR="004D5AD1" w:rsidRPr="004D5AD1">
        <w:rPr>
          <w:noProof/>
        </w:rPr>
        <w:t xml:space="preserve"> a</w:t>
      </w:r>
      <w:r w:rsidR="004D5AD1">
        <w:rPr>
          <w:noProof/>
        </w:rPr>
        <w:t> </w:t>
      </w:r>
      <w:r w:rsidR="004D5AD1" w:rsidRPr="004D5AD1">
        <w:rPr>
          <w:noProof/>
        </w:rPr>
        <w:t>ope</w:t>
      </w:r>
      <w:r w:rsidRPr="004D5AD1">
        <w:rPr>
          <w:noProof/>
        </w:rPr>
        <w:t xml:space="preserve">rator lub operator kopalni bezzwłocznie przedkłada weryfikatorowi poprawiony raport na temat wielkości emisji. </w:t>
      </w:r>
    </w:p>
    <w:p w14:paraId="5F6DD4B4" w14:textId="6B9BEB15" w:rsidR="00AC51F6" w:rsidRPr="004D5AD1" w:rsidRDefault="00A12B08" w:rsidP="00AC51F6">
      <w:pPr>
        <w:rPr>
          <w:noProof/>
        </w:rPr>
      </w:pPr>
      <w:r w:rsidRPr="004D5AD1">
        <w:rPr>
          <w:noProof/>
        </w:rPr>
        <w:t>4.</w:t>
      </w:r>
      <w:r w:rsidRPr="004D5AD1">
        <w:rPr>
          <w:noProof/>
        </w:rPr>
        <w:tab/>
        <w:t>Operatorzy</w:t>
      </w:r>
      <w:r w:rsidR="004D5AD1" w:rsidRPr="004D5AD1">
        <w:rPr>
          <w:noProof/>
        </w:rPr>
        <w:t xml:space="preserve"> i</w:t>
      </w:r>
      <w:r w:rsidR="004D5AD1">
        <w:rPr>
          <w:noProof/>
        </w:rPr>
        <w:t> </w:t>
      </w:r>
      <w:r w:rsidR="004D5AD1" w:rsidRPr="004D5AD1">
        <w:rPr>
          <w:noProof/>
        </w:rPr>
        <w:t>ope</w:t>
      </w:r>
      <w:r w:rsidRPr="004D5AD1">
        <w:rPr>
          <w:noProof/>
        </w:rPr>
        <w:t>ratorzy kopalń zapewniają weryfikatorom wszelką pomoc umożliwiającą lub ułatwiającą wykonywanie działań weryfikacyjnych,</w:t>
      </w:r>
      <w:r w:rsidR="004D5AD1" w:rsidRPr="004D5AD1">
        <w:rPr>
          <w:noProof/>
        </w:rPr>
        <w:t xml:space="preserve"> w</w:t>
      </w:r>
      <w:r w:rsidR="004D5AD1">
        <w:rPr>
          <w:noProof/>
        </w:rPr>
        <w:t> </w:t>
      </w:r>
      <w:r w:rsidR="004D5AD1" w:rsidRPr="004D5AD1">
        <w:rPr>
          <w:noProof/>
        </w:rPr>
        <w:t>szc</w:t>
      </w:r>
      <w:r w:rsidRPr="004D5AD1">
        <w:rPr>
          <w:noProof/>
        </w:rPr>
        <w:t>zególności</w:t>
      </w:r>
      <w:r w:rsidR="004D5AD1" w:rsidRPr="004D5AD1">
        <w:rPr>
          <w:noProof/>
        </w:rPr>
        <w:t xml:space="preserve"> w</w:t>
      </w:r>
      <w:r w:rsidR="004D5AD1">
        <w:rPr>
          <w:noProof/>
        </w:rPr>
        <w:t> </w:t>
      </w:r>
      <w:r w:rsidR="004D5AD1" w:rsidRPr="004D5AD1">
        <w:rPr>
          <w:noProof/>
        </w:rPr>
        <w:t>zak</w:t>
      </w:r>
      <w:r w:rsidRPr="004D5AD1">
        <w:rPr>
          <w:noProof/>
        </w:rPr>
        <w:t>resie dostępu do obiektów</w:t>
      </w:r>
      <w:r w:rsidR="004D5AD1" w:rsidRPr="004D5AD1">
        <w:rPr>
          <w:noProof/>
        </w:rPr>
        <w:t xml:space="preserve"> i</w:t>
      </w:r>
      <w:r w:rsidR="004D5AD1">
        <w:rPr>
          <w:noProof/>
        </w:rPr>
        <w:t> </w:t>
      </w:r>
      <w:r w:rsidR="004D5AD1" w:rsidRPr="004D5AD1">
        <w:rPr>
          <w:noProof/>
        </w:rPr>
        <w:t>prz</w:t>
      </w:r>
      <w:r w:rsidRPr="004D5AD1">
        <w:rPr>
          <w:noProof/>
        </w:rPr>
        <w:t>edstawiania dokumentacji lub rejestrów.</w:t>
      </w:r>
    </w:p>
    <w:p w14:paraId="68C362FA" w14:textId="768DD070" w:rsidR="00781211" w:rsidRPr="004D5AD1" w:rsidRDefault="00A12B08" w:rsidP="00AC51F6">
      <w:pPr>
        <w:rPr>
          <w:noProof/>
        </w:rPr>
      </w:pPr>
      <w:r w:rsidRPr="004D5AD1">
        <w:rPr>
          <w:noProof/>
        </w:rPr>
        <w:t>5.</w:t>
      </w:r>
      <w:r w:rsidRPr="004D5AD1">
        <w:rPr>
          <w:noProof/>
        </w:rPr>
        <w:tab/>
        <w:t>Komisja jest uprawniona do przyjmowania aktów delegowanych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31</w:t>
      </w:r>
      <w:r w:rsidR="004D5AD1" w:rsidRPr="004D5AD1">
        <w:rPr>
          <w:noProof/>
        </w:rPr>
        <w:t xml:space="preserve"> w</w:t>
      </w:r>
      <w:r w:rsidR="004D5AD1">
        <w:rPr>
          <w:noProof/>
        </w:rPr>
        <w:t> </w:t>
      </w:r>
      <w:r w:rsidR="004D5AD1" w:rsidRPr="004D5AD1">
        <w:rPr>
          <w:noProof/>
        </w:rPr>
        <w:t>cel</w:t>
      </w:r>
      <w:r w:rsidRPr="004D5AD1">
        <w:rPr>
          <w:noProof/>
        </w:rPr>
        <w:t>u uzupełnienia niniejszego rozporządzenia poprzez wprowadzenie</w:t>
      </w:r>
      <w:r w:rsidR="004D5AD1" w:rsidRPr="004D5AD1">
        <w:rPr>
          <w:noProof/>
        </w:rPr>
        <w:t xml:space="preserve"> i</w:t>
      </w:r>
      <w:r w:rsidR="004D5AD1">
        <w:rPr>
          <w:noProof/>
        </w:rPr>
        <w:t> </w:t>
      </w:r>
      <w:r w:rsidR="004D5AD1" w:rsidRPr="004D5AD1">
        <w:rPr>
          <w:noProof/>
        </w:rPr>
        <w:t>okr</w:t>
      </w:r>
      <w:r w:rsidRPr="004D5AD1">
        <w:rPr>
          <w:noProof/>
        </w:rPr>
        <w:t>eślenie możliwości stosowania norm europejskich lub międzynarodowych</w:t>
      </w:r>
      <w:r w:rsidR="004D5AD1" w:rsidRPr="004D5AD1">
        <w:rPr>
          <w:noProof/>
        </w:rPr>
        <w:t xml:space="preserve"> w</w:t>
      </w:r>
      <w:r w:rsidR="004D5AD1">
        <w:rPr>
          <w:noProof/>
        </w:rPr>
        <w:t> </w:t>
      </w:r>
      <w:r w:rsidR="004D5AD1" w:rsidRPr="004D5AD1">
        <w:rPr>
          <w:noProof/>
        </w:rPr>
        <w:t>zak</w:t>
      </w:r>
      <w:r w:rsidRPr="004D5AD1">
        <w:rPr>
          <w:noProof/>
        </w:rPr>
        <w:t>resie kwantyfikacji</w:t>
      </w:r>
      <w:r w:rsidR="004D5AD1" w:rsidRPr="004D5AD1">
        <w:rPr>
          <w:noProof/>
        </w:rPr>
        <w:t xml:space="preserve"> i</w:t>
      </w:r>
      <w:r w:rsidR="004D5AD1">
        <w:rPr>
          <w:noProof/>
        </w:rPr>
        <w:t> </w:t>
      </w:r>
      <w:r w:rsidR="004D5AD1" w:rsidRPr="004D5AD1">
        <w:rPr>
          <w:noProof/>
        </w:rPr>
        <w:t>pom</w:t>
      </w:r>
      <w:r w:rsidRPr="004D5AD1">
        <w:rPr>
          <w:noProof/>
        </w:rPr>
        <w:t>iaru emisji metanu do celów niniejszego rozporządzenia.</w:t>
      </w:r>
    </w:p>
    <w:p w14:paraId="3AAFACD7" w14:textId="77777777" w:rsidR="00AC51F6" w:rsidRPr="004D5AD1" w:rsidRDefault="00AC51F6" w:rsidP="00AC51F6">
      <w:pPr>
        <w:rPr>
          <w:noProof/>
        </w:rPr>
      </w:pPr>
    </w:p>
    <w:p w14:paraId="0086996A" w14:textId="235B3F04" w:rsidR="00AC51F6" w:rsidRPr="004D5AD1" w:rsidRDefault="00AC51F6" w:rsidP="00AC51F6">
      <w:pPr>
        <w:pStyle w:val="Titrearticle"/>
        <w:rPr>
          <w:noProof/>
        </w:rPr>
      </w:pPr>
      <w:r w:rsidRPr="004D5AD1">
        <w:rPr>
          <w:noProof/>
        </w:rPr>
        <w:t>Artykuł 9</w:t>
      </w:r>
    </w:p>
    <w:p w14:paraId="46B81ACD" w14:textId="71DAAA18" w:rsidR="00AC51F6" w:rsidRPr="004D5AD1" w:rsidRDefault="009B0215" w:rsidP="00AC51F6">
      <w:pPr>
        <w:pStyle w:val="NormalCentered"/>
        <w:rPr>
          <w:b/>
          <w:noProof/>
        </w:rPr>
      </w:pPr>
      <w:r w:rsidRPr="004D5AD1">
        <w:rPr>
          <w:b/>
          <w:noProof/>
        </w:rPr>
        <w:t>Niezależność</w:t>
      </w:r>
      <w:r w:rsidR="004D5AD1" w:rsidRPr="004D5AD1">
        <w:rPr>
          <w:b/>
          <w:noProof/>
        </w:rPr>
        <w:t xml:space="preserve"> i</w:t>
      </w:r>
      <w:r w:rsidR="004D5AD1">
        <w:rPr>
          <w:b/>
          <w:noProof/>
        </w:rPr>
        <w:t> </w:t>
      </w:r>
      <w:r w:rsidR="004D5AD1" w:rsidRPr="004D5AD1">
        <w:rPr>
          <w:b/>
          <w:noProof/>
        </w:rPr>
        <w:t>akr</w:t>
      </w:r>
      <w:r w:rsidRPr="004D5AD1">
        <w:rPr>
          <w:b/>
          <w:noProof/>
        </w:rPr>
        <w:t>edytacja weryfikatorów</w:t>
      </w:r>
    </w:p>
    <w:p w14:paraId="58CDC9B1" w14:textId="408604CD" w:rsidR="009B0215" w:rsidRPr="004D5AD1" w:rsidRDefault="009B0215" w:rsidP="009B0215">
      <w:pPr>
        <w:rPr>
          <w:noProof/>
        </w:rPr>
      </w:pPr>
      <w:r w:rsidRPr="004D5AD1">
        <w:rPr>
          <w:noProof/>
        </w:rPr>
        <w:t>1.</w:t>
      </w:r>
      <w:r w:rsidRPr="004D5AD1">
        <w:rPr>
          <w:noProof/>
        </w:rPr>
        <w:tab/>
        <w:t>Weryfikatorzy są niezależni od operatorów</w:t>
      </w:r>
      <w:r w:rsidR="004D5AD1" w:rsidRPr="004D5AD1">
        <w:rPr>
          <w:noProof/>
        </w:rPr>
        <w:t xml:space="preserve"> i</w:t>
      </w:r>
      <w:r w:rsidR="004D5AD1">
        <w:rPr>
          <w:noProof/>
        </w:rPr>
        <w:t> </w:t>
      </w:r>
      <w:r w:rsidR="004D5AD1" w:rsidRPr="004D5AD1">
        <w:rPr>
          <w:noProof/>
        </w:rPr>
        <w:t>ope</w:t>
      </w:r>
      <w:r w:rsidRPr="004D5AD1">
        <w:rPr>
          <w:noProof/>
        </w:rPr>
        <w:t>ratorów kopalń</w:t>
      </w:r>
      <w:r w:rsidR="004D5AD1" w:rsidRPr="004D5AD1">
        <w:rPr>
          <w:noProof/>
        </w:rPr>
        <w:t xml:space="preserve"> i</w:t>
      </w:r>
      <w:r w:rsidR="004D5AD1">
        <w:rPr>
          <w:noProof/>
        </w:rPr>
        <w:t> </w:t>
      </w:r>
      <w:r w:rsidR="004D5AD1" w:rsidRPr="004D5AD1">
        <w:rPr>
          <w:noProof/>
        </w:rPr>
        <w:t>pro</w:t>
      </w:r>
      <w:r w:rsidRPr="004D5AD1">
        <w:rPr>
          <w:noProof/>
        </w:rPr>
        <w:t>wadzą działania wymagane na podstawie niniejszego rozporządzenia</w:t>
      </w:r>
      <w:r w:rsidR="004D5AD1" w:rsidRPr="004D5AD1">
        <w:rPr>
          <w:noProof/>
        </w:rPr>
        <w:t xml:space="preserve"> w</w:t>
      </w:r>
      <w:r w:rsidR="004D5AD1">
        <w:rPr>
          <w:noProof/>
        </w:rPr>
        <w:t> </w:t>
      </w:r>
      <w:r w:rsidR="004D5AD1" w:rsidRPr="004D5AD1">
        <w:rPr>
          <w:noProof/>
        </w:rPr>
        <w:t>int</w:t>
      </w:r>
      <w:r w:rsidRPr="004D5AD1">
        <w:rPr>
          <w:noProof/>
        </w:rPr>
        <w:t>eresie publicznym</w:t>
      </w:r>
      <w:r w:rsidR="004D5AD1" w:rsidRPr="004D5AD1">
        <w:rPr>
          <w:noProof/>
        </w:rPr>
        <w:t>. W</w:t>
      </w:r>
      <w:r w:rsidR="004D5AD1">
        <w:rPr>
          <w:noProof/>
        </w:rPr>
        <w:t> </w:t>
      </w:r>
      <w:r w:rsidR="004D5AD1" w:rsidRPr="004D5AD1">
        <w:rPr>
          <w:noProof/>
        </w:rPr>
        <w:t>zwi</w:t>
      </w:r>
      <w:r w:rsidRPr="004D5AD1">
        <w:rPr>
          <w:noProof/>
        </w:rPr>
        <w:t>ązku</w:t>
      </w:r>
      <w:r w:rsidR="004D5AD1" w:rsidRPr="004D5AD1">
        <w:rPr>
          <w:noProof/>
        </w:rPr>
        <w:t xml:space="preserve"> z</w:t>
      </w:r>
      <w:r w:rsidR="004D5AD1">
        <w:rPr>
          <w:noProof/>
        </w:rPr>
        <w:t> </w:t>
      </w:r>
      <w:r w:rsidR="004D5AD1" w:rsidRPr="004D5AD1">
        <w:rPr>
          <w:noProof/>
        </w:rPr>
        <w:t>tym</w:t>
      </w:r>
      <w:r w:rsidRPr="004D5AD1">
        <w:rPr>
          <w:noProof/>
        </w:rPr>
        <w:t xml:space="preserve"> weryfikator ani żadna część tego samego podmiotu prawnego nie może być operatorem ani operatorem kopalni, właścicielem operatora ani operatora kopalni ani ich własnością,</w:t>
      </w:r>
      <w:r w:rsidR="004D5AD1" w:rsidRPr="004D5AD1">
        <w:rPr>
          <w:noProof/>
        </w:rPr>
        <w:t xml:space="preserve"> a</w:t>
      </w:r>
      <w:r w:rsidR="004D5AD1">
        <w:rPr>
          <w:noProof/>
        </w:rPr>
        <w:t> </w:t>
      </w:r>
      <w:r w:rsidR="004D5AD1" w:rsidRPr="004D5AD1">
        <w:rPr>
          <w:noProof/>
        </w:rPr>
        <w:t>pon</w:t>
      </w:r>
      <w:r w:rsidRPr="004D5AD1">
        <w:rPr>
          <w:noProof/>
        </w:rPr>
        <w:t>adto weryfikator nie może mieć powiązań</w:t>
      </w:r>
      <w:r w:rsidR="004D5AD1" w:rsidRPr="004D5AD1">
        <w:rPr>
          <w:noProof/>
        </w:rPr>
        <w:t xml:space="preserve"> z</w:t>
      </w:r>
      <w:r w:rsidR="004D5AD1">
        <w:rPr>
          <w:noProof/>
        </w:rPr>
        <w:t> </w:t>
      </w:r>
      <w:r w:rsidR="004D5AD1" w:rsidRPr="004D5AD1">
        <w:rPr>
          <w:noProof/>
        </w:rPr>
        <w:t>ope</w:t>
      </w:r>
      <w:r w:rsidRPr="004D5AD1">
        <w:rPr>
          <w:noProof/>
        </w:rPr>
        <w:t>ratorem ani operatorem kopalni, które mogłyby wpływać na jego niezależność</w:t>
      </w:r>
      <w:r w:rsidR="004D5AD1" w:rsidRPr="004D5AD1">
        <w:rPr>
          <w:noProof/>
        </w:rPr>
        <w:t xml:space="preserve"> i</w:t>
      </w:r>
      <w:r w:rsidR="004D5AD1">
        <w:rPr>
          <w:noProof/>
        </w:rPr>
        <w:t> </w:t>
      </w:r>
      <w:r w:rsidR="004D5AD1" w:rsidRPr="004D5AD1">
        <w:rPr>
          <w:noProof/>
        </w:rPr>
        <w:t>bez</w:t>
      </w:r>
      <w:r w:rsidRPr="004D5AD1">
        <w:rPr>
          <w:noProof/>
        </w:rPr>
        <w:t>stronność.</w:t>
      </w:r>
    </w:p>
    <w:p w14:paraId="1FE8F328" w14:textId="5FBBFEEA" w:rsidR="00AC51F6" w:rsidRPr="004D5AD1" w:rsidRDefault="009B0215" w:rsidP="00AC51F6">
      <w:pPr>
        <w:rPr>
          <w:noProof/>
        </w:rPr>
      </w:pPr>
      <w:r w:rsidRPr="004D5AD1">
        <w:rPr>
          <w:noProof/>
        </w:rPr>
        <w:t>2.</w:t>
      </w:r>
      <w:r w:rsidRPr="004D5AD1">
        <w:rPr>
          <w:noProof/>
        </w:rPr>
        <w:tab/>
        <w:t>Weryfikator jest akredytowany przez krajową jednostkę akredytującą na podstawie rozporządzenia (WE) nr</w:t>
      </w:r>
      <w:r w:rsidR="004D5AD1" w:rsidRPr="004D5AD1">
        <w:rPr>
          <w:noProof/>
        </w:rPr>
        <w:t> </w:t>
      </w:r>
      <w:r w:rsidRPr="004D5AD1">
        <w:rPr>
          <w:noProof/>
        </w:rPr>
        <w:t>765/2008.</w:t>
      </w:r>
    </w:p>
    <w:p w14:paraId="46C50BD0" w14:textId="7D715517" w:rsidR="00C507F6" w:rsidRPr="004D5AD1" w:rsidRDefault="009B0215" w:rsidP="00AC51F6">
      <w:pPr>
        <w:rPr>
          <w:noProof/>
        </w:rPr>
      </w:pPr>
      <w:r w:rsidRPr="004D5AD1">
        <w:rPr>
          <w:noProof/>
        </w:rPr>
        <w:t>3.</w:t>
      </w:r>
      <w:r w:rsidRPr="004D5AD1">
        <w:rPr>
          <w:noProof/>
        </w:rPr>
        <w:tab/>
        <w:t>Jeżeli</w:t>
      </w:r>
      <w:r w:rsidR="004D5AD1" w:rsidRPr="004D5AD1">
        <w:rPr>
          <w:noProof/>
        </w:rPr>
        <w:t xml:space="preserve"> w</w:t>
      </w:r>
      <w:r w:rsidR="004D5AD1">
        <w:rPr>
          <w:noProof/>
        </w:rPr>
        <w:t> </w:t>
      </w:r>
      <w:r w:rsidR="004D5AD1" w:rsidRPr="004D5AD1">
        <w:rPr>
          <w:noProof/>
        </w:rPr>
        <w:t>nin</w:t>
      </w:r>
      <w:r w:rsidRPr="004D5AD1">
        <w:rPr>
          <w:noProof/>
        </w:rPr>
        <w:t>iejszym rozporządzeniu nie ustanowiono szczegółowych przepisów dotyczących akredytacji weryfikatorów, zastosowanie mają odpowiednie przepisy rozporządzenia (WE) nr</w:t>
      </w:r>
      <w:r w:rsidR="004D5AD1" w:rsidRPr="004D5AD1">
        <w:rPr>
          <w:noProof/>
        </w:rPr>
        <w:t> </w:t>
      </w:r>
      <w:r w:rsidRPr="004D5AD1">
        <w:rPr>
          <w:noProof/>
        </w:rPr>
        <w:t>765/2008.</w:t>
      </w:r>
    </w:p>
    <w:p w14:paraId="106312F1" w14:textId="7D55BF09" w:rsidR="008F6A15" w:rsidRPr="004D5AD1" w:rsidRDefault="008F6A15" w:rsidP="00C507F6">
      <w:pPr>
        <w:rPr>
          <w:noProof/>
        </w:rPr>
      </w:pPr>
    </w:p>
    <w:p w14:paraId="7A007FD7" w14:textId="77777777" w:rsidR="009B0215" w:rsidRPr="004D5AD1" w:rsidRDefault="009B0215" w:rsidP="009B0215">
      <w:pPr>
        <w:pStyle w:val="Titrearticle"/>
        <w:rPr>
          <w:noProof/>
          <w:szCs w:val="24"/>
        </w:rPr>
      </w:pPr>
      <w:r w:rsidRPr="004D5AD1">
        <w:rPr>
          <w:noProof/>
        </w:rPr>
        <w:t>Artykuł 10</w:t>
      </w:r>
    </w:p>
    <w:p w14:paraId="003543A3" w14:textId="77777777" w:rsidR="009B0215" w:rsidRPr="004D5AD1" w:rsidRDefault="009B0215" w:rsidP="009B0215">
      <w:pPr>
        <w:pStyle w:val="NormalCentered"/>
        <w:rPr>
          <w:b/>
          <w:noProof/>
          <w:szCs w:val="24"/>
        </w:rPr>
      </w:pPr>
      <w:r w:rsidRPr="004D5AD1">
        <w:rPr>
          <w:b/>
          <w:noProof/>
          <w:szCs w:val="24"/>
        </w:rPr>
        <w:t>Międzynarodowe obserwatorium emisji metanu</w:t>
      </w:r>
    </w:p>
    <w:p w14:paraId="493F5D13" w14:textId="6F97EEA0" w:rsidR="009B0215" w:rsidRPr="004D5AD1" w:rsidRDefault="009B0215" w:rsidP="009B0215">
      <w:pPr>
        <w:rPr>
          <w:noProof/>
          <w:szCs w:val="24"/>
        </w:rPr>
      </w:pPr>
      <w:r w:rsidRPr="004D5AD1">
        <w:rPr>
          <w:noProof/>
        </w:rPr>
        <w:t>1.</w:t>
      </w:r>
      <w:r w:rsidRPr="004D5AD1">
        <w:rPr>
          <w:noProof/>
        </w:rPr>
        <w:tab/>
        <w:t>Pod warunkiem zapewnienia ochrony interesu Unii międzynarodowemu obserwatorium emisji metanu przyznaje się rolę weryfikacyjną</w:t>
      </w:r>
      <w:r w:rsidR="004D5AD1" w:rsidRPr="004D5AD1">
        <w:rPr>
          <w:noProof/>
        </w:rPr>
        <w:t xml:space="preserve"> w</w:t>
      </w:r>
      <w:r w:rsidR="004D5AD1">
        <w:rPr>
          <w:noProof/>
        </w:rPr>
        <w:t> </w:t>
      </w:r>
      <w:r w:rsidR="004D5AD1" w:rsidRPr="004D5AD1">
        <w:rPr>
          <w:noProof/>
        </w:rPr>
        <w:t>odn</w:t>
      </w:r>
      <w:r w:rsidRPr="004D5AD1">
        <w:rPr>
          <w:noProof/>
        </w:rPr>
        <w:t>iesieniu do danych dotyczących emisji metanu,</w:t>
      </w:r>
      <w:r w:rsidR="004D5AD1" w:rsidRPr="004D5AD1">
        <w:rPr>
          <w:noProof/>
        </w:rPr>
        <w:t xml:space="preserve"> w</w:t>
      </w:r>
      <w:r w:rsidR="004D5AD1">
        <w:rPr>
          <w:noProof/>
        </w:rPr>
        <w:t> </w:t>
      </w:r>
      <w:r w:rsidR="004D5AD1" w:rsidRPr="004D5AD1">
        <w:rPr>
          <w:noProof/>
        </w:rPr>
        <w:t>szc</w:t>
      </w:r>
      <w:r w:rsidRPr="004D5AD1">
        <w:rPr>
          <w:noProof/>
        </w:rPr>
        <w:t>zególności</w:t>
      </w:r>
      <w:r w:rsidR="004D5AD1" w:rsidRPr="004D5AD1">
        <w:rPr>
          <w:noProof/>
        </w:rPr>
        <w:t xml:space="preserve"> w</w:t>
      </w:r>
      <w:r w:rsidR="004D5AD1">
        <w:rPr>
          <w:noProof/>
        </w:rPr>
        <w:t> </w:t>
      </w:r>
      <w:r w:rsidR="004D5AD1" w:rsidRPr="004D5AD1">
        <w:rPr>
          <w:noProof/>
        </w:rPr>
        <w:t>odn</w:t>
      </w:r>
      <w:r w:rsidRPr="004D5AD1">
        <w:rPr>
          <w:noProof/>
        </w:rPr>
        <w:t>iesieniu do następujących zadań:</w:t>
      </w:r>
      <w:r w:rsidR="004D5AD1" w:rsidRPr="004D5AD1">
        <w:rPr>
          <w:noProof/>
        </w:rPr>
        <w:t xml:space="preserve"> </w:t>
      </w:r>
    </w:p>
    <w:p w14:paraId="1EE26B69" w14:textId="702FECA8" w:rsidR="009B0215" w:rsidRPr="004D5AD1" w:rsidRDefault="009B0215" w:rsidP="009B0215">
      <w:pPr>
        <w:pStyle w:val="Text1"/>
        <w:rPr>
          <w:noProof/>
        </w:rPr>
      </w:pPr>
      <w:r w:rsidRPr="004D5AD1">
        <w:rPr>
          <w:noProof/>
        </w:rPr>
        <w:t>a)</w:t>
      </w:r>
      <w:r w:rsidRPr="004D5AD1">
        <w:rPr>
          <w:noProof/>
        </w:rPr>
        <w:tab/>
        <w:t>agregacja danych dotyczących emisji metanu zgodnie</w:t>
      </w:r>
      <w:r w:rsidR="004D5AD1" w:rsidRPr="004D5AD1">
        <w:rPr>
          <w:noProof/>
        </w:rPr>
        <w:t xml:space="preserve"> z</w:t>
      </w:r>
      <w:r w:rsidR="004D5AD1">
        <w:rPr>
          <w:noProof/>
        </w:rPr>
        <w:t> </w:t>
      </w:r>
      <w:r w:rsidR="004D5AD1" w:rsidRPr="004D5AD1">
        <w:rPr>
          <w:noProof/>
        </w:rPr>
        <w:t>wła</w:t>
      </w:r>
      <w:r w:rsidRPr="004D5AD1">
        <w:rPr>
          <w:noProof/>
        </w:rPr>
        <w:t>ściwymi metodami statystycznymi;</w:t>
      </w:r>
    </w:p>
    <w:p w14:paraId="6F3F55E3" w14:textId="5AE28BA4" w:rsidR="009B0215" w:rsidRPr="004D5AD1" w:rsidRDefault="009B0215" w:rsidP="009B0215">
      <w:pPr>
        <w:pStyle w:val="Text1"/>
        <w:rPr>
          <w:noProof/>
        </w:rPr>
      </w:pPr>
      <w:r w:rsidRPr="004D5AD1">
        <w:rPr>
          <w:noProof/>
        </w:rPr>
        <w:t>b)</w:t>
      </w:r>
      <w:r w:rsidRPr="004D5AD1">
        <w:rPr>
          <w:noProof/>
        </w:rPr>
        <w:tab/>
        <w:t>weryfikacja metod</w:t>
      </w:r>
      <w:r w:rsidR="004D5AD1" w:rsidRPr="004D5AD1">
        <w:rPr>
          <w:noProof/>
        </w:rPr>
        <w:t xml:space="preserve"> i</w:t>
      </w:r>
      <w:r w:rsidR="004D5AD1">
        <w:rPr>
          <w:noProof/>
        </w:rPr>
        <w:t> </w:t>
      </w:r>
      <w:r w:rsidR="004D5AD1" w:rsidRPr="004D5AD1">
        <w:rPr>
          <w:noProof/>
        </w:rPr>
        <w:t>pro</w:t>
      </w:r>
      <w:r w:rsidRPr="004D5AD1">
        <w:rPr>
          <w:noProof/>
        </w:rPr>
        <w:t>cesów statystycznych stosowanych przez przedsiębiorstwa do kwantyfikacji danych dotyczących emisji metanu;</w:t>
      </w:r>
    </w:p>
    <w:p w14:paraId="6BCECEE3" w14:textId="0C753401" w:rsidR="009B0215" w:rsidRPr="004D5AD1" w:rsidRDefault="009B0215" w:rsidP="009B0215">
      <w:pPr>
        <w:pStyle w:val="Text1"/>
        <w:rPr>
          <w:noProof/>
        </w:rPr>
      </w:pPr>
      <w:r w:rsidRPr="004D5AD1">
        <w:rPr>
          <w:noProof/>
        </w:rPr>
        <w:t>c)</w:t>
      </w:r>
      <w:r w:rsidRPr="004D5AD1">
        <w:rPr>
          <w:noProof/>
        </w:rPr>
        <w:tab/>
        <w:t>opracowanie metodyki agregacji</w:t>
      </w:r>
      <w:r w:rsidR="004D5AD1" w:rsidRPr="004D5AD1">
        <w:rPr>
          <w:noProof/>
        </w:rPr>
        <w:t xml:space="preserve"> i</w:t>
      </w:r>
      <w:r w:rsidR="004D5AD1">
        <w:rPr>
          <w:noProof/>
        </w:rPr>
        <w:t> </w:t>
      </w:r>
      <w:r w:rsidR="004D5AD1" w:rsidRPr="004D5AD1">
        <w:rPr>
          <w:noProof/>
        </w:rPr>
        <w:t>ana</w:t>
      </w:r>
      <w:r w:rsidRPr="004D5AD1">
        <w:rPr>
          <w:noProof/>
        </w:rPr>
        <w:t>lizy danych zgodnie</w:t>
      </w:r>
      <w:r w:rsidR="004D5AD1" w:rsidRPr="004D5AD1">
        <w:rPr>
          <w:noProof/>
        </w:rPr>
        <w:t xml:space="preserve"> z</w:t>
      </w:r>
      <w:r w:rsidR="004D5AD1">
        <w:rPr>
          <w:noProof/>
        </w:rPr>
        <w:t> </w:t>
      </w:r>
      <w:r w:rsidR="004D5AD1" w:rsidRPr="004D5AD1">
        <w:rPr>
          <w:noProof/>
        </w:rPr>
        <w:t>dob</w:t>
      </w:r>
      <w:r w:rsidRPr="004D5AD1">
        <w:rPr>
          <w:noProof/>
        </w:rPr>
        <w:t>rą praktyką naukową</w:t>
      </w:r>
      <w:r w:rsidR="004D5AD1" w:rsidRPr="004D5AD1">
        <w:rPr>
          <w:noProof/>
        </w:rPr>
        <w:t xml:space="preserve"> i</w:t>
      </w:r>
      <w:r w:rsidR="004D5AD1">
        <w:rPr>
          <w:noProof/>
        </w:rPr>
        <w:t> </w:t>
      </w:r>
      <w:r w:rsidR="004D5AD1" w:rsidRPr="004D5AD1">
        <w:rPr>
          <w:noProof/>
        </w:rPr>
        <w:t>sta</w:t>
      </w:r>
      <w:r w:rsidRPr="004D5AD1">
        <w:rPr>
          <w:noProof/>
        </w:rPr>
        <w:t>tystyczną</w:t>
      </w:r>
      <w:r w:rsidR="004D5AD1" w:rsidRPr="004D5AD1">
        <w:rPr>
          <w:noProof/>
        </w:rPr>
        <w:t xml:space="preserve"> w</w:t>
      </w:r>
      <w:r w:rsidR="004D5AD1">
        <w:rPr>
          <w:noProof/>
        </w:rPr>
        <w:t> </w:t>
      </w:r>
      <w:r w:rsidR="004D5AD1" w:rsidRPr="004D5AD1">
        <w:rPr>
          <w:noProof/>
        </w:rPr>
        <w:t>cel</w:t>
      </w:r>
      <w:r w:rsidRPr="004D5AD1">
        <w:rPr>
          <w:noProof/>
        </w:rPr>
        <w:t>u zapewnienia wyższego poziomu dokładności oszacowań emisji wraz</w:t>
      </w:r>
      <w:r w:rsidR="004D5AD1" w:rsidRPr="004D5AD1">
        <w:rPr>
          <w:noProof/>
        </w:rPr>
        <w:t xml:space="preserve"> z</w:t>
      </w:r>
      <w:r w:rsidR="004D5AD1">
        <w:rPr>
          <w:noProof/>
        </w:rPr>
        <w:t> </w:t>
      </w:r>
      <w:r w:rsidR="004D5AD1" w:rsidRPr="004D5AD1">
        <w:rPr>
          <w:noProof/>
        </w:rPr>
        <w:t>odp</w:t>
      </w:r>
      <w:r w:rsidRPr="004D5AD1">
        <w:rPr>
          <w:noProof/>
        </w:rPr>
        <w:t>owiednim scharakteryzowaniem niepewności;</w:t>
      </w:r>
    </w:p>
    <w:p w14:paraId="78D04051" w14:textId="587FB653" w:rsidR="009B0215" w:rsidRPr="004D5AD1" w:rsidRDefault="009B0215" w:rsidP="00083A06">
      <w:pPr>
        <w:pStyle w:val="Text1"/>
        <w:rPr>
          <w:noProof/>
        </w:rPr>
      </w:pPr>
      <w:r w:rsidRPr="004D5AD1">
        <w:rPr>
          <w:noProof/>
        </w:rPr>
        <w:t>d)</w:t>
      </w:r>
      <w:r w:rsidRPr="004D5AD1">
        <w:rPr>
          <w:noProof/>
        </w:rPr>
        <w:tab/>
        <w:t>publikacja zagregowanych danych przekazywanych przez przedsiębiorstwa</w:t>
      </w:r>
      <w:r w:rsidR="004D5AD1" w:rsidRPr="004D5AD1">
        <w:rPr>
          <w:noProof/>
        </w:rPr>
        <w:t xml:space="preserve"> w</w:t>
      </w:r>
      <w:r w:rsidR="004D5AD1">
        <w:rPr>
          <w:noProof/>
        </w:rPr>
        <w:t> </w:t>
      </w:r>
      <w:r w:rsidR="004D5AD1" w:rsidRPr="004D5AD1">
        <w:rPr>
          <w:noProof/>
        </w:rPr>
        <w:t>pod</w:t>
      </w:r>
      <w:r w:rsidRPr="004D5AD1">
        <w:rPr>
          <w:noProof/>
        </w:rPr>
        <w:t>ziale na podstawowe źródła</w:t>
      </w:r>
      <w:r w:rsidR="004D5AD1" w:rsidRPr="004D5AD1">
        <w:rPr>
          <w:noProof/>
        </w:rPr>
        <w:t xml:space="preserve"> i</w:t>
      </w:r>
      <w:r w:rsidR="004D5AD1">
        <w:rPr>
          <w:noProof/>
        </w:rPr>
        <w:t> </w:t>
      </w:r>
      <w:r w:rsidR="004D5AD1" w:rsidRPr="004D5AD1">
        <w:rPr>
          <w:noProof/>
        </w:rPr>
        <w:t>poz</w:t>
      </w:r>
      <w:r w:rsidRPr="004D5AD1">
        <w:rPr>
          <w:noProof/>
        </w:rPr>
        <w:t>iom sprawozdawczości, sklasyfikowanych według aktywów eksploatowanych</w:t>
      </w:r>
      <w:r w:rsidR="004D5AD1" w:rsidRPr="004D5AD1">
        <w:rPr>
          <w:noProof/>
        </w:rPr>
        <w:t xml:space="preserve"> i</w:t>
      </w:r>
      <w:r w:rsidR="004D5AD1">
        <w:rPr>
          <w:noProof/>
        </w:rPr>
        <w:t> </w:t>
      </w:r>
      <w:r w:rsidR="004D5AD1" w:rsidRPr="004D5AD1">
        <w:rPr>
          <w:noProof/>
        </w:rPr>
        <w:t>nie</w:t>
      </w:r>
      <w:r w:rsidRPr="004D5AD1">
        <w:rPr>
          <w:noProof/>
        </w:rPr>
        <w:t>eksploatowanych, zgodnie</w:t>
      </w:r>
      <w:r w:rsidR="004D5AD1" w:rsidRPr="004D5AD1">
        <w:rPr>
          <w:noProof/>
        </w:rPr>
        <w:t xml:space="preserve"> z</w:t>
      </w:r>
      <w:r w:rsidR="004D5AD1">
        <w:rPr>
          <w:noProof/>
        </w:rPr>
        <w:t> </w:t>
      </w:r>
      <w:r w:rsidR="004D5AD1" w:rsidRPr="004D5AD1">
        <w:rPr>
          <w:noProof/>
        </w:rPr>
        <w:t>wym</w:t>
      </w:r>
      <w:r w:rsidRPr="004D5AD1">
        <w:rPr>
          <w:noProof/>
        </w:rPr>
        <w:t>ogami dotyczącymi konkurencji</w:t>
      </w:r>
      <w:r w:rsidR="004D5AD1" w:rsidRPr="004D5AD1">
        <w:rPr>
          <w:noProof/>
        </w:rPr>
        <w:t xml:space="preserve"> i</w:t>
      </w:r>
      <w:r w:rsidR="004D5AD1">
        <w:rPr>
          <w:noProof/>
        </w:rPr>
        <w:t> </w:t>
      </w:r>
      <w:r w:rsidR="004D5AD1" w:rsidRPr="004D5AD1">
        <w:rPr>
          <w:noProof/>
        </w:rPr>
        <w:t>pou</w:t>
      </w:r>
      <w:r w:rsidRPr="004D5AD1">
        <w:rPr>
          <w:noProof/>
        </w:rPr>
        <w:t xml:space="preserve">fności; </w:t>
      </w:r>
    </w:p>
    <w:p w14:paraId="68405C22" w14:textId="48540B3E" w:rsidR="009B0215" w:rsidRPr="004D5AD1" w:rsidRDefault="009B0215" w:rsidP="009B0215">
      <w:pPr>
        <w:pStyle w:val="Text1"/>
        <w:rPr>
          <w:noProof/>
        </w:rPr>
      </w:pPr>
      <w:r w:rsidRPr="004D5AD1">
        <w:rPr>
          <w:noProof/>
        </w:rPr>
        <w:t>e)</w:t>
      </w:r>
      <w:r w:rsidRPr="004D5AD1">
        <w:rPr>
          <w:noProof/>
        </w:rPr>
        <w:tab/>
        <w:t>przedstawianie ustaleń dotyczących poważnych rozbieżności między źródłami danych.</w:t>
      </w:r>
    </w:p>
    <w:p w14:paraId="5E4E6D5A" w14:textId="610982DC" w:rsidR="00E05853" w:rsidRPr="004D5AD1" w:rsidRDefault="009B0215" w:rsidP="009B0215">
      <w:pPr>
        <w:rPr>
          <w:noProof/>
          <w:szCs w:val="24"/>
        </w:rPr>
      </w:pPr>
      <w:r w:rsidRPr="004D5AD1">
        <w:rPr>
          <w:noProof/>
        </w:rPr>
        <w:t>2.</w:t>
      </w:r>
      <w:r w:rsidRPr="004D5AD1">
        <w:rPr>
          <w:noProof/>
        </w:rPr>
        <w:tab/>
        <w:t>Komisja może przekazywać międzynarodowemu obserwatorium emisji metanu dane dotyczące emisji metanu udostępnione jej przez właściwe organy zgodnie</w:t>
      </w:r>
      <w:r w:rsidR="004D5AD1" w:rsidRPr="004D5AD1">
        <w:rPr>
          <w:noProof/>
        </w:rPr>
        <w:t xml:space="preserve"> z</w:t>
      </w:r>
      <w:r w:rsidR="004D5AD1">
        <w:rPr>
          <w:noProof/>
        </w:rPr>
        <w:t> </w:t>
      </w:r>
      <w:r w:rsidR="004D5AD1" w:rsidRPr="004D5AD1">
        <w:rPr>
          <w:noProof/>
        </w:rPr>
        <w:t>nin</w:t>
      </w:r>
      <w:r w:rsidRPr="004D5AD1">
        <w:rPr>
          <w:noProof/>
        </w:rPr>
        <w:t>iejszym rozporządzeniem.</w:t>
      </w:r>
    </w:p>
    <w:p w14:paraId="55C8D090" w14:textId="3370F7B1" w:rsidR="009B0215" w:rsidRPr="004D5AD1" w:rsidRDefault="00E05853" w:rsidP="009B0215">
      <w:pPr>
        <w:rPr>
          <w:noProof/>
          <w:szCs w:val="24"/>
        </w:rPr>
      </w:pPr>
      <w:r w:rsidRPr="004D5AD1">
        <w:rPr>
          <w:noProof/>
        </w:rPr>
        <w:t>3.</w:t>
      </w:r>
      <w:r w:rsidRPr="004D5AD1">
        <w:rPr>
          <w:noProof/>
        </w:rPr>
        <w:tab/>
        <w:t>Informacje opracowane przez międzynarodowe obserwatorium emisji metanu są udostępniane opinii publicznej</w:t>
      </w:r>
      <w:r w:rsidR="004D5AD1" w:rsidRPr="004D5AD1">
        <w:rPr>
          <w:noProof/>
        </w:rPr>
        <w:t xml:space="preserve"> i</w:t>
      </w:r>
      <w:r w:rsidR="004D5AD1">
        <w:rPr>
          <w:noProof/>
        </w:rPr>
        <w:t> </w:t>
      </w:r>
      <w:r w:rsidR="004D5AD1" w:rsidRPr="004D5AD1">
        <w:rPr>
          <w:noProof/>
        </w:rPr>
        <w:t>Kom</w:t>
      </w:r>
      <w:r w:rsidRPr="004D5AD1">
        <w:rPr>
          <w:noProof/>
        </w:rPr>
        <w:t>isji.</w:t>
      </w:r>
    </w:p>
    <w:p w14:paraId="4D299AC1" w14:textId="77777777" w:rsidR="005D498E" w:rsidRPr="004D5AD1" w:rsidRDefault="005D498E" w:rsidP="00C507F6">
      <w:pPr>
        <w:rPr>
          <w:noProof/>
        </w:rPr>
      </w:pPr>
    </w:p>
    <w:p w14:paraId="43DA5C00" w14:textId="77777777" w:rsidR="0019291A" w:rsidRPr="004D5AD1" w:rsidRDefault="0019291A" w:rsidP="00FD0FB2">
      <w:pPr>
        <w:pStyle w:val="ChapterTitle"/>
        <w:rPr>
          <w:noProof/>
        </w:rPr>
      </w:pPr>
      <w:r w:rsidRPr="004D5AD1">
        <w:rPr>
          <w:noProof/>
        </w:rPr>
        <w:t>Rozdział 3</w:t>
      </w:r>
    </w:p>
    <w:p w14:paraId="2B084B89" w14:textId="3DC5EB70" w:rsidR="0019291A" w:rsidRPr="004D5AD1" w:rsidRDefault="0019291A" w:rsidP="00FD0FB2">
      <w:pPr>
        <w:pStyle w:val="ChapterTitle"/>
        <w:rPr>
          <w:noProof/>
        </w:rPr>
      </w:pPr>
      <w:r w:rsidRPr="004D5AD1">
        <w:rPr>
          <w:noProof/>
        </w:rPr>
        <w:t>Emisje metanu</w:t>
      </w:r>
      <w:r w:rsidR="004D5AD1" w:rsidRPr="004D5AD1">
        <w:rPr>
          <w:noProof/>
        </w:rPr>
        <w:t xml:space="preserve"> w</w:t>
      </w:r>
      <w:r w:rsidR="004D5AD1">
        <w:rPr>
          <w:noProof/>
        </w:rPr>
        <w:t> </w:t>
      </w:r>
      <w:r w:rsidR="004D5AD1" w:rsidRPr="004D5AD1">
        <w:rPr>
          <w:noProof/>
        </w:rPr>
        <w:t>sek</w:t>
      </w:r>
      <w:r w:rsidRPr="004D5AD1">
        <w:rPr>
          <w:noProof/>
        </w:rPr>
        <w:t>torze ropy</w:t>
      </w:r>
      <w:r w:rsidR="004D5AD1" w:rsidRPr="004D5AD1">
        <w:rPr>
          <w:noProof/>
        </w:rPr>
        <w:t xml:space="preserve"> i</w:t>
      </w:r>
      <w:r w:rsidR="004D5AD1">
        <w:rPr>
          <w:noProof/>
        </w:rPr>
        <w:t> </w:t>
      </w:r>
      <w:r w:rsidR="004D5AD1" w:rsidRPr="004D5AD1">
        <w:rPr>
          <w:noProof/>
        </w:rPr>
        <w:t>gaz</w:t>
      </w:r>
      <w:r w:rsidRPr="004D5AD1">
        <w:rPr>
          <w:noProof/>
        </w:rPr>
        <w:t>u</w:t>
      </w:r>
    </w:p>
    <w:p w14:paraId="784690F2" w14:textId="77777777" w:rsidR="008D57DB" w:rsidRPr="004D5AD1" w:rsidRDefault="008D57DB" w:rsidP="008D57DB">
      <w:pPr>
        <w:pStyle w:val="Titrearticle"/>
        <w:rPr>
          <w:noProof/>
        </w:rPr>
      </w:pPr>
      <w:r w:rsidRPr="004D5AD1">
        <w:rPr>
          <w:noProof/>
        </w:rPr>
        <w:t>Artykuł 11</w:t>
      </w:r>
    </w:p>
    <w:p w14:paraId="46338D5F" w14:textId="77777777" w:rsidR="008D57DB" w:rsidRPr="004D5AD1" w:rsidRDefault="008D57DB" w:rsidP="008D57DB">
      <w:pPr>
        <w:pStyle w:val="NormalCentered"/>
        <w:rPr>
          <w:b/>
          <w:noProof/>
        </w:rPr>
      </w:pPr>
      <w:r w:rsidRPr="004D5AD1">
        <w:rPr>
          <w:b/>
          <w:noProof/>
        </w:rPr>
        <w:t>Zakres</w:t>
      </w:r>
    </w:p>
    <w:p w14:paraId="42C36049" w14:textId="2096DB0E" w:rsidR="008D57DB" w:rsidRPr="004D5AD1" w:rsidRDefault="008D57DB" w:rsidP="008D57DB">
      <w:pPr>
        <w:rPr>
          <w:noProof/>
        </w:rPr>
      </w:pPr>
      <w:r w:rsidRPr="004D5AD1">
        <w:rPr>
          <w:noProof/>
        </w:rPr>
        <w:t>Niniejszy rozdział ma zastosowanie do działalności,</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1 ust.</w:t>
      </w:r>
      <w:r w:rsidR="004D5AD1" w:rsidRPr="004D5AD1">
        <w:rPr>
          <w:noProof/>
        </w:rPr>
        <w:t> </w:t>
      </w:r>
      <w:r w:rsidRPr="004D5AD1">
        <w:rPr>
          <w:noProof/>
        </w:rPr>
        <w:t>2 lit.</w:t>
      </w:r>
      <w:r w:rsidR="004D5AD1" w:rsidRPr="004D5AD1">
        <w:rPr>
          <w:noProof/>
        </w:rPr>
        <w:t> </w:t>
      </w:r>
      <w:r w:rsidRPr="004D5AD1">
        <w:rPr>
          <w:noProof/>
        </w:rPr>
        <w:t xml:space="preserve">a) i b). </w:t>
      </w:r>
    </w:p>
    <w:p w14:paraId="5C51A423" w14:textId="77777777" w:rsidR="008D57DB" w:rsidRPr="004D5AD1" w:rsidRDefault="008D57DB" w:rsidP="008D57DB">
      <w:pPr>
        <w:rPr>
          <w:noProof/>
        </w:rPr>
      </w:pPr>
    </w:p>
    <w:p w14:paraId="4312C7D4" w14:textId="77777777" w:rsidR="008D57DB" w:rsidRPr="004D5AD1" w:rsidRDefault="008D57DB" w:rsidP="008D57DB">
      <w:pPr>
        <w:pStyle w:val="Titrearticle"/>
        <w:rPr>
          <w:noProof/>
        </w:rPr>
      </w:pPr>
      <w:r w:rsidRPr="004D5AD1">
        <w:rPr>
          <w:noProof/>
        </w:rPr>
        <w:t>Artykuł 12</w:t>
      </w:r>
    </w:p>
    <w:p w14:paraId="4288E62F" w14:textId="5AF3D8F0" w:rsidR="008D57DB" w:rsidRPr="004D5AD1" w:rsidRDefault="008D57DB" w:rsidP="008D57DB">
      <w:pPr>
        <w:pStyle w:val="NormalCentered"/>
        <w:rPr>
          <w:b/>
          <w:noProof/>
        </w:rPr>
      </w:pPr>
      <w:r w:rsidRPr="004D5AD1">
        <w:rPr>
          <w:b/>
          <w:noProof/>
        </w:rPr>
        <w:t>Monitorowanie</w:t>
      </w:r>
      <w:r w:rsidR="004D5AD1" w:rsidRPr="004D5AD1">
        <w:rPr>
          <w:b/>
          <w:noProof/>
        </w:rPr>
        <w:t xml:space="preserve"> i</w:t>
      </w:r>
      <w:r w:rsidR="004D5AD1">
        <w:rPr>
          <w:b/>
          <w:noProof/>
        </w:rPr>
        <w:t> </w:t>
      </w:r>
      <w:r w:rsidR="004D5AD1" w:rsidRPr="004D5AD1">
        <w:rPr>
          <w:b/>
          <w:noProof/>
        </w:rPr>
        <w:t>rap</w:t>
      </w:r>
      <w:r w:rsidRPr="004D5AD1">
        <w:rPr>
          <w:b/>
          <w:noProof/>
        </w:rPr>
        <w:t>ortowanie</w:t>
      </w:r>
    </w:p>
    <w:p w14:paraId="18F36E92" w14:textId="72FEBB3B" w:rsidR="009B2ABC" w:rsidRPr="004D5AD1" w:rsidRDefault="009B2ABC" w:rsidP="009B2ABC">
      <w:pPr>
        <w:rPr>
          <w:noProof/>
        </w:rPr>
      </w:pPr>
      <w:r w:rsidRPr="004D5AD1">
        <w:rPr>
          <w:noProof/>
        </w:rPr>
        <w:t>1.</w:t>
      </w:r>
      <w:r w:rsidRPr="004D5AD1">
        <w:rPr>
          <w:noProof/>
        </w:rPr>
        <w:tab/>
        <w:t>Do dnia … [</w:t>
      </w:r>
      <w:r w:rsidRPr="004D5AD1">
        <w:rPr>
          <w:i/>
          <w:noProof/>
        </w:rPr>
        <w:t>12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 operatorzy przedkładają właściwym organom raport zawierający dane dotyczące emisji metanu na poziomie źródła oszacowane za pomocą ogólnych, ale właściwych dla danego źródła współczynników emisji</w:t>
      </w:r>
      <w:r w:rsidR="004D5AD1" w:rsidRPr="004D5AD1">
        <w:rPr>
          <w:noProof/>
        </w:rPr>
        <w:t xml:space="preserve"> w</w:t>
      </w:r>
      <w:r w:rsidR="004D5AD1">
        <w:rPr>
          <w:noProof/>
        </w:rPr>
        <w:t> </w:t>
      </w:r>
      <w:r w:rsidR="004D5AD1" w:rsidRPr="004D5AD1">
        <w:rPr>
          <w:noProof/>
        </w:rPr>
        <w:t>odn</w:t>
      </w:r>
      <w:r w:rsidRPr="004D5AD1">
        <w:rPr>
          <w:noProof/>
        </w:rPr>
        <w:t xml:space="preserve">iesieniu do wszystkich źródeł. </w:t>
      </w:r>
    </w:p>
    <w:p w14:paraId="4DE5942E" w14:textId="250BE198" w:rsidR="00EF1DB8" w:rsidRPr="004D5AD1" w:rsidRDefault="009B2ABC" w:rsidP="009B2ABC">
      <w:pPr>
        <w:rPr>
          <w:noProof/>
        </w:rPr>
      </w:pPr>
      <w:r w:rsidRPr="004D5AD1">
        <w:rPr>
          <w:noProof/>
        </w:rPr>
        <w:t>2.</w:t>
      </w:r>
      <w:r w:rsidRPr="004D5AD1">
        <w:rPr>
          <w:noProof/>
        </w:rPr>
        <w:tab/>
        <w:t>Do dnia … [</w:t>
      </w:r>
      <w:r w:rsidRPr="004D5AD1">
        <w:rPr>
          <w:i/>
          <w:noProof/>
        </w:rPr>
        <w:t>24 miesiące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 operatorzy przedkładają także właściwym organom raport zawierający bezpośrednie pomiary emisji metanu na poziomie źródła dotyczące aktywów eksploatowanych. Raportowanie na takim poziomie może obejmować wykorzystanie pomiarów</w:t>
      </w:r>
      <w:r w:rsidR="004D5AD1" w:rsidRPr="004D5AD1">
        <w:rPr>
          <w:noProof/>
        </w:rPr>
        <w:t xml:space="preserve"> i</w:t>
      </w:r>
      <w:r w:rsidR="004D5AD1">
        <w:rPr>
          <w:noProof/>
        </w:rPr>
        <w:t> </w:t>
      </w:r>
      <w:r w:rsidR="004D5AD1" w:rsidRPr="004D5AD1">
        <w:rPr>
          <w:noProof/>
        </w:rPr>
        <w:t>pró</w:t>
      </w:r>
      <w:r w:rsidRPr="004D5AD1">
        <w:rPr>
          <w:noProof/>
        </w:rPr>
        <w:t xml:space="preserve">bkowania na poziomie źródła jako podstawy do ustanowienia szczególnych współczynników emisji wykorzystywanych do celów oszacowania emisji. </w:t>
      </w:r>
    </w:p>
    <w:p w14:paraId="74491E68" w14:textId="0478DAB5" w:rsidR="00EF1DB8" w:rsidRPr="004D5AD1" w:rsidRDefault="009B2ABC" w:rsidP="009B2ABC">
      <w:pPr>
        <w:rPr>
          <w:noProof/>
        </w:rPr>
      </w:pPr>
      <w:r w:rsidRPr="004D5AD1">
        <w:rPr>
          <w:noProof/>
        </w:rPr>
        <w:t>3.</w:t>
      </w:r>
      <w:r w:rsidRPr="004D5AD1">
        <w:rPr>
          <w:noProof/>
        </w:rPr>
        <w:tab/>
        <w:t>Do dnia … [</w:t>
      </w:r>
      <w:r w:rsidRPr="004D5AD1">
        <w:rPr>
          <w:i/>
          <w:noProof/>
        </w:rPr>
        <w:t>36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w:t>
      </w:r>
      <w:r w:rsidR="004D5AD1" w:rsidRPr="004D5AD1">
        <w:rPr>
          <w:noProof/>
        </w:rPr>
        <w:t xml:space="preserve"> a</w:t>
      </w:r>
      <w:r w:rsidR="004D5AD1">
        <w:rPr>
          <w:noProof/>
        </w:rPr>
        <w:t> </w:t>
      </w:r>
      <w:r w:rsidR="004D5AD1" w:rsidRPr="004D5AD1">
        <w:rPr>
          <w:noProof/>
        </w:rPr>
        <w:t>nas</w:t>
      </w:r>
      <w:r w:rsidRPr="004D5AD1">
        <w:rPr>
          <w:noProof/>
        </w:rPr>
        <w:t>tępnie do dnia 30 marca każdego roku operatorzy przedkładają właściwym organom raport zawierający bezpośrednie pomiary emisji metanu na poziomie źródła dotyczące aktywów eksploatowanych,</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2, uzupełniony pomiarami emisji metanu na poziomie lokalizacji, co umożliwi ocenę</w:t>
      </w:r>
      <w:r w:rsidR="004D5AD1" w:rsidRPr="004D5AD1">
        <w:rPr>
          <w:noProof/>
        </w:rPr>
        <w:t xml:space="preserve"> i</w:t>
      </w:r>
      <w:r w:rsidR="004D5AD1">
        <w:rPr>
          <w:noProof/>
        </w:rPr>
        <w:t> </w:t>
      </w:r>
      <w:r w:rsidR="004D5AD1" w:rsidRPr="004D5AD1">
        <w:rPr>
          <w:noProof/>
        </w:rPr>
        <w:t>wer</w:t>
      </w:r>
      <w:r w:rsidRPr="004D5AD1">
        <w:rPr>
          <w:noProof/>
        </w:rPr>
        <w:t>yfikację szacunków na poziomie źródła, zagregowanych</w:t>
      </w:r>
      <w:r w:rsidR="004D5AD1" w:rsidRPr="004D5AD1">
        <w:rPr>
          <w:noProof/>
        </w:rPr>
        <w:t xml:space="preserve"> w</w:t>
      </w:r>
      <w:r w:rsidR="004D5AD1">
        <w:rPr>
          <w:noProof/>
        </w:rPr>
        <w:t> </w:t>
      </w:r>
      <w:r w:rsidR="004D5AD1" w:rsidRPr="004D5AD1">
        <w:rPr>
          <w:noProof/>
        </w:rPr>
        <w:t>pod</w:t>
      </w:r>
      <w:r w:rsidRPr="004D5AD1">
        <w:rPr>
          <w:noProof/>
        </w:rPr>
        <w:t xml:space="preserve">ziale na lokalizację. </w:t>
      </w:r>
    </w:p>
    <w:p w14:paraId="2EB3BCFE" w14:textId="36CA2925" w:rsidR="00D30FCE" w:rsidRPr="004D5AD1" w:rsidRDefault="00D30FCE" w:rsidP="009B2ABC">
      <w:pPr>
        <w:rPr>
          <w:noProof/>
        </w:rPr>
      </w:pPr>
      <w:r w:rsidRPr="004D5AD1">
        <w:rPr>
          <w:noProof/>
        </w:rPr>
        <w:t>Przed przedłożeniem raportów właściwym organom operatorzy zapewniają, aby raporty określone</w:t>
      </w:r>
      <w:r w:rsidR="004D5AD1" w:rsidRPr="004D5AD1">
        <w:rPr>
          <w:noProof/>
        </w:rPr>
        <w:t xml:space="preserve"> w</w:t>
      </w:r>
      <w:r w:rsidR="004D5AD1">
        <w:rPr>
          <w:noProof/>
        </w:rPr>
        <w:t> </w:t>
      </w:r>
      <w:r w:rsidR="004D5AD1" w:rsidRPr="004D5AD1">
        <w:rPr>
          <w:noProof/>
        </w:rPr>
        <w:t>nin</w:t>
      </w:r>
      <w:r w:rsidRPr="004D5AD1">
        <w:rPr>
          <w:noProof/>
        </w:rPr>
        <w:t>iejszym ustępie zostały ocenione przez weryfikatora</w:t>
      </w:r>
      <w:r w:rsidR="004D5AD1" w:rsidRPr="004D5AD1">
        <w:rPr>
          <w:noProof/>
        </w:rPr>
        <w:t xml:space="preserve"> i</w:t>
      </w:r>
      <w:r w:rsidR="004D5AD1">
        <w:rPr>
          <w:noProof/>
        </w:rPr>
        <w:t> </w:t>
      </w:r>
      <w:r w:rsidR="004D5AD1" w:rsidRPr="004D5AD1">
        <w:rPr>
          <w:noProof/>
        </w:rPr>
        <w:t>zaw</w:t>
      </w:r>
      <w:r w:rsidRPr="004D5AD1">
        <w:rPr>
          <w:noProof/>
        </w:rPr>
        <w:t>ierały oświadczenie weryfikacyjne wydane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8</w:t>
      </w:r>
      <w:r w:rsidR="004D5AD1" w:rsidRPr="004D5AD1">
        <w:rPr>
          <w:noProof/>
        </w:rPr>
        <w:t xml:space="preserve"> i</w:t>
      </w:r>
      <w:r w:rsidR="004D5AD1">
        <w:rPr>
          <w:noProof/>
        </w:rPr>
        <w:t> </w:t>
      </w:r>
      <w:r w:rsidR="004D5AD1" w:rsidRPr="004D5AD1">
        <w:rPr>
          <w:noProof/>
        </w:rPr>
        <w:t>9</w:t>
      </w:r>
      <w:r w:rsidRPr="004D5AD1">
        <w:rPr>
          <w:noProof/>
        </w:rPr>
        <w:t>.</w:t>
      </w:r>
    </w:p>
    <w:p w14:paraId="5D07C6E1" w14:textId="6025861B" w:rsidR="00EF1DB8" w:rsidRPr="004D5AD1" w:rsidRDefault="009B2ABC" w:rsidP="00EF1DB8">
      <w:pPr>
        <w:rPr>
          <w:noProof/>
        </w:rPr>
      </w:pPr>
      <w:r w:rsidRPr="004D5AD1">
        <w:rPr>
          <w:noProof/>
        </w:rPr>
        <w:t>4.</w:t>
      </w:r>
      <w:r w:rsidRPr="004D5AD1">
        <w:rPr>
          <w:noProof/>
        </w:rPr>
        <w:tab/>
        <w:t>Do dnia … [</w:t>
      </w:r>
      <w:r w:rsidRPr="004D5AD1">
        <w:rPr>
          <w:i/>
          <w:noProof/>
        </w:rPr>
        <w:t>36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 przedsiębiorstwa mające siedzibę</w:t>
      </w:r>
      <w:r w:rsidR="004D5AD1" w:rsidRPr="004D5AD1">
        <w:rPr>
          <w:noProof/>
        </w:rPr>
        <w:t xml:space="preserve"> w</w:t>
      </w:r>
      <w:r w:rsidR="004D5AD1">
        <w:rPr>
          <w:noProof/>
        </w:rPr>
        <w:t> </w:t>
      </w:r>
      <w:r w:rsidR="004D5AD1" w:rsidRPr="004D5AD1">
        <w:rPr>
          <w:noProof/>
        </w:rPr>
        <w:t>Uni</w:t>
      </w:r>
      <w:r w:rsidRPr="004D5AD1">
        <w:rPr>
          <w:noProof/>
        </w:rPr>
        <w:t>i przedkładają właściwym organom raport zawierający bezpośrednie pomiary emisji metanu na poziomie źródła dotyczące aktywów nieeksploatowanych. Raportowanie na takim poziomie może obejmować wykorzystanie pomiarów</w:t>
      </w:r>
      <w:r w:rsidR="004D5AD1" w:rsidRPr="004D5AD1">
        <w:rPr>
          <w:noProof/>
        </w:rPr>
        <w:t xml:space="preserve"> i</w:t>
      </w:r>
      <w:r w:rsidR="004D5AD1">
        <w:rPr>
          <w:noProof/>
        </w:rPr>
        <w:t> </w:t>
      </w:r>
      <w:r w:rsidR="004D5AD1" w:rsidRPr="004D5AD1">
        <w:rPr>
          <w:noProof/>
        </w:rPr>
        <w:t>pró</w:t>
      </w:r>
      <w:r w:rsidRPr="004D5AD1">
        <w:rPr>
          <w:noProof/>
        </w:rPr>
        <w:t xml:space="preserve">bkowania na poziomie źródła jako podstawy do ustanowienia szczególnych współczynników emisji wykorzystywanych do celów oszacowania emisji. </w:t>
      </w:r>
    </w:p>
    <w:p w14:paraId="68B0AD5B" w14:textId="4918EFD2" w:rsidR="000D7B62" w:rsidRPr="004D5AD1" w:rsidRDefault="000D7B62" w:rsidP="000D7B62">
      <w:pPr>
        <w:rPr>
          <w:noProof/>
        </w:rPr>
      </w:pPr>
      <w:r w:rsidRPr="004D5AD1">
        <w:rPr>
          <w:noProof/>
        </w:rPr>
        <w:t>5.</w:t>
      </w:r>
      <w:r w:rsidRPr="004D5AD1">
        <w:rPr>
          <w:noProof/>
        </w:rPr>
        <w:tab/>
        <w:t>Do dnia … [</w:t>
      </w:r>
      <w:r w:rsidRPr="004D5AD1">
        <w:rPr>
          <w:i/>
          <w:noProof/>
        </w:rPr>
        <w:t>48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w:t>
      </w:r>
      <w:r w:rsidR="004D5AD1" w:rsidRPr="004D5AD1">
        <w:rPr>
          <w:noProof/>
        </w:rPr>
        <w:t xml:space="preserve"> a</w:t>
      </w:r>
      <w:r w:rsidR="004D5AD1">
        <w:rPr>
          <w:noProof/>
        </w:rPr>
        <w:t> </w:t>
      </w:r>
      <w:r w:rsidR="004D5AD1" w:rsidRPr="004D5AD1">
        <w:rPr>
          <w:noProof/>
        </w:rPr>
        <w:t>nas</w:t>
      </w:r>
      <w:r w:rsidRPr="004D5AD1">
        <w:rPr>
          <w:noProof/>
        </w:rPr>
        <w:t>tępnie do dnia 30 marca każdego roku przedsiębiorstwa mające siedzibę</w:t>
      </w:r>
      <w:r w:rsidR="004D5AD1" w:rsidRPr="004D5AD1">
        <w:rPr>
          <w:noProof/>
        </w:rPr>
        <w:t xml:space="preserve"> w</w:t>
      </w:r>
      <w:r w:rsidR="004D5AD1">
        <w:rPr>
          <w:noProof/>
        </w:rPr>
        <w:t> </w:t>
      </w:r>
      <w:r w:rsidR="004D5AD1" w:rsidRPr="004D5AD1">
        <w:rPr>
          <w:noProof/>
        </w:rPr>
        <w:t>Uni</w:t>
      </w:r>
      <w:r w:rsidRPr="004D5AD1">
        <w:rPr>
          <w:noProof/>
        </w:rPr>
        <w:t>i przedkładają właściwym organom raport zawierający bezpośrednie pomiary emisji metanu na poziomie źródła dotyczące aktywów nieeksploatowanych,</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4, uzupełniony pomiarami emisji metanu na poziomie lokalizacji, co umożliwi ocenę</w:t>
      </w:r>
      <w:r w:rsidR="004D5AD1" w:rsidRPr="004D5AD1">
        <w:rPr>
          <w:noProof/>
        </w:rPr>
        <w:t xml:space="preserve"> i</w:t>
      </w:r>
      <w:r w:rsidR="004D5AD1">
        <w:rPr>
          <w:noProof/>
        </w:rPr>
        <w:t> </w:t>
      </w:r>
      <w:r w:rsidR="004D5AD1" w:rsidRPr="004D5AD1">
        <w:rPr>
          <w:noProof/>
        </w:rPr>
        <w:t>wer</w:t>
      </w:r>
      <w:r w:rsidRPr="004D5AD1">
        <w:rPr>
          <w:noProof/>
        </w:rPr>
        <w:t>yfikację szacunków na poziomie źródła, zagregowanych</w:t>
      </w:r>
      <w:r w:rsidR="004D5AD1" w:rsidRPr="004D5AD1">
        <w:rPr>
          <w:noProof/>
        </w:rPr>
        <w:t xml:space="preserve"> w</w:t>
      </w:r>
      <w:r w:rsidR="004D5AD1">
        <w:rPr>
          <w:noProof/>
        </w:rPr>
        <w:t> </w:t>
      </w:r>
      <w:r w:rsidR="004D5AD1" w:rsidRPr="004D5AD1">
        <w:rPr>
          <w:noProof/>
        </w:rPr>
        <w:t>pod</w:t>
      </w:r>
      <w:r w:rsidRPr="004D5AD1">
        <w:rPr>
          <w:noProof/>
        </w:rPr>
        <w:t xml:space="preserve">ziale na lokalizację. </w:t>
      </w:r>
    </w:p>
    <w:p w14:paraId="06F9714B" w14:textId="214C376E" w:rsidR="00D30FCE" w:rsidRPr="004D5AD1" w:rsidRDefault="00D30FCE" w:rsidP="009B2ABC">
      <w:pPr>
        <w:rPr>
          <w:noProof/>
        </w:rPr>
      </w:pPr>
      <w:r w:rsidRPr="004D5AD1">
        <w:rPr>
          <w:noProof/>
        </w:rPr>
        <w:t>Przed przedłożeniem raportów właściwym organom przedsiębiorstwa zapewniają, aby raporty określone</w:t>
      </w:r>
      <w:r w:rsidR="004D5AD1" w:rsidRPr="004D5AD1">
        <w:rPr>
          <w:noProof/>
        </w:rPr>
        <w:t xml:space="preserve"> w</w:t>
      </w:r>
      <w:r w:rsidR="004D5AD1">
        <w:rPr>
          <w:noProof/>
        </w:rPr>
        <w:t> </w:t>
      </w:r>
      <w:r w:rsidR="004D5AD1" w:rsidRPr="004D5AD1">
        <w:rPr>
          <w:noProof/>
        </w:rPr>
        <w:t>nin</w:t>
      </w:r>
      <w:r w:rsidRPr="004D5AD1">
        <w:rPr>
          <w:noProof/>
        </w:rPr>
        <w:t>iejszym ustępie zostały ocenione przez weryfikatora</w:t>
      </w:r>
      <w:r w:rsidR="004D5AD1" w:rsidRPr="004D5AD1">
        <w:rPr>
          <w:noProof/>
        </w:rPr>
        <w:t xml:space="preserve"> i</w:t>
      </w:r>
      <w:r w:rsidR="004D5AD1">
        <w:rPr>
          <w:noProof/>
        </w:rPr>
        <w:t> </w:t>
      </w:r>
      <w:r w:rsidR="004D5AD1" w:rsidRPr="004D5AD1">
        <w:rPr>
          <w:noProof/>
        </w:rPr>
        <w:t>zaw</w:t>
      </w:r>
      <w:r w:rsidRPr="004D5AD1">
        <w:rPr>
          <w:noProof/>
        </w:rPr>
        <w:t>ierały oświadczenie weryfikacyjne wydane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8</w:t>
      </w:r>
      <w:r w:rsidR="004D5AD1" w:rsidRPr="004D5AD1">
        <w:rPr>
          <w:noProof/>
        </w:rPr>
        <w:t xml:space="preserve"> i</w:t>
      </w:r>
      <w:r w:rsidR="004D5AD1">
        <w:rPr>
          <w:noProof/>
        </w:rPr>
        <w:t> </w:t>
      </w:r>
      <w:r w:rsidR="004D5AD1" w:rsidRPr="004D5AD1">
        <w:rPr>
          <w:noProof/>
        </w:rPr>
        <w:t>9</w:t>
      </w:r>
      <w:r w:rsidRPr="004D5AD1">
        <w:rPr>
          <w:noProof/>
        </w:rPr>
        <w:t>.</w:t>
      </w:r>
    </w:p>
    <w:p w14:paraId="1A676A8B" w14:textId="409A0983" w:rsidR="009B2ABC" w:rsidRPr="004D5AD1" w:rsidRDefault="000D7B62" w:rsidP="009B2ABC">
      <w:pPr>
        <w:rPr>
          <w:noProof/>
        </w:rPr>
      </w:pPr>
      <w:r w:rsidRPr="004D5AD1">
        <w:rPr>
          <w:noProof/>
        </w:rPr>
        <w:t>6.</w:t>
      </w:r>
      <w:r w:rsidRPr="004D5AD1">
        <w:rPr>
          <w:noProof/>
        </w:rPr>
        <w:tab/>
        <w:t>Raporty przewidziane</w:t>
      </w:r>
      <w:r w:rsidR="004D5AD1" w:rsidRPr="004D5AD1">
        <w:rPr>
          <w:noProof/>
        </w:rPr>
        <w:t xml:space="preserve"> w</w:t>
      </w:r>
      <w:r w:rsidR="004D5AD1">
        <w:rPr>
          <w:noProof/>
        </w:rPr>
        <w:t> </w:t>
      </w:r>
      <w:r w:rsidR="004D5AD1" w:rsidRPr="004D5AD1">
        <w:rPr>
          <w:noProof/>
        </w:rPr>
        <w:t>nin</w:t>
      </w:r>
      <w:r w:rsidRPr="004D5AD1">
        <w:rPr>
          <w:noProof/>
        </w:rPr>
        <w:t>iejszym artykule obejmują ostatni dostępny okres roku kalendarzowego</w:t>
      </w:r>
      <w:r w:rsidR="004D5AD1" w:rsidRPr="004D5AD1">
        <w:rPr>
          <w:noProof/>
        </w:rPr>
        <w:t xml:space="preserve"> i</w:t>
      </w:r>
      <w:r w:rsidR="004D5AD1">
        <w:rPr>
          <w:noProof/>
        </w:rPr>
        <w:t> </w:t>
      </w:r>
      <w:r w:rsidR="004D5AD1" w:rsidRPr="004D5AD1">
        <w:rPr>
          <w:noProof/>
        </w:rPr>
        <w:t>zaw</w:t>
      </w:r>
      <w:r w:rsidRPr="004D5AD1">
        <w:rPr>
          <w:noProof/>
        </w:rPr>
        <w:t xml:space="preserve">ierają co najmniej następujące informacje: </w:t>
      </w:r>
    </w:p>
    <w:p w14:paraId="36BE0392" w14:textId="5CECCD3D" w:rsidR="00F542F0" w:rsidRPr="004D5AD1" w:rsidRDefault="001C7339" w:rsidP="009B2ABC">
      <w:pPr>
        <w:pStyle w:val="Text1"/>
        <w:rPr>
          <w:noProof/>
        </w:rPr>
      </w:pPr>
      <w:r w:rsidRPr="004D5AD1">
        <w:rPr>
          <w:noProof/>
        </w:rPr>
        <w:t>a) rodzaj</w:t>
      </w:r>
      <w:r w:rsidR="004D5AD1" w:rsidRPr="004D5AD1">
        <w:rPr>
          <w:noProof/>
        </w:rPr>
        <w:t xml:space="preserve"> i</w:t>
      </w:r>
      <w:r w:rsidR="004D5AD1">
        <w:rPr>
          <w:noProof/>
        </w:rPr>
        <w:t> </w:t>
      </w:r>
      <w:r w:rsidR="004D5AD1" w:rsidRPr="004D5AD1">
        <w:rPr>
          <w:noProof/>
        </w:rPr>
        <w:t>lok</w:t>
      </w:r>
      <w:r w:rsidRPr="004D5AD1">
        <w:rPr>
          <w:noProof/>
        </w:rPr>
        <w:t>alizacja źródła emisji;</w:t>
      </w:r>
    </w:p>
    <w:p w14:paraId="0C6F23AD" w14:textId="60D814B4" w:rsidR="009B2ABC" w:rsidRPr="004D5AD1" w:rsidRDefault="00F542F0" w:rsidP="009B2ABC">
      <w:pPr>
        <w:pStyle w:val="Text1"/>
        <w:rPr>
          <w:noProof/>
        </w:rPr>
      </w:pPr>
      <w:r w:rsidRPr="004D5AD1">
        <w:rPr>
          <w:noProof/>
        </w:rPr>
        <w:t>b) dane</w:t>
      </w:r>
      <w:r w:rsidR="004D5AD1" w:rsidRPr="004D5AD1">
        <w:rPr>
          <w:noProof/>
        </w:rPr>
        <w:t xml:space="preserve"> w</w:t>
      </w:r>
      <w:r w:rsidR="004D5AD1">
        <w:rPr>
          <w:noProof/>
        </w:rPr>
        <w:t> </w:t>
      </w:r>
      <w:r w:rsidR="004D5AD1" w:rsidRPr="004D5AD1">
        <w:rPr>
          <w:noProof/>
        </w:rPr>
        <w:t>pod</w:t>
      </w:r>
      <w:r w:rsidRPr="004D5AD1">
        <w:rPr>
          <w:noProof/>
        </w:rPr>
        <w:t>ziale na każdy szczegółowy, indywidualny rodzaj źródła emisji;</w:t>
      </w:r>
    </w:p>
    <w:p w14:paraId="1EB85AC6" w14:textId="628750CB" w:rsidR="009B2ABC" w:rsidRPr="004D5AD1" w:rsidRDefault="001C7339" w:rsidP="009B2ABC">
      <w:pPr>
        <w:pStyle w:val="Text1"/>
        <w:rPr>
          <w:noProof/>
        </w:rPr>
      </w:pPr>
      <w:r w:rsidRPr="004D5AD1">
        <w:rPr>
          <w:noProof/>
        </w:rPr>
        <w:t>c) szczegółowe informacje na temat metod określania ilościowego stosowanych do pomiaru emisji metanu;</w:t>
      </w:r>
    </w:p>
    <w:p w14:paraId="217F16E1" w14:textId="26490723" w:rsidR="009B2ABC" w:rsidRPr="004D5AD1" w:rsidRDefault="001C7339" w:rsidP="009B2ABC">
      <w:pPr>
        <w:pStyle w:val="Text1"/>
        <w:rPr>
          <w:noProof/>
        </w:rPr>
      </w:pPr>
      <w:r w:rsidRPr="004D5AD1">
        <w:rPr>
          <w:noProof/>
        </w:rPr>
        <w:t>d) wszystkie emisje metanu</w:t>
      </w:r>
      <w:r w:rsidR="004D5AD1" w:rsidRPr="004D5AD1">
        <w:rPr>
          <w:noProof/>
        </w:rPr>
        <w:t xml:space="preserve"> z</w:t>
      </w:r>
      <w:r w:rsidR="004D5AD1">
        <w:rPr>
          <w:noProof/>
        </w:rPr>
        <w:t> </w:t>
      </w:r>
      <w:r w:rsidR="004D5AD1" w:rsidRPr="004D5AD1">
        <w:rPr>
          <w:noProof/>
        </w:rPr>
        <w:t>akt</w:t>
      </w:r>
      <w:r w:rsidRPr="004D5AD1">
        <w:rPr>
          <w:noProof/>
        </w:rPr>
        <w:t>ywów eksploatowanych;</w:t>
      </w:r>
    </w:p>
    <w:p w14:paraId="239D6B04" w14:textId="22B67345" w:rsidR="009B2ABC" w:rsidRPr="004D5AD1" w:rsidRDefault="001C7339" w:rsidP="009B2ABC">
      <w:pPr>
        <w:pStyle w:val="Text1"/>
        <w:rPr>
          <w:noProof/>
        </w:rPr>
      </w:pPr>
      <w:r w:rsidRPr="004D5AD1">
        <w:rPr>
          <w:noProof/>
        </w:rPr>
        <w:t>e) udział własności oraz emisje metanu</w:t>
      </w:r>
      <w:r w:rsidR="004D5AD1" w:rsidRPr="004D5AD1">
        <w:rPr>
          <w:noProof/>
        </w:rPr>
        <w:t xml:space="preserve"> z</w:t>
      </w:r>
      <w:r w:rsidR="004D5AD1">
        <w:rPr>
          <w:noProof/>
        </w:rPr>
        <w:t> </w:t>
      </w:r>
      <w:r w:rsidR="004D5AD1" w:rsidRPr="004D5AD1">
        <w:rPr>
          <w:noProof/>
        </w:rPr>
        <w:t>akt</w:t>
      </w:r>
      <w:r w:rsidRPr="004D5AD1">
        <w:rPr>
          <w:noProof/>
        </w:rPr>
        <w:t>ywów nieeksploatowanych pomnożone przez udział własności;</w:t>
      </w:r>
    </w:p>
    <w:p w14:paraId="691F318C" w14:textId="2A459CC1" w:rsidR="009B2ABC" w:rsidRPr="004D5AD1" w:rsidRDefault="001C7339" w:rsidP="009B2ABC">
      <w:pPr>
        <w:pStyle w:val="Text1"/>
        <w:rPr>
          <w:noProof/>
        </w:rPr>
      </w:pPr>
      <w:r w:rsidRPr="004D5AD1">
        <w:rPr>
          <w:noProof/>
        </w:rPr>
        <w:t>f) wykaz podmiotów sprawujących kontrolę operacyjną nad aktywami nieeksploatowanymi.</w:t>
      </w:r>
    </w:p>
    <w:p w14:paraId="6CBCB16E" w14:textId="7A5D7572" w:rsidR="009B2ABC" w:rsidRPr="004D5AD1" w:rsidRDefault="00E35DF7" w:rsidP="009B2ABC">
      <w:pPr>
        <w:rPr>
          <w:noProof/>
        </w:rPr>
      </w:pPr>
      <w:r w:rsidRPr="004D5AD1">
        <w:rPr>
          <w:noProof/>
        </w:rPr>
        <w:t>W drodze aktów wykonawczych Komisja określa wzór raportu na potrzeby raportów określonych</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2, 3, 4</w:t>
      </w:r>
      <w:r w:rsidR="004D5AD1" w:rsidRPr="004D5AD1">
        <w:rPr>
          <w:noProof/>
        </w:rPr>
        <w:t xml:space="preserve"> i</w:t>
      </w:r>
      <w:r w:rsidR="004D5AD1">
        <w:rPr>
          <w:noProof/>
        </w:rPr>
        <w:t> </w:t>
      </w:r>
      <w:r w:rsidR="004D5AD1" w:rsidRPr="004D5AD1">
        <w:rPr>
          <w:noProof/>
        </w:rPr>
        <w:t>5</w:t>
      </w:r>
      <w:r w:rsidRPr="004D5AD1">
        <w:rPr>
          <w:noProof/>
        </w:rPr>
        <w:t>. Te akty wykonawcze przyjmuje się zgodnie</w:t>
      </w:r>
      <w:r w:rsidR="004D5AD1" w:rsidRPr="004D5AD1">
        <w:rPr>
          <w:noProof/>
        </w:rPr>
        <w:t xml:space="preserve"> z</w:t>
      </w:r>
      <w:r w:rsidR="004D5AD1">
        <w:rPr>
          <w:noProof/>
        </w:rPr>
        <w:t> </w:t>
      </w:r>
      <w:r w:rsidR="004D5AD1" w:rsidRPr="004D5AD1">
        <w:rPr>
          <w:noProof/>
        </w:rPr>
        <w:t>pro</w:t>
      </w:r>
      <w:r w:rsidRPr="004D5AD1">
        <w:rPr>
          <w:noProof/>
        </w:rPr>
        <w:t>cedurą,</w:t>
      </w:r>
      <w:r w:rsidR="004D5AD1" w:rsidRPr="004D5AD1">
        <w:rPr>
          <w:noProof/>
        </w:rPr>
        <w:t xml:space="preserve"> o</w:t>
      </w:r>
      <w:r w:rsidR="004D5AD1">
        <w:rPr>
          <w:noProof/>
        </w:rPr>
        <w:t> </w:t>
      </w:r>
      <w:r w:rsidR="004D5AD1" w:rsidRPr="004D5AD1">
        <w:rPr>
          <w:noProof/>
        </w:rPr>
        <w:t>któ</w:t>
      </w:r>
      <w:r w:rsidRPr="004D5AD1">
        <w:rPr>
          <w:noProof/>
        </w:rPr>
        <w:t>rej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32 ust.</w:t>
      </w:r>
      <w:r w:rsidR="004D5AD1" w:rsidRPr="004D5AD1">
        <w:rPr>
          <w:noProof/>
        </w:rPr>
        <w:t> </w:t>
      </w:r>
      <w:r w:rsidRPr="004D5AD1">
        <w:rPr>
          <w:noProof/>
        </w:rPr>
        <w:t>2.</w:t>
      </w:r>
    </w:p>
    <w:p w14:paraId="1DEFC68B" w14:textId="59A5469B" w:rsidR="009B2ABC" w:rsidRPr="004D5AD1" w:rsidRDefault="000D7B62" w:rsidP="009B2ABC">
      <w:pPr>
        <w:rPr>
          <w:noProof/>
        </w:rPr>
      </w:pPr>
      <w:r w:rsidRPr="004D5AD1">
        <w:rPr>
          <w:noProof/>
        </w:rPr>
        <w:t>7.</w:t>
      </w:r>
      <w:r w:rsidRPr="004D5AD1">
        <w:rPr>
          <w:noProof/>
        </w:rPr>
        <w:tab/>
        <w:t>W przypadku pomiarów na poziomie lokalizacji,</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3</w:t>
      </w:r>
      <w:r w:rsidR="004D5AD1" w:rsidRPr="004D5AD1">
        <w:rPr>
          <w:noProof/>
        </w:rPr>
        <w:t xml:space="preserve"> i</w:t>
      </w:r>
      <w:r w:rsidR="004D5AD1">
        <w:rPr>
          <w:noProof/>
        </w:rPr>
        <w:t> </w:t>
      </w:r>
      <w:r w:rsidR="004D5AD1" w:rsidRPr="004D5AD1">
        <w:rPr>
          <w:noProof/>
        </w:rPr>
        <w:t>5</w:t>
      </w:r>
      <w:r w:rsidRPr="004D5AD1">
        <w:rPr>
          <w:noProof/>
        </w:rPr>
        <w:t xml:space="preserve">, stosuje się odpowiednie technologie kwantyfikacji, które mogą umożliwić takie pomiary. </w:t>
      </w:r>
    </w:p>
    <w:p w14:paraId="12A08676" w14:textId="474F36FE" w:rsidR="009B2ABC" w:rsidRPr="004D5AD1" w:rsidRDefault="000D7B62" w:rsidP="009B2ABC">
      <w:pPr>
        <w:rPr>
          <w:noProof/>
        </w:rPr>
      </w:pPr>
      <w:r w:rsidRPr="004D5AD1">
        <w:rPr>
          <w:noProof/>
        </w:rPr>
        <w:t>8.</w:t>
      </w:r>
      <w:r w:rsidRPr="004D5AD1">
        <w:rPr>
          <w:noProof/>
        </w:rPr>
        <w:tab/>
        <w:t>W przypadku znacznych rozbieżności między emisjami kwantyfikowanymi za pomocą metod na poziomie źródła</w:t>
      </w:r>
      <w:r w:rsidR="004D5AD1" w:rsidRPr="004D5AD1">
        <w:rPr>
          <w:noProof/>
        </w:rPr>
        <w:t xml:space="preserve"> a</w:t>
      </w:r>
      <w:r w:rsidR="004D5AD1">
        <w:rPr>
          <w:noProof/>
        </w:rPr>
        <w:t> </w:t>
      </w:r>
      <w:r w:rsidR="004D5AD1" w:rsidRPr="004D5AD1">
        <w:rPr>
          <w:noProof/>
        </w:rPr>
        <w:t>tym</w:t>
      </w:r>
      <w:r w:rsidRPr="004D5AD1">
        <w:rPr>
          <w:noProof/>
        </w:rPr>
        <w:t>i wynikającymi</w:t>
      </w:r>
      <w:r w:rsidR="004D5AD1" w:rsidRPr="004D5AD1">
        <w:rPr>
          <w:noProof/>
        </w:rPr>
        <w:t xml:space="preserve"> z</w:t>
      </w:r>
      <w:r w:rsidR="004D5AD1">
        <w:rPr>
          <w:noProof/>
        </w:rPr>
        <w:t> </w:t>
      </w:r>
      <w:r w:rsidR="004D5AD1" w:rsidRPr="004D5AD1">
        <w:rPr>
          <w:noProof/>
        </w:rPr>
        <w:t>pom</w:t>
      </w:r>
      <w:r w:rsidRPr="004D5AD1">
        <w:rPr>
          <w:noProof/>
        </w:rPr>
        <w:t>iaru na poziomie lokalizacji przeprowadza się dodatkowe pomiary za ten sam okres sprawozdawczy.</w:t>
      </w:r>
    </w:p>
    <w:p w14:paraId="335306AE" w14:textId="2695667D" w:rsidR="009F7E67" w:rsidRPr="004D5AD1" w:rsidRDefault="000D7B62" w:rsidP="009B2ABC">
      <w:pPr>
        <w:rPr>
          <w:noProof/>
        </w:rPr>
      </w:pPr>
      <w:r w:rsidRPr="004D5AD1">
        <w:rPr>
          <w:noProof/>
        </w:rPr>
        <w:t>9.</w:t>
      </w:r>
      <w:r w:rsidRPr="004D5AD1">
        <w:rPr>
          <w:noProof/>
        </w:rPr>
        <w:tab/>
        <w:t>Pomiary emisji metanu na potrzeby infrastruktury gazowej przeprowadza się zgodnie</w:t>
      </w:r>
      <w:r w:rsidR="004D5AD1" w:rsidRPr="004D5AD1">
        <w:rPr>
          <w:noProof/>
        </w:rPr>
        <w:t xml:space="preserve"> z</w:t>
      </w:r>
      <w:r w:rsidR="004D5AD1">
        <w:rPr>
          <w:noProof/>
        </w:rPr>
        <w:t> </w:t>
      </w:r>
      <w:r w:rsidR="004D5AD1" w:rsidRPr="004D5AD1">
        <w:rPr>
          <w:noProof/>
        </w:rPr>
        <w:t>odp</w:t>
      </w:r>
      <w:r w:rsidRPr="004D5AD1">
        <w:rPr>
          <w:noProof/>
        </w:rPr>
        <w:t>owiednimi europejskimi (CEN) lub międzynarodowymi (ISO) normami</w:t>
      </w:r>
      <w:r w:rsidR="004D5AD1" w:rsidRPr="004D5AD1">
        <w:rPr>
          <w:noProof/>
        </w:rPr>
        <w:t xml:space="preserve"> w</w:t>
      </w:r>
      <w:r w:rsidR="004D5AD1">
        <w:rPr>
          <w:noProof/>
        </w:rPr>
        <w:t> </w:t>
      </w:r>
      <w:r w:rsidR="004D5AD1" w:rsidRPr="004D5AD1">
        <w:rPr>
          <w:noProof/>
        </w:rPr>
        <w:t>zak</w:t>
      </w:r>
      <w:r w:rsidRPr="004D5AD1">
        <w:rPr>
          <w:noProof/>
        </w:rPr>
        <w:t>resie kwantyfikacji emisji metanu.</w:t>
      </w:r>
    </w:p>
    <w:p w14:paraId="13340254" w14:textId="59C5B970" w:rsidR="00982195" w:rsidRPr="004D5AD1" w:rsidRDefault="000D7B62" w:rsidP="009B2ABC">
      <w:pPr>
        <w:rPr>
          <w:noProof/>
        </w:rPr>
      </w:pPr>
      <w:r w:rsidRPr="004D5AD1">
        <w:rPr>
          <w:noProof/>
        </w:rPr>
        <w:t>10.</w:t>
      </w:r>
      <w:r w:rsidRPr="004D5AD1">
        <w:rPr>
          <w:noProof/>
        </w:rPr>
        <w:tab/>
        <w:t>W przypadku gdy informacje są traktowane jako poufne zgodnie</w:t>
      </w:r>
      <w:r w:rsidR="004D5AD1" w:rsidRPr="004D5AD1">
        <w:rPr>
          <w:noProof/>
        </w:rPr>
        <w:t xml:space="preserve"> z</w:t>
      </w:r>
      <w:r w:rsidR="004D5AD1">
        <w:rPr>
          <w:noProof/>
        </w:rPr>
        <w:t> </w:t>
      </w:r>
      <w:r w:rsidR="004D5AD1" w:rsidRPr="004D5AD1">
        <w:rPr>
          <w:noProof/>
        </w:rPr>
        <w:t>dyr</w:t>
      </w:r>
      <w:r w:rsidRPr="004D5AD1">
        <w:rPr>
          <w:noProof/>
        </w:rPr>
        <w:t>ektywą Parlamentu Europejskiego</w:t>
      </w:r>
      <w:r w:rsidR="004D5AD1" w:rsidRPr="004D5AD1">
        <w:rPr>
          <w:noProof/>
        </w:rPr>
        <w:t xml:space="preserve"> i</w:t>
      </w:r>
      <w:r w:rsidR="004D5AD1">
        <w:rPr>
          <w:noProof/>
        </w:rPr>
        <w:t> </w:t>
      </w:r>
      <w:r w:rsidR="004D5AD1" w:rsidRPr="004D5AD1">
        <w:rPr>
          <w:noProof/>
        </w:rPr>
        <w:t>Rad</w:t>
      </w:r>
      <w:r w:rsidRPr="004D5AD1">
        <w:rPr>
          <w:noProof/>
        </w:rPr>
        <w:t>y (UE) 2016/943</w:t>
      </w:r>
      <w:r w:rsidR="00982195" w:rsidRPr="004D5AD1">
        <w:rPr>
          <w:rStyle w:val="FootnoteReference"/>
          <w:noProof/>
        </w:rPr>
        <w:footnoteReference w:id="43"/>
      </w:r>
      <w:r w:rsidRPr="004D5AD1">
        <w:rPr>
          <w:noProof/>
        </w:rPr>
        <w:t>, operatorzy wskazują</w:t>
      </w:r>
      <w:r w:rsidR="004D5AD1" w:rsidRPr="004D5AD1">
        <w:rPr>
          <w:noProof/>
        </w:rPr>
        <w:t xml:space="preserve"> w</w:t>
      </w:r>
      <w:r w:rsidR="004D5AD1">
        <w:rPr>
          <w:noProof/>
        </w:rPr>
        <w:t> </w:t>
      </w:r>
      <w:r w:rsidR="004D5AD1" w:rsidRPr="004D5AD1">
        <w:rPr>
          <w:noProof/>
        </w:rPr>
        <w:t>rap</w:t>
      </w:r>
      <w:r w:rsidRPr="004D5AD1">
        <w:rPr>
          <w:noProof/>
        </w:rPr>
        <w:t>orcie rodzaj informacji, które nie zostały ujawnione, wraz</w:t>
      </w:r>
      <w:r w:rsidR="004D5AD1" w:rsidRPr="004D5AD1">
        <w:rPr>
          <w:noProof/>
        </w:rPr>
        <w:t xml:space="preserve"> z</w:t>
      </w:r>
      <w:r w:rsidR="004D5AD1">
        <w:rPr>
          <w:noProof/>
        </w:rPr>
        <w:t> </w:t>
      </w:r>
      <w:r w:rsidR="004D5AD1" w:rsidRPr="004D5AD1">
        <w:rPr>
          <w:noProof/>
        </w:rPr>
        <w:t>uza</w:t>
      </w:r>
      <w:r w:rsidRPr="004D5AD1">
        <w:rPr>
          <w:noProof/>
        </w:rPr>
        <w:t>sadnieniem.</w:t>
      </w:r>
    </w:p>
    <w:p w14:paraId="5F49094E" w14:textId="15284CC2" w:rsidR="00546AFF" w:rsidRPr="004D5AD1" w:rsidRDefault="00546AFF" w:rsidP="009B2ABC">
      <w:pPr>
        <w:rPr>
          <w:noProof/>
        </w:rPr>
      </w:pPr>
      <w:r w:rsidRPr="004D5AD1">
        <w:rPr>
          <w:noProof/>
        </w:rPr>
        <w:t>11.</w:t>
      </w:r>
      <w:r w:rsidRPr="004D5AD1">
        <w:rPr>
          <w:noProof/>
        </w:rPr>
        <w:tab/>
        <w:t>Właściwe organy udostępniają opinii publicznej</w:t>
      </w:r>
      <w:r w:rsidR="004D5AD1" w:rsidRPr="004D5AD1">
        <w:rPr>
          <w:noProof/>
        </w:rPr>
        <w:t xml:space="preserve"> i</w:t>
      </w:r>
      <w:r w:rsidR="004D5AD1">
        <w:rPr>
          <w:noProof/>
        </w:rPr>
        <w:t> </w:t>
      </w:r>
      <w:r w:rsidR="004D5AD1" w:rsidRPr="004D5AD1">
        <w:rPr>
          <w:noProof/>
        </w:rPr>
        <w:t>Kom</w:t>
      </w:r>
      <w:r w:rsidRPr="004D5AD1">
        <w:rPr>
          <w:noProof/>
        </w:rPr>
        <w:t>isji sprawozdania określone</w:t>
      </w:r>
      <w:r w:rsidR="004D5AD1" w:rsidRPr="004D5AD1">
        <w:rPr>
          <w:noProof/>
        </w:rPr>
        <w:t xml:space="preserve"> w</w:t>
      </w:r>
      <w:r w:rsidR="004D5AD1">
        <w:rPr>
          <w:noProof/>
        </w:rPr>
        <w:t> </w:t>
      </w:r>
      <w:r w:rsidR="004D5AD1" w:rsidRPr="004D5AD1">
        <w:rPr>
          <w:noProof/>
        </w:rPr>
        <w:t>nin</w:t>
      </w:r>
      <w:r w:rsidRPr="004D5AD1">
        <w:rPr>
          <w:noProof/>
        </w:rPr>
        <w:t>iejszym artykule</w:t>
      </w:r>
      <w:r w:rsidR="004D5AD1" w:rsidRPr="004D5AD1">
        <w:rPr>
          <w:noProof/>
        </w:rPr>
        <w:t xml:space="preserve"> w</w:t>
      </w:r>
      <w:r w:rsidR="004D5AD1">
        <w:rPr>
          <w:noProof/>
        </w:rPr>
        <w:t> </w:t>
      </w:r>
      <w:r w:rsidR="004D5AD1" w:rsidRPr="004D5AD1">
        <w:rPr>
          <w:noProof/>
        </w:rPr>
        <w:t>ter</w:t>
      </w:r>
      <w:r w:rsidRPr="004D5AD1">
        <w:rPr>
          <w:noProof/>
        </w:rPr>
        <w:t>minie trzech miesięcy od ich przedłożenia przez operatorów</w:t>
      </w:r>
      <w:r w:rsidR="004D5AD1" w:rsidRPr="004D5AD1">
        <w:rPr>
          <w:noProof/>
        </w:rPr>
        <w:t xml:space="preserve"> i</w:t>
      </w:r>
      <w:r w:rsidR="004D5AD1">
        <w:rPr>
          <w:noProof/>
        </w:rPr>
        <w:t> </w:t>
      </w:r>
      <w:r w:rsidR="004D5AD1" w:rsidRPr="004D5AD1">
        <w:rPr>
          <w:noProof/>
        </w:rPr>
        <w:t>zgo</w:t>
      </w:r>
      <w:r w:rsidRPr="004D5AD1">
        <w:rPr>
          <w:noProof/>
        </w:rPr>
        <w:t>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5 ust.</w:t>
      </w:r>
      <w:r w:rsidR="004D5AD1" w:rsidRPr="004D5AD1">
        <w:rPr>
          <w:noProof/>
        </w:rPr>
        <w:t> </w:t>
      </w:r>
      <w:r w:rsidRPr="004D5AD1">
        <w:rPr>
          <w:noProof/>
        </w:rPr>
        <w:t>4.</w:t>
      </w:r>
    </w:p>
    <w:p w14:paraId="12AB87F2" w14:textId="77777777" w:rsidR="008D57DB" w:rsidRPr="004D5AD1" w:rsidRDefault="008D57DB" w:rsidP="009B2ABC">
      <w:pPr>
        <w:rPr>
          <w:noProof/>
        </w:rPr>
      </w:pPr>
    </w:p>
    <w:p w14:paraId="598AFF8B" w14:textId="77777777" w:rsidR="00F53740" w:rsidRPr="004D5AD1" w:rsidRDefault="00F53740" w:rsidP="00F53740">
      <w:pPr>
        <w:pStyle w:val="Titrearticle"/>
        <w:rPr>
          <w:noProof/>
        </w:rPr>
      </w:pPr>
      <w:r w:rsidRPr="004D5AD1">
        <w:rPr>
          <w:noProof/>
        </w:rPr>
        <w:t>Artykuł 13</w:t>
      </w:r>
    </w:p>
    <w:p w14:paraId="447A4CEA" w14:textId="167F318D" w:rsidR="00F53740" w:rsidRPr="004D5AD1" w:rsidRDefault="00F53740" w:rsidP="00F53740">
      <w:pPr>
        <w:pStyle w:val="NormalCentered"/>
        <w:rPr>
          <w:b/>
          <w:noProof/>
          <w:szCs w:val="24"/>
        </w:rPr>
      </w:pPr>
      <w:r w:rsidRPr="004D5AD1">
        <w:rPr>
          <w:b/>
          <w:noProof/>
          <w:szCs w:val="24"/>
        </w:rPr>
        <w:t>Ogólne obowiązki</w:t>
      </w:r>
      <w:r w:rsidR="004D5AD1" w:rsidRPr="004D5AD1">
        <w:rPr>
          <w:b/>
          <w:noProof/>
          <w:szCs w:val="24"/>
        </w:rPr>
        <w:t xml:space="preserve"> w</w:t>
      </w:r>
      <w:r w:rsidR="004D5AD1">
        <w:rPr>
          <w:b/>
          <w:noProof/>
          <w:szCs w:val="24"/>
        </w:rPr>
        <w:t> </w:t>
      </w:r>
      <w:r w:rsidR="004D5AD1" w:rsidRPr="004D5AD1">
        <w:rPr>
          <w:b/>
          <w:noProof/>
          <w:szCs w:val="24"/>
        </w:rPr>
        <w:t>zak</w:t>
      </w:r>
      <w:r w:rsidRPr="004D5AD1">
        <w:rPr>
          <w:b/>
          <w:noProof/>
          <w:szCs w:val="24"/>
        </w:rPr>
        <w:t>resie ograniczania emisji</w:t>
      </w:r>
    </w:p>
    <w:p w14:paraId="22E5898C" w14:textId="349BA47E" w:rsidR="00F53740" w:rsidRPr="004D5AD1" w:rsidRDefault="00F53740" w:rsidP="00F53740">
      <w:pPr>
        <w:rPr>
          <w:noProof/>
        </w:rPr>
      </w:pPr>
      <w:r w:rsidRPr="004D5AD1">
        <w:rPr>
          <w:noProof/>
        </w:rPr>
        <w:t>Operatorzy podejmują wszelkie dostępne im działania</w:t>
      </w:r>
      <w:r w:rsidR="004D5AD1" w:rsidRPr="004D5AD1">
        <w:rPr>
          <w:noProof/>
        </w:rPr>
        <w:t xml:space="preserve"> w</w:t>
      </w:r>
      <w:r w:rsidR="004D5AD1">
        <w:rPr>
          <w:noProof/>
        </w:rPr>
        <w:t> </w:t>
      </w:r>
      <w:r w:rsidR="004D5AD1" w:rsidRPr="004D5AD1">
        <w:rPr>
          <w:noProof/>
        </w:rPr>
        <w:t>cel</w:t>
      </w:r>
      <w:r w:rsidRPr="004D5AD1">
        <w:rPr>
          <w:noProof/>
        </w:rPr>
        <w:t>u zapobieżenia emisjom metanu</w:t>
      </w:r>
      <w:r w:rsidR="004D5AD1" w:rsidRPr="004D5AD1">
        <w:rPr>
          <w:noProof/>
        </w:rPr>
        <w:t xml:space="preserve"> i</w:t>
      </w:r>
      <w:r w:rsidR="004D5AD1">
        <w:rPr>
          <w:noProof/>
        </w:rPr>
        <w:t> </w:t>
      </w:r>
      <w:r w:rsidR="004D5AD1" w:rsidRPr="004D5AD1">
        <w:rPr>
          <w:noProof/>
        </w:rPr>
        <w:t>ich</w:t>
      </w:r>
      <w:r w:rsidRPr="004D5AD1">
        <w:rPr>
          <w:noProof/>
        </w:rPr>
        <w:t xml:space="preserve"> zminimalizowania</w:t>
      </w:r>
      <w:r w:rsidR="004D5AD1" w:rsidRPr="004D5AD1">
        <w:rPr>
          <w:noProof/>
        </w:rPr>
        <w:t xml:space="preserve"> w</w:t>
      </w:r>
      <w:r w:rsidR="004D5AD1">
        <w:rPr>
          <w:noProof/>
        </w:rPr>
        <w:t> </w:t>
      </w:r>
      <w:r w:rsidR="004D5AD1" w:rsidRPr="004D5AD1">
        <w:rPr>
          <w:noProof/>
        </w:rPr>
        <w:t>ram</w:t>
      </w:r>
      <w:r w:rsidRPr="004D5AD1">
        <w:rPr>
          <w:noProof/>
        </w:rPr>
        <w:t>ach prowadzonej przez siebie działalności.</w:t>
      </w:r>
    </w:p>
    <w:p w14:paraId="5ADA7FD9" w14:textId="77777777" w:rsidR="007F40B0" w:rsidRPr="004D5AD1" w:rsidRDefault="007F40B0" w:rsidP="00F53740">
      <w:pPr>
        <w:rPr>
          <w:noProof/>
        </w:rPr>
      </w:pPr>
    </w:p>
    <w:p w14:paraId="0B678652" w14:textId="77777777" w:rsidR="00F53740" w:rsidRPr="004D5AD1" w:rsidRDefault="00F53740" w:rsidP="00F53740">
      <w:pPr>
        <w:pStyle w:val="Titrearticle"/>
        <w:rPr>
          <w:noProof/>
        </w:rPr>
      </w:pPr>
      <w:r w:rsidRPr="004D5AD1">
        <w:rPr>
          <w:noProof/>
        </w:rPr>
        <w:t>Artykuł 14</w:t>
      </w:r>
    </w:p>
    <w:p w14:paraId="1D98AD24" w14:textId="0D51D56F" w:rsidR="00F53740" w:rsidRPr="004D5AD1" w:rsidRDefault="00F53740" w:rsidP="00F53740">
      <w:pPr>
        <w:pStyle w:val="NormalCentered"/>
        <w:rPr>
          <w:noProof/>
          <w:szCs w:val="24"/>
        </w:rPr>
      </w:pPr>
      <w:r w:rsidRPr="004D5AD1">
        <w:rPr>
          <w:b/>
          <w:noProof/>
          <w:szCs w:val="24"/>
        </w:rPr>
        <w:t>Wykrywanie nieszczelności</w:t>
      </w:r>
      <w:r w:rsidR="004D5AD1" w:rsidRPr="004D5AD1">
        <w:rPr>
          <w:b/>
          <w:noProof/>
          <w:szCs w:val="24"/>
        </w:rPr>
        <w:t xml:space="preserve"> i</w:t>
      </w:r>
      <w:r w:rsidR="004D5AD1">
        <w:rPr>
          <w:b/>
          <w:noProof/>
          <w:szCs w:val="24"/>
        </w:rPr>
        <w:t> </w:t>
      </w:r>
      <w:r w:rsidR="004D5AD1" w:rsidRPr="004D5AD1">
        <w:rPr>
          <w:b/>
          <w:noProof/>
          <w:szCs w:val="24"/>
        </w:rPr>
        <w:t>nap</w:t>
      </w:r>
      <w:r w:rsidRPr="004D5AD1">
        <w:rPr>
          <w:b/>
          <w:noProof/>
          <w:szCs w:val="24"/>
        </w:rPr>
        <w:t>rawa</w:t>
      </w:r>
    </w:p>
    <w:p w14:paraId="0536FE25" w14:textId="6103D0D2" w:rsidR="00F53740" w:rsidRPr="004D5AD1" w:rsidDel="001F7D04" w:rsidRDefault="00F53740" w:rsidP="00A5722C">
      <w:pPr>
        <w:rPr>
          <w:noProof/>
        </w:rPr>
      </w:pPr>
      <w:r w:rsidRPr="004D5AD1">
        <w:rPr>
          <w:noProof/>
        </w:rPr>
        <w:t>1.</w:t>
      </w:r>
      <w:r w:rsidRPr="004D5AD1">
        <w:rPr>
          <w:noProof/>
        </w:rPr>
        <w:tab/>
        <w:t>Do dnia … [</w:t>
      </w:r>
      <w:r w:rsidRPr="004D5AD1">
        <w:rPr>
          <w:i/>
          <w:noProof/>
        </w:rPr>
        <w:t>3 miesiące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 operatorzy przedkładają właściwym organom program wykrywania nieszczelności</w:t>
      </w:r>
      <w:r w:rsidR="004D5AD1" w:rsidRPr="004D5AD1">
        <w:rPr>
          <w:noProof/>
        </w:rPr>
        <w:t xml:space="preserve"> i</w:t>
      </w:r>
      <w:r w:rsidR="004D5AD1">
        <w:rPr>
          <w:noProof/>
        </w:rPr>
        <w:t> </w:t>
      </w:r>
      <w:r w:rsidR="004D5AD1" w:rsidRPr="004D5AD1">
        <w:rPr>
          <w:noProof/>
        </w:rPr>
        <w:t>nap</w:t>
      </w:r>
      <w:r w:rsidRPr="004D5AD1">
        <w:rPr>
          <w:noProof/>
        </w:rPr>
        <w:t>rawy zawierający szczegółowe informacje na temat treści badań, które należy przeprowadzić zgodnie</w:t>
      </w:r>
      <w:r w:rsidR="004D5AD1" w:rsidRPr="004D5AD1">
        <w:rPr>
          <w:noProof/>
        </w:rPr>
        <w:t xml:space="preserve"> z</w:t>
      </w:r>
      <w:r w:rsidR="004D5AD1">
        <w:rPr>
          <w:noProof/>
        </w:rPr>
        <w:t> </w:t>
      </w:r>
      <w:r w:rsidR="004D5AD1" w:rsidRPr="004D5AD1">
        <w:rPr>
          <w:noProof/>
        </w:rPr>
        <w:t>wym</w:t>
      </w:r>
      <w:r w:rsidRPr="004D5AD1">
        <w:rPr>
          <w:noProof/>
        </w:rPr>
        <w:t xml:space="preserve">ogami niniejszego artykułu. </w:t>
      </w:r>
    </w:p>
    <w:p w14:paraId="29C09088" w14:textId="0C7E3FCA" w:rsidR="00F53740" w:rsidRPr="004D5AD1" w:rsidRDefault="00F53740" w:rsidP="00A5722C">
      <w:pPr>
        <w:rPr>
          <w:noProof/>
        </w:rPr>
      </w:pPr>
      <w:r w:rsidRPr="004D5AD1">
        <w:rPr>
          <w:noProof/>
        </w:rPr>
        <w:t>Właściwe organy mogą zażądać od operatora zmiany programu</w:t>
      </w:r>
      <w:r w:rsidR="004D5AD1" w:rsidRPr="004D5AD1">
        <w:rPr>
          <w:noProof/>
        </w:rPr>
        <w:t xml:space="preserve"> z</w:t>
      </w:r>
      <w:r w:rsidR="004D5AD1">
        <w:rPr>
          <w:noProof/>
        </w:rPr>
        <w:t> </w:t>
      </w:r>
      <w:r w:rsidR="004D5AD1" w:rsidRPr="004D5AD1">
        <w:rPr>
          <w:noProof/>
        </w:rPr>
        <w:t>uwz</w:t>
      </w:r>
      <w:r w:rsidRPr="004D5AD1">
        <w:rPr>
          <w:noProof/>
        </w:rPr>
        <w:t>ględnieniem wymogów niniejszego rozporządzenia.</w:t>
      </w:r>
    </w:p>
    <w:p w14:paraId="5B7588FF" w14:textId="3D683983" w:rsidR="00F53740" w:rsidRPr="004D5AD1" w:rsidRDefault="00F53740" w:rsidP="00A5722C">
      <w:pPr>
        <w:rPr>
          <w:noProof/>
        </w:rPr>
      </w:pPr>
      <w:r w:rsidRPr="004D5AD1">
        <w:rPr>
          <w:noProof/>
        </w:rPr>
        <w:t>2.</w:t>
      </w:r>
      <w:r w:rsidRPr="004D5AD1">
        <w:rPr>
          <w:noProof/>
        </w:rPr>
        <w:tab/>
        <w:t>Do dnia … [</w:t>
      </w:r>
      <w:r w:rsidRPr="004D5AD1">
        <w:rPr>
          <w:i/>
          <w:noProof/>
        </w:rPr>
        <w:t>6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 operatorzy przeprowadzają badanie wszystkich istotnych elementów, za które odpowiadają, zgodnie</w:t>
      </w:r>
      <w:r w:rsidR="004D5AD1" w:rsidRPr="004D5AD1">
        <w:rPr>
          <w:noProof/>
        </w:rPr>
        <w:t xml:space="preserve"> z</w:t>
      </w:r>
      <w:r w:rsidR="004D5AD1">
        <w:rPr>
          <w:noProof/>
        </w:rPr>
        <w:t> </w:t>
      </w:r>
      <w:r w:rsidR="004D5AD1" w:rsidRPr="004D5AD1">
        <w:rPr>
          <w:noProof/>
        </w:rPr>
        <w:t>pro</w:t>
      </w:r>
      <w:r w:rsidRPr="004D5AD1">
        <w:rPr>
          <w:noProof/>
        </w:rPr>
        <w:t>gramem wykrywania nieszczelności</w:t>
      </w:r>
      <w:r w:rsidR="004D5AD1" w:rsidRPr="004D5AD1">
        <w:rPr>
          <w:noProof/>
        </w:rPr>
        <w:t xml:space="preserve"> i</w:t>
      </w:r>
      <w:r w:rsidR="004D5AD1">
        <w:rPr>
          <w:noProof/>
        </w:rPr>
        <w:t> </w:t>
      </w:r>
      <w:r w:rsidR="004D5AD1" w:rsidRPr="004D5AD1">
        <w:rPr>
          <w:noProof/>
        </w:rPr>
        <w:t>nap</w:t>
      </w:r>
      <w:r w:rsidRPr="004D5AD1">
        <w:rPr>
          <w:noProof/>
        </w:rPr>
        <w:t>rawy,</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 xml:space="preserve">1. </w:t>
      </w:r>
    </w:p>
    <w:p w14:paraId="47158570" w14:textId="65475361" w:rsidR="00F53740" w:rsidRPr="004D5AD1" w:rsidRDefault="00F53740" w:rsidP="00A5722C">
      <w:pPr>
        <w:rPr>
          <w:noProof/>
        </w:rPr>
      </w:pPr>
      <w:r w:rsidRPr="004D5AD1">
        <w:rPr>
          <w:noProof/>
        </w:rPr>
        <w:t>Następnie badanie mające na celu wykrywanie nieszczelności</w:t>
      </w:r>
      <w:r w:rsidR="004D5AD1" w:rsidRPr="004D5AD1">
        <w:rPr>
          <w:noProof/>
        </w:rPr>
        <w:t xml:space="preserve"> i</w:t>
      </w:r>
      <w:r w:rsidR="004D5AD1">
        <w:rPr>
          <w:noProof/>
        </w:rPr>
        <w:t> </w:t>
      </w:r>
      <w:r w:rsidR="004D5AD1" w:rsidRPr="004D5AD1">
        <w:rPr>
          <w:noProof/>
        </w:rPr>
        <w:t>nap</w:t>
      </w:r>
      <w:r w:rsidRPr="004D5AD1">
        <w:rPr>
          <w:noProof/>
        </w:rPr>
        <w:t xml:space="preserve">rawę powtarza się co trzy miesiące. </w:t>
      </w:r>
    </w:p>
    <w:p w14:paraId="03464B24" w14:textId="18452CE8" w:rsidR="00F53740" w:rsidRPr="004D5AD1" w:rsidRDefault="0021572B" w:rsidP="00E212DB">
      <w:pPr>
        <w:rPr>
          <w:noProof/>
        </w:rPr>
      </w:pPr>
      <w:r w:rsidRPr="004D5AD1">
        <w:rPr>
          <w:noProof/>
        </w:rPr>
        <w:t>3.</w:t>
      </w:r>
      <w:r w:rsidRPr="004D5AD1">
        <w:rPr>
          <w:noProof/>
        </w:rPr>
        <w:tab/>
        <w:t>Do przeprowadzenia badań operatorzy wykorzystują urządzenia umożliwiające wykrywanie utraty metanu</w:t>
      </w:r>
      <w:r w:rsidR="004D5AD1" w:rsidRPr="004D5AD1">
        <w:rPr>
          <w:noProof/>
        </w:rPr>
        <w:t xml:space="preserve"> z</w:t>
      </w:r>
      <w:r w:rsidR="004D5AD1">
        <w:rPr>
          <w:noProof/>
        </w:rPr>
        <w:t> </w:t>
      </w:r>
      <w:r w:rsidR="004D5AD1" w:rsidRPr="004D5AD1">
        <w:rPr>
          <w:noProof/>
        </w:rPr>
        <w:t>ele</w:t>
      </w:r>
      <w:r w:rsidRPr="004D5AD1">
        <w:rPr>
          <w:noProof/>
        </w:rPr>
        <w:t>mentów na poziomie co najmniej 500 części na milion.</w:t>
      </w:r>
    </w:p>
    <w:p w14:paraId="3ABD4CC4" w14:textId="1C057586" w:rsidR="00F53740" w:rsidRPr="004D5AD1" w:rsidRDefault="0021572B" w:rsidP="00E212DB">
      <w:pPr>
        <w:rPr>
          <w:noProof/>
        </w:rPr>
      </w:pPr>
      <w:r w:rsidRPr="004D5AD1">
        <w:rPr>
          <w:noProof/>
        </w:rPr>
        <w:t>4.</w:t>
      </w:r>
      <w:r w:rsidRPr="004D5AD1">
        <w:rPr>
          <w:noProof/>
        </w:rPr>
        <w:tab/>
        <w:t>Operatorzy naprawiają lub wymieniają wszystkie elementy,</w:t>
      </w:r>
      <w:r w:rsidR="004D5AD1" w:rsidRPr="004D5AD1">
        <w:rPr>
          <w:noProof/>
        </w:rPr>
        <w:t xml:space="preserve"> w</w:t>
      </w:r>
      <w:r w:rsidR="004D5AD1">
        <w:rPr>
          <w:noProof/>
        </w:rPr>
        <w:t> </w:t>
      </w:r>
      <w:r w:rsidR="004D5AD1" w:rsidRPr="004D5AD1">
        <w:rPr>
          <w:noProof/>
        </w:rPr>
        <w:t>któ</w:t>
      </w:r>
      <w:r w:rsidRPr="004D5AD1">
        <w:rPr>
          <w:noProof/>
        </w:rPr>
        <w:t xml:space="preserve">rych wykryto emisję metanu na poziomie co najmniej 500 części na milion. </w:t>
      </w:r>
    </w:p>
    <w:p w14:paraId="0B36C6E3" w14:textId="1FF01B21" w:rsidR="00F53740" w:rsidRPr="004D5AD1" w:rsidRDefault="00F53740" w:rsidP="00E212DB">
      <w:pPr>
        <w:rPr>
          <w:noProof/>
        </w:rPr>
      </w:pPr>
      <w:r w:rsidRPr="004D5AD1">
        <w:rPr>
          <w:noProof/>
        </w:rPr>
        <w:t>Naprawa lub wymiana elementów,</w:t>
      </w:r>
      <w:r w:rsidR="004D5AD1" w:rsidRPr="004D5AD1">
        <w:rPr>
          <w:noProof/>
        </w:rPr>
        <w:t xml:space="preserve"> o</w:t>
      </w:r>
      <w:r w:rsidR="004D5AD1">
        <w:rPr>
          <w:noProof/>
        </w:rPr>
        <w:t> </w:t>
      </w:r>
      <w:r w:rsidR="004D5AD1" w:rsidRPr="004D5AD1">
        <w:rPr>
          <w:noProof/>
        </w:rPr>
        <w:t>któ</w:t>
      </w:r>
      <w:r w:rsidRPr="004D5AD1">
        <w:rPr>
          <w:noProof/>
        </w:rPr>
        <w:t>rej mowa</w:t>
      </w:r>
      <w:r w:rsidR="004D5AD1" w:rsidRPr="004D5AD1">
        <w:rPr>
          <w:noProof/>
        </w:rPr>
        <w:t xml:space="preserve"> w</w:t>
      </w:r>
      <w:r w:rsidR="004D5AD1">
        <w:rPr>
          <w:noProof/>
        </w:rPr>
        <w:t> </w:t>
      </w:r>
      <w:r w:rsidR="004D5AD1" w:rsidRPr="004D5AD1">
        <w:rPr>
          <w:noProof/>
        </w:rPr>
        <w:t>aka</w:t>
      </w:r>
      <w:r w:rsidRPr="004D5AD1">
        <w:rPr>
          <w:noProof/>
        </w:rPr>
        <w:t>picie pierwszym, odbywa się natychmiast po wykryciu emisji lub</w:t>
      </w:r>
      <w:r w:rsidR="004D5AD1" w:rsidRPr="004D5AD1">
        <w:rPr>
          <w:noProof/>
        </w:rPr>
        <w:t xml:space="preserve"> w</w:t>
      </w:r>
      <w:r w:rsidR="004D5AD1">
        <w:rPr>
          <w:noProof/>
        </w:rPr>
        <w:t> </w:t>
      </w:r>
      <w:r w:rsidR="004D5AD1" w:rsidRPr="004D5AD1">
        <w:rPr>
          <w:noProof/>
        </w:rPr>
        <w:t>moż</w:t>
      </w:r>
      <w:r w:rsidRPr="004D5AD1">
        <w:rPr>
          <w:noProof/>
        </w:rPr>
        <w:t>liwie najszybszym terminie od wykrycia emisji, jednak nie później niż</w:t>
      </w:r>
      <w:r w:rsidR="004D5AD1" w:rsidRPr="004D5AD1">
        <w:rPr>
          <w:noProof/>
        </w:rPr>
        <w:t xml:space="preserve"> w</w:t>
      </w:r>
      <w:r w:rsidR="004D5AD1">
        <w:rPr>
          <w:noProof/>
        </w:rPr>
        <w:t> </w:t>
      </w:r>
      <w:r w:rsidR="004D5AD1" w:rsidRPr="004D5AD1">
        <w:rPr>
          <w:noProof/>
        </w:rPr>
        <w:t>ter</w:t>
      </w:r>
      <w:r w:rsidRPr="004D5AD1">
        <w:rPr>
          <w:noProof/>
        </w:rPr>
        <w:t>minie pięciu dni od jej wykrycia, pod warunkiem że operatorzy mogą wykazać, iż natychmiastowe działanie nie jest możliwe</w:t>
      </w:r>
      <w:r w:rsidR="004D5AD1" w:rsidRPr="004D5AD1">
        <w:rPr>
          <w:noProof/>
        </w:rPr>
        <w:t xml:space="preserve"> z</w:t>
      </w:r>
      <w:r w:rsidR="004D5AD1">
        <w:rPr>
          <w:noProof/>
        </w:rPr>
        <w:t> </w:t>
      </w:r>
      <w:r w:rsidR="004D5AD1" w:rsidRPr="004D5AD1">
        <w:rPr>
          <w:noProof/>
        </w:rPr>
        <w:t>uwa</w:t>
      </w:r>
      <w:r w:rsidRPr="004D5AD1">
        <w:rPr>
          <w:noProof/>
        </w:rPr>
        <w:t>gi na kwestie związane</w:t>
      </w:r>
      <w:r w:rsidR="004D5AD1" w:rsidRPr="004D5AD1">
        <w:rPr>
          <w:noProof/>
        </w:rPr>
        <w:t xml:space="preserve"> z</w:t>
      </w:r>
      <w:r w:rsidR="004D5AD1">
        <w:rPr>
          <w:noProof/>
        </w:rPr>
        <w:t> </w:t>
      </w:r>
      <w:r w:rsidR="004D5AD1" w:rsidRPr="004D5AD1">
        <w:rPr>
          <w:noProof/>
        </w:rPr>
        <w:t>bez</w:t>
      </w:r>
      <w:r w:rsidRPr="004D5AD1">
        <w:rPr>
          <w:noProof/>
        </w:rPr>
        <w:t>pieczeństwem lub kwestie techniczne, oraz pod warunkiem że operatorzy określą harmonogram napraw</w:t>
      </w:r>
      <w:r w:rsidR="004D5AD1" w:rsidRPr="004D5AD1">
        <w:rPr>
          <w:noProof/>
        </w:rPr>
        <w:t xml:space="preserve"> i</w:t>
      </w:r>
      <w:r w:rsidR="004D5AD1">
        <w:rPr>
          <w:noProof/>
        </w:rPr>
        <w:t> </w:t>
      </w:r>
      <w:r w:rsidR="004D5AD1" w:rsidRPr="004D5AD1">
        <w:rPr>
          <w:noProof/>
        </w:rPr>
        <w:t>mon</w:t>
      </w:r>
      <w:r w:rsidRPr="004D5AD1">
        <w:rPr>
          <w:noProof/>
        </w:rPr>
        <w:t xml:space="preserve">itorowania. </w:t>
      </w:r>
    </w:p>
    <w:p w14:paraId="4F78A81D" w14:textId="453B617C" w:rsidR="00F53740" w:rsidRPr="004D5AD1" w:rsidRDefault="00F53740" w:rsidP="00E212DB">
      <w:pPr>
        <w:rPr>
          <w:noProof/>
        </w:rPr>
      </w:pPr>
      <w:r w:rsidRPr="004D5AD1">
        <w:rPr>
          <w:noProof/>
        </w:rPr>
        <w:t>Kwestie związane</w:t>
      </w:r>
      <w:r w:rsidR="004D5AD1" w:rsidRPr="004D5AD1">
        <w:rPr>
          <w:noProof/>
        </w:rPr>
        <w:t xml:space="preserve"> z</w:t>
      </w:r>
      <w:r w:rsidR="004D5AD1">
        <w:rPr>
          <w:noProof/>
        </w:rPr>
        <w:t> </w:t>
      </w:r>
      <w:r w:rsidR="004D5AD1" w:rsidRPr="004D5AD1">
        <w:rPr>
          <w:noProof/>
        </w:rPr>
        <w:t>bez</w:t>
      </w:r>
      <w:r w:rsidRPr="004D5AD1">
        <w:rPr>
          <w:noProof/>
        </w:rPr>
        <w:t>pieczeństwem</w:t>
      </w:r>
      <w:r w:rsidR="004D5AD1" w:rsidRPr="004D5AD1">
        <w:rPr>
          <w:noProof/>
        </w:rPr>
        <w:t xml:space="preserve"> i</w:t>
      </w:r>
      <w:r w:rsidR="004D5AD1">
        <w:rPr>
          <w:noProof/>
        </w:rPr>
        <w:t> </w:t>
      </w:r>
      <w:r w:rsidR="004D5AD1" w:rsidRPr="004D5AD1">
        <w:rPr>
          <w:noProof/>
        </w:rPr>
        <w:t>kwe</w:t>
      </w:r>
      <w:r w:rsidRPr="004D5AD1">
        <w:rPr>
          <w:noProof/>
        </w:rPr>
        <w:t>stie techniczne uniemożliwiające podjęcie natychmiastowych działań,</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aka</w:t>
      </w:r>
      <w:r w:rsidRPr="004D5AD1">
        <w:rPr>
          <w:noProof/>
        </w:rPr>
        <w:t>picie drugim, są ograniczone do kwestii bezpieczeństwa pracowników</w:t>
      </w:r>
      <w:r w:rsidR="004D5AD1" w:rsidRPr="004D5AD1">
        <w:rPr>
          <w:noProof/>
        </w:rPr>
        <w:t xml:space="preserve"> i</w:t>
      </w:r>
      <w:r w:rsidR="004D5AD1">
        <w:rPr>
          <w:noProof/>
        </w:rPr>
        <w:t> </w:t>
      </w:r>
      <w:r w:rsidR="004D5AD1" w:rsidRPr="004D5AD1">
        <w:rPr>
          <w:noProof/>
        </w:rPr>
        <w:t>osó</w:t>
      </w:r>
      <w:r w:rsidRPr="004D5AD1">
        <w:rPr>
          <w:noProof/>
        </w:rPr>
        <w:t>b znajdujących się</w:t>
      </w:r>
      <w:r w:rsidR="004D5AD1" w:rsidRPr="004D5AD1">
        <w:rPr>
          <w:noProof/>
        </w:rPr>
        <w:t xml:space="preserve"> w</w:t>
      </w:r>
      <w:r w:rsidR="004D5AD1">
        <w:rPr>
          <w:noProof/>
        </w:rPr>
        <w:t> </w:t>
      </w:r>
      <w:r w:rsidR="004D5AD1" w:rsidRPr="004D5AD1">
        <w:rPr>
          <w:noProof/>
        </w:rPr>
        <w:t>pob</w:t>
      </w:r>
      <w:r w:rsidRPr="004D5AD1">
        <w:rPr>
          <w:noProof/>
        </w:rPr>
        <w:t>liżu, wpływu na środowisko, stężenia utraty metanu, możliwości dostępu do danego elementu</w:t>
      </w:r>
      <w:r w:rsidR="004D5AD1" w:rsidRPr="004D5AD1">
        <w:rPr>
          <w:noProof/>
        </w:rPr>
        <w:t xml:space="preserve"> i</w:t>
      </w:r>
      <w:r w:rsidR="004D5AD1">
        <w:rPr>
          <w:noProof/>
        </w:rPr>
        <w:t> </w:t>
      </w:r>
      <w:r w:rsidR="004D5AD1" w:rsidRPr="004D5AD1">
        <w:rPr>
          <w:noProof/>
        </w:rPr>
        <w:t>moż</w:t>
      </w:r>
      <w:r w:rsidRPr="004D5AD1">
        <w:rPr>
          <w:noProof/>
        </w:rPr>
        <w:t>liwości wymiany elementu. Kwestie związane</w:t>
      </w:r>
      <w:r w:rsidR="004D5AD1" w:rsidRPr="004D5AD1">
        <w:rPr>
          <w:noProof/>
        </w:rPr>
        <w:t xml:space="preserve"> z</w:t>
      </w:r>
      <w:r w:rsidR="004D5AD1">
        <w:rPr>
          <w:noProof/>
        </w:rPr>
        <w:t> </w:t>
      </w:r>
      <w:r w:rsidR="004D5AD1" w:rsidRPr="004D5AD1">
        <w:rPr>
          <w:noProof/>
        </w:rPr>
        <w:t>wpł</w:t>
      </w:r>
      <w:r w:rsidRPr="004D5AD1">
        <w:rPr>
          <w:noProof/>
        </w:rPr>
        <w:t>ywem na środowisko mogą obejmować przypadki,</w:t>
      </w:r>
      <w:r w:rsidR="004D5AD1" w:rsidRPr="004D5AD1">
        <w:rPr>
          <w:noProof/>
        </w:rPr>
        <w:t xml:space="preserve"> w</w:t>
      </w:r>
      <w:r w:rsidR="004D5AD1">
        <w:rPr>
          <w:noProof/>
        </w:rPr>
        <w:t> </w:t>
      </w:r>
      <w:r w:rsidR="004D5AD1" w:rsidRPr="004D5AD1">
        <w:rPr>
          <w:noProof/>
        </w:rPr>
        <w:t>któ</w:t>
      </w:r>
      <w:r w:rsidRPr="004D5AD1">
        <w:rPr>
          <w:noProof/>
        </w:rPr>
        <w:t xml:space="preserve">rych naprawa może prowadzić do wyższego poziomu emisji metanu niż brak naprawy. </w:t>
      </w:r>
    </w:p>
    <w:p w14:paraId="24D2242A" w14:textId="2760D7A2" w:rsidR="004E7080" w:rsidRPr="004D5AD1" w:rsidRDefault="004E7080" w:rsidP="00E212DB">
      <w:pPr>
        <w:rPr>
          <w:noProof/>
        </w:rPr>
      </w:pPr>
      <w:r w:rsidRPr="004D5AD1">
        <w:rPr>
          <w:noProof/>
        </w:rPr>
        <w:t>Jeżeli naprawa lub wymiana wymaga uprzedniego wyłączenia systemu, operatorzy minimalizują nieszczelność</w:t>
      </w:r>
      <w:r w:rsidR="004D5AD1" w:rsidRPr="004D5AD1">
        <w:rPr>
          <w:noProof/>
        </w:rPr>
        <w:t xml:space="preserve"> w</w:t>
      </w:r>
      <w:r w:rsidR="004D5AD1">
        <w:rPr>
          <w:noProof/>
        </w:rPr>
        <w:t> </w:t>
      </w:r>
      <w:r w:rsidR="004D5AD1" w:rsidRPr="004D5AD1">
        <w:rPr>
          <w:noProof/>
        </w:rPr>
        <w:t>cią</w:t>
      </w:r>
      <w:r w:rsidRPr="004D5AD1">
        <w:rPr>
          <w:noProof/>
        </w:rPr>
        <w:t>gu jednego dnia od jej wykrycia</w:t>
      </w:r>
      <w:r w:rsidR="004D5AD1" w:rsidRPr="004D5AD1">
        <w:rPr>
          <w:noProof/>
        </w:rPr>
        <w:t xml:space="preserve"> i</w:t>
      </w:r>
      <w:r w:rsidR="004D5AD1">
        <w:rPr>
          <w:noProof/>
        </w:rPr>
        <w:t> </w:t>
      </w:r>
      <w:r w:rsidR="004D5AD1" w:rsidRPr="004D5AD1">
        <w:rPr>
          <w:noProof/>
        </w:rPr>
        <w:t>nap</w:t>
      </w:r>
      <w:r w:rsidRPr="004D5AD1">
        <w:rPr>
          <w:noProof/>
        </w:rPr>
        <w:t>rawiają ją do końca kolejnego zaplanowanego wyłączenia systemu lub</w:t>
      </w:r>
      <w:r w:rsidR="004D5AD1" w:rsidRPr="004D5AD1">
        <w:rPr>
          <w:noProof/>
        </w:rPr>
        <w:t xml:space="preserve"> w</w:t>
      </w:r>
      <w:r w:rsidR="004D5AD1">
        <w:rPr>
          <w:noProof/>
        </w:rPr>
        <w:t> </w:t>
      </w:r>
      <w:r w:rsidR="004D5AD1" w:rsidRPr="004D5AD1">
        <w:rPr>
          <w:noProof/>
        </w:rPr>
        <w:t>ter</w:t>
      </w:r>
      <w:r w:rsidRPr="004D5AD1">
        <w:rPr>
          <w:noProof/>
        </w:rPr>
        <w:t>minie jednego roku,</w:t>
      </w:r>
      <w:r w:rsidR="004D5AD1" w:rsidRPr="004D5AD1">
        <w:rPr>
          <w:noProof/>
        </w:rPr>
        <w:t xml:space="preserve"> w</w:t>
      </w:r>
      <w:r w:rsidR="004D5AD1">
        <w:rPr>
          <w:noProof/>
        </w:rPr>
        <w:t> </w:t>
      </w:r>
      <w:r w:rsidR="004D5AD1" w:rsidRPr="004D5AD1">
        <w:rPr>
          <w:noProof/>
        </w:rPr>
        <w:t>zal</w:t>
      </w:r>
      <w:r w:rsidRPr="004D5AD1">
        <w:rPr>
          <w:noProof/>
        </w:rPr>
        <w:t>eżności od tego, co nastąpi wcześniej.</w:t>
      </w:r>
    </w:p>
    <w:p w14:paraId="083D0044" w14:textId="4DD0A2B4" w:rsidR="0021572B" w:rsidRPr="004D5AD1" w:rsidRDefault="0021572B" w:rsidP="0021572B">
      <w:pPr>
        <w:rPr>
          <w:noProof/>
        </w:rPr>
      </w:pPr>
      <w:r w:rsidRPr="004D5AD1">
        <w:rPr>
          <w:noProof/>
        </w:rPr>
        <w:t>5.</w:t>
      </w:r>
      <w:r w:rsidRPr="004D5AD1">
        <w:rPr>
          <w:noProof/>
        </w:rPr>
        <w:tab/>
        <w:t>Niezależnie od ust.</w:t>
      </w:r>
      <w:r w:rsidR="004D5AD1" w:rsidRPr="004D5AD1">
        <w:rPr>
          <w:noProof/>
        </w:rPr>
        <w:t> </w:t>
      </w:r>
      <w:r w:rsidRPr="004D5AD1">
        <w:rPr>
          <w:noProof/>
        </w:rPr>
        <w:t>2 operatorzy przeprowadzają badanie elementów,</w:t>
      </w:r>
      <w:r w:rsidR="004D5AD1" w:rsidRPr="004D5AD1">
        <w:rPr>
          <w:noProof/>
        </w:rPr>
        <w:t xml:space="preserve"> w</w:t>
      </w:r>
      <w:r w:rsidR="004D5AD1">
        <w:rPr>
          <w:noProof/>
        </w:rPr>
        <w:t> </w:t>
      </w:r>
      <w:r w:rsidR="004D5AD1" w:rsidRPr="004D5AD1">
        <w:rPr>
          <w:noProof/>
        </w:rPr>
        <w:t>któ</w:t>
      </w:r>
      <w:r w:rsidRPr="004D5AD1">
        <w:rPr>
          <w:noProof/>
        </w:rPr>
        <w:t>rych podczas któregokolwiek</w:t>
      </w:r>
      <w:r w:rsidR="004D5AD1" w:rsidRPr="004D5AD1">
        <w:rPr>
          <w:noProof/>
        </w:rPr>
        <w:t xml:space="preserve"> z</w:t>
      </w:r>
      <w:r w:rsidR="004D5AD1">
        <w:rPr>
          <w:noProof/>
        </w:rPr>
        <w:t> </w:t>
      </w:r>
      <w:r w:rsidR="004D5AD1" w:rsidRPr="004D5AD1">
        <w:rPr>
          <w:noProof/>
        </w:rPr>
        <w:t>pop</w:t>
      </w:r>
      <w:r w:rsidRPr="004D5AD1">
        <w:rPr>
          <w:noProof/>
        </w:rPr>
        <w:t>rzednich badań stwierdzono emisję metanu na poziomie co najmniej 500 części na milion, możliwie jak najszybciej po naprawie przeprowadzonej na podstawie ust.</w:t>
      </w:r>
      <w:r w:rsidR="004D5AD1" w:rsidRPr="004D5AD1">
        <w:rPr>
          <w:noProof/>
        </w:rPr>
        <w:t> </w:t>
      </w:r>
      <w:r w:rsidRPr="004D5AD1">
        <w:rPr>
          <w:noProof/>
        </w:rPr>
        <w:t>4</w:t>
      </w:r>
      <w:r w:rsidR="004D5AD1" w:rsidRPr="004D5AD1">
        <w:rPr>
          <w:noProof/>
        </w:rPr>
        <w:t xml:space="preserve"> i</w:t>
      </w:r>
      <w:r w:rsidR="004D5AD1">
        <w:rPr>
          <w:noProof/>
        </w:rPr>
        <w:t> </w:t>
      </w:r>
      <w:r w:rsidR="004D5AD1" w:rsidRPr="004D5AD1">
        <w:rPr>
          <w:noProof/>
        </w:rPr>
        <w:t>nie</w:t>
      </w:r>
      <w:r w:rsidRPr="004D5AD1">
        <w:rPr>
          <w:noProof/>
        </w:rPr>
        <w:t xml:space="preserve"> później niż 15 dni po naprawie, aby potwierdzić, że naprawa zakończyła się pomyślnie. </w:t>
      </w:r>
    </w:p>
    <w:p w14:paraId="273FD3D9" w14:textId="6812458D" w:rsidR="0021572B" w:rsidRPr="004D5AD1" w:rsidRDefault="0021572B" w:rsidP="0021572B">
      <w:pPr>
        <w:rPr>
          <w:noProof/>
        </w:rPr>
      </w:pPr>
      <w:r w:rsidRPr="004D5AD1">
        <w:rPr>
          <w:noProof/>
        </w:rPr>
        <w:t>Niezależnie od ust.</w:t>
      </w:r>
      <w:r w:rsidR="004D5AD1" w:rsidRPr="004D5AD1">
        <w:rPr>
          <w:noProof/>
        </w:rPr>
        <w:t> </w:t>
      </w:r>
      <w:r w:rsidRPr="004D5AD1">
        <w:rPr>
          <w:noProof/>
        </w:rPr>
        <w:t>2 operatorzy przeprowadzają badanie elementów,</w:t>
      </w:r>
      <w:r w:rsidR="004D5AD1" w:rsidRPr="004D5AD1">
        <w:rPr>
          <w:noProof/>
        </w:rPr>
        <w:t xml:space="preserve"> w</w:t>
      </w:r>
      <w:r w:rsidR="004D5AD1">
        <w:rPr>
          <w:noProof/>
        </w:rPr>
        <w:t> </w:t>
      </w:r>
      <w:r w:rsidR="004D5AD1" w:rsidRPr="004D5AD1">
        <w:rPr>
          <w:noProof/>
        </w:rPr>
        <w:t>któ</w:t>
      </w:r>
      <w:r w:rsidRPr="004D5AD1">
        <w:rPr>
          <w:noProof/>
        </w:rPr>
        <w:t>rych stwierdzono emisję metanu na poziomie poniżej 500 części na milion, nie później niż trzy miesiące po wykryciu emisji,</w:t>
      </w:r>
      <w:r w:rsidR="004D5AD1" w:rsidRPr="004D5AD1">
        <w:rPr>
          <w:noProof/>
        </w:rPr>
        <w:t xml:space="preserve"> w</w:t>
      </w:r>
      <w:r w:rsidR="004D5AD1">
        <w:rPr>
          <w:noProof/>
        </w:rPr>
        <w:t> </w:t>
      </w:r>
      <w:r w:rsidR="004D5AD1" w:rsidRPr="004D5AD1">
        <w:rPr>
          <w:noProof/>
        </w:rPr>
        <w:t>cel</w:t>
      </w:r>
      <w:r w:rsidRPr="004D5AD1">
        <w:rPr>
          <w:noProof/>
        </w:rPr>
        <w:t>u sprawdzenia, czy wielkość utraty metanu uległa zmianie.</w:t>
      </w:r>
      <w:r w:rsidR="004D5AD1" w:rsidRPr="004D5AD1">
        <w:rPr>
          <w:noProof/>
        </w:rPr>
        <w:t xml:space="preserve"> </w:t>
      </w:r>
    </w:p>
    <w:p w14:paraId="6EA38DBA" w14:textId="717D5FB3" w:rsidR="0021572B" w:rsidRPr="004D5AD1" w:rsidRDefault="0021572B" w:rsidP="00E212DB">
      <w:pPr>
        <w:rPr>
          <w:noProof/>
        </w:rPr>
      </w:pPr>
      <w:r w:rsidRPr="004D5AD1">
        <w:rPr>
          <w:noProof/>
        </w:rPr>
        <w:t>W przypadku stwierdzenia wyższego ryzyka dla bezpieczeństwa lub wyższego ryzyka utraty metanu właściwe organy mogą zalecić zwiększenie częstotliwości badań</w:t>
      </w:r>
      <w:r w:rsidR="004D5AD1" w:rsidRPr="004D5AD1">
        <w:rPr>
          <w:noProof/>
        </w:rPr>
        <w:t xml:space="preserve"> w</w:t>
      </w:r>
      <w:r w:rsidR="004D5AD1">
        <w:rPr>
          <w:noProof/>
        </w:rPr>
        <w:t> </w:t>
      </w:r>
      <w:r w:rsidR="004D5AD1" w:rsidRPr="004D5AD1">
        <w:rPr>
          <w:noProof/>
        </w:rPr>
        <w:t>odn</w:t>
      </w:r>
      <w:r w:rsidRPr="004D5AD1">
        <w:rPr>
          <w:noProof/>
        </w:rPr>
        <w:t xml:space="preserve">iesieniu do odpowiednich elementów. </w:t>
      </w:r>
    </w:p>
    <w:p w14:paraId="4FDAC2ED" w14:textId="05F81907" w:rsidR="00F53740" w:rsidRPr="004D5AD1" w:rsidRDefault="00F53740" w:rsidP="00E212DB">
      <w:pPr>
        <w:rPr>
          <w:noProof/>
        </w:rPr>
      </w:pPr>
      <w:r w:rsidRPr="004D5AD1">
        <w:rPr>
          <w:noProof/>
        </w:rPr>
        <w:t>6.</w:t>
      </w:r>
      <w:r w:rsidRPr="004D5AD1">
        <w:rPr>
          <w:noProof/>
        </w:rPr>
        <w:tab/>
        <w:t>Bez uszczerbku dla obowiązków sprawozdawczych na podstawie ust.</w:t>
      </w:r>
      <w:r w:rsidR="004D5AD1" w:rsidRPr="004D5AD1">
        <w:rPr>
          <w:noProof/>
        </w:rPr>
        <w:t> </w:t>
      </w:r>
      <w:r w:rsidRPr="004D5AD1">
        <w:rPr>
          <w:noProof/>
        </w:rPr>
        <w:t>7 operatorzy dokumentują wszystkie zidentyfikowane przypadki nieszczelności, niezależnie od ich wielkości,</w:t>
      </w:r>
      <w:r w:rsidR="004D5AD1" w:rsidRPr="004D5AD1">
        <w:rPr>
          <w:noProof/>
        </w:rPr>
        <w:t xml:space="preserve"> i</w:t>
      </w:r>
      <w:r w:rsidR="004D5AD1">
        <w:rPr>
          <w:noProof/>
        </w:rPr>
        <w:t> </w:t>
      </w:r>
      <w:r w:rsidR="004D5AD1" w:rsidRPr="004D5AD1">
        <w:rPr>
          <w:noProof/>
        </w:rPr>
        <w:t>reg</w:t>
      </w:r>
      <w:r w:rsidRPr="004D5AD1">
        <w:rPr>
          <w:noProof/>
        </w:rPr>
        <w:t>ularnie przeprowadzają badania tych nieszczelności</w:t>
      </w:r>
      <w:r w:rsidR="004D5AD1" w:rsidRPr="004D5AD1">
        <w:rPr>
          <w:noProof/>
        </w:rPr>
        <w:t xml:space="preserve"> w</w:t>
      </w:r>
      <w:r w:rsidR="004D5AD1">
        <w:rPr>
          <w:noProof/>
        </w:rPr>
        <w:t> </w:t>
      </w:r>
      <w:r w:rsidR="004D5AD1" w:rsidRPr="004D5AD1">
        <w:rPr>
          <w:noProof/>
        </w:rPr>
        <w:t>cel</w:t>
      </w:r>
      <w:r w:rsidRPr="004D5AD1">
        <w:rPr>
          <w:noProof/>
        </w:rPr>
        <w:t>u zapewnienia ich naprawy zgodnie</w:t>
      </w:r>
      <w:r w:rsidR="004D5AD1" w:rsidRPr="004D5AD1">
        <w:rPr>
          <w:noProof/>
        </w:rPr>
        <w:t xml:space="preserve"> z</w:t>
      </w:r>
      <w:r w:rsidR="004D5AD1">
        <w:rPr>
          <w:noProof/>
        </w:rPr>
        <w:t> </w:t>
      </w:r>
      <w:r w:rsidR="004D5AD1" w:rsidRPr="004D5AD1">
        <w:rPr>
          <w:noProof/>
        </w:rPr>
        <w:t>ust</w:t>
      </w:r>
      <w:r w:rsidRPr="004D5AD1">
        <w:rPr>
          <w:noProof/>
        </w:rPr>
        <w:t>.</w:t>
      </w:r>
      <w:r w:rsidR="004D5AD1" w:rsidRPr="004D5AD1">
        <w:rPr>
          <w:noProof/>
        </w:rPr>
        <w:t> </w:t>
      </w:r>
      <w:r w:rsidRPr="004D5AD1">
        <w:rPr>
          <w:noProof/>
        </w:rPr>
        <w:t>4.</w:t>
      </w:r>
    </w:p>
    <w:p w14:paraId="1674D731" w14:textId="6BD6AAFA" w:rsidR="00F53740" w:rsidRPr="004D5AD1" w:rsidRDefault="00F53740" w:rsidP="00E212DB">
      <w:pPr>
        <w:rPr>
          <w:noProof/>
        </w:rPr>
      </w:pPr>
      <w:r w:rsidRPr="004D5AD1">
        <w:rPr>
          <w:noProof/>
        </w:rPr>
        <w:t>Operatorzy przechowują tę dokumentację przez co najmniej dziesięć lat</w:t>
      </w:r>
      <w:r w:rsidR="004D5AD1" w:rsidRPr="004D5AD1">
        <w:rPr>
          <w:noProof/>
        </w:rPr>
        <w:t xml:space="preserve"> i</w:t>
      </w:r>
      <w:r w:rsidR="004D5AD1">
        <w:rPr>
          <w:noProof/>
        </w:rPr>
        <w:t> </w:t>
      </w:r>
      <w:r w:rsidR="004D5AD1" w:rsidRPr="004D5AD1">
        <w:rPr>
          <w:noProof/>
        </w:rPr>
        <w:t>prz</w:t>
      </w:r>
      <w:r w:rsidRPr="004D5AD1">
        <w:rPr>
          <w:noProof/>
        </w:rPr>
        <w:t xml:space="preserve">ekazują stosowne informacje właściwym organom na żądanie. </w:t>
      </w:r>
    </w:p>
    <w:p w14:paraId="1B702528" w14:textId="7C5BCB9A" w:rsidR="00F53740" w:rsidRPr="004D5AD1" w:rsidRDefault="00F53740" w:rsidP="00E212DB">
      <w:pPr>
        <w:rPr>
          <w:noProof/>
        </w:rPr>
      </w:pPr>
      <w:r w:rsidRPr="004D5AD1">
        <w:rPr>
          <w:noProof/>
        </w:rPr>
        <w:t>7.</w:t>
      </w:r>
      <w:r w:rsidRPr="004D5AD1">
        <w:rPr>
          <w:noProof/>
        </w:rPr>
        <w:tab/>
        <w:t>W terminie miesiąca po każdym badaniu operatorzy przedkładają sprawozdanie zawierające wyniki badania oraz harmonogram napraw</w:t>
      </w:r>
      <w:r w:rsidR="004D5AD1" w:rsidRPr="004D5AD1">
        <w:rPr>
          <w:noProof/>
        </w:rPr>
        <w:t xml:space="preserve"> i</w:t>
      </w:r>
      <w:r w:rsidR="004D5AD1">
        <w:rPr>
          <w:noProof/>
        </w:rPr>
        <w:t> </w:t>
      </w:r>
      <w:r w:rsidR="004D5AD1" w:rsidRPr="004D5AD1">
        <w:rPr>
          <w:noProof/>
        </w:rPr>
        <w:t>mon</w:t>
      </w:r>
      <w:r w:rsidRPr="004D5AD1">
        <w:rPr>
          <w:noProof/>
        </w:rPr>
        <w:t>itorowania właściwym organom państwa członkowskiego,</w:t>
      </w:r>
      <w:r w:rsidR="004D5AD1" w:rsidRPr="004D5AD1">
        <w:rPr>
          <w:noProof/>
        </w:rPr>
        <w:t xml:space="preserve"> w</w:t>
      </w:r>
      <w:r w:rsidR="004D5AD1">
        <w:rPr>
          <w:noProof/>
        </w:rPr>
        <w:t> </w:t>
      </w:r>
      <w:r w:rsidR="004D5AD1" w:rsidRPr="004D5AD1">
        <w:rPr>
          <w:noProof/>
        </w:rPr>
        <w:t>któ</w:t>
      </w:r>
      <w:r w:rsidRPr="004D5AD1">
        <w:rPr>
          <w:noProof/>
        </w:rPr>
        <w:t>rym znajdują się odpowiednie aktywa. Sprawozdanie to zawiera co najmniej elementy określone</w:t>
      </w:r>
      <w:r w:rsidR="004D5AD1" w:rsidRPr="004D5AD1">
        <w:rPr>
          <w:noProof/>
        </w:rPr>
        <w:t xml:space="preserve"> w</w:t>
      </w:r>
      <w:r w:rsidR="004D5AD1">
        <w:rPr>
          <w:noProof/>
        </w:rPr>
        <w:t> </w:t>
      </w:r>
      <w:r w:rsidR="004D5AD1" w:rsidRPr="004D5AD1">
        <w:rPr>
          <w:noProof/>
        </w:rPr>
        <w:t>zał</w:t>
      </w:r>
      <w:r w:rsidRPr="004D5AD1">
        <w:rPr>
          <w:noProof/>
        </w:rPr>
        <w:t>ączniku I.</w:t>
      </w:r>
    </w:p>
    <w:p w14:paraId="384E2568" w14:textId="4903D9E5" w:rsidR="00F53740" w:rsidRPr="004D5AD1" w:rsidRDefault="00F53740" w:rsidP="00E212DB">
      <w:pPr>
        <w:rPr>
          <w:noProof/>
        </w:rPr>
      </w:pPr>
      <w:r w:rsidRPr="004D5AD1">
        <w:rPr>
          <w:noProof/>
        </w:rPr>
        <w:t>Właściwe organy mogą zażądać od operatora zmiany sprawozdania lub harmonogramu napraw</w:t>
      </w:r>
      <w:r w:rsidR="004D5AD1" w:rsidRPr="004D5AD1">
        <w:rPr>
          <w:noProof/>
        </w:rPr>
        <w:t xml:space="preserve"> i</w:t>
      </w:r>
      <w:r w:rsidR="004D5AD1">
        <w:rPr>
          <w:noProof/>
        </w:rPr>
        <w:t> </w:t>
      </w:r>
      <w:r w:rsidR="004D5AD1" w:rsidRPr="004D5AD1">
        <w:rPr>
          <w:noProof/>
        </w:rPr>
        <w:t>mon</w:t>
      </w:r>
      <w:r w:rsidRPr="004D5AD1">
        <w:rPr>
          <w:noProof/>
        </w:rPr>
        <w:t>itorowania</w:t>
      </w:r>
      <w:r w:rsidR="004D5AD1" w:rsidRPr="004D5AD1">
        <w:rPr>
          <w:noProof/>
        </w:rPr>
        <w:t xml:space="preserve"> z</w:t>
      </w:r>
      <w:r w:rsidR="004D5AD1">
        <w:rPr>
          <w:noProof/>
        </w:rPr>
        <w:t> </w:t>
      </w:r>
      <w:r w:rsidR="004D5AD1" w:rsidRPr="004D5AD1">
        <w:rPr>
          <w:noProof/>
        </w:rPr>
        <w:t>uwz</w:t>
      </w:r>
      <w:r w:rsidRPr="004D5AD1">
        <w:rPr>
          <w:noProof/>
        </w:rPr>
        <w:t xml:space="preserve">ględnieniem wymogów niniejszego rozporządzenia. </w:t>
      </w:r>
    </w:p>
    <w:p w14:paraId="28FDD143" w14:textId="6318C575" w:rsidR="00F53740" w:rsidRPr="004D5AD1" w:rsidRDefault="00F53740" w:rsidP="00E212DB">
      <w:pPr>
        <w:rPr>
          <w:noProof/>
        </w:rPr>
      </w:pPr>
      <w:r w:rsidRPr="004D5AD1">
        <w:rPr>
          <w:noProof/>
        </w:rPr>
        <w:t>8.</w:t>
      </w:r>
      <w:r w:rsidRPr="004D5AD1">
        <w:rPr>
          <w:noProof/>
        </w:rPr>
        <w:tab/>
        <w:t>Operatorzy mogą delegować każde</w:t>
      </w:r>
      <w:r w:rsidR="004D5AD1" w:rsidRPr="004D5AD1">
        <w:rPr>
          <w:noProof/>
        </w:rPr>
        <w:t xml:space="preserve"> z</w:t>
      </w:r>
      <w:r w:rsidR="004D5AD1">
        <w:rPr>
          <w:noProof/>
        </w:rPr>
        <w:t> </w:t>
      </w:r>
      <w:r w:rsidR="004D5AD1" w:rsidRPr="004D5AD1">
        <w:rPr>
          <w:noProof/>
        </w:rPr>
        <w:t>zad</w:t>
      </w:r>
      <w:r w:rsidRPr="004D5AD1">
        <w:rPr>
          <w:noProof/>
        </w:rPr>
        <w:t>ań określonych</w:t>
      </w:r>
      <w:r w:rsidR="004D5AD1" w:rsidRPr="004D5AD1">
        <w:rPr>
          <w:noProof/>
        </w:rPr>
        <w:t xml:space="preserve"> w</w:t>
      </w:r>
      <w:r w:rsidR="004D5AD1">
        <w:rPr>
          <w:noProof/>
        </w:rPr>
        <w:t> </w:t>
      </w:r>
      <w:r w:rsidR="004D5AD1" w:rsidRPr="004D5AD1">
        <w:rPr>
          <w:noProof/>
        </w:rPr>
        <w:t>nin</w:t>
      </w:r>
      <w:r w:rsidRPr="004D5AD1">
        <w:rPr>
          <w:noProof/>
        </w:rPr>
        <w:t>iejszym artykule. Delegowane zadania nie wpływają na obowiązki operatorów ani na skuteczność nadzoru sprawowanego przez właściwe organy.</w:t>
      </w:r>
    </w:p>
    <w:p w14:paraId="2C51BFF2" w14:textId="7A194835" w:rsidR="00F53740" w:rsidRPr="004D5AD1" w:rsidRDefault="00F53740" w:rsidP="00E212DB">
      <w:pPr>
        <w:rPr>
          <w:noProof/>
        </w:rPr>
      </w:pPr>
      <w:r w:rsidRPr="004D5AD1">
        <w:rPr>
          <w:noProof/>
        </w:rPr>
        <w:t>9.</w:t>
      </w:r>
      <w:r w:rsidRPr="004D5AD1">
        <w:rPr>
          <w:noProof/>
        </w:rPr>
        <w:tab/>
        <w:t>Państwa członkowskie zapewniają, aby systemy certyfikacji, akredytacji lub równoważne systemy kwalifikacji,</w:t>
      </w:r>
      <w:r w:rsidR="004D5AD1" w:rsidRPr="004D5AD1">
        <w:rPr>
          <w:noProof/>
        </w:rPr>
        <w:t xml:space="preserve"> w</w:t>
      </w:r>
      <w:r w:rsidR="004D5AD1">
        <w:rPr>
          <w:noProof/>
        </w:rPr>
        <w:t> </w:t>
      </w:r>
      <w:r w:rsidR="004D5AD1" w:rsidRPr="004D5AD1">
        <w:rPr>
          <w:noProof/>
        </w:rPr>
        <w:t>tym</w:t>
      </w:r>
      <w:r w:rsidRPr="004D5AD1">
        <w:rPr>
          <w:noProof/>
        </w:rPr>
        <w:t xml:space="preserve"> odpowiednie programy szkoleniowe, były dostępne dla dostawców usług</w:t>
      </w:r>
      <w:r w:rsidR="004D5AD1" w:rsidRPr="004D5AD1">
        <w:rPr>
          <w:noProof/>
        </w:rPr>
        <w:t xml:space="preserve"> w</w:t>
      </w:r>
      <w:r w:rsidR="004D5AD1">
        <w:rPr>
          <w:noProof/>
        </w:rPr>
        <w:t> </w:t>
      </w:r>
      <w:r w:rsidR="004D5AD1" w:rsidRPr="004D5AD1">
        <w:rPr>
          <w:noProof/>
        </w:rPr>
        <w:t>odn</w:t>
      </w:r>
      <w:r w:rsidRPr="004D5AD1">
        <w:rPr>
          <w:noProof/>
        </w:rPr>
        <w:t xml:space="preserve">iesieniu do badań. </w:t>
      </w:r>
    </w:p>
    <w:p w14:paraId="573D8120" w14:textId="51CB8DA7" w:rsidR="00F53740" w:rsidRPr="004D5AD1" w:rsidRDefault="00F53740" w:rsidP="00F53740">
      <w:pPr>
        <w:pStyle w:val="NormalCentered"/>
        <w:jc w:val="both"/>
        <w:rPr>
          <w:noProof/>
        </w:rPr>
      </w:pPr>
    </w:p>
    <w:p w14:paraId="6D8F9D23" w14:textId="77777777" w:rsidR="00E212DB" w:rsidRPr="004D5AD1" w:rsidRDefault="00E212DB" w:rsidP="00E212DB">
      <w:pPr>
        <w:pStyle w:val="Titrearticle"/>
        <w:rPr>
          <w:noProof/>
          <w:szCs w:val="24"/>
        </w:rPr>
      </w:pPr>
      <w:r w:rsidRPr="004D5AD1">
        <w:rPr>
          <w:noProof/>
        </w:rPr>
        <w:t>Artykuł 15</w:t>
      </w:r>
    </w:p>
    <w:p w14:paraId="398C32DD" w14:textId="59CB14E2" w:rsidR="00E212DB" w:rsidRPr="004D5AD1" w:rsidRDefault="00E212DB" w:rsidP="00E212DB">
      <w:pPr>
        <w:jc w:val="center"/>
        <w:rPr>
          <w:b/>
          <w:noProof/>
          <w:szCs w:val="24"/>
        </w:rPr>
      </w:pPr>
      <w:r w:rsidRPr="004D5AD1">
        <w:rPr>
          <w:b/>
          <w:noProof/>
          <w:szCs w:val="24"/>
        </w:rPr>
        <w:t>Ograniczenia dotyczące uwalniania do atmosfery</w:t>
      </w:r>
      <w:r w:rsidR="004D5AD1" w:rsidRPr="004D5AD1">
        <w:rPr>
          <w:b/>
          <w:noProof/>
          <w:szCs w:val="24"/>
        </w:rPr>
        <w:t xml:space="preserve"> i</w:t>
      </w:r>
      <w:r w:rsidR="004D5AD1">
        <w:rPr>
          <w:b/>
          <w:noProof/>
          <w:szCs w:val="24"/>
        </w:rPr>
        <w:t> </w:t>
      </w:r>
      <w:r w:rsidR="004D5AD1" w:rsidRPr="004D5AD1">
        <w:rPr>
          <w:b/>
          <w:noProof/>
          <w:szCs w:val="24"/>
        </w:rPr>
        <w:t>spa</w:t>
      </w:r>
      <w:r w:rsidRPr="004D5AD1">
        <w:rPr>
          <w:b/>
          <w:noProof/>
          <w:szCs w:val="24"/>
        </w:rPr>
        <w:t>lania</w:t>
      </w:r>
      <w:r w:rsidR="004D5AD1" w:rsidRPr="004D5AD1">
        <w:rPr>
          <w:b/>
          <w:noProof/>
          <w:szCs w:val="24"/>
        </w:rPr>
        <w:t xml:space="preserve"> w</w:t>
      </w:r>
      <w:r w:rsidR="004D5AD1">
        <w:rPr>
          <w:b/>
          <w:noProof/>
          <w:szCs w:val="24"/>
        </w:rPr>
        <w:t> </w:t>
      </w:r>
      <w:r w:rsidR="004D5AD1" w:rsidRPr="004D5AD1">
        <w:rPr>
          <w:b/>
          <w:noProof/>
          <w:szCs w:val="24"/>
        </w:rPr>
        <w:t>poc</w:t>
      </w:r>
      <w:r w:rsidRPr="004D5AD1">
        <w:rPr>
          <w:b/>
          <w:noProof/>
          <w:szCs w:val="24"/>
        </w:rPr>
        <w:t>hodni</w:t>
      </w:r>
    </w:p>
    <w:p w14:paraId="52881888" w14:textId="29FE976D" w:rsidR="00E212DB" w:rsidRPr="004D5AD1" w:rsidRDefault="00E212DB" w:rsidP="00E212DB">
      <w:pPr>
        <w:rPr>
          <w:noProof/>
          <w:szCs w:val="24"/>
        </w:rPr>
      </w:pPr>
      <w:r w:rsidRPr="004D5AD1">
        <w:rPr>
          <w:noProof/>
        </w:rPr>
        <w:t>1.</w:t>
      </w:r>
      <w:r w:rsidRPr="004D5AD1">
        <w:rPr>
          <w:noProof/>
        </w:rPr>
        <w:tab/>
        <w:t>Zakazuje się uwalniania do atmosfery</w:t>
      </w:r>
      <w:r w:rsidR="004D5AD1" w:rsidRPr="004D5AD1">
        <w:rPr>
          <w:noProof/>
        </w:rPr>
        <w:t xml:space="preserve"> z</w:t>
      </w:r>
      <w:r w:rsidR="004D5AD1">
        <w:rPr>
          <w:noProof/>
        </w:rPr>
        <w:t> </w:t>
      </w:r>
      <w:r w:rsidR="004D5AD1" w:rsidRPr="004D5AD1">
        <w:rPr>
          <w:noProof/>
        </w:rPr>
        <w:t>wyj</w:t>
      </w:r>
      <w:r w:rsidRPr="004D5AD1">
        <w:rPr>
          <w:noProof/>
        </w:rPr>
        <w:t>ątkiem okoliczności przewidzianych</w:t>
      </w:r>
      <w:r w:rsidR="004D5AD1" w:rsidRPr="004D5AD1">
        <w:rPr>
          <w:noProof/>
        </w:rPr>
        <w:t xml:space="preserve"> w</w:t>
      </w:r>
      <w:r w:rsidR="004D5AD1">
        <w:rPr>
          <w:noProof/>
        </w:rPr>
        <w:t> </w:t>
      </w:r>
      <w:r w:rsidR="004D5AD1" w:rsidRPr="004D5AD1">
        <w:rPr>
          <w:noProof/>
        </w:rPr>
        <w:t>nin</w:t>
      </w:r>
      <w:r w:rsidRPr="004D5AD1">
        <w:rPr>
          <w:noProof/>
        </w:rPr>
        <w:t>iejszym artykule. Zakazuje się rutynowego spalania gazu</w:t>
      </w:r>
      <w:r w:rsidR="004D5AD1" w:rsidRPr="004D5AD1">
        <w:rPr>
          <w:noProof/>
        </w:rPr>
        <w:t xml:space="preserve"> w</w:t>
      </w:r>
      <w:r w:rsidR="004D5AD1">
        <w:rPr>
          <w:noProof/>
        </w:rPr>
        <w:t> </w:t>
      </w:r>
      <w:r w:rsidR="004D5AD1" w:rsidRPr="004D5AD1">
        <w:rPr>
          <w:noProof/>
        </w:rPr>
        <w:t>poc</w:t>
      </w:r>
      <w:r w:rsidRPr="004D5AD1">
        <w:rPr>
          <w:noProof/>
        </w:rPr>
        <w:t>hodni.</w:t>
      </w:r>
    </w:p>
    <w:p w14:paraId="5294A9E3" w14:textId="4A668DDA" w:rsidR="00542D62" w:rsidRPr="004D5AD1" w:rsidRDefault="00CC5360" w:rsidP="00E212DB">
      <w:pPr>
        <w:rPr>
          <w:noProof/>
          <w:szCs w:val="24"/>
        </w:rPr>
      </w:pPr>
      <w:r w:rsidRPr="004D5AD1">
        <w:rPr>
          <w:noProof/>
        </w:rPr>
        <w:t>2.</w:t>
      </w:r>
      <w:r w:rsidRPr="004D5AD1">
        <w:rPr>
          <w:noProof/>
        </w:rPr>
        <w:tab/>
        <w:t>Uwalnianie do atmosfery jest dozwolone jedynie</w:t>
      </w:r>
      <w:r w:rsidR="004D5AD1" w:rsidRPr="004D5AD1">
        <w:rPr>
          <w:noProof/>
        </w:rPr>
        <w:t xml:space="preserve"> w</w:t>
      </w:r>
      <w:r w:rsidR="004D5AD1">
        <w:rPr>
          <w:noProof/>
        </w:rPr>
        <w:t> </w:t>
      </w:r>
      <w:r w:rsidR="004D5AD1" w:rsidRPr="004D5AD1">
        <w:rPr>
          <w:noProof/>
        </w:rPr>
        <w:t>nas</w:t>
      </w:r>
      <w:r w:rsidRPr="004D5AD1">
        <w:rPr>
          <w:noProof/>
        </w:rPr>
        <w:t>tępujących sytuacjach:</w:t>
      </w:r>
    </w:p>
    <w:p w14:paraId="4DD02952" w14:textId="0B9498F9" w:rsidR="00542D62" w:rsidRPr="004D5AD1" w:rsidRDefault="00542D62" w:rsidP="00542D62">
      <w:pPr>
        <w:ind w:firstLine="720"/>
        <w:rPr>
          <w:noProof/>
          <w:szCs w:val="24"/>
        </w:rPr>
      </w:pPr>
      <w:r w:rsidRPr="004D5AD1">
        <w:rPr>
          <w:noProof/>
        </w:rPr>
        <w:t>a)</w:t>
      </w:r>
      <w:r w:rsidR="004D5AD1" w:rsidRPr="004D5AD1">
        <w:rPr>
          <w:noProof/>
        </w:rPr>
        <w:t xml:space="preserve"> w</w:t>
      </w:r>
      <w:r w:rsidR="004D5AD1">
        <w:rPr>
          <w:noProof/>
        </w:rPr>
        <w:t> </w:t>
      </w:r>
      <w:r w:rsidR="004D5AD1" w:rsidRPr="004D5AD1">
        <w:rPr>
          <w:noProof/>
        </w:rPr>
        <w:t>prz</w:t>
      </w:r>
      <w:r w:rsidRPr="004D5AD1">
        <w:rPr>
          <w:noProof/>
        </w:rPr>
        <w:t>ypadku sytuacji awaryjnej lub niesprawności; oraz</w:t>
      </w:r>
    </w:p>
    <w:p w14:paraId="20E58E3B" w14:textId="18AB09ED" w:rsidR="00542D62" w:rsidRPr="004D5AD1" w:rsidRDefault="00542D62" w:rsidP="006B20F5">
      <w:pPr>
        <w:ind w:left="720"/>
        <w:rPr>
          <w:noProof/>
          <w:szCs w:val="24"/>
        </w:rPr>
      </w:pPr>
      <w:r w:rsidRPr="004D5AD1">
        <w:rPr>
          <w:noProof/>
        </w:rPr>
        <w:t>b)</w:t>
      </w:r>
      <w:r w:rsidR="004D5AD1" w:rsidRPr="004D5AD1">
        <w:rPr>
          <w:noProof/>
        </w:rPr>
        <w:t xml:space="preserve"> w</w:t>
      </w:r>
      <w:r w:rsidR="004D5AD1">
        <w:rPr>
          <w:noProof/>
        </w:rPr>
        <w:t> </w:t>
      </w:r>
      <w:r w:rsidR="004D5AD1" w:rsidRPr="004D5AD1">
        <w:rPr>
          <w:noProof/>
        </w:rPr>
        <w:t>prz</w:t>
      </w:r>
      <w:r w:rsidRPr="004D5AD1">
        <w:rPr>
          <w:noProof/>
        </w:rPr>
        <w:t>ypadku gdy jest to nieuniknione</w:t>
      </w:r>
      <w:r w:rsidR="004D5AD1" w:rsidRPr="004D5AD1">
        <w:rPr>
          <w:noProof/>
        </w:rPr>
        <w:t xml:space="preserve"> i</w:t>
      </w:r>
      <w:r w:rsidR="004D5AD1">
        <w:rPr>
          <w:noProof/>
        </w:rPr>
        <w:t> </w:t>
      </w:r>
      <w:r w:rsidR="004D5AD1" w:rsidRPr="004D5AD1">
        <w:rPr>
          <w:noProof/>
        </w:rPr>
        <w:t>abs</w:t>
      </w:r>
      <w:r w:rsidRPr="004D5AD1">
        <w:rPr>
          <w:noProof/>
        </w:rPr>
        <w:t>olutnie niezbędne do eksploatacji, naprawy, konserwacji lub testowania elementów lub sprzętu oraz</w:t>
      </w:r>
      <w:r w:rsidR="004D5AD1" w:rsidRPr="004D5AD1">
        <w:rPr>
          <w:noProof/>
        </w:rPr>
        <w:t xml:space="preserve"> z</w:t>
      </w:r>
      <w:r w:rsidR="004D5AD1">
        <w:rPr>
          <w:noProof/>
        </w:rPr>
        <w:t> </w:t>
      </w:r>
      <w:r w:rsidR="004D5AD1" w:rsidRPr="004D5AD1">
        <w:rPr>
          <w:noProof/>
        </w:rPr>
        <w:t>zas</w:t>
      </w:r>
      <w:r w:rsidRPr="004D5AD1">
        <w:rPr>
          <w:noProof/>
        </w:rPr>
        <w:t>trzeżeniem obowiązków sprawozdawczych określonych</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 xml:space="preserve">16. </w:t>
      </w:r>
    </w:p>
    <w:p w14:paraId="169405FF" w14:textId="3E5E6F1E" w:rsidR="00E212DB" w:rsidRPr="004D5AD1" w:rsidRDefault="00542D62" w:rsidP="00542D62">
      <w:pPr>
        <w:rPr>
          <w:noProof/>
          <w:szCs w:val="24"/>
        </w:rPr>
      </w:pPr>
      <w:r w:rsidRPr="004D5AD1">
        <w:rPr>
          <w:noProof/>
        </w:rPr>
        <w:t>3.</w:t>
      </w:r>
      <w:r w:rsidRPr="004D5AD1">
        <w:rPr>
          <w:noProof/>
        </w:rPr>
        <w:tab/>
        <w:t>Uwalnianie do atmosfery na podstawie ust.</w:t>
      </w:r>
      <w:r w:rsidR="004D5AD1" w:rsidRPr="004D5AD1">
        <w:rPr>
          <w:noProof/>
        </w:rPr>
        <w:t> </w:t>
      </w:r>
      <w:r w:rsidRPr="004D5AD1">
        <w:rPr>
          <w:noProof/>
        </w:rPr>
        <w:t>2 lit.</w:t>
      </w:r>
      <w:r w:rsidR="004D5AD1" w:rsidRPr="004D5AD1">
        <w:rPr>
          <w:noProof/>
        </w:rPr>
        <w:t> </w:t>
      </w:r>
      <w:r w:rsidRPr="004D5AD1">
        <w:rPr>
          <w:noProof/>
        </w:rPr>
        <w:t>b) obejmuje następujące konkretne przypadki,</w:t>
      </w:r>
      <w:r w:rsidR="004D5AD1" w:rsidRPr="004D5AD1">
        <w:rPr>
          <w:noProof/>
        </w:rPr>
        <w:t xml:space="preserve"> w</w:t>
      </w:r>
      <w:r w:rsidR="004D5AD1">
        <w:rPr>
          <w:noProof/>
        </w:rPr>
        <w:t> </w:t>
      </w:r>
      <w:r w:rsidR="004D5AD1" w:rsidRPr="004D5AD1">
        <w:rPr>
          <w:noProof/>
        </w:rPr>
        <w:t>któ</w:t>
      </w:r>
      <w:r w:rsidRPr="004D5AD1">
        <w:rPr>
          <w:noProof/>
        </w:rPr>
        <w:t>rych nie można całkowicie wyeliminować uwalniania do atmosfery:</w:t>
      </w:r>
    </w:p>
    <w:p w14:paraId="47B6CC45" w14:textId="4D9E9508" w:rsidR="00E212DB" w:rsidRPr="004D5AD1" w:rsidRDefault="00E212DB" w:rsidP="00E212DB">
      <w:pPr>
        <w:ind w:left="720"/>
        <w:rPr>
          <w:noProof/>
          <w:szCs w:val="24"/>
        </w:rPr>
      </w:pPr>
      <w:r w:rsidRPr="004D5AD1">
        <w:rPr>
          <w:noProof/>
        </w:rPr>
        <w:t>a) podczas normalnej eksploatacji niektórych elementów, pod warunkiem że sprzęt spełnia wszystkie określone normy</w:t>
      </w:r>
      <w:r w:rsidR="004D5AD1" w:rsidRPr="004D5AD1">
        <w:rPr>
          <w:noProof/>
        </w:rPr>
        <w:t xml:space="preserve"> w</w:t>
      </w:r>
      <w:r w:rsidR="004D5AD1">
        <w:rPr>
          <w:noProof/>
        </w:rPr>
        <w:t> </w:t>
      </w:r>
      <w:r w:rsidR="004D5AD1" w:rsidRPr="004D5AD1">
        <w:rPr>
          <w:noProof/>
        </w:rPr>
        <w:t>zak</w:t>
      </w:r>
      <w:r w:rsidRPr="004D5AD1">
        <w:rPr>
          <w:noProof/>
        </w:rPr>
        <w:t>resie wyposażenia oraz jest odpowiednio konserwowany</w:t>
      </w:r>
      <w:r w:rsidR="004D5AD1" w:rsidRPr="004D5AD1">
        <w:rPr>
          <w:noProof/>
        </w:rPr>
        <w:t xml:space="preserve"> i</w:t>
      </w:r>
      <w:r w:rsidR="004D5AD1">
        <w:rPr>
          <w:noProof/>
        </w:rPr>
        <w:t> </w:t>
      </w:r>
      <w:r w:rsidR="004D5AD1" w:rsidRPr="004D5AD1">
        <w:rPr>
          <w:noProof/>
        </w:rPr>
        <w:t>reg</w:t>
      </w:r>
      <w:r w:rsidRPr="004D5AD1">
        <w:rPr>
          <w:noProof/>
        </w:rPr>
        <w:t>ularnie badany</w:t>
      </w:r>
      <w:r w:rsidR="004D5AD1" w:rsidRPr="004D5AD1">
        <w:rPr>
          <w:noProof/>
        </w:rPr>
        <w:t xml:space="preserve"> w</w:t>
      </w:r>
      <w:r w:rsidR="004D5AD1">
        <w:rPr>
          <w:noProof/>
        </w:rPr>
        <w:t> </w:t>
      </w:r>
      <w:r w:rsidR="004D5AD1" w:rsidRPr="004D5AD1">
        <w:rPr>
          <w:noProof/>
        </w:rPr>
        <w:t>cel</w:t>
      </w:r>
      <w:r w:rsidRPr="004D5AD1">
        <w:rPr>
          <w:noProof/>
        </w:rPr>
        <w:t xml:space="preserve">u zminimalizowania utraty metanu; </w:t>
      </w:r>
    </w:p>
    <w:p w14:paraId="4AC75B97" w14:textId="3B8F33CD" w:rsidR="00E212DB" w:rsidRPr="004D5AD1" w:rsidRDefault="00E212DB" w:rsidP="00E212DB">
      <w:pPr>
        <w:ind w:left="720"/>
        <w:rPr>
          <w:noProof/>
          <w:szCs w:val="24"/>
        </w:rPr>
      </w:pPr>
      <w:r w:rsidRPr="004D5AD1">
        <w:rPr>
          <w:noProof/>
        </w:rPr>
        <w:t>b)</w:t>
      </w:r>
      <w:r w:rsidR="004D5AD1" w:rsidRPr="004D5AD1">
        <w:rPr>
          <w:noProof/>
        </w:rPr>
        <w:t xml:space="preserve"> w</w:t>
      </w:r>
      <w:r w:rsidR="004D5AD1">
        <w:rPr>
          <w:noProof/>
        </w:rPr>
        <w:t> </w:t>
      </w:r>
      <w:r w:rsidR="004D5AD1" w:rsidRPr="004D5AD1">
        <w:rPr>
          <w:noProof/>
        </w:rPr>
        <w:t>cel</w:t>
      </w:r>
      <w:r w:rsidRPr="004D5AD1">
        <w:rPr>
          <w:noProof/>
        </w:rPr>
        <w:t>u rozładowania lub oczyszczenia zawieszenia cieczowego</w:t>
      </w:r>
      <w:r w:rsidR="004D5AD1" w:rsidRPr="004D5AD1">
        <w:rPr>
          <w:noProof/>
        </w:rPr>
        <w:t xml:space="preserve"> w</w:t>
      </w:r>
      <w:r w:rsidR="004D5AD1">
        <w:rPr>
          <w:noProof/>
        </w:rPr>
        <w:t> </w:t>
      </w:r>
      <w:r w:rsidR="004D5AD1" w:rsidRPr="004D5AD1">
        <w:rPr>
          <w:noProof/>
        </w:rPr>
        <w:t>odw</w:t>
      </w:r>
      <w:r w:rsidRPr="004D5AD1">
        <w:rPr>
          <w:noProof/>
        </w:rPr>
        <w:t xml:space="preserve">iercie do ciśnienia atmosferycznego; </w:t>
      </w:r>
    </w:p>
    <w:p w14:paraId="5D11989B" w14:textId="19D29ED9" w:rsidR="00E212DB" w:rsidRPr="004D5AD1" w:rsidRDefault="00E212DB" w:rsidP="00E212DB">
      <w:pPr>
        <w:ind w:left="720"/>
        <w:rPr>
          <w:noProof/>
          <w:szCs w:val="24"/>
        </w:rPr>
      </w:pPr>
      <w:r w:rsidRPr="004D5AD1">
        <w:rPr>
          <w:noProof/>
        </w:rPr>
        <w:t>c) podczas pomiaru lub próbkowania ze zbiornika magazynowego lub innego zbiornika niskociśnieniowego;</w:t>
      </w:r>
    </w:p>
    <w:p w14:paraId="0718499B" w14:textId="09B1805D" w:rsidR="00E212DB" w:rsidRPr="004D5AD1" w:rsidRDefault="00E212DB" w:rsidP="00E212DB">
      <w:pPr>
        <w:ind w:left="720"/>
        <w:rPr>
          <w:noProof/>
          <w:szCs w:val="24"/>
        </w:rPr>
      </w:pPr>
      <w:r w:rsidRPr="004D5AD1">
        <w:rPr>
          <w:noProof/>
        </w:rPr>
        <w:t>d) podczas załadunku cieczy ze zbiornika magazynowego lub innego zbiornika niskociśnieniowego do pojazdu transportowego zgodnie</w:t>
      </w:r>
      <w:r w:rsidR="004D5AD1" w:rsidRPr="004D5AD1">
        <w:rPr>
          <w:noProof/>
        </w:rPr>
        <w:t xml:space="preserve"> z</w:t>
      </w:r>
      <w:r w:rsidR="004D5AD1">
        <w:rPr>
          <w:noProof/>
        </w:rPr>
        <w:t> </w:t>
      </w:r>
      <w:r w:rsidR="004D5AD1" w:rsidRPr="004D5AD1">
        <w:rPr>
          <w:noProof/>
        </w:rPr>
        <w:t>maj</w:t>
      </w:r>
      <w:r w:rsidRPr="004D5AD1">
        <w:rPr>
          <w:noProof/>
        </w:rPr>
        <w:t>ącymi zastosowanie normami;</w:t>
      </w:r>
    </w:p>
    <w:p w14:paraId="49CC63E0" w14:textId="69E0D387" w:rsidR="00E212DB" w:rsidRPr="004D5AD1" w:rsidRDefault="00E212DB" w:rsidP="00E212DB">
      <w:pPr>
        <w:ind w:left="720"/>
        <w:rPr>
          <w:noProof/>
          <w:szCs w:val="24"/>
        </w:rPr>
      </w:pPr>
      <w:r w:rsidRPr="004D5AD1">
        <w:rPr>
          <w:noProof/>
        </w:rPr>
        <w:t>e) podczas naprawy</w:t>
      </w:r>
      <w:r w:rsidR="004D5AD1" w:rsidRPr="004D5AD1">
        <w:rPr>
          <w:noProof/>
        </w:rPr>
        <w:t xml:space="preserve"> i</w:t>
      </w:r>
      <w:r w:rsidR="004D5AD1">
        <w:rPr>
          <w:noProof/>
        </w:rPr>
        <w:t> </w:t>
      </w:r>
      <w:r w:rsidR="004D5AD1" w:rsidRPr="004D5AD1">
        <w:rPr>
          <w:noProof/>
        </w:rPr>
        <w:t>kon</w:t>
      </w:r>
      <w:r w:rsidRPr="004D5AD1">
        <w:rPr>
          <w:noProof/>
        </w:rPr>
        <w:t>serwacji,</w:t>
      </w:r>
      <w:r w:rsidR="004D5AD1" w:rsidRPr="004D5AD1">
        <w:rPr>
          <w:noProof/>
        </w:rPr>
        <w:t xml:space="preserve"> w</w:t>
      </w:r>
      <w:r w:rsidR="004D5AD1">
        <w:rPr>
          <w:noProof/>
        </w:rPr>
        <w:t> </w:t>
      </w:r>
      <w:r w:rsidR="004D5AD1" w:rsidRPr="004D5AD1">
        <w:rPr>
          <w:noProof/>
        </w:rPr>
        <w:t>tym</w:t>
      </w:r>
      <w:r w:rsidRPr="004D5AD1">
        <w:rPr>
          <w:noProof/>
        </w:rPr>
        <w:t xml:space="preserve"> przedmuchiwania</w:t>
      </w:r>
      <w:r w:rsidR="004D5AD1" w:rsidRPr="004D5AD1">
        <w:rPr>
          <w:noProof/>
        </w:rPr>
        <w:t xml:space="preserve"> i</w:t>
      </w:r>
      <w:r w:rsidR="004D5AD1">
        <w:rPr>
          <w:noProof/>
        </w:rPr>
        <w:t> </w:t>
      </w:r>
      <w:r w:rsidR="004D5AD1" w:rsidRPr="004D5AD1">
        <w:rPr>
          <w:noProof/>
        </w:rPr>
        <w:t>obn</w:t>
      </w:r>
      <w:r w:rsidRPr="004D5AD1">
        <w:rPr>
          <w:noProof/>
        </w:rPr>
        <w:t>iżania ciśnienia</w:t>
      </w:r>
      <w:r w:rsidR="004D5AD1" w:rsidRPr="004D5AD1">
        <w:rPr>
          <w:noProof/>
        </w:rPr>
        <w:t xml:space="preserve"> w</w:t>
      </w:r>
      <w:r w:rsidR="004D5AD1">
        <w:rPr>
          <w:noProof/>
        </w:rPr>
        <w:t> </w:t>
      </w:r>
      <w:r w:rsidR="004D5AD1" w:rsidRPr="004D5AD1">
        <w:rPr>
          <w:noProof/>
        </w:rPr>
        <w:t>spr</w:t>
      </w:r>
      <w:r w:rsidRPr="004D5AD1">
        <w:rPr>
          <w:noProof/>
        </w:rPr>
        <w:t>zęcie</w:t>
      </w:r>
      <w:r w:rsidR="004D5AD1" w:rsidRPr="004D5AD1">
        <w:rPr>
          <w:noProof/>
        </w:rPr>
        <w:t xml:space="preserve"> w</w:t>
      </w:r>
      <w:r w:rsidR="004D5AD1">
        <w:rPr>
          <w:noProof/>
        </w:rPr>
        <w:t> </w:t>
      </w:r>
      <w:r w:rsidR="004D5AD1" w:rsidRPr="004D5AD1">
        <w:rPr>
          <w:noProof/>
        </w:rPr>
        <w:t>cel</w:t>
      </w:r>
      <w:r w:rsidRPr="004D5AD1">
        <w:rPr>
          <w:noProof/>
        </w:rPr>
        <w:t>u przeprowadzenia napraw</w:t>
      </w:r>
      <w:r w:rsidR="004D5AD1" w:rsidRPr="004D5AD1">
        <w:rPr>
          <w:noProof/>
        </w:rPr>
        <w:t xml:space="preserve"> i</w:t>
      </w:r>
      <w:r w:rsidR="004D5AD1">
        <w:rPr>
          <w:noProof/>
        </w:rPr>
        <w:t> </w:t>
      </w:r>
      <w:r w:rsidR="004D5AD1" w:rsidRPr="004D5AD1">
        <w:rPr>
          <w:noProof/>
        </w:rPr>
        <w:t>kon</w:t>
      </w:r>
      <w:r w:rsidRPr="004D5AD1">
        <w:rPr>
          <w:noProof/>
        </w:rPr>
        <w:t>serwacji;</w:t>
      </w:r>
    </w:p>
    <w:p w14:paraId="4120546D" w14:textId="3EACAD3B" w:rsidR="00E212DB" w:rsidRPr="004D5AD1" w:rsidRDefault="00E212DB" w:rsidP="00E212DB">
      <w:pPr>
        <w:ind w:left="720"/>
        <w:rPr>
          <w:noProof/>
          <w:szCs w:val="24"/>
        </w:rPr>
      </w:pPr>
      <w:r w:rsidRPr="004D5AD1">
        <w:rPr>
          <w:noProof/>
        </w:rPr>
        <w:t>f) podczas testowania głowicy rurowej;</w:t>
      </w:r>
    </w:p>
    <w:p w14:paraId="1053C174" w14:textId="56B88811" w:rsidR="00E212DB" w:rsidRPr="004D5AD1" w:rsidRDefault="00E212DB" w:rsidP="00E212DB">
      <w:pPr>
        <w:ind w:left="720"/>
        <w:rPr>
          <w:noProof/>
          <w:szCs w:val="24"/>
        </w:rPr>
      </w:pPr>
      <w:r w:rsidRPr="004D5AD1">
        <w:rPr>
          <w:noProof/>
        </w:rPr>
        <w:t>g) podczas testowania wycieków</w:t>
      </w:r>
      <w:r w:rsidR="004D5AD1" w:rsidRPr="004D5AD1">
        <w:rPr>
          <w:noProof/>
        </w:rPr>
        <w:t xml:space="preserve"> z</w:t>
      </w:r>
      <w:r w:rsidR="004D5AD1">
        <w:rPr>
          <w:noProof/>
        </w:rPr>
        <w:t> </w:t>
      </w:r>
      <w:r w:rsidR="004D5AD1" w:rsidRPr="004D5AD1">
        <w:rPr>
          <w:noProof/>
        </w:rPr>
        <w:t>pak</w:t>
      </w:r>
      <w:r w:rsidRPr="004D5AD1">
        <w:rPr>
          <w:noProof/>
        </w:rPr>
        <w:t>era;</w:t>
      </w:r>
    </w:p>
    <w:p w14:paraId="7831292C" w14:textId="380E67A7" w:rsidR="00E212DB" w:rsidRPr="004D5AD1" w:rsidRDefault="00E212DB" w:rsidP="00E212DB">
      <w:pPr>
        <w:ind w:left="720"/>
        <w:rPr>
          <w:noProof/>
          <w:szCs w:val="24"/>
        </w:rPr>
      </w:pPr>
      <w:r w:rsidRPr="004D5AD1">
        <w:rPr>
          <w:noProof/>
        </w:rPr>
        <w:t>h) podczas testów produkcyjnych trwających krócej niż 24 godziny;</w:t>
      </w:r>
    </w:p>
    <w:p w14:paraId="1105795E" w14:textId="7D9AFD87" w:rsidR="00E212DB" w:rsidRPr="004D5AD1" w:rsidRDefault="00E212DB" w:rsidP="00E212DB">
      <w:pPr>
        <w:ind w:left="720"/>
        <w:rPr>
          <w:noProof/>
          <w:szCs w:val="24"/>
        </w:rPr>
      </w:pPr>
      <w:r w:rsidRPr="004D5AD1">
        <w:rPr>
          <w:noProof/>
        </w:rPr>
        <w:t>i)</w:t>
      </w:r>
      <w:r w:rsidR="004D5AD1" w:rsidRPr="004D5AD1">
        <w:rPr>
          <w:noProof/>
        </w:rPr>
        <w:t xml:space="preserve"> w</w:t>
      </w:r>
      <w:r w:rsidR="004D5AD1">
        <w:rPr>
          <w:noProof/>
        </w:rPr>
        <w:t> </w:t>
      </w:r>
      <w:r w:rsidR="004D5AD1" w:rsidRPr="004D5AD1">
        <w:rPr>
          <w:noProof/>
        </w:rPr>
        <w:t>prz</w:t>
      </w:r>
      <w:r w:rsidRPr="004D5AD1">
        <w:rPr>
          <w:noProof/>
        </w:rPr>
        <w:t>ypadku gdy metan nie spełnia specyfikacji rurociągu zbiorczego, pod warunkiem że operator analizuje próbki metanu dwa razy</w:t>
      </w:r>
      <w:r w:rsidR="004D5AD1" w:rsidRPr="004D5AD1">
        <w:rPr>
          <w:noProof/>
        </w:rPr>
        <w:t xml:space="preserve"> w</w:t>
      </w:r>
      <w:r w:rsidR="004D5AD1">
        <w:rPr>
          <w:noProof/>
        </w:rPr>
        <w:t> </w:t>
      </w:r>
      <w:r w:rsidR="004D5AD1" w:rsidRPr="004D5AD1">
        <w:rPr>
          <w:noProof/>
        </w:rPr>
        <w:t>tyg</w:t>
      </w:r>
      <w:r w:rsidRPr="004D5AD1">
        <w:rPr>
          <w:noProof/>
        </w:rPr>
        <w:t>odniu</w:t>
      </w:r>
      <w:r w:rsidR="004D5AD1" w:rsidRPr="004D5AD1">
        <w:rPr>
          <w:noProof/>
        </w:rPr>
        <w:t xml:space="preserve"> w</w:t>
      </w:r>
      <w:r w:rsidR="004D5AD1">
        <w:rPr>
          <w:noProof/>
        </w:rPr>
        <w:t> </w:t>
      </w:r>
      <w:r w:rsidR="004D5AD1" w:rsidRPr="004D5AD1">
        <w:rPr>
          <w:noProof/>
        </w:rPr>
        <w:t>cel</w:t>
      </w:r>
      <w:r w:rsidRPr="004D5AD1">
        <w:rPr>
          <w:noProof/>
        </w:rPr>
        <w:t>u ustalenia, czy specyfikacje zostały osiągnięte,</w:t>
      </w:r>
      <w:r w:rsidR="004D5AD1" w:rsidRPr="004D5AD1">
        <w:rPr>
          <w:noProof/>
        </w:rPr>
        <w:t xml:space="preserve"> i</w:t>
      </w:r>
      <w:r w:rsidR="004D5AD1">
        <w:rPr>
          <w:noProof/>
        </w:rPr>
        <w:t> </w:t>
      </w:r>
      <w:r w:rsidR="004D5AD1" w:rsidRPr="004D5AD1">
        <w:rPr>
          <w:noProof/>
        </w:rPr>
        <w:t>kie</w:t>
      </w:r>
      <w:r w:rsidRPr="004D5AD1">
        <w:rPr>
          <w:noProof/>
        </w:rPr>
        <w:t>ruje metan do rurociągu zbiorczego, gdy tylko specyfikacje rurociągu zostaną spełnione;</w:t>
      </w:r>
    </w:p>
    <w:p w14:paraId="1A0DD2B5" w14:textId="5676AD5A" w:rsidR="00E212DB" w:rsidRPr="004D5AD1" w:rsidRDefault="00E212DB" w:rsidP="00E212DB">
      <w:pPr>
        <w:ind w:left="720"/>
        <w:rPr>
          <w:noProof/>
          <w:szCs w:val="24"/>
        </w:rPr>
      </w:pPr>
      <w:r w:rsidRPr="004D5AD1">
        <w:rPr>
          <w:noProof/>
        </w:rPr>
        <w:t>j) podczas oddawania rurociągów, sprzętu lub obiektów do eksploatacji, jedynie przez okres niezbędny do usunięcia</w:t>
      </w:r>
      <w:r w:rsidR="004D5AD1" w:rsidRPr="004D5AD1">
        <w:rPr>
          <w:noProof/>
        </w:rPr>
        <w:t xml:space="preserve"> z</w:t>
      </w:r>
      <w:r w:rsidR="004D5AD1">
        <w:rPr>
          <w:noProof/>
        </w:rPr>
        <w:t> </w:t>
      </w:r>
      <w:r w:rsidR="004D5AD1" w:rsidRPr="004D5AD1">
        <w:rPr>
          <w:noProof/>
        </w:rPr>
        <w:t>rur</w:t>
      </w:r>
      <w:r w:rsidRPr="004D5AD1">
        <w:rPr>
          <w:noProof/>
        </w:rPr>
        <w:t>ociągu lub sprzętu wprowadzonych zanieczyszczeń;</w:t>
      </w:r>
    </w:p>
    <w:p w14:paraId="1F592F24" w14:textId="20A07F9E" w:rsidR="00E212DB" w:rsidRPr="004D5AD1" w:rsidRDefault="00E212DB" w:rsidP="00E212DB">
      <w:pPr>
        <w:ind w:left="720"/>
        <w:rPr>
          <w:noProof/>
          <w:szCs w:val="24"/>
        </w:rPr>
      </w:pPr>
      <w:r w:rsidRPr="004D5AD1">
        <w:rPr>
          <w:noProof/>
        </w:rPr>
        <w:t>k) podczas opróżniania rur (pigowania), wydmuchu</w:t>
      </w:r>
      <w:r w:rsidR="004D5AD1" w:rsidRPr="004D5AD1">
        <w:rPr>
          <w:noProof/>
        </w:rPr>
        <w:t xml:space="preserve"> w</w:t>
      </w:r>
      <w:r w:rsidR="004D5AD1">
        <w:rPr>
          <w:noProof/>
        </w:rPr>
        <w:t> </w:t>
      </w:r>
      <w:r w:rsidR="004D5AD1" w:rsidRPr="004D5AD1">
        <w:rPr>
          <w:noProof/>
        </w:rPr>
        <w:t>cel</w:t>
      </w:r>
      <w:r w:rsidRPr="004D5AD1">
        <w:rPr>
          <w:noProof/>
        </w:rPr>
        <w:t>u naprawy lub oczyszczania rurociągu zbiorczego</w:t>
      </w:r>
      <w:r w:rsidR="004D5AD1" w:rsidRPr="004D5AD1">
        <w:rPr>
          <w:noProof/>
        </w:rPr>
        <w:t xml:space="preserve"> w</w:t>
      </w:r>
      <w:r w:rsidR="004D5AD1">
        <w:rPr>
          <w:noProof/>
        </w:rPr>
        <w:t> </w:t>
      </w:r>
      <w:r w:rsidR="004D5AD1" w:rsidRPr="004D5AD1">
        <w:rPr>
          <w:noProof/>
        </w:rPr>
        <w:t>cel</w:t>
      </w:r>
      <w:r w:rsidRPr="004D5AD1">
        <w:rPr>
          <w:noProof/>
        </w:rPr>
        <w:t>u naprawy lub konserwacji</w:t>
      </w:r>
      <w:r w:rsidR="004D5AD1" w:rsidRPr="004D5AD1">
        <w:rPr>
          <w:noProof/>
        </w:rPr>
        <w:t xml:space="preserve"> i</w:t>
      </w:r>
      <w:r w:rsidR="004D5AD1">
        <w:rPr>
          <w:noProof/>
        </w:rPr>
        <w:t> </w:t>
      </w:r>
      <w:r w:rsidR="004D5AD1" w:rsidRPr="004D5AD1">
        <w:rPr>
          <w:noProof/>
        </w:rPr>
        <w:t>jed</w:t>
      </w:r>
      <w:r w:rsidRPr="004D5AD1">
        <w:rPr>
          <w:noProof/>
        </w:rPr>
        <w:t>ynie wówczas, gdy gazu nie można kontrolować ani przekierować do nienaruszonej części rurociągu.</w:t>
      </w:r>
    </w:p>
    <w:p w14:paraId="3B723332" w14:textId="7B7531D6" w:rsidR="00E212DB" w:rsidRPr="004D5AD1" w:rsidRDefault="00CC5360" w:rsidP="00E212DB">
      <w:pPr>
        <w:rPr>
          <w:noProof/>
          <w:szCs w:val="24"/>
        </w:rPr>
      </w:pPr>
      <w:r w:rsidRPr="004D5AD1">
        <w:rPr>
          <w:noProof/>
        </w:rPr>
        <w:t>4.</w:t>
      </w:r>
      <w:r w:rsidRPr="004D5AD1">
        <w:rPr>
          <w:noProof/>
        </w:rPr>
        <w:tab/>
        <w:t>W przypadku gdy uwalnianie do atmosfery jest dozwolone na podstawie ust.</w:t>
      </w:r>
      <w:r w:rsidR="004D5AD1" w:rsidRPr="004D5AD1">
        <w:rPr>
          <w:noProof/>
        </w:rPr>
        <w:t> </w:t>
      </w:r>
      <w:r w:rsidRPr="004D5AD1">
        <w:rPr>
          <w:noProof/>
        </w:rPr>
        <w:t>2</w:t>
      </w:r>
      <w:r w:rsidR="004D5AD1" w:rsidRPr="004D5AD1">
        <w:rPr>
          <w:noProof/>
        </w:rPr>
        <w:t xml:space="preserve"> i</w:t>
      </w:r>
      <w:r w:rsidR="004D5AD1">
        <w:rPr>
          <w:noProof/>
        </w:rPr>
        <w:t> </w:t>
      </w:r>
      <w:r w:rsidR="004D5AD1" w:rsidRPr="004D5AD1">
        <w:rPr>
          <w:noProof/>
        </w:rPr>
        <w:t>3</w:t>
      </w:r>
      <w:r w:rsidRPr="004D5AD1">
        <w:rPr>
          <w:noProof/>
        </w:rPr>
        <w:t>, operatorzy uwalniają metan do atmosfery wyłącznie wówczas, gdy spalanie</w:t>
      </w:r>
      <w:r w:rsidR="004D5AD1" w:rsidRPr="004D5AD1">
        <w:rPr>
          <w:noProof/>
        </w:rPr>
        <w:t xml:space="preserve"> w</w:t>
      </w:r>
      <w:r w:rsidR="004D5AD1">
        <w:rPr>
          <w:noProof/>
        </w:rPr>
        <w:t> </w:t>
      </w:r>
      <w:r w:rsidR="004D5AD1" w:rsidRPr="004D5AD1">
        <w:rPr>
          <w:noProof/>
        </w:rPr>
        <w:t>poc</w:t>
      </w:r>
      <w:r w:rsidRPr="004D5AD1">
        <w:rPr>
          <w:noProof/>
        </w:rPr>
        <w:t>hodni jest technicznie niewykonalne lub stwarza zagrożenie dla bezpieczeństwa prowadzonej działalności lub personelu</w:t>
      </w:r>
      <w:r w:rsidR="004D5AD1" w:rsidRPr="004D5AD1">
        <w:rPr>
          <w:noProof/>
        </w:rPr>
        <w:t>. W</w:t>
      </w:r>
      <w:r w:rsidR="004D5AD1">
        <w:rPr>
          <w:noProof/>
        </w:rPr>
        <w:t> </w:t>
      </w:r>
      <w:r w:rsidR="004D5AD1" w:rsidRPr="004D5AD1">
        <w:rPr>
          <w:noProof/>
        </w:rPr>
        <w:t>tak</w:t>
      </w:r>
      <w:r w:rsidRPr="004D5AD1">
        <w:rPr>
          <w:noProof/>
        </w:rPr>
        <w:t>iej sytuacji,</w:t>
      </w:r>
      <w:r w:rsidR="004D5AD1" w:rsidRPr="004D5AD1">
        <w:rPr>
          <w:noProof/>
        </w:rPr>
        <w:t xml:space="preserve"> w</w:t>
      </w:r>
      <w:r w:rsidR="004D5AD1">
        <w:rPr>
          <w:noProof/>
        </w:rPr>
        <w:t> </w:t>
      </w:r>
      <w:r w:rsidR="004D5AD1" w:rsidRPr="004D5AD1">
        <w:rPr>
          <w:noProof/>
        </w:rPr>
        <w:t>ram</w:t>
      </w:r>
      <w:r w:rsidRPr="004D5AD1">
        <w:rPr>
          <w:noProof/>
        </w:rPr>
        <w:t>ach obowiązków sprawozdawczych określonych</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16, operatorzy muszą udowodnić właściwym organom konieczność podjęcia decyzji</w:t>
      </w:r>
      <w:r w:rsidR="004D5AD1" w:rsidRPr="004D5AD1">
        <w:rPr>
          <w:noProof/>
        </w:rPr>
        <w:t xml:space="preserve"> o</w:t>
      </w:r>
      <w:r w:rsidR="004D5AD1">
        <w:rPr>
          <w:noProof/>
        </w:rPr>
        <w:t> </w:t>
      </w:r>
      <w:r w:rsidR="004D5AD1" w:rsidRPr="004D5AD1">
        <w:rPr>
          <w:noProof/>
        </w:rPr>
        <w:t>uwa</w:t>
      </w:r>
      <w:r w:rsidRPr="004D5AD1">
        <w:rPr>
          <w:noProof/>
        </w:rPr>
        <w:t>lnianiu do atmosfery zamiast spalania</w:t>
      </w:r>
      <w:r w:rsidR="004D5AD1" w:rsidRPr="004D5AD1">
        <w:rPr>
          <w:noProof/>
        </w:rPr>
        <w:t xml:space="preserve"> w</w:t>
      </w:r>
      <w:r w:rsidR="004D5AD1">
        <w:rPr>
          <w:noProof/>
        </w:rPr>
        <w:t> </w:t>
      </w:r>
      <w:r w:rsidR="004D5AD1" w:rsidRPr="004D5AD1">
        <w:rPr>
          <w:noProof/>
        </w:rPr>
        <w:t>poc</w:t>
      </w:r>
      <w:r w:rsidRPr="004D5AD1">
        <w:rPr>
          <w:noProof/>
        </w:rPr>
        <w:t xml:space="preserve">hodni. </w:t>
      </w:r>
    </w:p>
    <w:p w14:paraId="2722EB12" w14:textId="4BE4D07D" w:rsidR="00E212DB" w:rsidRPr="004D5AD1" w:rsidRDefault="00E212DB" w:rsidP="00E212DB">
      <w:pPr>
        <w:rPr>
          <w:noProof/>
          <w:szCs w:val="24"/>
        </w:rPr>
      </w:pPr>
      <w:r w:rsidRPr="004D5AD1">
        <w:rPr>
          <w:noProof/>
        </w:rPr>
        <w:t>5.</w:t>
      </w:r>
      <w:r w:rsidRPr="004D5AD1">
        <w:rPr>
          <w:noProof/>
        </w:rPr>
        <w:tab/>
        <w:t>Spalanie gazu</w:t>
      </w:r>
      <w:r w:rsidR="004D5AD1" w:rsidRPr="004D5AD1">
        <w:rPr>
          <w:noProof/>
        </w:rPr>
        <w:t xml:space="preserve"> w</w:t>
      </w:r>
      <w:r w:rsidR="004D5AD1">
        <w:rPr>
          <w:noProof/>
        </w:rPr>
        <w:t> </w:t>
      </w:r>
      <w:r w:rsidR="004D5AD1" w:rsidRPr="004D5AD1">
        <w:rPr>
          <w:noProof/>
        </w:rPr>
        <w:t>poc</w:t>
      </w:r>
      <w:r w:rsidRPr="004D5AD1">
        <w:rPr>
          <w:noProof/>
        </w:rPr>
        <w:t>hodni jest dozwolone jedynie</w:t>
      </w:r>
      <w:r w:rsidR="004D5AD1" w:rsidRPr="004D5AD1">
        <w:rPr>
          <w:noProof/>
        </w:rPr>
        <w:t xml:space="preserve"> w</w:t>
      </w:r>
      <w:r w:rsidR="004D5AD1">
        <w:rPr>
          <w:noProof/>
        </w:rPr>
        <w:t> </w:t>
      </w:r>
      <w:r w:rsidR="004D5AD1" w:rsidRPr="004D5AD1">
        <w:rPr>
          <w:noProof/>
        </w:rPr>
        <w:t>prz</w:t>
      </w:r>
      <w:r w:rsidRPr="004D5AD1">
        <w:rPr>
          <w:noProof/>
        </w:rPr>
        <w:t>ypadku, gdy ponowne zatłoczenie metanu, wykorzystanie go na miejscu albo wysłanie na rynek nie jest wykonalne</w:t>
      </w:r>
      <w:r w:rsidR="004D5AD1" w:rsidRPr="004D5AD1">
        <w:rPr>
          <w:noProof/>
        </w:rPr>
        <w:t xml:space="preserve"> z</w:t>
      </w:r>
      <w:r w:rsidR="004D5AD1">
        <w:rPr>
          <w:noProof/>
        </w:rPr>
        <w:t> </w:t>
      </w:r>
      <w:r w:rsidR="004D5AD1" w:rsidRPr="004D5AD1">
        <w:rPr>
          <w:noProof/>
        </w:rPr>
        <w:t>prz</w:t>
      </w:r>
      <w:r w:rsidRPr="004D5AD1">
        <w:rPr>
          <w:noProof/>
        </w:rPr>
        <w:t>yczyn innych niż względy ekonomiczne</w:t>
      </w:r>
      <w:r w:rsidR="004D5AD1" w:rsidRPr="004D5AD1">
        <w:rPr>
          <w:noProof/>
        </w:rPr>
        <w:t>. W</w:t>
      </w:r>
      <w:r w:rsidR="004D5AD1">
        <w:rPr>
          <w:noProof/>
        </w:rPr>
        <w:t> </w:t>
      </w:r>
      <w:r w:rsidR="004D5AD1" w:rsidRPr="004D5AD1">
        <w:rPr>
          <w:noProof/>
        </w:rPr>
        <w:t>tak</w:t>
      </w:r>
      <w:r w:rsidRPr="004D5AD1">
        <w:rPr>
          <w:noProof/>
        </w:rPr>
        <w:t>iej sytuacji,</w:t>
      </w:r>
      <w:r w:rsidR="004D5AD1" w:rsidRPr="004D5AD1">
        <w:rPr>
          <w:noProof/>
        </w:rPr>
        <w:t xml:space="preserve"> w</w:t>
      </w:r>
      <w:r w:rsidR="004D5AD1">
        <w:rPr>
          <w:noProof/>
        </w:rPr>
        <w:t> </w:t>
      </w:r>
      <w:r w:rsidR="004D5AD1" w:rsidRPr="004D5AD1">
        <w:rPr>
          <w:noProof/>
        </w:rPr>
        <w:t>ram</w:t>
      </w:r>
      <w:r w:rsidRPr="004D5AD1">
        <w:rPr>
          <w:noProof/>
        </w:rPr>
        <w:t>ach obowiązków sprawozdawczych określonych</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16, operatorzy muszą udowodnić właściwym organom konieczność podjęcia decyzji</w:t>
      </w:r>
      <w:r w:rsidR="004D5AD1" w:rsidRPr="004D5AD1">
        <w:rPr>
          <w:noProof/>
        </w:rPr>
        <w:t xml:space="preserve"> o</w:t>
      </w:r>
      <w:r w:rsidR="004D5AD1">
        <w:rPr>
          <w:noProof/>
        </w:rPr>
        <w:t> </w:t>
      </w:r>
      <w:r w:rsidR="004D5AD1" w:rsidRPr="004D5AD1">
        <w:rPr>
          <w:noProof/>
        </w:rPr>
        <w:t>spa</w:t>
      </w:r>
      <w:r w:rsidRPr="004D5AD1">
        <w:rPr>
          <w:noProof/>
        </w:rPr>
        <w:t>laniu</w:t>
      </w:r>
      <w:r w:rsidR="004D5AD1" w:rsidRPr="004D5AD1">
        <w:rPr>
          <w:noProof/>
        </w:rPr>
        <w:t xml:space="preserve"> w</w:t>
      </w:r>
      <w:r w:rsidR="004D5AD1">
        <w:rPr>
          <w:noProof/>
        </w:rPr>
        <w:t> </w:t>
      </w:r>
      <w:r w:rsidR="004D5AD1" w:rsidRPr="004D5AD1">
        <w:rPr>
          <w:noProof/>
        </w:rPr>
        <w:t>poc</w:t>
      </w:r>
      <w:r w:rsidRPr="004D5AD1">
        <w:rPr>
          <w:noProof/>
        </w:rPr>
        <w:t>hodni zamiast ponownego zatłoczenia metanu, wykorzystania go na miejscu albo wysłania na rynek.</w:t>
      </w:r>
    </w:p>
    <w:p w14:paraId="18CE507F" w14:textId="77777777" w:rsidR="00BC3357" w:rsidRPr="004D5AD1" w:rsidRDefault="00BC3357" w:rsidP="00E212DB">
      <w:pPr>
        <w:rPr>
          <w:noProof/>
          <w:szCs w:val="24"/>
        </w:rPr>
      </w:pPr>
    </w:p>
    <w:p w14:paraId="44E5CF44" w14:textId="77777777" w:rsidR="00E212DB" w:rsidRPr="004D5AD1" w:rsidRDefault="00E212DB" w:rsidP="00E212DB">
      <w:pPr>
        <w:pStyle w:val="Titrearticle"/>
        <w:rPr>
          <w:noProof/>
        </w:rPr>
      </w:pPr>
      <w:r w:rsidRPr="004D5AD1">
        <w:rPr>
          <w:noProof/>
        </w:rPr>
        <w:t>Artykuł 16</w:t>
      </w:r>
    </w:p>
    <w:p w14:paraId="3F4D436D" w14:textId="241974F5" w:rsidR="00E212DB" w:rsidRPr="004D5AD1" w:rsidRDefault="00E212DB" w:rsidP="00E212DB">
      <w:pPr>
        <w:pStyle w:val="NormalCentered"/>
        <w:rPr>
          <w:b/>
          <w:noProof/>
          <w:szCs w:val="24"/>
        </w:rPr>
      </w:pPr>
      <w:r w:rsidRPr="004D5AD1">
        <w:rPr>
          <w:b/>
          <w:noProof/>
          <w:szCs w:val="24"/>
        </w:rPr>
        <w:t>Zgłaszanie przypadków uwolnienia do atmosfery</w:t>
      </w:r>
      <w:r w:rsidR="004D5AD1" w:rsidRPr="004D5AD1">
        <w:rPr>
          <w:b/>
          <w:noProof/>
          <w:szCs w:val="24"/>
        </w:rPr>
        <w:t xml:space="preserve"> i</w:t>
      </w:r>
      <w:r w:rsidR="004D5AD1">
        <w:rPr>
          <w:b/>
          <w:noProof/>
          <w:szCs w:val="24"/>
        </w:rPr>
        <w:t> </w:t>
      </w:r>
      <w:r w:rsidR="004D5AD1" w:rsidRPr="004D5AD1">
        <w:rPr>
          <w:b/>
          <w:noProof/>
          <w:szCs w:val="24"/>
        </w:rPr>
        <w:t>spa</w:t>
      </w:r>
      <w:r w:rsidRPr="004D5AD1">
        <w:rPr>
          <w:b/>
          <w:noProof/>
          <w:szCs w:val="24"/>
        </w:rPr>
        <w:t>lenia</w:t>
      </w:r>
      <w:r w:rsidR="004D5AD1" w:rsidRPr="004D5AD1">
        <w:rPr>
          <w:b/>
          <w:noProof/>
          <w:szCs w:val="24"/>
        </w:rPr>
        <w:t xml:space="preserve"> w</w:t>
      </w:r>
      <w:r w:rsidR="004D5AD1">
        <w:rPr>
          <w:b/>
          <w:noProof/>
          <w:szCs w:val="24"/>
        </w:rPr>
        <w:t> </w:t>
      </w:r>
      <w:r w:rsidR="004D5AD1" w:rsidRPr="004D5AD1">
        <w:rPr>
          <w:b/>
          <w:noProof/>
          <w:szCs w:val="24"/>
        </w:rPr>
        <w:t>poc</w:t>
      </w:r>
      <w:r w:rsidRPr="004D5AD1">
        <w:rPr>
          <w:b/>
          <w:noProof/>
          <w:szCs w:val="24"/>
        </w:rPr>
        <w:t xml:space="preserve">hodni </w:t>
      </w:r>
    </w:p>
    <w:p w14:paraId="122074FB" w14:textId="1C2BAA21" w:rsidR="00E212DB" w:rsidRPr="004D5AD1" w:rsidRDefault="00E212DB" w:rsidP="00E212DB">
      <w:pPr>
        <w:ind w:left="720" w:hanging="720"/>
        <w:rPr>
          <w:noProof/>
          <w:szCs w:val="24"/>
        </w:rPr>
      </w:pPr>
      <w:r w:rsidRPr="004D5AD1">
        <w:rPr>
          <w:noProof/>
        </w:rPr>
        <w:t>1.</w:t>
      </w:r>
      <w:r w:rsidRPr="004D5AD1">
        <w:rPr>
          <w:noProof/>
        </w:rPr>
        <w:tab/>
        <w:t>Operatorzy powiadamiają właściwe organy</w:t>
      </w:r>
      <w:r w:rsidR="004D5AD1" w:rsidRPr="004D5AD1">
        <w:rPr>
          <w:noProof/>
        </w:rPr>
        <w:t xml:space="preserve"> o</w:t>
      </w:r>
      <w:r w:rsidR="004D5AD1">
        <w:rPr>
          <w:noProof/>
        </w:rPr>
        <w:t> </w:t>
      </w:r>
      <w:r w:rsidR="004D5AD1" w:rsidRPr="004D5AD1">
        <w:rPr>
          <w:noProof/>
        </w:rPr>
        <w:t>wsz</w:t>
      </w:r>
      <w:r w:rsidRPr="004D5AD1">
        <w:rPr>
          <w:noProof/>
        </w:rPr>
        <w:t>ystkich przypadkach uwolnienia do atmosfery</w:t>
      </w:r>
      <w:r w:rsidR="004D5AD1" w:rsidRPr="004D5AD1">
        <w:rPr>
          <w:noProof/>
        </w:rPr>
        <w:t xml:space="preserve"> i</w:t>
      </w:r>
      <w:r w:rsidR="004D5AD1">
        <w:rPr>
          <w:noProof/>
        </w:rPr>
        <w:t> </w:t>
      </w:r>
      <w:r w:rsidR="004D5AD1" w:rsidRPr="004D5AD1">
        <w:rPr>
          <w:noProof/>
        </w:rPr>
        <w:t>spa</w:t>
      </w:r>
      <w:r w:rsidRPr="004D5AD1">
        <w:rPr>
          <w:noProof/>
        </w:rPr>
        <w:t>lenia</w:t>
      </w:r>
      <w:r w:rsidR="004D5AD1" w:rsidRPr="004D5AD1">
        <w:rPr>
          <w:noProof/>
        </w:rPr>
        <w:t xml:space="preserve"> w</w:t>
      </w:r>
      <w:r w:rsidR="004D5AD1">
        <w:rPr>
          <w:noProof/>
        </w:rPr>
        <w:t> </w:t>
      </w:r>
      <w:r w:rsidR="004D5AD1" w:rsidRPr="004D5AD1">
        <w:rPr>
          <w:noProof/>
        </w:rPr>
        <w:t>poc</w:t>
      </w:r>
      <w:r w:rsidRPr="004D5AD1">
        <w:rPr>
          <w:noProof/>
        </w:rPr>
        <w:t>hodni:</w:t>
      </w:r>
    </w:p>
    <w:p w14:paraId="0234867F" w14:textId="0CA9657D" w:rsidR="00E212DB" w:rsidRPr="004D5AD1" w:rsidRDefault="00E212DB" w:rsidP="00E212DB">
      <w:pPr>
        <w:ind w:left="720"/>
        <w:rPr>
          <w:noProof/>
          <w:szCs w:val="24"/>
        </w:rPr>
      </w:pPr>
      <w:r w:rsidRPr="004D5AD1">
        <w:rPr>
          <w:noProof/>
        </w:rPr>
        <w:t xml:space="preserve">a) spowodowanych sytuacją awaryjną lub niesprawnością; </w:t>
      </w:r>
    </w:p>
    <w:p w14:paraId="27B25C8C" w14:textId="27E71E65" w:rsidR="00E212DB" w:rsidRPr="004D5AD1" w:rsidRDefault="00E212DB" w:rsidP="002A3FC7">
      <w:pPr>
        <w:ind w:left="720"/>
        <w:rPr>
          <w:noProof/>
          <w:szCs w:val="24"/>
        </w:rPr>
      </w:pPr>
      <w:r w:rsidRPr="004D5AD1">
        <w:rPr>
          <w:noProof/>
        </w:rPr>
        <w:t>b) trwających łącznie co najmniej 8 godzin</w:t>
      </w:r>
      <w:r w:rsidR="004D5AD1" w:rsidRPr="004D5AD1">
        <w:rPr>
          <w:noProof/>
        </w:rPr>
        <w:t xml:space="preserve"> w</w:t>
      </w:r>
      <w:r w:rsidR="004D5AD1">
        <w:rPr>
          <w:noProof/>
        </w:rPr>
        <w:t> </w:t>
      </w:r>
      <w:r w:rsidR="004D5AD1" w:rsidRPr="004D5AD1">
        <w:rPr>
          <w:noProof/>
        </w:rPr>
        <w:t>cią</w:t>
      </w:r>
      <w:r w:rsidRPr="004D5AD1">
        <w:rPr>
          <w:noProof/>
        </w:rPr>
        <w:t xml:space="preserve">gu 24-godzinnego okresu od wystąpienia pojedynczego przypadku. </w:t>
      </w:r>
    </w:p>
    <w:p w14:paraId="0095322B" w14:textId="3F9908D4" w:rsidR="00E212DB" w:rsidRPr="004D5AD1" w:rsidRDefault="00E212DB" w:rsidP="00E212DB">
      <w:pPr>
        <w:rPr>
          <w:noProof/>
          <w:szCs w:val="24"/>
        </w:rPr>
      </w:pPr>
      <w:r w:rsidRPr="004D5AD1">
        <w:rPr>
          <w:noProof/>
        </w:rPr>
        <w:t>Powiadomienia,</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aka</w:t>
      </w:r>
      <w:r w:rsidRPr="004D5AD1">
        <w:rPr>
          <w:noProof/>
        </w:rPr>
        <w:t>picie pierwszym, dokonuje się niezwłocznie po zdarzeniu</w:t>
      </w:r>
      <w:r w:rsidR="004D5AD1" w:rsidRPr="004D5AD1">
        <w:rPr>
          <w:noProof/>
        </w:rPr>
        <w:t xml:space="preserve"> i</w:t>
      </w:r>
      <w:r w:rsidR="004D5AD1">
        <w:rPr>
          <w:noProof/>
        </w:rPr>
        <w:t> </w:t>
      </w:r>
      <w:r w:rsidR="004D5AD1" w:rsidRPr="004D5AD1">
        <w:rPr>
          <w:noProof/>
        </w:rPr>
        <w:t>naj</w:t>
      </w:r>
      <w:r w:rsidRPr="004D5AD1">
        <w:rPr>
          <w:noProof/>
        </w:rPr>
        <w:t>później</w:t>
      </w:r>
      <w:r w:rsidR="004D5AD1" w:rsidRPr="004D5AD1">
        <w:rPr>
          <w:noProof/>
        </w:rPr>
        <w:t xml:space="preserve"> w</w:t>
      </w:r>
      <w:r w:rsidR="004D5AD1">
        <w:rPr>
          <w:noProof/>
        </w:rPr>
        <w:t> </w:t>
      </w:r>
      <w:r w:rsidR="004D5AD1" w:rsidRPr="004D5AD1">
        <w:rPr>
          <w:noProof/>
        </w:rPr>
        <w:t>cią</w:t>
      </w:r>
      <w:r w:rsidRPr="004D5AD1">
        <w:rPr>
          <w:noProof/>
        </w:rPr>
        <w:t>gu 48 godzin od rozpoczęcia zdarzenia lub od chwili,</w:t>
      </w:r>
      <w:r w:rsidR="004D5AD1" w:rsidRPr="004D5AD1">
        <w:rPr>
          <w:noProof/>
        </w:rPr>
        <w:t xml:space="preserve"> w</w:t>
      </w:r>
      <w:r w:rsidR="004D5AD1">
        <w:rPr>
          <w:noProof/>
        </w:rPr>
        <w:t> </w:t>
      </w:r>
      <w:r w:rsidR="004D5AD1" w:rsidRPr="004D5AD1">
        <w:rPr>
          <w:noProof/>
        </w:rPr>
        <w:t>któ</w:t>
      </w:r>
      <w:r w:rsidRPr="004D5AD1">
        <w:rPr>
          <w:noProof/>
        </w:rPr>
        <w:t>rej operator dowiedział się</w:t>
      </w:r>
      <w:r w:rsidR="004D5AD1" w:rsidRPr="004D5AD1">
        <w:rPr>
          <w:noProof/>
        </w:rPr>
        <w:t xml:space="preserve"> o</w:t>
      </w:r>
      <w:r w:rsidR="004D5AD1">
        <w:rPr>
          <w:noProof/>
        </w:rPr>
        <w:t> </w:t>
      </w:r>
      <w:r w:rsidR="004D5AD1" w:rsidRPr="004D5AD1">
        <w:rPr>
          <w:noProof/>
        </w:rPr>
        <w:t>nim</w:t>
      </w:r>
      <w:r w:rsidRPr="004D5AD1">
        <w:rPr>
          <w:noProof/>
        </w:rPr>
        <w:t>.</w:t>
      </w:r>
    </w:p>
    <w:p w14:paraId="76B23DC9" w14:textId="48B39315" w:rsidR="00E212DB" w:rsidRPr="004D5AD1" w:rsidRDefault="00E212DB" w:rsidP="00E212DB">
      <w:pPr>
        <w:rPr>
          <w:noProof/>
          <w:szCs w:val="24"/>
        </w:rPr>
      </w:pPr>
      <w:r w:rsidRPr="004D5AD1">
        <w:rPr>
          <w:noProof/>
        </w:rPr>
        <w:t>2.</w:t>
      </w:r>
      <w:r w:rsidRPr="004D5AD1">
        <w:rPr>
          <w:noProof/>
        </w:rPr>
        <w:tab/>
        <w:t>Operatorzy przedkładają właściwym organom kwartalne sprawozdania dotyczące wszystkich przypadków uwolnienia do atmosfery</w:t>
      </w:r>
      <w:r w:rsidR="004D5AD1" w:rsidRPr="004D5AD1">
        <w:rPr>
          <w:noProof/>
        </w:rPr>
        <w:t xml:space="preserve"> i</w:t>
      </w:r>
      <w:r w:rsidR="004D5AD1">
        <w:rPr>
          <w:noProof/>
        </w:rPr>
        <w:t> </w:t>
      </w:r>
      <w:r w:rsidR="004D5AD1" w:rsidRPr="004D5AD1">
        <w:rPr>
          <w:noProof/>
        </w:rPr>
        <w:t>spa</w:t>
      </w:r>
      <w:r w:rsidRPr="004D5AD1">
        <w:rPr>
          <w:noProof/>
        </w:rPr>
        <w:t>lenia</w:t>
      </w:r>
      <w:r w:rsidR="004D5AD1" w:rsidRPr="004D5AD1">
        <w:rPr>
          <w:noProof/>
        </w:rPr>
        <w:t xml:space="preserve"> w</w:t>
      </w:r>
      <w:r w:rsidR="004D5AD1">
        <w:rPr>
          <w:noProof/>
        </w:rPr>
        <w:t> </w:t>
      </w:r>
      <w:r w:rsidR="004D5AD1" w:rsidRPr="004D5AD1">
        <w:rPr>
          <w:noProof/>
        </w:rPr>
        <w:t>poc</w:t>
      </w:r>
      <w:r w:rsidRPr="004D5AD1">
        <w:rPr>
          <w:noProof/>
        </w:rPr>
        <w:t>hodni,</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1</w:t>
      </w:r>
      <w:r w:rsidR="004D5AD1" w:rsidRPr="004D5AD1">
        <w:rPr>
          <w:noProof/>
        </w:rPr>
        <w:t xml:space="preserve"> i</w:t>
      </w:r>
      <w:r w:rsidR="004D5AD1">
        <w:rPr>
          <w:noProof/>
        </w:rPr>
        <w:t> </w:t>
      </w:r>
      <w:r w:rsidR="004D5AD1" w:rsidRPr="004D5AD1">
        <w:rPr>
          <w:noProof/>
        </w:rPr>
        <w:t>w</w:t>
      </w:r>
      <w:r w:rsidR="004D5AD1">
        <w:rPr>
          <w:noProof/>
        </w:rPr>
        <w:t> </w:t>
      </w:r>
      <w:r w:rsidR="004D5AD1" w:rsidRPr="004D5AD1">
        <w:rPr>
          <w:noProof/>
        </w:rPr>
        <w:t>art</w:t>
      </w:r>
      <w:r w:rsidRPr="004D5AD1">
        <w:rPr>
          <w:noProof/>
        </w:rPr>
        <w:t>.</w:t>
      </w:r>
      <w:r w:rsidR="004D5AD1" w:rsidRPr="004D5AD1">
        <w:rPr>
          <w:noProof/>
        </w:rPr>
        <w:t> </w:t>
      </w:r>
      <w:r w:rsidRPr="004D5AD1">
        <w:rPr>
          <w:noProof/>
        </w:rPr>
        <w:t>15, zgodnie</w:t>
      </w:r>
      <w:r w:rsidR="004D5AD1" w:rsidRPr="004D5AD1">
        <w:rPr>
          <w:noProof/>
        </w:rPr>
        <w:t xml:space="preserve"> z</w:t>
      </w:r>
      <w:r w:rsidR="004D5AD1">
        <w:rPr>
          <w:noProof/>
        </w:rPr>
        <w:t> </w:t>
      </w:r>
      <w:r w:rsidR="004D5AD1" w:rsidRPr="004D5AD1">
        <w:rPr>
          <w:noProof/>
        </w:rPr>
        <w:t>ele</w:t>
      </w:r>
      <w:r w:rsidRPr="004D5AD1">
        <w:rPr>
          <w:noProof/>
        </w:rPr>
        <w:t>mentami określonymi</w:t>
      </w:r>
      <w:r w:rsidR="004D5AD1" w:rsidRPr="004D5AD1">
        <w:rPr>
          <w:noProof/>
        </w:rPr>
        <w:t xml:space="preserve"> w</w:t>
      </w:r>
      <w:r w:rsidR="004D5AD1">
        <w:rPr>
          <w:noProof/>
        </w:rPr>
        <w:t> </w:t>
      </w:r>
      <w:r w:rsidR="004D5AD1" w:rsidRPr="004D5AD1">
        <w:rPr>
          <w:noProof/>
        </w:rPr>
        <w:t>zał</w:t>
      </w:r>
      <w:r w:rsidRPr="004D5AD1">
        <w:rPr>
          <w:noProof/>
        </w:rPr>
        <w:t>ączniku II.</w:t>
      </w:r>
    </w:p>
    <w:p w14:paraId="575A9100" w14:textId="60BD9BAE" w:rsidR="00546AFF" w:rsidRPr="004D5AD1" w:rsidRDefault="00546AFF" w:rsidP="00546AFF">
      <w:pPr>
        <w:rPr>
          <w:noProof/>
        </w:rPr>
      </w:pPr>
      <w:r w:rsidRPr="004D5AD1">
        <w:rPr>
          <w:noProof/>
        </w:rPr>
        <w:t>3.</w:t>
      </w:r>
      <w:r w:rsidRPr="004D5AD1">
        <w:rPr>
          <w:noProof/>
        </w:rPr>
        <w:tab/>
        <w:t>Właściwe organy co roku udostępniają opinii publicznej</w:t>
      </w:r>
      <w:r w:rsidR="004D5AD1" w:rsidRPr="004D5AD1">
        <w:rPr>
          <w:noProof/>
        </w:rPr>
        <w:t xml:space="preserve"> i</w:t>
      </w:r>
      <w:r w:rsidR="004D5AD1">
        <w:rPr>
          <w:noProof/>
        </w:rPr>
        <w:t> </w:t>
      </w:r>
      <w:r w:rsidR="004D5AD1" w:rsidRPr="004D5AD1">
        <w:rPr>
          <w:noProof/>
        </w:rPr>
        <w:t>Kom</w:t>
      </w:r>
      <w:r w:rsidRPr="004D5AD1">
        <w:rPr>
          <w:noProof/>
        </w:rPr>
        <w:t>isji sprawozdania określone</w:t>
      </w:r>
      <w:r w:rsidR="004D5AD1" w:rsidRPr="004D5AD1">
        <w:rPr>
          <w:noProof/>
        </w:rPr>
        <w:t xml:space="preserve"> w</w:t>
      </w:r>
      <w:r w:rsidR="004D5AD1">
        <w:rPr>
          <w:noProof/>
        </w:rPr>
        <w:t> </w:t>
      </w:r>
      <w:r w:rsidR="004D5AD1" w:rsidRPr="004D5AD1">
        <w:rPr>
          <w:noProof/>
        </w:rPr>
        <w:t>nin</w:t>
      </w:r>
      <w:r w:rsidRPr="004D5AD1">
        <w:rPr>
          <w:noProof/>
        </w:rPr>
        <w:t>iejszym artykule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5 ust.</w:t>
      </w:r>
      <w:r w:rsidR="004D5AD1" w:rsidRPr="004D5AD1">
        <w:rPr>
          <w:noProof/>
        </w:rPr>
        <w:t> </w:t>
      </w:r>
      <w:r w:rsidRPr="004D5AD1">
        <w:rPr>
          <w:noProof/>
        </w:rPr>
        <w:t>4.</w:t>
      </w:r>
    </w:p>
    <w:p w14:paraId="392F8E76" w14:textId="74CA158B" w:rsidR="00546AFF" w:rsidRPr="004D5AD1" w:rsidRDefault="00546AFF" w:rsidP="00E212DB">
      <w:pPr>
        <w:rPr>
          <w:noProof/>
          <w:szCs w:val="24"/>
        </w:rPr>
      </w:pPr>
    </w:p>
    <w:p w14:paraId="56D9B7EC" w14:textId="77777777" w:rsidR="00E212DB" w:rsidRPr="004D5AD1" w:rsidRDefault="00E212DB" w:rsidP="00E212DB">
      <w:pPr>
        <w:pStyle w:val="Titrearticle"/>
        <w:rPr>
          <w:noProof/>
        </w:rPr>
      </w:pPr>
      <w:r w:rsidRPr="004D5AD1">
        <w:rPr>
          <w:noProof/>
        </w:rPr>
        <w:t>Artykuł 17</w:t>
      </w:r>
    </w:p>
    <w:p w14:paraId="7971BB30" w14:textId="1FD73294" w:rsidR="00E212DB" w:rsidRPr="004D5AD1" w:rsidRDefault="00E212DB" w:rsidP="00E212DB">
      <w:pPr>
        <w:pStyle w:val="NormalCentered"/>
        <w:rPr>
          <w:b/>
          <w:noProof/>
          <w:szCs w:val="24"/>
        </w:rPr>
      </w:pPr>
      <w:r w:rsidRPr="004D5AD1">
        <w:rPr>
          <w:b/>
          <w:noProof/>
          <w:szCs w:val="24"/>
        </w:rPr>
        <w:t>Wymogi dotyczące norm spalania</w:t>
      </w:r>
      <w:r w:rsidR="004D5AD1" w:rsidRPr="004D5AD1">
        <w:rPr>
          <w:b/>
          <w:noProof/>
          <w:szCs w:val="24"/>
        </w:rPr>
        <w:t xml:space="preserve"> w</w:t>
      </w:r>
      <w:r w:rsidR="004D5AD1">
        <w:rPr>
          <w:b/>
          <w:noProof/>
          <w:szCs w:val="24"/>
        </w:rPr>
        <w:t> </w:t>
      </w:r>
      <w:r w:rsidR="004D5AD1" w:rsidRPr="004D5AD1">
        <w:rPr>
          <w:b/>
          <w:noProof/>
          <w:szCs w:val="24"/>
        </w:rPr>
        <w:t>poc</w:t>
      </w:r>
      <w:r w:rsidRPr="004D5AD1">
        <w:rPr>
          <w:b/>
          <w:noProof/>
          <w:szCs w:val="24"/>
        </w:rPr>
        <w:t xml:space="preserve">hodni </w:t>
      </w:r>
    </w:p>
    <w:p w14:paraId="1B271434" w14:textId="192AA6B8" w:rsidR="00E212DB" w:rsidRPr="004D5AD1" w:rsidRDefault="00E212DB" w:rsidP="003F2E21">
      <w:pPr>
        <w:rPr>
          <w:noProof/>
        </w:rPr>
      </w:pPr>
      <w:r w:rsidRPr="004D5AD1">
        <w:rPr>
          <w:noProof/>
        </w:rPr>
        <w:t>1.</w:t>
      </w:r>
      <w:r w:rsidRPr="004D5AD1">
        <w:rPr>
          <w:noProof/>
        </w:rPr>
        <w:tab/>
        <w:t>W przypadku budowy, wymiany lub remontu obiektu lub instalacji nowych urządzeń do spalania odpadów petrochemicznych lub innych urządzeń do spalania operatorzy instalują wyłącznie urządzenia do spalania</w:t>
      </w:r>
      <w:r w:rsidR="004D5AD1" w:rsidRPr="004D5AD1">
        <w:rPr>
          <w:noProof/>
        </w:rPr>
        <w:t xml:space="preserve"> z</w:t>
      </w:r>
      <w:r w:rsidR="004D5AD1">
        <w:rPr>
          <w:noProof/>
        </w:rPr>
        <w:t> </w:t>
      </w:r>
      <w:r w:rsidR="004D5AD1" w:rsidRPr="004D5AD1">
        <w:rPr>
          <w:noProof/>
        </w:rPr>
        <w:t>sam</w:t>
      </w:r>
      <w:r w:rsidRPr="004D5AD1">
        <w:rPr>
          <w:noProof/>
        </w:rPr>
        <w:t>ozapłonem lub palnikiem stałego zapłonu oraz</w:t>
      </w:r>
      <w:r w:rsidR="004D5AD1" w:rsidRPr="004D5AD1">
        <w:rPr>
          <w:noProof/>
        </w:rPr>
        <w:t xml:space="preserve"> o</w:t>
      </w:r>
      <w:r w:rsidR="004D5AD1">
        <w:rPr>
          <w:noProof/>
        </w:rPr>
        <w:t> </w:t>
      </w:r>
      <w:r w:rsidR="004D5AD1" w:rsidRPr="004D5AD1">
        <w:rPr>
          <w:noProof/>
        </w:rPr>
        <w:t>cał</w:t>
      </w:r>
      <w:r w:rsidRPr="004D5AD1">
        <w:rPr>
          <w:noProof/>
        </w:rPr>
        <w:t>kowitej skuteczności niszczenia</w:t>
      </w:r>
      <w:r w:rsidR="004D5AD1" w:rsidRPr="004D5AD1">
        <w:rPr>
          <w:noProof/>
        </w:rPr>
        <w:t xml:space="preserve"> i</w:t>
      </w:r>
      <w:r w:rsidR="004D5AD1">
        <w:rPr>
          <w:noProof/>
        </w:rPr>
        <w:t> </w:t>
      </w:r>
      <w:r w:rsidR="004D5AD1" w:rsidRPr="004D5AD1">
        <w:rPr>
          <w:noProof/>
        </w:rPr>
        <w:t>usu</w:t>
      </w:r>
      <w:r w:rsidRPr="004D5AD1">
        <w:rPr>
          <w:noProof/>
        </w:rPr>
        <w:t xml:space="preserve">wania węglowodorów. </w:t>
      </w:r>
    </w:p>
    <w:p w14:paraId="453EDACB" w14:textId="55586BBC" w:rsidR="00E212DB" w:rsidRPr="004D5AD1" w:rsidRDefault="00E212DB" w:rsidP="003F2E21">
      <w:pPr>
        <w:rPr>
          <w:noProof/>
        </w:rPr>
      </w:pPr>
      <w:r w:rsidRPr="004D5AD1">
        <w:rPr>
          <w:noProof/>
        </w:rPr>
        <w:t>2.</w:t>
      </w:r>
      <w:r w:rsidRPr="004D5AD1">
        <w:rPr>
          <w:noProof/>
        </w:rPr>
        <w:tab/>
        <w:t xml:space="preserve"> Operatorzy zapewniają, aby do dnia … [</w:t>
      </w:r>
      <w:r w:rsidRPr="004D5AD1">
        <w:rPr>
          <w:i/>
          <w:noProof/>
        </w:rPr>
        <w:t>12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 wszystkie urządzenia do spalania odpadów petrochemicznych lub inne urządzenia do spalania spełniały wymogi określone</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 xml:space="preserve">1. </w:t>
      </w:r>
    </w:p>
    <w:p w14:paraId="175C77AA" w14:textId="379BB98E" w:rsidR="00E212DB" w:rsidRPr="004D5AD1" w:rsidRDefault="00E212DB" w:rsidP="003F2E21">
      <w:pPr>
        <w:rPr>
          <w:noProof/>
        </w:rPr>
      </w:pPr>
      <w:r w:rsidRPr="004D5AD1">
        <w:rPr>
          <w:noProof/>
        </w:rPr>
        <w:t>3.</w:t>
      </w:r>
      <w:r w:rsidRPr="004D5AD1">
        <w:rPr>
          <w:noProof/>
        </w:rPr>
        <w:tab/>
        <w:t>Operatorzy przeprowadzają cotygodniowe inspekcje urządzeń do spalania odpadów petrochemicznych zgodnie</w:t>
      </w:r>
      <w:r w:rsidR="004D5AD1" w:rsidRPr="004D5AD1">
        <w:rPr>
          <w:noProof/>
        </w:rPr>
        <w:t xml:space="preserve"> z</w:t>
      </w:r>
      <w:r w:rsidR="004D5AD1">
        <w:rPr>
          <w:noProof/>
        </w:rPr>
        <w:t> </w:t>
      </w:r>
      <w:r w:rsidR="004D5AD1" w:rsidRPr="004D5AD1">
        <w:rPr>
          <w:noProof/>
        </w:rPr>
        <w:t>ele</w:t>
      </w:r>
      <w:r w:rsidRPr="004D5AD1">
        <w:rPr>
          <w:noProof/>
        </w:rPr>
        <w:t>mentami określonymi</w:t>
      </w:r>
      <w:r w:rsidR="004D5AD1" w:rsidRPr="004D5AD1">
        <w:rPr>
          <w:noProof/>
        </w:rPr>
        <w:t xml:space="preserve"> w</w:t>
      </w:r>
      <w:r w:rsidR="004D5AD1">
        <w:rPr>
          <w:noProof/>
        </w:rPr>
        <w:t> </w:t>
      </w:r>
      <w:r w:rsidR="004D5AD1" w:rsidRPr="004D5AD1">
        <w:rPr>
          <w:noProof/>
        </w:rPr>
        <w:t>zał</w:t>
      </w:r>
      <w:r w:rsidRPr="004D5AD1">
        <w:rPr>
          <w:noProof/>
        </w:rPr>
        <w:t>ączniku III.</w:t>
      </w:r>
    </w:p>
    <w:p w14:paraId="51676709" w14:textId="2DBDB21D" w:rsidR="00E212DB" w:rsidRPr="004D5AD1" w:rsidRDefault="00E212DB" w:rsidP="00E212DB">
      <w:pPr>
        <w:rPr>
          <w:noProof/>
        </w:rPr>
      </w:pPr>
    </w:p>
    <w:p w14:paraId="44E5DBFF" w14:textId="37D118F3" w:rsidR="005D498E" w:rsidRPr="004D5AD1" w:rsidRDefault="005D498E" w:rsidP="005D498E">
      <w:pPr>
        <w:pStyle w:val="Titrearticle"/>
        <w:rPr>
          <w:noProof/>
        </w:rPr>
      </w:pPr>
      <w:r w:rsidRPr="004D5AD1">
        <w:rPr>
          <w:noProof/>
        </w:rPr>
        <w:t>Artykuł 18</w:t>
      </w:r>
    </w:p>
    <w:p w14:paraId="23FA598F" w14:textId="45058649" w:rsidR="005D498E" w:rsidRPr="004D5AD1" w:rsidRDefault="00187C43" w:rsidP="005D498E">
      <w:pPr>
        <w:jc w:val="center"/>
        <w:rPr>
          <w:noProof/>
        </w:rPr>
      </w:pPr>
      <w:r w:rsidRPr="004D5AD1">
        <w:rPr>
          <w:b/>
          <w:noProof/>
          <w:szCs w:val="24"/>
        </w:rPr>
        <w:t>Odwierty nieczynne</w:t>
      </w:r>
    </w:p>
    <w:p w14:paraId="0076FBC8" w14:textId="2C7F4F57" w:rsidR="00804F54" w:rsidRPr="004D5AD1" w:rsidRDefault="00804F54" w:rsidP="00C36CB7">
      <w:pPr>
        <w:rPr>
          <w:noProof/>
        </w:rPr>
      </w:pPr>
      <w:r w:rsidRPr="004D5AD1">
        <w:rPr>
          <w:noProof/>
        </w:rPr>
        <w:t>1.</w:t>
      </w:r>
      <w:r w:rsidRPr="004D5AD1">
        <w:rPr>
          <w:noProof/>
        </w:rPr>
        <w:tab/>
        <w:t>Do dnia … [</w:t>
      </w:r>
      <w:r w:rsidRPr="004D5AD1">
        <w:rPr>
          <w:i/>
          <w:noProof/>
        </w:rPr>
        <w:t>12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 państwa członkowskie ustanawiają</w:t>
      </w:r>
      <w:r w:rsidR="004D5AD1" w:rsidRPr="004D5AD1">
        <w:rPr>
          <w:noProof/>
        </w:rPr>
        <w:t xml:space="preserve"> i</w:t>
      </w:r>
      <w:r w:rsidR="004D5AD1">
        <w:rPr>
          <w:noProof/>
        </w:rPr>
        <w:t> </w:t>
      </w:r>
      <w:r w:rsidR="004D5AD1" w:rsidRPr="004D5AD1">
        <w:rPr>
          <w:noProof/>
        </w:rPr>
        <w:t>pod</w:t>
      </w:r>
      <w:r w:rsidRPr="004D5AD1">
        <w:rPr>
          <w:noProof/>
        </w:rPr>
        <w:t>ają do wiadomości publicznej wykaz wszystkich odwiertów nieczynnych na ich terytorium lub podlegających ich jurysdykcji, zawierający co najmniej elementy określone</w:t>
      </w:r>
      <w:r w:rsidR="004D5AD1" w:rsidRPr="004D5AD1">
        <w:rPr>
          <w:noProof/>
        </w:rPr>
        <w:t xml:space="preserve"> w</w:t>
      </w:r>
      <w:r w:rsidR="004D5AD1">
        <w:rPr>
          <w:noProof/>
        </w:rPr>
        <w:t> </w:t>
      </w:r>
      <w:r w:rsidR="004D5AD1" w:rsidRPr="004D5AD1">
        <w:rPr>
          <w:noProof/>
        </w:rPr>
        <w:t>zał</w:t>
      </w:r>
      <w:r w:rsidRPr="004D5AD1">
        <w:rPr>
          <w:noProof/>
        </w:rPr>
        <w:t xml:space="preserve">ączniku IV. </w:t>
      </w:r>
    </w:p>
    <w:p w14:paraId="5DF15159" w14:textId="786F05F0" w:rsidR="005837DE" w:rsidRPr="004D5AD1" w:rsidRDefault="00FA63F6" w:rsidP="006F7234">
      <w:pPr>
        <w:spacing w:after="160" w:line="259" w:lineRule="auto"/>
        <w:rPr>
          <w:rFonts w:eastAsia="Calibri"/>
          <w:noProof/>
          <w:szCs w:val="24"/>
        </w:rPr>
      </w:pPr>
      <w:r w:rsidRPr="004D5AD1">
        <w:rPr>
          <w:noProof/>
        </w:rPr>
        <w:t xml:space="preserve"> 2.</w:t>
      </w:r>
      <w:r w:rsidRPr="004D5AD1">
        <w:rPr>
          <w:noProof/>
        </w:rPr>
        <w:tab/>
        <w:t>Sprzęt do pomiaru emisji metanu instaluje się we wszystkich odwiertach nieczynnych do dnia … [</w:t>
      </w:r>
      <w:r w:rsidRPr="004D5AD1">
        <w:rPr>
          <w:i/>
          <w:noProof/>
        </w:rPr>
        <w:t>18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xml:space="preserve">] r. </w:t>
      </w:r>
    </w:p>
    <w:p w14:paraId="43117177" w14:textId="40248C31" w:rsidR="005837DE" w:rsidRPr="004D5AD1" w:rsidRDefault="006F7234" w:rsidP="005837DE">
      <w:pPr>
        <w:spacing w:after="160" w:line="259" w:lineRule="auto"/>
        <w:rPr>
          <w:rFonts w:eastAsia="Calibri"/>
          <w:noProof/>
          <w:szCs w:val="24"/>
        </w:rPr>
      </w:pPr>
      <w:r w:rsidRPr="004D5AD1">
        <w:rPr>
          <w:noProof/>
        </w:rPr>
        <w:t>3.</w:t>
      </w:r>
      <w:r w:rsidRPr="004D5AD1">
        <w:rPr>
          <w:noProof/>
        </w:rPr>
        <w:tab/>
        <w:t>Sprawozdania zawierające pomiary,</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2, przedkłada się właściwym organom do dnia … [</w:t>
      </w:r>
      <w:r w:rsidRPr="004D5AD1">
        <w:rPr>
          <w:i/>
          <w:noProof/>
        </w:rPr>
        <w:t>24 miesiące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w:t>
      </w:r>
      <w:r w:rsidR="004D5AD1" w:rsidRPr="004D5AD1">
        <w:rPr>
          <w:noProof/>
        </w:rPr>
        <w:t xml:space="preserve"> a</w:t>
      </w:r>
      <w:r w:rsidR="004D5AD1">
        <w:rPr>
          <w:noProof/>
        </w:rPr>
        <w:t> </w:t>
      </w:r>
      <w:r w:rsidR="004D5AD1" w:rsidRPr="004D5AD1">
        <w:rPr>
          <w:noProof/>
        </w:rPr>
        <w:t>nas</w:t>
      </w:r>
      <w:r w:rsidRPr="004D5AD1">
        <w:rPr>
          <w:noProof/>
        </w:rPr>
        <w:t>tępnie do dnia 30 marca każdego roku,</w:t>
      </w:r>
      <w:r w:rsidR="004D5AD1" w:rsidRPr="004D5AD1">
        <w:rPr>
          <w:noProof/>
        </w:rPr>
        <w:t xml:space="preserve"> a</w:t>
      </w:r>
      <w:r w:rsidR="004D5AD1">
        <w:rPr>
          <w:noProof/>
        </w:rPr>
        <w:t> </w:t>
      </w:r>
      <w:r w:rsidR="004D5AD1" w:rsidRPr="004D5AD1">
        <w:rPr>
          <w:noProof/>
        </w:rPr>
        <w:t>obe</w:t>
      </w:r>
      <w:r w:rsidRPr="004D5AD1">
        <w:rPr>
          <w:noProof/>
        </w:rPr>
        <w:t>jmują one ostatni dostępny rok kalendarzowy. Przed przedłożeniem właściwym organom sprawozdania określone</w:t>
      </w:r>
      <w:r w:rsidR="004D5AD1" w:rsidRPr="004D5AD1">
        <w:rPr>
          <w:noProof/>
        </w:rPr>
        <w:t xml:space="preserve"> w</w:t>
      </w:r>
      <w:r w:rsidR="004D5AD1">
        <w:rPr>
          <w:noProof/>
        </w:rPr>
        <w:t> </w:t>
      </w:r>
      <w:r w:rsidR="004D5AD1" w:rsidRPr="004D5AD1">
        <w:rPr>
          <w:noProof/>
        </w:rPr>
        <w:t>nin</w:t>
      </w:r>
      <w:r w:rsidRPr="004D5AD1">
        <w:rPr>
          <w:noProof/>
        </w:rPr>
        <w:t>iejszym ustępie są oceniane przez weryfikatora</w:t>
      </w:r>
      <w:r w:rsidR="004D5AD1" w:rsidRPr="004D5AD1">
        <w:rPr>
          <w:noProof/>
        </w:rPr>
        <w:t xml:space="preserve"> i</w:t>
      </w:r>
      <w:r w:rsidR="004D5AD1">
        <w:rPr>
          <w:noProof/>
        </w:rPr>
        <w:t> </w:t>
      </w:r>
      <w:r w:rsidR="004D5AD1" w:rsidRPr="004D5AD1">
        <w:rPr>
          <w:noProof/>
        </w:rPr>
        <w:t>zał</w:t>
      </w:r>
      <w:r w:rsidRPr="004D5AD1">
        <w:rPr>
          <w:noProof/>
        </w:rPr>
        <w:t>ącza się do nich oświadczenie weryfikacyjne wydane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8</w:t>
      </w:r>
      <w:r w:rsidR="004D5AD1" w:rsidRPr="004D5AD1">
        <w:rPr>
          <w:noProof/>
        </w:rPr>
        <w:t xml:space="preserve"> i</w:t>
      </w:r>
      <w:r w:rsidR="004D5AD1">
        <w:rPr>
          <w:noProof/>
        </w:rPr>
        <w:t> </w:t>
      </w:r>
      <w:r w:rsidR="004D5AD1" w:rsidRPr="004D5AD1">
        <w:rPr>
          <w:noProof/>
        </w:rPr>
        <w:t>9</w:t>
      </w:r>
      <w:r w:rsidRPr="004D5AD1">
        <w:rPr>
          <w:noProof/>
        </w:rPr>
        <w:t>.</w:t>
      </w:r>
    </w:p>
    <w:p w14:paraId="45140CAE" w14:textId="7BA33B1D" w:rsidR="006F7234" w:rsidRPr="004D5AD1" w:rsidRDefault="002B68AE" w:rsidP="006F7234">
      <w:pPr>
        <w:spacing w:after="160" w:line="259" w:lineRule="auto"/>
        <w:rPr>
          <w:rFonts w:eastAsia="Calibri"/>
          <w:noProof/>
          <w:szCs w:val="24"/>
        </w:rPr>
      </w:pPr>
      <w:r w:rsidRPr="004D5AD1">
        <w:rPr>
          <w:noProof/>
        </w:rPr>
        <w:t>4.</w:t>
      </w:r>
      <w:r w:rsidRPr="004D5AD1">
        <w:rPr>
          <w:noProof/>
        </w:rPr>
        <w:tab/>
        <w:t>Właściwe organy udostępniają opinii publicznej</w:t>
      </w:r>
      <w:r w:rsidR="004D5AD1" w:rsidRPr="004D5AD1">
        <w:rPr>
          <w:noProof/>
        </w:rPr>
        <w:t xml:space="preserve"> i</w:t>
      </w:r>
      <w:r w:rsidR="004D5AD1">
        <w:rPr>
          <w:noProof/>
        </w:rPr>
        <w:t> </w:t>
      </w:r>
      <w:r w:rsidR="004D5AD1" w:rsidRPr="004D5AD1">
        <w:rPr>
          <w:noProof/>
        </w:rPr>
        <w:t>Kom</w:t>
      </w:r>
      <w:r w:rsidRPr="004D5AD1">
        <w:rPr>
          <w:noProof/>
        </w:rPr>
        <w:t>isji sprawozdania określone</w:t>
      </w:r>
      <w:r w:rsidR="004D5AD1" w:rsidRPr="004D5AD1">
        <w:rPr>
          <w:noProof/>
        </w:rPr>
        <w:t xml:space="preserve"> w</w:t>
      </w:r>
      <w:r w:rsidR="004D5AD1">
        <w:rPr>
          <w:noProof/>
        </w:rPr>
        <w:t> </w:t>
      </w:r>
      <w:r w:rsidR="004D5AD1" w:rsidRPr="004D5AD1">
        <w:rPr>
          <w:noProof/>
        </w:rPr>
        <w:t>nin</w:t>
      </w:r>
      <w:r w:rsidRPr="004D5AD1">
        <w:rPr>
          <w:noProof/>
        </w:rPr>
        <w:t>iejszym artykule</w:t>
      </w:r>
      <w:r w:rsidR="004D5AD1" w:rsidRPr="004D5AD1">
        <w:rPr>
          <w:noProof/>
        </w:rPr>
        <w:t xml:space="preserve"> w</w:t>
      </w:r>
      <w:r w:rsidR="004D5AD1">
        <w:rPr>
          <w:noProof/>
        </w:rPr>
        <w:t> </w:t>
      </w:r>
      <w:r w:rsidR="004D5AD1" w:rsidRPr="004D5AD1">
        <w:rPr>
          <w:noProof/>
        </w:rPr>
        <w:t>ter</w:t>
      </w:r>
      <w:r w:rsidRPr="004D5AD1">
        <w:rPr>
          <w:noProof/>
        </w:rPr>
        <w:t>minie trzech miesięcy od ich przedłożenia przez operatorów</w:t>
      </w:r>
      <w:r w:rsidR="004D5AD1" w:rsidRPr="004D5AD1">
        <w:rPr>
          <w:noProof/>
        </w:rPr>
        <w:t xml:space="preserve"> i</w:t>
      </w:r>
      <w:r w:rsidR="004D5AD1">
        <w:rPr>
          <w:noProof/>
        </w:rPr>
        <w:t> </w:t>
      </w:r>
      <w:r w:rsidR="004D5AD1" w:rsidRPr="004D5AD1">
        <w:rPr>
          <w:noProof/>
        </w:rPr>
        <w:t>zgo</w:t>
      </w:r>
      <w:r w:rsidRPr="004D5AD1">
        <w:rPr>
          <w:noProof/>
        </w:rPr>
        <w:t>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5 ust.</w:t>
      </w:r>
      <w:r w:rsidR="004D5AD1" w:rsidRPr="004D5AD1">
        <w:rPr>
          <w:noProof/>
        </w:rPr>
        <w:t> </w:t>
      </w:r>
      <w:r w:rsidRPr="004D5AD1">
        <w:rPr>
          <w:noProof/>
        </w:rPr>
        <w:t>4.</w:t>
      </w:r>
    </w:p>
    <w:p w14:paraId="49FD59A4" w14:textId="0AA05C94" w:rsidR="005837DE" w:rsidRPr="004D5AD1" w:rsidRDefault="002B68AE" w:rsidP="005837DE">
      <w:pPr>
        <w:spacing w:after="160" w:line="259" w:lineRule="auto"/>
        <w:rPr>
          <w:rFonts w:eastAsia="Calibri"/>
          <w:noProof/>
          <w:szCs w:val="24"/>
        </w:rPr>
      </w:pPr>
      <w:r w:rsidRPr="004D5AD1">
        <w:rPr>
          <w:noProof/>
        </w:rPr>
        <w:t>5.</w:t>
      </w:r>
      <w:r w:rsidRPr="004D5AD1">
        <w:rPr>
          <w:noProof/>
        </w:rPr>
        <w:tab/>
        <w:t>Państwa członkowskie są odpowiedzialne za wypełnienie obowiązków określonych</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2</w:t>
      </w:r>
      <w:r w:rsidR="004D5AD1" w:rsidRPr="004D5AD1">
        <w:rPr>
          <w:noProof/>
        </w:rPr>
        <w:t xml:space="preserve"> i</w:t>
      </w:r>
      <w:r w:rsidR="004D5AD1">
        <w:rPr>
          <w:noProof/>
        </w:rPr>
        <w:t> </w:t>
      </w:r>
      <w:r w:rsidR="004D5AD1" w:rsidRPr="004D5AD1">
        <w:rPr>
          <w:noProof/>
        </w:rPr>
        <w:t>3</w:t>
      </w:r>
      <w:r w:rsidRPr="004D5AD1">
        <w:rPr>
          <w:noProof/>
        </w:rPr>
        <w:t>, chyba że można zidentyfikować stronę odpowiedzialną,</w:t>
      </w:r>
      <w:r w:rsidR="004D5AD1" w:rsidRPr="004D5AD1">
        <w:rPr>
          <w:noProof/>
        </w:rPr>
        <w:t xml:space="preserve"> w</w:t>
      </w:r>
      <w:r w:rsidR="004D5AD1">
        <w:rPr>
          <w:noProof/>
        </w:rPr>
        <w:t> </w:t>
      </w:r>
      <w:r w:rsidR="004D5AD1" w:rsidRPr="004D5AD1">
        <w:rPr>
          <w:noProof/>
        </w:rPr>
        <w:t>któ</w:t>
      </w:r>
      <w:r w:rsidRPr="004D5AD1">
        <w:rPr>
          <w:noProof/>
        </w:rPr>
        <w:t>rym to przypadku strona ta ponosi odpowiedzialność.</w:t>
      </w:r>
    </w:p>
    <w:p w14:paraId="314D32E6" w14:textId="6CBD1BE4" w:rsidR="006F7234" w:rsidRPr="004D5AD1" w:rsidRDefault="002B68AE" w:rsidP="006F7234">
      <w:pPr>
        <w:spacing w:after="160" w:line="259" w:lineRule="auto"/>
        <w:rPr>
          <w:rFonts w:eastAsia="Calibri"/>
          <w:noProof/>
          <w:szCs w:val="24"/>
        </w:rPr>
      </w:pPr>
      <w:r w:rsidRPr="004D5AD1">
        <w:rPr>
          <w:noProof/>
        </w:rPr>
        <w:t>6.</w:t>
      </w:r>
      <w:r w:rsidRPr="004D5AD1">
        <w:rPr>
          <w:noProof/>
        </w:rPr>
        <w:tab/>
        <w:t>Państwa członkowskie opracowują</w:t>
      </w:r>
      <w:r w:rsidR="004D5AD1" w:rsidRPr="004D5AD1">
        <w:rPr>
          <w:noProof/>
        </w:rPr>
        <w:t xml:space="preserve"> i</w:t>
      </w:r>
      <w:r w:rsidR="004D5AD1">
        <w:rPr>
          <w:noProof/>
        </w:rPr>
        <w:t> </w:t>
      </w:r>
      <w:r w:rsidR="004D5AD1" w:rsidRPr="004D5AD1">
        <w:rPr>
          <w:noProof/>
        </w:rPr>
        <w:t>wdr</w:t>
      </w:r>
      <w:r w:rsidRPr="004D5AD1">
        <w:rPr>
          <w:noProof/>
        </w:rPr>
        <w:t>ażają plan ograniczania emisji mający na celu rekultywację, remediację</w:t>
      </w:r>
      <w:r w:rsidR="004D5AD1" w:rsidRPr="004D5AD1">
        <w:rPr>
          <w:noProof/>
        </w:rPr>
        <w:t xml:space="preserve"> i</w:t>
      </w:r>
      <w:r w:rsidR="004D5AD1">
        <w:rPr>
          <w:noProof/>
        </w:rPr>
        <w:t> </w:t>
      </w:r>
      <w:r w:rsidR="004D5AD1" w:rsidRPr="004D5AD1">
        <w:rPr>
          <w:noProof/>
        </w:rPr>
        <w:t>per</w:t>
      </w:r>
      <w:r w:rsidRPr="004D5AD1">
        <w:rPr>
          <w:noProof/>
        </w:rPr>
        <w:t>manentne zaczopowanie odwiertów nieczynnych znajdujących się na ich terytorium.</w:t>
      </w:r>
      <w:r w:rsidR="004D5AD1" w:rsidRPr="004D5AD1">
        <w:rPr>
          <w:noProof/>
        </w:rPr>
        <w:t xml:space="preserve"> </w:t>
      </w:r>
    </w:p>
    <w:p w14:paraId="11730C6C" w14:textId="7AD837EF" w:rsidR="00495ACC" w:rsidRPr="004D5AD1" w:rsidRDefault="00495ACC" w:rsidP="006F7234">
      <w:pPr>
        <w:spacing w:after="160" w:line="259" w:lineRule="auto"/>
        <w:rPr>
          <w:rFonts w:eastAsia="Calibri"/>
          <w:noProof/>
          <w:szCs w:val="24"/>
        </w:rPr>
      </w:pPr>
      <w:r w:rsidRPr="004D5AD1">
        <w:rPr>
          <w:noProof/>
        </w:rPr>
        <w:t>W planach ograniczania emisji wykorzystuje się wykazy,</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1,</w:t>
      </w:r>
      <w:r w:rsidR="004D5AD1" w:rsidRPr="004D5AD1">
        <w:rPr>
          <w:noProof/>
        </w:rPr>
        <w:t xml:space="preserve"> w</w:t>
      </w:r>
      <w:r w:rsidR="004D5AD1">
        <w:rPr>
          <w:noProof/>
        </w:rPr>
        <w:t> </w:t>
      </w:r>
      <w:r w:rsidR="004D5AD1" w:rsidRPr="004D5AD1">
        <w:rPr>
          <w:noProof/>
        </w:rPr>
        <w:t>cel</w:t>
      </w:r>
      <w:r w:rsidRPr="004D5AD1">
        <w:rPr>
          <w:noProof/>
        </w:rPr>
        <w:t>u określenia priorytetów</w:t>
      </w:r>
      <w:r w:rsidR="004D5AD1" w:rsidRPr="004D5AD1">
        <w:rPr>
          <w:noProof/>
        </w:rPr>
        <w:t xml:space="preserve"> w</w:t>
      </w:r>
      <w:r w:rsidR="004D5AD1">
        <w:rPr>
          <w:noProof/>
        </w:rPr>
        <w:t> </w:t>
      </w:r>
      <w:r w:rsidR="004D5AD1" w:rsidRPr="004D5AD1">
        <w:rPr>
          <w:noProof/>
        </w:rPr>
        <w:t>odn</w:t>
      </w:r>
      <w:r w:rsidRPr="004D5AD1">
        <w:rPr>
          <w:noProof/>
        </w:rPr>
        <w:t>iesieniu do działań obejmujących:</w:t>
      </w:r>
    </w:p>
    <w:p w14:paraId="1631498F" w14:textId="18B3A496" w:rsidR="00495ACC" w:rsidRPr="004D5AD1" w:rsidRDefault="00495ACC" w:rsidP="006F7234">
      <w:pPr>
        <w:spacing w:after="160" w:line="259" w:lineRule="auto"/>
        <w:rPr>
          <w:rFonts w:eastAsia="Calibri"/>
          <w:noProof/>
          <w:szCs w:val="24"/>
        </w:rPr>
      </w:pPr>
      <w:r w:rsidRPr="004D5AD1">
        <w:rPr>
          <w:noProof/>
        </w:rPr>
        <w:tab/>
        <w:t>a) remediację, rekultywację</w:t>
      </w:r>
      <w:r w:rsidR="004D5AD1" w:rsidRPr="004D5AD1">
        <w:rPr>
          <w:noProof/>
        </w:rPr>
        <w:t xml:space="preserve"> i</w:t>
      </w:r>
      <w:r w:rsidR="004D5AD1">
        <w:rPr>
          <w:noProof/>
        </w:rPr>
        <w:t> </w:t>
      </w:r>
      <w:r w:rsidR="004D5AD1" w:rsidRPr="004D5AD1">
        <w:rPr>
          <w:noProof/>
        </w:rPr>
        <w:t>per</w:t>
      </w:r>
      <w:r w:rsidRPr="004D5AD1">
        <w:rPr>
          <w:noProof/>
        </w:rPr>
        <w:t>manentne zaczopowanie odwiertów;</w:t>
      </w:r>
    </w:p>
    <w:p w14:paraId="62F75444" w14:textId="3AE8848F" w:rsidR="00495ACC" w:rsidRPr="004D5AD1" w:rsidRDefault="00495ACC" w:rsidP="006F7234">
      <w:pPr>
        <w:spacing w:after="160" w:line="259" w:lineRule="auto"/>
        <w:rPr>
          <w:rFonts w:eastAsia="Calibri"/>
          <w:noProof/>
          <w:szCs w:val="24"/>
        </w:rPr>
      </w:pPr>
      <w:r w:rsidRPr="004D5AD1">
        <w:rPr>
          <w:noProof/>
        </w:rPr>
        <w:tab/>
        <w:t>b) rekultywację dróg dojazdowych do takich odwiertów;</w:t>
      </w:r>
    </w:p>
    <w:p w14:paraId="05323E1D" w14:textId="30AEF848" w:rsidR="00495ACC" w:rsidRPr="004D5AD1" w:rsidRDefault="00495ACC" w:rsidP="006F7234">
      <w:pPr>
        <w:spacing w:after="160" w:line="259" w:lineRule="auto"/>
        <w:rPr>
          <w:rFonts w:eastAsia="Calibri"/>
          <w:noProof/>
          <w:szCs w:val="24"/>
        </w:rPr>
      </w:pPr>
      <w:r w:rsidRPr="004D5AD1">
        <w:rPr>
          <w:noProof/>
        </w:rPr>
        <w:tab/>
        <w:t>c) renaturalizację gruntów, wód</w:t>
      </w:r>
      <w:r w:rsidR="004D5AD1" w:rsidRPr="004D5AD1">
        <w:rPr>
          <w:noProof/>
        </w:rPr>
        <w:t xml:space="preserve"> i</w:t>
      </w:r>
      <w:r w:rsidR="004D5AD1">
        <w:rPr>
          <w:noProof/>
        </w:rPr>
        <w:t> </w:t>
      </w:r>
      <w:r w:rsidR="004D5AD1" w:rsidRPr="004D5AD1">
        <w:rPr>
          <w:noProof/>
        </w:rPr>
        <w:t>sie</w:t>
      </w:r>
      <w:r w:rsidRPr="004D5AD1">
        <w:rPr>
          <w:noProof/>
        </w:rPr>
        <w:t>dlisk, na które miały wpływ odwierty oraz wcześniejsze działania;</w:t>
      </w:r>
    </w:p>
    <w:p w14:paraId="65E27292" w14:textId="655784D6" w:rsidR="00187C43" w:rsidRPr="004D5AD1" w:rsidRDefault="00187C43" w:rsidP="006F7234">
      <w:pPr>
        <w:spacing w:after="160" w:line="259" w:lineRule="auto"/>
        <w:rPr>
          <w:rFonts w:eastAsia="Calibri"/>
          <w:noProof/>
          <w:szCs w:val="24"/>
        </w:rPr>
      </w:pPr>
      <w:r w:rsidRPr="004D5AD1">
        <w:rPr>
          <w:noProof/>
        </w:rPr>
        <w:tab/>
        <w:t>d) coroczne kontrole</w:t>
      </w:r>
      <w:r w:rsidR="004D5AD1" w:rsidRPr="004D5AD1">
        <w:rPr>
          <w:noProof/>
        </w:rPr>
        <w:t xml:space="preserve"> w</w:t>
      </w:r>
      <w:r w:rsidR="004D5AD1">
        <w:rPr>
          <w:noProof/>
        </w:rPr>
        <w:t> </w:t>
      </w:r>
      <w:r w:rsidR="004D5AD1" w:rsidRPr="004D5AD1">
        <w:rPr>
          <w:noProof/>
        </w:rPr>
        <w:t>cel</w:t>
      </w:r>
      <w:r w:rsidRPr="004D5AD1">
        <w:rPr>
          <w:noProof/>
        </w:rPr>
        <w:t xml:space="preserve">u dopilnowania, aby zaczopowane odwierty nie były już źródłem emisji metanu. </w:t>
      </w:r>
    </w:p>
    <w:p w14:paraId="332B7BC8" w14:textId="3F41B2ED" w:rsidR="00FA63F6" w:rsidRPr="004D5AD1" w:rsidRDefault="00FA63F6" w:rsidP="00E212DB">
      <w:pPr>
        <w:rPr>
          <w:noProof/>
        </w:rPr>
      </w:pPr>
    </w:p>
    <w:p w14:paraId="245711BC" w14:textId="77777777" w:rsidR="0010636C" w:rsidRPr="004D5AD1" w:rsidRDefault="0010636C" w:rsidP="00FD0FB2">
      <w:pPr>
        <w:pStyle w:val="ChapterTitle"/>
        <w:rPr>
          <w:noProof/>
        </w:rPr>
      </w:pPr>
      <w:r w:rsidRPr="004D5AD1">
        <w:rPr>
          <w:noProof/>
        </w:rPr>
        <w:t>Rozdział 4</w:t>
      </w:r>
    </w:p>
    <w:p w14:paraId="3B502187" w14:textId="38C2A378" w:rsidR="0010636C" w:rsidRPr="004D5AD1" w:rsidRDefault="0010636C" w:rsidP="00FD0FB2">
      <w:pPr>
        <w:pStyle w:val="ChapterTitle"/>
        <w:rPr>
          <w:noProof/>
        </w:rPr>
      </w:pPr>
      <w:r w:rsidRPr="004D5AD1">
        <w:rPr>
          <w:noProof/>
        </w:rPr>
        <w:t>Emisje metanu</w:t>
      </w:r>
      <w:r w:rsidR="004D5AD1" w:rsidRPr="004D5AD1">
        <w:rPr>
          <w:noProof/>
        </w:rPr>
        <w:t xml:space="preserve"> w</w:t>
      </w:r>
      <w:r w:rsidR="004D5AD1">
        <w:rPr>
          <w:noProof/>
        </w:rPr>
        <w:t> </w:t>
      </w:r>
      <w:r w:rsidR="004D5AD1" w:rsidRPr="004D5AD1">
        <w:rPr>
          <w:noProof/>
        </w:rPr>
        <w:t>sek</w:t>
      </w:r>
      <w:r w:rsidRPr="004D5AD1">
        <w:rPr>
          <w:noProof/>
        </w:rPr>
        <w:t>torze węglowym</w:t>
      </w:r>
    </w:p>
    <w:p w14:paraId="0C2315C8" w14:textId="77777777" w:rsidR="00AC51F6" w:rsidRPr="004D5AD1" w:rsidRDefault="00AC51F6" w:rsidP="00AC51F6">
      <w:pPr>
        <w:pStyle w:val="SectionTitle"/>
        <w:rPr>
          <w:noProof/>
        </w:rPr>
      </w:pPr>
      <w:r w:rsidRPr="004D5AD1">
        <w:rPr>
          <w:noProof/>
        </w:rPr>
        <w:t xml:space="preserve">Sekcja I </w:t>
      </w:r>
    </w:p>
    <w:p w14:paraId="3907560D" w14:textId="04E9C04A" w:rsidR="009641F4" w:rsidRPr="004D5AD1" w:rsidRDefault="009641F4" w:rsidP="009641F4">
      <w:pPr>
        <w:pStyle w:val="SectionTitle"/>
        <w:rPr>
          <w:b w:val="0"/>
          <w:noProof/>
        </w:rPr>
      </w:pPr>
      <w:r w:rsidRPr="004D5AD1">
        <w:rPr>
          <w:b w:val="0"/>
          <w:noProof/>
        </w:rPr>
        <w:t>Monitorowanie</w:t>
      </w:r>
      <w:r w:rsidR="004D5AD1" w:rsidRPr="004D5AD1">
        <w:rPr>
          <w:b w:val="0"/>
          <w:noProof/>
        </w:rPr>
        <w:t xml:space="preserve"> i</w:t>
      </w:r>
      <w:r w:rsidR="004D5AD1">
        <w:rPr>
          <w:b w:val="0"/>
          <w:noProof/>
        </w:rPr>
        <w:t> </w:t>
      </w:r>
      <w:r w:rsidR="004D5AD1" w:rsidRPr="004D5AD1">
        <w:rPr>
          <w:b w:val="0"/>
          <w:noProof/>
        </w:rPr>
        <w:t>rap</w:t>
      </w:r>
      <w:r w:rsidRPr="004D5AD1">
        <w:rPr>
          <w:b w:val="0"/>
          <w:noProof/>
        </w:rPr>
        <w:t>ortowanie</w:t>
      </w:r>
      <w:r w:rsidR="004D5AD1" w:rsidRPr="004D5AD1">
        <w:rPr>
          <w:b w:val="0"/>
          <w:noProof/>
        </w:rPr>
        <w:t xml:space="preserve"> w</w:t>
      </w:r>
      <w:r w:rsidR="004D5AD1">
        <w:rPr>
          <w:b w:val="0"/>
          <w:noProof/>
        </w:rPr>
        <w:t> </w:t>
      </w:r>
      <w:r w:rsidR="004D5AD1" w:rsidRPr="004D5AD1">
        <w:rPr>
          <w:b w:val="0"/>
          <w:noProof/>
        </w:rPr>
        <w:t>prz</w:t>
      </w:r>
      <w:r w:rsidRPr="004D5AD1">
        <w:rPr>
          <w:b w:val="0"/>
          <w:noProof/>
        </w:rPr>
        <w:t>ypadku czynnych kopalń</w:t>
      </w:r>
    </w:p>
    <w:p w14:paraId="697CF3A2" w14:textId="23999DE2" w:rsidR="00CF68A1" w:rsidRPr="004D5AD1" w:rsidRDefault="00CF68A1" w:rsidP="00CF68A1">
      <w:pPr>
        <w:pStyle w:val="Titrearticle"/>
        <w:rPr>
          <w:noProof/>
          <w:szCs w:val="24"/>
        </w:rPr>
      </w:pPr>
      <w:r w:rsidRPr="004D5AD1">
        <w:rPr>
          <w:noProof/>
        </w:rPr>
        <w:t>Artykuł 19</w:t>
      </w:r>
    </w:p>
    <w:p w14:paraId="799B6F8E" w14:textId="77777777" w:rsidR="00CF68A1" w:rsidRPr="004D5AD1" w:rsidRDefault="00CF68A1" w:rsidP="00CF68A1">
      <w:pPr>
        <w:pStyle w:val="NormalCentered"/>
        <w:rPr>
          <w:b/>
          <w:noProof/>
          <w:szCs w:val="24"/>
        </w:rPr>
      </w:pPr>
      <w:r w:rsidRPr="004D5AD1">
        <w:rPr>
          <w:b/>
          <w:noProof/>
          <w:szCs w:val="24"/>
        </w:rPr>
        <w:t>Zakres</w:t>
      </w:r>
    </w:p>
    <w:p w14:paraId="5B139564" w14:textId="6388EDA1" w:rsidR="009641F4" w:rsidRPr="004D5AD1" w:rsidRDefault="00CF68A1" w:rsidP="00CF68A1">
      <w:pPr>
        <w:rPr>
          <w:noProof/>
        </w:rPr>
      </w:pPr>
      <w:r w:rsidRPr="004D5AD1">
        <w:rPr>
          <w:noProof/>
        </w:rPr>
        <w:t>1.</w:t>
      </w:r>
      <w:r w:rsidRPr="004D5AD1">
        <w:rPr>
          <w:noProof/>
        </w:rPr>
        <w:tab/>
        <w:t>Niniejsza sekcja ma zastosowanie do czynnych podziemnych</w:t>
      </w:r>
      <w:r w:rsidR="004D5AD1" w:rsidRPr="004D5AD1">
        <w:rPr>
          <w:noProof/>
        </w:rPr>
        <w:t xml:space="preserve"> i</w:t>
      </w:r>
      <w:r w:rsidR="004D5AD1">
        <w:rPr>
          <w:noProof/>
        </w:rPr>
        <w:t> </w:t>
      </w:r>
      <w:r w:rsidR="004D5AD1" w:rsidRPr="004D5AD1">
        <w:rPr>
          <w:noProof/>
        </w:rPr>
        <w:t>odk</w:t>
      </w:r>
      <w:r w:rsidRPr="004D5AD1">
        <w:rPr>
          <w:noProof/>
        </w:rPr>
        <w:t>rywkowych kopalń węgla.</w:t>
      </w:r>
    </w:p>
    <w:p w14:paraId="19571272" w14:textId="47408BAF" w:rsidR="009641F4" w:rsidRPr="004D5AD1" w:rsidRDefault="00CF68A1" w:rsidP="00CF68A1">
      <w:pPr>
        <w:rPr>
          <w:rFonts w:eastAsia="Calibri"/>
          <w:noProof/>
          <w:szCs w:val="24"/>
        </w:rPr>
      </w:pPr>
      <w:r w:rsidRPr="004D5AD1">
        <w:rPr>
          <w:noProof/>
        </w:rPr>
        <w:t>2.</w:t>
      </w:r>
      <w:r w:rsidRPr="004D5AD1">
        <w:rPr>
          <w:noProof/>
        </w:rPr>
        <w:tab/>
        <w:t>Emisje metanu</w:t>
      </w:r>
      <w:r w:rsidR="004D5AD1" w:rsidRPr="004D5AD1">
        <w:rPr>
          <w:noProof/>
        </w:rPr>
        <w:t xml:space="preserve"> z</w:t>
      </w:r>
      <w:r w:rsidR="004D5AD1">
        <w:rPr>
          <w:noProof/>
        </w:rPr>
        <w:t> </w:t>
      </w:r>
      <w:r w:rsidR="004D5AD1" w:rsidRPr="004D5AD1">
        <w:rPr>
          <w:noProof/>
        </w:rPr>
        <w:t>czy</w:t>
      </w:r>
      <w:r w:rsidRPr="004D5AD1">
        <w:rPr>
          <w:noProof/>
        </w:rPr>
        <w:t>nnych podziemnych kopalń węgla obejmują następujące emisje:</w:t>
      </w:r>
    </w:p>
    <w:p w14:paraId="0936CFD4" w14:textId="6FB755D2" w:rsidR="00FA2E19" w:rsidRPr="004D5AD1" w:rsidRDefault="00CF68A1" w:rsidP="00CF68A1">
      <w:pPr>
        <w:ind w:left="720"/>
        <w:rPr>
          <w:noProof/>
          <w:szCs w:val="24"/>
        </w:rPr>
      </w:pPr>
      <w:r w:rsidRPr="004D5AD1">
        <w:rPr>
          <w:noProof/>
        </w:rPr>
        <w:t>a)</w:t>
      </w:r>
      <w:r w:rsidRPr="004D5AD1">
        <w:rPr>
          <w:noProof/>
        </w:rPr>
        <w:tab/>
        <w:t>emisje metanu ze wszystkich szybów wentylacyjnych użytkowanych przez operatora kopalni;</w:t>
      </w:r>
    </w:p>
    <w:p w14:paraId="3C6B4F38" w14:textId="7A14C90C" w:rsidR="009641F4" w:rsidRPr="004D5AD1" w:rsidRDefault="00CF68A1" w:rsidP="00CF68A1">
      <w:pPr>
        <w:ind w:left="720"/>
        <w:rPr>
          <w:noProof/>
          <w:szCs w:val="24"/>
        </w:rPr>
      </w:pPr>
      <w:r w:rsidRPr="004D5AD1">
        <w:rPr>
          <w:noProof/>
        </w:rPr>
        <w:t>b)</w:t>
      </w:r>
      <w:r w:rsidRPr="004D5AD1">
        <w:rPr>
          <w:noProof/>
        </w:rPr>
        <w:tab/>
        <w:t>emisje metanu ze stacji odmetanowania</w:t>
      </w:r>
      <w:r w:rsidR="004D5AD1" w:rsidRPr="004D5AD1">
        <w:rPr>
          <w:noProof/>
        </w:rPr>
        <w:t xml:space="preserve"> i</w:t>
      </w:r>
      <w:r w:rsidR="004D5AD1">
        <w:rPr>
          <w:noProof/>
        </w:rPr>
        <w:t> </w:t>
      </w:r>
      <w:r w:rsidR="004D5AD1" w:rsidRPr="004D5AD1">
        <w:rPr>
          <w:noProof/>
        </w:rPr>
        <w:t>z</w:t>
      </w:r>
      <w:r w:rsidR="004D5AD1">
        <w:rPr>
          <w:noProof/>
        </w:rPr>
        <w:t> </w:t>
      </w:r>
      <w:r w:rsidR="004D5AD1" w:rsidRPr="004D5AD1">
        <w:rPr>
          <w:noProof/>
        </w:rPr>
        <w:t>sys</w:t>
      </w:r>
      <w:r w:rsidRPr="004D5AD1">
        <w:rPr>
          <w:noProof/>
        </w:rPr>
        <w:t>temu odmetanowania, niezależnie od tego, czy powstają one</w:t>
      </w:r>
      <w:r w:rsidR="004D5AD1" w:rsidRPr="004D5AD1">
        <w:rPr>
          <w:noProof/>
        </w:rPr>
        <w:t xml:space="preserve"> w</w:t>
      </w:r>
      <w:r w:rsidR="004D5AD1">
        <w:rPr>
          <w:noProof/>
        </w:rPr>
        <w:t> </w:t>
      </w:r>
      <w:r w:rsidR="004D5AD1" w:rsidRPr="004D5AD1">
        <w:rPr>
          <w:noProof/>
        </w:rPr>
        <w:t>wyn</w:t>
      </w:r>
      <w:r w:rsidRPr="004D5AD1">
        <w:rPr>
          <w:noProof/>
        </w:rPr>
        <w:t>iku celowego lub niezamierzonego uwalniania do atmosfery czy też spalania niecałkowitego</w:t>
      </w:r>
      <w:r w:rsidR="004D5AD1" w:rsidRPr="004D5AD1">
        <w:rPr>
          <w:noProof/>
        </w:rPr>
        <w:t xml:space="preserve"> w</w:t>
      </w:r>
      <w:r w:rsidR="004D5AD1">
        <w:rPr>
          <w:noProof/>
        </w:rPr>
        <w:t> </w:t>
      </w:r>
      <w:r w:rsidR="004D5AD1" w:rsidRPr="004D5AD1">
        <w:rPr>
          <w:noProof/>
        </w:rPr>
        <w:t>poc</w:t>
      </w:r>
      <w:r w:rsidRPr="004D5AD1">
        <w:rPr>
          <w:noProof/>
        </w:rPr>
        <w:t>hodni;</w:t>
      </w:r>
    </w:p>
    <w:p w14:paraId="7BCAECD5" w14:textId="53AA0ABF" w:rsidR="009641F4" w:rsidRPr="004D5AD1" w:rsidRDefault="00CF68A1" w:rsidP="00CF68A1">
      <w:pPr>
        <w:ind w:left="720"/>
        <w:rPr>
          <w:noProof/>
          <w:szCs w:val="24"/>
        </w:rPr>
      </w:pPr>
      <w:r w:rsidRPr="004D5AD1">
        <w:rPr>
          <w:noProof/>
        </w:rPr>
        <w:t>c)</w:t>
      </w:r>
      <w:r w:rsidRPr="004D5AD1">
        <w:rPr>
          <w:noProof/>
        </w:rPr>
        <w:tab/>
        <w:t>emisje metanu występujące podczas działalności powydobywczej.</w:t>
      </w:r>
    </w:p>
    <w:p w14:paraId="32ECB140" w14:textId="3A593E3A" w:rsidR="009641F4" w:rsidRPr="004D5AD1" w:rsidRDefault="00CF68A1" w:rsidP="00CF68A1">
      <w:pPr>
        <w:rPr>
          <w:rFonts w:eastAsia="Calibri"/>
          <w:noProof/>
          <w:szCs w:val="24"/>
        </w:rPr>
      </w:pPr>
      <w:r w:rsidRPr="004D5AD1">
        <w:rPr>
          <w:noProof/>
        </w:rPr>
        <w:t>3.</w:t>
      </w:r>
      <w:r w:rsidRPr="004D5AD1">
        <w:rPr>
          <w:noProof/>
        </w:rPr>
        <w:tab/>
        <w:t>Emisje metanu</w:t>
      </w:r>
      <w:r w:rsidR="004D5AD1" w:rsidRPr="004D5AD1">
        <w:rPr>
          <w:noProof/>
        </w:rPr>
        <w:t xml:space="preserve"> z</w:t>
      </w:r>
      <w:r w:rsidR="004D5AD1">
        <w:rPr>
          <w:noProof/>
        </w:rPr>
        <w:t> </w:t>
      </w:r>
      <w:r w:rsidR="004D5AD1" w:rsidRPr="004D5AD1">
        <w:rPr>
          <w:noProof/>
        </w:rPr>
        <w:t>czy</w:t>
      </w:r>
      <w:r w:rsidRPr="004D5AD1">
        <w:rPr>
          <w:noProof/>
        </w:rPr>
        <w:t xml:space="preserve">nnych odkrywkowych kopalń węgla obejmują następujące emisje: </w:t>
      </w:r>
    </w:p>
    <w:p w14:paraId="3D58A01E" w14:textId="5CE2D65C" w:rsidR="009641F4" w:rsidRPr="004D5AD1" w:rsidRDefault="00CF68A1" w:rsidP="00CF68A1">
      <w:pPr>
        <w:ind w:left="720"/>
        <w:rPr>
          <w:noProof/>
          <w:szCs w:val="24"/>
        </w:rPr>
      </w:pPr>
      <w:r w:rsidRPr="004D5AD1">
        <w:rPr>
          <w:noProof/>
        </w:rPr>
        <w:t>a)</w:t>
      </w:r>
      <w:r w:rsidRPr="004D5AD1">
        <w:rPr>
          <w:noProof/>
        </w:rPr>
        <w:tab/>
        <w:t>emisje metanu występujące</w:t>
      </w:r>
      <w:r w:rsidR="004D5AD1" w:rsidRPr="004D5AD1">
        <w:rPr>
          <w:noProof/>
        </w:rPr>
        <w:t xml:space="preserve"> w</w:t>
      </w:r>
      <w:r w:rsidR="004D5AD1">
        <w:rPr>
          <w:noProof/>
        </w:rPr>
        <w:t> </w:t>
      </w:r>
      <w:r w:rsidR="004D5AD1" w:rsidRPr="004D5AD1">
        <w:rPr>
          <w:noProof/>
        </w:rPr>
        <w:t>kop</w:t>
      </w:r>
      <w:r w:rsidRPr="004D5AD1">
        <w:rPr>
          <w:noProof/>
        </w:rPr>
        <w:t>alni węgla podczas procesu wydobywczego;</w:t>
      </w:r>
    </w:p>
    <w:p w14:paraId="0C037DC3" w14:textId="245F7829" w:rsidR="009641F4" w:rsidRPr="004D5AD1" w:rsidRDefault="00CF68A1" w:rsidP="00CF68A1">
      <w:pPr>
        <w:ind w:left="720"/>
        <w:rPr>
          <w:noProof/>
          <w:szCs w:val="24"/>
        </w:rPr>
      </w:pPr>
      <w:r w:rsidRPr="004D5AD1">
        <w:rPr>
          <w:noProof/>
        </w:rPr>
        <w:t>b)</w:t>
      </w:r>
      <w:r w:rsidRPr="004D5AD1">
        <w:rPr>
          <w:noProof/>
        </w:rPr>
        <w:tab/>
        <w:t>emisje metanu występujące podczas działalności powydobywczej.</w:t>
      </w:r>
    </w:p>
    <w:p w14:paraId="7CFC53AA" w14:textId="49734FFD" w:rsidR="009641F4" w:rsidRPr="004D5AD1" w:rsidRDefault="009641F4" w:rsidP="009641F4">
      <w:pPr>
        <w:rPr>
          <w:noProof/>
        </w:rPr>
      </w:pPr>
    </w:p>
    <w:p w14:paraId="772298F1" w14:textId="40A2AFB0" w:rsidR="00CF68A1" w:rsidRPr="004D5AD1" w:rsidRDefault="00CF68A1" w:rsidP="00CF68A1">
      <w:pPr>
        <w:pStyle w:val="Titrearticle"/>
        <w:rPr>
          <w:noProof/>
        </w:rPr>
      </w:pPr>
      <w:r w:rsidRPr="004D5AD1">
        <w:rPr>
          <w:noProof/>
        </w:rPr>
        <w:t>Artykuł 20</w:t>
      </w:r>
    </w:p>
    <w:p w14:paraId="2D510A99" w14:textId="4D60354A" w:rsidR="00FA2E19" w:rsidRPr="004D5AD1" w:rsidRDefault="00FA2E19" w:rsidP="00FA2E19">
      <w:pPr>
        <w:pStyle w:val="NormalCentered"/>
        <w:rPr>
          <w:b/>
          <w:noProof/>
        </w:rPr>
      </w:pPr>
      <w:r w:rsidRPr="004D5AD1">
        <w:rPr>
          <w:b/>
          <w:noProof/>
        </w:rPr>
        <w:t>Monitorowanie</w:t>
      </w:r>
      <w:r w:rsidR="004D5AD1" w:rsidRPr="004D5AD1">
        <w:rPr>
          <w:b/>
          <w:noProof/>
        </w:rPr>
        <w:t xml:space="preserve"> i</w:t>
      </w:r>
      <w:r w:rsidR="004D5AD1">
        <w:rPr>
          <w:b/>
          <w:noProof/>
        </w:rPr>
        <w:t> </w:t>
      </w:r>
      <w:r w:rsidR="004D5AD1" w:rsidRPr="004D5AD1">
        <w:rPr>
          <w:b/>
          <w:noProof/>
        </w:rPr>
        <w:t>rap</w:t>
      </w:r>
      <w:r w:rsidRPr="004D5AD1">
        <w:rPr>
          <w:b/>
          <w:noProof/>
        </w:rPr>
        <w:t>ortowanie</w:t>
      </w:r>
    </w:p>
    <w:p w14:paraId="3EF649CC" w14:textId="3E30008F" w:rsidR="00CF68A1" w:rsidRPr="004D5AD1" w:rsidRDefault="00CF68A1" w:rsidP="00FA2E19">
      <w:pPr>
        <w:rPr>
          <w:rFonts w:eastAsia="Calibri"/>
          <w:noProof/>
          <w:szCs w:val="24"/>
        </w:rPr>
      </w:pPr>
      <w:r w:rsidRPr="004D5AD1">
        <w:rPr>
          <w:noProof/>
        </w:rPr>
        <w:t>1.</w:t>
      </w:r>
      <w:r w:rsidRPr="004D5AD1">
        <w:rPr>
          <w:noProof/>
        </w:rPr>
        <w:tab/>
        <w:t>W przypadku podziemnych kopalń węgla operatorzy kopalń prowadzą pomiar ciągły emisji metanu</w:t>
      </w:r>
      <w:r w:rsidR="004D5AD1" w:rsidRPr="004D5AD1">
        <w:rPr>
          <w:noProof/>
        </w:rPr>
        <w:t xml:space="preserve"> z</w:t>
      </w:r>
      <w:r w:rsidR="004D5AD1">
        <w:rPr>
          <w:noProof/>
        </w:rPr>
        <w:t> </w:t>
      </w:r>
      <w:r w:rsidR="004D5AD1" w:rsidRPr="004D5AD1">
        <w:rPr>
          <w:noProof/>
        </w:rPr>
        <w:t>pow</w:t>
      </w:r>
      <w:r w:rsidRPr="004D5AD1">
        <w:rPr>
          <w:noProof/>
        </w:rPr>
        <w:t>ietrza wentylacyjnego kopalń</w:t>
      </w:r>
      <w:r w:rsidR="004D5AD1" w:rsidRPr="004D5AD1">
        <w:rPr>
          <w:noProof/>
        </w:rPr>
        <w:t xml:space="preserve"> i</w:t>
      </w:r>
      <w:r w:rsidR="004D5AD1">
        <w:rPr>
          <w:noProof/>
        </w:rPr>
        <w:t> </w:t>
      </w:r>
      <w:r w:rsidR="004D5AD1" w:rsidRPr="004D5AD1">
        <w:rPr>
          <w:noProof/>
        </w:rPr>
        <w:t>okr</w:t>
      </w:r>
      <w:r w:rsidRPr="004D5AD1">
        <w:rPr>
          <w:noProof/>
        </w:rPr>
        <w:t>eślają ilościowo te emisje we wszystkich wylotowych szybach wentylacyjnych użytkowanych przez operatora kopalni, wykorzystując urządzenia</w:t>
      </w:r>
      <w:r w:rsidR="004D5AD1" w:rsidRPr="004D5AD1">
        <w:rPr>
          <w:noProof/>
        </w:rPr>
        <w:t xml:space="preserve"> o</w:t>
      </w:r>
      <w:r w:rsidR="004D5AD1">
        <w:rPr>
          <w:noProof/>
        </w:rPr>
        <w:t> </w:t>
      </w:r>
      <w:r w:rsidR="004D5AD1" w:rsidRPr="004D5AD1">
        <w:rPr>
          <w:noProof/>
        </w:rPr>
        <w:t>pro</w:t>
      </w:r>
      <w:r w:rsidRPr="004D5AD1">
        <w:rPr>
          <w:noProof/>
        </w:rPr>
        <w:t xml:space="preserve">gu wrażliwości na stężenie metanu wynoszącym co najmniej 100 części na milion. Operatorzy prowadzą również pomiary comiesięczne na podstawie próbek. </w:t>
      </w:r>
    </w:p>
    <w:p w14:paraId="0979EA95" w14:textId="6A0FD1C7" w:rsidR="001753B1" w:rsidRPr="004D5AD1" w:rsidRDefault="00CF68A1" w:rsidP="001753B1">
      <w:pPr>
        <w:spacing w:after="160" w:line="259" w:lineRule="auto"/>
        <w:rPr>
          <w:rFonts w:eastAsia="Calibri"/>
          <w:noProof/>
          <w:szCs w:val="24"/>
        </w:rPr>
      </w:pPr>
      <w:r w:rsidRPr="004D5AD1">
        <w:rPr>
          <w:noProof/>
        </w:rPr>
        <w:t>2.</w:t>
      </w:r>
      <w:r w:rsidRPr="004D5AD1">
        <w:rPr>
          <w:noProof/>
        </w:rPr>
        <w:tab/>
        <w:t>Operatorzy stacji odmetanowania prowadzą pomiar ciągły objętości metanu uwolnionego do atmosfery</w:t>
      </w:r>
      <w:r w:rsidR="004D5AD1" w:rsidRPr="004D5AD1">
        <w:rPr>
          <w:noProof/>
        </w:rPr>
        <w:t xml:space="preserve"> i</w:t>
      </w:r>
      <w:r w:rsidR="004D5AD1">
        <w:rPr>
          <w:noProof/>
        </w:rPr>
        <w:t> </w:t>
      </w:r>
      <w:r w:rsidR="004D5AD1" w:rsidRPr="004D5AD1">
        <w:rPr>
          <w:noProof/>
        </w:rPr>
        <w:t>spa</w:t>
      </w:r>
      <w:r w:rsidRPr="004D5AD1">
        <w:rPr>
          <w:noProof/>
        </w:rPr>
        <w:t>lonego</w:t>
      </w:r>
      <w:r w:rsidR="004D5AD1" w:rsidRPr="004D5AD1">
        <w:rPr>
          <w:noProof/>
        </w:rPr>
        <w:t xml:space="preserve"> w</w:t>
      </w:r>
      <w:r w:rsidR="004D5AD1">
        <w:rPr>
          <w:noProof/>
        </w:rPr>
        <w:t> </w:t>
      </w:r>
      <w:r w:rsidR="004D5AD1" w:rsidRPr="004D5AD1">
        <w:rPr>
          <w:noProof/>
        </w:rPr>
        <w:t>poc</w:t>
      </w:r>
      <w:r w:rsidRPr="004D5AD1">
        <w:rPr>
          <w:noProof/>
        </w:rPr>
        <w:t>hodni, niezależnie od przyczyn takiego uwalniania</w:t>
      </w:r>
      <w:r w:rsidR="004D5AD1" w:rsidRPr="004D5AD1">
        <w:rPr>
          <w:noProof/>
        </w:rPr>
        <w:t xml:space="preserve"> i</w:t>
      </w:r>
      <w:r w:rsidR="004D5AD1">
        <w:rPr>
          <w:noProof/>
        </w:rPr>
        <w:t> </w:t>
      </w:r>
      <w:r w:rsidR="004D5AD1" w:rsidRPr="004D5AD1">
        <w:rPr>
          <w:noProof/>
        </w:rPr>
        <w:t>spa</w:t>
      </w:r>
      <w:r w:rsidRPr="004D5AD1">
        <w:rPr>
          <w:noProof/>
        </w:rPr>
        <w:t>lania.</w:t>
      </w:r>
    </w:p>
    <w:p w14:paraId="252916F2" w14:textId="0F5C335F" w:rsidR="001753B1" w:rsidRPr="004D5AD1" w:rsidRDefault="001753B1" w:rsidP="001753B1">
      <w:pPr>
        <w:spacing w:after="160" w:line="259" w:lineRule="auto"/>
        <w:rPr>
          <w:rFonts w:eastAsia="Calibri"/>
          <w:noProof/>
          <w:szCs w:val="24"/>
        </w:rPr>
      </w:pPr>
      <w:r w:rsidRPr="004D5AD1">
        <w:rPr>
          <w:noProof/>
        </w:rPr>
        <w:t>3.</w:t>
      </w:r>
      <w:r w:rsidRPr="004D5AD1">
        <w:rPr>
          <w:noProof/>
        </w:rPr>
        <w:tab/>
        <w:t>W przypadku odkrywkowych kopalń węgla operatorzy kopalń stosują współczynniki emisji metanu</w:t>
      </w:r>
      <w:r w:rsidR="004D5AD1" w:rsidRPr="004D5AD1">
        <w:rPr>
          <w:noProof/>
        </w:rPr>
        <w:t xml:space="preserve"> z</w:t>
      </w:r>
      <w:r w:rsidR="004D5AD1">
        <w:rPr>
          <w:noProof/>
        </w:rPr>
        <w:t> </w:t>
      </w:r>
      <w:r w:rsidR="004D5AD1" w:rsidRPr="004D5AD1">
        <w:rPr>
          <w:noProof/>
        </w:rPr>
        <w:t>kop</w:t>
      </w:r>
      <w:r w:rsidRPr="004D5AD1">
        <w:rPr>
          <w:noProof/>
        </w:rPr>
        <w:t>alń węgla specyficzne dla danych złóż</w:t>
      </w:r>
      <w:r w:rsidR="004D5AD1" w:rsidRPr="004D5AD1">
        <w:rPr>
          <w:noProof/>
        </w:rPr>
        <w:t xml:space="preserve"> w</w:t>
      </w:r>
      <w:r w:rsidR="004D5AD1">
        <w:rPr>
          <w:noProof/>
        </w:rPr>
        <w:t> </w:t>
      </w:r>
      <w:r w:rsidR="004D5AD1" w:rsidRPr="004D5AD1">
        <w:rPr>
          <w:noProof/>
        </w:rPr>
        <w:t>cel</w:t>
      </w:r>
      <w:r w:rsidRPr="004D5AD1">
        <w:rPr>
          <w:noProof/>
        </w:rPr>
        <w:t>u kwantyfikacji emisji pochodzących</w:t>
      </w:r>
      <w:r w:rsidR="004D5AD1" w:rsidRPr="004D5AD1">
        <w:rPr>
          <w:noProof/>
        </w:rPr>
        <w:t xml:space="preserve"> z</w:t>
      </w:r>
      <w:r w:rsidR="004D5AD1">
        <w:rPr>
          <w:noProof/>
        </w:rPr>
        <w:t> </w:t>
      </w:r>
      <w:r w:rsidR="004D5AD1" w:rsidRPr="004D5AD1">
        <w:rPr>
          <w:noProof/>
        </w:rPr>
        <w:t>dzi</w:t>
      </w:r>
      <w:r w:rsidRPr="004D5AD1">
        <w:rPr>
          <w:noProof/>
        </w:rPr>
        <w:t>ałalności wydobywczej. Operatorzy kopalń ustalają te współczynniki emisji co kwartał, zgodnie</w:t>
      </w:r>
      <w:r w:rsidR="004D5AD1" w:rsidRPr="004D5AD1">
        <w:rPr>
          <w:noProof/>
        </w:rPr>
        <w:t xml:space="preserve"> z</w:t>
      </w:r>
      <w:r w:rsidR="004D5AD1">
        <w:rPr>
          <w:noProof/>
        </w:rPr>
        <w:t> </w:t>
      </w:r>
      <w:r w:rsidR="004D5AD1" w:rsidRPr="004D5AD1">
        <w:rPr>
          <w:noProof/>
        </w:rPr>
        <w:t>odp</w:t>
      </w:r>
      <w:r w:rsidRPr="004D5AD1">
        <w:rPr>
          <w:noProof/>
        </w:rPr>
        <w:t>owiednimi normami naukowymi,</w:t>
      </w:r>
      <w:r w:rsidR="004D5AD1" w:rsidRPr="004D5AD1">
        <w:rPr>
          <w:noProof/>
        </w:rPr>
        <w:t xml:space="preserve"> i</w:t>
      </w:r>
      <w:r w:rsidR="004D5AD1">
        <w:rPr>
          <w:noProof/>
        </w:rPr>
        <w:t> </w:t>
      </w:r>
      <w:r w:rsidR="004D5AD1" w:rsidRPr="004D5AD1">
        <w:rPr>
          <w:noProof/>
        </w:rPr>
        <w:t>uwz</w:t>
      </w:r>
      <w:r w:rsidRPr="004D5AD1">
        <w:rPr>
          <w:noProof/>
        </w:rPr>
        <w:t>ględniają emisje metanu</w:t>
      </w:r>
      <w:r w:rsidR="004D5AD1" w:rsidRPr="004D5AD1">
        <w:rPr>
          <w:noProof/>
        </w:rPr>
        <w:t xml:space="preserve"> z</w:t>
      </w:r>
      <w:r w:rsidR="004D5AD1">
        <w:rPr>
          <w:noProof/>
        </w:rPr>
        <w:t> </w:t>
      </w:r>
      <w:r w:rsidR="004D5AD1" w:rsidRPr="004D5AD1">
        <w:rPr>
          <w:noProof/>
        </w:rPr>
        <w:t>ota</w:t>
      </w:r>
      <w:r w:rsidRPr="004D5AD1">
        <w:rPr>
          <w:noProof/>
        </w:rPr>
        <w:t>czających warstw.</w:t>
      </w:r>
    </w:p>
    <w:p w14:paraId="6B3DDE07" w14:textId="0445B2F2" w:rsidR="008B4619" w:rsidRPr="004D5AD1" w:rsidRDefault="008B4619" w:rsidP="008B4619">
      <w:pPr>
        <w:spacing w:after="160" w:line="259" w:lineRule="auto"/>
        <w:rPr>
          <w:rFonts w:eastAsia="Calibri"/>
          <w:noProof/>
          <w:szCs w:val="24"/>
        </w:rPr>
      </w:pPr>
      <w:r w:rsidRPr="004D5AD1">
        <w:rPr>
          <w:noProof/>
        </w:rPr>
        <w:t>4.</w:t>
      </w:r>
      <w:r w:rsidRPr="004D5AD1">
        <w:rPr>
          <w:noProof/>
        </w:rPr>
        <w:tab/>
        <w:t>Pomiary</w:t>
      </w:r>
      <w:r w:rsidR="004D5AD1" w:rsidRPr="004D5AD1">
        <w:rPr>
          <w:noProof/>
        </w:rPr>
        <w:t xml:space="preserve"> i</w:t>
      </w:r>
      <w:r w:rsidR="004D5AD1">
        <w:rPr>
          <w:noProof/>
        </w:rPr>
        <w:t> </w:t>
      </w:r>
      <w:r w:rsidR="004D5AD1" w:rsidRPr="004D5AD1">
        <w:rPr>
          <w:noProof/>
        </w:rPr>
        <w:t>kwa</w:t>
      </w:r>
      <w:r w:rsidRPr="004D5AD1">
        <w:rPr>
          <w:noProof/>
        </w:rPr>
        <w:t>ntyfikację,</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1–3, przeprowadza się zgodnie</w:t>
      </w:r>
      <w:r w:rsidR="004D5AD1" w:rsidRPr="004D5AD1">
        <w:rPr>
          <w:noProof/>
        </w:rPr>
        <w:t xml:space="preserve"> z</w:t>
      </w:r>
      <w:r w:rsidR="004D5AD1">
        <w:rPr>
          <w:noProof/>
        </w:rPr>
        <w:t> </w:t>
      </w:r>
      <w:r w:rsidR="004D5AD1" w:rsidRPr="004D5AD1">
        <w:rPr>
          <w:noProof/>
        </w:rPr>
        <w:t>odp</w:t>
      </w:r>
      <w:r w:rsidRPr="004D5AD1">
        <w:rPr>
          <w:noProof/>
        </w:rPr>
        <w:t>owiednimi normami europejskimi lub międzynarodowymi.</w:t>
      </w:r>
    </w:p>
    <w:p w14:paraId="3F7B9DD7" w14:textId="1C7D1BE3" w:rsidR="008B4619" w:rsidRPr="004D5AD1" w:rsidRDefault="005673FB" w:rsidP="008B4619">
      <w:pPr>
        <w:spacing w:after="160" w:line="259" w:lineRule="auto"/>
        <w:rPr>
          <w:rFonts w:eastAsia="Calibri"/>
          <w:noProof/>
          <w:szCs w:val="24"/>
        </w:rPr>
      </w:pPr>
      <w:r w:rsidRPr="004D5AD1">
        <w:rPr>
          <w:noProof/>
        </w:rPr>
        <w:t>Jeśli chodzi</w:t>
      </w:r>
      <w:r w:rsidR="004D5AD1" w:rsidRPr="004D5AD1">
        <w:rPr>
          <w:noProof/>
        </w:rPr>
        <w:t xml:space="preserve"> o</w:t>
      </w:r>
      <w:r w:rsidR="004D5AD1">
        <w:rPr>
          <w:noProof/>
        </w:rPr>
        <w:t> </w:t>
      </w:r>
      <w:r w:rsidR="004D5AD1" w:rsidRPr="004D5AD1">
        <w:rPr>
          <w:noProof/>
        </w:rPr>
        <w:t>pom</w:t>
      </w:r>
      <w:r w:rsidRPr="004D5AD1">
        <w:rPr>
          <w:noProof/>
        </w:rPr>
        <w:t>iar ciągły,</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1</w:t>
      </w:r>
      <w:r w:rsidR="004D5AD1" w:rsidRPr="004D5AD1">
        <w:rPr>
          <w:noProof/>
        </w:rPr>
        <w:t xml:space="preserve"> i</w:t>
      </w:r>
      <w:r w:rsidR="004D5AD1">
        <w:rPr>
          <w:noProof/>
        </w:rPr>
        <w:t> </w:t>
      </w:r>
      <w:r w:rsidR="004D5AD1" w:rsidRPr="004D5AD1">
        <w:rPr>
          <w:noProof/>
        </w:rPr>
        <w:t>2</w:t>
      </w:r>
      <w:r w:rsidRPr="004D5AD1">
        <w:rPr>
          <w:noProof/>
        </w:rPr>
        <w:t>,</w:t>
      </w:r>
      <w:r w:rsidR="004D5AD1" w:rsidRPr="004D5AD1">
        <w:rPr>
          <w:noProof/>
        </w:rPr>
        <w:t xml:space="preserve"> w</w:t>
      </w:r>
      <w:r w:rsidR="004D5AD1">
        <w:rPr>
          <w:noProof/>
        </w:rPr>
        <w:t> </w:t>
      </w:r>
      <w:r w:rsidR="004D5AD1" w:rsidRPr="004D5AD1">
        <w:rPr>
          <w:noProof/>
        </w:rPr>
        <w:t>prz</w:t>
      </w:r>
      <w:r w:rsidRPr="004D5AD1">
        <w:rPr>
          <w:noProof/>
        </w:rPr>
        <w:t>ypadku gdy część urządzeń pomiarowych nie działa przez pewien okres, odczyty dokonane</w:t>
      </w:r>
      <w:r w:rsidR="004D5AD1" w:rsidRPr="004D5AD1">
        <w:rPr>
          <w:noProof/>
        </w:rPr>
        <w:t xml:space="preserve"> w</w:t>
      </w:r>
      <w:r w:rsidR="004D5AD1">
        <w:rPr>
          <w:noProof/>
        </w:rPr>
        <w:t> </w:t>
      </w:r>
      <w:r w:rsidR="004D5AD1" w:rsidRPr="004D5AD1">
        <w:rPr>
          <w:noProof/>
        </w:rPr>
        <w:t>okr</w:t>
      </w:r>
      <w:r w:rsidRPr="004D5AD1">
        <w:rPr>
          <w:noProof/>
        </w:rPr>
        <w:t>esach działania urządzeń można wykorzystać do proporcjonalnego oszacowania danych za okres,</w:t>
      </w:r>
      <w:r w:rsidR="004D5AD1" w:rsidRPr="004D5AD1">
        <w:rPr>
          <w:noProof/>
        </w:rPr>
        <w:t xml:space="preserve"> w</w:t>
      </w:r>
      <w:r w:rsidR="004D5AD1">
        <w:rPr>
          <w:noProof/>
        </w:rPr>
        <w:t> </w:t>
      </w:r>
      <w:r w:rsidR="004D5AD1" w:rsidRPr="004D5AD1">
        <w:rPr>
          <w:noProof/>
        </w:rPr>
        <w:t>któ</w:t>
      </w:r>
      <w:r w:rsidRPr="004D5AD1">
        <w:rPr>
          <w:noProof/>
        </w:rPr>
        <w:t xml:space="preserve">rym urządzenia nie funkcjonowały. </w:t>
      </w:r>
    </w:p>
    <w:p w14:paraId="04631F25" w14:textId="7756465B" w:rsidR="008B4619" w:rsidRPr="004D5AD1" w:rsidRDefault="008B4619" w:rsidP="008B4619">
      <w:pPr>
        <w:spacing w:after="160" w:line="259" w:lineRule="auto"/>
        <w:rPr>
          <w:rFonts w:eastAsia="Calibri"/>
          <w:noProof/>
          <w:szCs w:val="24"/>
        </w:rPr>
      </w:pPr>
      <w:r w:rsidRPr="004D5AD1">
        <w:rPr>
          <w:noProof/>
        </w:rPr>
        <w:t>Urządzenia wykorzystywane do pomiaru ciągłego,</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1</w:t>
      </w:r>
      <w:r w:rsidR="004D5AD1" w:rsidRPr="004D5AD1">
        <w:rPr>
          <w:noProof/>
        </w:rPr>
        <w:t xml:space="preserve"> i</w:t>
      </w:r>
      <w:r w:rsidR="004D5AD1">
        <w:rPr>
          <w:noProof/>
        </w:rPr>
        <w:t> </w:t>
      </w:r>
      <w:r w:rsidR="004D5AD1" w:rsidRPr="004D5AD1">
        <w:rPr>
          <w:noProof/>
        </w:rPr>
        <w:t>2</w:t>
      </w:r>
      <w:r w:rsidRPr="004D5AD1">
        <w:rPr>
          <w:noProof/>
        </w:rPr>
        <w:t>, muszą działać przez ponad 90</w:t>
      </w:r>
      <w:r w:rsidR="004D5AD1" w:rsidRPr="004D5AD1">
        <w:rPr>
          <w:noProof/>
        </w:rPr>
        <w:t> </w:t>
      </w:r>
      <w:r w:rsidRPr="004D5AD1">
        <w:rPr>
          <w:noProof/>
        </w:rPr>
        <w:t>% okresu, przez który są wykorzystywane do monitorowania emisji,</w:t>
      </w:r>
      <w:r w:rsidR="004D5AD1" w:rsidRPr="004D5AD1">
        <w:rPr>
          <w:noProof/>
        </w:rPr>
        <w:t xml:space="preserve"> z</w:t>
      </w:r>
      <w:r w:rsidR="004D5AD1">
        <w:rPr>
          <w:noProof/>
        </w:rPr>
        <w:t> </w:t>
      </w:r>
      <w:r w:rsidR="004D5AD1" w:rsidRPr="004D5AD1">
        <w:rPr>
          <w:noProof/>
        </w:rPr>
        <w:t>wył</w:t>
      </w:r>
      <w:r w:rsidRPr="004D5AD1">
        <w:rPr>
          <w:noProof/>
        </w:rPr>
        <w:t>ączeniem przestoju potrzebnego do ich ponownej kalibracji.</w:t>
      </w:r>
    </w:p>
    <w:p w14:paraId="3461F9F6" w14:textId="14865787" w:rsidR="001753B1" w:rsidRPr="004D5AD1" w:rsidRDefault="005673FB" w:rsidP="001753B1">
      <w:pPr>
        <w:spacing w:after="160" w:line="259" w:lineRule="auto"/>
        <w:rPr>
          <w:rFonts w:eastAsia="Calibri"/>
          <w:noProof/>
          <w:szCs w:val="24"/>
        </w:rPr>
      </w:pPr>
      <w:r w:rsidRPr="004D5AD1">
        <w:rPr>
          <w:noProof/>
        </w:rPr>
        <w:t>5.</w:t>
      </w:r>
      <w:r w:rsidRPr="004D5AD1">
        <w:rPr>
          <w:noProof/>
        </w:rPr>
        <w:tab/>
        <w:t>Operatorzy kopalń węgla szacują emisje</w:t>
      </w:r>
      <w:r w:rsidR="004D5AD1" w:rsidRPr="004D5AD1">
        <w:rPr>
          <w:noProof/>
        </w:rPr>
        <w:t xml:space="preserve"> z</w:t>
      </w:r>
      <w:r w:rsidR="004D5AD1">
        <w:rPr>
          <w:noProof/>
        </w:rPr>
        <w:t> </w:t>
      </w:r>
      <w:r w:rsidR="004D5AD1" w:rsidRPr="004D5AD1">
        <w:rPr>
          <w:noProof/>
        </w:rPr>
        <w:t>dzi</w:t>
      </w:r>
      <w:r w:rsidRPr="004D5AD1">
        <w:rPr>
          <w:noProof/>
        </w:rPr>
        <w:t>ałalności powydobywczej</w:t>
      </w:r>
      <w:r w:rsidR="004D5AD1" w:rsidRPr="004D5AD1">
        <w:rPr>
          <w:noProof/>
        </w:rPr>
        <w:t xml:space="preserve"> z</w:t>
      </w:r>
      <w:r w:rsidR="004D5AD1">
        <w:rPr>
          <w:noProof/>
        </w:rPr>
        <w:t> </w:t>
      </w:r>
      <w:r w:rsidR="004D5AD1" w:rsidRPr="004D5AD1">
        <w:rPr>
          <w:noProof/>
        </w:rPr>
        <w:t>zas</w:t>
      </w:r>
      <w:r w:rsidRPr="004D5AD1">
        <w:rPr>
          <w:noProof/>
        </w:rPr>
        <w:t>tosowaniem aktualizowanych corocznie współczynników emisji</w:t>
      </w:r>
      <w:r w:rsidR="004D5AD1" w:rsidRPr="004D5AD1">
        <w:rPr>
          <w:noProof/>
        </w:rPr>
        <w:t xml:space="preserve"> z</w:t>
      </w:r>
      <w:r w:rsidR="004D5AD1">
        <w:rPr>
          <w:noProof/>
        </w:rPr>
        <w:t> </w:t>
      </w:r>
      <w:r w:rsidR="004D5AD1" w:rsidRPr="004D5AD1">
        <w:rPr>
          <w:noProof/>
        </w:rPr>
        <w:t>dzi</w:t>
      </w:r>
      <w:r w:rsidRPr="004D5AD1">
        <w:rPr>
          <w:noProof/>
        </w:rPr>
        <w:t>ałalności powydobywczej na podstawie próbek węgla specyficznych dla danych złóż</w:t>
      </w:r>
      <w:r w:rsidR="004D5AD1" w:rsidRPr="004D5AD1">
        <w:rPr>
          <w:noProof/>
        </w:rPr>
        <w:t xml:space="preserve"> i</w:t>
      </w:r>
      <w:r w:rsidR="004D5AD1">
        <w:rPr>
          <w:noProof/>
        </w:rPr>
        <w:t> </w:t>
      </w:r>
      <w:r w:rsidR="004D5AD1" w:rsidRPr="004D5AD1">
        <w:rPr>
          <w:noProof/>
        </w:rPr>
        <w:t>zgo</w:t>
      </w:r>
      <w:r w:rsidRPr="004D5AD1">
        <w:rPr>
          <w:noProof/>
        </w:rPr>
        <w:t>dnie</w:t>
      </w:r>
      <w:r w:rsidR="004D5AD1" w:rsidRPr="004D5AD1">
        <w:rPr>
          <w:noProof/>
        </w:rPr>
        <w:t xml:space="preserve"> z</w:t>
      </w:r>
      <w:r w:rsidR="004D5AD1">
        <w:rPr>
          <w:noProof/>
        </w:rPr>
        <w:t> </w:t>
      </w:r>
      <w:r w:rsidR="004D5AD1" w:rsidRPr="004D5AD1">
        <w:rPr>
          <w:noProof/>
        </w:rPr>
        <w:t>odp</w:t>
      </w:r>
      <w:r w:rsidRPr="004D5AD1">
        <w:rPr>
          <w:noProof/>
        </w:rPr>
        <w:t>owiednimi normami naukowymi.</w:t>
      </w:r>
    </w:p>
    <w:p w14:paraId="5864E227" w14:textId="0ADA8343" w:rsidR="0066114F" w:rsidRPr="004D5AD1" w:rsidRDefault="0066114F" w:rsidP="001753B1">
      <w:pPr>
        <w:spacing w:after="160" w:line="259" w:lineRule="auto"/>
        <w:rPr>
          <w:rFonts w:eastAsia="Calibri"/>
          <w:noProof/>
          <w:szCs w:val="24"/>
        </w:rPr>
      </w:pPr>
      <w:r w:rsidRPr="004D5AD1">
        <w:rPr>
          <w:noProof/>
        </w:rPr>
        <w:t>6.</w:t>
      </w:r>
      <w:r w:rsidRPr="004D5AD1">
        <w:rPr>
          <w:noProof/>
        </w:rPr>
        <w:tab/>
        <w:t>Do dnia... [</w:t>
      </w:r>
      <w:r w:rsidRPr="004D5AD1">
        <w:rPr>
          <w:i/>
          <w:noProof/>
        </w:rPr>
        <w:t>12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w:t>
      </w:r>
      <w:r w:rsidR="004D5AD1" w:rsidRPr="004D5AD1">
        <w:rPr>
          <w:noProof/>
        </w:rPr>
        <w:t xml:space="preserve"> a</w:t>
      </w:r>
      <w:r w:rsidR="004D5AD1">
        <w:rPr>
          <w:noProof/>
        </w:rPr>
        <w:t> </w:t>
      </w:r>
      <w:r w:rsidR="004D5AD1" w:rsidRPr="004D5AD1">
        <w:rPr>
          <w:noProof/>
        </w:rPr>
        <w:t>nas</w:t>
      </w:r>
      <w:r w:rsidRPr="004D5AD1">
        <w:rPr>
          <w:noProof/>
        </w:rPr>
        <w:t>tępnie do dnia 30 marca każdego roku operatorzy kopalń</w:t>
      </w:r>
      <w:r w:rsidR="004D5AD1" w:rsidRPr="004D5AD1">
        <w:rPr>
          <w:noProof/>
        </w:rPr>
        <w:t xml:space="preserve"> i</w:t>
      </w:r>
      <w:r w:rsidR="004D5AD1">
        <w:rPr>
          <w:noProof/>
        </w:rPr>
        <w:t> </w:t>
      </w:r>
      <w:r w:rsidR="004D5AD1" w:rsidRPr="004D5AD1">
        <w:rPr>
          <w:noProof/>
        </w:rPr>
        <w:t>ope</w:t>
      </w:r>
      <w:r w:rsidRPr="004D5AD1">
        <w:rPr>
          <w:noProof/>
        </w:rPr>
        <w:t>ratorzy stacji odmetanowania przedkładają właściwym organom sprawozdanie zawierające roczne dane dotyczące emisji metanu na poziomie źródła zgodnie</w:t>
      </w:r>
      <w:r w:rsidR="004D5AD1" w:rsidRPr="004D5AD1">
        <w:rPr>
          <w:noProof/>
        </w:rPr>
        <w:t xml:space="preserve"> z</w:t>
      </w:r>
      <w:r w:rsidR="004D5AD1">
        <w:rPr>
          <w:noProof/>
        </w:rPr>
        <w:t> </w:t>
      </w:r>
      <w:r w:rsidR="004D5AD1" w:rsidRPr="004D5AD1">
        <w:rPr>
          <w:noProof/>
        </w:rPr>
        <w:t>prz</w:t>
      </w:r>
      <w:r w:rsidRPr="004D5AD1">
        <w:rPr>
          <w:noProof/>
        </w:rPr>
        <w:t>episami niniejszego artykułu.</w:t>
      </w:r>
      <w:r w:rsidR="004D5AD1" w:rsidRPr="004D5AD1">
        <w:rPr>
          <w:noProof/>
        </w:rPr>
        <w:t xml:space="preserve"> </w:t>
      </w:r>
    </w:p>
    <w:p w14:paraId="2DBF271D" w14:textId="107FF9A2" w:rsidR="001753B1" w:rsidRPr="004D5AD1" w:rsidRDefault="009641F4" w:rsidP="001753B1">
      <w:pPr>
        <w:spacing w:after="160" w:line="259" w:lineRule="auto"/>
        <w:rPr>
          <w:rFonts w:eastAsia="Calibri"/>
          <w:noProof/>
          <w:szCs w:val="24"/>
        </w:rPr>
      </w:pPr>
      <w:r w:rsidRPr="004D5AD1">
        <w:rPr>
          <w:noProof/>
        </w:rPr>
        <w:t>Sprawozdanie obejmuje ostatni dostępny okres roku kalendarzowego</w:t>
      </w:r>
      <w:r w:rsidR="004D5AD1" w:rsidRPr="004D5AD1">
        <w:rPr>
          <w:noProof/>
        </w:rPr>
        <w:t xml:space="preserve"> i</w:t>
      </w:r>
      <w:r w:rsidR="004D5AD1">
        <w:rPr>
          <w:noProof/>
        </w:rPr>
        <w:t> </w:t>
      </w:r>
      <w:r w:rsidR="004D5AD1" w:rsidRPr="004D5AD1">
        <w:rPr>
          <w:noProof/>
        </w:rPr>
        <w:t>zaw</w:t>
      </w:r>
      <w:r w:rsidRPr="004D5AD1">
        <w:rPr>
          <w:noProof/>
        </w:rPr>
        <w:t>iera elementy określone</w:t>
      </w:r>
      <w:r w:rsidR="004D5AD1" w:rsidRPr="004D5AD1">
        <w:rPr>
          <w:noProof/>
        </w:rPr>
        <w:t xml:space="preserve"> w</w:t>
      </w:r>
      <w:r w:rsidR="004D5AD1">
        <w:rPr>
          <w:noProof/>
        </w:rPr>
        <w:t> </w:t>
      </w:r>
      <w:r w:rsidR="004D5AD1" w:rsidRPr="004D5AD1">
        <w:rPr>
          <w:noProof/>
        </w:rPr>
        <w:t>zał</w:t>
      </w:r>
      <w:r w:rsidRPr="004D5AD1">
        <w:rPr>
          <w:noProof/>
        </w:rPr>
        <w:t>ączniku V część 1</w:t>
      </w:r>
      <w:r w:rsidR="004D5AD1" w:rsidRPr="004D5AD1">
        <w:rPr>
          <w:noProof/>
        </w:rPr>
        <w:t xml:space="preserve"> w</w:t>
      </w:r>
      <w:r w:rsidR="004D5AD1">
        <w:rPr>
          <w:noProof/>
        </w:rPr>
        <w:t> </w:t>
      </w:r>
      <w:r w:rsidR="004D5AD1" w:rsidRPr="004D5AD1">
        <w:rPr>
          <w:noProof/>
        </w:rPr>
        <w:t>odn</w:t>
      </w:r>
      <w:r w:rsidRPr="004D5AD1">
        <w:rPr>
          <w:noProof/>
        </w:rPr>
        <w:t>iesieniu do czynnych podziemnych kopalń węgla,</w:t>
      </w:r>
      <w:r w:rsidR="004D5AD1" w:rsidRPr="004D5AD1">
        <w:rPr>
          <w:noProof/>
        </w:rPr>
        <w:t xml:space="preserve"> w</w:t>
      </w:r>
      <w:r w:rsidR="004D5AD1">
        <w:rPr>
          <w:noProof/>
        </w:rPr>
        <w:t> </w:t>
      </w:r>
      <w:r w:rsidR="004D5AD1" w:rsidRPr="004D5AD1">
        <w:rPr>
          <w:noProof/>
        </w:rPr>
        <w:t>zał</w:t>
      </w:r>
      <w:r w:rsidRPr="004D5AD1">
        <w:rPr>
          <w:noProof/>
        </w:rPr>
        <w:t>ączniku V część 2</w:t>
      </w:r>
      <w:r w:rsidR="004D5AD1" w:rsidRPr="004D5AD1">
        <w:rPr>
          <w:noProof/>
        </w:rPr>
        <w:t xml:space="preserve"> w</w:t>
      </w:r>
      <w:r w:rsidR="004D5AD1">
        <w:rPr>
          <w:noProof/>
        </w:rPr>
        <w:t> </w:t>
      </w:r>
      <w:r w:rsidR="004D5AD1" w:rsidRPr="004D5AD1">
        <w:rPr>
          <w:noProof/>
        </w:rPr>
        <w:t>odn</w:t>
      </w:r>
      <w:r w:rsidRPr="004D5AD1">
        <w:rPr>
          <w:noProof/>
        </w:rPr>
        <w:t>iesieniu do czynnych odkrywkowych kopalń węgla oraz</w:t>
      </w:r>
      <w:r w:rsidR="004D5AD1" w:rsidRPr="004D5AD1">
        <w:rPr>
          <w:noProof/>
        </w:rPr>
        <w:t xml:space="preserve"> w</w:t>
      </w:r>
      <w:r w:rsidR="004D5AD1">
        <w:rPr>
          <w:noProof/>
        </w:rPr>
        <w:t> </w:t>
      </w:r>
      <w:r w:rsidR="004D5AD1" w:rsidRPr="004D5AD1">
        <w:rPr>
          <w:noProof/>
        </w:rPr>
        <w:t>zał</w:t>
      </w:r>
      <w:r w:rsidRPr="004D5AD1">
        <w:rPr>
          <w:noProof/>
        </w:rPr>
        <w:t>ączniku V część 3</w:t>
      </w:r>
      <w:r w:rsidR="004D5AD1" w:rsidRPr="004D5AD1">
        <w:rPr>
          <w:noProof/>
        </w:rPr>
        <w:t xml:space="preserve"> w</w:t>
      </w:r>
      <w:r w:rsidR="004D5AD1">
        <w:rPr>
          <w:noProof/>
        </w:rPr>
        <w:t> </w:t>
      </w:r>
      <w:r w:rsidR="004D5AD1" w:rsidRPr="004D5AD1">
        <w:rPr>
          <w:noProof/>
        </w:rPr>
        <w:t>odn</w:t>
      </w:r>
      <w:r w:rsidRPr="004D5AD1">
        <w:rPr>
          <w:noProof/>
        </w:rPr>
        <w:t>iesieniu do stacji odmetanowania.</w:t>
      </w:r>
    </w:p>
    <w:p w14:paraId="490A3766" w14:textId="2916ED56" w:rsidR="0066114F" w:rsidRPr="004D5AD1" w:rsidRDefault="0066114F" w:rsidP="0066114F">
      <w:pPr>
        <w:rPr>
          <w:noProof/>
        </w:rPr>
      </w:pPr>
      <w:r w:rsidRPr="004D5AD1">
        <w:rPr>
          <w:noProof/>
        </w:rPr>
        <w:t>Przed przedłożeniem sprawozdań właściwym organom operatorzy kopalń</w:t>
      </w:r>
      <w:r w:rsidR="004D5AD1" w:rsidRPr="004D5AD1">
        <w:rPr>
          <w:noProof/>
        </w:rPr>
        <w:t xml:space="preserve"> i</w:t>
      </w:r>
      <w:r w:rsidR="004D5AD1">
        <w:rPr>
          <w:noProof/>
        </w:rPr>
        <w:t> </w:t>
      </w:r>
      <w:r w:rsidR="004D5AD1" w:rsidRPr="004D5AD1">
        <w:rPr>
          <w:noProof/>
        </w:rPr>
        <w:t>sta</w:t>
      </w:r>
      <w:r w:rsidRPr="004D5AD1">
        <w:rPr>
          <w:noProof/>
        </w:rPr>
        <w:t>cji odmetanowania zapewniają, aby sprawozdania określone</w:t>
      </w:r>
      <w:r w:rsidR="004D5AD1" w:rsidRPr="004D5AD1">
        <w:rPr>
          <w:noProof/>
        </w:rPr>
        <w:t xml:space="preserve"> w</w:t>
      </w:r>
      <w:r w:rsidR="004D5AD1">
        <w:rPr>
          <w:noProof/>
        </w:rPr>
        <w:t> </w:t>
      </w:r>
      <w:r w:rsidR="004D5AD1" w:rsidRPr="004D5AD1">
        <w:rPr>
          <w:noProof/>
        </w:rPr>
        <w:t>nin</w:t>
      </w:r>
      <w:r w:rsidRPr="004D5AD1">
        <w:rPr>
          <w:noProof/>
        </w:rPr>
        <w:t>iejszym ustępie zostały ocenione przez weryfikatora</w:t>
      </w:r>
      <w:r w:rsidR="004D5AD1" w:rsidRPr="004D5AD1">
        <w:rPr>
          <w:noProof/>
        </w:rPr>
        <w:t xml:space="preserve"> i</w:t>
      </w:r>
      <w:r w:rsidR="004D5AD1">
        <w:rPr>
          <w:noProof/>
        </w:rPr>
        <w:t> </w:t>
      </w:r>
      <w:r w:rsidR="004D5AD1" w:rsidRPr="004D5AD1">
        <w:rPr>
          <w:noProof/>
        </w:rPr>
        <w:t>zaw</w:t>
      </w:r>
      <w:r w:rsidRPr="004D5AD1">
        <w:rPr>
          <w:noProof/>
        </w:rPr>
        <w:t>ierały oświadczenie weryfikacyjne wydane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8</w:t>
      </w:r>
      <w:r w:rsidR="004D5AD1" w:rsidRPr="004D5AD1">
        <w:rPr>
          <w:noProof/>
        </w:rPr>
        <w:t xml:space="preserve"> i</w:t>
      </w:r>
      <w:r w:rsidR="004D5AD1">
        <w:rPr>
          <w:noProof/>
        </w:rPr>
        <w:t> </w:t>
      </w:r>
      <w:r w:rsidR="004D5AD1" w:rsidRPr="004D5AD1">
        <w:rPr>
          <w:noProof/>
        </w:rPr>
        <w:t>9</w:t>
      </w:r>
      <w:r w:rsidRPr="004D5AD1">
        <w:rPr>
          <w:noProof/>
        </w:rPr>
        <w:t>.</w:t>
      </w:r>
    </w:p>
    <w:p w14:paraId="1BEC5EF9" w14:textId="1ABF999A" w:rsidR="0066114F" w:rsidRPr="004D5AD1" w:rsidRDefault="0066114F" w:rsidP="00DB17E4">
      <w:pPr>
        <w:spacing w:after="160" w:line="259" w:lineRule="auto"/>
        <w:rPr>
          <w:rFonts w:eastAsia="Calibri"/>
          <w:noProof/>
          <w:szCs w:val="24"/>
        </w:rPr>
      </w:pPr>
      <w:r w:rsidRPr="004D5AD1">
        <w:rPr>
          <w:noProof/>
        </w:rPr>
        <w:t>7.</w:t>
      </w:r>
      <w:r w:rsidRPr="004D5AD1">
        <w:rPr>
          <w:noProof/>
        </w:rPr>
        <w:tab/>
        <w:t>Właściwe organy udostępniają opinii publicznej</w:t>
      </w:r>
      <w:r w:rsidR="004D5AD1" w:rsidRPr="004D5AD1">
        <w:rPr>
          <w:noProof/>
        </w:rPr>
        <w:t xml:space="preserve"> i</w:t>
      </w:r>
      <w:r w:rsidR="004D5AD1">
        <w:rPr>
          <w:noProof/>
        </w:rPr>
        <w:t> </w:t>
      </w:r>
      <w:r w:rsidR="004D5AD1" w:rsidRPr="004D5AD1">
        <w:rPr>
          <w:noProof/>
        </w:rPr>
        <w:t>Kom</w:t>
      </w:r>
      <w:r w:rsidRPr="004D5AD1">
        <w:rPr>
          <w:noProof/>
        </w:rPr>
        <w:t>isji sprawozdania określone</w:t>
      </w:r>
      <w:r w:rsidR="004D5AD1" w:rsidRPr="004D5AD1">
        <w:rPr>
          <w:noProof/>
        </w:rPr>
        <w:t xml:space="preserve"> w</w:t>
      </w:r>
      <w:r w:rsidR="004D5AD1">
        <w:rPr>
          <w:noProof/>
        </w:rPr>
        <w:t> </w:t>
      </w:r>
      <w:r w:rsidR="004D5AD1" w:rsidRPr="004D5AD1">
        <w:rPr>
          <w:noProof/>
        </w:rPr>
        <w:t>nin</w:t>
      </w:r>
      <w:r w:rsidRPr="004D5AD1">
        <w:rPr>
          <w:noProof/>
        </w:rPr>
        <w:t>iejszym artykule</w:t>
      </w:r>
      <w:r w:rsidR="004D5AD1" w:rsidRPr="004D5AD1">
        <w:rPr>
          <w:noProof/>
        </w:rPr>
        <w:t xml:space="preserve"> w</w:t>
      </w:r>
      <w:r w:rsidR="004D5AD1">
        <w:rPr>
          <w:noProof/>
        </w:rPr>
        <w:t> </w:t>
      </w:r>
      <w:r w:rsidR="004D5AD1" w:rsidRPr="004D5AD1">
        <w:rPr>
          <w:noProof/>
        </w:rPr>
        <w:t>ter</w:t>
      </w:r>
      <w:r w:rsidRPr="004D5AD1">
        <w:rPr>
          <w:noProof/>
        </w:rPr>
        <w:t>minie trzech miesięcy od ich przedłożenia przez operatorów</w:t>
      </w:r>
      <w:r w:rsidR="004D5AD1" w:rsidRPr="004D5AD1">
        <w:rPr>
          <w:noProof/>
        </w:rPr>
        <w:t xml:space="preserve"> i</w:t>
      </w:r>
      <w:r w:rsidR="004D5AD1">
        <w:rPr>
          <w:noProof/>
        </w:rPr>
        <w:t> </w:t>
      </w:r>
      <w:r w:rsidR="004D5AD1" w:rsidRPr="004D5AD1">
        <w:rPr>
          <w:noProof/>
        </w:rPr>
        <w:t>zgo</w:t>
      </w:r>
      <w:r w:rsidRPr="004D5AD1">
        <w:rPr>
          <w:noProof/>
        </w:rPr>
        <w:t>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5 ust.</w:t>
      </w:r>
      <w:r w:rsidR="004D5AD1" w:rsidRPr="004D5AD1">
        <w:rPr>
          <w:noProof/>
        </w:rPr>
        <w:t> </w:t>
      </w:r>
      <w:r w:rsidRPr="004D5AD1">
        <w:rPr>
          <w:noProof/>
        </w:rPr>
        <w:t>4.</w:t>
      </w:r>
    </w:p>
    <w:p w14:paraId="1E6842ED" w14:textId="7E0C4D74" w:rsidR="001753B1" w:rsidRPr="004D5AD1" w:rsidRDefault="001753B1" w:rsidP="001753B1">
      <w:pPr>
        <w:spacing w:after="160" w:line="259" w:lineRule="auto"/>
        <w:rPr>
          <w:rFonts w:eastAsia="Calibri"/>
          <w:noProof/>
          <w:szCs w:val="24"/>
        </w:rPr>
      </w:pPr>
    </w:p>
    <w:p w14:paraId="46736D8D" w14:textId="3BF23582" w:rsidR="00184527" w:rsidRPr="004D5AD1" w:rsidRDefault="00184527" w:rsidP="00184527">
      <w:pPr>
        <w:pStyle w:val="SectionTitle"/>
        <w:rPr>
          <w:rStyle w:val="normaltextrun"/>
          <w:i/>
          <w:iCs/>
          <w:noProof/>
        </w:rPr>
      </w:pPr>
      <w:r w:rsidRPr="004D5AD1">
        <w:rPr>
          <w:rStyle w:val="normaltextrun"/>
          <w:i/>
          <w:iCs/>
          <w:noProof/>
        </w:rPr>
        <w:t>Sekcja II</w:t>
      </w:r>
    </w:p>
    <w:p w14:paraId="553E927D" w14:textId="2A411D79" w:rsidR="009641F4" w:rsidRPr="004D5AD1" w:rsidRDefault="009641F4" w:rsidP="009641F4">
      <w:pPr>
        <w:pStyle w:val="paragraph"/>
        <w:spacing w:before="0" w:beforeAutospacing="0" w:after="0" w:afterAutospacing="0"/>
        <w:jc w:val="center"/>
        <w:textAlignment w:val="baseline"/>
        <w:rPr>
          <w:rStyle w:val="eop"/>
          <w:bCs/>
          <w:smallCaps/>
          <w:noProof/>
          <w:sz w:val="28"/>
          <w:szCs w:val="28"/>
        </w:rPr>
      </w:pPr>
      <w:r w:rsidRPr="004D5AD1">
        <w:rPr>
          <w:rStyle w:val="eop"/>
          <w:bCs/>
          <w:smallCaps/>
          <w:noProof/>
          <w:sz w:val="28"/>
          <w:szCs w:val="28"/>
        </w:rPr>
        <w:t>ograniczenie emisji metanu</w:t>
      </w:r>
      <w:r w:rsidR="004D5AD1" w:rsidRPr="004D5AD1">
        <w:rPr>
          <w:rStyle w:val="eop"/>
          <w:bCs/>
          <w:smallCaps/>
          <w:noProof/>
          <w:sz w:val="28"/>
          <w:szCs w:val="28"/>
        </w:rPr>
        <w:t xml:space="preserve"> z</w:t>
      </w:r>
      <w:r w:rsidR="004D5AD1">
        <w:rPr>
          <w:rStyle w:val="eop"/>
          <w:bCs/>
          <w:smallCaps/>
          <w:noProof/>
          <w:sz w:val="28"/>
          <w:szCs w:val="28"/>
        </w:rPr>
        <w:t> </w:t>
      </w:r>
      <w:r w:rsidR="004D5AD1" w:rsidRPr="004D5AD1">
        <w:rPr>
          <w:rStyle w:val="eop"/>
          <w:bCs/>
          <w:smallCaps/>
          <w:noProof/>
          <w:sz w:val="28"/>
          <w:szCs w:val="28"/>
        </w:rPr>
        <w:t>czy</w:t>
      </w:r>
      <w:r w:rsidRPr="004D5AD1">
        <w:rPr>
          <w:rStyle w:val="eop"/>
          <w:bCs/>
          <w:smallCaps/>
          <w:noProof/>
          <w:sz w:val="28"/>
          <w:szCs w:val="28"/>
        </w:rPr>
        <w:t>nnych podziemnych kopalń węgla</w:t>
      </w:r>
    </w:p>
    <w:p w14:paraId="36E26608" w14:textId="0661645C" w:rsidR="00184527" w:rsidRPr="004D5AD1" w:rsidRDefault="00184527" w:rsidP="0067539A">
      <w:pPr>
        <w:pStyle w:val="Titrearticle"/>
        <w:rPr>
          <w:rStyle w:val="normaltextrun"/>
          <w:i w:val="0"/>
          <w:iCs/>
          <w:noProof/>
        </w:rPr>
      </w:pPr>
      <w:r w:rsidRPr="004D5AD1">
        <w:rPr>
          <w:rStyle w:val="normaltextrun"/>
          <w:iCs/>
          <w:noProof/>
        </w:rPr>
        <w:t>Artykuł 21</w:t>
      </w:r>
    </w:p>
    <w:p w14:paraId="26710817" w14:textId="77777777" w:rsidR="009641F4" w:rsidRPr="004D5AD1" w:rsidRDefault="009641F4" w:rsidP="009641F4">
      <w:pPr>
        <w:pStyle w:val="NormalCentered"/>
        <w:rPr>
          <w:b/>
          <w:noProof/>
        </w:rPr>
      </w:pPr>
      <w:r w:rsidRPr="004D5AD1">
        <w:rPr>
          <w:b/>
          <w:noProof/>
        </w:rPr>
        <w:t>Zakres</w:t>
      </w:r>
    </w:p>
    <w:p w14:paraId="59502342" w14:textId="3B01F49B" w:rsidR="009641F4" w:rsidRPr="004D5AD1" w:rsidRDefault="009641F4" w:rsidP="00184527">
      <w:pPr>
        <w:spacing w:after="160" w:line="259" w:lineRule="auto"/>
        <w:rPr>
          <w:rFonts w:eastAsia="Calibri"/>
          <w:noProof/>
          <w:szCs w:val="24"/>
        </w:rPr>
      </w:pPr>
      <w:r w:rsidRPr="004D5AD1">
        <w:rPr>
          <w:noProof/>
        </w:rPr>
        <w:t>Niniejsza sekcja ma zastosowanie do emisji metanu</w:t>
      </w:r>
      <w:r w:rsidR="004D5AD1" w:rsidRPr="004D5AD1">
        <w:rPr>
          <w:noProof/>
        </w:rPr>
        <w:t xml:space="preserve"> z</w:t>
      </w:r>
      <w:r w:rsidR="004D5AD1">
        <w:rPr>
          <w:noProof/>
        </w:rPr>
        <w:t> </w:t>
      </w:r>
      <w:r w:rsidR="004D5AD1" w:rsidRPr="004D5AD1">
        <w:rPr>
          <w:noProof/>
        </w:rPr>
        <w:t>pod</w:t>
      </w:r>
      <w:r w:rsidRPr="004D5AD1">
        <w:rPr>
          <w:noProof/>
        </w:rPr>
        <w:t>ziemnych kopalń węgla,</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19 ust.</w:t>
      </w:r>
      <w:r w:rsidR="004D5AD1" w:rsidRPr="004D5AD1">
        <w:rPr>
          <w:noProof/>
        </w:rPr>
        <w:t> </w:t>
      </w:r>
      <w:r w:rsidRPr="004D5AD1">
        <w:rPr>
          <w:noProof/>
        </w:rPr>
        <w:t>2.</w:t>
      </w:r>
    </w:p>
    <w:p w14:paraId="4513C7FF" w14:textId="416F4F63" w:rsidR="00184527" w:rsidRPr="004D5AD1" w:rsidRDefault="00184527" w:rsidP="0067539A">
      <w:pPr>
        <w:pStyle w:val="Titrearticle"/>
        <w:rPr>
          <w:rStyle w:val="normaltextrun"/>
          <w:i w:val="0"/>
          <w:iCs/>
          <w:noProof/>
        </w:rPr>
      </w:pPr>
      <w:r w:rsidRPr="004D5AD1">
        <w:rPr>
          <w:rStyle w:val="normaltextrun"/>
          <w:iCs/>
          <w:noProof/>
        </w:rPr>
        <w:t>Artykuł 22</w:t>
      </w:r>
    </w:p>
    <w:p w14:paraId="22EC5855" w14:textId="77777777" w:rsidR="009641F4" w:rsidRPr="004D5AD1" w:rsidRDefault="009641F4" w:rsidP="009641F4">
      <w:pPr>
        <w:jc w:val="center"/>
        <w:rPr>
          <w:b/>
          <w:noProof/>
        </w:rPr>
      </w:pPr>
      <w:r w:rsidRPr="004D5AD1">
        <w:rPr>
          <w:b/>
          <w:noProof/>
        </w:rPr>
        <w:t>Środki ograniczające emisje</w:t>
      </w:r>
    </w:p>
    <w:p w14:paraId="60056E6C" w14:textId="2F1BFE12" w:rsidR="00184527" w:rsidRPr="004D5AD1" w:rsidRDefault="00184527" w:rsidP="00184527">
      <w:pPr>
        <w:spacing w:after="160" w:line="259" w:lineRule="auto"/>
        <w:rPr>
          <w:rFonts w:eastAsia="Calibri"/>
          <w:noProof/>
          <w:szCs w:val="24"/>
        </w:rPr>
      </w:pPr>
      <w:r w:rsidRPr="004D5AD1">
        <w:rPr>
          <w:noProof/>
        </w:rPr>
        <w:t>1.</w:t>
      </w:r>
      <w:r w:rsidRPr="004D5AD1">
        <w:rPr>
          <w:noProof/>
        </w:rPr>
        <w:tab/>
        <w:t>Od dnia [1 stycznia 2025] r. zakazuje się uwalniania do atmosfery</w:t>
      </w:r>
      <w:r w:rsidR="004D5AD1" w:rsidRPr="004D5AD1">
        <w:rPr>
          <w:noProof/>
        </w:rPr>
        <w:t xml:space="preserve"> i</w:t>
      </w:r>
      <w:r w:rsidR="004D5AD1">
        <w:rPr>
          <w:noProof/>
        </w:rPr>
        <w:t> </w:t>
      </w:r>
      <w:r w:rsidR="004D5AD1" w:rsidRPr="004D5AD1">
        <w:rPr>
          <w:noProof/>
        </w:rPr>
        <w:t>spa</w:t>
      </w:r>
      <w:r w:rsidRPr="004D5AD1">
        <w:rPr>
          <w:noProof/>
        </w:rPr>
        <w:t>lania</w:t>
      </w:r>
      <w:r w:rsidR="004D5AD1" w:rsidRPr="004D5AD1">
        <w:rPr>
          <w:noProof/>
        </w:rPr>
        <w:t xml:space="preserve"> w</w:t>
      </w:r>
      <w:r w:rsidR="004D5AD1">
        <w:rPr>
          <w:noProof/>
        </w:rPr>
        <w:t> </w:t>
      </w:r>
      <w:r w:rsidR="004D5AD1" w:rsidRPr="004D5AD1">
        <w:rPr>
          <w:noProof/>
        </w:rPr>
        <w:t>poc</w:t>
      </w:r>
      <w:r w:rsidRPr="004D5AD1">
        <w:rPr>
          <w:noProof/>
        </w:rPr>
        <w:t>hodni metanu ze stacji odmetanowania,</w:t>
      </w:r>
      <w:r w:rsidR="004D5AD1" w:rsidRPr="004D5AD1">
        <w:rPr>
          <w:noProof/>
        </w:rPr>
        <w:t xml:space="preserve"> z</w:t>
      </w:r>
      <w:r w:rsidR="004D5AD1">
        <w:rPr>
          <w:noProof/>
        </w:rPr>
        <w:t> </w:t>
      </w:r>
      <w:r w:rsidR="004D5AD1" w:rsidRPr="004D5AD1">
        <w:rPr>
          <w:noProof/>
        </w:rPr>
        <w:t>wyj</w:t>
      </w:r>
      <w:r w:rsidRPr="004D5AD1">
        <w:rPr>
          <w:noProof/>
        </w:rPr>
        <w:t>ątkiem sytuacji awaryjnej, niesprawności lub nieuniknionej</w:t>
      </w:r>
      <w:r w:rsidR="004D5AD1" w:rsidRPr="004D5AD1">
        <w:rPr>
          <w:noProof/>
        </w:rPr>
        <w:t xml:space="preserve"> i</w:t>
      </w:r>
      <w:r w:rsidR="004D5AD1">
        <w:rPr>
          <w:noProof/>
        </w:rPr>
        <w:t> </w:t>
      </w:r>
      <w:r w:rsidR="004D5AD1" w:rsidRPr="004D5AD1">
        <w:rPr>
          <w:noProof/>
        </w:rPr>
        <w:t>abs</w:t>
      </w:r>
      <w:r w:rsidRPr="004D5AD1">
        <w:rPr>
          <w:noProof/>
        </w:rPr>
        <w:t>olutnie niezbędnej konserwacji</w:t>
      </w:r>
      <w:r w:rsidR="004D5AD1" w:rsidRPr="004D5AD1">
        <w:rPr>
          <w:noProof/>
        </w:rPr>
        <w:t>. W</w:t>
      </w:r>
      <w:r w:rsidR="004D5AD1">
        <w:rPr>
          <w:noProof/>
        </w:rPr>
        <w:t> </w:t>
      </w:r>
      <w:r w:rsidR="004D5AD1" w:rsidRPr="004D5AD1">
        <w:rPr>
          <w:noProof/>
        </w:rPr>
        <w:t>tak</w:t>
      </w:r>
      <w:r w:rsidRPr="004D5AD1">
        <w:rPr>
          <w:noProof/>
        </w:rPr>
        <w:t>ich przypadkach operatorzy stacji odmetanowania uwalniają metan do atmosfery wyłącznie wówczas, gdy spalanie</w:t>
      </w:r>
      <w:r w:rsidR="004D5AD1" w:rsidRPr="004D5AD1">
        <w:rPr>
          <w:noProof/>
        </w:rPr>
        <w:t xml:space="preserve"> w</w:t>
      </w:r>
      <w:r w:rsidR="004D5AD1">
        <w:rPr>
          <w:noProof/>
        </w:rPr>
        <w:t> </w:t>
      </w:r>
      <w:r w:rsidR="004D5AD1" w:rsidRPr="004D5AD1">
        <w:rPr>
          <w:noProof/>
        </w:rPr>
        <w:t>poc</w:t>
      </w:r>
      <w:r w:rsidRPr="004D5AD1">
        <w:rPr>
          <w:noProof/>
        </w:rPr>
        <w:t>hodni jest technicznie niewykonalne lub stwarza zagrożenie dla bezpieczeństwa prowadzonej działalności lub personelu</w:t>
      </w:r>
      <w:r w:rsidR="004D5AD1" w:rsidRPr="004D5AD1">
        <w:rPr>
          <w:noProof/>
        </w:rPr>
        <w:t>. W</w:t>
      </w:r>
      <w:r w:rsidR="004D5AD1">
        <w:rPr>
          <w:noProof/>
        </w:rPr>
        <w:t> </w:t>
      </w:r>
      <w:r w:rsidR="004D5AD1" w:rsidRPr="004D5AD1">
        <w:rPr>
          <w:noProof/>
        </w:rPr>
        <w:t>tak</w:t>
      </w:r>
      <w:r w:rsidRPr="004D5AD1">
        <w:rPr>
          <w:noProof/>
        </w:rPr>
        <w:t>iej sytuacji,</w:t>
      </w:r>
      <w:r w:rsidR="004D5AD1" w:rsidRPr="004D5AD1">
        <w:rPr>
          <w:noProof/>
        </w:rPr>
        <w:t xml:space="preserve"> w</w:t>
      </w:r>
      <w:r w:rsidR="004D5AD1">
        <w:rPr>
          <w:noProof/>
        </w:rPr>
        <w:t> </w:t>
      </w:r>
      <w:r w:rsidR="004D5AD1" w:rsidRPr="004D5AD1">
        <w:rPr>
          <w:noProof/>
        </w:rPr>
        <w:t>ram</w:t>
      </w:r>
      <w:r w:rsidRPr="004D5AD1">
        <w:rPr>
          <w:noProof/>
        </w:rPr>
        <w:t>ach obowiązków sprawozdawczych określonych</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23, operatorzy stacji odmetanowania udowadniają właściwym organom konieczność podjęcia decyzji</w:t>
      </w:r>
      <w:r w:rsidR="004D5AD1" w:rsidRPr="004D5AD1">
        <w:rPr>
          <w:noProof/>
        </w:rPr>
        <w:t xml:space="preserve"> o</w:t>
      </w:r>
      <w:r w:rsidR="004D5AD1">
        <w:rPr>
          <w:noProof/>
        </w:rPr>
        <w:t> </w:t>
      </w:r>
      <w:r w:rsidR="004D5AD1" w:rsidRPr="004D5AD1">
        <w:rPr>
          <w:noProof/>
        </w:rPr>
        <w:t>uwa</w:t>
      </w:r>
      <w:r w:rsidRPr="004D5AD1">
        <w:rPr>
          <w:noProof/>
        </w:rPr>
        <w:t>lnianiu do atmosfery zamiast spalania</w:t>
      </w:r>
      <w:r w:rsidR="004D5AD1" w:rsidRPr="004D5AD1">
        <w:rPr>
          <w:noProof/>
        </w:rPr>
        <w:t xml:space="preserve"> w</w:t>
      </w:r>
      <w:r w:rsidR="004D5AD1">
        <w:rPr>
          <w:noProof/>
        </w:rPr>
        <w:t> </w:t>
      </w:r>
      <w:r w:rsidR="004D5AD1" w:rsidRPr="004D5AD1">
        <w:rPr>
          <w:noProof/>
        </w:rPr>
        <w:t>poc</w:t>
      </w:r>
      <w:r w:rsidRPr="004D5AD1">
        <w:rPr>
          <w:noProof/>
        </w:rPr>
        <w:t>hodni.</w:t>
      </w:r>
    </w:p>
    <w:p w14:paraId="4B6A1241" w14:textId="05954763" w:rsidR="009641F4" w:rsidRPr="004D5AD1" w:rsidRDefault="00184527" w:rsidP="00184527">
      <w:pPr>
        <w:spacing w:after="160" w:line="259" w:lineRule="auto"/>
        <w:rPr>
          <w:rFonts w:eastAsia="Calibri"/>
          <w:noProof/>
          <w:szCs w:val="24"/>
        </w:rPr>
      </w:pPr>
      <w:r w:rsidRPr="004D5AD1">
        <w:rPr>
          <w:noProof/>
        </w:rPr>
        <w:t>2.</w:t>
      </w:r>
      <w:r w:rsidRPr="004D5AD1">
        <w:rPr>
          <w:noProof/>
        </w:rPr>
        <w:tab/>
        <w:t>Od dnia 1 stycznia 2027</w:t>
      </w:r>
      <w:r w:rsidR="004D5AD1" w:rsidRPr="004D5AD1">
        <w:rPr>
          <w:noProof/>
        </w:rPr>
        <w:t> </w:t>
      </w:r>
      <w:r w:rsidRPr="004D5AD1">
        <w:rPr>
          <w:noProof/>
        </w:rPr>
        <w:t>r. zakazuje się uwalniania metanu do atmosfery</w:t>
      </w:r>
      <w:r w:rsidR="004D5AD1" w:rsidRPr="004D5AD1">
        <w:rPr>
          <w:noProof/>
        </w:rPr>
        <w:t xml:space="preserve"> z</w:t>
      </w:r>
      <w:r w:rsidR="004D5AD1">
        <w:rPr>
          <w:noProof/>
        </w:rPr>
        <w:t> </w:t>
      </w:r>
      <w:r w:rsidR="004D5AD1" w:rsidRPr="004D5AD1">
        <w:rPr>
          <w:noProof/>
        </w:rPr>
        <w:t>szy</w:t>
      </w:r>
      <w:r w:rsidRPr="004D5AD1">
        <w:rPr>
          <w:noProof/>
        </w:rPr>
        <w:t>bów wentylacyjnych</w:t>
      </w:r>
      <w:r w:rsidR="004D5AD1" w:rsidRPr="004D5AD1">
        <w:rPr>
          <w:noProof/>
        </w:rPr>
        <w:t xml:space="preserve"> w</w:t>
      </w:r>
      <w:r w:rsidR="004D5AD1">
        <w:rPr>
          <w:noProof/>
        </w:rPr>
        <w:t> </w:t>
      </w:r>
      <w:r w:rsidR="004D5AD1" w:rsidRPr="004D5AD1">
        <w:rPr>
          <w:noProof/>
        </w:rPr>
        <w:t>kop</w:t>
      </w:r>
      <w:r w:rsidRPr="004D5AD1">
        <w:rPr>
          <w:noProof/>
        </w:rPr>
        <w:t xml:space="preserve">alniach węgla, innych niż kopalnie węgla koksowego, emitujących ponad 0,5 tony metanu na kilotonę wydobytego węgla. </w:t>
      </w:r>
    </w:p>
    <w:p w14:paraId="3F4B2C78" w14:textId="0ED77749" w:rsidR="009641F4" w:rsidRPr="004D5AD1" w:rsidRDefault="00184527" w:rsidP="00184527">
      <w:pPr>
        <w:spacing w:after="160" w:line="259" w:lineRule="auto"/>
        <w:rPr>
          <w:rFonts w:eastAsia="Calibri"/>
          <w:noProof/>
          <w:szCs w:val="24"/>
        </w:rPr>
      </w:pPr>
      <w:r w:rsidRPr="004D5AD1">
        <w:rPr>
          <w:noProof/>
        </w:rPr>
        <w:t>3.</w:t>
      </w:r>
      <w:r w:rsidRPr="004D5AD1">
        <w:rPr>
          <w:noProof/>
        </w:rPr>
        <w:tab/>
        <w:t>Do dnia... [</w:t>
      </w:r>
      <w:r w:rsidRPr="004D5AD1">
        <w:rPr>
          <w:i/>
          <w:noProof/>
          <w:szCs w:val="24"/>
        </w:rPr>
        <w:t>trzy lata od daty wejścia</w:t>
      </w:r>
      <w:r w:rsidR="004D5AD1" w:rsidRPr="004D5AD1">
        <w:rPr>
          <w:i/>
          <w:noProof/>
          <w:szCs w:val="24"/>
        </w:rPr>
        <w:t xml:space="preserve"> w</w:t>
      </w:r>
      <w:r w:rsidR="004D5AD1">
        <w:rPr>
          <w:i/>
          <w:noProof/>
          <w:szCs w:val="24"/>
        </w:rPr>
        <w:t> </w:t>
      </w:r>
      <w:r w:rsidR="004D5AD1" w:rsidRPr="004D5AD1">
        <w:rPr>
          <w:i/>
          <w:noProof/>
          <w:szCs w:val="24"/>
        </w:rPr>
        <w:t>życ</w:t>
      </w:r>
      <w:r w:rsidRPr="004D5AD1">
        <w:rPr>
          <w:i/>
          <w:noProof/>
          <w:szCs w:val="24"/>
        </w:rPr>
        <w:t>ie niniejszego rozporządzenia</w:t>
      </w:r>
      <w:r w:rsidRPr="004D5AD1">
        <w:rPr>
          <w:noProof/>
        </w:rPr>
        <w:t>] r. Komisja przyjmuje akt delegowany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31</w:t>
      </w:r>
      <w:r w:rsidR="004D5AD1" w:rsidRPr="004D5AD1">
        <w:rPr>
          <w:noProof/>
        </w:rPr>
        <w:t xml:space="preserve"> w</w:t>
      </w:r>
      <w:r w:rsidR="004D5AD1">
        <w:rPr>
          <w:noProof/>
        </w:rPr>
        <w:t> </w:t>
      </w:r>
      <w:r w:rsidR="004D5AD1" w:rsidRPr="004D5AD1">
        <w:rPr>
          <w:noProof/>
        </w:rPr>
        <w:t>cel</w:t>
      </w:r>
      <w:r w:rsidRPr="004D5AD1">
        <w:rPr>
          <w:noProof/>
        </w:rPr>
        <w:t>u uzupełnienia niniejszego rozporządzenia poprzez wprowadzenie ograniczeń dotyczących uwalniania do atmosfery metanu</w:t>
      </w:r>
      <w:r w:rsidR="004D5AD1" w:rsidRPr="004D5AD1">
        <w:rPr>
          <w:noProof/>
        </w:rPr>
        <w:t xml:space="preserve"> z</w:t>
      </w:r>
      <w:r w:rsidR="004D5AD1">
        <w:rPr>
          <w:noProof/>
        </w:rPr>
        <w:t> </w:t>
      </w:r>
      <w:r w:rsidR="004D5AD1" w:rsidRPr="004D5AD1">
        <w:rPr>
          <w:noProof/>
        </w:rPr>
        <w:t>szy</w:t>
      </w:r>
      <w:r w:rsidRPr="004D5AD1">
        <w:rPr>
          <w:noProof/>
        </w:rPr>
        <w:t>bów wentylacyjnych</w:t>
      </w:r>
      <w:r w:rsidR="004D5AD1" w:rsidRPr="004D5AD1">
        <w:rPr>
          <w:noProof/>
        </w:rPr>
        <w:t xml:space="preserve"> w</w:t>
      </w:r>
      <w:r w:rsidR="004D5AD1">
        <w:rPr>
          <w:noProof/>
        </w:rPr>
        <w:t> </w:t>
      </w:r>
      <w:r w:rsidR="004D5AD1" w:rsidRPr="004D5AD1">
        <w:rPr>
          <w:noProof/>
        </w:rPr>
        <w:t>prz</w:t>
      </w:r>
      <w:r w:rsidRPr="004D5AD1">
        <w:rPr>
          <w:noProof/>
        </w:rPr>
        <w:t xml:space="preserve">ypadku kopalń węgla koksowego. </w:t>
      </w:r>
    </w:p>
    <w:p w14:paraId="33D790B3" w14:textId="77777777" w:rsidR="00AA7224" w:rsidRPr="004D5AD1" w:rsidRDefault="00AA7224" w:rsidP="00184527">
      <w:pPr>
        <w:spacing w:after="160" w:line="259" w:lineRule="auto"/>
        <w:rPr>
          <w:rFonts w:eastAsia="Calibri"/>
          <w:noProof/>
          <w:szCs w:val="24"/>
        </w:rPr>
      </w:pPr>
    </w:p>
    <w:p w14:paraId="0B7F42E2" w14:textId="72201C22" w:rsidR="00FF2F45" w:rsidRPr="004D5AD1" w:rsidRDefault="00FF2F45" w:rsidP="00FF2F45">
      <w:pPr>
        <w:pStyle w:val="Titrearticle"/>
        <w:rPr>
          <w:noProof/>
        </w:rPr>
      </w:pPr>
      <w:r w:rsidRPr="004D5AD1">
        <w:rPr>
          <w:noProof/>
        </w:rPr>
        <w:t>Artykuł 23</w:t>
      </w:r>
    </w:p>
    <w:p w14:paraId="2C3590AD" w14:textId="5B33F09C" w:rsidR="00FF2F45" w:rsidRPr="004D5AD1" w:rsidRDefault="00FF2F45" w:rsidP="00FF2F45">
      <w:pPr>
        <w:pStyle w:val="NormalCentered"/>
        <w:rPr>
          <w:b/>
          <w:noProof/>
          <w:szCs w:val="24"/>
        </w:rPr>
      </w:pPr>
      <w:r w:rsidRPr="004D5AD1">
        <w:rPr>
          <w:b/>
          <w:noProof/>
          <w:szCs w:val="24"/>
        </w:rPr>
        <w:t>Zgłaszanie przypadków uwolnienia do atmosfery</w:t>
      </w:r>
      <w:r w:rsidR="004D5AD1" w:rsidRPr="004D5AD1">
        <w:rPr>
          <w:b/>
          <w:noProof/>
          <w:szCs w:val="24"/>
        </w:rPr>
        <w:t xml:space="preserve"> i</w:t>
      </w:r>
      <w:r w:rsidR="004D5AD1">
        <w:rPr>
          <w:b/>
          <w:noProof/>
          <w:szCs w:val="24"/>
        </w:rPr>
        <w:t> </w:t>
      </w:r>
      <w:r w:rsidR="004D5AD1" w:rsidRPr="004D5AD1">
        <w:rPr>
          <w:b/>
          <w:noProof/>
          <w:szCs w:val="24"/>
        </w:rPr>
        <w:t>spa</w:t>
      </w:r>
      <w:r w:rsidRPr="004D5AD1">
        <w:rPr>
          <w:b/>
          <w:noProof/>
          <w:szCs w:val="24"/>
        </w:rPr>
        <w:t>lenia</w:t>
      </w:r>
      <w:r w:rsidR="004D5AD1" w:rsidRPr="004D5AD1">
        <w:rPr>
          <w:b/>
          <w:noProof/>
          <w:szCs w:val="24"/>
        </w:rPr>
        <w:t xml:space="preserve"> w</w:t>
      </w:r>
      <w:r w:rsidR="004D5AD1">
        <w:rPr>
          <w:b/>
          <w:noProof/>
          <w:szCs w:val="24"/>
        </w:rPr>
        <w:t> </w:t>
      </w:r>
      <w:r w:rsidR="004D5AD1" w:rsidRPr="004D5AD1">
        <w:rPr>
          <w:b/>
          <w:noProof/>
          <w:szCs w:val="24"/>
        </w:rPr>
        <w:t>poc</w:t>
      </w:r>
      <w:r w:rsidRPr="004D5AD1">
        <w:rPr>
          <w:b/>
          <w:noProof/>
          <w:szCs w:val="24"/>
        </w:rPr>
        <w:t xml:space="preserve">hodni </w:t>
      </w:r>
    </w:p>
    <w:p w14:paraId="1DFBF5A5" w14:textId="65C72FBB" w:rsidR="00FF2F45" w:rsidRPr="004D5AD1" w:rsidRDefault="00FF2F45" w:rsidP="00B71E18">
      <w:pPr>
        <w:rPr>
          <w:noProof/>
          <w:szCs w:val="24"/>
        </w:rPr>
      </w:pPr>
      <w:r w:rsidRPr="004D5AD1">
        <w:rPr>
          <w:noProof/>
        </w:rPr>
        <w:t>1.</w:t>
      </w:r>
      <w:r w:rsidRPr="004D5AD1">
        <w:rPr>
          <w:noProof/>
        </w:rPr>
        <w:tab/>
        <w:t>Od dnia [1 stycznia 2025] r. operatorzy stacji odmetanowania powiadamiają właściwe organy</w:t>
      </w:r>
      <w:r w:rsidR="004D5AD1" w:rsidRPr="004D5AD1">
        <w:rPr>
          <w:noProof/>
        </w:rPr>
        <w:t xml:space="preserve"> o</w:t>
      </w:r>
      <w:r w:rsidR="004D5AD1">
        <w:rPr>
          <w:noProof/>
        </w:rPr>
        <w:t> </w:t>
      </w:r>
      <w:r w:rsidR="004D5AD1" w:rsidRPr="004D5AD1">
        <w:rPr>
          <w:noProof/>
        </w:rPr>
        <w:t>wsz</w:t>
      </w:r>
      <w:r w:rsidRPr="004D5AD1">
        <w:rPr>
          <w:noProof/>
        </w:rPr>
        <w:t>ystkich przypadkach uwolnienia do atmosfery</w:t>
      </w:r>
      <w:r w:rsidR="004D5AD1" w:rsidRPr="004D5AD1">
        <w:rPr>
          <w:noProof/>
        </w:rPr>
        <w:t xml:space="preserve"> i</w:t>
      </w:r>
      <w:r w:rsidR="004D5AD1">
        <w:rPr>
          <w:noProof/>
        </w:rPr>
        <w:t> </w:t>
      </w:r>
      <w:r w:rsidR="004D5AD1" w:rsidRPr="004D5AD1">
        <w:rPr>
          <w:noProof/>
        </w:rPr>
        <w:t>spa</w:t>
      </w:r>
      <w:r w:rsidRPr="004D5AD1">
        <w:rPr>
          <w:noProof/>
        </w:rPr>
        <w:t>lenia</w:t>
      </w:r>
      <w:r w:rsidR="004D5AD1" w:rsidRPr="004D5AD1">
        <w:rPr>
          <w:noProof/>
        </w:rPr>
        <w:t xml:space="preserve"> w</w:t>
      </w:r>
      <w:r w:rsidR="004D5AD1">
        <w:rPr>
          <w:noProof/>
        </w:rPr>
        <w:t> </w:t>
      </w:r>
      <w:r w:rsidR="004D5AD1" w:rsidRPr="004D5AD1">
        <w:rPr>
          <w:noProof/>
        </w:rPr>
        <w:t>poc</w:t>
      </w:r>
      <w:r w:rsidRPr="004D5AD1">
        <w:rPr>
          <w:noProof/>
        </w:rPr>
        <w:t>hodni:</w:t>
      </w:r>
    </w:p>
    <w:p w14:paraId="660B88A4" w14:textId="28BB3B07" w:rsidR="00FF2F45" w:rsidRPr="004D5AD1" w:rsidRDefault="00FF2F45" w:rsidP="00FF2F45">
      <w:pPr>
        <w:ind w:left="720"/>
        <w:rPr>
          <w:noProof/>
          <w:szCs w:val="24"/>
        </w:rPr>
      </w:pPr>
      <w:r w:rsidRPr="004D5AD1">
        <w:rPr>
          <w:noProof/>
        </w:rPr>
        <w:t xml:space="preserve">a) spowodowanych sytuacją awaryjną lub niesprawnością; </w:t>
      </w:r>
    </w:p>
    <w:p w14:paraId="6385E347" w14:textId="5660FD4C" w:rsidR="00FF2F45" w:rsidRPr="004D5AD1" w:rsidRDefault="00FF2F45" w:rsidP="00FF2F45">
      <w:pPr>
        <w:ind w:left="720"/>
        <w:rPr>
          <w:noProof/>
          <w:szCs w:val="24"/>
        </w:rPr>
      </w:pPr>
      <w:r w:rsidRPr="004D5AD1">
        <w:rPr>
          <w:noProof/>
        </w:rPr>
        <w:t>b) nieuniknionych ze względu na konserwację systemu odmetanowania.</w:t>
      </w:r>
    </w:p>
    <w:p w14:paraId="4B30A2A8" w14:textId="1D3CB0C8" w:rsidR="00FF2F45" w:rsidRPr="004D5AD1" w:rsidRDefault="00FF2F45" w:rsidP="00FF2F45">
      <w:pPr>
        <w:rPr>
          <w:noProof/>
          <w:szCs w:val="24"/>
        </w:rPr>
      </w:pPr>
      <w:r w:rsidRPr="004D5AD1">
        <w:rPr>
          <w:noProof/>
        </w:rPr>
        <w:t>Powiadomienia tego dokonuje się niezwłocznie po zdarzeniu</w:t>
      </w:r>
      <w:r w:rsidR="004D5AD1" w:rsidRPr="004D5AD1">
        <w:rPr>
          <w:noProof/>
        </w:rPr>
        <w:t xml:space="preserve"> i</w:t>
      </w:r>
      <w:r w:rsidR="004D5AD1">
        <w:rPr>
          <w:noProof/>
        </w:rPr>
        <w:t> </w:t>
      </w:r>
      <w:r w:rsidR="004D5AD1" w:rsidRPr="004D5AD1">
        <w:rPr>
          <w:noProof/>
        </w:rPr>
        <w:t>naj</w:t>
      </w:r>
      <w:r w:rsidRPr="004D5AD1">
        <w:rPr>
          <w:noProof/>
        </w:rPr>
        <w:t>później</w:t>
      </w:r>
      <w:r w:rsidR="004D5AD1" w:rsidRPr="004D5AD1">
        <w:rPr>
          <w:noProof/>
        </w:rPr>
        <w:t xml:space="preserve"> w</w:t>
      </w:r>
      <w:r w:rsidR="004D5AD1">
        <w:rPr>
          <w:noProof/>
        </w:rPr>
        <w:t> </w:t>
      </w:r>
      <w:r w:rsidR="004D5AD1" w:rsidRPr="004D5AD1">
        <w:rPr>
          <w:noProof/>
        </w:rPr>
        <w:t>cią</w:t>
      </w:r>
      <w:r w:rsidRPr="004D5AD1">
        <w:rPr>
          <w:noProof/>
        </w:rPr>
        <w:t>gu 48 godzin od rozpoczęcia zdarzenia lub od chwili,</w:t>
      </w:r>
      <w:r w:rsidR="004D5AD1" w:rsidRPr="004D5AD1">
        <w:rPr>
          <w:noProof/>
        </w:rPr>
        <w:t xml:space="preserve"> w</w:t>
      </w:r>
      <w:r w:rsidR="004D5AD1">
        <w:rPr>
          <w:noProof/>
        </w:rPr>
        <w:t> </w:t>
      </w:r>
      <w:r w:rsidR="004D5AD1" w:rsidRPr="004D5AD1">
        <w:rPr>
          <w:noProof/>
        </w:rPr>
        <w:t>któ</w:t>
      </w:r>
      <w:r w:rsidRPr="004D5AD1">
        <w:rPr>
          <w:noProof/>
        </w:rPr>
        <w:t>rej operator dowiedział się</w:t>
      </w:r>
      <w:r w:rsidR="004D5AD1" w:rsidRPr="004D5AD1">
        <w:rPr>
          <w:noProof/>
        </w:rPr>
        <w:t xml:space="preserve"> o</w:t>
      </w:r>
      <w:r w:rsidR="004D5AD1">
        <w:rPr>
          <w:noProof/>
        </w:rPr>
        <w:t> </w:t>
      </w:r>
      <w:r w:rsidR="004D5AD1" w:rsidRPr="004D5AD1">
        <w:rPr>
          <w:noProof/>
        </w:rPr>
        <w:t>nim</w:t>
      </w:r>
      <w:r w:rsidRPr="004D5AD1">
        <w:rPr>
          <w:noProof/>
        </w:rPr>
        <w:t>, zgodnie</w:t>
      </w:r>
      <w:r w:rsidR="004D5AD1" w:rsidRPr="004D5AD1">
        <w:rPr>
          <w:noProof/>
        </w:rPr>
        <w:t xml:space="preserve"> z</w:t>
      </w:r>
      <w:r w:rsidR="004D5AD1">
        <w:rPr>
          <w:noProof/>
        </w:rPr>
        <w:t> </w:t>
      </w:r>
      <w:r w:rsidR="004D5AD1" w:rsidRPr="004D5AD1">
        <w:rPr>
          <w:noProof/>
        </w:rPr>
        <w:t>ele</w:t>
      </w:r>
      <w:r w:rsidRPr="004D5AD1">
        <w:rPr>
          <w:noProof/>
        </w:rPr>
        <w:t>mentami określonymi</w:t>
      </w:r>
      <w:r w:rsidR="004D5AD1" w:rsidRPr="004D5AD1">
        <w:rPr>
          <w:noProof/>
        </w:rPr>
        <w:t xml:space="preserve"> w</w:t>
      </w:r>
      <w:r w:rsidR="004D5AD1">
        <w:rPr>
          <w:noProof/>
        </w:rPr>
        <w:t> </w:t>
      </w:r>
      <w:r w:rsidR="004D5AD1" w:rsidRPr="004D5AD1">
        <w:rPr>
          <w:noProof/>
        </w:rPr>
        <w:t>zał</w:t>
      </w:r>
      <w:r w:rsidRPr="004D5AD1">
        <w:rPr>
          <w:noProof/>
        </w:rPr>
        <w:t>ączniku VI.</w:t>
      </w:r>
    </w:p>
    <w:p w14:paraId="61451751" w14:textId="60F6AC15" w:rsidR="006471A2" w:rsidRPr="004D5AD1" w:rsidRDefault="006471A2" w:rsidP="006471A2">
      <w:pPr>
        <w:rPr>
          <w:noProof/>
        </w:rPr>
      </w:pPr>
      <w:r w:rsidRPr="004D5AD1">
        <w:rPr>
          <w:noProof/>
        </w:rPr>
        <w:t>2.</w:t>
      </w:r>
      <w:r w:rsidRPr="004D5AD1">
        <w:rPr>
          <w:noProof/>
        </w:rPr>
        <w:tab/>
        <w:t>Właściwe organy co roku i na podstawie art.</w:t>
      </w:r>
      <w:r w:rsidR="004D5AD1" w:rsidRPr="004D5AD1">
        <w:rPr>
          <w:noProof/>
        </w:rPr>
        <w:t> </w:t>
      </w:r>
      <w:r w:rsidRPr="004D5AD1">
        <w:rPr>
          <w:noProof/>
        </w:rPr>
        <w:t>5 ust.</w:t>
      </w:r>
      <w:r w:rsidR="004D5AD1" w:rsidRPr="004D5AD1">
        <w:rPr>
          <w:noProof/>
        </w:rPr>
        <w:t> </w:t>
      </w:r>
      <w:r w:rsidRPr="004D5AD1">
        <w:rPr>
          <w:noProof/>
        </w:rPr>
        <w:t>4 udostępniają opinii publicznej</w:t>
      </w:r>
      <w:r w:rsidR="004D5AD1" w:rsidRPr="004D5AD1">
        <w:rPr>
          <w:noProof/>
        </w:rPr>
        <w:t xml:space="preserve"> i</w:t>
      </w:r>
      <w:r w:rsidR="004D5AD1">
        <w:rPr>
          <w:noProof/>
        </w:rPr>
        <w:t> </w:t>
      </w:r>
      <w:r w:rsidR="004D5AD1" w:rsidRPr="004D5AD1">
        <w:rPr>
          <w:noProof/>
        </w:rPr>
        <w:t>Kom</w:t>
      </w:r>
      <w:r w:rsidRPr="004D5AD1">
        <w:rPr>
          <w:noProof/>
        </w:rPr>
        <w:t>isji informacje przedłożone im na podstawie niniejszego artykułu.</w:t>
      </w:r>
    </w:p>
    <w:p w14:paraId="7643DDD0" w14:textId="77777777" w:rsidR="00AA7224" w:rsidRPr="004D5AD1" w:rsidRDefault="00AA7224" w:rsidP="006471A2">
      <w:pPr>
        <w:rPr>
          <w:noProof/>
        </w:rPr>
      </w:pPr>
    </w:p>
    <w:p w14:paraId="37E1AC58" w14:textId="27842BCE" w:rsidR="00FF2F45" w:rsidRPr="004D5AD1" w:rsidRDefault="00FF2F45" w:rsidP="00FF2F45">
      <w:pPr>
        <w:pStyle w:val="SectionTitle"/>
        <w:rPr>
          <w:rStyle w:val="normaltextrun"/>
          <w:i/>
          <w:iCs/>
          <w:noProof/>
        </w:rPr>
      </w:pPr>
      <w:r w:rsidRPr="004D5AD1">
        <w:rPr>
          <w:rStyle w:val="normaltextrun"/>
          <w:i/>
          <w:iCs/>
          <w:noProof/>
        </w:rPr>
        <w:t>Sekcja III</w:t>
      </w:r>
    </w:p>
    <w:p w14:paraId="679D8AD3" w14:textId="6CF308EC" w:rsidR="009641F4" w:rsidRPr="004D5AD1" w:rsidRDefault="009641F4" w:rsidP="009641F4">
      <w:pPr>
        <w:pStyle w:val="paragraph"/>
        <w:spacing w:before="0" w:beforeAutospacing="0" w:after="0" w:afterAutospacing="0"/>
        <w:jc w:val="center"/>
        <w:textAlignment w:val="baseline"/>
        <w:rPr>
          <w:rStyle w:val="eop"/>
          <w:bCs/>
          <w:smallCaps/>
          <w:noProof/>
          <w:sz w:val="28"/>
          <w:szCs w:val="28"/>
        </w:rPr>
      </w:pPr>
      <w:r w:rsidRPr="004D5AD1">
        <w:rPr>
          <w:rStyle w:val="eop"/>
          <w:bCs/>
          <w:smallCaps/>
          <w:noProof/>
          <w:sz w:val="28"/>
          <w:szCs w:val="28"/>
        </w:rPr>
        <w:t>emisje metanu</w:t>
      </w:r>
      <w:r w:rsidR="004D5AD1" w:rsidRPr="004D5AD1">
        <w:rPr>
          <w:rStyle w:val="eop"/>
          <w:bCs/>
          <w:smallCaps/>
          <w:noProof/>
          <w:sz w:val="28"/>
          <w:szCs w:val="28"/>
        </w:rPr>
        <w:t xml:space="preserve"> z</w:t>
      </w:r>
      <w:r w:rsidR="004D5AD1">
        <w:rPr>
          <w:rStyle w:val="eop"/>
          <w:bCs/>
          <w:smallCaps/>
          <w:noProof/>
          <w:sz w:val="28"/>
          <w:szCs w:val="28"/>
        </w:rPr>
        <w:t> </w:t>
      </w:r>
      <w:r w:rsidR="004D5AD1" w:rsidRPr="004D5AD1">
        <w:rPr>
          <w:rStyle w:val="eop"/>
          <w:bCs/>
          <w:smallCaps/>
          <w:noProof/>
          <w:sz w:val="28"/>
          <w:szCs w:val="28"/>
        </w:rPr>
        <w:t>zam</w:t>
      </w:r>
      <w:r w:rsidRPr="004D5AD1">
        <w:rPr>
          <w:rStyle w:val="eop"/>
          <w:bCs/>
          <w:smallCaps/>
          <w:noProof/>
          <w:sz w:val="28"/>
          <w:szCs w:val="28"/>
        </w:rPr>
        <w:t>kniętych</w:t>
      </w:r>
      <w:r w:rsidR="004D5AD1" w:rsidRPr="004D5AD1">
        <w:rPr>
          <w:rStyle w:val="eop"/>
          <w:bCs/>
          <w:smallCaps/>
          <w:noProof/>
          <w:sz w:val="28"/>
          <w:szCs w:val="28"/>
        </w:rPr>
        <w:t xml:space="preserve"> i</w:t>
      </w:r>
      <w:r w:rsidR="004D5AD1">
        <w:rPr>
          <w:rStyle w:val="eop"/>
          <w:bCs/>
          <w:smallCaps/>
          <w:noProof/>
          <w:sz w:val="28"/>
          <w:szCs w:val="28"/>
        </w:rPr>
        <w:t> </w:t>
      </w:r>
      <w:r w:rsidR="004D5AD1" w:rsidRPr="004D5AD1">
        <w:rPr>
          <w:rStyle w:val="eop"/>
          <w:bCs/>
          <w:smallCaps/>
          <w:noProof/>
          <w:sz w:val="28"/>
          <w:szCs w:val="28"/>
        </w:rPr>
        <w:t>nie</w:t>
      </w:r>
      <w:r w:rsidRPr="004D5AD1">
        <w:rPr>
          <w:rStyle w:val="eop"/>
          <w:bCs/>
          <w:smallCaps/>
          <w:noProof/>
          <w:sz w:val="28"/>
          <w:szCs w:val="28"/>
        </w:rPr>
        <w:t>czynnych podziemnych kopalń węgla</w:t>
      </w:r>
    </w:p>
    <w:p w14:paraId="30D10639" w14:textId="7DFB0933" w:rsidR="00A53274" w:rsidRPr="004D5AD1" w:rsidRDefault="00A53274" w:rsidP="00A53274">
      <w:pPr>
        <w:pStyle w:val="Titrearticle"/>
        <w:rPr>
          <w:noProof/>
        </w:rPr>
      </w:pPr>
      <w:r w:rsidRPr="004D5AD1">
        <w:rPr>
          <w:noProof/>
        </w:rPr>
        <w:t>Artykuł 24</w:t>
      </w:r>
    </w:p>
    <w:p w14:paraId="5DE887AE" w14:textId="77777777" w:rsidR="00A53274" w:rsidRPr="004D5AD1" w:rsidRDefault="00A53274" w:rsidP="00A53274">
      <w:pPr>
        <w:pStyle w:val="NormalCentered"/>
        <w:rPr>
          <w:b/>
          <w:noProof/>
        </w:rPr>
      </w:pPr>
      <w:r w:rsidRPr="004D5AD1">
        <w:rPr>
          <w:b/>
          <w:noProof/>
        </w:rPr>
        <w:t>Zakres</w:t>
      </w:r>
    </w:p>
    <w:p w14:paraId="3CAA0949" w14:textId="6957B7B8" w:rsidR="00A53274" w:rsidRPr="004D5AD1" w:rsidRDefault="00A53274" w:rsidP="00A53274">
      <w:pPr>
        <w:spacing w:after="160" w:line="259" w:lineRule="auto"/>
        <w:rPr>
          <w:rFonts w:eastAsia="Calibri"/>
          <w:noProof/>
          <w:szCs w:val="24"/>
        </w:rPr>
      </w:pPr>
      <w:r w:rsidRPr="004D5AD1">
        <w:rPr>
          <w:noProof/>
        </w:rPr>
        <w:t>Niniejsza sekcja ma zastosowanie do następujących emisji metanu</w:t>
      </w:r>
      <w:r w:rsidR="004D5AD1" w:rsidRPr="004D5AD1">
        <w:rPr>
          <w:noProof/>
        </w:rPr>
        <w:t xml:space="preserve"> z</w:t>
      </w:r>
      <w:r w:rsidR="004D5AD1">
        <w:rPr>
          <w:noProof/>
        </w:rPr>
        <w:t> </w:t>
      </w:r>
      <w:r w:rsidR="004D5AD1" w:rsidRPr="004D5AD1">
        <w:rPr>
          <w:noProof/>
        </w:rPr>
        <w:t>nie</w:t>
      </w:r>
      <w:r w:rsidRPr="004D5AD1">
        <w:rPr>
          <w:noProof/>
        </w:rPr>
        <w:t>czynnych</w:t>
      </w:r>
      <w:r w:rsidR="004D5AD1" w:rsidRPr="004D5AD1">
        <w:rPr>
          <w:noProof/>
        </w:rPr>
        <w:t xml:space="preserve"> i</w:t>
      </w:r>
      <w:r w:rsidR="004D5AD1">
        <w:rPr>
          <w:noProof/>
        </w:rPr>
        <w:t> </w:t>
      </w:r>
      <w:r w:rsidR="004D5AD1" w:rsidRPr="004D5AD1">
        <w:rPr>
          <w:noProof/>
        </w:rPr>
        <w:t>zam</w:t>
      </w:r>
      <w:r w:rsidRPr="004D5AD1">
        <w:rPr>
          <w:noProof/>
        </w:rPr>
        <w:t>kniętych podziemnych kopalń węgla,</w:t>
      </w:r>
      <w:r w:rsidR="004D5AD1" w:rsidRPr="004D5AD1">
        <w:rPr>
          <w:noProof/>
        </w:rPr>
        <w:t xml:space="preserve"> w</w:t>
      </w:r>
      <w:r w:rsidR="004D5AD1">
        <w:rPr>
          <w:noProof/>
        </w:rPr>
        <w:t> </w:t>
      </w:r>
      <w:r w:rsidR="004D5AD1" w:rsidRPr="004D5AD1">
        <w:rPr>
          <w:noProof/>
        </w:rPr>
        <w:t>któ</w:t>
      </w:r>
      <w:r w:rsidRPr="004D5AD1">
        <w:rPr>
          <w:noProof/>
        </w:rPr>
        <w:t xml:space="preserve">rych zaprzestano wydobycia węgla: </w:t>
      </w:r>
    </w:p>
    <w:p w14:paraId="7748CE4D" w14:textId="04599C66" w:rsidR="00FA7E23" w:rsidRPr="004D5AD1" w:rsidRDefault="00FA7E23" w:rsidP="00FA7E23">
      <w:pPr>
        <w:spacing w:after="160" w:line="259" w:lineRule="auto"/>
        <w:ind w:left="720"/>
        <w:rPr>
          <w:rFonts w:eastAsia="Calibri"/>
          <w:noProof/>
          <w:szCs w:val="24"/>
        </w:rPr>
      </w:pPr>
      <w:r w:rsidRPr="004D5AD1">
        <w:rPr>
          <w:noProof/>
        </w:rPr>
        <w:t>a) emisje metanu ze wszystkich szybów wentylacyjnych, które nadal emitują metan;</w:t>
      </w:r>
    </w:p>
    <w:p w14:paraId="6232FEA6" w14:textId="6A47A2AC" w:rsidR="00A53274" w:rsidRPr="004D5AD1" w:rsidRDefault="00A53274" w:rsidP="00A53274">
      <w:pPr>
        <w:spacing w:after="160" w:line="259" w:lineRule="auto"/>
        <w:ind w:left="720"/>
        <w:rPr>
          <w:rFonts w:eastAsia="Calibri"/>
          <w:noProof/>
          <w:szCs w:val="24"/>
        </w:rPr>
      </w:pPr>
      <w:r w:rsidRPr="004D5AD1">
        <w:rPr>
          <w:noProof/>
        </w:rPr>
        <w:t>b) emisje metanu</w:t>
      </w:r>
      <w:r w:rsidR="004D5AD1" w:rsidRPr="004D5AD1">
        <w:rPr>
          <w:noProof/>
        </w:rPr>
        <w:t xml:space="preserve"> z</w:t>
      </w:r>
      <w:r w:rsidR="004D5AD1">
        <w:rPr>
          <w:noProof/>
        </w:rPr>
        <w:t> </w:t>
      </w:r>
      <w:r w:rsidR="004D5AD1" w:rsidRPr="004D5AD1">
        <w:rPr>
          <w:noProof/>
        </w:rPr>
        <w:t>urz</w:t>
      </w:r>
      <w:r w:rsidRPr="004D5AD1">
        <w:rPr>
          <w:noProof/>
        </w:rPr>
        <w:t xml:space="preserve">ądzeń do wydobywania węgla, których użytkowania zaprzestano; </w:t>
      </w:r>
    </w:p>
    <w:p w14:paraId="54904A7D" w14:textId="30B01566" w:rsidR="00A53274" w:rsidRPr="004D5AD1" w:rsidRDefault="00A53274" w:rsidP="00A53274">
      <w:pPr>
        <w:spacing w:after="160" w:line="259" w:lineRule="auto"/>
        <w:ind w:left="720"/>
        <w:rPr>
          <w:rFonts w:eastAsia="Calibri"/>
          <w:noProof/>
          <w:szCs w:val="24"/>
        </w:rPr>
      </w:pPr>
      <w:r w:rsidRPr="004D5AD1">
        <w:rPr>
          <w:noProof/>
        </w:rPr>
        <w:t>c) emisje metanu</w:t>
      </w:r>
      <w:r w:rsidR="004D5AD1" w:rsidRPr="004D5AD1">
        <w:rPr>
          <w:noProof/>
        </w:rPr>
        <w:t xml:space="preserve"> z</w:t>
      </w:r>
      <w:r w:rsidR="004D5AD1">
        <w:rPr>
          <w:noProof/>
        </w:rPr>
        <w:t> </w:t>
      </w:r>
      <w:r w:rsidR="004D5AD1" w:rsidRPr="004D5AD1">
        <w:rPr>
          <w:noProof/>
        </w:rPr>
        <w:t>inn</w:t>
      </w:r>
      <w:r w:rsidRPr="004D5AD1">
        <w:rPr>
          <w:noProof/>
        </w:rPr>
        <w:t>ych ściśle określonych punktowych źródeł emisji, jak określono</w:t>
      </w:r>
      <w:r w:rsidR="004D5AD1" w:rsidRPr="004D5AD1">
        <w:rPr>
          <w:noProof/>
        </w:rPr>
        <w:t xml:space="preserve"> w</w:t>
      </w:r>
      <w:r w:rsidR="004D5AD1">
        <w:rPr>
          <w:noProof/>
        </w:rPr>
        <w:t> </w:t>
      </w:r>
      <w:r w:rsidR="004D5AD1" w:rsidRPr="004D5AD1">
        <w:rPr>
          <w:noProof/>
        </w:rPr>
        <w:t>zał</w:t>
      </w:r>
      <w:r w:rsidRPr="004D5AD1">
        <w:rPr>
          <w:noProof/>
        </w:rPr>
        <w:t>ączniku VII część 1.</w:t>
      </w:r>
    </w:p>
    <w:p w14:paraId="0C06DF5C" w14:textId="77777777" w:rsidR="00AA7224" w:rsidRPr="004D5AD1" w:rsidRDefault="00AA7224" w:rsidP="00AA7224">
      <w:pPr>
        <w:spacing w:after="160" w:line="259" w:lineRule="auto"/>
        <w:rPr>
          <w:rFonts w:eastAsia="Calibri"/>
          <w:noProof/>
          <w:szCs w:val="24"/>
        </w:rPr>
      </w:pPr>
    </w:p>
    <w:p w14:paraId="34059327" w14:textId="2EC42C19" w:rsidR="00A53274" w:rsidRPr="004D5AD1" w:rsidRDefault="00A53274" w:rsidP="00A53274">
      <w:pPr>
        <w:pStyle w:val="Titrearticle"/>
        <w:rPr>
          <w:noProof/>
        </w:rPr>
      </w:pPr>
      <w:r w:rsidRPr="004D5AD1">
        <w:rPr>
          <w:noProof/>
        </w:rPr>
        <w:t>Artykuł 25</w:t>
      </w:r>
    </w:p>
    <w:p w14:paraId="54EB1E8D" w14:textId="1F1BA496" w:rsidR="00A53274" w:rsidRPr="004D5AD1" w:rsidRDefault="00A53274" w:rsidP="00A53274">
      <w:pPr>
        <w:jc w:val="center"/>
        <w:rPr>
          <w:b/>
          <w:noProof/>
        </w:rPr>
      </w:pPr>
      <w:r w:rsidRPr="004D5AD1">
        <w:rPr>
          <w:b/>
          <w:noProof/>
        </w:rPr>
        <w:t>Monitorowanie</w:t>
      </w:r>
      <w:r w:rsidR="004D5AD1" w:rsidRPr="004D5AD1">
        <w:rPr>
          <w:b/>
          <w:noProof/>
        </w:rPr>
        <w:t xml:space="preserve"> i</w:t>
      </w:r>
      <w:r w:rsidR="004D5AD1">
        <w:rPr>
          <w:b/>
          <w:noProof/>
        </w:rPr>
        <w:t> </w:t>
      </w:r>
      <w:r w:rsidR="004D5AD1" w:rsidRPr="004D5AD1">
        <w:rPr>
          <w:b/>
          <w:noProof/>
        </w:rPr>
        <w:t>rap</w:t>
      </w:r>
      <w:r w:rsidRPr="004D5AD1">
        <w:rPr>
          <w:b/>
          <w:noProof/>
        </w:rPr>
        <w:t>ortowanie</w:t>
      </w:r>
    </w:p>
    <w:p w14:paraId="5AFFE9D4" w14:textId="5A365E13" w:rsidR="00A53274" w:rsidRPr="004D5AD1" w:rsidRDefault="00A53274" w:rsidP="00A53274">
      <w:pPr>
        <w:spacing w:after="160" w:line="259" w:lineRule="auto"/>
        <w:rPr>
          <w:rFonts w:eastAsia="Calibri"/>
          <w:noProof/>
          <w:szCs w:val="24"/>
        </w:rPr>
      </w:pPr>
      <w:r w:rsidRPr="004D5AD1">
        <w:rPr>
          <w:noProof/>
        </w:rPr>
        <w:t>1.</w:t>
      </w:r>
      <w:r w:rsidRPr="004D5AD1">
        <w:rPr>
          <w:noProof/>
        </w:rPr>
        <w:tab/>
        <w:t>Do dnia... [</w:t>
      </w:r>
      <w:r w:rsidRPr="004D5AD1">
        <w:rPr>
          <w:i/>
          <w:noProof/>
          <w:szCs w:val="24"/>
        </w:rPr>
        <w:t>12 miesięcy od daty wejścia</w:t>
      </w:r>
      <w:r w:rsidR="004D5AD1" w:rsidRPr="004D5AD1">
        <w:rPr>
          <w:i/>
          <w:noProof/>
          <w:szCs w:val="24"/>
        </w:rPr>
        <w:t xml:space="preserve"> w</w:t>
      </w:r>
      <w:r w:rsidR="004D5AD1">
        <w:rPr>
          <w:i/>
          <w:noProof/>
          <w:szCs w:val="24"/>
        </w:rPr>
        <w:t> </w:t>
      </w:r>
      <w:r w:rsidR="004D5AD1" w:rsidRPr="004D5AD1">
        <w:rPr>
          <w:i/>
          <w:noProof/>
          <w:szCs w:val="24"/>
        </w:rPr>
        <w:t>życ</w:t>
      </w:r>
      <w:r w:rsidRPr="004D5AD1">
        <w:rPr>
          <w:i/>
          <w:noProof/>
          <w:szCs w:val="24"/>
        </w:rPr>
        <w:t>ie niniejszego rozporządzenia</w:t>
      </w:r>
      <w:r w:rsidRPr="004D5AD1">
        <w:rPr>
          <w:noProof/>
        </w:rPr>
        <w:t>] r. państwa członkowskie ustanawiają</w:t>
      </w:r>
      <w:r w:rsidR="004D5AD1" w:rsidRPr="004D5AD1">
        <w:rPr>
          <w:noProof/>
        </w:rPr>
        <w:t xml:space="preserve"> i</w:t>
      </w:r>
      <w:r w:rsidR="004D5AD1">
        <w:rPr>
          <w:noProof/>
        </w:rPr>
        <w:t> </w:t>
      </w:r>
      <w:r w:rsidR="004D5AD1" w:rsidRPr="004D5AD1">
        <w:rPr>
          <w:noProof/>
        </w:rPr>
        <w:t>pod</w:t>
      </w:r>
      <w:r w:rsidRPr="004D5AD1">
        <w:rPr>
          <w:noProof/>
        </w:rPr>
        <w:t>ają do wiadomości publicznej wykaz wszystkich zamkniętych kopalń węgla</w:t>
      </w:r>
      <w:r w:rsidR="004D5AD1" w:rsidRPr="004D5AD1">
        <w:rPr>
          <w:noProof/>
        </w:rPr>
        <w:t xml:space="preserve"> i</w:t>
      </w:r>
      <w:r w:rsidR="004D5AD1">
        <w:rPr>
          <w:noProof/>
        </w:rPr>
        <w:t> </w:t>
      </w:r>
      <w:r w:rsidR="004D5AD1" w:rsidRPr="004D5AD1">
        <w:rPr>
          <w:noProof/>
        </w:rPr>
        <w:t>nie</w:t>
      </w:r>
      <w:r w:rsidRPr="004D5AD1">
        <w:rPr>
          <w:noProof/>
        </w:rPr>
        <w:t>czynnych kopalń węgla na ich terytorium lub podlegających ich jurysdykcji, zgodnie</w:t>
      </w:r>
      <w:r w:rsidR="004D5AD1" w:rsidRPr="004D5AD1">
        <w:rPr>
          <w:noProof/>
        </w:rPr>
        <w:t xml:space="preserve"> z</w:t>
      </w:r>
      <w:r w:rsidR="004D5AD1">
        <w:rPr>
          <w:noProof/>
        </w:rPr>
        <w:t> </w:t>
      </w:r>
      <w:r w:rsidR="004D5AD1" w:rsidRPr="004D5AD1">
        <w:rPr>
          <w:noProof/>
        </w:rPr>
        <w:t>met</w:t>
      </w:r>
      <w:r w:rsidRPr="004D5AD1">
        <w:rPr>
          <w:noProof/>
        </w:rPr>
        <w:t>odyką określoną</w:t>
      </w:r>
      <w:r w:rsidR="004D5AD1" w:rsidRPr="004D5AD1">
        <w:rPr>
          <w:noProof/>
        </w:rPr>
        <w:t xml:space="preserve"> w</w:t>
      </w:r>
      <w:r w:rsidR="004D5AD1">
        <w:rPr>
          <w:noProof/>
        </w:rPr>
        <w:t> </w:t>
      </w:r>
      <w:r w:rsidR="004D5AD1" w:rsidRPr="004D5AD1">
        <w:rPr>
          <w:noProof/>
        </w:rPr>
        <w:t>zał</w:t>
      </w:r>
      <w:r w:rsidRPr="004D5AD1">
        <w:rPr>
          <w:noProof/>
        </w:rPr>
        <w:t>ączniku VII część 1</w:t>
      </w:r>
      <w:r w:rsidR="004D5AD1" w:rsidRPr="004D5AD1">
        <w:rPr>
          <w:noProof/>
        </w:rPr>
        <w:t xml:space="preserve"> i</w:t>
      </w:r>
      <w:r w:rsidR="004D5AD1">
        <w:rPr>
          <w:noProof/>
        </w:rPr>
        <w:t> </w:t>
      </w:r>
      <w:r w:rsidR="004D5AD1" w:rsidRPr="004D5AD1">
        <w:rPr>
          <w:noProof/>
        </w:rPr>
        <w:t>zaw</w:t>
      </w:r>
      <w:r w:rsidRPr="004D5AD1">
        <w:rPr>
          <w:noProof/>
        </w:rPr>
        <w:t>ierający co najmniej elementy określone</w:t>
      </w:r>
      <w:r w:rsidR="004D5AD1" w:rsidRPr="004D5AD1">
        <w:rPr>
          <w:noProof/>
        </w:rPr>
        <w:t xml:space="preserve"> w</w:t>
      </w:r>
      <w:r w:rsidR="004D5AD1">
        <w:rPr>
          <w:noProof/>
        </w:rPr>
        <w:t> </w:t>
      </w:r>
      <w:r w:rsidR="004D5AD1" w:rsidRPr="004D5AD1">
        <w:rPr>
          <w:noProof/>
        </w:rPr>
        <w:t>tym</w:t>
      </w:r>
      <w:r w:rsidRPr="004D5AD1">
        <w:rPr>
          <w:noProof/>
        </w:rPr>
        <w:t xml:space="preserve"> załączniku. </w:t>
      </w:r>
    </w:p>
    <w:p w14:paraId="4711C8A3" w14:textId="250493E9" w:rsidR="00A53274" w:rsidRPr="004D5AD1" w:rsidRDefault="00A53274" w:rsidP="00C03F15">
      <w:pPr>
        <w:spacing w:after="160" w:line="259" w:lineRule="auto"/>
        <w:rPr>
          <w:rFonts w:eastAsia="Calibri"/>
          <w:noProof/>
          <w:szCs w:val="24"/>
        </w:rPr>
      </w:pPr>
      <w:r w:rsidRPr="004D5AD1">
        <w:rPr>
          <w:noProof/>
        </w:rPr>
        <w:t>2.</w:t>
      </w:r>
      <w:r w:rsidRPr="004D5AD1">
        <w:rPr>
          <w:noProof/>
        </w:rPr>
        <w:tab/>
        <w:t>Pomiary stężenia metanu przeprowadza się zgodnie</w:t>
      </w:r>
      <w:r w:rsidR="004D5AD1" w:rsidRPr="004D5AD1">
        <w:rPr>
          <w:noProof/>
        </w:rPr>
        <w:t xml:space="preserve"> z</w:t>
      </w:r>
      <w:r w:rsidR="004D5AD1">
        <w:rPr>
          <w:noProof/>
        </w:rPr>
        <w:t> </w:t>
      </w:r>
      <w:r w:rsidR="004D5AD1" w:rsidRPr="004D5AD1">
        <w:rPr>
          <w:noProof/>
        </w:rPr>
        <w:t>odp</w:t>
      </w:r>
      <w:r w:rsidRPr="004D5AD1">
        <w:rPr>
          <w:noProof/>
        </w:rPr>
        <w:t>owiednimi normami naukowymi i co najmniej raz na godzinę</w:t>
      </w:r>
      <w:r w:rsidR="004D5AD1" w:rsidRPr="004D5AD1">
        <w:rPr>
          <w:noProof/>
        </w:rPr>
        <w:t xml:space="preserve"> w</w:t>
      </w:r>
      <w:r w:rsidR="004D5AD1">
        <w:rPr>
          <w:noProof/>
        </w:rPr>
        <w:t> </w:t>
      </w:r>
      <w:r w:rsidR="004D5AD1" w:rsidRPr="004D5AD1">
        <w:rPr>
          <w:noProof/>
        </w:rPr>
        <w:t>odn</w:t>
      </w:r>
      <w:r w:rsidRPr="004D5AD1">
        <w:rPr>
          <w:noProof/>
        </w:rPr>
        <w:t>iesieniu do wszystkich elementów wymienionych</w:t>
      </w:r>
      <w:r w:rsidR="004D5AD1" w:rsidRPr="004D5AD1">
        <w:rPr>
          <w:noProof/>
        </w:rPr>
        <w:t xml:space="preserve"> w</w:t>
      </w:r>
      <w:r w:rsidR="004D5AD1">
        <w:rPr>
          <w:noProof/>
        </w:rPr>
        <w:t> </w:t>
      </w:r>
      <w:r w:rsidR="004D5AD1" w:rsidRPr="004D5AD1">
        <w:rPr>
          <w:noProof/>
        </w:rPr>
        <w:t>zał</w:t>
      </w:r>
      <w:r w:rsidRPr="004D5AD1">
        <w:rPr>
          <w:noProof/>
        </w:rPr>
        <w:t>ączniku VII część 1 ppkt (vi),</w:t>
      </w:r>
      <w:r w:rsidR="004D5AD1" w:rsidRPr="004D5AD1">
        <w:rPr>
          <w:noProof/>
        </w:rPr>
        <w:t xml:space="preserve"> w</w:t>
      </w:r>
      <w:r w:rsidR="004D5AD1">
        <w:rPr>
          <w:noProof/>
        </w:rPr>
        <w:t> </w:t>
      </w:r>
      <w:r w:rsidR="004D5AD1" w:rsidRPr="004D5AD1">
        <w:rPr>
          <w:noProof/>
        </w:rPr>
        <w:t>prz</w:t>
      </w:r>
      <w:r w:rsidRPr="004D5AD1">
        <w:rPr>
          <w:noProof/>
        </w:rPr>
        <w:t xml:space="preserve">ypadku których stwierdzono emisję metanu. </w:t>
      </w:r>
    </w:p>
    <w:p w14:paraId="02FFBDC6" w14:textId="5BB7CEF9" w:rsidR="00696B9C" w:rsidRPr="004D5AD1" w:rsidRDefault="0051664C" w:rsidP="00696B9C">
      <w:pPr>
        <w:rPr>
          <w:rFonts w:eastAsia="Calibri"/>
          <w:noProof/>
          <w:szCs w:val="24"/>
        </w:rPr>
      </w:pPr>
      <w:r w:rsidRPr="004D5AD1">
        <w:rPr>
          <w:noProof/>
        </w:rPr>
        <w:t>Od dnia... [</w:t>
      </w:r>
      <w:r w:rsidRPr="004D5AD1">
        <w:rPr>
          <w:i/>
          <w:noProof/>
          <w:szCs w:val="24"/>
        </w:rPr>
        <w:t>18 miesięcy od daty wejścia</w:t>
      </w:r>
      <w:r w:rsidR="004D5AD1" w:rsidRPr="004D5AD1">
        <w:rPr>
          <w:i/>
          <w:noProof/>
          <w:szCs w:val="24"/>
        </w:rPr>
        <w:t xml:space="preserve"> w</w:t>
      </w:r>
      <w:r w:rsidR="004D5AD1">
        <w:rPr>
          <w:i/>
          <w:noProof/>
          <w:szCs w:val="24"/>
        </w:rPr>
        <w:t> </w:t>
      </w:r>
      <w:r w:rsidR="004D5AD1" w:rsidRPr="004D5AD1">
        <w:rPr>
          <w:i/>
          <w:noProof/>
          <w:szCs w:val="24"/>
        </w:rPr>
        <w:t>życ</w:t>
      </w:r>
      <w:r w:rsidRPr="004D5AD1">
        <w:rPr>
          <w:i/>
          <w:noProof/>
          <w:szCs w:val="24"/>
        </w:rPr>
        <w:t>ie niniejszego rozporządzenia</w:t>
      </w:r>
      <w:r w:rsidRPr="004D5AD1">
        <w:rPr>
          <w:noProof/>
        </w:rPr>
        <w:t>] r. urządzenia pomiarowe instaluje się na wszystkich elementach wymienionych</w:t>
      </w:r>
      <w:r w:rsidR="004D5AD1" w:rsidRPr="004D5AD1">
        <w:rPr>
          <w:noProof/>
        </w:rPr>
        <w:t xml:space="preserve"> w</w:t>
      </w:r>
      <w:r w:rsidR="004D5AD1">
        <w:rPr>
          <w:noProof/>
        </w:rPr>
        <w:t> </w:t>
      </w:r>
      <w:r w:rsidR="004D5AD1" w:rsidRPr="004D5AD1">
        <w:rPr>
          <w:noProof/>
        </w:rPr>
        <w:t>zał</w:t>
      </w:r>
      <w:r w:rsidRPr="004D5AD1">
        <w:rPr>
          <w:noProof/>
        </w:rPr>
        <w:t>ączniku VII część 1 ppkt (v)</w:t>
      </w:r>
      <w:r w:rsidR="004D5AD1" w:rsidRPr="004D5AD1">
        <w:rPr>
          <w:noProof/>
        </w:rPr>
        <w:t xml:space="preserve"> w</w:t>
      </w:r>
      <w:r w:rsidR="004D5AD1">
        <w:rPr>
          <w:noProof/>
        </w:rPr>
        <w:t> </w:t>
      </w:r>
      <w:r w:rsidR="004D5AD1" w:rsidRPr="004D5AD1">
        <w:rPr>
          <w:noProof/>
        </w:rPr>
        <w:t>prz</w:t>
      </w:r>
      <w:r w:rsidRPr="004D5AD1">
        <w:rPr>
          <w:noProof/>
        </w:rPr>
        <w:t>ypadku zamkniętych kopalń węgla</w:t>
      </w:r>
      <w:r w:rsidR="004D5AD1" w:rsidRPr="004D5AD1">
        <w:rPr>
          <w:noProof/>
        </w:rPr>
        <w:t xml:space="preserve"> i</w:t>
      </w:r>
      <w:r w:rsidR="004D5AD1">
        <w:rPr>
          <w:noProof/>
        </w:rPr>
        <w:t> </w:t>
      </w:r>
      <w:r w:rsidR="004D5AD1" w:rsidRPr="004D5AD1">
        <w:rPr>
          <w:noProof/>
        </w:rPr>
        <w:t>nie</w:t>
      </w:r>
      <w:r w:rsidRPr="004D5AD1">
        <w:rPr>
          <w:noProof/>
        </w:rPr>
        <w:t>czynnych kopalń węgla, których działalność zakończyła się od dnia... [</w:t>
      </w:r>
      <w:r w:rsidRPr="004D5AD1">
        <w:rPr>
          <w:i/>
          <w:noProof/>
          <w:szCs w:val="24"/>
        </w:rPr>
        <w:t>50 lat przed datą wejścia</w:t>
      </w:r>
      <w:r w:rsidR="004D5AD1" w:rsidRPr="004D5AD1">
        <w:rPr>
          <w:i/>
          <w:noProof/>
          <w:szCs w:val="24"/>
        </w:rPr>
        <w:t xml:space="preserve"> w</w:t>
      </w:r>
      <w:r w:rsidR="004D5AD1">
        <w:rPr>
          <w:i/>
          <w:noProof/>
          <w:szCs w:val="24"/>
        </w:rPr>
        <w:t> </w:t>
      </w:r>
      <w:r w:rsidR="004D5AD1" w:rsidRPr="004D5AD1">
        <w:rPr>
          <w:i/>
          <w:noProof/>
          <w:szCs w:val="24"/>
        </w:rPr>
        <w:t>życ</w:t>
      </w:r>
      <w:r w:rsidRPr="004D5AD1">
        <w:rPr>
          <w:i/>
          <w:noProof/>
          <w:szCs w:val="24"/>
        </w:rPr>
        <w:t>ie niniejszego rozporządzenia</w:t>
      </w:r>
      <w:r w:rsidRPr="004D5AD1">
        <w:rPr>
          <w:noProof/>
        </w:rPr>
        <w:t>] r.</w:t>
      </w:r>
    </w:p>
    <w:p w14:paraId="6378D4E1" w14:textId="3D2FFB99" w:rsidR="00A53274" w:rsidRPr="004D5AD1" w:rsidRDefault="00A53274" w:rsidP="00696B9C">
      <w:pPr>
        <w:rPr>
          <w:rFonts w:eastAsia="Calibri"/>
          <w:noProof/>
          <w:szCs w:val="24"/>
        </w:rPr>
      </w:pPr>
      <w:r w:rsidRPr="004D5AD1">
        <w:rPr>
          <w:noProof/>
        </w:rPr>
        <w:t>Próg wrażliwości urządzeń pomiarowych stosowanych do pomiarów,</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2, musi wynosić co najmniej 10 000 części na milion.</w:t>
      </w:r>
    </w:p>
    <w:p w14:paraId="01D357C4" w14:textId="386379C0" w:rsidR="00D76D8B" w:rsidRPr="004D5AD1" w:rsidRDefault="00D76D8B" w:rsidP="00A53274">
      <w:pPr>
        <w:spacing w:after="160" w:line="259" w:lineRule="auto"/>
        <w:rPr>
          <w:rFonts w:eastAsia="Calibri"/>
          <w:noProof/>
          <w:szCs w:val="24"/>
        </w:rPr>
      </w:pPr>
      <w:r w:rsidRPr="004D5AD1">
        <w:rPr>
          <w:noProof/>
        </w:rPr>
        <w:t>Urządzenia pomiarowe muszą działać przez ponad 90</w:t>
      </w:r>
      <w:r w:rsidR="004D5AD1" w:rsidRPr="004D5AD1">
        <w:rPr>
          <w:noProof/>
        </w:rPr>
        <w:t> </w:t>
      </w:r>
      <w:r w:rsidRPr="004D5AD1">
        <w:rPr>
          <w:noProof/>
        </w:rPr>
        <w:t>% okresu, przez który są wykorzystywane do monitorowania emisji,</w:t>
      </w:r>
      <w:r w:rsidR="004D5AD1" w:rsidRPr="004D5AD1">
        <w:rPr>
          <w:noProof/>
        </w:rPr>
        <w:t xml:space="preserve"> z</w:t>
      </w:r>
      <w:r w:rsidR="004D5AD1">
        <w:rPr>
          <w:noProof/>
        </w:rPr>
        <w:t> </w:t>
      </w:r>
      <w:r w:rsidR="004D5AD1" w:rsidRPr="004D5AD1">
        <w:rPr>
          <w:noProof/>
        </w:rPr>
        <w:t>wył</w:t>
      </w:r>
      <w:r w:rsidRPr="004D5AD1">
        <w:rPr>
          <w:noProof/>
        </w:rPr>
        <w:t>ączeniem przestoju potrzebnego do ich ponownej kalibracji.</w:t>
      </w:r>
    </w:p>
    <w:p w14:paraId="2E1C8422" w14:textId="4ED4BDF9" w:rsidR="00D76D8B" w:rsidRPr="004D5AD1" w:rsidRDefault="00C03F15" w:rsidP="00D76D8B">
      <w:pPr>
        <w:spacing w:after="160" w:line="259" w:lineRule="auto"/>
        <w:rPr>
          <w:rFonts w:eastAsia="Calibri"/>
          <w:noProof/>
          <w:szCs w:val="24"/>
        </w:rPr>
      </w:pPr>
      <w:r w:rsidRPr="004D5AD1">
        <w:rPr>
          <w:noProof/>
        </w:rPr>
        <w:t>3.</w:t>
      </w:r>
      <w:r w:rsidRPr="004D5AD1">
        <w:rPr>
          <w:noProof/>
        </w:rPr>
        <w:tab/>
        <w:t>Sprawozdania zawierające szacunki rocznych danych dotyczących emisji metanu na poziomie źródła przedkłada się właściwym organom do dnia... [</w:t>
      </w:r>
      <w:r w:rsidRPr="004D5AD1">
        <w:rPr>
          <w:i/>
          <w:noProof/>
        </w:rPr>
        <w:t>24 miesiące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w:t>
      </w:r>
      <w:r w:rsidR="004D5AD1" w:rsidRPr="004D5AD1">
        <w:rPr>
          <w:noProof/>
        </w:rPr>
        <w:t xml:space="preserve"> a</w:t>
      </w:r>
      <w:r w:rsidR="004D5AD1">
        <w:rPr>
          <w:noProof/>
        </w:rPr>
        <w:t> </w:t>
      </w:r>
      <w:r w:rsidR="004D5AD1" w:rsidRPr="004D5AD1">
        <w:rPr>
          <w:noProof/>
        </w:rPr>
        <w:t>nas</w:t>
      </w:r>
      <w:r w:rsidRPr="004D5AD1">
        <w:rPr>
          <w:noProof/>
        </w:rPr>
        <w:t>tępnie do dnia 30 marca każdego roku.</w:t>
      </w:r>
    </w:p>
    <w:p w14:paraId="629738E9" w14:textId="080E6D5F" w:rsidR="00D76D8B" w:rsidRPr="004D5AD1" w:rsidRDefault="00D76D8B" w:rsidP="00D76D8B">
      <w:pPr>
        <w:spacing w:after="160" w:line="259" w:lineRule="auto"/>
        <w:rPr>
          <w:rFonts w:eastAsia="Calibri"/>
          <w:noProof/>
          <w:szCs w:val="24"/>
        </w:rPr>
      </w:pPr>
      <w:r w:rsidRPr="004D5AD1">
        <w:rPr>
          <w:noProof/>
        </w:rPr>
        <w:t>Sprawozdania obejmują ostatni dostępny rok kalendarzowy</w:t>
      </w:r>
      <w:r w:rsidR="004D5AD1" w:rsidRPr="004D5AD1">
        <w:rPr>
          <w:noProof/>
        </w:rPr>
        <w:t xml:space="preserve"> i</w:t>
      </w:r>
      <w:r w:rsidR="004D5AD1">
        <w:rPr>
          <w:noProof/>
        </w:rPr>
        <w:t> </w:t>
      </w:r>
      <w:r w:rsidR="004D5AD1" w:rsidRPr="004D5AD1">
        <w:rPr>
          <w:noProof/>
        </w:rPr>
        <w:t>zaw</w:t>
      </w:r>
      <w:r w:rsidRPr="004D5AD1">
        <w:rPr>
          <w:noProof/>
        </w:rPr>
        <w:t>ierają elementy określone</w:t>
      </w:r>
      <w:r w:rsidR="004D5AD1" w:rsidRPr="004D5AD1">
        <w:rPr>
          <w:noProof/>
        </w:rPr>
        <w:t xml:space="preserve"> w</w:t>
      </w:r>
      <w:r w:rsidR="004D5AD1">
        <w:rPr>
          <w:noProof/>
        </w:rPr>
        <w:t> </w:t>
      </w:r>
      <w:r w:rsidR="004D5AD1" w:rsidRPr="004D5AD1">
        <w:rPr>
          <w:noProof/>
        </w:rPr>
        <w:t>zał</w:t>
      </w:r>
      <w:r w:rsidRPr="004D5AD1">
        <w:rPr>
          <w:noProof/>
        </w:rPr>
        <w:t xml:space="preserve">ączniku VII część 3. </w:t>
      </w:r>
    </w:p>
    <w:p w14:paraId="3AECAABE" w14:textId="061B615C" w:rsidR="00D76D8B" w:rsidRPr="004D5AD1" w:rsidRDefault="00D76D8B" w:rsidP="00D76D8B">
      <w:pPr>
        <w:spacing w:after="160" w:line="259" w:lineRule="auto"/>
        <w:rPr>
          <w:rFonts w:eastAsia="Calibri"/>
          <w:noProof/>
          <w:szCs w:val="24"/>
        </w:rPr>
      </w:pPr>
      <w:r w:rsidRPr="004D5AD1">
        <w:rPr>
          <w:noProof/>
        </w:rPr>
        <w:t>Przed przedłożeniem właściwym organom sprawozdania określone</w:t>
      </w:r>
      <w:r w:rsidR="004D5AD1" w:rsidRPr="004D5AD1">
        <w:rPr>
          <w:noProof/>
        </w:rPr>
        <w:t xml:space="preserve"> w</w:t>
      </w:r>
      <w:r w:rsidR="004D5AD1">
        <w:rPr>
          <w:noProof/>
        </w:rPr>
        <w:t> </w:t>
      </w:r>
      <w:r w:rsidR="004D5AD1" w:rsidRPr="004D5AD1">
        <w:rPr>
          <w:noProof/>
        </w:rPr>
        <w:t>nin</w:t>
      </w:r>
      <w:r w:rsidRPr="004D5AD1">
        <w:rPr>
          <w:noProof/>
        </w:rPr>
        <w:t>iejszym ustępie są oceniane przez weryfikatora</w:t>
      </w:r>
      <w:r w:rsidR="004D5AD1" w:rsidRPr="004D5AD1">
        <w:rPr>
          <w:noProof/>
        </w:rPr>
        <w:t xml:space="preserve"> i</w:t>
      </w:r>
      <w:r w:rsidR="004D5AD1">
        <w:rPr>
          <w:noProof/>
        </w:rPr>
        <w:t> </w:t>
      </w:r>
      <w:r w:rsidR="004D5AD1" w:rsidRPr="004D5AD1">
        <w:rPr>
          <w:noProof/>
        </w:rPr>
        <w:t>zał</w:t>
      </w:r>
      <w:r w:rsidRPr="004D5AD1">
        <w:rPr>
          <w:noProof/>
        </w:rPr>
        <w:t>ącza się do nich oświadczenie weryfikacyjne wydane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8</w:t>
      </w:r>
      <w:r w:rsidR="004D5AD1" w:rsidRPr="004D5AD1">
        <w:rPr>
          <w:noProof/>
        </w:rPr>
        <w:t xml:space="preserve"> i</w:t>
      </w:r>
      <w:r w:rsidR="004D5AD1">
        <w:rPr>
          <w:noProof/>
        </w:rPr>
        <w:t> </w:t>
      </w:r>
      <w:r w:rsidR="004D5AD1" w:rsidRPr="004D5AD1">
        <w:rPr>
          <w:noProof/>
        </w:rPr>
        <w:t>9</w:t>
      </w:r>
      <w:r w:rsidRPr="004D5AD1">
        <w:rPr>
          <w:noProof/>
        </w:rPr>
        <w:t>.</w:t>
      </w:r>
    </w:p>
    <w:p w14:paraId="2FCF3266" w14:textId="774E9036" w:rsidR="00C03F15" w:rsidRPr="004D5AD1" w:rsidRDefault="00D76D8B" w:rsidP="00C03F15">
      <w:pPr>
        <w:rPr>
          <w:rFonts w:eastAsia="Calibri"/>
          <w:noProof/>
          <w:szCs w:val="24"/>
        </w:rPr>
      </w:pPr>
      <w:r w:rsidRPr="004D5AD1">
        <w:rPr>
          <w:noProof/>
        </w:rPr>
        <w:t>4.</w:t>
      </w:r>
      <w:r w:rsidRPr="004D5AD1">
        <w:rPr>
          <w:noProof/>
        </w:rPr>
        <w:tab/>
        <w:t>Operatorzy kopalń są odpowiedzialni za spełnienie wymogów,</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2</w:t>
      </w:r>
      <w:r w:rsidR="004D5AD1" w:rsidRPr="004D5AD1">
        <w:rPr>
          <w:noProof/>
        </w:rPr>
        <w:t xml:space="preserve"> i</w:t>
      </w:r>
      <w:r w:rsidR="004D5AD1">
        <w:rPr>
          <w:noProof/>
        </w:rPr>
        <w:t> </w:t>
      </w:r>
      <w:r w:rsidR="004D5AD1" w:rsidRPr="004D5AD1">
        <w:rPr>
          <w:noProof/>
        </w:rPr>
        <w:t>3</w:t>
      </w:r>
      <w:r w:rsidRPr="004D5AD1">
        <w:rPr>
          <w:noProof/>
        </w:rPr>
        <w:t>,</w:t>
      </w:r>
      <w:r w:rsidR="004D5AD1" w:rsidRPr="004D5AD1">
        <w:rPr>
          <w:noProof/>
        </w:rPr>
        <w:t xml:space="preserve"> w</w:t>
      </w:r>
      <w:r w:rsidR="004D5AD1">
        <w:rPr>
          <w:noProof/>
        </w:rPr>
        <w:t> </w:t>
      </w:r>
      <w:r w:rsidR="004D5AD1" w:rsidRPr="004D5AD1">
        <w:rPr>
          <w:noProof/>
        </w:rPr>
        <w:t>odn</w:t>
      </w:r>
      <w:r w:rsidRPr="004D5AD1">
        <w:rPr>
          <w:noProof/>
        </w:rPr>
        <w:t>iesieniu do zamkniętych kopalń. Państwa członkowskie są odpowiedzialne za spełnienie wymogów,</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2</w:t>
      </w:r>
      <w:r w:rsidR="004D5AD1" w:rsidRPr="004D5AD1">
        <w:rPr>
          <w:noProof/>
        </w:rPr>
        <w:t xml:space="preserve"> i</w:t>
      </w:r>
      <w:r w:rsidR="004D5AD1">
        <w:rPr>
          <w:noProof/>
        </w:rPr>
        <w:t> </w:t>
      </w:r>
      <w:r w:rsidR="004D5AD1" w:rsidRPr="004D5AD1">
        <w:rPr>
          <w:noProof/>
        </w:rPr>
        <w:t>3</w:t>
      </w:r>
      <w:r w:rsidRPr="004D5AD1">
        <w:rPr>
          <w:noProof/>
        </w:rPr>
        <w:t>,</w:t>
      </w:r>
      <w:r w:rsidR="004D5AD1" w:rsidRPr="004D5AD1">
        <w:rPr>
          <w:noProof/>
        </w:rPr>
        <w:t xml:space="preserve"> w</w:t>
      </w:r>
      <w:r w:rsidR="004D5AD1">
        <w:rPr>
          <w:noProof/>
        </w:rPr>
        <w:t> </w:t>
      </w:r>
      <w:r w:rsidR="004D5AD1" w:rsidRPr="004D5AD1">
        <w:rPr>
          <w:noProof/>
        </w:rPr>
        <w:t>odn</w:t>
      </w:r>
      <w:r w:rsidRPr="004D5AD1">
        <w:rPr>
          <w:noProof/>
        </w:rPr>
        <w:t xml:space="preserve">iesieniu do nieczynnych kopalń. </w:t>
      </w:r>
    </w:p>
    <w:p w14:paraId="52EF9065" w14:textId="16FAE8FD" w:rsidR="00D76D8B" w:rsidRPr="004D5AD1" w:rsidRDefault="00D76D8B" w:rsidP="00D76D8B">
      <w:pPr>
        <w:spacing w:after="160" w:line="259" w:lineRule="auto"/>
        <w:rPr>
          <w:noProof/>
        </w:rPr>
      </w:pPr>
      <w:r w:rsidRPr="004D5AD1">
        <w:rPr>
          <w:noProof/>
        </w:rPr>
        <w:t>5.</w:t>
      </w:r>
      <w:r w:rsidRPr="004D5AD1">
        <w:rPr>
          <w:noProof/>
        </w:rPr>
        <w:tab/>
        <w:t>Właściwe organy udostępniają opinii publicznej</w:t>
      </w:r>
      <w:r w:rsidR="004D5AD1" w:rsidRPr="004D5AD1">
        <w:rPr>
          <w:noProof/>
        </w:rPr>
        <w:t xml:space="preserve"> i</w:t>
      </w:r>
      <w:r w:rsidR="004D5AD1">
        <w:rPr>
          <w:noProof/>
        </w:rPr>
        <w:t> </w:t>
      </w:r>
      <w:r w:rsidR="004D5AD1" w:rsidRPr="004D5AD1">
        <w:rPr>
          <w:noProof/>
        </w:rPr>
        <w:t>Kom</w:t>
      </w:r>
      <w:r w:rsidRPr="004D5AD1">
        <w:rPr>
          <w:noProof/>
        </w:rPr>
        <w:t>isji sprawozdania określone</w:t>
      </w:r>
      <w:r w:rsidR="004D5AD1" w:rsidRPr="004D5AD1">
        <w:rPr>
          <w:noProof/>
        </w:rPr>
        <w:t xml:space="preserve"> w</w:t>
      </w:r>
      <w:r w:rsidR="004D5AD1">
        <w:rPr>
          <w:noProof/>
        </w:rPr>
        <w:t> </w:t>
      </w:r>
      <w:r w:rsidR="004D5AD1" w:rsidRPr="004D5AD1">
        <w:rPr>
          <w:noProof/>
        </w:rPr>
        <w:t>nin</w:t>
      </w:r>
      <w:r w:rsidRPr="004D5AD1">
        <w:rPr>
          <w:noProof/>
        </w:rPr>
        <w:t>iejszym artykule</w:t>
      </w:r>
      <w:r w:rsidR="004D5AD1" w:rsidRPr="004D5AD1">
        <w:rPr>
          <w:noProof/>
        </w:rPr>
        <w:t xml:space="preserve"> w</w:t>
      </w:r>
      <w:r w:rsidR="004D5AD1">
        <w:rPr>
          <w:noProof/>
        </w:rPr>
        <w:t> </w:t>
      </w:r>
      <w:r w:rsidR="004D5AD1" w:rsidRPr="004D5AD1">
        <w:rPr>
          <w:noProof/>
        </w:rPr>
        <w:t>ter</w:t>
      </w:r>
      <w:r w:rsidRPr="004D5AD1">
        <w:rPr>
          <w:noProof/>
        </w:rPr>
        <w:t>minie trzech miesięcy od ich przedłożenia przez operatorów</w:t>
      </w:r>
      <w:r w:rsidR="004D5AD1" w:rsidRPr="004D5AD1">
        <w:rPr>
          <w:noProof/>
        </w:rPr>
        <w:t xml:space="preserve"> i</w:t>
      </w:r>
      <w:r w:rsidR="004D5AD1">
        <w:rPr>
          <w:noProof/>
        </w:rPr>
        <w:t> </w:t>
      </w:r>
      <w:r w:rsidR="004D5AD1" w:rsidRPr="004D5AD1">
        <w:rPr>
          <w:noProof/>
        </w:rPr>
        <w:t>zgo</w:t>
      </w:r>
      <w:r w:rsidRPr="004D5AD1">
        <w:rPr>
          <w:noProof/>
        </w:rPr>
        <w:t>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5 ust.</w:t>
      </w:r>
      <w:r w:rsidR="004D5AD1" w:rsidRPr="004D5AD1">
        <w:rPr>
          <w:noProof/>
        </w:rPr>
        <w:t> </w:t>
      </w:r>
      <w:r w:rsidRPr="004D5AD1">
        <w:rPr>
          <w:noProof/>
        </w:rPr>
        <w:t>4.</w:t>
      </w:r>
    </w:p>
    <w:p w14:paraId="69E438D7" w14:textId="77777777" w:rsidR="00AA7224" w:rsidRPr="004D5AD1" w:rsidRDefault="00AA7224" w:rsidP="00D76D8B">
      <w:pPr>
        <w:spacing w:after="160" w:line="259" w:lineRule="auto"/>
        <w:rPr>
          <w:rFonts w:eastAsia="Calibri"/>
          <w:noProof/>
          <w:szCs w:val="24"/>
        </w:rPr>
      </w:pPr>
    </w:p>
    <w:p w14:paraId="75E693CE" w14:textId="1A9EED3F" w:rsidR="00FF2F45" w:rsidRPr="004D5AD1" w:rsidRDefault="00FF2F45" w:rsidP="00FF2F45">
      <w:pPr>
        <w:pStyle w:val="Titrearticle"/>
        <w:rPr>
          <w:noProof/>
        </w:rPr>
      </w:pPr>
      <w:r w:rsidRPr="004D5AD1">
        <w:rPr>
          <w:noProof/>
        </w:rPr>
        <w:t>Artykuł 26</w:t>
      </w:r>
    </w:p>
    <w:p w14:paraId="29C14A3C" w14:textId="77777777" w:rsidR="009641F4" w:rsidRPr="004D5AD1" w:rsidRDefault="009641F4" w:rsidP="009641F4">
      <w:pPr>
        <w:jc w:val="center"/>
        <w:rPr>
          <w:b/>
          <w:noProof/>
        </w:rPr>
      </w:pPr>
      <w:r w:rsidRPr="004D5AD1">
        <w:rPr>
          <w:b/>
          <w:noProof/>
        </w:rPr>
        <w:t>Środki ograniczające emisje</w:t>
      </w:r>
    </w:p>
    <w:p w14:paraId="72A2170B" w14:textId="0B342439" w:rsidR="00D76D8B" w:rsidRPr="004D5AD1" w:rsidRDefault="00FF2F45" w:rsidP="00FF2F45">
      <w:pPr>
        <w:spacing w:after="160" w:line="259" w:lineRule="auto"/>
        <w:rPr>
          <w:rFonts w:eastAsia="Calibri"/>
          <w:noProof/>
          <w:szCs w:val="24"/>
        </w:rPr>
      </w:pPr>
      <w:r w:rsidRPr="004D5AD1">
        <w:rPr>
          <w:noProof/>
        </w:rPr>
        <w:t>1.</w:t>
      </w:r>
      <w:r w:rsidRPr="004D5AD1">
        <w:rPr>
          <w:noProof/>
        </w:rPr>
        <w:tab/>
        <w:t>Na podstawie wykazu,</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25, państwa członkowskie opracowują</w:t>
      </w:r>
      <w:r w:rsidR="004D5AD1" w:rsidRPr="004D5AD1">
        <w:rPr>
          <w:noProof/>
        </w:rPr>
        <w:t xml:space="preserve"> i</w:t>
      </w:r>
      <w:r w:rsidR="004D5AD1">
        <w:rPr>
          <w:noProof/>
        </w:rPr>
        <w:t> </w:t>
      </w:r>
      <w:r w:rsidR="004D5AD1" w:rsidRPr="004D5AD1">
        <w:rPr>
          <w:noProof/>
        </w:rPr>
        <w:t>wdr</w:t>
      </w:r>
      <w:r w:rsidRPr="004D5AD1">
        <w:rPr>
          <w:noProof/>
        </w:rPr>
        <w:t>ażają plan ograniczania emisji</w:t>
      </w:r>
      <w:r w:rsidR="004D5AD1" w:rsidRPr="004D5AD1">
        <w:rPr>
          <w:noProof/>
        </w:rPr>
        <w:t xml:space="preserve"> w</w:t>
      </w:r>
      <w:r w:rsidR="004D5AD1">
        <w:rPr>
          <w:noProof/>
        </w:rPr>
        <w:t> </w:t>
      </w:r>
      <w:r w:rsidR="004D5AD1" w:rsidRPr="004D5AD1">
        <w:rPr>
          <w:noProof/>
        </w:rPr>
        <w:t>cel</w:t>
      </w:r>
      <w:r w:rsidRPr="004D5AD1">
        <w:rPr>
          <w:noProof/>
        </w:rPr>
        <w:t>u zniwelowania emisji metanu</w:t>
      </w:r>
      <w:r w:rsidR="004D5AD1" w:rsidRPr="004D5AD1">
        <w:rPr>
          <w:noProof/>
        </w:rPr>
        <w:t xml:space="preserve"> z</w:t>
      </w:r>
      <w:r w:rsidR="004D5AD1">
        <w:rPr>
          <w:noProof/>
        </w:rPr>
        <w:t> </w:t>
      </w:r>
      <w:r w:rsidR="004D5AD1" w:rsidRPr="004D5AD1">
        <w:rPr>
          <w:noProof/>
        </w:rPr>
        <w:t>nie</w:t>
      </w:r>
      <w:r w:rsidRPr="004D5AD1">
        <w:rPr>
          <w:noProof/>
        </w:rPr>
        <w:t>czynnych kopalń węgla.</w:t>
      </w:r>
    </w:p>
    <w:p w14:paraId="60536C78" w14:textId="4E282184" w:rsidR="00D76D8B" w:rsidRPr="004D5AD1" w:rsidRDefault="00D76D8B" w:rsidP="00D76D8B">
      <w:pPr>
        <w:spacing w:after="160" w:line="259" w:lineRule="auto"/>
        <w:rPr>
          <w:rFonts w:eastAsia="Calibri"/>
          <w:noProof/>
          <w:szCs w:val="24"/>
        </w:rPr>
      </w:pPr>
      <w:r w:rsidRPr="004D5AD1">
        <w:rPr>
          <w:noProof/>
        </w:rPr>
        <w:t>Plan ograniczania emisji przedkłada się właściwym organom do dnia... [</w:t>
      </w:r>
      <w:r w:rsidRPr="004D5AD1">
        <w:rPr>
          <w:i/>
          <w:noProof/>
          <w:szCs w:val="24"/>
        </w:rPr>
        <w:t>36 miesięcy od daty wejścia</w:t>
      </w:r>
      <w:r w:rsidR="004D5AD1" w:rsidRPr="004D5AD1">
        <w:rPr>
          <w:i/>
          <w:noProof/>
          <w:szCs w:val="24"/>
        </w:rPr>
        <w:t xml:space="preserve"> w</w:t>
      </w:r>
      <w:r w:rsidR="004D5AD1">
        <w:rPr>
          <w:i/>
          <w:noProof/>
          <w:szCs w:val="24"/>
        </w:rPr>
        <w:t> </w:t>
      </w:r>
      <w:r w:rsidR="004D5AD1" w:rsidRPr="004D5AD1">
        <w:rPr>
          <w:i/>
          <w:noProof/>
          <w:szCs w:val="24"/>
        </w:rPr>
        <w:t>życ</w:t>
      </w:r>
      <w:r w:rsidRPr="004D5AD1">
        <w:rPr>
          <w:i/>
          <w:noProof/>
          <w:szCs w:val="24"/>
        </w:rPr>
        <w:t>ie niniejszego rozporządzenia</w:t>
      </w:r>
      <w:r w:rsidRPr="004D5AD1">
        <w:rPr>
          <w:noProof/>
        </w:rPr>
        <w:t>] r.</w:t>
      </w:r>
      <w:r w:rsidR="004D5AD1" w:rsidRPr="004D5AD1">
        <w:rPr>
          <w:noProof/>
        </w:rPr>
        <w:t xml:space="preserve"> i</w:t>
      </w:r>
      <w:r w:rsidR="004D5AD1">
        <w:rPr>
          <w:noProof/>
        </w:rPr>
        <w:t> </w:t>
      </w:r>
      <w:r w:rsidR="004D5AD1" w:rsidRPr="004D5AD1">
        <w:rPr>
          <w:noProof/>
        </w:rPr>
        <w:t>zaw</w:t>
      </w:r>
      <w:r w:rsidRPr="004D5AD1">
        <w:rPr>
          <w:noProof/>
        </w:rPr>
        <w:t>iera on co najmniej elementy określone</w:t>
      </w:r>
      <w:r w:rsidR="004D5AD1" w:rsidRPr="004D5AD1">
        <w:rPr>
          <w:noProof/>
        </w:rPr>
        <w:t xml:space="preserve"> w</w:t>
      </w:r>
      <w:r w:rsidR="004D5AD1">
        <w:rPr>
          <w:noProof/>
        </w:rPr>
        <w:t> </w:t>
      </w:r>
      <w:r w:rsidR="004D5AD1" w:rsidRPr="004D5AD1">
        <w:rPr>
          <w:noProof/>
        </w:rPr>
        <w:t>zał</w:t>
      </w:r>
      <w:r w:rsidRPr="004D5AD1">
        <w:rPr>
          <w:noProof/>
        </w:rPr>
        <w:t>ączniku VII część 4.</w:t>
      </w:r>
    </w:p>
    <w:p w14:paraId="6229F679" w14:textId="1FB9921B" w:rsidR="009641F4" w:rsidRPr="004D5AD1" w:rsidRDefault="00FF2F45" w:rsidP="00FF2F45">
      <w:pPr>
        <w:rPr>
          <w:rFonts w:eastAsia="Calibri"/>
          <w:noProof/>
          <w:szCs w:val="24"/>
        </w:rPr>
      </w:pPr>
      <w:r w:rsidRPr="004D5AD1">
        <w:rPr>
          <w:noProof/>
        </w:rPr>
        <w:t>2.</w:t>
      </w:r>
      <w:r w:rsidRPr="004D5AD1">
        <w:rPr>
          <w:noProof/>
        </w:rPr>
        <w:tab/>
        <w:t>Od dnia 1 stycznia 2030</w:t>
      </w:r>
      <w:r w:rsidR="004D5AD1" w:rsidRPr="004D5AD1">
        <w:rPr>
          <w:noProof/>
        </w:rPr>
        <w:t> </w:t>
      </w:r>
      <w:r w:rsidRPr="004D5AD1">
        <w:rPr>
          <w:noProof/>
        </w:rPr>
        <w:t>r. zakazuje się uwalniania do atmosfery</w:t>
      </w:r>
      <w:r w:rsidR="004D5AD1" w:rsidRPr="004D5AD1">
        <w:rPr>
          <w:noProof/>
        </w:rPr>
        <w:t xml:space="preserve"> i</w:t>
      </w:r>
      <w:r w:rsidR="004D5AD1">
        <w:rPr>
          <w:noProof/>
        </w:rPr>
        <w:t> </w:t>
      </w:r>
      <w:r w:rsidR="004D5AD1" w:rsidRPr="004D5AD1">
        <w:rPr>
          <w:noProof/>
        </w:rPr>
        <w:t>spa</w:t>
      </w:r>
      <w:r w:rsidRPr="004D5AD1">
        <w:rPr>
          <w:noProof/>
        </w:rPr>
        <w:t>lania</w:t>
      </w:r>
      <w:r w:rsidR="004D5AD1" w:rsidRPr="004D5AD1">
        <w:rPr>
          <w:noProof/>
        </w:rPr>
        <w:t xml:space="preserve"> w</w:t>
      </w:r>
      <w:r w:rsidR="004D5AD1">
        <w:rPr>
          <w:noProof/>
        </w:rPr>
        <w:t> </w:t>
      </w:r>
      <w:r w:rsidR="004D5AD1" w:rsidRPr="004D5AD1">
        <w:rPr>
          <w:noProof/>
        </w:rPr>
        <w:t>poc</w:t>
      </w:r>
      <w:r w:rsidRPr="004D5AD1">
        <w:rPr>
          <w:noProof/>
        </w:rPr>
        <w:t>hodni</w:t>
      </w:r>
      <w:r w:rsidR="004D5AD1" w:rsidRPr="004D5AD1">
        <w:rPr>
          <w:noProof/>
        </w:rPr>
        <w:t xml:space="preserve"> w</w:t>
      </w:r>
      <w:r w:rsidR="004D5AD1">
        <w:rPr>
          <w:noProof/>
        </w:rPr>
        <w:t> </w:t>
      </w:r>
      <w:r w:rsidR="004D5AD1" w:rsidRPr="004D5AD1">
        <w:rPr>
          <w:noProof/>
        </w:rPr>
        <w:t>prz</w:t>
      </w:r>
      <w:r w:rsidRPr="004D5AD1">
        <w:rPr>
          <w:noProof/>
        </w:rPr>
        <w:t>ypadku urządzeń,</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25 ust.</w:t>
      </w:r>
      <w:r w:rsidR="004D5AD1" w:rsidRPr="004D5AD1">
        <w:rPr>
          <w:noProof/>
        </w:rPr>
        <w:t> </w:t>
      </w:r>
      <w:r w:rsidRPr="004D5AD1">
        <w:rPr>
          <w:noProof/>
        </w:rPr>
        <w:t>2, chyba że wykorzystywanie lub ograniczanie emisji jest technicznie niewykonalne lub stwarza zagrożenie dla bezpieczeństwa środowiskowego lub bezpieczeństwa prowadzonej działalności lub personelu</w:t>
      </w:r>
      <w:r w:rsidR="004D5AD1" w:rsidRPr="004D5AD1">
        <w:rPr>
          <w:noProof/>
        </w:rPr>
        <w:t>. W</w:t>
      </w:r>
      <w:r w:rsidR="004D5AD1">
        <w:rPr>
          <w:noProof/>
        </w:rPr>
        <w:t> </w:t>
      </w:r>
      <w:r w:rsidR="004D5AD1" w:rsidRPr="004D5AD1">
        <w:rPr>
          <w:noProof/>
        </w:rPr>
        <w:t>tak</w:t>
      </w:r>
      <w:r w:rsidRPr="004D5AD1">
        <w:rPr>
          <w:noProof/>
        </w:rPr>
        <w:t>iej sytuacji,</w:t>
      </w:r>
      <w:r w:rsidR="004D5AD1" w:rsidRPr="004D5AD1">
        <w:rPr>
          <w:noProof/>
        </w:rPr>
        <w:t xml:space="preserve"> w</w:t>
      </w:r>
      <w:r w:rsidR="004D5AD1">
        <w:rPr>
          <w:noProof/>
        </w:rPr>
        <w:t> </w:t>
      </w:r>
      <w:r w:rsidR="004D5AD1" w:rsidRPr="004D5AD1">
        <w:rPr>
          <w:noProof/>
        </w:rPr>
        <w:t>ram</w:t>
      </w:r>
      <w:r w:rsidRPr="004D5AD1">
        <w:rPr>
          <w:noProof/>
        </w:rPr>
        <w:t>ach obowiązków sprawozdawczych określonych</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25, operatorzy kopalń lub państwa członkowskie udowadniają konieczność podjęcia decyzji</w:t>
      </w:r>
      <w:r w:rsidR="004D5AD1" w:rsidRPr="004D5AD1">
        <w:rPr>
          <w:noProof/>
        </w:rPr>
        <w:t xml:space="preserve"> o</w:t>
      </w:r>
      <w:r w:rsidR="004D5AD1">
        <w:rPr>
          <w:noProof/>
        </w:rPr>
        <w:t> </w:t>
      </w:r>
      <w:r w:rsidR="004D5AD1" w:rsidRPr="004D5AD1">
        <w:rPr>
          <w:noProof/>
        </w:rPr>
        <w:t>uwa</w:t>
      </w:r>
      <w:r w:rsidRPr="004D5AD1">
        <w:rPr>
          <w:noProof/>
        </w:rPr>
        <w:t>lnianiu do atmosfery lub spalaniu</w:t>
      </w:r>
      <w:r w:rsidR="004D5AD1" w:rsidRPr="004D5AD1">
        <w:rPr>
          <w:noProof/>
        </w:rPr>
        <w:t xml:space="preserve"> w</w:t>
      </w:r>
      <w:r w:rsidR="004D5AD1">
        <w:rPr>
          <w:noProof/>
        </w:rPr>
        <w:t> </w:t>
      </w:r>
      <w:r w:rsidR="004D5AD1" w:rsidRPr="004D5AD1">
        <w:rPr>
          <w:noProof/>
        </w:rPr>
        <w:t>poc</w:t>
      </w:r>
      <w:r w:rsidRPr="004D5AD1">
        <w:rPr>
          <w:noProof/>
        </w:rPr>
        <w:t>hodni zamiast wykorzystania lub ograniczania emisji.</w:t>
      </w:r>
    </w:p>
    <w:p w14:paraId="17FAA9A2" w14:textId="19400192" w:rsidR="00B46F05" w:rsidRPr="004D5AD1" w:rsidRDefault="00B46F05" w:rsidP="003249F8">
      <w:pPr>
        <w:rPr>
          <w:noProof/>
        </w:rPr>
      </w:pPr>
    </w:p>
    <w:p w14:paraId="064A622E" w14:textId="77777777" w:rsidR="00FD0FB2" w:rsidRPr="004D5AD1" w:rsidRDefault="00FD0FB2" w:rsidP="00FD0FB2">
      <w:pPr>
        <w:pStyle w:val="ChapterTitle"/>
        <w:rPr>
          <w:noProof/>
        </w:rPr>
      </w:pPr>
      <w:r w:rsidRPr="004D5AD1">
        <w:rPr>
          <w:noProof/>
        </w:rPr>
        <w:t>Rozdział 5</w:t>
      </w:r>
    </w:p>
    <w:p w14:paraId="6EA52645" w14:textId="77777777" w:rsidR="00FD0FB2" w:rsidRPr="004D5AD1" w:rsidRDefault="00FD0FB2" w:rsidP="00FD0FB2">
      <w:pPr>
        <w:pStyle w:val="ChapterTitle"/>
        <w:rPr>
          <w:noProof/>
        </w:rPr>
      </w:pPr>
      <w:r w:rsidRPr="004D5AD1">
        <w:rPr>
          <w:noProof/>
        </w:rPr>
        <w:t>Emisje metanu mające miejsce poza Unią</w:t>
      </w:r>
    </w:p>
    <w:p w14:paraId="50BA21AC" w14:textId="68C9AC4F" w:rsidR="002A5CEF" w:rsidRPr="004D5AD1" w:rsidRDefault="002A5CEF" w:rsidP="002A5CEF">
      <w:pPr>
        <w:pStyle w:val="Titrearticle"/>
        <w:rPr>
          <w:noProof/>
        </w:rPr>
      </w:pPr>
      <w:r w:rsidRPr="004D5AD1">
        <w:rPr>
          <w:noProof/>
        </w:rPr>
        <w:t>Artykuł 27</w:t>
      </w:r>
    </w:p>
    <w:p w14:paraId="0FAAA006" w14:textId="45987D49" w:rsidR="002A5CEF" w:rsidRPr="004D5AD1" w:rsidRDefault="002A5CEF" w:rsidP="002A5CEF">
      <w:pPr>
        <w:pStyle w:val="NormalCentered"/>
        <w:rPr>
          <w:b/>
          <w:noProof/>
        </w:rPr>
      </w:pPr>
      <w:r w:rsidRPr="004D5AD1">
        <w:rPr>
          <w:b/>
          <w:noProof/>
        </w:rPr>
        <w:t>Wymogi dotyczące importerów</w:t>
      </w:r>
    </w:p>
    <w:p w14:paraId="1FC9C62C" w14:textId="497D3986" w:rsidR="002A5CEF" w:rsidRPr="004D5AD1" w:rsidRDefault="002A5CEF" w:rsidP="002A5CEF">
      <w:pPr>
        <w:rPr>
          <w:noProof/>
        </w:rPr>
      </w:pPr>
      <w:r w:rsidRPr="004D5AD1">
        <w:rPr>
          <w:noProof/>
        </w:rPr>
        <w:t>1.</w:t>
      </w:r>
      <w:r w:rsidRPr="004D5AD1">
        <w:rPr>
          <w:noProof/>
        </w:rPr>
        <w:tab/>
        <w:t>Do dnia... [</w:t>
      </w:r>
      <w:r w:rsidRPr="004D5AD1">
        <w:rPr>
          <w:i/>
          <w:noProof/>
        </w:rPr>
        <w:t>9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w:t>
      </w:r>
      <w:r w:rsidR="004D5AD1" w:rsidRPr="004D5AD1">
        <w:rPr>
          <w:noProof/>
        </w:rPr>
        <w:t xml:space="preserve"> a</w:t>
      </w:r>
      <w:r w:rsidR="004D5AD1">
        <w:rPr>
          <w:noProof/>
        </w:rPr>
        <w:t> </w:t>
      </w:r>
      <w:r w:rsidR="004D5AD1" w:rsidRPr="004D5AD1">
        <w:rPr>
          <w:noProof/>
        </w:rPr>
        <w:t>nas</w:t>
      </w:r>
      <w:r w:rsidRPr="004D5AD1">
        <w:rPr>
          <w:noProof/>
        </w:rPr>
        <w:t>tępnie do dnia 31 grudnia każdego roku importerzy przekazują właściwym organom państwa członkowskiego importu informacje określone</w:t>
      </w:r>
      <w:r w:rsidR="004D5AD1" w:rsidRPr="004D5AD1">
        <w:rPr>
          <w:noProof/>
        </w:rPr>
        <w:t xml:space="preserve"> w</w:t>
      </w:r>
      <w:r w:rsidR="004D5AD1">
        <w:rPr>
          <w:noProof/>
        </w:rPr>
        <w:t> </w:t>
      </w:r>
      <w:r w:rsidR="004D5AD1" w:rsidRPr="004D5AD1">
        <w:rPr>
          <w:noProof/>
        </w:rPr>
        <w:t>zał</w:t>
      </w:r>
      <w:r w:rsidRPr="004D5AD1">
        <w:rPr>
          <w:noProof/>
        </w:rPr>
        <w:t>ączniku VIII.</w:t>
      </w:r>
    </w:p>
    <w:p w14:paraId="1AC43E1C" w14:textId="464963E3" w:rsidR="002A5CEF" w:rsidRPr="004D5AD1" w:rsidRDefault="002A5CEF" w:rsidP="002A5CEF">
      <w:pPr>
        <w:rPr>
          <w:noProof/>
        </w:rPr>
      </w:pPr>
      <w:r w:rsidRPr="004D5AD1">
        <w:rPr>
          <w:noProof/>
        </w:rPr>
        <w:t>Komisja jest uprawniona do przyjmowania aktów delegowanych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31</w:t>
      </w:r>
      <w:r w:rsidR="004D5AD1" w:rsidRPr="004D5AD1">
        <w:rPr>
          <w:noProof/>
        </w:rPr>
        <w:t xml:space="preserve"> w</w:t>
      </w:r>
      <w:r w:rsidR="004D5AD1">
        <w:rPr>
          <w:noProof/>
        </w:rPr>
        <w:t> </w:t>
      </w:r>
      <w:r w:rsidR="004D5AD1" w:rsidRPr="004D5AD1">
        <w:rPr>
          <w:noProof/>
        </w:rPr>
        <w:t>cel</w:t>
      </w:r>
      <w:r w:rsidRPr="004D5AD1">
        <w:rPr>
          <w:noProof/>
        </w:rPr>
        <w:t>u uzupełnienia niniejszego rozporządzenia poprzez zmianę lub dodanie informacji, jakie mają przekazywać importerzy.</w:t>
      </w:r>
    </w:p>
    <w:p w14:paraId="758F6D85" w14:textId="35FA3375" w:rsidR="002A5CEF" w:rsidRPr="004D5AD1" w:rsidRDefault="002A5CEF" w:rsidP="002A5CEF">
      <w:pPr>
        <w:rPr>
          <w:noProof/>
        </w:rPr>
      </w:pPr>
      <w:r w:rsidRPr="004D5AD1">
        <w:rPr>
          <w:noProof/>
        </w:rPr>
        <w:t>2.</w:t>
      </w:r>
      <w:r w:rsidRPr="004D5AD1">
        <w:rPr>
          <w:noProof/>
        </w:rPr>
        <w:tab/>
        <w:t>Do dnia... [</w:t>
      </w:r>
      <w:r w:rsidRPr="004D5AD1">
        <w:rPr>
          <w:i/>
          <w:noProof/>
        </w:rPr>
        <w:t>12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w:t>
      </w:r>
      <w:r w:rsidR="004D5AD1" w:rsidRPr="004D5AD1">
        <w:rPr>
          <w:noProof/>
        </w:rPr>
        <w:t xml:space="preserve"> a</w:t>
      </w:r>
      <w:r w:rsidR="004D5AD1">
        <w:rPr>
          <w:noProof/>
        </w:rPr>
        <w:t> </w:t>
      </w:r>
      <w:r w:rsidR="004D5AD1" w:rsidRPr="004D5AD1">
        <w:rPr>
          <w:noProof/>
        </w:rPr>
        <w:t>nas</w:t>
      </w:r>
      <w:r w:rsidRPr="004D5AD1">
        <w:rPr>
          <w:noProof/>
        </w:rPr>
        <w:t xml:space="preserve">tępnie do dnia 30 czerwca każdego roku państwa członkowskie przekazują Komisji informacje przekazane im przez importerów. </w:t>
      </w:r>
    </w:p>
    <w:p w14:paraId="1A696DBF" w14:textId="061CF026" w:rsidR="00231670" w:rsidRPr="004D5AD1" w:rsidRDefault="00231670" w:rsidP="002A5CEF">
      <w:pPr>
        <w:rPr>
          <w:noProof/>
        </w:rPr>
      </w:pPr>
      <w:r w:rsidRPr="004D5AD1">
        <w:rPr>
          <w:noProof/>
        </w:rPr>
        <w:t>Komisja udostępnia te informacje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28.</w:t>
      </w:r>
    </w:p>
    <w:p w14:paraId="720947B8" w14:textId="48FFA043" w:rsidR="00E34AB0" w:rsidRPr="004D5AD1" w:rsidRDefault="00E34AB0" w:rsidP="00E34AB0">
      <w:pPr>
        <w:rPr>
          <w:noProof/>
        </w:rPr>
      </w:pPr>
      <w:r w:rsidRPr="004D5AD1">
        <w:rPr>
          <w:noProof/>
        </w:rPr>
        <w:t>3.</w:t>
      </w:r>
      <w:r w:rsidRPr="004D5AD1">
        <w:rPr>
          <w:noProof/>
        </w:rPr>
        <w:tab/>
        <w:t>Do dnia 31 grudnia 2025</w:t>
      </w:r>
      <w:r w:rsidR="004D5AD1" w:rsidRPr="004D5AD1">
        <w:rPr>
          <w:noProof/>
        </w:rPr>
        <w:t> </w:t>
      </w:r>
      <w:r w:rsidRPr="004D5AD1">
        <w:rPr>
          <w:noProof/>
        </w:rPr>
        <w:t>r. lub wcześniej, jeżeli Komisja uzna, że dostępne są wystarczające dowody, Komisja zbada stosowanie niniejszego artykułu, uwzględniając</w:t>
      </w:r>
      <w:r w:rsidR="004D5AD1" w:rsidRPr="004D5AD1">
        <w:rPr>
          <w:noProof/>
        </w:rPr>
        <w:t xml:space="preserve"> w</w:t>
      </w:r>
      <w:r w:rsidR="004D5AD1">
        <w:rPr>
          <w:noProof/>
        </w:rPr>
        <w:t> </w:t>
      </w:r>
      <w:r w:rsidR="004D5AD1" w:rsidRPr="004D5AD1">
        <w:rPr>
          <w:noProof/>
        </w:rPr>
        <w:t>szc</w:t>
      </w:r>
      <w:r w:rsidRPr="004D5AD1">
        <w:rPr>
          <w:noProof/>
        </w:rPr>
        <w:t>zególności:</w:t>
      </w:r>
    </w:p>
    <w:p w14:paraId="6911538E" w14:textId="7F37FD73" w:rsidR="00E34AB0" w:rsidRPr="004D5AD1" w:rsidRDefault="006B6EBD" w:rsidP="004E0EE6">
      <w:pPr>
        <w:pStyle w:val="Text1"/>
        <w:rPr>
          <w:noProof/>
        </w:rPr>
      </w:pPr>
      <w:r w:rsidRPr="004D5AD1">
        <w:rPr>
          <w:noProof/>
        </w:rPr>
        <w:t>a)</w:t>
      </w:r>
      <w:r w:rsidRPr="004D5AD1">
        <w:rPr>
          <w:noProof/>
        </w:rPr>
        <w:tab/>
        <w:t>zgłaszanie dostępnych danych dotyczących emisji metanu, zgromadzonych</w:t>
      </w:r>
      <w:r w:rsidR="004D5AD1" w:rsidRPr="004D5AD1">
        <w:rPr>
          <w:noProof/>
        </w:rPr>
        <w:t xml:space="preserve"> w</w:t>
      </w:r>
      <w:r w:rsidR="004D5AD1">
        <w:rPr>
          <w:noProof/>
        </w:rPr>
        <w:t> </w:t>
      </w:r>
      <w:r w:rsidR="004D5AD1" w:rsidRPr="004D5AD1">
        <w:rPr>
          <w:noProof/>
        </w:rPr>
        <w:t>kon</w:t>
      </w:r>
      <w:r w:rsidRPr="004D5AD1">
        <w:rPr>
          <w:noProof/>
        </w:rPr>
        <w:t>tekście globalnego narzędzia monitorowania metanu,</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29;</w:t>
      </w:r>
    </w:p>
    <w:p w14:paraId="58BF5636" w14:textId="77777777" w:rsidR="00E34AB0" w:rsidRPr="004D5AD1" w:rsidRDefault="00E34AB0" w:rsidP="004E0EE6">
      <w:pPr>
        <w:pStyle w:val="Text1"/>
        <w:rPr>
          <w:noProof/>
        </w:rPr>
      </w:pPr>
      <w:r w:rsidRPr="004D5AD1">
        <w:rPr>
          <w:noProof/>
        </w:rPr>
        <w:t>b)</w:t>
      </w:r>
      <w:r w:rsidRPr="004D5AD1">
        <w:rPr>
          <w:noProof/>
        </w:rPr>
        <w:tab/>
        <w:t>analizę danych dotyczących emisji metanu przeprowadzoną przez IMEO;</w:t>
      </w:r>
    </w:p>
    <w:p w14:paraId="3F5B3779" w14:textId="0885F5EF" w:rsidR="00E34AB0" w:rsidRPr="004D5AD1" w:rsidRDefault="00F07860" w:rsidP="004E0EE6">
      <w:pPr>
        <w:pStyle w:val="Text1"/>
        <w:rPr>
          <w:noProof/>
        </w:rPr>
      </w:pPr>
      <w:r w:rsidRPr="004D5AD1">
        <w:rPr>
          <w:noProof/>
        </w:rPr>
        <w:t>c)</w:t>
      </w:r>
      <w:r w:rsidRPr="004D5AD1">
        <w:rPr>
          <w:noProof/>
        </w:rPr>
        <w:tab/>
        <w:t>informacje na temat monitorowania, raportowania, weryfikacji</w:t>
      </w:r>
      <w:r w:rsidR="004D5AD1" w:rsidRPr="004D5AD1">
        <w:rPr>
          <w:noProof/>
        </w:rPr>
        <w:t xml:space="preserve"> i</w:t>
      </w:r>
      <w:r w:rsidR="004D5AD1">
        <w:rPr>
          <w:noProof/>
        </w:rPr>
        <w:t> </w:t>
      </w:r>
      <w:r w:rsidR="004D5AD1" w:rsidRPr="004D5AD1">
        <w:rPr>
          <w:noProof/>
        </w:rPr>
        <w:t>śro</w:t>
      </w:r>
      <w:r w:rsidRPr="004D5AD1">
        <w:rPr>
          <w:noProof/>
        </w:rPr>
        <w:t xml:space="preserve">dków ograniczających emisje stosowanych przez operatorów zlokalizowanych poza Unią i od których importuje się energię do Unii; oraz </w:t>
      </w:r>
    </w:p>
    <w:p w14:paraId="296BFF57" w14:textId="2DFFA66A" w:rsidR="00E34AB0" w:rsidRPr="004D5AD1" w:rsidRDefault="00E34AB0" w:rsidP="004E0EE6">
      <w:pPr>
        <w:pStyle w:val="Text1"/>
        <w:rPr>
          <w:noProof/>
        </w:rPr>
      </w:pPr>
      <w:r w:rsidRPr="004D5AD1">
        <w:rPr>
          <w:noProof/>
        </w:rPr>
        <w:t>d)</w:t>
      </w:r>
      <w:r w:rsidRPr="004D5AD1">
        <w:rPr>
          <w:noProof/>
        </w:rPr>
        <w:tab/>
        <w:t>bezpieczeństwo dostaw</w:t>
      </w:r>
      <w:r w:rsidR="004D5AD1" w:rsidRPr="004D5AD1">
        <w:rPr>
          <w:noProof/>
        </w:rPr>
        <w:t xml:space="preserve"> i</w:t>
      </w:r>
      <w:r w:rsidR="004D5AD1">
        <w:rPr>
          <w:noProof/>
        </w:rPr>
        <w:t> </w:t>
      </w:r>
      <w:r w:rsidR="004D5AD1" w:rsidRPr="004D5AD1">
        <w:rPr>
          <w:noProof/>
        </w:rPr>
        <w:t>wpł</w:t>
      </w:r>
      <w:r w:rsidRPr="004D5AD1">
        <w:rPr>
          <w:noProof/>
        </w:rPr>
        <w:t>yw na równe warunki działania</w:t>
      </w:r>
      <w:r w:rsidR="004D5AD1" w:rsidRPr="004D5AD1">
        <w:rPr>
          <w:noProof/>
        </w:rPr>
        <w:t xml:space="preserve"> w</w:t>
      </w:r>
      <w:r w:rsidR="004D5AD1">
        <w:rPr>
          <w:noProof/>
        </w:rPr>
        <w:t> </w:t>
      </w:r>
      <w:r w:rsidR="004D5AD1" w:rsidRPr="004D5AD1">
        <w:rPr>
          <w:noProof/>
        </w:rPr>
        <w:t>prz</w:t>
      </w:r>
      <w:r w:rsidRPr="004D5AD1">
        <w:rPr>
          <w:noProof/>
        </w:rPr>
        <w:t>ypadku ewentualnych dodatkowych obowiązków,</w:t>
      </w:r>
      <w:r w:rsidR="004D5AD1" w:rsidRPr="004D5AD1">
        <w:rPr>
          <w:noProof/>
        </w:rPr>
        <w:t xml:space="preserve"> w</w:t>
      </w:r>
      <w:r w:rsidR="004D5AD1">
        <w:rPr>
          <w:noProof/>
        </w:rPr>
        <w:t> </w:t>
      </w:r>
      <w:r w:rsidR="004D5AD1" w:rsidRPr="004D5AD1">
        <w:rPr>
          <w:noProof/>
        </w:rPr>
        <w:t>tym</w:t>
      </w:r>
      <w:r w:rsidRPr="004D5AD1">
        <w:rPr>
          <w:noProof/>
        </w:rPr>
        <w:t xml:space="preserve"> obowiązkowych środków, takich jak normy lub cele</w:t>
      </w:r>
      <w:r w:rsidR="004D5AD1" w:rsidRPr="004D5AD1">
        <w:rPr>
          <w:noProof/>
        </w:rPr>
        <w:t xml:space="preserve"> w</w:t>
      </w:r>
      <w:r w:rsidR="004D5AD1">
        <w:rPr>
          <w:noProof/>
        </w:rPr>
        <w:t> </w:t>
      </w:r>
      <w:r w:rsidR="004D5AD1" w:rsidRPr="004D5AD1">
        <w:rPr>
          <w:noProof/>
        </w:rPr>
        <w:t>zak</w:t>
      </w:r>
      <w:r w:rsidRPr="004D5AD1">
        <w:rPr>
          <w:noProof/>
        </w:rPr>
        <w:t>resie emisji metanu,</w:t>
      </w:r>
      <w:r w:rsidR="004D5AD1" w:rsidRPr="004D5AD1">
        <w:rPr>
          <w:noProof/>
        </w:rPr>
        <w:t xml:space="preserve"> z</w:t>
      </w:r>
      <w:r w:rsidR="004D5AD1">
        <w:rPr>
          <w:noProof/>
        </w:rPr>
        <w:t> </w:t>
      </w:r>
      <w:r w:rsidR="004D5AD1" w:rsidRPr="004D5AD1">
        <w:rPr>
          <w:noProof/>
        </w:rPr>
        <w:t>uwz</w:t>
      </w:r>
      <w:r w:rsidRPr="004D5AD1">
        <w:rPr>
          <w:noProof/>
        </w:rPr>
        <w:t>ględnieniem oddzielnie sektorów ropy naftowej, gazu</w:t>
      </w:r>
      <w:r w:rsidR="004D5AD1" w:rsidRPr="004D5AD1">
        <w:rPr>
          <w:noProof/>
        </w:rPr>
        <w:t xml:space="preserve"> i</w:t>
      </w:r>
      <w:r w:rsidR="004D5AD1">
        <w:rPr>
          <w:noProof/>
        </w:rPr>
        <w:t> </w:t>
      </w:r>
      <w:r w:rsidR="004D5AD1" w:rsidRPr="004D5AD1">
        <w:rPr>
          <w:noProof/>
        </w:rPr>
        <w:t>węg</w:t>
      </w:r>
      <w:r w:rsidRPr="004D5AD1">
        <w:rPr>
          <w:noProof/>
        </w:rPr>
        <w:t>la.</w:t>
      </w:r>
    </w:p>
    <w:p w14:paraId="5EFBF205" w14:textId="04EA7EF2" w:rsidR="00AA7224" w:rsidRPr="004D5AD1" w:rsidRDefault="005645A5" w:rsidP="00E34AB0">
      <w:pPr>
        <w:rPr>
          <w:noProof/>
        </w:rPr>
      </w:pPr>
      <w:r w:rsidRPr="004D5AD1">
        <w:rPr>
          <w:noProof/>
        </w:rPr>
        <w:t>W stosownych przypadkach i na podstawie dowodów niezbędnych do zapewnienia pełnej zgodności</w:t>
      </w:r>
      <w:r w:rsidR="004D5AD1" w:rsidRPr="004D5AD1">
        <w:rPr>
          <w:noProof/>
        </w:rPr>
        <w:t xml:space="preserve"> z</w:t>
      </w:r>
      <w:r w:rsidR="004D5AD1">
        <w:rPr>
          <w:noProof/>
        </w:rPr>
        <w:t> </w:t>
      </w:r>
      <w:r w:rsidR="004D5AD1" w:rsidRPr="004D5AD1">
        <w:rPr>
          <w:noProof/>
        </w:rPr>
        <w:t>maj</w:t>
      </w:r>
      <w:r w:rsidRPr="004D5AD1">
        <w:rPr>
          <w:noProof/>
        </w:rPr>
        <w:t>ącymi zastosowanie zobowiązaniami międzynarodowymi Unii Komisja proponuje zmiany niniejszego rozporządzenia</w:t>
      </w:r>
      <w:r w:rsidR="004D5AD1" w:rsidRPr="004D5AD1">
        <w:rPr>
          <w:noProof/>
        </w:rPr>
        <w:t xml:space="preserve"> w</w:t>
      </w:r>
      <w:r w:rsidR="004D5AD1">
        <w:rPr>
          <w:noProof/>
        </w:rPr>
        <w:t> </w:t>
      </w:r>
      <w:r w:rsidR="004D5AD1" w:rsidRPr="004D5AD1">
        <w:rPr>
          <w:noProof/>
        </w:rPr>
        <w:t>cel</w:t>
      </w:r>
      <w:r w:rsidRPr="004D5AD1">
        <w:rPr>
          <w:noProof/>
        </w:rPr>
        <w:t>u zaostrzenia wymogów mających zastosowanie do importerów, aby zapewnić porównywalny poziom skuteczności</w:t>
      </w:r>
      <w:r w:rsidR="004D5AD1" w:rsidRPr="004D5AD1">
        <w:rPr>
          <w:noProof/>
        </w:rPr>
        <w:t xml:space="preserve"> w</w:t>
      </w:r>
      <w:r w:rsidR="004D5AD1">
        <w:rPr>
          <w:noProof/>
        </w:rPr>
        <w:t> </w:t>
      </w:r>
      <w:r w:rsidR="004D5AD1" w:rsidRPr="004D5AD1">
        <w:rPr>
          <w:noProof/>
        </w:rPr>
        <w:t>odn</w:t>
      </w:r>
      <w:r w:rsidRPr="004D5AD1">
        <w:rPr>
          <w:noProof/>
        </w:rPr>
        <w:t>iesieniu do pomiaru, raportowania</w:t>
      </w:r>
      <w:r w:rsidR="004D5AD1" w:rsidRPr="004D5AD1">
        <w:rPr>
          <w:noProof/>
        </w:rPr>
        <w:t xml:space="preserve"> i</w:t>
      </w:r>
      <w:r w:rsidR="004D5AD1">
        <w:rPr>
          <w:noProof/>
        </w:rPr>
        <w:t> </w:t>
      </w:r>
      <w:r w:rsidR="004D5AD1" w:rsidRPr="004D5AD1">
        <w:rPr>
          <w:noProof/>
        </w:rPr>
        <w:t>wer</w:t>
      </w:r>
      <w:r w:rsidRPr="004D5AD1">
        <w:rPr>
          <w:noProof/>
        </w:rPr>
        <w:t>yfikacji emisji metanu związanych</w:t>
      </w:r>
      <w:r w:rsidR="004D5AD1" w:rsidRPr="004D5AD1">
        <w:rPr>
          <w:noProof/>
        </w:rPr>
        <w:t xml:space="preserve"> z</w:t>
      </w:r>
      <w:r w:rsidR="004D5AD1">
        <w:rPr>
          <w:noProof/>
        </w:rPr>
        <w:t> </w:t>
      </w:r>
      <w:r w:rsidR="004D5AD1" w:rsidRPr="004D5AD1">
        <w:rPr>
          <w:noProof/>
        </w:rPr>
        <w:t>ene</w:t>
      </w:r>
      <w:r w:rsidRPr="004D5AD1">
        <w:rPr>
          <w:noProof/>
        </w:rPr>
        <w:t>rgią oraz ograniczania tych emisji.</w:t>
      </w:r>
    </w:p>
    <w:p w14:paraId="6C4D5E8C" w14:textId="1EB1F5BF" w:rsidR="0010636C" w:rsidRPr="004D5AD1" w:rsidRDefault="0010636C" w:rsidP="0010636C">
      <w:pPr>
        <w:pStyle w:val="Titrearticle"/>
        <w:rPr>
          <w:noProof/>
        </w:rPr>
      </w:pPr>
      <w:r w:rsidRPr="004D5AD1">
        <w:rPr>
          <w:noProof/>
        </w:rPr>
        <w:t>Artykuł 28</w:t>
      </w:r>
    </w:p>
    <w:p w14:paraId="6F311DB0" w14:textId="6A9C091D" w:rsidR="0010636C" w:rsidRPr="004D5AD1" w:rsidRDefault="0010636C" w:rsidP="0010636C">
      <w:pPr>
        <w:pStyle w:val="NormalCentered"/>
        <w:rPr>
          <w:b/>
          <w:noProof/>
        </w:rPr>
      </w:pPr>
      <w:r w:rsidRPr="004D5AD1">
        <w:rPr>
          <w:b/>
          <w:noProof/>
        </w:rPr>
        <w:t>Baza danych zapewniająca przejrzystość</w:t>
      </w:r>
      <w:r w:rsidR="004D5AD1" w:rsidRPr="004D5AD1">
        <w:rPr>
          <w:b/>
          <w:noProof/>
        </w:rPr>
        <w:t xml:space="preserve"> w</w:t>
      </w:r>
      <w:r w:rsidR="004D5AD1">
        <w:rPr>
          <w:b/>
          <w:noProof/>
        </w:rPr>
        <w:t> </w:t>
      </w:r>
      <w:r w:rsidR="004D5AD1" w:rsidRPr="004D5AD1">
        <w:rPr>
          <w:b/>
          <w:noProof/>
        </w:rPr>
        <w:t>zak</w:t>
      </w:r>
      <w:r w:rsidRPr="004D5AD1">
        <w:rPr>
          <w:b/>
          <w:noProof/>
        </w:rPr>
        <w:t>resie emisji metanu</w:t>
      </w:r>
    </w:p>
    <w:p w14:paraId="4A4CDA74" w14:textId="3F29F4CC" w:rsidR="002A5CEF" w:rsidRPr="004D5AD1" w:rsidRDefault="0010636C" w:rsidP="002A5CEF">
      <w:pPr>
        <w:rPr>
          <w:noProof/>
        </w:rPr>
      </w:pPr>
      <w:r w:rsidRPr="004D5AD1">
        <w:rPr>
          <w:noProof/>
        </w:rPr>
        <w:t>1.</w:t>
      </w:r>
      <w:r w:rsidRPr="004D5AD1">
        <w:rPr>
          <w:noProof/>
        </w:rPr>
        <w:tab/>
        <w:t>Do dnia... [</w:t>
      </w:r>
      <w:r w:rsidRPr="004D5AD1">
        <w:rPr>
          <w:i/>
          <w:noProof/>
        </w:rPr>
        <w:t>18 miesięcy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 Komisja tworzy</w:t>
      </w:r>
      <w:r w:rsidR="004D5AD1" w:rsidRPr="004D5AD1">
        <w:rPr>
          <w:noProof/>
        </w:rPr>
        <w:t xml:space="preserve"> i</w:t>
      </w:r>
      <w:r w:rsidR="004D5AD1">
        <w:rPr>
          <w:noProof/>
        </w:rPr>
        <w:t> </w:t>
      </w:r>
      <w:r w:rsidR="004D5AD1" w:rsidRPr="004D5AD1">
        <w:rPr>
          <w:noProof/>
        </w:rPr>
        <w:t>zac</w:t>
      </w:r>
      <w:r w:rsidRPr="004D5AD1">
        <w:rPr>
          <w:noProof/>
        </w:rPr>
        <w:t>zyna prowadzić bazę danych zapewniających przejrzystość</w:t>
      </w:r>
      <w:r w:rsidR="004D5AD1" w:rsidRPr="004D5AD1">
        <w:rPr>
          <w:noProof/>
        </w:rPr>
        <w:t xml:space="preserve"> w</w:t>
      </w:r>
      <w:r w:rsidR="004D5AD1">
        <w:rPr>
          <w:noProof/>
        </w:rPr>
        <w:t> </w:t>
      </w:r>
      <w:r w:rsidR="004D5AD1" w:rsidRPr="004D5AD1">
        <w:rPr>
          <w:noProof/>
        </w:rPr>
        <w:t>zak</w:t>
      </w:r>
      <w:r w:rsidRPr="004D5AD1">
        <w:rPr>
          <w:noProof/>
        </w:rPr>
        <w:t>resie emisji metanu, zawierającą informacje przedłożone Komisji na podstawie art.</w:t>
      </w:r>
      <w:r w:rsidR="004D5AD1" w:rsidRPr="004D5AD1">
        <w:rPr>
          <w:noProof/>
        </w:rPr>
        <w:t> </w:t>
      </w:r>
      <w:r w:rsidRPr="004D5AD1">
        <w:rPr>
          <w:noProof/>
        </w:rPr>
        <w:t>27</w:t>
      </w:r>
      <w:r w:rsidR="004D5AD1" w:rsidRPr="004D5AD1">
        <w:rPr>
          <w:noProof/>
        </w:rPr>
        <w:t xml:space="preserve"> i</w:t>
      </w:r>
      <w:r w:rsidR="004D5AD1">
        <w:rPr>
          <w:noProof/>
        </w:rPr>
        <w:t> </w:t>
      </w:r>
      <w:r w:rsidR="004D5AD1" w:rsidRPr="004D5AD1">
        <w:rPr>
          <w:noProof/>
        </w:rPr>
        <w:t>art</w:t>
      </w:r>
      <w:r w:rsidRPr="004D5AD1">
        <w:rPr>
          <w:noProof/>
        </w:rPr>
        <w:t>.</w:t>
      </w:r>
      <w:r w:rsidR="004D5AD1" w:rsidRPr="004D5AD1">
        <w:rPr>
          <w:noProof/>
        </w:rPr>
        <w:t> </w:t>
      </w:r>
      <w:r w:rsidRPr="004D5AD1">
        <w:rPr>
          <w:noProof/>
        </w:rPr>
        <w:t>12 ust.</w:t>
      </w:r>
      <w:r w:rsidR="004D5AD1" w:rsidRPr="004D5AD1">
        <w:rPr>
          <w:noProof/>
        </w:rPr>
        <w:t> </w:t>
      </w:r>
      <w:r w:rsidRPr="004D5AD1">
        <w:rPr>
          <w:noProof/>
        </w:rPr>
        <w:t>11, art.</w:t>
      </w:r>
      <w:r w:rsidR="004D5AD1" w:rsidRPr="004D5AD1">
        <w:rPr>
          <w:noProof/>
        </w:rPr>
        <w:t> </w:t>
      </w:r>
      <w:r w:rsidRPr="004D5AD1">
        <w:rPr>
          <w:noProof/>
        </w:rPr>
        <w:t>16 ust.</w:t>
      </w:r>
      <w:r w:rsidR="004D5AD1" w:rsidRPr="004D5AD1">
        <w:rPr>
          <w:noProof/>
        </w:rPr>
        <w:t> </w:t>
      </w:r>
      <w:r w:rsidRPr="004D5AD1">
        <w:rPr>
          <w:noProof/>
        </w:rPr>
        <w:t>3, art.</w:t>
      </w:r>
      <w:r w:rsidR="004D5AD1" w:rsidRPr="004D5AD1">
        <w:rPr>
          <w:noProof/>
        </w:rPr>
        <w:t> </w:t>
      </w:r>
      <w:r w:rsidRPr="004D5AD1">
        <w:rPr>
          <w:noProof/>
        </w:rPr>
        <w:t>18 ust.</w:t>
      </w:r>
      <w:r w:rsidR="004D5AD1" w:rsidRPr="004D5AD1">
        <w:rPr>
          <w:noProof/>
        </w:rPr>
        <w:t> </w:t>
      </w:r>
      <w:r w:rsidRPr="004D5AD1">
        <w:rPr>
          <w:noProof/>
        </w:rPr>
        <w:t>4, art.</w:t>
      </w:r>
      <w:r w:rsidR="004D5AD1" w:rsidRPr="004D5AD1">
        <w:rPr>
          <w:noProof/>
        </w:rPr>
        <w:t> </w:t>
      </w:r>
      <w:r w:rsidRPr="004D5AD1">
        <w:rPr>
          <w:noProof/>
        </w:rPr>
        <w:t>20 ust.</w:t>
      </w:r>
      <w:r w:rsidR="004D5AD1" w:rsidRPr="004D5AD1">
        <w:rPr>
          <w:noProof/>
        </w:rPr>
        <w:t> </w:t>
      </w:r>
      <w:r w:rsidRPr="004D5AD1">
        <w:rPr>
          <w:noProof/>
        </w:rPr>
        <w:t>7, art.</w:t>
      </w:r>
      <w:r w:rsidR="004D5AD1" w:rsidRPr="004D5AD1">
        <w:rPr>
          <w:noProof/>
        </w:rPr>
        <w:t> </w:t>
      </w:r>
      <w:r w:rsidRPr="004D5AD1">
        <w:rPr>
          <w:noProof/>
        </w:rPr>
        <w:t>23 ust.</w:t>
      </w:r>
      <w:r w:rsidR="004D5AD1" w:rsidRPr="004D5AD1">
        <w:rPr>
          <w:noProof/>
        </w:rPr>
        <w:t> </w:t>
      </w:r>
      <w:r w:rsidRPr="004D5AD1">
        <w:rPr>
          <w:noProof/>
        </w:rPr>
        <w:t>2</w:t>
      </w:r>
      <w:r w:rsidR="004D5AD1" w:rsidRPr="004D5AD1">
        <w:rPr>
          <w:noProof/>
        </w:rPr>
        <w:t xml:space="preserve"> i</w:t>
      </w:r>
      <w:r w:rsidR="004D5AD1">
        <w:rPr>
          <w:noProof/>
        </w:rPr>
        <w:t> </w:t>
      </w:r>
      <w:r w:rsidR="004D5AD1" w:rsidRPr="004D5AD1">
        <w:rPr>
          <w:noProof/>
        </w:rPr>
        <w:t>art</w:t>
      </w:r>
      <w:r w:rsidRPr="004D5AD1">
        <w:rPr>
          <w:noProof/>
        </w:rPr>
        <w:t>.</w:t>
      </w:r>
      <w:r w:rsidR="004D5AD1" w:rsidRPr="004D5AD1">
        <w:rPr>
          <w:noProof/>
        </w:rPr>
        <w:t> </w:t>
      </w:r>
      <w:r w:rsidRPr="004D5AD1">
        <w:rPr>
          <w:noProof/>
        </w:rPr>
        <w:t>25 ust.</w:t>
      </w:r>
      <w:r w:rsidR="004D5AD1" w:rsidRPr="004D5AD1">
        <w:rPr>
          <w:noProof/>
        </w:rPr>
        <w:t> </w:t>
      </w:r>
      <w:r w:rsidRPr="004D5AD1">
        <w:rPr>
          <w:noProof/>
        </w:rPr>
        <w:t xml:space="preserve">5. </w:t>
      </w:r>
    </w:p>
    <w:p w14:paraId="0165752D" w14:textId="303BD034" w:rsidR="0010636C" w:rsidRPr="004D5AD1" w:rsidRDefault="00FE5E6C" w:rsidP="002A5CEF">
      <w:pPr>
        <w:rPr>
          <w:noProof/>
        </w:rPr>
      </w:pPr>
      <w:r w:rsidRPr="004D5AD1">
        <w:rPr>
          <w:noProof/>
        </w:rPr>
        <w:t>2.</w:t>
      </w:r>
      <w:r w:rsidRPr="004D5AD1">
        <w:rPr>
          <w:noProof/>
        </w:rPr>
        <w:tab/>
        <w:t>Oprócz informacji,</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ust</w:t>
      </w:r>
      <w:r w:rsidRPr="004D5AD1">
        <w:rPr>
          <w:noProof/>
        </w:rPr>
        <w:t>.</w:t>
      </w:r>
      <w:r w:rsidR="004D5AD1" w:rsidRPr="004D5AD1">
        <w:rPr>
          <w:noProof/>
        </w:rPr>
        <w:t> </w:t>
      </w:r>
      <w:r w:rsidRPr="004D5AD1">
        <w:rPr>
          <w:noProof/>
        </w:rPr>
        <w:t>1, wspomniana baza danych zawiera następujące informacje:</w:t>
      </w:r>
    </w:p>
    <w:p w14:paraId="2C4CFB71" w14:textId="63FE67AF" w:rsidR="0010636C" w:rsidRPr="004D5AD1" w:rsidRDefault="0010636C" w:rsidP="0010636C">
      <w:pPr>
        <w:pStyle w:val="Text1"/>
        <w:rPr>
          <w:noProof/>
        </w:rPr>
      </w:pPr>
      <w:r w:rsidRPr="004D5AD1">
        <w:rPr>
          <w:noProof/>
        </w:rPr>
        <w:t>a)</w:t>
      </w:r>
      <w:r w:rsidRPr="004D5AD1">
        <w:rPr>
          <w:noProof/>
        </w:rPr>
        <w:tab/>
        <w:t>wykaz państw,</w:t>
      </w:r>
      <w:r w:rsidR="004D5AD1" w:rsidRPr="004D5AD1">
        <w:rPr>
          <w:noProof/>
        </w:rPr>
        <w:t xml:space="preserve"> w</w:t>
      </w:r>
      <w:r w:rsidR="004D5AD1">
        <w:rPr>
          <w:noProof/>
        </w:rPr>
        <w:t> </w:t>
      </w:r>
      <w:r w:rsidR="004D5AD1" w:rsidRPr="004D5AD1">
        <w:rPr>
          <w:noProof/>
        </w:rPr>
        <w:t>któ</w:t>
      </w:r>
      <w:r w:rsidRPr="004D5AD1">
        <w:rPr>
          <w:noProof/>
        </w:rPr>
        <w:t>rych produkowana jest energia pochodząca</w:t>
      </w:r>
      <w:r w:rsidR="004D5AD1" w:rsidRPr="004D5AD1">
        <w:rPr>
          <w:noProof/>
        </w:rPr>
        <w:t xml:space="preserve"> z</w:t>
      </w:r>
      <w:r w:rsidR="004D5AD1">
        <w:rPr>
          <w:noProof/>
        </w:rPr>
        <w:t> </w:t>
      </w:r>
      <w:r w:rsidR="004D5AD1" w:rsidRPr="004D5AD1">
        <w:rPr>
          <w:noProof/>
        </w:rPr>
        <w:t>pal</w:t>
      </w:r>
      <w:r w:rsidRPr="004D5AD1">
        <w:rPr>
          <w:noProof/>
        </w:rPr>
        <w:t>iw kopalnych eksportowana do Unii;</w:t>
      </w:r>
    </w:p>
    <w:p w14:paraId="2056EB75" w14:textId="79140D31" w:rsidR="0010636C" w:rsidRPr="004D5AD1" w:rsidRDefault="0010636C" w:rsidP="0010636C">
      <w:pPr>
        <w:pStyle w:val="Text1"/>
        <w:rPr>
          <w:noProof/>
        </w:rPr>
      </w:pPr>
      <w:r w:rsidRPr="004D5AD1">
        <w:rPr>
          <w:noProof/>
        </w:rPr>
        <w:t>b)</w:t>
      </w:r>
      <w:r w:rsidRPr="004D5AD1">
        <w:rPr>
          <w:noProof/>
        </w:rPr>
        <w:tab/>
        <w:t>w odniesieniu do każdego państwa,</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lit</w:t>
      </w:r>
      <w:r w:rsidRPr="004D5AD1">
        <w:rPr>
          <w:noProof/>
        </w:rPr>
        <w:t>.</w:t>
      </w:r>
      <w:r w:rsidR="004D5AD1" w:rsidRPr="004D5AD1">
        <w:rPr>
          <w:noProof/>
        </w:rPr>
        <w:t> </w:t>
      </w:r>
      <w:r w:rsidRPr="004D5AD1">
        <w:rPr>
          <w:noProof/>
        </w:rPr>
        <w:t xml:space="preserve">a), informacje dotyczące następujących kwestii: </w:t>
      </w:r>
    </w:p>
    <w:p w14:paraId="41939878" w14:textId="05A13C85" w:rsidR="0010636C" w:rsidRPr="004D5AD1" w:rsidRDefault="0010636C" w:rsidP="0010636C">
      <w:pPr>
        <w:pStyle w:val="Text2"/>
        <w:rPr>
          <w:noProof/>
        </w:rPr>
      </w:pPr>
      <w:r w:rsidRPr="004D5AD1">
        <w:rPr>
          <w:noProof/>
        </w:rPr>
        <w:t>(i) czy państwo wdrożyło obowiązkowe środki regulacyjne dotyczące emisji metanu związanych</w:t>
      </w:r>
      <w:r w:rsidR="004D5AD1" w:rsidRPr="004D5AD1">
        <w:rPr>
          <w:noProof/>
        </w:rPr>
        <w:t xml:space="preserve"> z</w:t>
      </w:r>
      <w:r w:rsidR="004D5AD1">
        <w:rPr>
          <w:noProof/>
        </w:rPr>
        <w:t> </w:t>
      </w:r>
      <w:r w:rsidR="004D5AD1" w:rsidRPr="004D5AD1">
        <w:rPr>
          <w:noProof/>
        </w:rPr>
        <w:t>ene</w:t>
      </w:r>
      <w:r w:rsidRPr="004D5AD1">
        <w:rPr>
          <w:noProof/>
        </w:rPr>
        <w:t>rgią, obejmujące elementy określone</w:t>
      </w:r>
      <w:r w:rsidR="004D5AD1" w:rsidRPr="004D5AD1">
        <w:rPr>
          <w:noProof/>
        </w:rPr>
        <w:t xml:space="preserve"> w</w:t>
      </w:r>
      <w:r w:rsidR="004D5AD1">
        <w:rPr>
          <w:noProof/>
        </w:rPr>
        <w:t> </w:t>
      </w:r>
      <w:r w:rsidR="004D5AD1" w:rsidRPr="004D5AD1">
        <w:rPr>
          <w:noProof/>
        </w:rPr>
        <w:t>nin</w:t>
      </w:r>
      <w:r w:rsidRPr="004D5AD1">
        <w:rPr>
          <w:noProof/>
        </w:rPr>
        <w:t>iejszym rozporządzeniu dotyczące pomiaru, raportowania</w:t>
      </w:r>
      <w:r w:rsidR="004D5AD1" w:rsidRPr="004D5AD1">
        <w:rPr>
          <w:noProof/>
        </w:rPr>
        <w:t xml:space="preserve"> i</w:t>
      </w:r>
      <w:r w:rsidR="004D5AD1">
        <w:rPr>
          <w:noProof/>
        </w:rPr>
        <w:t> </w:t>
      </w:r>
      <w:r w:rsidR="004D5AD1" w:rsidRPr="004D5AD1">
        <w:rPr>
          <w:noProof/>
        </w:rPr>
        <w:t>wer</w:t>
      </w:r>
      <w:r w:rsidRPr="004D5AD1">
        <w:rPr>
          <w:noProof/>
        </w:rPr>
        <w:t>yfikacji oraz ograniczania emisji metanu związanych</w:t>
      </w:r>
      <w:r w:rsidR="004D5AD1" w:rsidRPr="004D5AD1">
        <w:rPr>
          <w:noProof/>
        </w:rPr>
        <w:t xml:space="preserve"> z</w:t>
      </w:r>
      <w:r w:rsidR="004D5AD1">
        <w:rPr>
          <w:noProof/>
        </w:rPr>
        <w:t> </w:t>
      </w:r>
      <w:r w:rsidR="004D5AD1" w:rsidRPr="004D5AD1">
        <w:rPr>
          <w:noProof/>
        </w:rPr>
        <w:t>ene</w:t>
      </w:r>
      <w:r w:rsidRPr="004D5AD1">
        <w:rPr>
          <w:noProof/>
        </w:rPr>
        <w:t>rgią;</w:t>
      </w:r>
    </w:p>
    <w:p w14:paraId="564D1530" w14:textId="45293964" w:rsidR="0010636C" w:rsidRPr="004D5AD1" w:rsidRDefault="0010636C" w:rsidP="0010636C">
      <w:pPr>
        <w:pStyle w:val="Text2"/>
        <w:rPr>
          <w:noProof/>
        </w:rPr>
      </w:pPr>
      <w:r w:rsidRPr="004D5AD1">
        <w:rPr>
          <w:noProof/>
        </w:rPr>
        <w:t>(ii) czy państwo podpisało porozumienie klimatyczne</w:t>
      </w:r>
      <w:r w:rsidR="004D5AD1" w:rsidRPr="004D5AD1">
        <w:rPr>
          <w:noProof/>
        </w:rPr>
        <w:t xml:space="preserve"> z</w:t>
      </w:r>
      <w:r w:rsidR="004D5AD1">
        <w:rPr>
          <w:noProof/>
        </w:rPr>
        <w:t> </w:t>
      </w:r>
      <w:r w:rsidR="004D5AD1" w:rsidRPr="004D5AD1">
        <w:rPr>
          <w:noProof/>
        </w:rPr>
        <w:t>Par</w:t>
      </w:r>
      <w:r w:rsidRPr="004D5AD1">
        <w:rPr>
          <w:noProof/>
        </w:rPr>
        <w:t>yża;</w:t>
      </w:r>
    </w:p>
    <w:p w14:paraId="6632AFA5" w14:textId="78073D2B" w:rsidR="0010636C" w:rsidRPr="004D5AD1" w:rsidRDefault="0010636C" w:rsidP="0010636C">
      <w:pPr>
        <w:pStyle w:val="Text2"/>
        <w:rPr>
          <w:noProof/>
        </w:rPr>
      </w:pPr>
      <w:r w:rsidRPr="004D5AD1">
        <w:rPr>
          <w:noProof/>
        </w:rPr>
        <w:t>(iii)</w:t>
      </w:r>
      <w:r w:rsidR="004D5AD1" w:rsidRPr="004D5AD1">
        <w:rPr>
          <w:noProof/>
        </w:rPr>
        <w:t xml:space="preserve"> w</w:t>
      </w:r>
      <w:r w:rsidR="004D5AD1">
        <w:rPr>
          <w:noProof/>
        </w:rPr>
        <w:t> </w:t>
      </w:r>
      <w:r w:rsidR="004D5AD1" w:rsidRPr="004D5AD1">
        <w:rPr>
          <w:noProof/>
        </w:rPr>
        <w:t>sto</w:t>
      </w:r>
      <w:r w:rsidRPr="004D5AD1">
        <w:rPr>
          <w:noProof/>
        </w:rPr>
        <w:t>sownych przypadkach, czy państwo dostarcza krajowe wykazy zgodnie</w:t>
      </w:r>
      <w:r w:rsidR="004D5AD1" w:rsidRPr="004D5AD1">
        <w:rPr>
          <w:noProof/>
        </w:rPr>
        <w:t xml:space="preserve"> z</w:t>
      </w:r>
      <w:r w:rsidR="004D5AD1">
        <w:rPr>
          <w:noProof/>
        </w:rPr>
        <w:t> </w:t>
      </w:r>
      <w:r w:rsidR="004D5AD1" w:rsidRPr="004D5AD1">
        <w:rPr>
          <w:noProof/>
        </w:rPr>
        <w:t>wym</w:t>
      </w:r>
      <w:r w:rsidRPr="004D5AD1">
        <w:rPr>
          <w:noProof/>
        </w:rPr>
        <w:t>ogami określonymi</w:t>
      </w:r>
      <w:r w:rsidR="004D5AD1" w:rsidRPr="004D5AD1">
        <w:rPr>
          <w:noProof/>
        </w:rPr>
        <w:t xml:space="preserve"> w</w:t>
      </w:r>
      <w:r w:rsidR="004D5AD1">
        <w:rPr>
          <w:noProof/>
        </w:rPr>
        <w:t> </w:t>
      </w:r>
      <w:r w:rsidR="004D5AD1" w:rsidRPr="004D5AD1">
        <w:rPr>
          <w:noProof/>
        </w:rPr>
        <w:t>Ram</w:t>
      </w:r>
      <w:r w:rsidRPr="004D5AD1">
        <w:rPr>
          <w:noProof/>
        </w:rPr>
        <w:t>owej konwencji Narodów Zjednoczonych</w:t>
      </w:r>
      <w:r w:rsidR="004D5AD1" w:rsidRPr="004D5AD1">
        <w:rPr>
          <w:noProof/>
        </w:rPr>
        <w:t xml:space="preserve"> w</w:t>
      </w:r>
      <w:r w:rsidR="004D5AD1">
        <w:rPr>
          <w:noProof/>
        </w:rPr>
        <w:t> </w:t>
      </w:r>
      <w:r w:rsidR="004D5AD1" w:rsidRPr="004D5AD1">
        <w:rPr>
          <w:noProof/>
        </w:rPr>
        <w:t>spr</w:t>
      </w:r>
      <w:r w:rsidRPr="004D5AD1">
        <w:rPr>
          <w:noProof/>
        </w:rPr>
        <w:t>awie zmian klimatu;</w:t>
      </w:r>
    </w:p>
    <w:p w14:paraId="41894BA5" w14:textId="3A56F00F" w:rsidR="0010636C" w:rsidRPr="004D5AD1" w:rsidRDefault="0010636C" w:rsidP="0010636C">
      <w:pPr>
        <w:pStyle w:val="Text2"/>
        <w:rPr>
          <w:noProof/>
        </w:rPr>
      </w:pPr>
      <w:r w:rsidRPr="004D5AD1">
        <w:rPr>
          <w:noProof/>
        </w:rPr>
        <w:t>(iv) czy krajowe wykazy przedłożone na podstawie Ramowej konwencji Narodów Zjednoczonych</w:t>
      </w:r>
      <w:r w:rsidR="004D5AD1" w:rsidRPr="004D5AD1">
        <w:rPr>
          <w:noProof/>
        </w:rPr>
        <w:t xml:space="preserve"> w</w:t>
      </w:r>
      <w:r w:rsidR="004D5AD1">
        <w:rPr>
          <w:noProof/>
        </w:rPr>
        <w:t> </w:t>
      </w:r>
      <w:r w:rsidR="004D5AD1" w:rsidRPr="004D5AD1">
        <w:rPr>
          <w:noProof/>
        </w:rPr>
        <w:t>spr</w:t>
      </w:r>
      <w:r w:rsidRPr="004D5AD1">
        <w:rPr>
          <w:noProof/>
        </w:rPr>
        <w:t>awie zmian klimatu obejmują,</w:t>
      </w:r>
      <w:r w:rsidR="004D5AD1" w:rsidRPr="004D5AD1">
        <w:rPr>
          <w:noProof/>
        </w:rPr>
        <w:t xml:space="preserve"> w</w:t>
      </w:r>
      <w:r w:rsidR="004D5AD1">
        <w:rPr>
          <w:noProof/>
        </w:rPr>
        <w:t> </w:t>
      </w:r>
      <w:r w:rsidR="004D5AD1" w:rsidRPr="004D5AD1">
        <w:rPr>
          <w:noProof/>
        </w:rPr>
        <w:t>sto</w:t>
      </w:r>
      <w:r w:rsidRPr="004D5AD1">
        <w:rPr>
          <w:noProof/>
        </w:rPr>
        <w:t>sownych przypadkach, raportowanie poziomu 3</w:t>
      </w:r>
      <w:r w:rsidR="004D5AD1" w:rsidRPr="004D5AD1">
        <w:rPr>
          <w:noProof/>
        </w:rPr>
        <w:t xml:space="preserve"> w</w:t>
      </w:r>
      <w:r w:rsidR="004D5AD1">
        <w:rPr>
          <w:noProof/>
        </w:rPr>
        <w:t> </w:t>
      </w:r>
      <w:r w:rsidR="004D5AD1" w:rsidRPr="004D5AD1">
        <w:rPr>
          <w:noProof/>
        </w:rPr>
        <w:t>zak</w:t>
      </w:r>
      <w:r w:rsidRPr="004D5AD1">
        <w:rPr>
          <w:noProof/>
        </w:rPr>
        <w:t>resie emisji metanu związanych</w:t>
      </w:r>
      <w:r w:rsidR="004D5AD1" w:rsidRPr="004D5AD1">
        <w:rPr>
          <w:noProof/>
        </w:rPr>
        <w:t xml:space="preserve"> z</w:t>
      </w:r>
      <w:r w:rsidR="004D5AD1">
        <w:rPr>
          <w:noProof/>
        </w:rPr>
        <w:t> </w:t>
      </w:r>
      <w:r w:rsidR="004D5AD1" w:rsidRPr="004D5AD1">
        <w:rPr>
          <w:noProof/>
        </w:rPr>
        <w:t>ene</w:t>
      </w:r>
      <w:r w:rsidRPr="004D5AD1">
        <w:rPr>
          <w:noProof/>
        </w:rPr>
        <w:t>rgią;</w:t>
      </w:r>
    </w:p>
    <w:p w14:paraId="39AD103A" w14:textId="3D5D8376" w:rsidR="00D94137" w:rsidRPr="004D5AD1" w:rsidRDefault="0010636C" w:rsidP="00FE5E6C">
      <w:pPr>
        <w:pStyle w:val="Text2"/>
        <w:rPr>
          <w:noProof/>
        </w:rPr>
      </w:pPr>
      <w:r w:rsidRPr="004D5AD1">
        <w:rPr>
          <w:noProof/>
        </w:rPr>
        <w:t>(v) ilość emisji metanu związanych</w:t>
      </w:r>
      <w:r w:rsidR="004D5AD1" w:rsidRPr="004D5AD1">
        <w:rPr>
          <w:noProof/>
        </w:rPr>
        <w:t xml:space="preserve"> z</w:t>
      </w:r>
      <w:r w:rsidR="004D5AD1">
        <w:rPr>
          <w:noProof/>
        </w:rPr>
        <w:t> </w:t>
      </w:r>
      <w:r w:rsidR="004D5AD1" w:rsidRPr="004D5AD1">
        <w:rPr>
          <w:noProof/>
        </w:rPr>
        <w:t>ene</w:t>
      </w:r>
      <w:r w:rsidRPr="004D5AD1">
        <w:rPr>
          <w:noProof/>
        </w:rPr>
        <w:t>rgią zgodnie</w:t>
      </w:r>
      <w:r w:rsidR="004D5AD1" w:rsidRPr="004D5AD1">
        <w:rPr>
          <w:noProof/>
        </w:rPr>
        <w:t xml:space="preserve"> z</w:t>
      </w:r>
      <w:r w:rsidR="004D5AD1">
        <w:rPr>
          <w:noProof/>
        </w:rPr>
        <w:t> </w:t>
      </w:r>
      <w:r w:rsidR="004D5AD1" w:rsidRPr="004D5AD1">
        <w:rPr>
          <w:noProof/>
        </w:rPr>
        <w:t>kra</w:t>
      </w:r>
      <w:r w:rsidRPr="004D5AD1">
        <w:rPr>
          <w:noProof/>
        </w:rPr>
        <w:t>jowymi wykazami przedłożonymi,</w:t>
      </w:r>
      <w:r w:rsidR="004D5AD1" w:rsidRPr="004D5AD1">
        <w:rPr>
          <w:noProof/>
        </w:rPr>
        <w:t xml:space="preserve"> w</w:t>
      </w:r>
      <w:r w:rsidR="004D5AD1">
        <w:rPr>
          <w:noProof/>
        </w:rPr>
        <w:t> </w:t>
      </w:r>
      <w:r w:rsidR="004D5AD1" w:rsidRPr="004D5AD1">
        <w:rPr>
          <w:noProof/>
        </w:rPr>
        <w:t>sto</w:t>
      </w:r>
      <w:r w:rsidRPr="004D5AD1">
        <w:rPr>
          <w:noProof/>
        </w:rPr>
        <w:t>sownych przypadkach, na podstawie Ramowej konwencji Narodów Zjednoczonych</w:t>
      </w:r>
      <w:r w:rsidR="004D5AD1" w:rsidRPr="004D5AD1">
        <w:rPr>
          <w:noProof/>
        </w:rPr>
        <w:t xml:space="preserve"> w</w:t>
      </w:r>
      <w:r w:rsidR="004D5AD1">
        <w:rPr>
          <w:noProof/>
        </w:rPr>
        <w:t> </w:t>
      </w:r>
      <w:r w:rsidR="004D5AD1" w:rsidRPr="004D5AD1">
        <w:rPr>
          <w:noProof/>
        </w:rPr>
        <w:t>spr</w:t>
      </w:r>
      <w:r w:rsidRPr="004D5AD1">
        <w:rPr>
          <w:noProof/>
        </w:rPr>
        <w:t>awie zmian klimatu oraz to, czy dane zostały poddane niezależnej weryfikacji;</w:t>
      </w:r>
    </w:p>
    <w:p w14:paraId="459306FE" w14:textId="3567B77C" w:rsidR="00E34AB0" w:rsidRPr="004D5AD1" w:rsidRDefault="00E34AB0" w:rsidP="00E34AB0">
      <w:pPr>
        <w:pStyle w:val="Text2"/>
        <w:rPr>
          <w:noProof/>
        </w:rPr>
      </w:pPr>
      <w:r w:rsidRPr="004D5AD1">
        <w:rPr>
          <w:noProof/>
        </w:rPr>
        <w:t>(vi) wykaz przedsiębiorstw eksportujących do Unii energię pochodzącą</w:t>
      </w:r>
      <w:r w:rsidR="004D5AD1" w:rsidRPr="004D5AD1">
        <w:rPr>
          <w:noProof/>
        </w:rPr>
        <w:t xml:space="preserve"> z</w:t>
      </w:r>
      <w:r w:rsidR="004D5AD1">
        <w:rPr>
          <w:noProof/>
        </w:rPr>
        <w:t> </w:t>
      </w:r>
      <w:r w:rsidR="004D5AD1" w:rsidRPr="004D5AD1">
        <w:rPr>
          <w:noProof/>
        </w:rPr>
        <w:t>pal</w:t>
      </w:r>
      <w:r w:rsidRPr="004D5AD1">
        <w:rPr>
          <w:noProof/>
        </w:rPr>
        <w:t>iw kopalnych;</w:t>
      </w:r>
    </w:p>
    <w:p w14:paraId="741387DB" w14:textId="5B113665" w:rsidR="00E34AB0" w:rsidRPr="004D5AD1" w:rsidRDefault="00E34AB0" w:rsidP="00E34AB0">
      <w:pPr>
        <w:pStyle w:val="Text2"/>
        <w:rPr>
          <w:noProof/>
        </w:rPr>
      </w:pPr>
      <w:r w:rsidRPr="004D5AD1">
        <w:rPr>
          <w:noProof/>
        </w:rPr>
        <w:t>(vii) wykaz importerów energii pochodzącej</w:t>
      </w:r>
      <w:r w:rsidR="004D5AD1" w:rsidRPr="004D5AD1">
        <w:rPr>
          <w:noProof/>
        </w:rPr>
        <w:t xml:space="preserve"> z</w:t>
      </w:r>
      <w:r w:rsidR="004D5AD1">
        <w:rPr>
          <w:noProof/>
        </w:rPr>
        <w:t> </w:t>
      </w:r>
      <w:r w:rsidR="004D5AD1" w:rsidRPr="004D5AD1">
        <w:rPr>
          <w:noProof/>
        </w:rPr>
        <w:t>pal</w:t>
      </w:r>
      <w:r w:rsidRPr="004D5AD1">
        <w:rPr>
          <w:noProof/>
        </w:rPr>
        <w:t>iw kopalnych do Unii.</w:t>
      </w:r>
    </w:p>
    <w:p w14:paraId="71A96144" w14:textId="675660D3" w:rsidR="0010636C" w:rsidRPr="004D5AD1" w:rsidRDefault="0010636C" w:rsidP="0010636C">
      <w:pPr>
        <w:rPr>
          <w:noProof/>
        </w:rPr>
      </w:pPr>
      <w:r w:rsidRPr="004D5AD1">
        <w:rPr>
          <w:noProof/>
        </w:rPr>
        <w:t>2.</w:t>
      </w:r>
      <w:r w:rsidRPr="004D5AD1">
        <w:rPr>
          <w:noProof/>
        </w:rPr>
        <w:tab/>
        <w:t>Baza danych zapewniających przejrzystość musi być dostępna publicznie</w:t>
      </w:r>
      <w:r w:rsidR="004D5AD1" w:rsidRPr="004D5AD1">
        <w:rPr>
          <w:noProof/>
        </w:rPr>
        <w:t xml:space="preserve"> w</w:t>
      </w:r>
      <w:r w:rsidR="004D5AD1">
        <w:rPr>
          <w:noProof/>
        </w:rPr>
        <w:t> </w:t>
      </w:r>
      <w:r w:rsidR="004D5AD1" w:rsidRPr="004D5AD1">
        <w:rPr>
          <w:noProof/>
        </w:rPr>
        <w:t>int</w:t>
      </w:r>
      <w:r w:rsidRPr="004D5AD1">
        <w:rPr>
          <w:noProof/>
        </w:rPr>
        <w:t>ernecie, bezpłatnie</w:t>
      </w:r>
      <w:r w:rsidR="004D5AD1" w:rsidRPr="004D5AD1">
        <w:rPr>
          <w:noProof/>
        </w:rPr>
        <w:t xml:space="preserve"> i</w:t>
      </w:r>
      <w:r w:rsidR="004D5AD1">
        <w:rPr>
          <w:noProof/>
        </w:rPr>
        <w:t> </w:t>
      </w:r>
      <w:r w:rsidR="004D5AD1" w:rsidRPr="004D5AD1">
        <w:rPr>
          <w:noProof/>
        </w:rPr>
        <w:t>prz</w:t>
      </w:r>
      <w:r w:rsidRPr="004D5AD1">
        <w:rPr>
          <w:noProof/>
        </w:rPr>
        <w:t>ynajmniej</w:t>
      </w:r>
      <w:r w:rsidR="004D5AD1" w:rsidRPr="004D5AD1">
        <w:rPr>
          <w:noProof/>
        </w:rPr>
        <w:t xml:space="preserve"> w</w:t>
      </w:r>
      <w:r w:rsidR="004D5AD1">
        <w:rPr>
          <w:noProof/>
        </w:rPr>
        <w:t> </w:t>
      </w:r>
      <w:r w:rsidR="004D5AD1" w:rsidRPr="004D5AD1">
        <w:rPr>
          <w:noProof/>
        </w:rPr>
        <w:t>jęz</w:t>
      </w:r>
      <w:r w:rsidRPr="004D5AD1">
        <w:rPr>
          <w:noProof/>
        </w:rPr>
        <w:t xml:space="preserve">yku angielskim. </w:t>
      </w:r>
    </w:p>
    <w:p w14:paraId="0A485235" w14:textId="0990A436" w:rsidR="00231670" w:rsidRPr="004D5AD1" w:rsidRDefault="00231670" w:rsidP="00231670">
      <w:pPr>
        <w:rPr>
          <w:noProof/>
        </w:rPr>
      </w:pPr>
      <w:r w:rsidRPr="004D5AD1">
        <w:rPr>
          <w:noProof/>
        </w:rPr>
        <w:t>3.</w:t>
      </w:r>
      <w:r w:rsidRPr="004D5AD1">
        <w:rPr>
          <w:noProof/>
        </w:rPr>
        <w:tab/>
        <w:t>Niniejszy artykuł stosuje się bez uszczerbku dla przepisów dyrektywy (UE) 2016/943.</w:t>
      </w:r>
    </w:p>
    <w:p w14:paraId="0CF858F4" w14:textId="77777777" w:rsidR="00AA7224" w:rsidRPr="004D5AD1" w:rsidRDefault="00AA7224" w:rsidP="00231670">
      <w:pPr>
        <w:rPr>
          <w:noProof/>
        </w:rPr>
      </w:pPr>
    </w:p>
    <w:p w14:paraId="59A66097" w14:textId="7489E2D0" w:rsidR="0010636C" w:rsidRPr="004D5AD1" w:rsidRDefault="0010636C" w:rsidP="0010636C">
      <w:pPr>
        <w:pStyle w:val="Titrearticle"/>
        <w:rPr>
          <w:noProof/>
        </w:rPr>
      </w:pPr>
      <w:r w:rsidRPr="004D5AD1">
        <w:rPr>
          <w:noProof/>
        </w:rPr>
        <w:t>Artykuł 29</w:t>
      </w:r>
    </w:p>
    <w:p w14:paraId="5ED466C2" w14:textId="7F2778CF" w:rsidR="0010636C" w:rsidRPr="004D5AD1" w:rsidRDefault="002A3FC7" w:rsidP="0010636C">
      <w:pPr>
        <w:pStyle w:val="NormalCentered"/>
        <w:rPr>
          <w:b/>
          <w:noProof/>
        </w:rPr>
      </w:pPr>
      <w:r w:rsidRPr="004D5AD1">
        <w:rPr>
          <w:b/>
          <w:noProof/>
        </w:rPr>
        <w:t>Globalne narzędzie monitorowania emitentów metanu</w:t>
      </w:r>
    </w:p>
    <w:p w14:paraId="1576FB84" w14:textId="66243726" w:rsidR="0010636C" w:rsidRPr="004D5AD1" w:rsidRDefault="001A2AEB" w:rsidP="0010636C">
      <w:pPr>
        <w:rPr>
          <w:noProof/>
        </w:rPr>
      </w:pPr>
      <w:r w:rsidRPr="004D5AD1">
        <w:rPr>
          <w:noProof/>
        </w:rPr>
        <w:t>1.</w:t>
      </w:r>
      <w:r w:rsidRPr="004D5AD1">
        <w:rPr>
          <w:noProof/>
        </w:rPr>
        <w:tab/>
        <w:t>Do dnia [</w:t>
      </w:r>
      <w:r w:rsidRPr="004D5AD1">
        <w:rPr>
          <w:i/>
          <w:noProof/>
        </w:rPr>
        <w:t>dwa lata od daty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r. Komisja ustanawia globalne narzędzie monitorowania metanu na podstawie danych satelitarnych</w:t>
      </w:r>
      <w:r w:rsidR="004D5AD1" w:rsidRPr="004D5AD1">
        <w:rPr>
          <w:noProof/>
        </w:rPr>
        <w:t xml:space="preserve"> i</w:t>
      </w:r>
      <w:r w:rsidR="004D5AD1">
        <w:rPr>
          <w:noProof/>
        </w:rPr>
        <w:t> </w:t>
      </w:r>
      <w:r w:rsidR="004D5AD1" w:rsidRPr="004D5AD1">
        <w:rPr>
          <w:noProof/>
        </w:rPr>
        <w:t>wkł</w:t>
      </w:r>
      <w:r w:rsidRPr="004D5AD1">
        <w:rPr>
          <w:noProof/>
        </w:rPr>
        <w:t>adu ze strony kilku certyfikowanych dostawców danych</w:t>
      </w:r>
      <w:r w:rsidR="004D5AD1" w:rsidRPr="004D5AD1">
        <w:rPr>
          <w:noProof/>
        </w:rPr>
        <w:t xml:space="preserve"> i</w:t>
      </w:r>
      <w:r w:rsidR="004D5AD1">
        <w:rPr>
          <w:noProof/>
        </w:rPr>
        <w:t> </w:t>
      </w:r>
      <w:r w:rsidR="004D5AD1" w:rsidRPr="004D5AD1">
        <w:rPr>
          <w:noProof/>
        </w:rPr>
        <w:t>usł</w:t>
      </w:r>
      <w:r w:rsidRPr="004D5AD1">
        <w:rPr>
          <w:noProof/>
        </w:rPr>
        <w:t>ug,</w:t>
      </w:r>
      <w:r w:rsidR="004D5AD1" w:rsidRPr="004D5AD1">
        <w:rPr>
          <w:noProof/>
        </w:rPr>
        <w:t xml:space="preserve"> w</w:t>
      </w:r>
      <w:r w:rsidR="004D5AD1">
        <w:rPr>
          <w:noProof/>
        </w:rPr>
        <w:t> </w:t>
      </w:r>
      <w:r w:rsidR="004D5AD1" w:rsidRPr="004D5AD1">
        <w:rPr>
          <w:noProof/>
        </w:rPr>
        <w:t>tym</w:t>
      </w:r>
      <w:r w:rsidRPr="004D5AD1">
        <w:rPr>
          <w:noProof/>
        </w:rPr>
        <w:t xml:space="preserve"> komponentu Copernicus unijnego programu kosmicznego. </w:t>
      </w:r>
    </w:p>
    <w:p w14:paraId="109BC508" w14:textId="38E87425" w:rsidR="0010636C" w:rsidRPr="004D5AD1" w:rsidRDefault="0010636C" w:rsidP="0010636C">
      <w:pPr>
        <w:rPr>
          <w:noProof/>
        </w:rPr>
      </w:pPr>
      <w:r w:rsidRPr="004D5AD1">
        <w:rPr>
          <w:noProof/>
        </w:rPr>
        <w:t>Narzędzie to udostępnia się społeczeństwu</w:t>
      </w:r>
      <w:r w:rsidR="004D5AD1" w:rsidRPr="004D5AD1">
        <w:rPr>
          <w:noProof/>
        </w:rPr>
        <w:t xml:space="preserve"> i</w:t>
      </w:r>
      <w:r w:rsidR="004D5AD1">
        <w:rPr>
          <w:noProof/>
        </w:rPr>
        <w:t> </w:t>
      </w:r>
      <w:r w:rsidR="004D5AD1" w:rsidRPr="004D5AD1">
        <w:rPr>
          <w:noProof/>
        </w:rPr>
        <w:t>zap</w:t>
      </w:r>
      <w:r w:rsidRPr="004D5AD1">
        <w:rPr>
          <w:noProof/>
        </w:rPr>
        <w:t>ewnia regularne aktualizacje przynajmniej</w:t>
      </w:r>
      <w:r w:rsidR="004D5AD1" w:rsidRPr="004D5AD1">
        <w:rPr>
          <w:noProof/>
        </w:rPr>
        <w:t xml:space="preserve"> w</w:t>
      </w:r>
      <w:r w:rsidR="004D5AD1">
        <w:rPr>
          <w:noProof/>
        </w:rPr>
        <w:t> </w:t>
      </w:r>
      <w:r w:rsidR="004D5AD1" w:rsidRPr="004D5AD1">
        <w:rPr>
          <w:noProof/>
        </w:rPr>
        <w:t>odn</w:t>
      </w:r>
      <w:r w:rsidRPr="004D5AD1">
        <w:rPr>
          <w:noProof/>
        </w:rPr>
        <w:t>iesieniu do wielkości, ponownego wystąpienia</w:t>
      </w:r>
      <w:r w:rsidR="004D5AD1" w:rsidRPr="004D5AD1">
        <w:rPr>
          <w:noProof/>
        </w:rPr>
        <w:t xml:space="preserve"> i</w:t>
      </w:r>
      <w:r w:rsidR="004D5AD1">
        <w:rPr>
          <w:noProof/>
        </w:rPr>
        <w:t> </w:t>
      </w:r>
      <w:r w:rsidR="004D5AD1" w:rsidRPr="004D5AD1">
        <w:rPr>
          <w:noProof/>
        </w:rPr>
        <w:t>lok</w:t>
      </w:r>
      <w:r w:rsidRPr="004D5AD1">
        <w:rPr>
          <w:noProof/>
        </w:rPr>
        <w:t>alizacji źródeł energii emitujących duże ilości metanu.</w:t>
      </w:r>
    </w:p>
    <w:p w14:paraId="42E281B9" w14:textId="4B66179F" w:rsidR="00231670" w:rsidRPr="004D5AD1" w:rsidRDefault="001A2AEB" w:rsidP="0010636C">
      <w:pPr>
        <w:rPr>
          <w:noProof/>
        </w:rPr>
      </w:pPr>
      <w:r w:rsidRPr="004D5AD1">
        <w:rPr>
          <w:noProof/>
        </w:rPr>
        <w:t>2.</w:t>
      </w:r>
      <w:r w:rsidRPr="004D5AD1">
        <w:rPr>
          <w:noProof/>
        </w:rPr>
        <w:tab/>
        <w:t>Narzędzie to stanowi podstawę dwustronnych dialogów prowadzonych przez Komisję</w:t>
      </w:r>
      <w:r w:rsidR="004D5AD1" w:rsidRPr="004D5AD1">
        <w:rPr>
          <w:noProof/>
        </w:rPr>
        <w:t xml:space="preserve"> w</w:t>
      </w:r>
      <w:r w:rsidR="004D5AD1">
        <w:rPr>
          <w:noProof/>
        </w:rPr>
        <w:t> </w:t>
      </w:r>
      <w:r w:rsidR="004D5AD1" w:rsidRPr="004D5AD1">
        <w:rPr>
          <w:noProof/>
        </w:rPr>
        <w:t>spr</w:t>
      </w:r>
      <w:r w:rsidRPr="004D5AD1">
        <w:rPr>
          <w:noProof/>
        </w:rPr>
        <w:t>awie polityki</w:t>
      </w:r>
      <w:r w:rsidR="004D5AD1" w:rsidRPr="004D5AD1">
        <w:rPr>
          <w:noProof/>
        </w:rPr>
        <w:t xml:space="preserve"> i</w:t>
      </w:r>
      <w:r w:rsidR="004D5AD1">
        <w:rPr>
          <w:noProof/>
        </w:rPr>
        <w:t> </w:t>
      </w:r>
      <w:r w:rsidR="004D5AD1" w:rsidRPr="004D5AD1">
        <w:rPr>
          <w:noProof/>
        </w:rPr>
        <w:t>śro</w:t>
      </w:r>
      <w:r w:rsidRPr="004D5AD1">
        <w:rPr>
          <w:noProof/>
        </w:rPr>
        <w:t>dków</w:t>
      </w:r>
      <w:r w:rsidR="004D5AD1" w:rsidRPr="004D5AD1">
        <w:rPr>
          <w:noProof/>
        </w:rPr>
        <w:t xml:space="preserve"> w</w:t>
      </w:r>
      <w:r w:rsidR="004D5AD1">
        <w:rPr>
          <w:noProof/>
        </w:rPr>
        <w:t> </w:t>
      </w:r>
      <w:r w:rsidR="004D5AD1" w:rsidRPr="004D5AD1">
        <w:rPr>
          <w:noProof/>
        </w:rPr>
        <w:t>zak</w:t>
      </w:r>
      <w:r w:rsidRPr="004D5AD1">
        <w:rPr>
          <w:noProof/>
        </w:rPr>
        <w:t>resie emisji metanu</w:t>
      </w:r>
      <w:r w:rsidR="004D5AD1" w:rsidRPr="004D5AD1">
        <w:rPr>
          <w:noProof/>
        </w:rPr>
        <w:t>. W</w:t>
      </w:r>
      <w:r w:rsidR="004D5AD1">
        <w:rPr>
          <w:noProof/>
        </w:rPr>
        <w:t> </w:t>
      </w:r>
      <w:r w:rsidR="004D5AD1" w:rsidRPr="004D5AD1">
        <w:rPr>
          <w:noProof/>
        </w:rPr>
        <w:t>prz</w:t>
      </w:r>
      <w:r w:rsidRPr="004D5AD1">
        <w:rPr>
          <w:noProof/>
        </w:rPr>
        <w:t>ypadku gdy narzędzie zidentyfikuje nowe poważne źródło emisji, Komisja ostrzega odpowiednie państwo</w:t>
      </w:r>
      <w:r w:rsidR="004D5AD1" w:rsidRPr="004D5AD1">
        <w:rPr>
          <w:noProof/>
        </w:rPr>
        <w:t xml:space="preserve"> w</w:t>
      </w:r>
      <w:r w:rsidR="004D5AD1">
        <w:rPr>
          <w:noProof/>
        </w:rPr>
        <w:t> </w:t>
      </w:r>
      <w:r w:rsidR="004D5AD1" w:rsidRPr="004D5AD1">
        <w:rPr>
          <w:noProof/>
        </w:rPr>
        <w:t>cel</w:t>
      </w:r>
      <w:r w:rsidRPr="004D5AD1">
        <w:rPr>
          <w:noProof/>
        </w:rPr>
        <w:t>u zwiększania świadomości</w:t>
      </w:r>
      <w:r w:rsidR="004D5AD1" w:rsidRPr="004D5AD1">
        <w:rPr>
          <w:noProof/>
        </w:rPr>
        <w:t xml:space="preserve"> i</w:t>
      </w:r>
      <w:r w:rsidR="004D5AD1">
        <w:rPr>
          <w:noProof/>
        </w:rPr>
        <w:t> </w:t>
      </w:r>
      <w:r w:rsidR="004D5AD1" w:rsidRPr="004D5AD1">
        <w:rPr>
          <w:noProof/>
        </w:rPr>
        <w:t>pro</w:t>
      </w:r>
      <w:r w:rsidRPr="004D5AD1">
        <w:rPr>
          <w:noProof/>
        </w:rPr>
        <w:t>pagowania działań zaradczych.</w:t>
      </w:r>
    </w:p>
    <w:p w14:paraId="06976A6E" w14:textId="32D7245B" w:rsidR="0010636C" w:rsidRPr="004D5AD1" w:rsidRDefault="00231670" w:rsidP="0010636C">
      <w:pPr>
        <w:rPr>
          <w:noProof/>
        </w:rPr>
      </w:pPr>
      <w:r w:rsidRPr="004D5AD1">
        <w:rPr>
          <w:noProof/>
        </w:rPr>
        <w:t>3.</w:t>
      </w:r>
      <w:r w:rsidRPr="004D5AD1">
        <w:rPr>
          <w:noProof/>
        </w:rPr>
        <w:tab/>
        <w:t>Niniejszy artykuł ma zastosowanie</w:t>
      </w:r>
      <w:r w:rsidR="004D5AD1" w:rsidRPr="004D5AD1">
        <w:rPr>
          <w:noProof/>
        </w:rPr>
        <w:t xml:space="preserve"> z</w:t>
      </w:r>
      <w:r w:rsidR="004D5AD1">
        <w:rPr>
          <w:noProof/>
        </w:rPr>
        <w:t> </w:t>
      </w:r>
      <w:r w:rsidR="004D5AD1" w:rsidRPr="004D5AD1">
        <w:rPr>
          <w:noProof/>
        </w:rPr>
        <w:t>zas</w:t>
      </w:r>
      <w:r w:rsidRPr="004D5AD1">
        <w:rPr>
          <w:noProof/>
        </w:rPr>
        <w:t>trzeżeniem przepisów dyrektywy (UE) 2016/943.</w:t>
      </w:r>
    </w:p>
    <w:p w14:paraId="3BE8C33D" w14:textId="77777777" w:rsidR="006F5C5C" w:rsidRPr="004D5AD1" w:rsidRDefault="006F5C5C" w:rsidP="0010636C">
      <w:pPr>
        <w:rPr>
          <w:noProof/>
        </w:rPr>
      </w:pPr>
    </w:p>
    <w:p w14:paraId="56C75C7F" w14:textId="77777777" w:rsidR="00FD0FB2" w:rsidRPr="004D5AD1" w:rsidRDefault="00FD0FB2" w:rsidP="00FD0FB2">
      <w:pPr>
        <w:pStyle w:val="ChapterTitle"/>
        <w:rPr>
          <w:noProof/>
        </w:rPr>
      </w:pPr>
      <w:r w:rsidRPr="004D5AD1">
        <w:rPr>
          <w:noProof/>
        </w:rPr>
        <w:t>Rozdział 6</w:t>
      </w:r>
    </w:p>
    <w:p w14:paraId="39344CC7" w14:textId="77777777" w:rsidR="00FD0FB2" w:rsidRPr="004D5AD1" w:rsidRDefault="00FD0FB2" w:rsidP="00FD0FB2">
      <w:pPr>
        <w:pStyle w:val="ChapterTitle"/>
        <w:rPr>
          <w:noProof/>
        </w:rPr>
      </w:pPr>
      <w:r w:rsidRPr="004D5AD1">
        <w:rPr>
          <w:noProof/>
        </w:rPr>
        <w:t>Przepisy końcowe</w:t>
      </w:r>
    </w:p>
    <w:p w14:paraId="26724390" w14:textId="012E04F3" w:rsidR="00FD0FB2" w:rsidRPr="004D5AD1" w:rsidRDefault="00FD0FB2" w:rsidP="00FD0FB2">
      <w:pPr>
        <w:pStyle w:val="Titrearticle"/>
        <w:rPr>
          <w:noProof/>
        </w:rPr>
      </w:pPr>
      <w:r w:rsidRPr="004D5AD1">
        <w:rPr>
          <w:noProof/>
        </w:rPr>
        <w:t>Artykuł 30</w:t>
      </w:r>
    </w:p>
    <w:p w14:paraId="0896B9EA" w14:textId="77777777" w:rsidR="00FD0FB2" w:rsidRPr="004D5AD1" w:rsidRDefault="00FD0FB2" w:rsidP="00FD0FB2">
      <w:pPr>
        <w:pStyle w:val="NormalCentered"/>
        <w:rPr>
          <w:b/>
          <w:noProof/>
        </w:rPr>
      </w:pPr>
      <w:r w:rsidRPr="004D5AD1">
        <w:rPr>
          <w:b/>
          <w:noProof/>
        </w:rPr>
        <w:t>Kary</w:t>
      </w:r>
    </w:p>
    <w:p w14:paraId="19670E3E" w14:textId="5944C90B" w:rsidR="00FD0FB2" w:rsidRPr="004D5AD1" w:rsidRDefault="00FD0FB2" w:rsidP="00FD0FB2">
      <w:pPr>
        <w:rPr>
          <w:noProof/>
          <w:szCs w:val="24"/>
        </w:rPr>
      </w:pPr>
      <w:r w:rsidRPr="004D5AD1">
        <w:rPr>
          <w:noProof/>
        </w:rPr>
        <w:t>1.</w:t>
      </w:r>
      <w:r w:rsidRPr="004D5AD1">
        <w:rPr>
          <w:noProof/>
        </w:rPr>
        <w:tab/>
        <w:t>Państwa członkowskie ustanawiają przepisy dotyczące kar mających zastosowanie</w:t>
      </w:r>
      <w:r w:rsidR="004D5AD1" w:rsidRPr="004D5AD1">
        <w:rPr>
          <w:noProof/>
        </w:rPr>
        <w:t xml:space="preserve"> w</w:t>
      </w:r>
      <w:r w:rsidR="004D5AD1">
        <w:rPr>
          <w:noProof/>
        </w:rPr>
        <w:t> </w:t>
      </w:r>
      <w:r w:rsidR="004D5AD1" w:rsidRPr="004D5AD1">
        <w:rPr>
          <w:noProof/>
        </w:rPr>
        <w:t>prz</w:t>
      </w:r>
      <w:r w:rsidRPr="004D5AD1">
        <w:rPr>
          <w:noProof/>
        </w:rPr>
        <w:t>ypadkach naruszeń przepisów niniejszego rozporządzenia oraz przyjmują wszelkie środki niezbędne do zapewnienia ich stosowania.</w:t>
      </w:r>
    </w:p>
    <w:p w14:paraId="219A17E6" w14:textId="569A05E6" w:rsidR="005E07D8" w:rsidRPr="004D5AD1" w:rsidRDefault="00FD0FB2" w:rsidP="00D904B7">
      <w:pPr>
        <w:rPr>
          <w:noProof/>
          <w:szCs w:val="24"/>
        </w:rPr>
      </w:pPr>
      <w:r w:rsidRPr="004D5AD1">
        <w:rPr>
          <w:noProof/>
        </w:rPr>
        <w:t xml:space="preserve">2. </w:t>
      </w:r>
      <w:r w:rsidRPr="004D5AD1">
        <w:rPr>
          <w:noProof/>
        </w:rPr>
        <w:tab/>
        <w:t>Przewidziane kary muszą być skuteczne, proporcjonalne</w:t>
      </w:r>
      <w:r w:rsidR="004D5AD1" w:rsidRPr="004D5AD1">
        <w:rPr>
          <w:noProof/>
        </w:rPr>
        <w:t xml:space="preserve"> i</w:t>
      </w:r>
      <w:r w:rsidR="004D5AD1">
        <w:rPr>
          <w:noProof/>
        </w:rPr>
        <w:t> </w:t>
      </w:r>
      <w:r w:rsidR="004D5AD1" w:rsidRPr="004D5AD1">
        <w:rPr>
          <w:noProof/>
        </w:rPr>
        <w:t>ods</w:t>
      </w:r>
      <w:r w:rsidRPr="004D5AD1">
        <w:rPr>
          <w:noProof/>
        </w:rPr>
        <w:t>traszające</w:t>
      </w:r>
      <w:r w:rsidR="004D5AD1" w:rsidRPr="004D5AD1">
        <w:rPr>
          <w:noProof/>
        </w:rPr>
        <w:t xml:space="preserve"> i</w:t>
      </w:r>
      <w:r w:rsidR="004D5AD1">
        <w:rPr>
          <w:noProof/>
        </w:rPr>
        <w:t> </w:t>
      </w:r>
      <w:r w:rsidR="004D5AD1" w:rsidRPr="004D5AD1">
        <w:rPr>
          <w:noProof/>
        </w:rPr>
        <w:t>mog</w:t>
      </w:r>
      <w:r w:rsidRPr="004D5AD1">
        <w:rPr>
          <w:noProof/>
        </w:rPr>
        <w:t>ą obejmować:</w:t>
      </w:r>
    </w:p>
    <w:p w14:paraId="2F938EF3" w14:textId="3D14FC83" w:rsidR="00FD0FB2" w:rsidRPr="004D5AD1" w:rsidRDefault="005E07D8" w:rsidP="00D904B7">
      <w:pPr>
        <w:rPr>
          <w:noProof/>
          <w:szCs w:val="24"/>
        </w:rPr>
      </w:pPr>
      <w:r w:rsidRPr="004D5AD1">
        <w:rPr>
          <w:noProof/>
        </w:rPr>
        <w:t>a)</w:t>
      </w:r>
      <w:r w:rsidRPr="004D5AD1">
        <w:rPr>
          <w:noProof/>
        </w:rPr>
        <w:tab/>
        <w:t>grzywny proporcjonalne do szkód</w:t>
      </w:r>
      <w:r w:rsidR="004D5AD1" w:rsidRPr="004D5AD1">
        <w:rPr>
          <w:noProof/>
        </w:rPr>
        <w:t xml:space="preserve"> w</w:t>
      </w:r>
      <w:r w:rsidR="004D5AD1">
        <w:rPr>
          <w:noProof/>
        </w:rPr>
        <w:t> </w:t>
      </w:r>
      <w:r w:rsidR="004D5AD1" w:rsidRPr="004D5AD1">
        <w:rPr>
          <w:noProof/>
        </w:rPr>
        <w:t>śro</w:t>
      </w:r>
      <w:r w:rsidRPr="004D5AD1">
        <w:rPr>
          <w:noProof/>
        </w:rPr>
        <w:t>dowisku, obliczanie wysokości tych grzywien</w:t>
      </w:r>
      <w:r w:rsidR="004D5AD1" w:rsidRPr="004D5AD1">
        <w:rPr>
          <w:noProof/>
        </w:rPr>
        <w:t xml:space="preserve"> w</w:t>
      </w:r>
      <w:r w:rsidR="004D5AD1">
        <w:rPr>
          <w:noProof/>
        </w:rPr>
        <w:t> </w:t>
      </w:r>
      <w:r w:rsidR="004D5AD1" w:rsidRPr="004D5AD1">
        <w:rPr>
          <w:noProof/>
        </w:rPr>
        <w:t>tak</w:t>
      </w:r>
      <w:r w:rsidRPr="004D5AD1">
        <w:rPr>
          <w:noProof/>
        </w:rPr>
        <w:t>i sposób, aby mieć pewność, że skutecznie pozbawią one osoby odpowiedzialne korzyści gospodarczych osiągniętych</w:t>
      </w:r>
      <w:r w:rsidR="004D5AD1" w:rsidRPr="004D5AD1">
        <w:rPr>
          <w:noProof/>
        </w:rPr>
        <w:t xml:space="preserve"> w</w:t>
      </w:r>
      <w:r w:rsidR="004D5AD1">
        <w:rPr>
          <w:noProof/>
        </w:rPr>
        <w:t> </w:t>
      </w:r>
      <w:r w:rsidR="004D5AD1" w:rsidRPr="004D5AD1">
        <w:rPr>
          <w:noProof/>
        </w:rPr>
        <w:t>wyn</w:t>
      </w:r>
      <w:r w:rsidRPr="004D5AD1">
        <w:rPr>
          <w:noProof/>
        </w:rPr>
        <w:t>iku popełnionych przez nie naruszeń oraz stopniowe zwiększanie wysokości tych grzywien</w:t>
      </w:r>
      <w:r w:rsidR="004D5AD1" w:rsidRPr="004D5AD1">
        <w:rPr>
          <w:noProof/>
        </w:rPr>
        <w:t xml:space="preserve"> w</w:t>
      </w:r>
      <w:r w:rsidR="004D5AD1">
        <w:rPr>
          <w:noProof/>
        </w:rPr>
        <w:t> </w:t>
      </w:r>
      <w:r w:rsidR="004D5AD1" w:rsidRPr="004D5AD1">
        <w:rPr>
          <w:noProof/>
        </w:rPr>
        <w:t>prz</w:t>
      </w:r>
      <w:r w:rsidRPr="004D5AD1">
        <w:rPr>
          <w:noProof/>
        </w:rPr>
        <w:t>ypadku powtarzających się poważnych naruszeń;</w:t>
      </w:r>
    </w:p>
    <w:p w14:paraId="4ADFC330" w14:textId="77777777" w:rsidR="005E07D8" w:rsidRPr="004D5AD1" w:rsidRDefault="005E07D8" w:rsidP="00D904B7">
      <w:pPr>
        <w:rPr>
          <w:noProof/>
          <w:szCs w:val="24"/>
        </w:rPr>
      </w:pPr>
      <w:r w:rsidRPr="004D5AD1">
        <w:rPr>
          <w:noProof/>
        </w:rPr>
        <w:t>b)</w:t>
      </w:r>
      <w:r w:rsidRPr="004D5AD1">
        <w:rPr>
          <w:noProof/>
        </w:rPr>
        <w:tab/>
        <w:t>okresowe kary pieniężne służące skłonieniu operatorów do zaprzestania naruszeń, zastosowania się do decyzji nakazującej przedsięwzięcie działań zaradczych lub środków naprawczych, do dostarczenia informacji lub poddania się kontroli, stosownie do przypadku.</w:t>
      </w:r>
    </w:p>
    <w:p w14:paraId="054FEA26" w14:textId="0F59C11F" w:rsidR="00FD0FB2" w:rsidRPr="004D5AD1" w:rsidRDefault="00FD0FB2" w:rsidP="00FD0FB2">
      <w:pPr>
        <w:rPr>
          <w:noProof/>
          <w:szCs w:val="24"/>
        </w:rPr>
      </w:pPr>
      <w:r w:rsidRPr="004D5AD1">
        <w:rPr>
          <w:noProof/>
        </w:rPr>
        <w:t>Państwa członkowskie przekazują Komisji przepisy dotyczące kar do dnia... [</w:t>
      </w:r>
      <w:r w:rsidRPr="004D5AD1">
        <w:rPr>
          <w:i/>
          <w:noProof/>
          <w:szCs w:val="24"/>
        </w:rPr>
        <w:t>3 miesiące od daty wejścia</w:t>
      </w:r>
      <w:r w:rsidR="004D5AD1" w:rsidRPr="004D5AD1">
        <w:rPr>
          <w:i/>
          <w:noProof/>
          <w:szCs w:val="24"/>
        </w:rPr>
        <w:t xml:space="preserve"> w</w:t>
      </w:r>
      <w:r w:rsidR="004D5AD1">
        <w:rPr>
          <w:i/>
          <w:noProof/>
          <w:szCs w:val="24"/>
        </w:rPr>
        <w:t> </w:t>
      </w:r>
      <w:r w:rsidR="004D5AD1" w:rsidRPr="004D5AD1">
        <w:rPr>
          <w:i/>
          <w:noProof/>
          <w:szCs w:val="24"/>
        </w:rPr>
        <w:t>życ</w:t>
      </w:r>
      <w:r w:rsidRPr="004D5AD1">
        <w:rPr>
          <w:i/>
          <w:noProof/>
          <w:szCs w:val="24"/>
        </w:rPr>
        <w:t>ie niniejszego rozporządzenia</w:t>
      </w:r>
      <w:r w:rsidRPr="004D5AD1">
        <w:rPr>
          <w:noProof/>
        </w:rPr>
        <w:t>] r. Ponadto państwa członkowskie niezwłocznie powiadamiają Komisję</w:t>
      </w:r>
      <w:r w:rsidR="004D5AD1" w:rsidRPr="004D5AD1">
        <w:rPr>
          <w:noProof/>
        </w:rPr>
        <w:t xml:space="preserve"> o</w:t>
      </w:r>
      <w:r w:rsidR="004D5AD1">
        <w:rPr>
          <w:noProof/>
        </w:rPr>
        <w:t> </w:t>
      </w:r>
      <w:r w:rsidR="004D5AD1" w:rsidRPr="004D5AD1">
        <w:rPr>
          <w:noProof/>
        </w:rPr>
        <w:t>wsz</w:t>
      </w:r>
      <w:r w:rsidRPr="004D5AD1">
        <w:rPr>
          <w:noProof/>
        </w:rPr>
        <w:t>elkich późniejszych zmianach mających wpływ na te przepisy.</w:t>
      </w:r>
    </w:p>
    <w:p w14:paraId="65D661E2" w14:textId="6CE9C58D" w:rsidR="00F71F17" w:rsidRPr="004D5AD1" w:rsidRDefault="005E07D8" w:rsidP="005E07D8">
      <w:pPr>
        <w:rPr>
          <w:noProof/>
        </w:rPr>
      </w:pPr>
      <w:r w:rsidRPr="004D5AD1">
        <w:rPr>
          <w:noProof/>
        </w:rPr>
        <w:t>3.</w:t>
      </w:r>
      <w:r w:rsidRPr="004D5AD1">
        <w:rPr>
          <w:noProof/>
        </w:rPr>
        <w:tab/>
        <w:t>Karze podlegają co najmniej następujące naruszenia:</w:t>
      </w:r>
    </w:p>
    <w:p w14:paraId="45390E58" w14:textId="6C001657" w:rsidR="003C4460" w:rsidRPr="004D5AD1" w:rsidRDefault="000A56A5" w:rsidP="003C4460">
      <w:pPr>
        <w:rPr>
          <w:noProof/>
        </w:rPr>
      </w:pPr>
      <w:r w:rsidRPr="004D5AD1">
        <w:rPr>
          <w:noProof/>
        </w:rPr>
        <w:t>a)</w:t>
      </w:r>
      <w:r w:rsidRPr="004D5AD1">
        <w:rPr>
          <w:noProof/>
        </w:rPr>
        <w:tab/>
        <w:t xml:space="preserve"> nieudzielenie właściwym organom lub weryfikatorom przez operatorów lub operatorów kopalń pomocy umożliwiającej lub ułatwiającej im wykonywanie zadań zgodnie</w:t>
      </w:r>
      <w:r w:rsidR="004D5AD1" w:rsidRPr="004D5AD1">
        <w:rPr>
          <w:noProof/>
        </w:rPr>
        <w:t xml:space="preserve"> z</w:t>
      </w:r>
      <w:r w:rsidR="004D5AD1">
        <w:rPr>
          <w:noProof/>
        </w:rPr>
        <w:t> </w:t>
      </w:r>
      <w:r w:rsidR="004D5AD1" w:rsidRPr="004D5AD1">
        <w:rPr>
          <w:noProof/>
        </w:rPr>
        <w:t>nin</w:t>
      </w:r>
      <w:r w:rsidRPr="004D5AD1">
        <w:rPr>
          <w:noProof/>
        </w:rPr>
        <w:t>iejszym rozporządzeniem;</w:t>
      </w:r>
    </w:p>
    <w:p w14:paraId="38E8328A" w14:textId="668FD58C" w:rsidR="003C4460" w:rsidRPr="004D5AD1" w:rsidRDefault="003C4460" w:rsidP="003C4460">
      <w:pPr>
        <w:rPr>
          <w:noProof/>
        </w:rPr>
      </w:pPr>
      <w:r w:rsidRPr="004D5AD1">
        <w:rPr>
          <w:noProof/>
        </w:rPr>
        <w:t>b)</w:t>
      </w:r>
      <w:r w:rsidRPr="004D5AD1">
        <w:rPr>
          <w:noProof/>
        </w:rPr>
        <w:tab/>
        <w:t>niewykonanie przez operatorów lub operatorów kopalń działań określonych</w:t>
      </w:r>
      <w:r w:rsidR="004D5AD1" w:rsidRPr="004D5AD1">
        <w:rPr>
          <w:noProof/>
        </w:rPr>
        <w:t xml:space="preserve"> w</w:t>
      </w:r>
      <w:r w:rsidR="004D5AD1">
        <w:rPr>
          <w:noProof/>
        </w:rPr>
        <w:t> </w:t>
      </w:r>
      <w:r w:rsidR="004D5AD1" w:rsidRPr="004D5AD1">
        <w:rPr>
          <w:noProof/>
        </w:rPr>
        <w:t>spr</w:t>
      </w:r>
      <w:r w:rsidRPr="004D5AD1">
        <w:rPr>
          <w:noProof/>
        </w:rPr>
        <w:t>awozdaniu</w:t>
      </w:r>
      <w:r w:rsidR="004D5AD1" w:rsidRPr="004D5AD1">
        <w:rPr>
          <w:noProof/>
        </w:rPr>
        <w:t xml:space="preserve"> z</w:t>
      </w:r>
      <w:r w:rsidR="004D5AD1">
        <w:rPr>
          <w:noProof/>
        </w:rPr>
        <w:t> </w:t>
      </w:r>
      <w:r w:rsidR="004D5AD1" w:rsidRPr="004D5AD1">
        <w:rPr>
          <w:noProof/>
        </w:rPr>
        <w:t>kon</w:t>
      </w:r>
      <w:r w:rsidRPr="004D5AD1">
        <w:rPr>
          <w:noProof/>
        </w:rPr>
        <w:t>troli,</w:t>
      </w:r>
      <w:r w:rsidR="004D5AD1" w:rsidRPr="004D5AD1">
        <w:rPr>
          <w:noProof/>
        </w:rPr>
        <w:t xml:space="preserve"> o</w:t>
      </w:r>
      <w:r w:rsidR="004D5AD1">
        <w:rPr>
          <w:noProof/>
        </w:rPr>
        <w:t> </w:t>
      </w:r>
      <w:r w:rsidR="004D5AD1" w:rsidRPr="004D5AD1">
        <w:rPr>
          <w:noProof/>
        </w:rPr>
        <w:t>któ</w:t>
      </w:r>
      <w:r w:rsidRPr="004D5AD1">
        <w:rPr>
          <w:noProof/>
        </w:rPr>
        <w:t>rym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6;</w:t>
      </w:r>
    </w:p>
    <w:p w14:paraId="3EE7B98A" w14:textId="00204B11" w:rsidR="003C4460" w:rsidRPr="004D5AD1" w:rsidRDefault="003C4460" w:rsidP="003C4460">
      <w:pPr>
        <w:rPr>
          <w:noProof/>
        </w:rPr>
      </w:pPr>
      <w:r w:rsidRPr="004D5AD1">
        <w:rPr>
          <w:noProof/>
        </w:rPr>
        <w:t>c)</w:t>
      </w:r>
      <w:r w:rsidRPr="004D5AD1">
        <w:rPr>
          <w:noProof/>
        </w:rPr>
        <w:tab/>
        <w:t>nieprzedstawienie przez operatorów lub operatorów kopalń raportów na temat wielkości emisji metanu wymaganych na mocy niniejszego rozporządzenia,</w:t>
      </w:r>
      <w:r w:rsidR="004D5AD1" w:rsidRPr="004D5AD1">
        <w:rPr>
          <w:noProof/>
        </w:rPr>
        <w:t xml:space="preserve"> w</w:t>
      </w:r>
      <w:r w:rsidR="004D5AD1">
        <w:rPr>
          <w:noProof/>
        </w:rPr>
        <w:t> </w:t>
      </w:r>
      <w:r w:rsidR="004D5AD1" w:rsidRPr="004D5AD1">
        <w:rPr>
          <w:noProof/>
        </w:rPr>
        <w:t>tym</w:t>
      </w:r>
      <w:r w:rsidRPr="004D5AD1">
        <w:rPr>
          <w:noProof/>
        </w:rPr>
        <w:t xml:space="preserve"> oświadczenia weryfikacyjnego wydanego przez niezależnych weryfikatorów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8</w:t>
      </w:r>
      <w:r w:rsidR="004D5AD1" w:rsidRPr="004D5AD1">
        <w:rPr>
          <w:noProof/>
        </w:rPr>
        <w:t xml:space="preserve"> i</w:t>
      </w:r>
      <w:r w:rsidR="004D5AD1">
        <w:rPr>
          <w:noProof/>
        </w:rPr>
        <w:t> </w:t>
      </w:r>
      <w:r w:rsidR="004D5AD1" w:rsidRPr="004D5AD1">
        <w:rPr>
          <w:noProof/>
        </w:rPr>
        <w:t>9</w:t>
      </w:r>
      <w:r w:rsidRPr="004D5AD1">
        <w:rPr>
          <w:noProof/>
        </w:rPr>
        <w:t>;</w:t>
      </w:r>
    </w:p>
    <w:p w14:paraId="5AC5C211" w14:textId="27F2E80C" w:rsidR="003C4460" w:rsidRPr="004D5AD1" w:rsidRDefault="003C4460" w:rsidP="003C4460">
      <w:pPr>
        <w:rPr>
          <w:noProof/>
        </w:rPr>
      </w:pPr>
      <w:r w:rsidRPr="004D5AD1">
        <w:rPr>
          <w:noProof/>
        </w:rPr>
        <w:t>d)</w:t>
      </w:r>
      <w:r w:rsidRPr="004D5AD1">
        <w:rPr>
          <w:noProof/>
        </w:rPr>
        <w:tab/>
        <w:t>nieprzeprowadzenie przez operatorów badania mającego na celu wykrywanie nieszczelności</w:t>
      </w:r>
      <w:r w:rsidR="004D5AD1" w:rsidRPr="004D5AD1">
        <w:rPr>
          <w:noProof/>
        </w:rPr>
        <w:t xml:space="preserve"> i</w:t>
      </w:r>
      <w:r w:rsidR="004D5AD1">
        <w:rPr>
          <w:noProof/>
        </w:rPr>
        <w:t> </w:t>
      </w:r>
      <w:r w:rsidR="004D5AD1" w:rsidRPr="004D5AD1">
        <w:rPr>
          <w:noProof/>
        </w:rPr>
        <w:t>nap</w:t>
      </w:r>
      <w:r w:rsidRPr="004D5AD1">
        <w:rPr>
          <w:noProof/>
        </w:rPr>
        <w:t>rawę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14;</w:t>
      </w:r>
    </w:p>
    <w:p w14:paraId="6FB2E555" w14:textId="7C1F91C3" w:rsidR="003C4460" w:rsidRPr="004D5AD1" w:rsidRDefault="003C4460" w:rsidP="003C4460">
      <w:pPr>
        <w:rPr>
          <w:noProof/>
        </w:rPr>
      </w:pPr>
      <w:r w:rsidRPr="004D5AD1">
        <w:rPr>
          <w:noProof/>
        </w:rPr>
        <w:t>e)</w:t>
      </w:r>
      <w:r w:rsidRPr="004D5AD1">
        <w:rPr>
          <w:noProof/>
        </w:rPr>
        <w:tab/>
        <w:t>zaniedbania ze strony operatorów</w:t>
      </w:r>
      <w:r w:rsidR="004D5AD1" w:rsidRPr="004D5AD1">
        <w:rPr>
          <w:noProof/>
        </w:rPr>
        <w:t xml:space="preserve"> w</w:t>
      </w:r>
      <w:r w:rsidR="004D5AD1">
        <w:rPr>
          <w:noProof/>
        </w:rPr>
        <w:t> </w:t>
      </w:r>
      <w:r w:rsidR="004D5AD1" w:rsidRPr="004D5AD1">
        <w:rPr>
          <w:noProof/>
        </w:rPr>
        <w:t>zak</w:t>
      </w:r>
      <w:r w:rsidRPr="004D5AD1">
        <w:rPr>
          <w:noProof/>
        </w:rPr>
        <w:t>resie naprawy lub wymiany elementów, ciągłych badań elementów</w:t>
      </w:r>
      <w:r w:rsidR="004D5AD1" w:rsidRPr="004D5AD1">
        <w:rPr>
          <w:noProof/>
        </w:rPr>
        <w:t xml:space="preserve"> i</w:t>
      </w:r>
      <w:r w:rsidR="004D5AD1">
        <w:rPr>
          <w:noProof/>
        </w:rPr>
        <w:t> </w:t>
      </w:r>
      <w:r w:rsidR="004D5AD1" w:rsidRPr="004D5AD1">
        <w:rPr>
          <w:noProof/>
        </w:rPr>
        <w:t>rej</w:t>
      </w:r>
      <w:r w:rsidRPr="004D5AD1">
        <w:rPr>
          <w:noProof/>
        </w:rPr>
        <w:t>estrowania nieszczelności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14;</w:t>
      </w:r>
    </w:p>
    <w:p w14:paraId="3D14E1F1" w14:textId="38327311" w:rsidR="003C4460" w:rsidRPr="004D5AD1" w:rsidRDefault="003C4460" w:rsidP="003C4460">
      <w:pPr>
        <w:rPr>
          <w:noProof/>
        </w:rPr>
      </w:pPr>
      <w:r w:rsidRPr="004D5AD1">
        <w:rPr>
          <w:noProof/>
        </w:rPr>
        <w:t>f)</w:t>
      </w:r>
      <w:r w:rsidRPr="004D5AD1">
        <w:rPr>
          <w:noProof/>
        </w:rPr>
        <w:tab/>
        <w:t>nieprzedłożenie przez operatorów raportu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14;</w:t>
      </w:r>
    </w:p>
    <w:p w14:paraId="652CC253" w14:textId="142B1E31" w:rsidR="003C4460" w:rsidRPr="004D5AD1" w:rsidRDefault="003C4460" w:rsidP="003C4460">
      <w:pPr>
        <w:rPr>
          <w:noProof/>
        </w:rPr>
      </w:pPr>
      <w:r w:rsidRPr="004D5AD1">
        <w:rPr>
          <w:noProof/>
        </w:rPr>
        <w:t>g)</w:t>
      </w:r>
      <w:r w:rsidRPr="004D5AD1">
        <w:rPr>
          <w:noProof/>
        </w:rPr>
        <w:tab/>
        <w:t>uwalnianie do atmosfery lub spalanie gazu</w:t>
      </w:r>
      <w:r w:rsidR="004D5AD1" w:rsidRPr="004D5AD1">
        <w:rPr>
          <w:noProof/>
        </w:rPr>
        <w:t xml:space="preserve"> w</w:t>
      </w:r>
      <w:r w:rsidR="004D5AD1">
        <w:rPr>
          <w:noProof/>
        </w:rPr>
        <w:t> </w:t>
      </w:r>
      <w:r w:rsidR="004D5AD1" w:rsidRPr="004D5AD1">
        <w:rPr>
          <w:noProof/>
        </w:rPr>
        <w:t>poc</w:t>
      </w:r>
      <w:r w:rsidRPr="004D5AD1">
        <w:rPr>
          <w:noProof/>
        </w:rPr>
        <w:t>hodni przez operatorów lub operatorów kopalń poza sytuacjami przewidzianymi</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15, 22</w:t>
      </w:r>
      <w:r w:rsidR="004D5AD1" w:rsidRPr="004D5AD1">
        <w:rPr>
          <w:noProof/>
        </w:rPr>
        <w:t xml:space="preserve"> i</w:t>
      </w:r>
      <w:r w:rsidR="004D5AD1">
        <w:rPr>
          <w:noProof/>
        </w:rPr>
        <w:t> </w:t>
      </w:r>
      <w:r w:rsidR="004D5AD1" w:rsidRPr="004D5AD1">
        <w:rPr>
          <w:noProof/>
        </w:rPr>
        <w:t>2</w:t>
      </w:r>
      <w:r w:rsidRPr="004D5AD1">
        <w:rPr>
          <w:noProof/>
        </w:rPr>
        <w:t>6, stosownie do przypadku;</w:t>
      </w:r>
    </w:p>
    <w:p w14:paraId="0127D9F3" w14:textId="0D90CC17" w:rsidR="003C4460" w:rsidRPr="004D5AD1" w:rsidRDefault="003C4460" w:rsidP="003C4460">
      <w:pPr>
        <w:rPr>
          <w:noProof/>
        </w:rPr>
      </w:pPr>
      <w:r w:rsidRPr="004D5AD1">
        <w:rPr>
          <w:noProof/>
        </w:rPr>
        <w:t>h)</w:t>
      </w:r>
      <w:r w:rsidRPr="004D5AD1">
        <w:rPr>
          <w:noProof/>
        </w:rPr>
        <w:tab/>
        <w:t>rutynowe spalanie gazu</w:t>
      </w:r>
      <w:r w:rsidR="004D5AD1" w:rsidRPr="004D5AD1">
        <w:rPr>
          <w:noProof/>
        </w:rPr>
        <w:t xml:space="preserve"> w</w:t>
      </w:r>
      <w:r w:rsidR="004D5AD1">
        <w:rPr>
          <w:noProof/>
        </w:rPr>
        <w:t> </w:t>
      </w:r>
      <w:r w:rsidR="004D5AD1" w:rsidRPr="004D5AD1">
        <w:rPr>
          <w:noProof/>
        </w:rPr>
        <w:t>poc</w:t>
      </w:r>
      <w:r w:rsidRPr="004D5AD1">
        <w:rPr>
          <w:noProof/>
        </w:rPr>
        <w:t>hodni przez operatorów;</w:t>
      </w:r>
    </w:p>
    <w:p w14:paraId="70E0F30D" w14:textId="7BA1A707" w:rsidR="003C4460" w:rsidRPr="004D5AD1" w:rsidRDefault="003C4460" w:rsidP="003C4460">
      <w:pPr>
        <w:rPr>
          <w:noProof/>
        </w:rPr>
      </w:pPr>
      <w:r w:rsidRPr="004D5AD1">
        <w:rPr>
          <w:noProof/>
        </w:rPr>
        <w:t>i)</w:t>
      </w:r>
      <w:r w:rsidRPr="004D5AD1">
        <w:rPr>
          <w:noProof/>
        </w:rPr>
        <w:tab/>
        <w:t>niewykazanie przez operatorów lub operatorów kopalń konieczności podjęcia decyzji</w:t>
      </w:r>
      <w:r w:rsidR="004D5AD1" w:rsidRPr="004D5AD1">
        <w:rPr>
          <w:noProof/>
        </w:rPr>
        <w:t xml:space="preserve"> o</w:t>
      </w:r>
      <w:r w:rsidR="004D5AD1">
        <w:rPr>
          <w:noProof/>
        </w:rPr>
        <w:t> </w:t>
      </w:r>
      <w:r w:rsidR="004D5AD1" w:rsidRPr="004D5AD1">
        <w:rPr>
          <w:noProof/>
        </w:rPr>
        <w:t>uwa</w:t>
      </w:r>
      <w:r w:rsidRPr="004D5AD1">
        <w:rPr>
          <w:noProof/>
        </w:rPr>
        <w:t>lnianiu do atmosfery zamiast spalania</w:t>
      </w:r>
      <w:r w:rsidR="004D5AD1" w:rsidRPr="004D5AD1">
        <w:rPr>
          <w:noProof/>
        </w:rPr>
        <w:t xml:space="preserve"> w</w:t>
      </w:r>
      <w:r w:rsidR="004D5AD1">
        <w:rPr>
          <w:noProof/>
        </w:rPr>
        <w:t> </w:t>
      </w:r>
      <w:r w:rsidR="004D5AD1" w:rsidRPr="004D5AD1">
        <w:rPr>
          <w:noProof/>
        </w:rPr>
        <w:t>poc</w:t>
      </w:r>
      <w:r w:rsidRPr="004D5AD1">
        <w:rPr>
          <w:noProof/>
        </w:rPr>
        <w:t>hodni oraz niewykazanie konieczności podjęcia decyzji</w:t>
      </w:r>
      <w:r w:rsidR="004D5AD1" w:rsidRPr="004D5AD1">
        <w:rPr>
          <w:noProof/>
        </w:rPr>
        <w:t xml:space="preserve"> o</w:t>
      </w:r>
      <w:r w:rsidR="004D5AD1">
        <w:rPr>
          <w:noProof/>
        </w:rPr>
        <w:t> </w:t>
      </w:r>
      <w:r w:rsidR="004D5AD1" w:rsidRPr="004D5AD1">
        <w:rPr>
          <w:noProof/>
        </w:rPr>
        <w:t>spa</w:t>
      </w:r>
      <w:r w:rsidRPr="004D5AD1">
        <w:rPr>
          <w:noProof/>
        </w:rPr>
        <w:t>laniu</w:t>
      </w:r>
      <w:r w:rsidR="004D5AD1" w:rsidRPr="004D5AD1">
        <w:rPr>
          <w:noProof/>
        </w:rPr>
        <w:t xml:space="preserve"> w</w:t>
      </w:r>
      <w:r w:rsidR="004D5AD1">
        <w:rPr>
          <w:noProof/>
        </w:rPr>
        <w:t> </w:t>
      </w:r>
      <w:r w:rsidR="004D5AD1" w:rsidRPr="004D5AD1">
        <w:rPr>
          <w:noProof/>
        </w:rPr>
        <w:t>poc</w:t>
      </w:r>
      <w:r w:rsidRPr="004D5AD1">
        <w:rPr>
          <w:noProof/>
        </w:rPr>
        <w:t>hodni zamiast ponownego zatłoczenia metanu, wykorzystania go na miejscu albo wysłania na rynek,</w:t>
      </w:r>
      <w:r w:rsidR="004D5AD1" w:rsidRPr="004D5AD1">
        <w:rPr>
          <w:noProof/>
        </w:rPr>
        <w:t xml:space="preserve"> w</w:t>
      </w:r>
      <w:r w:rsidR="004D5AD1">
        <w:rPr>
          <w:noProof/>
        </w:rPr>
        <w:t> </w:t>
      </w:r>
      <w:r w:rsidR="004D5AD1" w:rsidRPr="004D5AD1">
        <w:rPr>
          <w:noProof/>
        </w:rPr>
        <w:t>prz</w:t>
      </w:r>
      <w:r w:rsidRPr="004D5AD1">
        <w:rPr>
          <w:noProof/>
        </w:rPr>
        <w:t>ypadku operatorów, lub wykorzystania bądź ograniczania emisji,</w:t>
      </w:r>
      <w:r w:rsidR="004D5AD1" w:rsidRPr="004D5AD1">
        <w:rPr>
          <w:noProof/>
        </w:rPr>
        <w:t xml:space="preserve"> w</w:t>
      </w:r>
      <w:r w:rsidR="004D5AD1">
        <w:rPr>
          <w:noProof/>
        </w:rPr>
        <w:t> </w:t>
      </w:r>
      <w:r w:rsidR="004D5AD1" w:rsidRPr="004D5AD1">
        <w:rPr>
          <w:noProof/>
        </w:rPr>
        <w:t>prz</w:t>
      </w:r>
      <w:r w:rsidRPr="004D5AD1">
        <w:rPr>
          <w:noProof/>
        </w:rPr>
        <w:t>ypadku operatorów kopalń,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15, 22</w:t>
      </w:r>
      <w:r w:rsidR="004D5AD1" w:rsidRPr="004D5AD1">
        <w:rPr>
          <w:noProof/>
        </w:rPr>
        <w:t xml:space="preserve"> i</w:t>
      </w:r>
      <w:r w:rsidR="004D5AD1">
        <w:rPr>
          <w:noProof/>
        </w:rPr>
        <w:t> </w:t>
      </w:r>
      <w:r w:rsidR="004D5AD1" w:rsidRPr="004D5AD1">
        <w:rPr>
          <w:noProof/>
        </w:rPr>
        <w:t>2</w:t>
      </w:r>
      <w:r w:rsidRPr="004D5AD1">
        <w:rPr>
          <w:noProof/>
        </w:rPr>
        <w:t>6;</w:t>
      </w:r>
    </w:p>
    <w:p w14:paraId="00D92746" w14:textId="2F87A9A5" w:rsidR="003C4460" w:rsidRPr="004D5AD1" w:rsidRDefault="003C4460" w:rsidP="003C4460">
      <w:pPr>
        <w:rPr>
          <w:noProof/>
        </w:rPr>
      </w:pPr>
      <w:r w:rsidRPr="004D5AD1">
        <w:rPr>
          <w:noProof/>
        </w:rPr>
        <w:t>j)</w:t>
      </w:r>
      <w:r w:rsidRPr="004D5AD1">
        <w:rPr>
          <w:noProof/>
        </w:rPr>
        <w:tab/>
        <w:t>niepowiadomienie przez operatorów lub operatorów kopalń</w:t>
      </w:r>
      <w:r w:rsidR="004D5AD1" w:rsidRPr="004D5AD1">
        <w:rPr>
          <w:noProof/>
        </w:rPr>
        <w:t xml:space="preserve"> o</w:t>
      </w:r>
      <w:r w:rsidR="004D5AD1">
        <w:rPr>
          <w:noProof/>
        </w:rPr>
        <w:t> </w:t>
      </w:r>
      <w:r w:rsidR="004D5AD1" w:rsidRPr="004D5AD1">
        <w:rPr>
          <w:noProof/>
        </w:rPr>
        <w:t>prz</w:t>
      </w:r>
      <w:r w:rsidRPr="004D5AD1">
        <w:rPr>
          <w:noProof/>
        </w:rPr>
        <w:t>ypadkach uwolnienia do atmosfery</w:t>
      </w:r>
      <w:r w:rsidR="004D5AD1" w:rsidRPr="004D5AD1">
        <w:rPr>
          <w:noProof/>
        </w:rPr>
        <w:t xml:space="preserve"> i</w:t>
      </w:r>
      <w:r w:rsidR="004D5AD1">
        <w:rPr>
          <w:noProof/>
        </w:rPr>
        <w:t> </w:t>
      </w:r>
      <w:r w:rsidR="004D5AD1" w:rsidRPr="004D5AD1">
        <w:rPr>
          <w:noProof/>
        </w:rPr>
        <w:t>spa</w:t>
      </w:r>
      <w:r w:rsidRPr="004D5AD1">
        <w:rPr>
          <w:noProof/>
        </w:rPr>
        <w:t>laniu</w:t>
      </w:r>
      <w:r w:rsidR="004D5AD1" w:rsidRPr="004D5AD1">
        <w:rPr>
          <w:noProof/>
        </w:rPr>
        <w:t xml:space="preserve"> w</w:t>
      </w:r>
      <w:r w:rsidR="004D5AD1">
        <w:rPr>
          <w:noProof/>
        </w:rPr>
        <w:t> </w:t>
      </w:r>
      <w:r w:rsidR="004D5AD1" w:rsidRPr="004D5AD1">
        <w:rPr>
          <w:noProof/>
        </w:rPr>
        <w:t>poc</w:t>
      </w:r>
      <w:r w:rsidRPr="004D5AD1">
        <w:rPr>
          <w:noProof/>
        </w:rPr>
        <w:t>hodni lub niezgłoszenie takich przypadków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16, 23</w:t>
      </w:r>
      <w:r w:rsidR="004D5AD1" w:rsidRPr="004D5AD1">
        <w:rPr>
          <w:noProof/>
        </w:rPr>
        <w:t xml:space="preserve"> i</w:t>
      </w:r>
      <w:r w:rsidR="004D5AD1">
        <w:rPr>
          <w:noProof/>
        </w:rPr>
        <w:t> </w:t>
      </w:r>
      <w:r w:rsidR="004D5AD1" w:rsidRPr="004D5AD1">
        <w:rPr>
          <w:noProof/>
        </w:rPr>
        <w:t>2</w:t>
      </w:r>
      <w:r w:rsidRPr="004D5AD1">
        <w:rPr>
          <w:noProof/>
        </w:rPr>
        <w:t>6, stosownie do przypadku;</w:t>
      </w:r>
    </w:p>
    <w:p w14:paraId="6C761023" w14:textId="4704E835" w:rsidR="00F71F17" w:rsidRPr="004D5AD1" w:rsidRDefault="003C4460" w:rsidP="003C4460">
      <w:pPr>
        <w:rPr>
          <w:noProof/>
        </w:rPr>
      </w:pPr>
      <w:r w:rsidRPr="004D5AD1">
        <w:rPr>
          <w:noProof/>
        </w:rPr>
        <w:t>k)</w:t>
      </w:r>
      <w:r w:rsidRPr="004D5AD1">
        <w:rPr>
          <w:noProof/>
        </w:rPr>
        <w:tab/>
        <w:t>korzystanie</w:t>
      </w:r>
      <w:r w:rsidR="004D5AD1" w:rsidRPr="004D5AD1">
        <w:rPr>
          <w:noProof/>
        </w:rPr>
        <w:t xml:space="preserve"> z</w:t>
      </w:r>
      <w:r w:rsidR="004D5AD1">
        <w:rPr>
          <w:noProof/>
        </w:rPr>
        <w:t> </w:t>
      </w:r>
      <w:r w:rsidR="004D5AD1" w:rsidRPr="004D5AD1">
        <w:rPr>
          <w:noProof/>
        </w:rPr>
        <w:t>urz</w:t>
      </w:r>
      <w:r w:rsidRPr="004D5AD1">
        <w:rPr>
          <w:noProof/>
        </w:rPr>
        <w:t>ądzeń do spalania odpadów petrochemicznych lub urządzeń do spalania</w:t>
      </w:r>
      <w:r w:rsidR="004D5AD1" w:rsidRPr="004D5AD1">
        <w:rPr>
          <w:noProof/>
        </w:rPr>
        <w:t xml:space="preserve"> z</w:t>
      </w:r>
      <w:r w:rsidR="004D5AD1">
        <w:rPr>
          <w:noProof/>
        </w:rPr>
        <w:t> </w:t>
      </w:r>
      <w:r w:rsidR="004D5AD1" w:rsidRPr="004D5AD1">
        <w:rPr>
          <w:noProof/>
        </w:rPr>
        <w:t>nar</w:t>
      </w:r>
      <w:r w:rsidRPr="004D5AD1">
        <w:rPr>
          <w:noProof/>
        </w:rPr>
        <w:t>uszeniem wymogów ustanowionych</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17;</w:t>
      </w:r>
    </w:p>
    <w:p w14:paraId="04173ABD" w14:textId="590943EB" w:rsidR="000A56A5" w:rsidRPr="004D5AD1" w:rsidRDefault="000A56A5" w:rsidP="000A56A5">
      <w:pPr>
        <w:rPr>
          <w:noProof/>
        </w:rPr>
      </w:pPr>
      <w:r w:rsidRPr="004D5AD1">
        <w:rPr>
          <w:noProof/>
        </w:rPr>
        <w:t>l)</w:t>
      </w:r>
      <w:r w:rsidRPr="004D5AD1">
        <w:rPr>
          <w:noProof/>
        </w:rPr>
        <w:tab/>
        <w:t>nieprzekazanie przez importerów informacji wymaganych zgodnie</w:t>
      </w:r>
      <w:r w:rsidR="004D5AD1" w:rsidRPr="004D5AD1">
        <w:rPr>
          <w:noProof/>
        </w:rPr>
        <w:t xml:space="preserve"> z</w:t>
      </w:r>
      <w:r w:rsidR="004D5AD1">
        <w:rPr>
          <w:noProof/>
        </w:rPr>
        <w:t> </w:t>
      </w:r>
      <w:r w:rsidR="004D5AD1" w:rsidRPr="004D5AD1">
        <w:rPr>
          <w:noProof/>
        </w:rPr>
        <w:t>art</w:t>
      </w:r>
      <w:r w:rsidRPr="004D5AD1">
        <w:rPr>
          <w:noProof/>
        </w:rPr>
        <w:t>.</w:t>
      </w:r>
      <w:r w:rsidR="004D5AD1" w:rsidRPr="004D5AD1">
        <w:rPr>
          <w:noProof/>
        </w:rPr>
        <w:t> </w:t>
      </w:r>
      <w:r w:rsidRPr="004D5AD1">
        <w:rPr>
          <w:noProof/>
        </w:rPr>
        <w:t>27</w:t>
      </w:r>
      <w:r w:rsidR="004D5AD1" w:rsidRPr="004D5AD1">
        <w:rPr>
          <w:noProof/>
        </w:rPr>
        <w:t xml:space="preserve"> i</w:t>
      </w:r>
      <w:r w:rsidR="004D5AD1">
        <w:rPr>
          <w:noProof/>
        </w:rPr>
        <w:t> </w:t>
      </w:r>
      <w:r w:rsidR="004D5AD1" w:rsidRPr="004D5AD1">
        <w:rPr>
          <w:noProof/>
        </w:rPr>
        <w:t>zał</w:t>
      </w:r>
      <w:r w:rsidRPr="004D5AD1">
        <w:rPr>
          <w:noProof/>
        </w:rPr>
        <w:t>ącznikiem VIII.</w:t>
      </w:r>
    </w:p>
    <w:p w14:paraId="08560448" w14:textId="77777777" w:rsidR="005E07D8" w:rsidRPr="004D5AD1" w:rsidRDefault="00F71F17" w:rsidP="005E07D8">
      <w:pPr>
        <w:rPr>
          <w:noProof/>
        </w:rPr>
      </w:pPr>
      <w:r w:rsidRPr="004D5AD1">
        <w:rPr>
          <w:noProof/>
        </w:rPr>
        <w:t>4.</w:t>
      </w:r>
      <w:r w:rsidRPr="004D5AD1">
        <w:rPr>
          <w:noProof/>
        </w:rPr>
        <w:tab/>
        <w:t>W stosownych przypadkach państwa członkowskie uwzględniają co najmniej następujące orientacyjne kryteria nakładania kar:</w:t>
      </w:r>
    </w:p>
    <w:p w14:paraId="66EEF17B" w14:textId="09314E84" w:rsidR="005E07D8" w:rsidRPr="004D5AD1" w:rsidRDefault="005E07D8" w:rsidP="005E07D8">
      <w:pPr>
        <w:rPr>
          <w:noProof/>
        </w:rPr>
      </w:pPr>
      <w:r w:rsidRPr="004D5AD1">
        <w:rPr>
          <w:noProof/>
        </w:rPr>
        <w:t>a)</w:t>
      </w:r>
      <w:r w:rsidRPr="004D5AD1">
        <w:rPr>
          <w:noProof/>
        </w:rPr>
        <w:tab/>
        <w:t>czas trwania lub skutki tymczasowe, charakter</w:t>
      </w:r>
      <w:r w:rsidR="004D5AD1" w:rsidRPr="004D5AD1">
        <w:rPr>
          <w:noProof/>
        </w:rPr>
        <w:t xml:space="preserve"> i</w:t>
      </w:r>
      <w:r w:rsidR="004D5AD1">
        <w:rPr>
          <w:noProof/>
        </w:rPr>
        <w:t> </w:t>
      </w:r>
      <w:r w:rsidR="004D5AD1" w:rsidRPr="004D5AD1">
        <w:rPr>
          <w:noProof/>
        </w:rPr>
        <w:t>wag</w:t>
      </w:r>
      <w:r w:rsidRPr="004D5AD1">
        <w:rPr>
          <w:noProof/>
        </w:rPr>
        <w:t>ę naruszenia;</w:t>
      </w:r>
    </w:p>
    <w:p w14:paraId="77B2E5C7" w14:textId="05E6DD4A" w:rsidR="005E07D8" w:rsidRPr="004D5AD1" w:rsidRDefault="005E07D8" w:rsidP="005E07D8">
      <w:pPr>
        <w:rPr>
          <w:noProof/>
        </w:rPr>
      </w:pPr>
      <w:r w:rsidRPr="004D5AD1">
        <w:rPr>
          <w:noProof/>
        </w:rPr>
        <w:t>b)</w:t>
      </w:r>
      <w:r w:rsidRPr="004D5AD1">
        <w:rPr>
          <w:noProof/>
        </w:rPr>
        <w:tab/>
        <w:t>wszelkie działania podjęte przez przedsiębiorstwo, operatora lub operatora kopalni</w:t>
      </w:r>
      <w:r w:rsidR="004D5AD1" w:rsidRPr="004D5AD1">
        <w:rPr>
          <w:noProof/>
        </w:rPr>
        <w:t xml:space="preserve"> w</w:t>
      </w:r>
      <w:r w:rsidR="004D5AD1">
        <w:rPr>
          <w:noProof/>
        </w:rPr>
        <w:t> </w:t>
      </w:r>
      <w:r w:rsidR="004D5AD1" w:rsidRPr="004D5AD1">
        <w:rPr>
          <w:noProof/>
        </w:rPr>
        <w:t>cel</w:t>
      </w:r>
      <w:r w:rsidRPr="004D5AD1">
        <w:rPr>
          <w:noProof/>
        </w:rPr>
        <w:t>u szybkiego zminimalizowania szkody lub jej zaradzenia;</w:t>
      </w:r>
    </w:p>
    <w:p w14:paraId="25260B4A" w14:textId="77777777" w:rsidR="005E07D8" w:rsidRPr="004D5AD1" w:rsidRDefault="005E07D8" w:rsidP="005E07D8">
      <w:pPr>
        <w:rPr>
          <w:noProof/>
        </w:rPr>
      </w:pPr>
      <w:r w:rsidRPr="004D5AD1">
        <w:rPr>
          <w:noProof/>
        </w:rPr>
        <w:t>c)</w:t>
      </w:r>
      <w:r w:rsidRPr="004D5AD1">
        <w:rPr>
          <w:noProof/>
        </w:rPr>
        <w:tab/>
        <w:t>umyślny lub nieumyślny charakter naruszenia;</w:t>
      </w:r>
    </w:p>
    <w:p w14:paraId="3F8BE36F" w14:textId="3788FEDD" w:rsidR="005E07D8" w:rsidRPr="004D5AD1" w:rsidRDefault="005E07D8" w:rsidP="005E07D8">
      <w:pPr>
        <w:rPr>
          <w:noProof/>
        </w:rPr>
      </w:pPr>
      <w:r w:rsidRPr="004D5AD1">
        <w:rPr>
          <w:noProof/>
        </w:rPr>
        <w:t>d)</w:t>
      </w:r>
      <w:r w:rsidRPr="004D5AD1">
        <w:rPr>
          <w:noProof/>
        </w:rPr>
        <w:tab/>
        <w:t>wszelkie wcześniejsze naruszenia ze strony przedsiębiorstwa, operatora lub operatora kopalni;</w:t>
      </w:r>
    </w:p>
    <w:p w14:paraId="74A0F316" w14:textId="13068939" w:rsidR="005E07D8" w:rsidRPr="004D5AD1" w:rsidRDefault="005E07D8" w:rsidP="005E07D8">
      <w:pPr>
        <w:rPr>
          <w:noProof/>
        </w:rPr>
      </w:pPr>
      <w:r w:rsidRPr="004D5AD1">
        <w:rPr>
          <w:noProof/>
        </w:rPr>
        <w:t>e)</w:t>
      </w:r>
      <w:r w:rsidRPr="004D5AD1">
        <w:rPr>
          <w:noProof/>
        </w:rPr>
        <w:tab/>
        <w:t>korzyści majątkowe uzyskane lub straty uniknięte bezpośrednio lub pośrednio przez przedsiębiorstwo, operatora lub operatora kopalni</w:t>
      </w:r>
      <w:r w:rsidR="004D5AD1" w:rsidRPr="004D5AD1">
        <w:rPr>
          <w:noProof/>
        </w:rPr>
        <w:t xml:space="preserve"> w</w:t>
      </w:r>
      <w:r w:rsidR="004D5AD1">
        <w:rPr>
          <w:noProof/>
        </w:rPr>
        <w:t> </w:t>
      </w:r>
      <w:r w:rsidR="004D5AD1" w:rsidRPr="004D5AD1">
        <w:rPr>
          <w:noProof/>
        </w:rPr>
        <w:t>wyn</w:t>
      </w:r>
      <w:r w:rsidRPr="004D5AD1">
        <w:rPr>
          <w:noProof/>
        </w:rPr>
        <w:t>iku naruszenia, jeżeli dostępne są odpowiednie dane;</w:t>
      </w:r>
    </w:p>
    <w:p w14:paraId="5D9A840F" w14:textId="15D4AF19" w:rsidR="005E07D8" w:rsidRPr="004D5AD1" w:rsidRDefault="005E07D8" w:rsidP="005E07D8">
      <w:pPr>
        <w:rPr>
          <w:noProof/>
        </w:rPr>
      </w:pPr>
      <w:r w:rsidRPr="004D5AD1">
        <w:rPr>
          <w:noProof/>
        </w:rPr>
        <w:t>f)</w:t>
      </w:r>
      <w:r w:rsidRPr="004D5AD1">
        <w:rPr>
          <w:noProof/>
        </w:rPr>
        <w:tab/>
        <w:t>wielkość przedsiębiorstwa, operatora lub operatora kopalni;</w:t>
      </w:r>
    </w:p>
    <w:p w14:paraId="0BC9110A" w14:textId="31777FCA" w:rsidR="005E07D8" w:rsidRPr="004D5AD1" w:rsidRDefault="005E07D8" w:rsidP="005E07D8">
      <w:pPr>
        <w:rPr>
          <w:noProof/>
        </w:rPr>
      </w:pPr>
      <w:r w:rsidRPr="004D5AD1">
        <w:rPr>
          <w:noProof/>
        </w:rPr>
        <w:t>g)</w:t>
      </w:r>
      <w:r w:rsidRPr="004D5AD1">
        <w:rPr>
          <w:noProof/>
        </w:rPr>
        <w:tab/>
        <w:t>stopień współpracy</w:t>
      </w:r>
      <w:r w:rsidR="004D5AD1" w:rsidRPr="004D5AD1">
        <w:rPr>
          <w:noProof/>
        </w:rPr>
        <w:t xml:space="preserve"> z</w:t>
      </w:r>
      <w:r w:rsidR="004D5AD1">
        <w:rPr>
          <w:noProof/>
        </w:rPr>
        <w:t> </w:t>
      </w:r>
      <w:r w:rsidR="004D5AD1" w:rsidRPr="004D5AD1">
        <w:rPr>
          <w:noProof/>
        </w:rPr>
        <w:t>org</w:t>
      </w:r>
      <w:r w:rsidRPr="004D5AD1">
        <w:rPr>
          <w:noProof/>
        </w:rPr>
        <w:t>anem;</w:t>
      </w:r>
    </w:p>
    <w:p w14:paraId="3B9F5B17" w14:textId="6F044F2F" w:rsidR="005E07D8" w:rsidRPr="004D5AD1" w:rsidRDefault="005E07D8" w:rsidP="005E07D8">
      <w:pPr>
        <w:rPr>
          <w:noProof/>
        </w:rPr>
      </w:pPr>
      <w:r w:rsidRPr="004D5AD1">
        <w:rPr>
          <w:noProof/>
        </w:rPr>
        <w:t>h)</w:t>
      </w:r>
      <w:r w:rsidRPr="004D5AD1">
        <w:rPr>
          <w:noProof/>
        </w:rPr>
        <w:tab/>
        <w:t>sposób,</w:t>
      </w:r>
      <w:r w:rsidR="004D5AD1" w:rsidRPr="004D5AD1">
        <w:rPr>
          <w:noProof/>
        </w:rPr>
        <w:t xml:space="preserve"> w</w:t>
      </w:r>
      <w:r w:rsidR="004D5AD1">
        <w:rPr>
          <w:noProof/>
        </w:rPr>
        <w:t> </w:t>
      </w:r>
      <w:r w:rsidR="004D5AD1" w:rsidRPr="004D5AD1">
        <w:rPr>
          <w:noProof/>
        </w:rPr>
        <w:t>jak</w:t>
      </w:r>
      <w:r w:rsidRPr="004D5AD1">
        <w:rPr>
          <w:noProof/>
        </w:rPr>
        <w:t>i organ dowiedział się</w:t>
      </w:r>
      <w:r w:rsidR="004D5AD1" w:rsidRPr="004D5AD1">
        <w:rPr>
          <w:noProof/>
        </w:rPr>
        <w:t xml:space="preserve"> o</w:t>
      </w:r>
      <w:r w:rsidR="004D5AD1">
        <w:rPr>
          <w:noProof/>
        </w:rPr>
        <w:t> </w:t>
      </w:r>
      <w:r w:rsidR="004D5AD1" w:rsidRPr="004D5AD1">
        <w:rPr>
          <w:noProof/>
        </w:rPr>
        <w:t>nar</w:t>
      </w:r>
      <w:r w:rsidRPr="004D5AD1">
        <w:rPr>
          <w:noProof/>
        </w:rPr>
        <w:t>uszeniu,</w:t>
      </w:r>
      <w:r w:rsidR="004D5AD1" w:rsidRPr="004D5AD1">
        <w:rPr>
          <w:noProof/>
        </w:rPr>
        <w:t xml:space="preserve"> w</w:t>
      </w:r>
      <w:r w:rsidR="004D5AD1">
        <w:rPr>
          <w:noProof/>
        </w:rPr>
        <w:t> </w:t>
      </w:r>
      <w:r w:rsidR="004D5AD1" w:rsidRPr="004D5AD1">
        <w:rPr>
          <w:noProof/>
        </w:rPr>
        <w:t>szc</w:t>
      </w:r>
      <w:r w:rsidRPr="004D5AD1">
        <w:rPr>
          <w:noProof/>
        </w:rPr>
        <w:t>zególności, czy operator szybko zgłosił naruszenie,</w:t>
      </w:r>
      <w:r w:rsidR="004D5AD1" w:rsidRPr="004D5AD1">
        <w:rPr>
          <w:noProof/>
        </w:rPr>
        <w:t xml:space="preserve"> a</w:t>
      </w:r>
      <w:r w:rsidR="004D5AD1">
        <w:rPr>
          <w:noProof/>
        </w:rPr>
        <w:t> </w:t>
      </w:r>
      <w:r w:rsidR="004D5AD1" w:rsidRPr="004D5AD1">
        <w:rPr>
          <w:noProof/>
        </w:rPr>
        <w:t>jeś</w:t>
      </w:r>
      <w:r w:rsidRPr="004D5AD1">
        <w:rPr>
          <w:noProof/>
        </w:rPr>
        <w:t>li tak, to</w:t>
      </w:r>
      <w:r w:rsidR="004D5AD1" w:rsidRPr="004D5AD1">
        <w:rPr>
          <w:noProof/>
        </w:rPr>
        <w:t xml:space="preserve"> w</w:t>
      </w:r>
      <w:r w:rsidR="004D5AD1">
        <w:rPr>
          <w:noProof/>
        </w:rPr>
        <w:t> </w:t>
      </w:r>
      <w:r w:rsidR="004D5AD1" w:rsidRPr="004D5AD1">
        <w:rPr>
          <w:noProof/>
        </w:rPr>
        <w:t>jak</w:t>
      </w:r>
      <w:r w:rsidRPr="004D5AD1">
        <w:rPr>
          <w:noProof/>
        </w:rPr>
        <w:t>im zakresie;</w:t>
      </w:r>
    </w:p>
    <w:p w14:paraId="6B764C82" w14:textId="3060271A" w:rsidR="00FD0FB2" w:rsidRPr="004D5AD1" w:rsidRDefault="005E07D8" w:rsidP="005E07D8">
      <w:pPr>
        <w:rPr>
          <w:noProof/>
        </w:rPr>
      </w:pPr>
      <w:r w:rsidRPr="004D5AD1">
        <w:rPr>
          <w:noProof/>
        </w:rPr>
        <w:t>i)</w:t>
      </w:r>
      <w:r w:rsidRPr="004D5AD1">
        <w:rPr>
          <w:noProof/>
        </w:rPr>
        <w:tab/>
        <w:t>jakiekolwiek inne okoliczności obciążające lub łagodzące mające zastosowanie</w:t>
      </w:r>
      <w:r w:rsidR="004D5AD1" w:rsidRPr="004D5AD1">
        <w:rPr>
          <w:noProof/>
        </w:rPr>
        <w:t xml:space="preserve"> w</w:t>
      </w:r>
      <w:r w:rsidR="004D5AD1">
        <w:rPr>
          <w:noProof/>
        </w:rPr>
        <w:t> </w:t>
      </w:r>
      <w:r w:rsidR="004D5AD1" w:rsidRPr="004D5AD1">
        <w:rPr>
          <w:noProof/>
        </w:rPr>
        <w:t>dan</w:t>
      </w:r>
      <w:r w:rsidRPr="004D5AD1">
        <w:rPr>
          <w:noProof/>
        </w:rPr>
        <w:t>ej sprawie.</w:t>
      </w:r>
    </w:p>
    <w:p w14:paraId="3461F82F" w14:textId="74FF608C" w:rsidR="00F71F17" w:rsidRPr="004D5AD1" w:rsidRDefault="00F71F17" w:rsidP="00F71F17">
      <w:pPr>
        <w:rPr>
          <w:noProof/>
        </w:rPr>
      </w:pPr>
      <w:r w:rsidRPr="004D5AD1">
        <w:rPr>
          <w:noProof/>
        </w:rPr>
        <w:t>5.</w:t>
      </w:r>
      <w:r w:rsidRPr="004D5AD1">
        <w:rPr>
          <w:noProof/>
        </w:rPr>
        <w:tab/>
        <w:t>Państwa członkowskie co roku publikują informacje na temat rodzaju</w:t>
      </w:r>
      <w:r w:rsidR="004D5AD1" w:rsidRPr="004D5AD1">
        <w:rPr>
          <w:noProof/>
        </w:rPr>
        <w:t xml:space="preserve"> i</w:t>
      </w:r>
      <w:r w:rsidR="004D5AD1">
        <w:rPr>
          <w:noProof/>
        </w:rPr>
        <w:t> </w:t>
      </w:r>
      <w:r w:rsidR="004D5AD1" w:rsidRPr="004D5AD1">
        <w:rPr>
          <w:noProof/>
        </w:rPr>
        <w:t>wys</w:t>
      </w:r>
      <w:r w:rsidRPr="004D5AD1">
        <w:rPr>
          <w:noProof/>
        </w:rPr>
        <w:t>okości kar nałożonych na mocy niniejszego rozporządzenia, naruszeń</w:t>
      </w:r>
      <w:r w:rsidR="004D5AD1" w:rsidRPr="004D5AD1">
        <w:rPr>
          <w:noProof/>
        </w:rPr>
        <w:t xml:space="preserve"> i</w:t>
      </w:r>
      <w:r w:rsidR="004D5AD1">
        <w:rPr>
          <w:noProof/>
        </w:rPr>
        <w:t> </w:t>
      </w:r>
      <w:r w:rsidR="004D5AD1" w:rsidRPr="004D5AD1">
        <w:rPr>
          <w:noProof/>
        </w:rPr>
        <w:t>ope</w:t>
      </w:r>
      <w:r w:rsidRPr="004D5AD1">
        <w:rPr>
          <w:noProof/>
        </w:rPr>
        <w:t>ratorów, na których nałożono kary.</w:t>
      </w:r>
    </w:p>
    <w:p w14:paraId="66E47D83" w14:textId="77777777" w:rsidR="00AA7224" w:rsidRPr="004D5AD1" w:rsidRDefault="00AA7224" w:rsidP="00F71F17">
      <w:pPr>
        <w:rPr>
          <w:noProof/>
        </w:rPr>
      </w:pPr>
    </w:p>
    <w:p w14:paraId="71D7DECD" w14:textId="2B2810E5" w:rsidR="00FD0FB2" w:rsidRPr="004D5AD1" w:rsidRDefault="00FD0FB2" w:rsidP="00FD0FB2">
      <w:pPr>
        <w:pStyle w:val="Titrearticle"/>
        <w:rPr>
          <w:noProof/>
        </w:rPr>
      </w:pPr>
      <w:r w:rsidRPr="004D5AD1">
        <w:rPr>
          <w:noProof/>
        </w:rPr>
        <w:t>Artykuł 31</w:t>
      </w:r>
    </w:p>
    <w:p w14:paraId="018B58C2" w14:textId="77777777" w:rsidR="00FD0FB2" w:rsidRPr="004D5AD1" w:rsidRDefault="00FD0FB2" w:rsidP="00FD0FB2">
      <w:pPr>
        <w:pStyle w:val="NormalCentered"/>
        <w:rPr>
          <w:b/>
          <w:noProof/>
        </w:rPr>
      </w:pPr>
      <w:r w:rsidRPr="004D5AD1">
        <w:rPr>
          <w:b/>
          <w:noProof/>
        </w:rPr>
        <w:t>Wykonywanie przekazanych uprawnień</w:t>
      </w:r>
    </w:p>
    <w:p w14:paraId="59D8CEBC" w14:textId="6EFDDDE8" w:rsidR="00FD0FB2" w:rsidRPr="004D5AD1" w:rsidRDefault="0067458B" w:rsidP="00E212DB">
      <w:pPr>
        <w:rPr>
          <w:noProof/>
        </w:rPr>
      </w:pPr>
      <w:r w:rsidRPr="004D5AD1">
        <w:rPr>
          <w:noProof/>
        </w:rPr>
        <w:t>1.</w:t>
      </w:r>
      <w:r w:rsidRPr="004D5AD1">
        <w:rPr>
          <w:noProof/>
        </w:rPr>
        <w:tab/>
        <w:t>Powierzenie Komisji uprawnień do przyjęcia aktów delegowanych podlega warunkom określonym</w:t>
      </w:r>
      <w:r w:rsidR="004D5AD1" w:rsidRPr="004D5AD1">
        <w:rPr>
          <w:noProof/>
        </w:rPr>
        <w:t xml:space="preserve"> w</w:t>
      </w:r>
      <w:r w:rsidR="004D5AD1">
        <w:rPr>
          <w:noProof/>
        </w:rPr>
        <w:t> </w:t>
      </w:r>
      <w:r w:rsidR="004D5AD1" w:rsidRPr="004D5AD1">
        <w:rPr>
          <w:noProof/>
        </w:rPr>
        <w:t>nin</w:t>
      </w:r>
      <w:r w:rsidRPr="004D5AD1">
        <w:rPr>
          <w:noProof/>
        </w:rPr>
        <w:t xml:space="preserve">iejszym artykule. </w:t>
      </w:r>
    </w:p>
    <w:p w14:paraId="6D7FEE58" w14:textId="3C6FE169" w:rsidR="00FD0FB2" w:rsidRPr="004D5AD1" w:rsidRDefault="0067458B" w:rsidP="00E212DB">
      <w:pPr>
        <w:rPr>
          <w:noProof/>
        </w:rPr>
      </w:pPr>
      <w:r w:rsidRPr="004D5AD1">
        <w:rPr>
          <w:noProof/>
        </w:rPr>
        <w:t>2.</w:t>
      </w:r>
      <w:r w:rsidRPr="004D5AD1">
        <w:rPr>
          <w:noProof/>
        </w:rPr>
        <w:tab/>
        <w:t>Uprawnienia do przyjęcia aktów delegowanych,</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8 ust.</w:t>
      </w:r>
      <w:r w:rsidR="004D5AD1" w:rsidRPr="004D5AD1">
        <w:rPr>
          <w:noProof/>
        </w:rPr>
        <w:t> </w:t>
      </w:r>
      <w:r w:rsidRPr="004D5AD1">
        <w:rPr>
          <w:noProof/>
        </w:rPr>
        <w:t>5, art.</w:t>
      </w:r>
      <w:r w:rsidR="004D5AD1" w:rsidRPr="004D5AD1">
        <w:rPr>
          <w:noProof/>
        </w:rPr>
        <w:t> </w:t>
      </w:r>
      <w:r w:rsidRPr="004D5AD1">
        <w:rPr>
          <w:noProof/>
        </w:rPr>
        <w:t>22 ust.</w:t>
      </w:r>
      <w:r w:rsidR="004D5AD1" w:rsidRPr="004D5AD1">
        <w:rPr>
          <w:noProof/>
        </w:rPr>
        <w:t> </w:t>
      </w:r>
      <w:r w:rsidRPr="004D5AD1">
        <w:rPr>
          <w:noProof/>
        </w:rPr>
        <w:t>3</w:t>
      </w:r>
      <w:r w:rsidR="004D5AD1" w:rsidRPr="004D5AD1">
        <w:rPr>
          <w:noProof/>
        </w:rPr>
        <w:t xml:space="preserve"> i</w:t>
      </w:r>
      <w:r w:rsidR="004D5AD1">
        <w:rPr>
          <w:noProof/>
        </w:rPr>
        <w:t> </w:t>
      </w:r>
      <w:r w:rsidR="004D5AD1" w:rsidRPr="004D5AD1">
        <w:rPr>
          <w:noProof/>
        </w:rPr>
        <w:t>art</w:t>
      </w:r>
      <w:r w:rsidRPr="004D5AD1">
        <w:rPr>
          <w:noProof/>
        </w:rPr>
        <w:t>.</w:t>
      </w:r>
      <w:r w:rsidR="004D5AD1" w:rsidRPr="004D5AD1">
        <w:rPr>
          <w:noProof/>
        </w:rPr>
        <w:t> </w:t>
      </w:r>
      <w:r w:rsidRPr="004D5AD1">
        <w:rPr>
          <w:noProof/>
        </w:rPr>
        <w:t>27 ust.</w:t>
      </w:r>
      <w:r w:rsidR="004D5AD1" w:rsidRPr="004D5AD1">
        <w:rPr>
          <w:noProof/>
        </w:rPr>
        <w:t> </w:t>
      </w:r>
      <w:r w:rsidRPr="004D5AD1">
        <w:rPr>
          <w:noProof/>
        </w:rPr>
        <w:t>1, powierza się Komisji na czas nieokreślony od dnia [</w:t>
      </w:r>
      <w:r w:rsidRPr="004D5AD1">
        <w:rPr>
          <w:i/>
          <w:noProof/>
        </w:rPr>
        <w:t>data wejścia</w:t>
      </w:r>
      <w:r w:rsidR="004D5AD1" w:rsidRPr="004D5AD1">
        <w:rPr>
          <w:i/>
          <w:noProof/>
        </w:rPr>
        <w:t xml:space="preserve"> w</w:t>
      </w:r>
      <w:r w:rsidR="004D5AD1">
        <w:rPr>
          <w:i/>
          <w:noProof/>
        </w:rPr>
        <w:t> </w:t>
      </w:r>
      <w:r w:rsidR="004D5AD1" w:rsidRPr="004D5AD1">
        <w:rPr>
          <w:i/>
          <w:noProof/>
        </w:rPr>
        <w:t>życ</w:t>
      </w:r>
      <w:r w:rsidRPr="004D5AD1">
        <w:rPr>
          <w:i/>
          <w:noProof/>
        </w:rPr>
        <w:t>ie niniejszego rozporządzenia</w:t>
      </w:r>
      <w:r w:rsidRPr="004D5AD1">
        <w:rPr>
          <w:noProof/>
        </w:rPr>
        <w:t xml:space="preserve">] r. </w:t>
      </w:r>
    </w:p>
    <w:p w14:paraId="37D8C4EA" w14:textId="39418535" w:rsidR="00754BB2" w:rsidRPr="004D5AD1" w:rsidRDefault="00754BB2" w:rsidP="0067458B">
      <w:pPr>
        <w:spacing w:before="0" w:after="0"/>
        <w:rPr>
          <w:noProof/>
        </w:rPr>
      </w:pPr>
      <w:r w:rsidRPr="004D5AD1">
        <w:rPr>
          <w:noProof/>
        </w:rPr>
        <w:t>3.</w:t>
      </w:r>
      <w:r w:rsidRPr="004D5AD1">
        <w:rPr>
          <w:noProof/>
        </w:rPr>
        <w:tab/>
        <w:t>Przekazanie uprawnień,</w:t>
      </w:r>
      <w:r w:rsidR="004D5AD1" w:rsidRPr="004D5AD1">
        <w:rPr>
          <w:noProof/>
        </w:rPr>
        <w:t xml:space="preserve"> o</w:t>
      </w:r>
      <w:r w:rsidR="004D5AD1">
        <w:rPr>
          <w:noProof/>
        </w:rPr>
        <w:t> </w:t>
      </w:r>
      <w:r w:rsidR="004D5AD1" w:rsidRPr="004D5AD1">
        <w:rPr>
          <w:noProof/>
        </w:rPr>
        <w:t>któ</w:t>
      </w:r>
      <w:r w:rsidRPr="004D5AD1">
        <w:rPr>
          <w:noProof/>
        </w:rPr>
        <w:t>rych mowa</w:t>
      </w:r>
      <w:r w:rsidR="004D5AD1" w:rsidRPr="004D5AD1">
        <w:rPr>
          <w:noProof/>
        </w:rPr>
        <w:t xml:space="preserve"> w</w:t>
      </w:r>
      <w:r w:rsidR="004D5AD1">
        <w:rPr>
          <w:noProof/>
        </w:rPr>
        <w:t> </w:t>
      </w:r>
      <w:r w:rsidR="004D5AD1" w:rsidRPr="004D5AD1">
        <w:rPr>
          <w:noProof/>
        </w:rPr>
        <w:t>art</w:t>
      </w:r>
      <w:r w:rsidRPr="004D5AD1">
        <w:rPr>
          <w:noProof/>
        </w:rPr>
        <w:t>.</w:t>
      </w:r>
      <w:r w:rsidR="004D5AD1" w:rsidRPr="004D5AD1">
        <w:rPr>
          <w:noProof/>
        </w:rPr>
        <w:t> </w:t>
      </w:r>
      <w:r w:rsidRPr="004D5AD1">
        <w:rPr>
          <w:noProof/>
        </w:rPr>
        <w:t>8 ust.</w:t>
      </w:r>
      <w:r w:rsidR="004D5AD1" w:rsidRPr="004D5AD1">
        <w:rPr>
          <w:noProof/>
        </w:rPr>
        <w:t> </w:t>
      </w:r>
      <w:r w:rsidRPr="004D5AD1">
        <w:rPr>
          <w:noProof/>
        </w:rPr>
        <w:t>5, art.</w:t>
      </w:r>
      <w:r w:rsidR="004D5AD1" w:rsidRPr="004D5AD1">
        <w:rPr>
          <w:noProof/>
        </w:rPr>
        <w:t> </w:t>
      </w:r>
      <w:r w:rsidRPr="004D5AD1">
        <w:rPr>
          <w:noProof/>
        </w:rPr>
        <w:t>22 ust.</w:t>
      </w:r>
      <w:r w:rsidR="004D5AD1" w:rsidRPr="004D5AD1">
        <w:rPr>
          <w:noProof/>
        </w:rPr>
        <w:t> </w:t>
      </w:r>
      <w:r w:rsidRPr="004D5AD1">
        <w:rPr>
          <w:noProof/>
        </w:rPr>
        <w:t>3</w:t>
      </w:r>
      <w:r w:rsidR="004D5AD1" w:rsidRPr="004D5AD1">
        <w:rPr>
          <w:noProof/>
        </w:rPr>
        <w:t xml:space="preserve"> i</w:t>
      </w:r>
      <w:r w:rsidR="004D5AD1">
        <w:rPr>
          <w:noProof/>
        </w:rPr>
        <w:t> </w:t>
      </w:r>
      <w:r w:rsidR="004D5AD1" w:rsidRPr="004D5AD1">
        <w:rPr>
          <w:noProof/>
        </w:rPr>
        <w:t>art</w:t>
      </w:r>
      <w:r w:rsidRPr="004D5AD1">
        <w:rPr>
          <w:noProof/>
        </w:rPr>
        <w:t>.</w:t>
      </w:r>
      <w:r w:rsidR="004D5AD1" w:rsidRPr="004D5AD1">
        <w:rPr>
          <w:noProof/>
        </w:rPr>
        <w:t> </w:t>
      </w:r>
      <w:r w:rsidRPr="004D5AD1">
        <w:rPr>
          <w:noProof/>
        </w:rPr>
        <w:t>27 ust.</w:t>
      </w:r>
      <w:r w:rsidR="004D5AD1" w:rsidRPr="004D5AD1">
        <w:rPr>
          <w:noProof/>
        </w:rPr>
        <w:t> </w:t>
      </w:r>
      <w:r w:rsidRPr="004D5AD1">
        <w:rPr>
          <w:noProof/>
        </w:rPr>
        <w:t>1, może zostać</w:t>
      </w:r>
      <w:r w:rsidR="004D5AD1" w:rsidRPr="004D5AD1">
        <w:rPr>
          <w:noProof/>
        </w:rPr>
        <w:t xml:space="preserve"> w</w:t>
      </w:r>
      <w:r w:rsidR="004D5AD1">
        <w:rPr>
          <w:noProof/>
        </w:rPr>
        <w:t> </w:t>
      </w:r>
      <w:r w:rsidR="004D5AD1" w:rsidRPr="004D5AD1">
        <w:rPr>
          <w:noProof/>
        </w:rPr>
        <w:t>dow</w:t>
      </w:r>
      <w:r w:rsidRPr="004D5AD1">
        <w:rPr>
          <w:noProof/>
        </w:rPr>
        <w:t>olnym momencie odwołane przez Parlament Europejski lub Radę. Decyzja</w:t>
      </w:r>
      <w:r w:rsidR="004D5AD1" w:rsidRPr="004D5AD1">
        <w:rPr>
          <w:noProof/>
        </w:rPr>
        <w:t xml:space="preserve"> o</w:t>
      </w:r>
      <w:r w:rsidR="004D5AD1">
        <w:rPr>
          <w:noProof/>
        </w:rPr>
        <w:t> </w:t>
      </w:r>
      <w:r w:rsidR="004D5AD1" w:rsidRPr="004D5AD1">
        <w:rPr>
          <w:noProof/>
        </w:rPr>
        <w:t>odw</w:t>
      </w:r>
      <w:r w:rsidRPr="004D5AD1">
        <w:rPr>
          <w:noProof/>
        </w:rPr>
        <w:t>ołaniu kończy przekazanie określonych</w:t>
      </w:r>
      <w:r w:rsidR="004D5AD1" w:rsidRPr="004D5AD1">
        <w:rPr>
          <w:noProof/>
        </w:rPr>
        <w:t xml:space="preserve"> w</w:t>
      </w:r>
      <w:r w:rsidR="004D5AD1">
        <w:rPr>
          <w:noProof/>
        </w:rPr>
        <w:t> </w:t>
      </w:r>
      <w:r w:rsidR="004D5AD1" w:rsidRPr="004D5AD1">
        <w:rPr>
          <w:noProof/>
        </w:rPr>
        <w:t>nie</w:t>
      </w:r>
      <w:r w:rsidRPr="004D5AD1">
        <w:rPr>
          <w:noProof/>
        </w:rPr>
        <w:t>j uprawnień. Decyzja</w:t>
      </w:r>
      <w:r w:rsidR="004D5AD1" w:rsidRPr="004D5AD1">
        <w:rPr>
          <w:noProof/>
        </w:rPr>
        <w:t xml:space="preserve"> o</w:t>
      </w:r>
      <w:r w:rsidR="004D5AD1">
        <w:rPr>
          <w:noProof/>
        </w:rPr>
        <w:t> </w:t>
      </w:r>
      <w:r w:rsidR="004D5AD1" w:rsidRPr="004D5AD1">
        <w:rPr>
          <w:noProof/>
        </w:rPr>
        <w:t>odw</w:t>
      </w:r>
      <w:r w:rsidRPr="004D5AD1">
        <w:rPr>
          <w:noProof/>
        </w:rPr>
        <w:t>ołaniu staje się skuteczna następnego dnia po jej opublikowaniu</w:t>
      </w:r>
      <w:r w:rsidR="004D5AD1" w:rsidRPr="004D5AD1">
        <w:rPr>
          <w:noProof/>
        </w:rPr>
        <w:t xml:space="preserve"> w</w:t>
      </w:r>
      <w:r w:rsidR="004D5AD1">
        <w:rPr>
          <w:noProof/>
        </w:rPr>
        <w:t> </w:t>
      </w:r>
      <w:r w:rsidR="004D5AD1" w:rsidRPr="004D5AD1">
        <w:rPr>
          <w:noProof/>
        </w:rPr>
        <w:t>Dzi</w:t>
      </w:r>
      <w:r w:rsidRPr="004D5AD1">
        <w:rPr>
          <w:noProof/>
        </w:rPr>
        <w:t>enniku Urzędowym Unii Europejskiej lub</w:t>
      </w:r>
      <w:r w:rsidR="004D5AD1" w:rsidRPr="004D5AD1">
        <w:rPr>
          <w:noProof/>
        </w:rPr>
        <w:t xml:space="preserve"> w</w:t>
      </w:r>
      <w:r w:rsidR="004D5AD1">
        <w:rPr>
          <w:noProof/>
        </w:rPr>
        <w:t> </w:t>
      </w:r>
      <w:r w:rsidR="004D5AD1" w:rsidRPr="004D5AD1">
        <w:rPr>
          <w:noProof/>
        </w:rPr>
        <w:t>póź</w:t>
      </w:r>
      <w:r w:rsidRPr="004D5AD1">
        <w:rPr>
          <w:noProof/>
        </w:rPr>
        <w:t>niejszym terminie określonym</w:t>
      </w:r>
      <w:r w:rsidR="004D5AD1" w:rsidRPr="004D5AD1">
        <w:rPr>
          <w:noProof/>
        </w:rPr>
        <w:t xml:space="preserve"> w</w:t>
      </w:r>
      <w:r w:rsidR="004D5AD1">
        <w:rPr>
          <w:noProof/>
        </w:rPr>
        <w:t> </w:t>
      </w:r>
      <w:r w:rsidR="004D5AD1" w:rsidRPr="004D5AD1">
        <w:rPr>
          <w:noProof/>
        </w:rPr>
        <w:t>tej</w:t>
      </w:r>
      <w:r w:rsidRPr="004D5AD1">
        <w:rPr>
          <w:noProof/>
        </w:rPr>
        <w:t xml:space="preserve"> decyzji. Nie wpływa ona na ważność już obowiązujących aktów delegowanych.</w:t>
      </w:r>
    </w:p>
    <w:p w14:paraId="7F12DB81" w14:textId="4D7EAE37" w:rsidR="00754BB2" w:rsidRPr="004D5AD1" w:rsidRDefault="00754BB2" w:rsidP="00754BB2">
      <w:pPr>
        <w:rPr>
          <w:noProof/>
        </w:rPr>
      </w:pPr>
      <w:r w:rsidRPr="004D5AD1">
        <w:rPr>
          <w:noProof/>
        </w:rPr>
        <w:t>4.</w:t>
      </w:r>
      <w:r w:rsidRPr="004D5AD1">
        <w:rPr>
          <w:noProof/>
        </w:rPr>
        <w:tab/>
        <w:t>Przed przyjęciem aktu delegowanego Komisja konsultuje się</w:t>
      </w:r>
      <w:r w:rsidR="004D5AD1" w:rsidRPr="004D5AD1">
        <w:rPr>
          <w:noProof/>
        </w:rPr>
        <w:t xml:space="preserve"> z</w:t>
      </w:r>
      <w:r w:rsidR="004D5AD1">
        <w:rPr>
          <w:noProof/>
        </w:rPr>
        <w:t> </w:t>
      </w:r>
      <w:r w:rsidR="004D5AD1" w:rsidRPr="004D5AD1">
        <w:rPr>
          <w:noProof/>
        </w:rPr>
        <w:t>eks</w:t>
      </w:r>
      <w:r w:rsidRPr="004D5AD1">
        <w:rPr>
          <w:noProof/>
        </w:rPr>
        <w:t>pertami wyznaczonymi przez każde państwo członkowskie zgodnie</w:t>
      </w:r>
      <w:r w:rsidR="004D5AD1" w:rsidRPr="004D5AD1">
        <w:rPr>
          <w:noProof/>
        </w:rPr>
        <w:t xml:space="preserve"> z</w:t>
      </w:r>
      <w:r w:rsidR="004D5AD1">
        <w:rPr>
          <w:noProof/>
        </w:rPr>
        <w:t> </w:t>
      </w:r>
      <w:r w:rsidR="004D5AD1" w:rsidRPr="004D5AD1">
        <w:rPr>
          <w:noProof/>
        </w:rPr>
        <w:t>zas</w:t>
      </w:r>
      <w:r w:rsidRPr="004D5AD1">
        <w:rPr>
          <w:noProof/>
        </w:rPr>
        <w:t>adami określonymi</w:t>
      </w:r>
      <w:r w:rsidR="004D5AD1" w:rsidRPr="004D5AD1">
        <w:rPr>
          <w:noProof/>
        </w:rPr>
        <w:t xml:space="preserve"> w</w:t>
      </w:r>
      <w:r w:rsidR="004D5AD1">
        <w:rPr>
          <w:noProof/>
        </w:rPr>
        <w:t> </w:t>
      </w:r>
      <w:r w:rsidR="004D5AD1" w:rsidRPr="004D5AD1">
        <w:rPr>
          <w:noProof/>
        </w:rPr>
        <w:t>Por</w:t>
      </w:r>
      <w:r w:rsidRPr="004D5AD1">
        <w:rPr>
          <w:noProof/>
        </w:rPr>
        <w:t>ozumieniu międzyinstytucjonalnym</w:t>
      </w:r>
      <w:r w:rsidR="004D5AD1" w:rsidRPr="004D5AD1">
        <w:rPr>
          <w:noProof/>
        </w:rPr>
        <w:t xml:space="preserve"> w</w:t>
      </w:r>
      <w:r w:rsidR="004D5AD1">
        <w:rPr>
          <w:noProof/>
        </w:rPr>
        <w:t> </w:t>
      </w:r>
      <w:r w:rsidR="004D5AD1" w:rsidRPr="004D5AD1">
        <w:rPr>
          <w:noProof/>
        </w:rPr>
        <w:t>spr</w:t>
      </w:r>
      <w:r w:rsidRPr="004D5AD1">
        <w:rPr>
          <w:noProof/>
        </w:rPr>
        <w:t>awie lepszego stanowienia prawa</w:t>
      </w:r>
      <w:r w:rsidR="004D5AD1" w:rsidRPr="004D5AD1">
        <w:rPr>
          <w:noProof/>
        </w:rPr>
        <w:t xml:space="preserve"> z</w:t>
      </w:r>
      <w:r w:rsidR="004D5AD1">
        <w:rPr>
          <w:noProof/>
        </w:rPr>
        <w:t> </w:t>
      </w:r>
      <w:r w:rsidR="004D5AD1" w:rsidRPr="004D5AD1">
        <w:rPr>
          <w:noProof/>
        </w:rPr>
        <w:t>dni</w:t>
      </w:r>
      <w:r w:rsidRPr="004D5AD1">
        <w:rPr>
          <w:noProof/>
        </w:rPr>
        <w:t>a 13 kwietnia 2016</w:t>
      </w:r>
      <w:r w:rsidR="004D5AD1" w:rsidRPr="004D5AD1">
        <w:rPr>
          <w:noProof/>
        </w:rPr>
        <w:t> </w:t>
      </w:r>
      <w:r w:rsidRPr="004D5AD1">
        <w:rPr>
          <w:noProof/>
        </w:rPr>
        <w:t>r.</w:t>
      </w:r>
    </w:p>
    <w:p w14:paraId="117BEB30" w14:textId="633B1E25" w:rsidR="00754BB2" w:rsidRPr="004D5AD1" w:rsidRDefault="00754BB2" w:rsidP="00754BB2">
      <w:pPr>
        <w:rPr>
          <w:noProof/>
        </w:rPr>
      </w:pPr>
      <w:r w:rsidRPr="004D5AD1">
        <w:rPr>
          <w:noProof/>
        </w:rPr>
        <w:t>5.</w:t>
      </w:r>
      <w:r w:rsidRPr="004D5AD1">
        <w:rPr>
          <w:noProof/>
        </w:rPr>
        <w:tab/>
        <w:t>Niezwłocznie po przyjęciu aktu delegowanego Komisja przekazuje go równocześnie Parlamentowi Europejskiemu</w:t>
      </w:r>
      <w:r w:rsidR="004D5AD1" w:rsidRPr="004D5AD1">
        <w:rPr>
          <w:noProof/>
        </w:rPr>
        <w:t xml:space="preserve"> i</w:t>
      </w:r>
      <w:r w:rsidR="004D5AD1">
        <w:rPr>
          <w:noProof/>
        </w:rPr>
        <w:t> </w:t>
      </w:r>
      <w:r w:rsidR="004D5AD1" w:rsidRPr="004D5AD1">
        <w:rPr>
          <w:noProof/>
        </w:rPr>
        <w:t>Rad</w:t>
      </w:r>
      <w:r w:rsidRPr="004D5AD1">
        <w:rPr>
          <w:noProof/>
        </w:rPr>
        <w:t xml:space="preserve">zie. </w:t>
      </w:r>
    </w:p>
    <w:p w14:paraId="59FA45B6" w14:textId="124DBB59" w:rsidR="00754BB2" w:rsidRPr="004D5AD1" w:rsidRDefault="00754BB2" w:rsidP="00754BB2">
      <w:pPr>
        <w:rPr>
          <w:noProof/>
        </w:rPr>
      </w:pPr>
      <w:r w:rsidRPr="004D5AD1">
        <w:rPr>
          <w:noProof/>
        </w:rPr>
        <w:t>6.</w:t>
      </w:r>
      <w:r w:rsidRPr="004D5AD1">
        <w:rPr>
          <w:noProof/>
        </w:rPr>
        <w:tab/>
        <w:t>Akt delegowany przyjęty na podstawie art.</w:t>
      </w:r>
      <w:r w:rsidR="004D5AD1" w:rsidRPr="004D5AD1">
        <w:rPr>
          <w:noProof/>
        </w:rPr>
        <w:t> </w:t>
      </w:r>
      <w:r w:rsidRPr="004D5AD1">
        <w:rPr>
          <w:noProof/>
        </w:rPr>
        <w:t>8 ust.</w:t>
      </w:r>
      <w:r w:rsidR="004D5AD1" w:rsidRPr="004D5AD1">
        <w:rPr>
          <w:noProof/>
        </w:rPr>
        <w:t> </w:t>
      </w:r>
      <w:r w:rsidRPr="004D5AD1">
        <w:rPr>
          <w:noProof/>
        </w:rPr>
        <w:t>5, art.</w:t>
      </w:r>
      <w:r w:rsidR="004D5AD1" w:rsidRPr="004D5AD1">
        <w:rPr>
          <w:noProof/>
        </w:rPr>
        <w:t> </w:t>
      </w:r>
      <w:r w:rsidRPr="004D5AD1">
        <w:rPr>
          <w:noProof/>
        </w:rPr>
        <w:t>22 ust.</w:t>
      </w:r>
      <w:r w:rsidR="004D5AD1" w:rsidRPr="004D5AD1">
        <w:rPr>
          <w:noProof/>
        </w:rPr>
        <w:t> </w:t>
      </w:r>
      <w:r w:rsidRPr="004D5AD1">
        <w:rPr>
          <w:noProof/>
        </w:rPr>
        <w:t>3</w:t>
      </w:r>
      <w:r w:rsidR="004D5AD1" w:rsidRPr="004D5AD1">
        <w:rPr>
          <w:noProof/>
        </w:rPr>
        <w:t xml:space="preserve"> i</w:t>
      </w:r>
      <w:r w:rsidR="004D5AD1">
        <w:rPr>
          <w:noProof/>
        </w:rPr>
        <w:t> </w:t>
      </w:r>
      <w:r w:rsidR="004D5AD1" w:rsidRPr="004D5AD1">
        <w:rPr>
          <w:noProof/>
        </w:rPr>
        <w:t>art</w:t>
      </w:r>
      <w:r w:rsidRPr="004D5AD1">
        <w:rPr>
          <w:noProof/>
        </w:rPr>
        <w:t>.</w:t>
      </w:r>
      <w:r w:rsidR="004D5AD1" w:rsidRPr="004D5AD1">
        <w:rPr>
          <w:noProof/>
        </w:rPr>
        <w:t> </w:t>
      </w:r>
      <w:r w:rsidRPr="004D5AD1">
        <w:rPr>
          <w:noProof/>
        </w:rPr>
        <w:t>27 ust.</w:t>
      </w:r>
      <w:r w:rsidR="004D5AD1" w:rsidRPr="004D5AD1">
        <w:rPr>
          <w:noProof/>
        </w:rPr>
        <w:t> </w:t>
      </w:r>
      <w:r w:rsidRPr="004D5AD1">
        <w:rPr>
          <w:noProof/>
        </w:rPr>
        <w:t>1 wchodzi</w:t>
      </w:r>
      <w:r w:rsidR="004D5AD1" w:rsidRPr="004D5AD1">
        <w:rPr>
          <w:noProof/>
        </w:rPr>
        <w:t xml:space="preserve"> w</w:t>
      </w:r>
      <w:r w:rsidR="004D5AD1">
        <w:rPr>
          <w:noProof/>
        </w:rPr>
        <w:t> </w:t>
      </w:r>
      <w:r w:rsidR="004D5AD1" w:rsidRPr="004D5AD1">
        <w:rPr>
          <w:noProof/>
        </w:rPr>
        <w:t>życ</w:t>
      </w:r>
      <w:r w:rsidRPr="004D5AD1">
        <w:rPr>
          <w:noProof/>
        </w:rPr>
        <w:t>ie tylko wówczas, gdy ani Parlament Europejski, ani Rada nie wyraziły sprzeciwu</w:t>
      </w:r>
      <w:r w:rsidR="004D5AD1" w:rsidRPr="004D5AD1">
        <w:rPr>
          <w:noProof/>
        </w:rPr>
        <w:t xml:space="preserve"> w</w:t>
      </w:r>
      <w:r w:rsidR="004D5AD1">
        <w:rPr>
          <w:noProof/>
        </w:rPr>
        <w:t> </w:t>
      </w:r>
      <w:r w:rsidR="004D5AD1" w:rsidRPr="004D5AD1">
        <w:rPr>
          <w:noProof/>
        </w:rPr>
        <w:t>ter</w:t>
      </w:r>
      <w:r w:rsidRPr="004D5AD1">
        <w:rPr>
          <w:noProof/>
        </w:rPr>
        <w:t>minie dwóch miesięcy od przekazania tego aktu Parlamentowi Europejskiemu</w:t>
      </w:r>
      <w:r w:rsidR="004D5AD1" w:rsidRPr="004D5AD1">
        <w:rPr>
          <w:noProof/>
        </w:rPr>
        <w:t xml:space="preserve"> i</w:t>
      </w:r>
      <w:r w:rsidR="004D5AD1">
        <w:rPr>
          <w:noProof/>
        </w:rPr>
        <w:t> </w:t>
      </w:r>
      <w:r w:rsidR="004D5AD1" w:rsidRPr="004D5AD1">
        <w:rPr>
          <w:noProof/>
        </w:rPr>
        <w:t>Rad</w:t>
      </w:r>
      <w:r w:rsidRPr="004D5AD1">
        <w:rPr>
          <w:noProof/>
        </w:rPr>
        <w:t>zie, lub gdy, przed upływem tego terminu, zarówno Parlament Europejski, jak</w:t>
      </w:r>
      <w:r w:rsidR="004D5AD1" w:rsidRPr="004D5AD1">
        <w:rPr>
          <w:noProof/>
        </w:rPr>
        <w:t xml:space="preserve"> i</w:t>
      </w:r>
      <w:r w:rsidR="004D5AD1">
        <w:rPr>
          <w:noProof/>
        </w:rPr>
        <w:t> </w:t>
      </w:r>
      <w:r w:rsidR="004D5AD1" w:rsidRPr="004D5AD1">
        <w:rPr>
          <w:noProof/>
        </w:rPr>
        <w:t>Rad</w:t>
      </w:r>
      <w:r w:rsidRPr="004D5AD1">
        <w:rPr>
          <w:noProof/>
        </w:rPr>
        <w:t>a poinformowały Komisję, że nie wniosą sprzeciwu. Termin ten przedłuża się</w:t>
      </w:r>
      <w:r w:rsidR="004D5AD1" w:rsidRPr="004D5AD1">
        <w:rPr>
          <w:noProof/>
        </w:rPr>
        <w:t xml:space="preserve"> o</w:t>
      </w:r>
      <w:r w:rsidR="004D5AD1">
        <w:rPr>
          <w:noProof/>
        </w:rPr>
        <w:t> </w:t>
      </w:r>
      <w:r w:rsidR="004D5AD1" w:rsidRPr="004D5AD1">
        <w:rPr>
          <w:noProof/>
        </w:rPr>
        <w:t>dwa</w:t>
      </w:r>
      <w:r w:rsidRPr="004D5AD1">
        <w:rPr>
          <w:noProof/>
        </w:rPr>
        <w:t xml:space="preserve"> miesiące</w:t>
      </w:r>
      <w:r w:rsidR="004D5AD1" w:rsidRPr="004D5AD1">
        <w:rPr>
          <w:noProof/>
        </w:rPr>
        <w:t xml:space="preserve"> z</w:t>
      </w:r>
      <w:r w:rsidR="004D5AD1">
        <w:rPr>
          <w:noProof/>
        </w:rPr>
        <w:t> </w:t>
      </w:r>
      <w:r w:rsidR="004D5AD1" w:rsidRPr="004D5AD1">
        <w:rPr>
          <w:noProof/>
        </w:rPr>
        <w:t>ini</w:t>
      </w:r>
      <w:r w:rsidRPr="004D5AD1">
        <w:rPr>
          <w:noProof/>
        </w:rPr>
        <w:t>cjatywy Parlamentu Europejskiego lub Rady.</w:t>
      </w:r>
    </w:p>
    <w:p w14:paraId="7E8E4770" w14:textId="77777777" w:rsidR="00754BB2" w:rsidRPr="004D5AD1" w:rsidRDefault="00754BB2" w:rsidP="0067458B">
      <w:pPr>
        <w:spacing w:before="0" w:after="0"/>
        <w:rPr>
          <w:noProof/>
        </w:rPr>
      </w:pPr>
    </w:p>
    <w:p w14:paraId="5FE7886C" w14:textId="54B54E88" w:rsidR="005E07D8" w:rsidRPr="004D5AD1" w:rsidRDefault="005E07D8" w:rsidP="00754BB2">
      <w:pPr>
        <w:pStyle w:val="Titrearticle"/>
        <w:rPr>
          <w:noProof/>
        </w:rPr>
      </w:pPr>
      <w:r w:rsidRPr="004D5AD1">
        <w:rPr>
          <w:noProof/>
        </w:rPr>
        <w:t>Artykuł 32</w:t>
      </w:r>
    </w:p>
    <w:p w14:paraId="50698B26" w14:textId="7E1BE8E5" w:rsidR="005E07D8" w:rsidRPr="004D5AD1" w:rsidRDefault="005E07D8" w:rsidP="00754BB2">
      <w:pPr>
        <w:pStyle w:val="NormalCentered"/>
        <w:rPr>
          <w:b/>
          <w:noProof/>
        </w:rPr>
      </w:pPr>
      <w:r w:rsidRPr="004D5AD1">
        <w:rPr>
          <w:b/>
          <w:noProof/>
        </w:rPr>
        <w:t>Procedura komitetowa</w:t>
      </w:r>
    </w:p>
    <w:p w14:paraId="7C0C0A91" w14:textId="6F246146" w:rsidR="005E07D8" w:rsidRPr="004D5AD1" w:rsidRDefault="005E07D8" w:rsidP="00754BB2">
      <w:pPr>
        <w:rPr>
          <w:noProof/>
        </w:rPr>
      </w:pPr>
      <w:r w:rsidRPr="004D5AD1">
        <w:rPr>
          <w:noProof/>
        </w:rPr>
        <w:t>1.</w:t>
      </w:r>
      <w:r w:rsidR="004D5AD1" w:rsidRPr="004D5AD1">
        <w:rPr>
          <w:noProof/>
        </w:rPr>
        <w:tab/>
      </w:r>
      <w:r w:rsidRPr="004D5AD1">
        <w:rPr>
          <w:noProof/>
        </w:rPr>
        <w:t>Komisję wspomaga Komitet ds. Unii Energetycznej ustanowiony na mocy art.</w:t>
      </w:r>
      <w:r w:rsidR="004D5AD1" w:rsidRPr="004D5AD1">
        <w:rPr>
          <w:noProof/>
        </w:rPr>
        <w:t> </w:t>
      </w:r>
      <w:r w:rsidRPr="004D5AD1">
        <w:rPr>
          <w:noProof/>
        </w:rPr>
        <w:t>44 rozporządzenia (UE) 2018/1999.</w:t>
      </w:r>
    </w:p>
    <w:p w14:paraId="2BA4249A" w14:textId="06C80A3F" w:rsidR="00072BA0" w:rsidRPr="004D5AD1" w:rsidRDefault="005E07D8" w:rsidP="004D5AD1">
      <w:pPr>
        <w:rPr>
          <w:noProof/>
        </w:rPr>
      </w:pPr>
      <w:r w:rsidRPr="004D5AD1">
        <w:rPr>
          <w:noProof/>
        </w:rPr>
        <w:t>2.</w:t>
      </w:r>
      <w:r w:rsidRPr="004D5AD1">
        <w:rPr>
          <w:noProof/>
        </w:rPr>
        <w:tab/>
        <w:t>W przypadku odesłania do niniejszego ustępu stosuje się art.</w:t>
      </w:r>
      <w:r w:rsidR="004D5AD1" w:rsidRPr="004D5AD1">
        <w:rPr>
          <w:noProof/>
        </w:rPr>
        <w:t> </w:t>
      </w:r>
      <w:r w:rsidRPr="004D5AD1">
        <w:rPr>
          <w:noProof/>
        </w:rPr>
        <w:t>4 rozporządzenia (UE) nr</w:t>
      </w:r>
      <w:r w:rsidR="004D5AD1" w:rsidRPr="004D5AD1">
        <w:rPr>
          <w:noProof/>
        </w:rPr>
        <w:t> </w:t>
      </w:r>
      <w:r w:rsidRPr="004D5AD1">
        <w:rPr>
          <w:noProof/>
        </w:rPr>
        <w:t>182/2011.</w:t>
      </w:r>
    </w:p>
    <w:p w14:paraId="7CAF185B" w14:textId="77777777" w:rsidR="00AA7224" w:rsidRPr="004D5AD1" w:rsidRDefault="00AA7224" w:rsidP="00754BB2">
      <w:pPr>
        <w:rPr>
          <w:noProof/>
        </w:rPr>
      </w:pPr>
    </w:p>
    <w:p w14:paraId="36711FD9" w14:textId="3BB75F15" w:rsidR="0010636C" w:rsidRPr="004D5AD1" w:rsidRDefault="0010636C" w:rsidP="0010636C">
      <w:pPr>
        <w:pStyle w:val="Titrearticle"/>
        <w:rPr>
          <w:noProof/>
        </w:rPr>
      </w:pPr>
      <w:r w:rsidRPr="004D5AD1">
        <w:rPr>
          <w:noProof/>
        </w:rPr>
        <w:t>Artykuł 33</w:t>
      </w:r>
    </w:p>
    <w:p w14:paraId="2CDF983B" w14:textId="77777777" w:rsidR="0010636C" w:rsidRPr="004D5AD1" w:rsidRDefault="0010636C" w:rsidP="0010636C">
      <w:pPr>
        <w:pStyle w:val="NormalCentered"/>
        <w:rPr>
          <w:b/>
          <w:noProof/>
        </w:rPr>
      </w:pPr>
      <w:r w:rsidRPr="004D5AD1">
        <w:rPr>
          <w:b/>
          <w:noProof/>
        </w:rPr>
        <w:t>Przegląd</w:t>
      </w:r>
    </w:p>
    <w:p w14:paraId="18DFE574" w14:textId="587D0EA7" w:rsidR="0010636C" w:rsidRPr="004D5AD1" w:rsidRDefault="0010636C" w:rsidP="0010636C">
      <w:pPr>
        <w:rPr>
          <w:noProof/>
        </w:rPr>
      </w:pPr>
      <w:r w:rsidRPr="004D5AD1">
        <w:rPr>
          <w:noProof/>
        </w:rPr>
        <w:t>1.</w:t>
      </w:r>
      <w:r w:rsidRPr="004D5AD1">
        <w:rPr>
          <w:noProof/>
        </w:rPr>
        <w:tab/>
        <w:t>Komisja co pięć lat przedkłada Parlamentowi Europejskiemu</w:t>
      </w:r>
      <w:r w:rsidR="004D5AD1" w:rsidRPr="004D5AD1">
        <w:rPr>
          <w:noProof/>
        </w:rPr>
        <w:t xml:space="preserve"> i</w:t>
      </w:r>
      <w:r w:rsidR="004D5AD1">
        <w:rPr>
          <w:noProof/>
        </w:rPr>
        <w:t> </w:t>
      </w:r>
      <w:r w:rsidR="004D5AD1" w:rsidRPr="004D5AD1">
        <w:rPr>
          <w:noProof/>
        </w:rPr>
        <w:t>Rad</w:t>
      </w:r>
      <w:r w:rsidRPr="004D5AD1">
        <w:rPr>
          <w:noProof/>
        </w:rPr>
        <w:t>zie sprawozdania</w:t>
      </w:r>
      <w:r w:rsidR="004D5AD1" w:rsidRPr="004D5AD1">
        <w:rPr>
          <w:noProof/>
        </w:rPr>
        <w:t xml:space="preserve"> z</w:t>
      </w:r>
      <w:r w:rsidR="004D5AD1">
        <w:rPr>
          <w:noProof/>
        </w:rPr>
        <w:t> </w:t>
      </w:r>
      <w:r w:rsidR="004D5AD1" w:rsidRPr="004D5AD1">
        <w:rPr>
          <w:noProof/>
        </w:rPr>
        <w:t>oce</w:t>
      </w:r>
      <w:r w:rsidRPr="004D5AD1">
        <w:rPr>
          <w:noProof/>
        </w:rPr>
        <w:t>ny niniejszego rozporządzenia</w:t>
      </w:r>
      <w:r w:rsidR="004D5AD1" w:rsidRPr="004D5AD1">
        <w:rPr>
          <w:noProof/>
        </w:rPr>
        <w:t xml:space="preserve"> i</w:t>
      </w:r>
      <w:r w:rsidR="004D5AD1">
        <w:rPr>
          <w:noProof/>
        </w:rPr>
        <w:t> </w:t>
      </w:r>
      <w:r w:rsidR="004D5AD1" w:rsidRPr="004D5AD1">
        <w:rPr>
          <w:noProof/>
        </w:rPr>
        <w:t>w</w:t>
      </w:r>
      <w:r w:rsidR="004D5AD1">
        <w:rPr>
          <w:noProof/>
        </w:rPr>
        <w:t> </w:t>
      </w:r>
      <w:r w:rsidR="004D5AD1" w:rsidRPr="004D5AD1">
        <w:rPr>
          <w:noProof/>
        </w:rPr>
        <w:t>sto</w:t>
      </w:r>
      <w:r w:rsidRPr="004D5AD1">
        <w:rPr>
          <w:noProof/>
        </w:rPr>
        <w:t>sownych przypadkach przedstawia wnioski ustawodawcze dotyczące jego zmiany. Sprawozdania podaje się do wiadomości publicznej.</w:t>
      </w:r>
    </w:p>
    <w:p w14:paraId="7B756833" w14:textId="32EC31A1" w:rsidR="0010636C" w:rsidRPr="004D5AD1" w:rsidRDefault="0031705A" w:rsidP="004E0EE6">
      <w:pPr>
        <w:rPr>
          <w:noProof/>
        </w:rPr>
      </w:pPr>
      <w:r w:rsidRPr="004D5AD1">
        <w:rPr>
          <w:noProof/>
        </w:rPr>
        <w:t>2.</w:t>
      </w:r>
      <w:r w:rsidRPr="004D5AD1">
        <w:rPr>
          <w:noProof/>
        </w:rPr>
        <w:tab/>
        <w:t>Do celów niniejszego artykułu Komisja może wystąpić do państw członkowskich</w:t>
      </w:r>
      <w:r w:rsidR="004D5AD1" w:rsidRPr="004D5AD1">
        <w:rPr>
          <w:noProof/>
        </w:rPr>
        <w:t xml:space="preserve"> i</w:t>
      </w:r>
      <w:r w:rsidR="004D5AD1">
        <w:rPr>
          <w:noProof/>
        </w:rPr>
        <w:t> </w:t>
      </w:r>
      <w:r w:rsidR="004D5AD1" w:rsidRPr="004D5AD1">
        <w:rPr>
          <w:noProof/>
        </w:rPr>
        <w:t>wła</w:t>
      </w:r>
      <w:r w:rsidRPr="004D5AD1">
        <w:rPr>
          <w:noProof/>
        </w:rPr>
        <w:t>ściwych organów</w:t>
      </w:r>
      <w:r w:rsidR="004D5AD1" w:rsidRPr="004D5AD1">
        <w:rPr>
          <w:noProof/>
        </w:rPr>
        <w:t xml:space="preserve"> o</w:t>
      </w:r>
      <w:r w:rsidR="004D5AD1">
        <w:rPr>
          <w:noProof/>
        </w:rPr>
        <w:t> </w:t>
      </w:r>
      <w:r w:rsidR="004D5AD1" w:rsidRPr="004D5AD1">
        <w:rPr>
          <w:noProof/>
        </w:rPr>
        <w:t>udz</w:t>
      </w:r>
      <w:r w:rsidRPr="004D5AD1">
        <w:rPr>
          <w:noProof/>
        </w:rPr>
        <w:t>ielenie informacji,</w:t>
      </w:r>
      <w:r w:rsidR="004D5AD1" w:rsidRPr="004D5AD1">
        <w:rPr>
          <w:noProof/>
        </w:rPr>
        <w:t xml:space="preserve"> a</w:t>
      </w:r>
      <w:r w:rsidR="004D5AD1">
        <w:rPr>
          <w:noProof/>
        </w:rPr>
        <w:t> </w:t>
      </w:r>
      <w:r w:rsidR="004D5AD1" w:rsidRPr="004D5AD1">
        <w:rPr>
          <w:noProof/>
        </w:rPr>
        <w:t>w</w:t>
      </w:r>
      <w:r w:rsidR="004D5AD1">
        <w:rPr>
          <w:noProof/>
        </w:rPr>
        <w:t> </w:t>
      </w:r>
      <w:r w:rsidR="004D5AD1" w:rsidRPr="004D5AD1">
        <w:rPr>
          <w:noProof/>
        </w:rPr>
        <w:t>szc</w:t>
      </w:r>
      <w:r w:rsidRPr="004D5AD1">
        <w:rPr>
          <w:noProof/>
        </w:rPr>
        <w:t>zególności uwzględnia informacje przedstawione przez państwa członkowskie</w:t>
      </w:r>
      <w:r w:rsidR="004D5AD1" w:rsidRPr="004D5AD1">
        <w:rPr>
          <w:noProof/>
        </w:rPr>
        <w:t xml:space="preserve"> w</w:t>
      </w:r>
      <w:r w:rsidR="004D5AD1">
        <w:rPr>
          <w:noProof/>
        </w:rPr>
        <w:t> </w:t>
      </w:r>
      <w:r w:rsidR="004D5AD1" w:rsidRPr="004D5AD1">
        <w:rPr>
          <w:noProof/>
        </w:rPr>
        <w:t>zin</w:t>
      </w:r>
      <w:r w:rsidRPr="004D5AD1">
        <w:rPr>
          <w:noProof/>
        </w:rPr>
        <w:t>tegrowanych krajowych planach</w:t>
      </w:r>
      <w:r w:rsidR="004D5AD1" w:rsidRPr="004D5AD1">
        <w:rPr>
          <w:noProof/>
        </w:rPr>
        <w:t xml:space="preserve"> w</w:t>
      </w:r>
      <w:r w:rsidR="004D5AD1">
        <w:rPr>
          <w:noProof/>
        </w:rPr>
        <w:t> </w:t>
      </w:r>
      <w:r w:rsidR="004D5AD1" w:rsidRPr="004D5AD1">
        <w:rPr>
          <w:noProof/>
        </w:rPr>
        <w:t>dzi</w:t>
      </w:r>
      <w:r w:rsidRPr="004D5AD1">
        <w:rPr>
          <w:noProof/>
        </w:rPr>
        <w:t>edzinie energii</w:t>
      </w:r>
      <w:r w:rsidR="004D5AD1" w:rsidRPr="004D5AD1">
        <w:rPr>
          <w:noProof/>
        </w:rPr>
        <w:t xml:space="preserve"> i</w:t>
      </w:r>
      <w:r w:rsidR="004D5AD1">
        <w:rPr>
          <w:noProof/>
        </w:rPr>
        <w:t> </w:t>
      </w:r>
      <w:r w:rsidR="004D5AD1" w:rsidRPr="004D5AD1">
        <w:rPr>
          <w:noProof/>
        </w:rPr>
        <w:t>kli</w:t>
      </w:r>
      <w:r w:rsidRPr="004D5AD1">
        <w:rPr>
          <w:noProof/>
        </w:rPr>
        <w:t>matu, ich aktualizacjach oraz</w:t>
      </w:r>
      <w:r w:rsidR="004D5AD1" w:rsidRPr="004D5AD1">
        <w:rPr>
          <w:noProof/>
        </w:rPr>
        <w:t xml:space="preserve"> w</w:t>
      </w:r>
      <w:r w:rsidR="004D5AD1">
        <w:rPr>
          <w:noProof/>
        </w:rPr>
        <w:t> </w:t>
      </w:r>
      <w:r w:rsidR="004D5AD1" w:rsidRPr="004D5AD1">
        <w:rPr>
          <w:noProof/>
        </w:rPr>
        <w:t>spr</w:t>
      </w:r>
      <w:r w:rsidRPr="004D5AD1">
        <w:rPr>
          <w:noProof/>
        </w:rPr>
        <w:t>awozdaniach</w:t>
      </w:r>
      <w:r w:rsidR="004D5AD1" w:rsidRPr="004D5AD1">
        <w:rPr>
          <w:noProof/>
        </w:rPr>
        <w:t xml:space="preserve"> w</w:t>
      </w:r>
      <w:r w:rsidR="004D5AD1">
        <w:rPr>
          <w:noProof/>
        </w:rPr>
        <w:t> </w:t>
      </w:r>
      <w:r w:rsidR="004D5AD1" w:rsidRPr="004D5AD1">
        <w:rPr>
          <w:noProof/>
        </w:rPr>
        <w:t>dzi</w:t>
      </w:r>
      <w:r w:rsidRPr="004D5AD1">
        <w:rPr>
          <w:noProof/>
        </w:rPr>
        <w:t>edzinie energii</w:t>
      </w:r>
      <w:r w:rsidR="004D5AD1" w:rsidRPr="004D5AD1">
        <w:rPr>
          <w:noProof/>
        </w:rPr>
        <w:t xml:space="preserve"> i</w:t>
      </w:r>
      <w:r w:rsidR="004D5AD1">
        <w:rPr>
          <w:noProof/>
        </w:rPr>
        <w:t> </w:t>
      </w:r>
      <w:r w:rsidR="004D5AD1" w:rsidRPr="004D5AD1">
        <w:rPr>
          <w:noProof/>
        </w:rPr>
        <w:t>kli</w:t>
      </w:r>
      <w:r w:rsidRPr="004D5AD1">
        <w:rPr>
          <w:noProof/>
        </w:rPr>
        <w:t>matu dotyczących postępów na podstawie rozporządzenia (UE) 2018/1999.</w:t>
      </w:r>
    </w:p>
    <w:p w14:paraId="47BB0F9F" w14:textId="77777777" w:rsidR="00AA7224" w:rsidRPr="004D5AD1" w:rsidRDefault="00AA7224" w:rsidP="00E212DB">
      <w:pPr>
        <w:rPr>
          <w:noProof/>
        </w:rPr>
      </w:pPr>
    </w:p>
    <w:p w14:paraId="3F407777" w14:textId="29C8996F" w:rsidR="006B181C" w:rsidRPr="004D5AD1" w:rsidRDefault="006B181C" w:rsidP="006B181C">
      <w:pPr>
        <w:pStyle w:val="Titrearticle"/>
        <w:rPr>
          <w:noProof/>
        </w:rPr>
      </w:pPr>
      <w:r w:rsidRPr="004D5AD1">
        <w:rPr>
          <w:noProof/>
        </w:rPr>
        <w:t>Artykuł 34</w:t>
      </w:r>
    </w:p>
    <w:p w14:paraId="2733D3D1" w14:textId="25FA4DFC" w:rsidR="006B181C" w:rsidRPr="004D5AD1" w:rsidRDefault="006B181C" w:rsidP="006B181C">
      <w:pPr>
        <w:pStyle w:val="NormalCentered"/>
        <w:rPr>
          <w:b/>
          <w:noProof/>
        </w:rPr>
      </w:pPr>
      <w:r w:rsidRPr="004D5AD1">
        <w:rPr>
          <w:b/>
          <w:noProof/>
        </w:rPr>
        <w:t>Zmiany</w:t>
      </w:r>
      <w:r w:rsidR="004D5AD1" w:rsidRPr="004D5AD1">
        <w:rPr>
          <w:b/>
          <w:noProof/>
        </w:rPr>
        <w:t xml:space="preserve"> w</w:t>
      </w:r>
      <w:r w:rsidR="004D5AD1">
        <w:rPr>
          <w:b/>
          <w:noProof/>
        </w:rPr>
        <w:t> </w:t>
      </w:r>
      <w:r w:rsidR="004D5AD1" w:rsidRPr="004D5AD1">
        <w:rPr>
          <w:b/>
          <w:noProof/>
        </w:rPr>
        <w:t>roz</w:t>
      </w:r>
      <w:r w:rsidRPr="004D5AD1">
        <w:rPr>
          <w:b/>
          <w:noProof/>
        </w:rPr>
        <w:t>porządzeniu (UE) 2019/942</w:t>
      </w:r>
    </w:p>
    <w:p w14:paraId="0A51CCA0" w14:textId="4421F8EB" w:rsidR="006B181C" w:rsidRPr="004D5AD1" w:rsidRDefault="006B181C" w:rsidP="006B181C">
      <w:pPr>
        <w:rPr>
          <w:noProof/>
        </w:rPr>
      </w:pPr>
      <w:r w:rsidRPr="004D5AD1">
        <w:rPr>
          <w:noProof/>
        </w:rPr>
        <w:t>W art.</w:t>
      </w:r>
      <w:r w:rsidR="004D5AD1" w:rsidRPr="004D5AD1">
        <w:rPr>
          <w:noProof/>
        </w:rPr>
        <w:t> </w:t>
      </w:r>
      <w:r w:rsidRPr="004D5AD1">
        <w:rPr>
          <w:noProof/>
        </w:rPr>
        <w:t>15 rozporządzenia Parlamentu Europejskiego</w:t>
      </w:r>
      <w:r w:rsidR="004D5AD1" w:rsidRPr="004D5AD1">
        <w:rPr>
          <w:noProof/>
        </w:rPr>
        <w:t xml:space="preserve"> i</w:t>
      </w:r>
      <w:r w:rsidR="004D5AD1">
        <w:rPr>
          <w:noProof/>
        </w:rPr>
        <w:t> </w:t>
      </w:r>
      <w:r w:rsidR="004D5AD1" w:rsidRPr="004D5AD1">
        <w:rPr>
          <w:noProof/>
        </w:rPr>
        <w:t>Rad</w:t>
      </w:r>
      <w:r w:rsidRPr="004D5AD1">
        <w:rPr>
          <w:noProof/>
        </w:rPr>
        <w:t>y (UE) 2019/942 dodaje się ustęp 5</w:t>
      </w:r>
      <w:r w:rsidR="004D5AD1" w:rsidRPr="004D5AD1">
        <w:rPr>
          <w:noProof/>
        </w:rPr>
        <w:t xml:space="preserve"> w</w:t>
      </w:r>
      <w:r w:rsidR="004D5AD1">
        <w:rPr>
          <w:noProof/>
        </w:rPr>
        <w:t> </w:t>
      </w:r>
      <w:r w:rsidR="004D5AD1" w:rsidRPr="004D5AD1">
        <w:rPr>
          <w:noProof/>
        </w:rPr>
        <w:t>brz</w:t>
      </w:r>
      <w:r w:rsidRPr="004D5AD1">
        <w:rPr>
          <w:noProof/>
        </w:rPr>
        <w:t>mieniu:</w:t>
      </w:r>
    </w:p>
    <w:p w14:paraId="13667F48" w14:textId="5671126B" w:rsidR="006B181C" w:rsidRPr="004D5AD1" w:rsidRDefault="006B181C" w:rsidP="006B181C">
      <w:pPr>
        <w:rPr>
          <w:noProof/>
        </w:rPr>
      </w:pPr>
      <w:r w:rsidRPr="004D5AD1">
        <w:rPr>
          <w:noProof/>
        </w:rPr>
        <w:t>„5. ACER co trzy lata ustanawia</w:t>
      </w:r>
      <w:r w:rsidR="004D5AD1" w:rsidRPr="004D5AD1">
        <w:rPr>
          <w:noProof/>
        </w:rPr>
        <w:t xml:space="preserve"> i</w:t>
      </w:r>
      <w:r w:rsidR="004D5AD1">
        <w:rPr>
          <w:noProof/>
        </w:rPr>
        <w:t> </w:t>
      </w:r>
      <w:r w:rsidR="004D5AD1" w:rsidRPr="004D5AD1">
        <w:rPr>
          <w:noProof/>
        </w:rPr>
        <w:t>udo</w:t>
      </w:r>
      <w:r w:rsidRPr="004D5AD1">
        <w:rPr>
          <w:noProof/>
        </w:rPr>
        <w:t>stępnia publicznie zestaw wskaźników</w:t>
      </w:r>
      <w:r w:rsidR="004D5AD1" w:rsidRPr="004D5AD1">
        <w:rPr>
          <w:noProof/>
        </w:rPr>
        <w:t xml:space="preserve"> i</w:t>
      </w:r>
      <w:r w:rsidR="004D5AD1">
        <w:rPr>
          <w:noProof/>
        </w:rPr>
        <w:t> </w:t>
      </w:r>
      <w:r w:rsidR="004D5AD1" w:rsidRPr="004D5AD1">
        <w:rPr>
          <w:noProof/>
        </w:rPr>
        <w:t>odp</w:t>
      </w:r>
      <w:r w:rsidRPr="004D5AD1">
        <w:rPr>
          <w:noProof/>
        </w:rPr>
        <w:t>owiednich wartości odniesienia do porównania jednostkowych kosztów inwestycji</w:t>
      </w:r>
      <w:r w:rsidR="004D5AD1" w:rsidRPr="004D5AD1">
        <w:rPr>
          <w:noProof/>
        </w:rPr>
        <w:t xml:space="preserve"> w</w:t>
      </w:r>
      <w:r w:rsidR="004D5AD1">
        <w:rPr>
          <w:noProof/>
        </w:rPr>
        <w:t> </w:t>
      </w:r>
      <w:r w:rsidR="004D5AD1" w:rsidRPr="004D5AD1">
        <w:rPr>
          <w:noProof/>
        </w:rPr>
        <w:t>por</w:t>
      </w:r>
      <w:r w:rsidRPr="004D5AD1">
        <w:rPr>
          <w:noProof/>
        </w:rPr>
        <w:t>ównywalnych projektach związanych</w:t>
      </w:r>
      <w:r w:rsidR="004D5AD1" w:rsidRPr="004D5AD1">
        <w:rPr>
          <w:noProof/>
        </w:rPr>
        <w:t xml:space="preserve"> z</w:t>
      </w:r>
      <w:r w:rsidR="004D5AD1">
        <w:rPr>
          <w:noProof/>
        </w:rPr>
        <w:t> </w:t>
      </w:r>
      <w:r w:rsidR="004D5AD1" w:rsidRPr="004D5AD1">
        <w:rPr>
          <w:noProof/>
        </w:rPr>
        <w:t>pom</w:t>
      </w:r>
      <w:r w:rsidRPr="004D5AD1">
        <w:rPr>
          <w:noProof/>
        </w:rPr>
        <w:t>iarami, raportowaniem</w:t>
      </w:r>
      <w:r w:rsidR="004D5AD1" w:rsidRPr="004D5AD1">
        <w:rPr>
          <w:noProof/>
        </w:rPr>
        <w:t xml:space="preserve"> i</w:t>
      </w:r>
      <w:r w:rsidR="004D5AD1">
        <w:rPr>
          <w:noProof/>
        </w:rPr>
        <w:t> </w:t>
      </w:r>
      <w:r w:rsidR="004D5AD1" w:rsidRPr="004D5AD1">
        <w:rPr>
          <w:noProof/>
        </w:rPr>
        <w:t>red</w:t>
      </w:r>
      <w:r w:rsidRPr="004D5AD1">
        <w:rPr>
          <w:noProof/>
        </w:rPr>
        <w:t>ukcją emisji metanu. Wydaje zalecenia</w:t>
      </w:r>
      <w:r w:rsidR="004D5AD1" w:rsidRPr="004D5AD1">
        <w:rPr>
          <w:noProof/>
        </w:rPr>
        <w:t xml:space="preserve"> w</w:t>
      </w:r>
      <w:r w:rsidR="004D5AD1">
        <w:rPr>
          <w:noProof/>
        </w:rPr>
        <w:t> </w:t>
      </w:r>
      <w:r w:rsidR="004D5AD1" w:rsidRPr="004D5AD1">
        <w:rPr>
          <w:noProof/>
        </w:rPr>
        <w:t>zak</w:t>
      </w:r>
      <w:r w:rsidRPr="004D5AD1">
        <w:rPr>
          <w:noProof/>
        </w:rPr>
        <w:t>resie wskaźników</w:t>
      </w:r>
      <w:r w:rsidR="004D5AD1" w:rsidRPr="004D5AD1">
        <w:rPr>
          <w:noProof/>
        </w:rPr>
        <w:t xml:space="preserve"> i</w:t>
      </w:r>
      <w:r w:rsidR="004D5AD1">
        <w:rPr>
          <w:noProof/>
        </w:rPr>
        <w:t> </w:t>
      </w:r>
      <w:r w:rsidR="004D5AD1" w:rsidRPr="004D5AD1">
        <w:rPr>
          <w:noProof/>
        </w:rPr>
        <w:t>war</w:t>
      </w:r>
      <w:r w:rsidRPr="004D5AD1">
        <w:rPr>
          <w:noProof/>
        </w:rPr>
        <w:t>tości odniesienia dotyczących jednostkowych kosztów inwestycji</w:t>
      </w:r>
      <w:r w:rsidR="004D5AD1" w:rsidRPr="004D5AD1">
        <w:rPr>
          <w:noProof/>
        </w:rPr>
        <w:t xml:space="preserve"> w</w:t>
      </w:r>
      <w:r w:rsidR="004D5AD1">
        <w:rPr>
          <w:noProof/>
        </w:rPr>
        <w:t> </w:t>
      </w:r>
      <w:r w:rsidR="004D5AD1" w:rsidRPr="004D5AD1">
        <w:rPr>
          <w:noProof/>
        </w:rPr>
        <w:t>cel</w:t>
      </w:r>
      <w:r w:rsidRPr="004D5AD1">
        <w:rPr>
          <w:noProof/>
        </w:rPr>
        <w:t>u wypełnienia obowiązków wynikających z [</w:t>
      </w:r>
      <w:r w:rsidRPr="004D5AD1">
        <w:rPr>
          <w:i/>
          <w:noProof/>
        </w:rPr>
        <w:t>niniejszego rozporządzenia</w:t>
      </w:r>
      <w:r w:rsidRPr="004D5AD1">
        <w:rPr>
          <w:noProof/>
        </w:rPr>
        <w:t>] na podstawie art.</w:t>
      </w:r>
      <w:r w:rsidR="004D5AD1" w:rsidRPr="004D5AD1">
        <w:rPr>
          <w:noProof/>
        </w:rPr>
        <w:t> </w:t>
      </w:r>
      <w:r w:rsidRPr="004D5AD1">
        <w:rPr>
          <w:noProof/>
        </w:rPr>
        <w:t>3 [</w:t>
      </w:r>
      <w:r w:rsidRPr="004D5AD1">
        <w:rPr>
          <w:i/>
          <w:noProof/>
        </w:rPr>
        <w:t>niniejszego rozporządzenia</w:t>
      </w:r>
      <w:r w:rsidRPr="004D5AD1">
        <w:rPr>
          <w:noProof/>
        </w:rPr>
        <w:t>]”.</w:t>
      </w:r>
    </w:p>
    <w:p w14:paraId="7A1BC5D3" w14:textId="77777777" w:rsidR="006B181C" w:rsidRPr="004D5AD1" w:rsidRDefault="006B181C" w:rsidP="006B181C">
      <w:pPr>
        <w:rPr>
          <w:noProof/>
        </w:rPr>
      </w:pPr>
    </w:p>
    <w:p w14:paraId="622B7711" w14:textId="44E115DD" w:rsidR="00FD0FB2" w:rsidRPr="004D5AD1" w:rsidRDefault="00FD0FB2" w:rsidP="00E212DB">
      <w:pPr>
        <w:pStyle w:val="Titrearticle"/>
        <w:rPr>
          <w:noProof/>
        </w:rPr>
      </w:pPr>
      <w:r w:rsidRPr="004D5AD1">
        <w:rPr>
          <w:noProof/>
        </w:rPr>
        <w:t>Artykuł 35</w:t>
      </w:r>
    </w:p>
    <w:p w14:paraId="3883C1D6" w14:textId="07A92101" w:rsidR="00FD0FB2" w:rsidRPr="004D5AD1" w:rsidRDefault="00FD0FB2" w:rsidP="00FD0FB2">
      <w:pPr>
        <w:pStyle w:val="NormalCentered"/>
        <w:rPr>
          <w:b/>
          <w:noProof/>
        </w:rPr>
      </w:pPr>
      <w:r w:rsidRPr="004D5AD1">
        <w:rPr>
          <w:b/>
          <w:noProof/>
        </w:rPr>
        <w:t>Wejście</w:t>
      </w:r>
      <w:r w:rsidR="004D5AD1" w:rsidRPr="004D5AD1">
        <w:rPr>
          <w:b/>
          <w:noProof/>
        </w:rPr>
        <w:t xml:space="preserve"> w</w:t>
      </w:r>
      <w:r w:rsidR="004D5AD1">
        <w:rPr>
          <w:b/>
          <w:noProof/>
        </w:rPr>
        <w:t> </w:t>
      </w:r>
      <w:r w:rsidR="004D5AD1" w:rsidRPr="004D5AD1">
        <w:rPr>
          <w:b/>
          <w:noProof/>
        </w:rPr>
        <w:t>życ</w:t>
      </w:r>
      <w:r w:rsidRPr="004D5AD1">
        <w:rPr>
          <w:b/>
          <w:noProof/>
        </w:rPr>
        <w:t>ie</w:t>
      </w:r>
    </w:p>
    <w:p w14:paraId="31AFEF7B" w14:textId="07521211" w:rsidR="00FD0FB2" w:rsidRPr="004D5AD1" w:rsidRDefault="00FD0FB2" w:rsidP="00E212DB">
      <w:pPr>
        <w:rPr>
          <w:noProof/>
        </w:rPr>
      </w:pPr>
      <w:r w:rsidRPr="004D5AD1">
        <w:rPr>
          <w:noProof/>
        </w:rPr>
        <w:t>Niniejsze rozporządzenie wchodzi</w:t>
      </w:r>
      <w:r w:rsidR="004D5AD1" w:rsidRPr="004D5AD1">
        <w:rPr>
          <w:noProof/>
        </w:rPr>
        <w:t xml:space="preserve"> w</w:t>
      </w:r>
      <w:r w:rsidR="004D5AD1">
        <w:rPr>
          <w:noProof/>
        </w:rPr>
        <w:t> </w:t>
      </w:r>
      <w:r w:rsidR="004D5AD1" w:rsidRPr="004D5AD1">
        <w:rPr>
          <w:noProof/>
        </w:rPr>
        <w:t>życ</w:t>
      </w:r>
      <w:r w:rsidRPr="004D5AD1">
        <w:rPr>
          <w:noProof/>
        </w:rPr>
        <w:t>ie dwudziestego dnia po jego opublikowaniu</w:t>
      </w:r>
      <w:r w:rsidR="004D5AD1" w:rsidRPr="004D5AD1">
        <w:rPr>
          <w:noProof/>
        </w:rPr>
        <w:t xml:space="preserve"> w</w:t>
      </w:r>
      <w:r w:rsidR="004D5AD1">
        <w:rPr>
          <w:noProof/>
        </w:rPr>
        <w:t> </w:t>
      </w:r>
      <w:r w:rsidR="004D5AD1" w:rsidRPr="004D5AD1">
        <w:rPr>
          <w:i/>
          <w:noProof/>
        </w:rPr>
        <w:t>Dzi</w:t>
      </w:r>
      <w:r w:rsidRPr="004D5AD1">
        <w:rPr>
          <w:i/>
          <w:noProof/>
        </w:rPr>
        <w:t>enniku Urzędowym Unii Europejskiej</w:t>
      </w:r>
      <w:r w:rsidRPr="004D5AD1">
        <w:rPr>
          <w:noProof/>
        </w:rPr>
        <w:t>.</w:t>
      </w:r>
    </w:p>
    <w:p w14:paraId="5167B97D" w14:textId="6191FFF3" w:rsidR="00FD0FB2" w:rsidRPr="004D5AD1" w:rsidRDefault="00FD0FB2" w:rsidP="00E212DB">
      <w:pPr>
        <w:pStyle w:val="Applicationdirecte"/>
        <w:rPr>
          <w:noProof/>
        </w:rPr>
      </w:pPr>
      <w:r w:rsidRPr="004D5AD1">
        <w:rPr>
          <w:noProof/>
        </w:rPr>
        <w:t>Niniejsze rozporządzenie wiąże</w:t>
      </w:r>
      <w:r w:rsidR="004D5AD1" w:rsidRPr="004D5AD1">
        <w:rPr>
          <w:noProof/>
        </w:rPr>
        <w:t xml:space="preserve"> w</w:t>
      </w:r>
      <w:r w:rsidR="004D5AD1">
        <w:rPr>
          <w:noProof/>
        </w:rPr>
        <w:t> </w:t>
      </w:r>
      <w:r w:rsidR="004D5AD1" w:rsidRPr="004D5AD1">
        <w:rPr>
          <w:noProof/>
        </w:rPr>
        <w:t>cał</w:t>
      </w:r>
      <w:r w:rsidRPr="004D5AD1">
        <w:rPr>
          <w:noProof/>
        </w:rPr>
        <w:t>ości</w:t>
      </w:r>
      <w:r w:rsidR="004D5AD1" w:rsidRPr="004D5AD1">
        <w:rPr>
          <w:noProof/>
        </w:rPr>
        <w:t xml:space="preserve"> i</w:t>
      </w:r>
      <w:r w:rsidR="004D5AD1">
        <w:rPr>
          <w:noProof/>
        </w:rPr>
        <w:t> </w:t>
      </w:r>
      <w:r w:rsidR="004D5AD1" w:rsidRPr="004D5AD1">
        <w:rPr>
          <w:noProof/>
        </w:rPr>
        <w:t>jes</w:t>
      </w:r>
      <w:r w:rsidRPr="004D5AD1">
        <w:rPr>
          <w:noProof/>
        </w:rPr>
        <w:t>t bezpośrednio stosowane we wszystkich państwach członkowskich.</w:t>
      </w:r>
    </w:p>
    <w:p w14:paraId="1343DA96" w14:textId="1D74B045" w:rsidR="00FD0FB2" w:rsidRPr="004D5AD1" w:rsidRDefault="00F13EF3" w:rsidP="00EE6288">
      <w:pPr>
        <w:pStyle w:val="Fait"/>
        <w:rPr>
          <w:noProof/>
        </w:rPr>
      </w:pPr>
      <w:r w:rsidRPr="00F13EF3">
        <w:t xml:space="preserve">Sporządzono w Brukseli dnia </w:t>
      </w:r>
      <w:r w:rsidRPr="00F13EF3">
        <w:rPr>
          <w:rStyle w:val="Marker"/>
        </w:rPr>
        <w:t>[…]</w:t>
      </w:r>
      <w:r w:rsidRPr="00F13EF3">
        <w:t xml:space="preserve"> r.</w:t>
      </w:r>
    </w:p>
    <w:p w14:paraId="2D256EBB" w14:textId="77777777" w:rsidR="00FD0FB2" w:rsidRPr="004D5AD1" w:rsidRDefault="00FD0FB2" w:rsidP="00EE6288">
      <w:pPr>
        <w:pStyle w:val="Institutionquisigne"/>
        <w:rPr>
          <w:noProof/>
        </w:rPr>
      </w:pPr>
      <w:r w:rsidRPr="004D5AD1">
        <w:rPr>
          <w:noProof/>
        </w:rPr>
        <w:t>W imieniu Parlamentu Europejskiego</w:t>
      </w:r>
      <w:r w:rsidRPr="004D5AD1">
        <w:rPr>
          <w:noProof/>
        </w:rPr>
        <w:tab/>
        <w:t>W imieniu Rady</w:t>
      </w:r>
    </w:p>
    <w:p w14:paraId="2E3E7B0E" w14:textId="5BB5C56E" w:rsidR="00C87DDD" w:rsidRPr="004D5AD1" w:rsidRDefault="00FD0FB2" w:rsidP="00996C3A">
      <w:pPr>
        <w:pStyle w:val="Personnequisigne"/>
        <w:rPr>
          <w:noProof/>
        </w:rPr>
      </w:pPr>
      <w:r w:rsidRPr="004D5AD1">
        <w:rPr>
          <w:noProof/>
        </w:rPr>
        <w:t>Przewodnicząca</w:t>
      </w:r>
      <w:r w:rsidRPr="004D5AD1">
        <w:rPr>
          <w:noProof/>
        </w:rPr>
        <w:tab/>
        <w:t>Przewodniczący</w:t>
      </w:r>
    </w:p>
    <w:sectPr w:rsidR="00C87DDD" w:rsidRPr="004D5AD1" w:rsidSect="0052021E">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887FB" w14:textId="77777777" w:rsidR="00A246E6" w:rsidRPr="004D5AD1" w:rsidRDefault="00A246E6" w:rsidP="00FD0FB2">
      <w:pPr>
        <w:spacing w:before="0" w:after="0"/>
      </w:pPr>
      <w:r w:rsidRPr="004D5AD1">
        <w:separator/>
      </w:r>
    </w:p>
  </w:endnote>
  <w:endnote w:type="continuationSeparator" w:id="0">
    <w:p w14:paraId="62C0E496" w14:textId="77777777" w:rsidR="00A246E6" w:rsidRPr="004D5AD1" w:rsidRDefault="00A246E6" w:rsidP="00FD0FB2">
      <w:pPr>
        <w:spacing w:before="0" w:after="0"/>
      </w:pPr>
      <w:r w:rsidRPr="004D5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B48C3" w14:textId="065565EC" w:rsidR="00805D0B" w:rsidRPr="0052021E" w:rsidRDefault="0052021E" w:rsidP="0052021E">
    <w:pPr>
      <w:pStyle w:val="Footer"/>
      <w:rPr>
        <w:rFonts w:ascii="Arial" w:hAnsi="Arial" w:cs="Arial"/>
        <w:b/>
        <w:sz w:val="48"/>
      </w:rPr>
    </w:pPr>
    <w:r w:rsidRPr="0052021E">
      <w:rPr>
        <w:rFonts w:ascii="Arial" w:hAnsi="Arial" w:cs="Arial"/>
        <w:b/>
        <w:sz w:val="48"/>
      </w:rPr>
      <w:t>PL</w:t>
    </w:r>
    <w:r w:rsidRPr="0052021E">
      <w:rPr>
        <w:rFonts w:ascii="Arial" w:hAnsi="Arial" w:cs="Arial"/>
        <w:b/>
        <w:sz w:val="48"/>
      </w:rPr>
      <w:tab/>
    </w:r>
    <w:r w:rsidRPr="0052021E">
      <w:rPr>
        <w:rFonts w:ascii="Arial" w:hAnsi="Arial" w:cs="Arial"/>
        <w:b/>
        <w:sz w:val="48"/>
      </w:rPr>
      <w:tab/>
    </w:r>
    <w:r w:rsidRPr="0052021E">
      <w:tab/>
    </w:r>
    <w:r w:rsidRPr="0052021E">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39B2" w14:textId="6AC636D7" w:rsidR="0052021E" w:rsidRPr="0052021E" w:rsidRDefault="0052021E" w:rsidP="0052021E">
    <w:pPr>
      <w:pStyle w:val="Footer"/>
      <w:rPr>
        <w:rFonts w:ascii="Arial" w:hAnsi="Arial" w:cs="Arial"/>
        <w:b/>
        <w:sz w:val="48"/>
      </w:rPr>
    </w:pPr>
    <w:r w:rsidRPr="0052021E">
      <w:rPr>
        <w:rFonts w:ascii="Arial" w:hAnsi="Arial" w:cs="Arial"/>
        <w:b/>
        <w:sz w:val="48"/>
      </w:rPr>
      <w:t>PL</w:t>
    </w:r>
    <w:r w:rsidRPr="0052021E">
      <w:rPr>
        <w:rFonts w:ascii="Arial" w:hAnsi="Arial" w:cs="Arial"/>
        <w:b/>
        <w:sz w:val="48"/>
      </w:rPr>
      <w:tab/>
    </w:r>
    <w:r>
      <w:fldChar w:fldCharType="begin"/>
    </w:r>
    <w:r>
      <w:instrText xml:space="preserve"> PAGE  \* MERGEFORMAT </w:instrText>
    </w:r>
    <w:r>
      <w:fldChar w:fldCharType="separate"/>
    </w:r>
    <w:r w:rsidR="00EE6288">
      <w:rPr>
        <w:noProof/>
      </w:rPr>
      <w:t>52</w:t>
    </w:r>
    <w:r>
      <w:fldChar w:fldCharType="end"/>
    </w:r>
    <w:r>
      <w:tab/>
    </w:r>
    <w:r w:rsidRPr="0052021E">
      <w:tab/>
    </w:r>
    <w:r w:rsidRPr="0052021E">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CA2B" w14:textId="77777777" w:rsidR="0052021E" w:rsidRPr="0052021E" w:rsidRDefault="0052021E" w:rsidP="0052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8DEDA" w14:textId="77777777" w:rsidR="00A246E6" w:rsidRPr="004D5AD1" w:rsidRDefault="00A246E6" w:rsidP="00FD0FB2">
      <w:pPr>
        <w:spacing w:before="0" w:after="0"/>
      </w:pPr>
      <w:r w:rsidRPr="004D5AD1">
        <w:separator/>
      </w:r>
    </w:p>
  </w:footnote>
  <w:footnote w:type="continuationSeparator" w:id="0">
    <w:p w14:paraId="34DC1F15" w14:textId="77777777" w:rsidR="00A246E6" w:rsidRPr="004D5AD1" w:rsidRDefault="00A246E6" w:rsidP="00FD0FB2">
      <w:pPr>
        <w:spacing w:before="0" w:after="0"/>
      </w:pPr>
      <w:r w:rsidRPr="004D5AD1">
        <w:continuationSeparator/>
      </w:r>
    </w:p>
  </w:footnote>
  <w:footnote w:id="1">
    <w:p w14:paraId="35A918FB" w14:textId="081A0465" w:rsidR="00A246E6" w:rsidRPr="004D5AD1" w:rsidRDefault="00A246E6" w:rsidP="001554DC">
      <w:pPr>
        <w:pStyle w:val="FootnoteText"/>
        <w:rPr>
          <w:rFonts w:cs="Arial Unicode MS"/>
        </w:rPr>
      </w:pPr>
      <w:r w:rsidRPr="004D5AD1">
        <w:rPr>
          <w:rStyle w:val="FootnoteReference"/>
        </w:rPr>
        <w:footnoteRef/>
      </w:r>
      <w:r w:rsidRPr="004D5AD1">
        <w:tab/>
        <w:t>IPCC (2021), „Sumary for policymakers” [„Podsumowanie dla decydentów”] w: „Climate Change 2021: The Physical Science Basis” [„Zmiana klimatu</w:t>
      </w:r>
      <w:r w:rsidR="004D5AD1" w:rsidRPr="004D5AD1">
        <w:t xml:space="preserve"> w</w:t>
      </w:r>
      <w:r w:rsidR="004D5AD1">
        <w:t> </w:t>
      </w:r>
      <w:r w:rsidR="004D5AD1" w:rsidRPr="004D5AD1">
        <w:t>2</w:t>
      </w:r>
      <w:r w:rsidRPr="004D5AD1">
        <w:t>021</w:t>
      </w:r>
      <w:r w:rsidR="004D5AD1" w:rsidRPr="004D5AD1">
        <w:t> </w:t>
      </w:r>
      <w:r w:rsidRPr="004D5AD1">
        <w:t>r.: podstawy fizyczne”]</w:t>
      </w:r>
      <w:r w:rsidR="004D5AD1" w:rsidRPr="004D5AD1">
        <w:t xml:space="preserve">, </w:t>
      </w:r>
    </w:p>
    <w:p w14:paraId="2FD82205" w14:textId="398555F2" w:rsidR="00A246E6" w:rsidRPr="004D5AD1" w:rsidRDefault="00A246E6" w:rsidP="00910318">
      <w:pPr>
        <w:pStyle w:val="FootnoteText"/>
        <w:ind w:firstLine="0"/>
      </w:pPr>
      <w:r w:rsidRPr="004D5AD1">
        <w:t>wkład pierwszej grupy roboczej</w:t>
      </w:r>
      <w:r w:rsidR="004D5AD1" w:rsidRPr="004D5AD1">
        <w:t xml:space="preserve"> w</w:t>
      </w:r>
      <w:r w:rsidR="004D5AD1">
        <w:t> </w:t>
      </w:r>
      <w:r w:rsidR="004D5AD1" w:rsidRPr="004D5AD1">
        <w:t>szó</w:t>
      </w:r>
      <w:r w:rsidRPr="004D5AD1">
        <w:t>ste sprawozdanie oceniające Międzyrządowego Zespołu ds. Zmian Klimatu, Cambridge University Press,</w:t>
      </w:r>
      <w:r w:rsidR="004D5AD1" w:rsidRPr="004D5AD1">
        <w:t xml:space="preserve"> w</w:t>
      </w:r>
      <w:r w:rsidR="004D5AD1">
        <w:t> </w:t>
      </w:r>
      <w:r w:rsidR="004D5AD1" w:rsidRPr="004D5AD1">
        <w:t>dru</w:t>
      </w:r>
      <w:r w:rsidRPr="004D5AD1">
        <w:t>ku.</w:t>
      </w:r>
    </w:p>
  </w:footnote>
  <w:footnote w:id="2">
    <w:p w14:paraId="631DB872" w14:textId="585BDD3E" w:rsidR="00A246E6" w:rsidRPr="004D5AD1" w:rsidRDefault="00A246E6" w:rsidP="00FF5A95">
      <w:pPr>
        <w:pStyle w:val="FootnoteText"/>
      </w:pPr>
      <w:r w:rsidRPr="004D5AD1">
        <w:rPr>
          <w:rStyle w:val="FootnoteReference"/>
        </w:rPr>
        <w:footnoteRef/>
      </w:r>
      <w:r w:rsidRPr="004D5AD1">
        <w:tab/>
        <w:t>COM(2019) 640 final.</w:t>
      </w:r>
    </w:p>
  </w:footnote>
  <w:footnote w:id="3">
    <w:p w14:paraId="1A065909" w14:textId="7D3FA85D" w:rsidR="00A246E6" w:rsidRPr="004D5AD1" w:rsidRDefault="00A246E6" w:rsidP="00E518D0">
      <w:pPr>
        <w:pStyle w:val="FootnoteText"/>
      </w:pPr>
      <w:r w:rsidRPr="004D5AD1">
        <w:rPr>
          <w:rStyle w:val="FootnoteReference"/>
        </w:rPr>
        <w:footnoteRef/>
      </w:r>
      <w:r w:rsidRPr="004D5AD1">
        <w:tab/>
        <w:t>Rozporządzenie (WE) nr</w:t>
      </w:r>
      <w:r w:rsidR="004D5AD1" w:rsidRPr="004D5AD1">
        <w:t> </w:t>
      </w:r>
      <w:r w:rsidRPr="004D5AD1">
        <w:t>166/2006 Parlamentu Europejskiego</w:t>
      </w:r>
      <w:r w:rsidR="004D5AD1" w:rsidRPr="004D5AD1">
        <w:t xml:space="preserve"> i</w:t>
      </w:r>
      <w:r w:rsidR="004D5AD1">
        <w:t> </w:t>
      </w:r>
      <w:r w:rsidR="004D5AD1" w:rsidRPr="004D5AD1">
        <w:t>Rad</w:t>
      </w:r>
      <w:r w:rsidRPr="004D5AD1">
        <w:t>y</w:t>
      </w:r>
      <w:r w:rsidR="004D5AD1" w:rsidRPr="004D5AD1">
        <w:t xml:space="preserve"> z</w:t>
      </w:r>
      <w:r w:rsidR="004D5AD1">
        <w:t> </w:t>
      </w:r>
      <w:r w:rsidR="004D5AD1" w:rsidRPr="004D5AD1">
        <w:t>dni</w:t>
      </w:r>
      <w:r w:rsidRPr="004D5AD1">
        <w:t>a 18 stycznia 2006</w:t>
      </w:r>
      <w:r w:rsidR="004D5AD1" w:rsidRPr="004D5AD1">
        <w:t> </w:t>
      </w:r>
      <w:r w:rsidRPr="004D5AD1">
        <w:t>r.</w:t>
      </w:r>
      <w:r w:rsidR="004D5AD1" w:rsidRPr="004D5AD1">
        <w:t xml:space="preserve"> w</w:t>
      </w:r>
      <w:r w:rsidR="004D5AD1">
        <w:t> </w:t>
      </w:r>
      <w:r w:rsidR="004D5AD1" w:rsidRPr="004D5AD1">
        <w:t>spr</w:t>
      </w:r>
      <w:r w:rsidRPr="004D5AD1">
        <w:t>awie ustanowienia Europejskiego Rejestru Uwalniania</w:t>
      </w:r>
      <w:r w:rsidR="004D5AD1" w:rsidRPr="004D5AD1">
        <w:t xml:space="preserve"> i</w:t>
      </w:r>
      <w:r w:rsidR="004D5AD1">
        <w:t> </w:t>
      </w:r>
      <w:r w:rsidR="004D5AD1" w:rsidRPr="004D5AD1">
        <w:t>Tra</w:t>
      </w:r>
      <w:r w:rsidRPr="004D5AD1">
        <w:t>nsferu Zanieczyszczeń</w:t>
      </w:r>
      <w:r w:rsidR="004D5AD1" w:rsidRPr="004D5AD1">
        <w:t xml:space="preserve"> i</w:t>
      </w:r>
      <w:r w:rsidR="004D5AD1">
        <w:t> </w:t>
      </w:r>
      <w:r w:rsidR="004D5AD1" w:rsidRPr="004D5AD1">
        <w:t>zmi</w:t>
      </w:r>
      <w:r w:rsidRPr="004D5AD1">
        <w:t>eniające dyrektywę Rady 91/689/EWG</w:t>
      </w:r>
      <w:r w:rsidR="004D5AD1" w:rsidRPr="004D5AD1">
        <w:t xml:space="preserve"> i</w:t>
      </w:r>
      <w:r w:rsidR="004D5AD1">
        <w:t> </w:t>
      </w:r>
      <w:r w:rsidR="004D5AD1" w:rsidRPr="004D5AD1">
        <w:t>9</w:t>
      </w:r>
      <w:r w:rsidRPr="004D5AD1">
        <w:t>6/61/WE (Dz.U. L 33</w:t>
      </w:r>
      <w:r w:rsidR="004D5AD1" w:rsidRPr="004D5AD1">
        <w:t xml:space="preserve"> z</w:t>
      </w:r>
      <w:r w:rsidR="004D5AD1">
        <w:t> </w:t>
      </w:r>
      <w:r w:rsidR="004D5AD1" w:rsidRPr="004D5AD1">
        <w:t>4</w:t>
      </w:r>
      <w:r w:rsidRPr="004D5AD1">
        <w:t>.2.2006).</w:t>
      </w:r>
    </w:p>
  </w:footnote>
  <w:footnote w:id="4">
    <w:p w14:paraId="183429C5" w14:textId="738111FA" w:rsidR="00A246E6" w:rsidRPr="004D5AD1" w:rsidRDefault="00A246E6" w:rsidP="00553EBD">
      <w:pPr>
        <w:pStyle w:val="FootnoteText"/>
      </w:pPr>
      <w:r w:rsidRPr="004D5AD1">
        <w:rPr>
          <w:rStyle w:val="FootnoteReference"/>
        </w:rPr>
        <w:footnoteRef/>
      </w:r>
      <w:r w:rsidRPr="004D5AD1">
        <w:tab/>
        <w:t>Wytyczne dotyczące wdrażania Europejskiego Rejestru Uwalniania</w:t>
      </w:r>
      <w:r w:rsidR="004D5AD1" w:rsidRPr="004D5AD1">
        <w:t xml:space="preserve"> i</w:t>
      </w:r>
      <w:r w:rsidR="004D5AD1">
        <w:t> </w:t>
      </w:r>
      <w:r w:rsidR="004D5AD1" w:rsidRPr="004D5AD1">
        <w:t>Tra</w:t>
      </w:r>
      <w:r w:rsidRPr="004D5AD1">
        <w:t>nsferu Zanieczyszczeń, Komisja Europejska (2006).</w:t>
      </w:r>
    </w:p>
  </w:footnote>
  <w:footnote w:id="5">
    <w:p w14:paraId="37E7DBDF" w14:textId="1E522504" w:rsidR="00A246E6" w:rsidRPr="004D5AD1" w:rsidRDefault="00A246E6">
      <w:pPr>
        <w:pStyle w:val="FootnoteText"/>
      </w:pPr>
      <w:r w:rsidRPr="004D5AD1">
        <w:rPr>
          <w:rStyle w:val="FootnoteReference"/>
        </w:rPr>
        <w:footnoteRef/>
      </w:r>
      <w:r w:rsidRPr="004D5AD1">
        <w:tab/>
        <w:t xml:space="preserve">COM(2020) 381 final. </w:t>
      </w:r>
    </w:p>
  </w:footnote>
  <w:footnote w:id="6">
    <w:p w14:paraId="6768F74D" w14:textId="718BFACF" w:rsidR="00A246E6" w:rsidRPr="004D5AD1" w:rsidRDefault="00A246E6">
      <w:pPr>
        <w:pStyle w:val="FootnoteText"/>
      </w:pPr>
      <w:r w:rsidRPr="004D5AD1">
        <w:rPr>
          <w:rStyle w:val="FootnoteReference"/>
        </w:rPr>
        <w:footnoteRef/>
      </w:r>
      <w:r w:rsidRPr="004D5AD1">
        <w:tab/>
        <w:t>Dyrektywa Rady 91/271/EWG</w:t>
      </w:r>
      <w:r w:rsidR="004D5AD1" w:rsidRPr="004D5AD1">
        <w:t xml:space="preserve"> z</w:t>
      </w:r>
      <w:r w:rsidR="004D5AD1">
        <w:t> </w:t>
      </w:r>
      <w:r w:rsidR="004D5AD1" w:rsidRPr="004D5AD1">
        <w:t>dni</w:t>
      </w:r>
      <w:r w:rsidRPr="004D5AD1">
        <w:t>a 21 maja 1991</w:t>
      </w:r>
      <w:r w:rsidR="004D5AD1" w:rsidRPr="004D5AD1">
        <w:t> </w:t>
      </w:r>
      <w:r w:rsidRPr="004D5AD1">
        <w:t>r. dotycząca oczyszczania ścieków komunalnych.</w:t>
      </w:r>
    </w:p>
  </w:footnote>
  <w:footnote w:id="7">
    <w:p w14:paraId="3E0F4CDD" w14:textId="444804D9" w:rsidR="00A246E6" w:rsidRPr="004D5AD1" w:rsidRDefault="00A246E6" w:rsidP="00B3490B">
      <w:pPr>
        <w:pStyle w:val="FootnoteText"/>
        <w:ind w:left="0" w:firstLine="0"/>
      </w:pPr>
      <w:r w:rsidRPr="004D5AD1">
        <w:rPr>
          <w:rStyle w:val="FootnoteReference"/>
        </w:rPr>
        <w:footnoteRef/>
      </w:r>
      <w:r w:rsidRPr="004D5AD1">
        <w:tab/>
        <w:t>Dyrektywa Rady 86/278/EWG</w:t>
      </w:r>
      <w:r w:rsidR="004D5AD1" w:rsidRPr="004D5AD1">
        <w:t xml:space="preserve"> z</w:t>
      </w:r>
      <w:r w:rsidR="004D5AD1">
        <w:t> </w:t>
      </w:r>
      <w:r w:rsidR="004D5AD1" w:rsidRPr="004D5AD1">
        <w:t>dni</w:t>
      </w:r>
      <w:r w:rsidRPr="004D5AD1">
        <w:t>a 12 czerwca 1986</w:t>
      </w:r>
      <w:r w:rsidR="004D5AD1" w:rsidRPr="004D5AD1">
        <w:t> </w:t>
      </w:r>
      <w:r w:rsidRPr="004D5AD1">
        <w:t>r.</w:t>
      </w:r>
      <w:r w:rsidR="004D5AD1" w:rsidRPr="004D5AD1">
        <w:t xml:space="preserve"> w</w:t>
      </w:r>
      <w:r w:rsidR="004D5AD1">
        <w:t> </w:t>
      </w:r>
      <w:r w:rsidR="004D5AD1" w:rsidRPr="004D5AD1">
        <w:t>spr</w:t>
      </w:r>
      <w:r w:rsidRPr="004D5AD1">
        <w:t>awie ochrony środowiska,</w:t>
      </w:r>
      <w:r w:rsidR="004D5AD1" w:rsidRPr="004D5AD1">
        <w:t xml:space="preserve"> w</w:t>
      </w:r>
      <w:r w:rsidR="004D5AD1">
        <w:t> </w:t>
      </w:r>
      <w:r w:rsidR="004D5AD1" w:rsidRPr="004D5AD1">
        <w:t>szc</w:t>
      </w:r>
      <w:r w:rsidRPr="004D5AD1">
        <w:t>zególności gleby,</w:t>
      </w:r>
      <w:r w:rsidR="004D5AD1" w:rsidRPr="004D5AD1">
        <w:t xml:space="preserve"> w</w:t>
      </w:r>
      <w:r w:rsidR="004D5AD1">
        <w:t> </w:t>
      </w:r>
      <w:r w:rsidR="004D5AD1" w:rsidRPr="004D5AD1">
        <w:t>prz</w:t>
      </w:r>
      <w:r w:rsidRPr="004D5AD1">
        <w:t>ypadku wykorzystywania osadów ściekowych</w:t>
      </w:r>
      <w:r w:rsidR="004D5AD1" w:rsidRPr="004D5AD1">
        <w:t xml:space="preserve"> w</w:t>
      </w:r>
      <w:r w:rsidR="004D5AD1">
        <w:t> </w:t>
      </w:r>
      <w:r w:rsidR="004D5AD1" w:rsidRPr="004D5AD1">
        <w:t>rol</w:t>
      </w:r>
      <w:r w:rsidRPr="004D5AD1">
        <w:t>nictwie.</w:t>
      </w:r>
    </w:p>
  </w:footnote>
  <w:footnote w:id="8">
    <w:p w14:paraId="6C941538" w14:textId="7B048D81" w:rsidR="00A246E6" w:rsidRPr="004D5AD1" w:rsidRDefault="00A246E6">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(UE) 2015/757</w:t>
      </w:r>
      <w:r w:rsidR="004D5AD1" w:rsidRPr="004D5AD1">
        <w:t xml:space="preserve"> z</w:t>
      </w:r>
      <w:r w:rsidR="004D5AD1">
        <w:t> </w:t>
      </w:r>
      <w:r w:rsidR="004D5AD1" w:rsidRPr="004D5AD1">
        <w:t>dni</w:t>
      </w:r>
      <w:r w:rsidRPr="004D5AD1">
        <w:t>a 29 kwietnia 2015</w:t>
      </w:r>
      <w:r w:rsidR="004D5AD1" w:rsidRPr="004D5AD1">
        <w:t> </w:t>
      </w:r>
      <w:r w:rsidRPr="004D5AD1">
        <w:t>r.</w:t>
      </w:r>
      <w:r w:rsidR="004D5AD1" w:rsidRPr="004D5AD1">
        <w:t xml:space="preserve"> w</w:t>
      </w:r>
      <w:r w:rsidR="004D5AD1">
        <w:t> </w:t>
      </w:r>
      <w:r w:rsidR="004D5AD1" w:rsidRPr="004D5AD1">
        <w:t>spr</w:t>
      </w:r>
      <w:r w:rsidRPr="004D5AD1">
        <w:t>awie monitorowania, raportowania</w:t>
      </w:r>
      <w:r w:rsidR="004D5AD1" w:rsidRPr="004D5AD1">
        <w:t xml:space="preserve"> i</w:t>
      </w:r>
      <w:r w:rsidR="004D5AD1">
        <w:t> </w:t>
      </w:r>
      <w:r w:rsidR="004D5AD1" w:rsidRPr="004D5AD1">
        <w:t>wer</w:t>
      </w:r>
      <w:r w:rsidRPr="004D5AD1">
        <w:t>yfikacji emisji dwutlenku węgla</w:t>
      </w:r>
      <w:r w:rsidR="004D5AD1" w:rsidRPr="004D5AD1">
        <w:t xml:space="preserve"> z</w:t>
      </w:r>
      <w:r w:rsidR="004D5AD1">
        <w:t> </w:t>
      </w:r>
      <w:r w:rsidR="004D5AD1" w:rsidRPr="004D5AD1">
        <w:t>tra</w:t>
      </w:r>
      <w:r w:rsidRPr="004D5AD1">
        <w:t>nsportu morskiego oraz zmiany dyrektywy 2009/16/WE, Dz.U. L 123</w:t>
      </w:r>
      <w:r w:rsidR="004D5AD1" w:rsidRPr="004D5AD1">
        <w:t xml:space="preserve"> z</w:t>
      </w:r>
      <w:r w:rsidR="004D5AD1">
        <w:t> </w:t>
      </w:r>
      <w:r w:rsidR="004D5AD1" w:rsidRPr="004D5AD1">
        <w:t>1</w:t>
      </w:r>
      <w:r w:rsidRPr="004D5AD1">
        <w:t>9.5.2015, s. 55.</w:t>
      </w:r>
    </w:p>
  </w:footnote>
  <w:footnote w:id="9">
    <w:p w14:paraId="0B477069" w14:textId="4277ECE8" w:rsidR="00A246E6" w:rsidRPr="004D5AD1" w:rsidRDefault="00A246E6">
      <w:pPr>
        <w:pStyle w:val="FootnoteText"/>
      </w:pPr>
      <w:r w:rsidRPr="004D5AD1">
        <w:rPr>
          <w:rStyle w:val="FootnoteReference"/>
        </w:rPr>
        <w:footnoteRef/>
      </w:r>
      <w:r w:rsidRPr="004D5AD1">
        <w:tab/>
        <w:t>Rozporządzenie wykonawcze Komisji (UE) 2018/2066</w:t>
      </w:r>
      <w:r w:rsidR="004D5AD1" w:rsidRPr="004D5AD1">
        <w:t xml:space="preserve"> z</w:t>
      </w:r>
      <w:r w:rsidR="004D5AD1">
        <w:t> </w:t>
      </w:r>
      <w:r w:rsidR="004D5AD1" w:rsidRPr="004D5AD1">
        <w:t>dni</w:t>
      </w:r>
      <w:r w:rsidRPr="004D5AD1">
        <w:t>a 19 grudnia 2018</w:t>
      </w:r>
      <w:r w:rsidR="004D5AD1" w:rsidRPr="004D5AD1">
        <w:t> </w:t>
      </w:r>
      <w:r w:rsidRPr="004D5AD1">
        <w:t>r.</w:t>
      </w:r>
      <w:r w:rsidR="004D5AD1" w:rsidRPr="004D5AD1">
        <w:t xml:space="preserve"> w</w:t>
      </w:r>
      <w:r w:rsidR="004D5AD1">
        <w:t> </w:t>
      </w:r>
      <w:r w:rsidR="004D5AD1" w:rsidRPr="004D5AD1">
        <w:t>spr</w:t>
      </w:r>
      <w:r w:rsidRPr="004D5AD1">
        <w:t>awie monitorowania</w:t>
      </w:r>
      <w:r w:rsidR="004D5AD1" w:rsidRPr="004D5AD1">
        <w:t xml:space="preserve"> i</w:t>
      </w:r>
      <w:r w:rsidR="004D5AD1">
        <w:t> </w:t>
      </w:r>
      <w:r w:rsidR="004D5AD1" w:rsidRPr="004D5AD1">
        <w:t>rap</w:t>
      </w:r>
      <w:r w:rsidRPr="004D5AD1">
        <w:t>ortowania</w:t>
      </w:r>
      <w:r w:rsidR="004D5AD1" w:rsidRPr="004D5AD1">
        <w:t xml:space="preserve"> w</w:t>
      </w:r>
      <w:r w:rsidR="004D5AD1">
        <w:t> </w:t>
      </w:r>
      <w:r w:rsidR="004D5AD1" w:rsidRPr="004D5AD1">
        <w:t>zak</w:t>
      </w:r>
      <w:r w:rsidRPr="004D5AD1">
        <w:t>resie emisji gazów cieplarnianych na podstawie dyrektywy 2003/87/WE Parlamentu Europejskiego</w:t>
      </w:r>
      <w:r w:rsidR="004D5AD1" w:rsidRPr="004D5AD1">
        <w:t xml:space="preserve"> i</w:t>
      </w:r>
      <w:r w:rsidR="004D5AD1">
        <w:t> </w:t>
      </w:r>
      <w:r w:rsidR="004D5AD1" w:rsidRPr="004D5AD1">
        <w:t>Rad</w:t>
      </w:r>
      <w:r w:rsidRPr="004D5AD1">
        <w:t>y oraz zmieniające rozporządzenie Komisji (UE) nr</w:t>
      </w:r>
      <w:r w:rsidR="004D5AD1" w:rsidRPr="004D5AD1">
        <w:t> </w:t>
      </w:r>
      <w:r w:rsidRPr="004D5AD1">
        <w:t>601/2012, Dz.U. L 334</w:t>
      </w:r>
      <w:r w:rsidR="004D5AD1" w:rsidRPr="004D5AD1">
        <w:t xml:space="preserve"> z</w:t>
      </w:r>
      <w:r w:rsidR="004D5AD1">
        <w:t> </w:t>
      </w:r>
      <w:r w:rsidR="004D5AD1" w:rsidRPr="004D5AD1">
        <w:t>3</w:t>
      </w:r>
      <w:r w:rsidRPr="004D5AD1">
        <w:t>1.12.2018, s. 1.</w:t>
      </w:r>
    </w:p>
  </w:footnote>
  <w:footnote w:id="10">
    <w:p w14:paraId="76ACD690" w14:textId="76E8D652" w:rsidR="00A246E6" w:rsidRPr="004D5AD1" w:rsidRDefault="00A246E6">
      <w:pPr>
        <w:pStyle w:val="FootnoteText"/>
      </w:pPr>
      <w:r w:rsidRPr="004D5AD1">
        <w:rPr>
          <w:rStyle w:val="FootnoteReference"/>
        </w:rPr>
        <w:footnoteRef/>
      </w:r>
      <w:r w:rsidRPr="004D5AD1">
        <w:tab/>
        <w:t>Partnerstwo</w:t>
      </w:r>
      <w:r w:rsidR="004D5AD1" w:rsidRPr="004D5AD1">
        <w:t xml:space="preserve"> w</w:t>
      </w:r>
      <w:r w:rsidR="004D5AD1">
        <w:t> </w:t>
      </w:r>
      <w:r w:rsidR="004D5AD1" w:rsidRPr="004D5AD1">
        <w:t>zak</w:t>
      </w:r>
      <w:r w:rsidRPr="004D5AD1">
        <w:t>resie metanu</w:t>
      </w:r>
      <w:r w:rsidR="004D5AD1" w:rsidRPr="004D5AD1">
        <w:t xml:space="preserve"> w</w:t>
      </w:r>
      <w:r w:rsidR="004D5AD1">
        <w:t> </w:t>
      </w:r>
      <w:r w:rsidR="004D5AD1" w:rsidRPr="004D5AD1">
        <w:t>sek</w:t>
      </w:r>
      <w:r w:rsidRPr="004D5AD1">
        <w:t>torze ropy naftowej</w:t>
      </w:r>
      <w:r w:rsidR="004D5AD1" w:rsidRPr="004D5AD1">
        <w:t xml:space="preserve"> i</w:t>
      </w:r>
      <w:r w:rsidR="004D5AD1">
        <w:t> </w:t>
      </w:r>
      <w:r w:rsidR="004D5AD1" w:rsidRPr="004D5AD1">
        <w:t>gaz</w:t>
      </w:r>
      <w:r w:rsidRPr="004D5AD1">
        <w:t>u (OGMP), uruchomione</w:t>
      </w:r>
      <w:r w:rsidR="004D5AD1" w:rsidRPr="004D5AD1">
        <w:t xml:space="preserve"> w</w:t>
      </w:r>
      <w:r w:rsidR="004D5AD1">
        <w:t> </w:t>
      </w:r>
      <w:r w:rsidR="004D5AD1" w:rsidRPr="004D5AD1">
        <w:t>2</w:t>
      </w:r>
      <w:r w:rsidRPr="004D5AD1">
        <w:t>014</w:t>
      </w:r>
      <w:r w:rsidR="004D5AD1" w:rsidRPr="004D5AD1">
        <w:t> </w:t>
      </w:r>
      <w:r w:rsidRPr="004D5AD1">
        <w:t>r., zostało opracowane</w:t>
      </w:r>
      <w:r w:rsidR="004D5AD1" w:rsidRPr="004D5AD1">
        <w:t xml:space="preserve"> w</w:t>
      </w:r>
      <w:r w:rsidR="004D5AD1">
        <w:t> </w:t>
      </w:r>
      <w:r w:rsidR="004D5AD1" w:rsidRPr="004D5AD1">
        <w:t>ram</w:t>
      </w:r>
      <w:r w:rsidRPr="004D5AD1">
        <w:t>ach Koalicji na rzecz klimatu</w:t>
      </w:r>
      <w:r w:rsidR="004D5AD1" w:rsidRPr="004D5AD1">
        <w:t xml:space="preserve"> i</w:t>
      </w:r>
      <w:r w:rsidR="004D5AD1">
        <w:t> </w:t>
      </w:r>
      <w:r w:rsidR="004D5AD1" w:rsidRPr="004D5AD1">
        <w:t>czy</w:t>
      </w:r>
      <w:r w:rsidRPr="004D5AD1">
        <w:t>stego powietrza (CCAC) oraz Programu Narodów Zjednoczonych ds. Ochrony Środowiska (UNEP) jako dobrowolna inicjatywa mająca na celu wspieranie przedsiębiorstw</w:t>
      </w:r>
      <w:r w:rsidR="004D5AD1" w:rsidRPr="004D5AD1">
        <w:t xml:space="preserve"> w</w:t>
      </w:r>
      <w:r w:rsidR="004D5AD1">
        <w:t> </w:t>
      </w:r>
      <w:r w:rsidR="004D5AD1" w:rsidRPr="004D5AD1">
        <w:t>pro</w:t>
      </w:r>
      <w:r w:rsidRPr="004D5AD1">
        <w:t>wadzeniu pomiarów</w:t>
      </w:r>
      <w:r w:rsidR="004D5AD1" w:rsidRPr="004D5AD1">
        <w:t xml:space="preserve"> i</w:t>
      </w:r>
      <w:r w:rsidR="004D5AD1">
        <w:t> </w:t>
      </w:r>
      <w:r w:rsidR="004D5AD1" w:rsidRPr="004D5AD1">
        <w:t>rap</w:t>
      </w:r>
      <w:r w:rsidRPr="004D5AD1">
        <w:t>ortowaniu emisji metanu. Głównym celem OGMP jest ustanawianie najlepszych praktyk na potrzeby zwiększenia dostępności globalnych informacji na temat kwantyfikacji emisji metanu oraz zarządzania nimi,</w:t>
      </w:r>
      <w:r w:rsidR="004D5AD1" w:rsidRPr="004D5AD1">
        <w:t xml:space="preserve"> a</w:t>
      </w:r>
      <w:r w:rsidR="004D5AD1">
        <w:t> </w:t>
      </w:r>
      <w:r w:rsidR="004D5AD1" w:rsidRPr="004D5AD1">
        <w:t>tak</w:t>
      </w:r>
      <w:r w:rsidRPr="004D5AD1">
        <w:t>że wspieranie działań ograniczających służących redukcji emisji metanu. Do OGMP przystąpiło do tej pory ponad 60 przedsiębiorstw odpowiedzialnych za ponad 30</w:t>
      </w:r>
      <w:r w:rsidR="004D5AD1" w:rsidRPr="004D5AD1">
        <w:t> </w:t>
      </w:r>
      <w:r w:rsidRPr="004D5AD1">
        <w:t>% światowej produkcji ropy naftowej</w:t>
      </w:r>
      <w:r w:rsidR="004D5AD1" w:rsidRPr="004D5AD1">
        <w:t xml:space="preserve"> i</w:t>
      </w:r>
      <w:r w:rsidR="004D5AD1">
        <w:t> </w:t>
      </w:r>
      <w:r w:rsidR="004D5AD1" w:rsidRPr="004D5AD1">
        <w:t>gaz</w:t>
      </w:r>
      <w:r w:rsidRPr="004D5AD1">
        <w:t>u</w:t>
      </w:r>
      <w:r w:rsidR="004D5AD1" w:rsidRPr="004D5AD1">
        <w:t xml:space="preserve"> i</w:t>
      </w:r>
      <w:r w:rsidR="004D5AD1">
        <w:t> </w:t>
      </w:r>
      <w:r w:rsidR="004D5AD1" w:rsidRPr="004D5AD1">
        <w:t>pos</w:t>
      </w:r>
      <w:r w:rsidRPr="004D5AD1">
        <w:t>iadających aktywa</w:t>
      </w:r>
      <w:r w:rsidR="004D5AD1" w:rsidRPr="004D5AD1">
        <w:t xml:space="preserve"> w</w:t>
      </w:r>
      <w:r w:rsidR="004D5AD1">
        <w:t> </w:t>
      </w:r>
      <w:r w:rsidR="004D5AD1" w:rsidRPr="004D5AD1">
        <w:t>tym</w:t>
      </w:r>
      <w:r w:rsidRPr="004D5AD1">
        <w:t xml:space="preserve"> sektorze na pięciu kontynentach.</w:t>
      </w:r>
    </w:p>
  </w:footnote>
  <w:footnote w:id="11">
    <w:p w14:paraId="2F8E1263" w14:textId="6C65A9C2" w:rsidR="00A246E6" w:rsidRPr="004D5AD1" w:rsidRDefault="00A246E6" w:rsidP="006533AE">
      <w:pPr>
        <w:pStyle w:val="FootnoteText"/>
        <w:ind w:left="0" w:firstLine="0"/>
      </w:pPr>
      <w:r w:rsidRPr="004D5AD1">
        <w:rPr>
          <w:rStyle w:val="FootnoteReference"/>
        </w:rPr>
        <w:footnoteRef/>
      </w:r>
      <w:r w:rsidRPr="004D5AD1">
        <w:tab/>
        <w:t xml:space="preserve">https://www.unep.org/explore-topics/energy/what-we-do/international-methane-emissions-observatory </w:t>
      </w:r>
    </w:p>
  </w:footnote>
  <w:footnote w:id="12">
    <w:p w14:paraId="29910C80" w14:textId="12F4FBDC" w:rsidR="00A246E6" w:rsidRPr="004D5AD1" w:rsidRDefault="00A246E6" w:rsidP="00E212DB">
      <w:pPr>
        <w:pStyle w:val="FootnoteText"/>
      </w:pPr>
      <w:r w:rsidRPr="004D5AD1">
        <w:rPr>
          <w:rStyle w:val="FootnoteReference"/>
        </w:rPr>
        <w:footnoteRef/>
      </w:r>
      <w:r w:rsidRPr="004D5AD1">
        <w:tab/>
        <w:t>Dz.U. C  z , s. .</w:t>
      </w:r>
    </w:p>
  </w:footnote>
  <w:footnote w:id="13">
    <w:p w14:paraId="3C99628B" w14:textId="17F8BDA1" w:rsidR="00A246E6" w:rsidRPr="004D5AD1" w:rsidRDefault="00A246E6" w:rsidP="00E212DB">
      <w:pPr>
        <w:pStyle w:val="FootnoteText"/>
      </w:pPr>
      <w:r w:rsidRPr="004D5AD1">
        <w:rPr>
          <w:rStyle w:val="FootnoteReference"/>
        </w:rPr>
        <w:footnoteRef/>
      </w:r>
      <w:r w:rsidRPr="004D5AD1">
        <w:tab/>
        <w:t>Dz.U. C  z , s. .</w:t>
      </w:r>
    </w:p>
  </w:footnote>
  <w:footnote w:id="14">
    <w:p w14:paraId="42D7EBD4" w14:textId="75E6603B" w:rsidR="00A246E6" w:rsidRPr="004D5AD1" w:rsidRDefault="00A246E6" w:rsidP="002C51D0">
      <w:pPr>
        <w:pStyle w:val="FootnoteText"/>
      </w:pPr>
      <w:r w:rsidRPr="004D5AD1">
        <w:rPr>
          <w:rStyle w:val="FootnoteReference"/>
        </w:rPr>
        <w:footnoteRef/>
      </w:r>
      <w:r w:rsidRPr="004D5AD1">
        <w:tab/>
        <w:t>COM(2019) 640 final.</w:t>
      </w:r>
    </w:p>
  </w:footnote>
  <w:footnote w:id="15">
    <w:p w14:paraId="7A1AC9C0" w14:textId="45F568E9" w:rsidR="00A246E6" w:rsidRPr="004D5AD1" w:rsidRDefault="00A246E6" w:rsidP="0031705A">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(UE) 2021/1119</w:t>
      </w:r>
      <w:r w:rsidR="004D5AD1" w:rsidRPr="004D5AD1">
        <w:t xml:space="preserve"> z</w:t>
      </w:r>
      <w:r w:rsidR="004D5AD1">
        <w:t> </w:t>
      </w:r>
      <w:r w:rsidR="004D5AD1" w:rsidRPr="004D5AD1">
        <w:t>dni</w:t>
      </w:r>
      <w:r w:rsidRPr="004D5AD1">
        <w:t>a 30 czerwca 2021</w:t>
      </w:r>
      <w:r w:rsidR="004D5AD1" w:rsidRPr="004D5AD1">
        <w:t> </w:t>
      </w:r>
      <w:r w:rsidRPr="004D5AD1">
        <w:t>r.</w:t>
      </w:r>
      <w:r w:rsidR="004D5AD1" w:rsidRPr="004D5AD1">
        <w:t xml:space="preserve"> w</w:t>
      </w:r>
      <w:r w:rsidR="004D5AD1">
        <w:t> </w:t>
      </w:r>
      <w:r w:rsidR="004D5AD1" w:rsidRPr="004D5AD1">
        <w:t>spr</w:t>
      </w:r>
      <w:r w:rsidRPr="004D5AD1">
        <w:t>awie ustanowienia ram na potrzeby osiągnięcia neutralności klimatycznej</w:t>
      </w:r>
      <w:r w:rsidR="004D5AD1" w:rsidRPr="004D5AD1">
        <w:t xml:space="preserve"> i</w:t>
      </w:r>
      <w:r w:rsidR="004D5AD1">
        <w:t> </w:t>
      </w:r>
      <w:r w:rsidR="004D5AD1" w:rsidRPr="004D5AD1">
        <w:t>zmi</w:t>
      </w:r>
      <w:r w:rsidRPr="004D5AD1">
        <w:t>any rozporządzeń (WE) nr</w:t>
      </w:r>
      <w:r w:rsidR="004D5AD1" w:rsidRPr="004D5AD1">
        <w:t> </w:t>
      </w:r>
      <w:r w:rsidRPr="004D5AD1">
        <w:t>401/2009 i (UE) 2018/1999 (Europejskie prawo</w:t>
      </w:r>
      <w:r w:rsidR="004D5AD1" w:rsidRPr="004D5AD1">
        <w:t xml:space="preserve"> o</w:t>
      </w:r>
      <w:r w:rsidR="004D5AD1">
        <w:t> </w:t>
      </w:r>
      <w:r w:rsidR="004D5AD1" w:rsidRPr="004D5AD1">
        <w:t>kli</w:t>
      </w:r>
      <w:r w:rsidRPr="004D5AD1">
        <w:t>macie) (Dz.U. L 243</w:t>
      </w:r>
      <w:r w:rsidR="004D5AD1" w:rsidRPr="004D5AD1">
        <w:t xml:space="preserve"> z</w:t>
      </w:r>
      <w:r w:rsidR="004D5AD1">
        <w:t> </w:t>
      </w:r>
      <w:r w:rsidR="004D5AD1" w:rsidRPr="004D5AD1">
        <w:t>9</w:t>
      </w:r>
      <w:r w:rsidRPr="004D5AD1">
        <w:t>.7.2021).</w:t>
      </w:r>
    </w:p>
  </w:footnote>
  <w:footnote w:id="16">
    <w:p w14:paraId="63664962" w14:textId="0B3CAD50" w:rsidR="00A246E6" w:rsidRPr="004D5AD1" w:rsidRDefault="00A246E6">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(UE) 2018/842</w:t>
      </w:r>
      <w:r w:rsidR="004D5AD1" w:rsidRPr="004D5AD1">
        <w:t xml:space="preserve"> z</w:t>
      </w:r>
      <w:r w:rsidR="004D5AD1">
        <w:t> </w:t>
      </w:r>
      <w:r w:rsidR="004D5AD1" w:rsidRPr="004D5AD1">
        <w:t>dni</w:t>
      </w:r>
      <w:r w:rsidRPr="004D5AD1">
        <w:t>a 30 maja 2018</w:t>
      </w:r>
      <w:r w:rsidR="004D5AD1" w:rsidRPr="004D5AD1">
        <w:t> </w:t>
      </w:r>
      <w:r w:rsidRPr="004D5AD1">
        <w:t>r.</w:t>
      </w:r>
      <w:r w:rsidR="004D5AD1" w:rsidRPr="004D5AD1">
        <w:t xml:space="preserve"> w</w:t>
      </w:r>
      <w:r w:rsidR="004D5AD1">
        <w:t> </w:t>
      </w:r>
      <w:r w:rsidR="004D5AD1" w:rsidRPr="004D5AD1">
        <w:t>spr</w:t>
      </w:r>
      <w:r w:rsidRPr="004D5AD1">
        <w:t>awie wiążących rocznych redukcji emisji gazów cieplarnianych przez państwa członkowskie od</w:t>
      </w:r>
      <w:r w:rsidR="004D5AD1" w:rsidRPr="004D5AD1">
        <w:t> </w:t>
      </w:r>
      <w:r w:rsidRPr="004D5AD1">
        <w:t>2021</w:t>
      </w:r>
      <w:r w:rsidR="004D5AD1" w:rsidRPr="004D5AD1">
        <w:t> </w:t>
      </w:r>
      <w:r w:rsidRPr="004D5AD1">
        <w:t>r. do</w:t>
      </w:r>
      <w:r w:rsidR="004D5AD1" w:rsidRPr="004D5AD1">
        <w:t> </w:t>
      </w:r>
      <w:r w:rsidRPr="004D5AD1">
        <w:t>2030</w:t>
      </w:r>
      <w:r w:rsidR="004D5AD1" w:rsidRPr="004D5AD1">
        <w:t> </w:t>
      </w:r>
      <w:r w:rsidRPr="004D5AD1">
        <w:t>r. przyczyniających się do działań na rzecz klimatu</w:t>
      </w:r>
      <w:r w:rsidR="004D5AD1" w:rsidRPr="004D5AD1">
        <w:t xml:space="preserve"> w</w:t>
      </w:r>
      <w:r w:rsidR="004D5AD1">
        <w:t> </w:t>
      </w:r>
      <w:r w:rsidR="004D5AD1" w:rsidRPr="004D5AD1">
        <w:t>cel</w:t>
      </w:r>
      <w:r w:rsidRPr="004D5AD1">
        <w:t>u wywiązania się</w:t>
      </w:r>
      <w:r w:rsidR="004D5AD1" w:rsidRPr="004D5AD1">
        <w:t xml:space="preserve"> z</w:t>
      </w:r>
      <w:r w:rsidR="004D5AD1">
        <w:t> </w:t>
      </w:r>
      <w:r w:rsidR="004D5AD1" w:rsidRPr="004D5AD1">
        <w:t>zob</w:t>
      </w:r>
      <w:r w:rsidRPr="004D5AD1">
        <w:t>owiązań wynikających</w:t>
      </w:r>
      <w:r w:rsidR="004D5AD1" w:rsidRPr="004D5AD1">
        <w:t xml:space="preserve"> z</w:t>
      </w:r>
      <w:r w:rsidR="004D5AD1">
        <w:t> </w:t>
      </w:r>
      <w:r w:rsidR="004D5AD1" w:rsidRPr="004D5AD1">
        <w:t>Por</w:t>
      </w:r>
      <w:r w:rsidRPr="004D5AD1">
        <w:t>ozumienia paryskiego oraz zmieniające rozporządzenie (UE) nr</w:t>
      </w:r>
      <w:r w:rsidR="004D5AD1" w:rsidRPr="004D5AD1">
        <w:t> </w:t>
      </w:r>
      <w:r w:rsidRPr="004D5AD1">
        <w:t>525/2013 (Dz.U. L 156</w:t>
      </w:r>
      <w:r w:rsidR="004D5AD1" w:rsidRPr="004D5AD1">
        <w:t xml:space="preserve"> z</w:t>
      </w:r>
      <w:r w:rsidR="004D5AD1">
        <w:t> </w:t>
      </w:r>
      <w:r w:rsidR="004D5AD1" w:rsidRPr="004D5AD1">
        <w:t>1</w:t>
      </w:r>
      <w:r w:rsidRPr="004D5AD1">
        <w:t>9.6.2018).</w:t>
      </w:r>
    </w:p>
  </w:footnote>
  <w:footnote w:id="17">
    <w:p w14:paraId="4E9E25B1" w14:textId="38C86203" w:rsidR="00A246E6" w:rsidRPr="004D5AD1" w:rsidRDefault="00A246E6" w:rsidP="00907523">
      <w:pPr>
        <w:pStyle w:val="FootnoteText"/>
      </w:pPr>
      <w:r w:rsidRPr="004D5AD1">
        <w:rPr>
          <w:rStyle w:val="FootnoteReference"/>
        </w:rPr>
        <w:footnoteRef/>
      </w:r>
      <w:r w:rsidRPr="004D5AD1">
        <w:tab/>
        <w:t>Dyrektywa Parlamentu Europejskiego</w:t>
      </w:r>
      <w:r w:rsidR="004D5AD1" w:rsidRPr="004D5AD1">
        <w:t xml:space="preserve"> i</w:t>
      </w:r>
      <w:r w:rsidR="004D5AD1">
        <w:t> </w:t>
      </w:r>
      <w:r w:rsidR="004D5AD1" w:rsidRPr="004D5AD1">
        <w:t>Rad</w:t>
      </w:r>
      <w:r w:rsidRPr="004D5AD1">
        <w:t>y 2010/75/UE</w:t>
      </w:r>
      <w:r w:rsidR="004D5AD1" w:rsidRPr="004D5AD1">
        <w:t xml:space="preserve"> z</w:t>
      </w:r>
      <w:r w:rsidR="004D5AD1">
        <w:t> </w:t>
      </w:r>
      <w:r w:rsidR="004D5AD1" w:rsidRPr="004D5AD1">
        <w:t>dni</w:t>
      </w:r>
      <w:r w:rsidRPr="004D5AD1">
        <w:t>a 24 listopada 2010</w:t>
      </w:r>
      <w:r w:rsidR="004D5AD1" w:rsidRPr="004D5AD1">
        <w:t> </w:t>
      </w:r>
      <w:r w:rsidRPr="004D5AD1">
        <w:t>r.</w:t>
      </w:r>
      <w:r w:rsidR="004D5AD1" w:rsidRPr="004D5AD1">
        <w:t xml:space="preserve"> w</w:t>
      </w:r>
      <w:r w:rsidR="004D5AD1">
        <w:t> </w:t>
      </w:r>
      <w:r w:rsidR="004D5AD1" w:rsidRPr="004D5AD1">
        <w:t>spr</w:t>
      </w:r>
      <w:r w:rsidRPr="004D5AD1">
        <w:t>awie emisji przemysłowych (zintegrowane zapobieganie zanieczyszczeniom</w:t>
      </w:r>
      <w:r w:rsidR="004D5AD1" w:rsidRPr="004D5AD1">
        <w:t xml:space="preserve"> i</w:t>
      </w:r>
      <w:r w:rsidR="004D5AD1">
        <w:t> </w:t>
      </w:r>
      <w:r w:rsidR="004D5AD1" w:rsidRPr="004D5AD1">
        <w:t>ich</w:t>
      </w:r>
      <w:r w:rsidRPr="004D5AD1">
        <w:t xml:space="preserve"> kontrola) (Dz.U. L 334</w:t>
      </w:r>
      <w:r w:rsidR="004D5AD1" w:rsidRPr="004D5AD1">
        <w:t xml:space="preserve"> z</w:t>
      </w:r>
      <w:r w:rsidR="004D5AD1">
        <w:t> </w:t>
      </w:r>
      <w:r w:rsidR="004D5AD1" w:rsidRPr="004D5AD1">
        <w:t>1</w:t>
      </w:r>
      <w:r w:rsidRPr="004D5AD1">
        <w:t>7.12.2010).</w:t>
      </w:r>
    </w:p>
  </w:footnote>
  <w:footnote w:id="18">
    <w:p w14:paraId="26F0826B" w14:textId="5295EBCA" w:rsidR="00A246E6" w:rsidRPr="004D5AD1" w:rsidRDefault="00A246E6" w:rsidP="00DC5F45">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(UE) 2021/240</w:t>
      </w:r>
      <w:r w:rsidR="004D5AD1" w:rsidRPr="004D5AD1">
        <w:rPr>
          <w:rFonts w:ascii="Open Sans" w:hAnsi="Open Sans"/>
          <w:color w:val="000000"/>
          <w:shd w:val="clear" w:color="auto" w:fill="FFFFFF"/>
        </w:rPr>
        <w:t xml:space="preserve"> </w:t>
      </w:r>
      <w:r w:rsidR="004D5AD1" w:rsidRPr="004D5AD1">
        <w:rPr>
          <w:color w:val="000000"/>
          <w:shd w:val="clear" w:color="auto" w:fill="FFFFFF"/>
        </w:rPr>
        <w:t>z</w:t>
      </w:r>
      <w:r w:rsidR="004D5AD1">
        <w:rPr>
          <w:rFonts w:ascii="Open Sans" w:hAnsi="Open Sans"/>
          <w:color w:val="000000"/>
          <w:shd w:val="clear" w:color="auto" w:fill="FFFFFF"/>
        </w:rPr>
        <w:t> </w:t>
      </w:r>
      <w:r w:rsidR="004D5AD1" w:rsidRPr="004D5AD1">
        <w:rPr>
          <w:color w:val="000000"/>
          <w:shd w:val="clear" w:color="auto" w:fill="FFFFFF"/>
        </w:rPr>
        <w:t>dni</w:t>
      </w:r>
      <w:r w:rsidRPr="004D5AD1">
        <w:rPr>
          <w:color w:val="000000"/>
          <w:shd w:val="clear" w:color="auto" w:fill="FFFFFF"/>
        </w:rPr>
        <w:t>a 10 lutego 2021</w:t>
      </w:r>
      <w:r w:rsidR="004D5AD1" w:rsidRPr="004D5AD1">
        <w:rPr>
          <w:color w:val="000000"/>
          <w:shd w:val="clear" w:color="auto" w:fill="FFFFFF"/>
        </w:rPr>
        <w:t> </w:t>
      </w:r>
      <w:r w:rsidRPr="004D5AD1">
        <w:rPr>
          <w:color w:val="000000"/>
          <w:shd w:val="clear" w:color="auto" w:fill="FFFFFF"/>
        </w:rPr>
        <w:t>r. ustanawiające Instrument Wsparcia Technicznego (Dz.U. L 57</w:t>
      </w:r>
      <w:r w:rsidR="004D5AD1" w:rsidRPr="004D5AD1">
        <w:rPr>
          <w:color w:val="000000"/>
          <w:shd w:val="clear" w:color="auto" w:fill="FFFFFF"/>
        </w:rPr>
        <w:t xml:space="preserve"> z</w:t>
      </w:r>
      <w:r w:rsidR="004D5AD1">
        <w:rPr>
          <w:color w:val="000000"/>
          <w:shd w:val="clear" w:color="auto" w:fill="FFFFFF"/>
        </w:rPr>
        <w:t> </w:t>
      </w:r>
      <w:r w:rsidR="004D5AD1" w:rsidRPr="004D5AD1">
        <w:rPr>
          <w:color w:val="000000"/>
          <w:shd w:val="clear" w:color="auto" w:fill="FFFFFF"/>
        </w:rPr>
        <w:t>1</w:t>
      </w:r>
      <w:r w:rsidRPr="004D5AD1">
        <w:rPr>
          <w:color w:val="000000"/>
          <w:shd w:val="clear" w:color="auto" w:fill="FFFFFF"/>
        </w:rPr>
        <w:t>8.2.2021).</w:t>
      </w:r>
    </w:p>
  </w:footnote>
  <w:footnote w:id="19">
    <w:p w14:paraId="5940336D" w14:textId="5E5FFA8A" w:rsidR="00A246E6" w:rsidRPr="004D5AD1" w:rsidRDefault="00A246E6" w:rsidP="00AF3253">
      <w:pPr>
        <w:pStyle w:val="FootnoteText"/>
      </w:pPr>
      <w:r w:rsidRPr="004D5AD1">
        <w:rPr>
          <w:rStyle w:val="FootnoteReference"/>
        </w:rPr>
        <w:footnoteRef/>
      </w:r>
      <w:r w:rsidRPr="004D5AD1">
        <w:tab/>
        <w:t>Dyrektywa 2003/4/WE Parlamentu Europejskiego</w:t>
      </w:r>
      <w:r w:rsidR="004D5AD1" w:rsidRPr="004D5AD1">
        <w:t xml:space="preserve"> i</w:t>
      </w:r>
      <w:r w:rsidR="004D5AD1">
        <w:t> </w:t>
      </w:r>
      <w:r w:rsidR="004D5AD1" w:rsidRPr="004D5AD1">
        <w:t>Rad</w:t>
      </w:r>
      <w:r w:rsidRPr="004D5AD1">
        <w:t>y</w:t>
      </w:r>
      <w:r w:rsidR="004D5AD1" w:rsidRPr="004D5AD1">
        <w:t xml:space="preserve"> z</w:t>
      </w:r>
      <w:r w:rsidR="004D5AD1">
        <w:t> </w:t>
      </w:r>
      <w:r w:rsidR="004D5AD1" w:rsidRPr="004D5AD1">
        <w:t>dni</w:t>
      </w:r>
      <w:r w:rsidRPr="004D5AD1">
        <w:t>a 28 stycznia 2003</w:t>
      </w:r>
      <w:r w:rsidR="004D5AD1" w:rsidRPr="004D5AD1">
        <w:t> </w:t>
      </w:r>
      <w:r w:rsidRPr="004D5AD1">
        <w:t>r.</w:t>
      </w:r>
      <w:r w:rsidR="004D5AD1" w:rsidRPr="004D5AD1">
        <w:t xml:space="preserve"> w</w:t>
      </w:r>
      <w:r w:rsidR="004D5AD1">
        <w:t> </w:t>
      </w:r>
      <w:r w:rsidR="004D5AD1" w:rsidRPr="004D5AD1">
        <w:t>spr</w:t>
      </w:r>
      <w:r w:rsidRPr="004D5AD1">
        <w:t>awie publicznego dostępu do informacji dotyczących środowiska</w:t>
      </w:r>
      <w:r w:rsidR="004D5AD1" w:rsidRPr="004D5AD1">
        <w:t xml:space="preserve"> i</w:t>
      </w:r>
      <w:r w:rsidR="004D5AD1">
        <w:t> </w:t>
      </w:r>
      <w:r w:rsidR="004D5AD1" w:rsidRPr="004D5AD1">
        <w:t>uch</w:t>
      </w:r>
      <w:r w:rsidRPr="004D5AD1">
        <w:t>ylająca dyrektywę Rady 90/313/EWG (Dz.U. L 41</w:t>
      </w:r>
      <w:r w:rsidR="004D5AD1" w:rsidRPr="004D5AD1">
        <w:t xml:space="preserve"> z</w:t>
      </w:r>
      <w:r w:rsidR="004D5AD1">
        <w:t> </w:t>
      </w:r>
      <w:r w:rsidR="004D5AD1" w:rsidRPr="004D5AD1">
        <w:t>1</w:t>
      </w:r>
      <w:r w:rsidRPr="004D5AD1">
        <w:t>4.2.2003).</w:t>
      </w:r>
    </w:p>
  </w:footnote>
  <w:footnote w:id="20">
    <w:p w14:paraId="0920A83A" w14:textId="07AB456D" w:rsidR="00A246E6" w:rsidRPr="004D5AD1" w:rsidRDefault="00A246E6" w:rsidP="00CA3BAF">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(WE) nr</w:t>
      </w:r>
      <w:r w:rsidR="004D5AD1" w:rsidRPr="004D5AD1">
        <w:t> </w:t>
      </w:r>
      <w:r w:rsidRPr="004D5AD1">
        <w:t>765/2008</w:t>
      </w:r>
      <w:r w:rsidR="004D5AD1" w:rsidRPr="004D5AD1">
        <w:t xml:space="preserve"> z</w:t>
      </w:r>
      <w:r w:rsidR="004D5AD1">
        <w:t> </w:t>
      </w:r>
      <w:r w:rsidR="004D5AD1" w:rsidRPr="004D5AD1">
        <w:t>dni</w:t>
      </w:r>
      <w:r w:rsidRPr="004D5AD1">
        <w:t>a 9 lipca 2008</w:t>
      </w:r>
      <w:r w:rsidR="004D5AD1" w:rsidRPr="004D5AD1">
        <w:t> </w:t>
      </w:r>
      <w:r w:rsidRPr="004D5AD1">
        <w:t>r. ustanawiające wymagania</w:t>
      </w:r>
      <w:r w:rsidR="004D5AD1" w:rsidRPr="004D5AD1">
        <w:t xml:space="preserve"> w</w:t>
      </w:r>
      <w:r w:rsidR="004D5AD1">
        <w:t> </w:t>
      </w:r>
      <w:r w:rsidR="004D5AD1" w:rsidRPr="004D5AD1">
        <w:t>zak</w:t>
      </w:r>
      <w:r w:rsidRPr="004D5AD1">
        <w:t>resie akredytacji</w:t>
      </w:r>
      <w:r w:rsidR="004D5AD1" w:rsidRPr="004D5AD1">
        <w:t xml:space="preserve"> i</w:t>
      </w:r>
      <w:r w:rsidR="004D5AD1">
        <w:t> </w:t>
      </w:r>
      <w:r w:rsidR="004D5AD1" w:rsidRPr="004D5AD1">
        <w:t>nad</w:t>
      </w:r>
      <w:r w:rsidRPr="004D5AD1">
        <w:t>zoru rynku odnoszące się do warunków wprowadzania produktów do obrotu</w:t>
      </w:r>
      <w:r w:rsidR="004D5AD1" w:rsidRPr="004D5AD1">
        <w:t xml:space="preserve"> i</w:t>
      </w:r>
      <w:r w:rsidR="004D5AD1">
        <w:t> </w:t>
      </w:r>
      <w:r w:rsidR="004D5AD1" w:rsidRPr="004D5AD1">
        <w:t>uch</w:t>
      </w:r>
      <w:r w:rsidRPr="004D5AD1">
        <w:t>ylające rozporządzenie (EWG) nr</w:t>
      </w:r>
      <w:r w:rsidR="004D5AD1" w:rsidRPr="004D5AD1">
        <w:t> </w:t>
      </w:r>
      <w:r w:rsidRPr="004D5AD1">
        <w:t>339/93 (Dz.U. L 218</w:t>
      </w:r>
      <w:r w:rsidR="004D5AD1" w:rsidRPr="004D5AD1">
        <w:t xml:space="preserve"> z</w:t>
      </w:r>
      <w:r w:rsidR="004D5AD1">
        <w:t> </w:t>
      </w:r>
      <w:r w:rsidR="004D5AD1" w:rsidRPr="004D5AD1">
        <w:t>1</w:t>
      </w:r>
      <w:r w:rsidRPr="004D5AD1">
        <w:t>3.8.2008).</w:t>
      </w:r>
    </w:p>
  </w:footnote>
  <w:footnote w:id="21">
    <w:p w14:paraId="537DAEED" w14:textId="242CC2C3" w:rsidR="00A246E6" w:rsidRPr="004D5AD1" w:rsidRDefault="00A246E6">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(UE) 2018/1999</w:t>
      </w:r>
      <w:r w:rsidR="004D5AD1" w:rsidRPr="004D5AD1">
        <w:t xml:space="preserve"> z</w:t>
      </w:r>
      <w:r w:rsidR="004D5AD1">
        <w:t> </w:t>
      </w:r>
      <w:r w:rsidR="004D5AD1" w:rsidRPr="004D5AD1">
        <w:t>dni</w:t>
      </w:r>
      <w:r w:rsidRPr="004D5AD1">
        <w:t>a 11 grudnia 2018</w:t>
      </w:r>
      <w:r w:rsidR="004D5AD1" w:rsidRPr="004D5AD1">
        <w:t> </w:t>
      </w:r>
      <w:r w:rsidRPr="004D5AD1">
        <w:t>r.</w:t>
      </w:r>
      <w:r w:rsidR="004D5AD1" w:rsidRPr="004D5AD1">
        <w:t xml:space="preserve"> w</w:t>
      </w:r>
      <w:r w:rsidR="004D5AD1">
        <w:t> </w:t>
      </w:r>
      <w:r w:rsidR="004D5AD1" w:rsidRPr="004D5AD1">
        <w:t>spr</w:t>
      </w:r>
      <w:r w:rsidRPr="004D5AD1">
        <w:t>awie zarządzania unią energetyczną</w:t>
      </w:r>
      <w:r w:rsidR="004D5AD1" w:rsidRPr="004D5AD1">
        <w:t xml:space="preserve"> i</w:t>
      </w:r>
      <w:r w:rsidR="004D5AD1">
        <w:t> </w:t>
      </w:r>
      <w:r w:rsidR="004D5AD1" w:rsidRPr="004D5AD1">
        <w:t>dzi</w:t>
      </w:r>
      <w:r w:rsidRPr="004D5AD1">
        <w:t>ałaniami</w:t>
      </w:r>
      <w:r w:rsidR="004D5AD1" w:rsidRPr="004D5AD1">
        <w:t xml:space="preserve"> w</w:t>
      </w:r>
      <w:r w:rsidR="004D5AD1">
        <w:t> </w:t>
      </w:r>
      <w:r w:rsidR="004D5AD1" w:rsidRPr="004D5AD1">
        <w:t>dzi</w:t>
      </w:r>
      <w:r w:rsidRPr="004D5AD1">
        <w:t>edzinie klimatu, zmiany rozporządzeń Parlamentu Europejskiego</w:t>
      </w:r>
      <w:r w:rsidR="004D5AD1" w:rsidRPr="004D5AD1">
        <w:t xml:space="preserve"> i</w:t>
      </w:r>
      <w:r w:rsidR="004D5AD1">
        <w:t> </w:t>
      </w:r>
      <w:r w:rsidR="004D5AD1" w:rsidRPr="004D5AD1">
        <w:t>Rad</w:t>
      </w:r>
      <w:r w:rsidRPr="004D5AD1">
        <w:t>y (WE) nr</w:t>
      </w:r>
      <w:r w:rsidR="004D5AD1" w:rsidRPr="004D5AD1">
        <w:t> </w:t>
      </w:r>
      <w:r w:rsidRPr="004D5AD1">
        <w:t>663/2009 i (WE) nr</w:t>
      </w:r>
      <w:r w:rsidR="004D5AD1" w:rsidRPr="004D5AD1">
        <w:t> </w:t>
      </w:r>
      <w:r w:rsidRPr="004D5AD1">
        <w:t>715/2009, dyrektyw Parlamentu Europejskiego</w:t>
      </w:r>
      <w:r w:rsidR="004D5AD1" w:rsidRPr="004D5AD1">
        <w:t xml:space="preserve"> i</w:t>
      </w:r>
      <w:r w:rsidR="004D5AD1">
        <w:t> </w:t>
      </w:r>
      <w:r w:rsidR="004D5AD1" w:rsidRPr="004D5AD1">
        <w:t>Rad</w:t>
      </w:r>
      <w:r w:rsidRPr="004D5AD1">
        <w:t>y 94/22/WE, 98/70/WE, 2009/31/WE, 2009/73/WE, 2010/31/UE, 2012/27/UE</w:t>
      </w:r>
      <w:r w:rsidR="004D5AD1" w:rsidRPr="004D5AD1">
        <w:t xml:space="preserve"> i</w:t>
      </w:r>
      <w:r w:rsidR="004D5AD1">
        <w:t> </w:t>
      </w:r>
      <w:r w:rsidR="004D5AD1" w:rsidRPr="004D5AD1">
        <w:t>2</w:t>
      </w:r>
      <w:r w:rsidRPr="004D5AD1">
        <w:t>013/30/UE, dyrektyw Rady 2009/119/WE i (UE) 2015/652 oraz uchylenia rozporządzenia Parlamentu Europejskiego</w:t>
      </w:r>
      <w:r w:rsidR="004D5AD1" w:rsidRPr="004D5AD1">
        <w:t xml:space="preserve"> i</w:t>
      </w:r>
      <w:r w:rsidR="004D5AD1">
        <w:t> </w:t>
      </w:r>
      <w:r w:rsidR="004D5AD1" w:rsidRPr="004D5AD1">
        <w:t>Rad</w:t>
      </w:r>
      <w:r w:rsidRPr="004D5AD1">
        <w:t>y (UE) nr</w:t>
      </w:r>
      <w:r w:rsidR="004D5AD1" w:rsidRPr="004D5AD1">
        <w:t> </w:t>
      </w:r>
      <w:r w:rsidRPr="004D5AD1">
        <w:t>525/2013 (Dz.U. L 328</w:t>
      </w:r>
      <w:r w:rsidR="004D5AD1" w:rsidRPr="004D5AD1">
        <w:t xml:space="preserve"> z</w:t>
      </w:r>
      <w:r w:rsidR="004D5AD1">
        <w:t> </w:t>
      </w:r>
      <w:r w:rsidR="004D5AD1" w:rsidRPr="004D5AD1">
        <w:t>2</w:t>
      </w:r>
      <w:r w:rsidRPr="004D5AD1">
        <w:t>1.12.2018, s. 1).</w:t>
      </w:r>
    </w:p>
  </w:footnote>
  <w:footnote w:id="22">
    <w:p w14:paraId="04BE381F" w14:textId="69B032EA" w:rsidR="00A246E6" w:rsidRPr="004D5AD1" w:rsidRDefault="00A246E6" w:rsidP="00C34922">
      <w:pPr>
        <w:pStyle w:val="FootnoteText"/>
      </w:pPr>
      <w:r w:rsidRPr="004D5AD1">
        <w:rPr>
          <w:rStyle w:val="FootnoteReference"/>
        </w:rPr>
        <w:footnoteRef/>
      </w:r>
      <w:r w:rsidRPr="004D5AD1">
        <w:tab/>
        <w:t>IPCC (2019), Wytyczne IPPC dotyczące krajowych wykazów gazów cieplarnianych</w:t>
      </w:r>
      <w:r w:rsidR="004D5AD1" w:rsidRPr="004D5AD1">
        <w:t xml:space="preserve"> z</w:t>
      </w:r>
      <w:r w:rsidR="004D5AD1">
        <w:t> </w:t>
      </w:r>
      <w:r w:rsidR="004D5AD1" w:rsidRPr="004D5AD1">
        <w:t>2</w:t>
      </w:r>
      <w:r w:rsidRPr="004D5AD1">
        <w:t>006</w:t>
      </w:r>
      <w:r w:rsidR="004D5AD1" w:rsidRPr="004D5AD1">
        <w:t> </w:t>
      </w:r>
      <w:r w:rsidRPr="004D5AD1">
        <w:t>r., zmienione</w:t>
      </w:r>
      <w:r w:rsidR="004D5AD1" w:rsidRPr="004D5AD1">
        <w:t xml:space="preserve"> w</w:t>
      </w:r>
      <w:r w:rsidR="004D5AD1">
        <w:t> </w:t>
      </w:r>
      <w:r w:rsidR="004D5AD1" w:rsidRPr="004D5AD1">
        <w:t>2</w:t>
      </w:r>
      <w:r w:rsidRPr="004D5AD1">
        <w:t>019</w:t>
      </w:r>
      <w:r w:rsidR="004D5AD1" w:rsidRPr="004D5AD1">
        <w:t> </w:t>
      </w:r>
      <w:r w:rsidRPr="004D5AD1">
        <w:t xml:space="preserve">r. </w:t>
      </w:r>
    </w:p>
  </w:footnote>
  <w:footnote w:id="23">
    <w:p w14:paraId="7C476BA0" w14:textId="69566933" w:rsidR="00A246E6" w:rsidRPr="004D5AD1" w:rsidRDefault="00A246E6" w:rsidP="00DE439A">
      <w:pPr>
        <w:pStyle w:val="FootnoteText"/>
        <w:rPr>
          <w:rFonts w:cs="Arial Unicode MS"/>
        </w:rPr>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(WE) nr</w:t>
      </w:r>
      <w:r w:rsidR="004D5AD1" w:rsidRPr="004D5AD1">
        <w:t> </w:t>
      </w:r>
      <w:r w:rsidRPr="004D5AD1">
        <w:t>166/2006</w:t>
      </w:r>
      <w:r w:rsidR="004D5AD1" w:rsidRPr="004D5AD1">
        <w:t xml:space="preserve"> z</w:t>
      </w:r>
      <w:r w:rsidR="004D5AD1">
        <w:t> </w:t>
      </w:r>
      <w:r w:rsidR="004D5AD1" w:rsidRPr="004D5AD1">
        <w:t>dni</w:t>
      </w:r>
      <w:r w:rsidRPr="004D5AD1">
        <w:t>a 18 stycznia 2006</w:t>
      </w:r>
      <w:r w:rsidR="004D5AD1" w:rsidRPr="004D5AD1">
        <w:t> </w:t>
      </w:r>
      <w:r w:rsidRPr="004D5AD1">
        <w:t>r.</w:t>
      </w:r>
      <w:r w:rsidR="004D5AD1" w:rsidRPr="004D5AD1">
        <w:t xml:space="preserve"> w</w:t>
      </w:r>
      <w:r w:rsidR="004D5AD1">
        <w:t> </w:t>
      </w:r>
      <w:r w:rsidR="004D5AD1" w:rsidRPr="004D5AD1">
        <w:t>spr</w:t>
      </w:r>
      <w:r w:rsidRPr="004D5AD1">
        <w:t>awie</w:t>
      </w:r>
    </w:p>
    <w:p w14:paraId="5AF8DAD3" w14:textId="006D4E71" w:rsidR="00A246E6" w:rsidRPr="004D5AD1" w:rsidRDefault="00A246E6" w:rsidP="00DE439A">
      <w:pPr>
        <w:pStyle w:val="FootnoteText"/>
        <w:ind w:firstLine="0"/>
      </w:pPr>
      <w:r w:rsidRPr="004D5AD1">
        <w:t>ustanowienia Europejskiego Rejestru Uwalniania</w:t>
      </w:r>
      <w:r w:rsidR="004D5AD1" w:rsidRPr="004D5AD1">
        <w:t xml:space="preserve"> i</w:t>
      </w:r>
      <w:r w:rsidR="004D5AD1">
        <w:t> </w:t>
      </w:r>
      <w:r w:rsidR="004D5AD1" w:rsidRPr="004D5AD1">
        <w:t>Tra</w:t>
      </w:r>
      <w:r w:rsidRPr="004D5AD1">
        <w:t>nsferu Zanieczyszczeń</w:t>
      </w:r>
      <w:r w:rsidR="004D5AD1" w:rsidRPr="004D5AD1">
        <w:t xml:space="preserve"> i</w:t>
      </w:r>
      <w:r w:rsidR="004D5AD1">
        <w:t> </w:t>
      </w:r>
      <w:r w:rsidR="004D5AD1" w:rsidRPr="004D5AD1">
        <w:t>zmi</w:t>
      </w:r>
      <w:r w:rsidRPr="004D5AD1">
        <w:t>eniające dyrektywę Rady 91/689/EWG</w:t>
      </w:r>
      <w:r w:rsidR="004D5AD1" w:rsidRPr="004D5AD1">
        <w:t xml:space="preserve"> i</w:t>
      </w:r>
      <w:r w:rsidR="004D5AD1">
        <w:t> </w:t>
      </w:r>
      <w:r w:rsidR="004D5AD1" w:rsidRPr="004D5AD1">
        <w:t>9</w:t>
      </w:r>
      <w:r w:rsidRPr="004D5AD1">
        <w:t>6/61/WE (Dz.U. L 33</w:t>
      </w:r>
      <w:r w:rsidR="004D5AD1" w:rsidRPr="004D5AD1">
        <w:t xml:space="preserve"> z</w:t>
      </w:r>
      <w:r w:rsidR="004D5AD1">
        <w:t> </w:t>
      </w:r>
      <w:r w:rsidR="004D5AD1" w:rsidRPr="004D5AD1">
        <w:t>4</w:t>
      </w:r>
      <w:r w:rsidRPr="004D5AD1">
        <w:t>.2.2006).</w:t>
      </w:r>
    </w:p>
  </w:footnote>
  <w:footnote w:id="24">
    <w:p w14:paraId="326CB163" w14:textId="27431DFD" w:rsidR="00A246E6" w:rsidRPr="004D5AD1" w:rsidRDefault="00A246E6" w:rsidP="0061670B">
      <w:pPr>
        <w:pStyle w:val="FootnoteText"/>
      </w:pPr>
      <w:r w:rsidRPr="004D5AD1">
        <w:rPr>
          <w:rStyle w:val="FootnoteReference"/>
        </w:rPr>
        <w:footnoteRef/>
      </w:r>
      <w:r w:rsidRPr="004D5AD1">
        <w:tab/>
        <w:t>(2020</w:t>
      </w:r>
      <w:r w:rsidRPr="004D5AD1">
        <w:rPr>
          <w:color w:val="000000" w:themeColor="text1"/>
        </w:rPr>
        <w:t xml:space="preserve">) N. Kholod i in., „Global methane emissions from coal mining to continue growing even with declining coal production” </w:t>
      </w:r>
      <w:r w:rsidRPr="004D5AD1">
        <w:t>[„Globalna emisja metanu</w:t>
      </w:r>
      <w:r w:rsidR="004D5AD1" w:rsidRPr="004D5AD1">
        <w:t xml:space="preserve"> z</w:t>
      </w:r>
      <w:r w:rsidR="004D5AD1">
        <w:t> </w:t>
      </w:r>
      <w:r w:rsidR="004D5AD1" w:rsidRPr="004D5AD1">
        <w:t>prz</w:t>
      </w:r>
      <w:r w:rsidRPr="004D5AD1">
        <w:t xml:space="preserve">emysłu węglowego będzie nadal rosła, nawet przy malejącej produkcji węgla”], </w:t>
      </w:r>
      <w:r w:rsidRPr="004D5AD1">
        <w:rPr>
          <w:i/>
          <w:iCs/>
        </w:rPr>
        <w:t>Journal of Cleaner Production</w:t>
      </w:r>
      <w:r w:rsidRPr="004D5AD1">
        <w:t>, tom</w:t>
      </w:r>
      <w:r w:rsidR="004D5AD1" w:rsidRPr="004D5AD1">
        <w:t> </w:t>
      </w:r>
      <w:r w:rsidRPr="004D5AD1">
        <w:t>256, 120489.</w:t>
      </w:r>
    </w:p>
  </w:footnote>
  <w:footnote w:id="25">
    <w:p w14:paraId="12801240" w14:textId="46F7E2F5" w:rsidR="00A246E6" w:rsidRPr="004D5AD1" w:rsidRDefault="00A246E6" w:rsidP="00C03947">
      <w:pPr>
        <w:pStyle w:val="FootnoteText"/>
      </w:pPr>
      <w:r w:rsidRPr="004D5AD1">
        <w:rPr>
          <w:rStyle w:val="FootnoteReference"/>
        </w:rPr>
        <w:footnoteRef/>
      </w:r>
      <w:r w:rsidRPr="004D5AD1">
        <w:tab/>
        <w:t>(</w:t>
      </w:r>
      <w:r w:rsidRPr="004D5AD1">
        <w:rPr>
          <w:color w:val="000000" w:themeColor="text1"/>
        </w:rPr>
        <w:t xml:space="preserve">2020) N. Kholod i in., „Global methane emissions from coal mining to continue growing even with declining coal production” </w:t>
      </w:r>
      <w:r w:rsidRPr="004D5AD1">
        <w:t>[Globalna emisja metanu</w:t>
      </w:r>
      <w:r w:rsidR="004D5AD1" w:rsidRPr="004D5AD1">
        <w:t xml:space="preserve"> z</w:t>
      </w:r>
      <w:r w:rsidR="004D5AD1">
        <w:t> </w:t>
      </w:r>
      <w:r w:rsidR="004D5AD1" w:rsidRPr="004D5AD1">
        <w:t>prz</w:t>
      </w:r>
      <w:r w:rsidRPr="004D5AD1">
        <w:t>emysłu węglowego będzie nadal rosła, nawet przy malejącej produkcji węgla], Journal of Cleaner Production, tom</w:t>
      </w:r>
      <w:r w:rsidR="004D5AD1" w:rsidRPr="004D5AD1">
        <w:t> </w:t>
      </w:r>
      <w:r w:rsidRPr="004D5AD1">
        <w:t>256, 120489.</w:t>
      </w:r>
    </w:p>
  </w:footnote>
  <w:footnote w:id="26">
    <w:p w14:paraId="54EF37FC" w14:textId="6B03FD26" w:rsidR="00A246E6" w:rsidRPr="004D5AD1" w:rsidRDefault="00A246E6" w:rsidP="000B7BCE">
      <w:pPr>
        <w:pStyle w:val="FootnoteText"/>
      </w:pPr>
      <w:r w:rsidRPr="004D5AD1">
        <w:rPr>
          <w:rStyle w:val="FootnoteReference"/>
        </w:rPr>
        <w:footnoteRef/>
      </w:r>
      <w:r w:rsidRPr="004D5AD1">
        <w:tab/>
        <w:t>Emisje metanu</w:t>
      </w:r>
      <w:r w:rsidR="004D5AD1" w:rsidRPr="004D5AD1">
        <w:t xml:space="preserve"> z</w:t>
      </w:r>
      <w:r w:rsidR="004D5AD1">
        <w:t> </w:t>
      </w:r>
      <w:r w:rsidR="004D5AD1" w:rsidRPr="004D5AD1">
        <w:t>sek</w:t>
      </w:r>
      <w:r w:rsidRPr="004D5AD1">
        <w:t>tora energetycznego</w:t>
      </w:r>
      <w:r w:rsidR="004D5AD1" w:rsidRPr="004D5AD1">
        <w:t xml:space="preserve"> w</w:t>
      </w:r>
      <w:r w:rsidR="004D5AD1">
        <w:t> </w:t>
      </w:r>
      <w:r w:rsidR="004D5AD1" w:rsidRPr="004D5AD1">
        <w:t>kil</w:t>
      </w:r>
      <w:r w:rsidRPr="004D5AD1">
        <w:t>otonach,</w:t>
      </w:r>
      <w:r w:rsidR="004D5AD1" w:rsidRPr="004D5AD1">
        <w:t xml:space="preserve"> w</w:t>
      </w:r>
      <w:r w:rsidR="004D5AD1">
        <w:t> </w:t>
      </w:r>
      <w:r w:rsidR="004D5AD1" w:rsidRPr="004D5AD1">
        <w:t>roz</w:t>
      </w:r>
      <w:r w:rsidRPr="004D5AD1">
        <w:t>biciu na źródła kategorii emisji, zgłoszone UNFCCC</w:t>
      </w:r>
      <w:r w:rsidR="004D5AD1" w:rsidRPr="004D5AD1">
        <w:t xml:space="preserve"> w</w:t>
      </w:r>
      <w:r w:rsidR="004D5AD1">
        <w:t> </w:t>
      </w:r>
      <w:r w:rsidR="004D5AD1" w:rsidRPr="004D5AD1">
        <w:t>kwi</w:t>
      </w:r>
      <w:r w:rsidRPr="004D5AD1">
        <w:t>etniu 2021</w:t>
      </w:r>
      <w:r w:rsidR="004D5AD1" w:rsidRPr="004D5AD1">
        <w:t> </w:t>
      </w:r>
      <w:r w:rsidRPr="004D5AD1">
        <w:t>r. przez EEA</w:t>
      </w:r>
      <w:r w:rsidR="004D5AD1" w:rsidRPr="004D5AD1">
        <w:t xml:space="preserve"> w</w:t>
      </w:r>
      <w:r w:rsidR="004D5AD1">
        <w:t> </w:t>
      </w:r>
      <w:r w:rsidR="004D5AD1" w:rsidRPr="004D5AD1">
        <w:t>imi</w:t>
      </w:r>
      <w:r w:rsidRPr="004D5AD1">
        <w:t>eniu UE.</w:t>
      </w:r>
    </w:p>
  </w:footnote>
  <w:footnote w:id="27">
    <w:p w14:paraId="3D00F2E8" w14:textId="7CC2D9D8" w:rsidR="00A246E6" w:rsidRPr="004D5AD1" w:rsidRDefault="00A246E6" w:rsidP="00293EF8">
      <w:pPr>
        <w:pStyle w:val="FootnoteText"/>
      </w:pPr>
      <w:r w:rsidRPr="004D5AD1">
        <w:rPr>
          <w:rStyle w:val="FootnoteReference"/>
        </w:rPr>
        <w:footnoteRef/>
      </w:r>
      <w:r w:rsidRPr="004D5AD1">
        <w:tab/>
        <w:t>Wytyczne dotyczące najlepszych praktyk</w:t>
      </w:r>
      <w:r w:rsidR="004D5AD1" w:rsidRPr="004D5AD1">
        <w:t xml:space="preserve"> w</w:t>
      </w:r>
      <w:r w:rsidR="004D5AD1">
        <w:t> </w:t>
      </w:r>
      <w:r w:rsidR="004D5AD1" w:rsidRPr="004D5AD1">
        <w:t>zak</w:t>
      </w:r>
      <w:r w:rsidRPr="004D5AD1">
        <w:t>resie skutecznego gospodarowania metanem</w:t>
      </w:r>
      <w:r w:rsidR="004D5AD1" w:rsidRPr="004D5AD1">
        <w:t xml:space="preserve"> z</w:t>
      </w:r>
      <w:r w:rsidR="004D5AD1">
        <w:t> </w:t>
      </w:r>
      <w:r w:rsidR="004D5AD1" w:rsidRPr="004D5AD1">
        <w:t>kop</w:t>
      </w:r>
      <w:r w:rsidRPr="004D5AD1">
        <w:t>alń węgla na szczeblu krajowym: monitorowanie, raportowanie, weryfikacja</w:t>
      </w:r>
      <w:r w:rsidR="004D5AD1" w:rsidRPr="004D5AD1">
        <w:t xml:space="preserve"> i</w:t>
      </w:r>
      <w:r w:rsidR="004D5AD1">
        <w:t> </w:t>
      </w:r>
      <w:r w:rsidR="004D5AD1" w:rsidRPr="004D5AD1">
        <w:t>ogr</w:t>
      </w:r>
      <w:r w:rsidRPr="004D5AD1">
        <w:t>aniczanie emisji, ECE Energy Series nr</w:t>
      </w:r>
      <w:r w:rsidR="004D5AD1" w:rsidRPr="004D5AD1">
        <w:t> </w:t>
      </w:r>
      <w:r w:rsidRPr="004D5AD1">
        <w:t>71, EKG ONZ 2021 (w przygotowaniu).</w:t>
      </w:r>
    </w:p>
  </w:footnote>
  <w:footnote w:id="28">
    <w:p w14:paraId="3B537A74" w14:textId="1DFBEDCC" w:rsidR="00A246E6" w:rsidRPr="004D5AD1" w:rsidRDefault="00A246E6" w:rsidP="00CA3BAF">
      <w:pPr>
        <w:pStyle w:val="FootnoteText"/>
      </w:pPr>
      <w:r w:rsidRPr="004D5AD1">
        <w:rPr>
          <w:rStyle w:val="FootnoteReference"/>
        </w:rPr>
        <w:footnoteRef/>
      </w:r>
      <w:r w:rsidRPr="004D5AD1">
        <w:tab/>
        <w:t>Wytyczne IPCC dotyczące krajowych wykazów gazów cieplarnianych</w:t>
      </w:r>
      <w:r w:rsidR="004D5AD1" w:rsidRPr="004D5AD1">
        <w:t xml:space="preserve"> z</w:t>
      </w:r>
      <w:r w:rsidR="004D5AD1">
        <w:t> </w:t>
      </w:r>
      <w:r w:rsidR="004D5AD1" w:rsidRPr="004D5AD1">
        <w:t>2</w:t>
      </w:r>
      <w:r w:rsidRPr="004D5AD1">
        <w:t>006</w:t>
      </w:r>
      <w:r w:rsidR="004D5AD1" w:rsidRPr="004D5AD1">
        <w:t> </w:t>
      </w:r>
      <w:r w:rsidRPr="004D5AD1">
        <w:t>r.</w:t>
      </w:r>
    </w:p>
  </w:footnote>
  <w:footnote w:id="29">
    <w:p w14:paraId="0C8D8238" w14:textId="5DC15772" w:rsidR="00A246E6" w:rsidRPr="004D5AD1" w:rsidRDefault="00A246E6">
      <w:pPr>
        <w:pStyle w:val="FootnoteText"/>
      </w:pPr>
      <w:r w:rsidRPr="004D5AD1">
        <w:rPr>
          <w:rStyle w:val="FootnoteReference"/>
        </w:rPr>
        <w:footnoteRef/>
      </w:r>
      <w:r w:rsidRPr="004D5AD1">
        <w:tab/>
        <w:t>„Bilans zasobów złóż kopalin, stan na</w:t>
      </w:r>
      <w:r w:rsidR="004D5AD1" w:rsidRPr="004D5AD1">
        <w:t> </w:t>
      </w:r>
      <w:r w:rsidRPr="004D5AD1">
        <w:t xml:space="preserve">31.12.2020”, Państwowy Instytut Geologiczny, </w:t>
      </w:r>
      <w:hyperlink r:id="rId1" w:history="1">
        <w:r w:rsidRPr="004D5AD1">
          <w:rPr>
            <w:rStyle w:val="Hyperlink"/>
          </w:rPr>
          <w:t>Surowce mineralne (pgi.gov.pl)</w:t>
        </w:r>
      </w:hyperlink>
    </w:p>
  </w:footnote>
  <w:footnote w:id="30">
    <w:p w14:paraId="2BC95C29" w14:textId="0A5A1E4A" w:rsidR="00A246E6" w:rsidRPr="004D5AD1" w:rsidRDefault="00A246E6">
      <w:pPr>
        <w:pStyle w:val="FootnoteText"/>
      </w:pPr>
      <w:r w:rsidRPr="004D5AD1">
        <w:rPr>
          <w:rStyle w:val="FootnoteReference"/>
        </w:rPr>
        <w:footnoteRef/>
      </w:r>
      <w:r w:rsidRPr="004D5AD1">
        <w:tab/>
        <w:t>Wytyczne dotyczące najlepszych praktyk</w:t>
      </w:r>
      <w:r w:rsidR="004D5AD1" w:rsidRPr="004D5AD1">
        <w:t xml:space="preserve"> w</w:t>
      </w:r>
      <w:r w:rsidR="004D5AD1">
        <w:t> </w:t>
      </w:r>
      <w:r w:rsidR="004D5AD1" w:rsidRPr="004D5AD1">
        <w:t>zak</w:t>
      </w:r>
      <w:r w:rsidRPr="004D5AD1">
        <w:t>resie skutecznego gospodarowania metanem</w:t>
      </w:r>
      <w:r w:rsidR="004D5AD1" w:rsidRPr="004D5AD1">
        <w:t xml:space="preserve"> z</w:t>
      </w:r>
      <w:r w:rsidR="004D5AD1">
        <w:t> </w:t>
      </w:r>
      <w:r w:rsidR="004D5AD1" w:rsidRPr="004D5AD1">
        <w:t>kop</w:t>
      </w:r>
      <w:r w:rsidRPr="004D5AD1">
        <w:t>alń węgla na szczeblu krajowym: monitorowanie, raportowanie, weryfikacja</w:t>
      </w:r>
      <w:r w:rsidR="004D5AD1" w:rsidRPr="004D5AD1">
        <w:t xml:space="preserve"> i</w:t>
      </w:r>
      <w:r w:rsidR="004D5AD1">
        <w:t> </w:t>
      </w:r>
      <w:r w:rsidR="004D5AD1" w:rsidRPr="004D5AD1">
        <w:t>ogr</w:t>
      </w:r>
      <w:r w:rsidRPr="004D5AD1">
        <w:t>aniczanie emisji, ECE Energy Series nr</w:t>
      </w:r>
      <w:r w:rsidR="004D5AD1" w:rsidRPr="004D5AD1">
        <w:t> </w:t>
      </w:r>
      <w:r w:rsidRPr="004D5AD1">
        <w:t>71, EKG ONZ 2021 (w przygotowaniu).</w:t>
      </w:r>
    </w:p>
  </w:footnote>
  <w:footnote w:id="31">
    <w:p w14:paraId="20C6CA08" w14:textId="46613C0D" w:rsidR="00A246E6" w:rsidRPr="004D5AD1" w:rsidRDefault="00A246E6" w:rsidP="007D64C9">
      <w:pPr>
        <w:pStyle w:val="FootnoteText"/>
      </w:pPr>
      <w:r w:rsidRPr="004D5AD1">
        <w:rPr>
          <w:rStyle w:val="FootnoteReference"/>
        </w:rPr>
        <w:footnoteRef/>
      </w:r>
      <w:r w:rsidRPr="004D5AD1">
        <w:tab/>
        <w:t>Wytyczne dotyczące najlepszych praktyk</w:t>
      </w:r>
      <w:r w:rsidR="004D5AD1" w:rsidRPr="004D5AD1">
        <w:t xml:space="preserve"> w</w:t>
      </w:r>
      <w:r w:rsidR="004D5AD1">
        <w:t> </w:t>
      </w:r>
      <w:r w:rsidR="004D5AD1" w:rsidRPr="004D5AD1">
        <w:t>zak</w:t>
      </w:r>
      <w:r w:rsidRPr="004D5AD1">
        <w:t>resie skutecznego odzyskiwania</w:t>
      </w:r>
      <w:r w:rsidR="004D5AD1" w:rsidRPr="004D5AD1">
        <w:t xml:space="preserve"> i</w:t>
      </w:r>
      <w:r w:rsidR="004D5AD1">
        <w:t> </w:t>
      </w:r>
      <w:r w:rsidR="004D5AD1" w:rsidRPr="004D5AD1">
        <w:t>wyk</w:t>
      </w:r>
      <w:r w:rsidRPr="004D5AD1">
        <w:t>orzystywania metanu</w:t>
      </w:r>
      <w:r w:rsidR="004D5AD1" w:rsidRPr="004D5AD1">
        <w:t xml:space="preserve"> z</w:t>
      </w:r>
      <w:r w:rsidR="004D5AD1">
        <w:t> </w:t>
      </w:r>
      <w:r w:rsidR="004D5AD1" w:rsidRPr="004D5AD1">
        <w:t>nie</w:t>
      </w:r>
      <w:r w:rsidRPr="004D5AD1">
        <w:t>czynnych kopalń (EKG ONZ, 2019)</w:t>
      </w:r>
    </w:p>
  </w:footnote>
  <w:footnote w:id="32">
    <w:p w14:paraId="19987799" w14:textId="659A064C" w:rsidR="00A246E6" w:rsidRPr="004D5AD1" w:rsidRDefault="00A246E6" w:rsidP="00F75FE5">
      <w:pPr>
        <w:pStyle w:val="FootnoteText"/>
      </w:pPr>
      <w:r w:rsidRPr="004D5AD1">
        <w:rPr>
          <w:rStyle w:val="FootnoteReference"/>
        </w:rPr>
        <w:footnoteRef/>
      </w:r>
      <w:r w:rsidRPr="004D5AD1">
        <w:tab/>
        <w:t>Decyzja Rady (UE) 2021/1094</w:t>
      </w:r>
      <w:r w:rsidR="004D5AD1" w:rsidRPr="004D5AD1">
        <w:t xml:space="preserve"> z</w:t>
      </w:r>
      <w:r w:rsidR="004D5AD1">
        <w:t> </w:t>
      </w:r>
      <w:r w:rsidR="004D5AD1" w:rsidRPr="004D5AD1">
        <w:t>dni</w:t>
      </w:r>
      <w:r w:rsidRPr="004D5AD1">
        <w:t>a 28 czerwca 2021 r. zmieniająca decyzję 2008/376/WE</w:t>
      </w:r>
      <w:r w:rsidR="004D5AD1" w:rsidRPr="004D5AD1">
        <w:t xml:space="preserve"> w</w:t>
      </w:r>
      <w:r w:rsidR="004D5AD1">
        <w:t> </w:t>
      </w:r>
      <w:r w:rsidR="004D5AD1" w:rsidRPr="004D5AD1">
        <w:t>spr</w:t>
      </w:r>
      <w:r w:rsidRPr="004D5AD1">
        <w:t>awie przyjęcia Programu badawczego Funduszu Badawczego Węgla</w:t>
      </w:r>
      <w:r w:rsidR="004D5AD1" w:rsidRPr="004D5AD1">
        <w:t xml:space="preserve"> i</w:t>
      </w:r>
      <w:r w:rsidR="004D5AD1">
        <w:t> </w:t>
      </w:r>
      <w:r w:rsidR="004D5AD1" w:rsidRPr="004D5AD1">
        <w:t>Sta</w:t>
      </w:r>
      <w:r w:rsidRPr="004D5AD1">
        <w:t>li</w:t>
      </w:r>
      <w:r w:rsidR="004D5AD1" w:rsidRPr="004D5AD1">
        <w:t xml:space="preserve"> i</w:t>
      </w:r>
      <w:r w:rsidR="004D5AD1">
        <w:t> </w:t>
      </w:r>
      <w:r w:rsidR="004D5AD1" w:rsidRPr="004D5AD1">
        <w:t>wie</w:t>
      </w:r>
      <w:r w:rsidRPr="004D5AD1">
        <w:t>loletnich wytycznych technicznych dotyczących tego programu, Dz.U. L 236/69. Decyzja Rady (UE) 2021/1207</w:t>
      </w:r>
      <w:r w:rsidR="004D5AD1" w:rsidRPr="004D5AD1">
        <w:t xml:space="preserve"> z</w:t>
      </w:r>
      <w:r w:rsidR="004D5AD1">
        <w:t> </w:t>
      </w:r>
      <w:r w:rsidR="004D5AD1" w:rsidRPr="004D5AD1">
        <w:t>dni</w:t>
      </w:r>
      <w:r w:rsidRPr="004D5AD1">
        <w:t>a 19 lipca 2021 r.</w:t>
      </w:r>
      <w:r w:rsidR="004D5AD1" w:rsidRPr="004D5AD1">
        <w:t xml:space="preserve"> w</w:t>
      </w:r>
      <w:r w:rsidR="004D5AD1">
        <w:t> </w:t>
      </w:r>
      <w:r w:rsidR="004D5AD1" w:rsidRPr="004D5AD1">
        <w:t>spr</w:t>
      </w:r>
      <w:r w:rsidRPr="004D5AD1">
        <w:t>awie zmiany decyzji 2003/77/WE ustanawiającej wieloletnie wytyczne finansowe dotyczące zarządzania aktywami EWWiS</w:t>
      </w:r>
      <w:r w:rsidR="004D5AD1" w:rsidRPr="004D5AD1">
        <w:t xml:space="preserve"> w</w:t>
      </w:r>
      <w:r w:rsidR="004D5AD1">
        <w:t> </w:t>
      </w:r>
      <w:r w:rsidR="004D5AD1" w:rsidRPr="004D5AD1">
        <w:t>lik</w:t>
      </w:r>
      <w:r w:rsidRPr="004D5AD1">
        <w:t>widacji i, po zakończeniu likwidacji, majątkiem Funduszu Badawczego Węgla</w:t>
      </w:r>
      <w:r w:rsidR="004D5AD1" w:rsidRPr="004D5AD1">
        <w:t xml:space="preserve"> i</w:t>
      </w:r>
      <w:r w:rsidR="004D5AD1">
        <w:t> </w:t>
      </w:r>
      <w:r w:rsidR="004D5AD1" w:rsidRPr="004D5AD1">
        <w:t>Sta</w:t>
      </w:r>
      <w:r w:rsidRPr="004D5AD1">
        <w:t>li. Decyzja Rady (UE) 2021/1208</w:t>
      </w:r>
      <w:r w:rsidR="004D5AD1" w:rsidRPr="004D5AD1">
        <w:t xml:space="preserve"> z</w:t>
      </w:r>
      <w:r w:rsidR="004D5AD1">
        <w:t> </w:t>
      </w:r>
      <w:r w:rsidR="004D5AD1" w:rsidRPr="004D5AD1">
        <w:t>dni</w:t>
      </w:r>
      <w:r w:rsidRPr="004D5AD1">
        <w:t>a 19 lipca 2021 r.</w:t>
      </w:r>
      <w:r w:rsidR="004D5AD1" w:rsidRPr="004D5AD1">
        <w:t xml:space="preserve"> w</w:t>
      </w:r>
      <w:r w:rsidR="004D5AD1">
        <w:t> </w:t>
      </w:r>
      <w:r w:rsidR="004D5AD1" w:rsidRPr="004D5AD1">
        <w:t>spr</w:t>
      </w:r>
      <w:r w:rsidRPr="004D5AD1">
        <w:t>awie zmiany decyzji 2003/76/WE ustanawiającej środki niezbędne do wykonania Protokołu załączonego do Traktatu ustanawiającego Wspólnotę Europejską</w:t>
      </w:r>
      <w:r w:rsidR="004D5AD1" w:rsidRPr="004D5AD1">
        <w:t xml:space="preserve"> w</w:t>
      </w:r>
      <w:r w:rsidR="004D5AD1">
        <w:t> </w:t>
      </w:r>
      <w:r w:rsidR="004D5AD1" w:rsidRPr="004D5AD1">
        <w:t>spr</w:t>
      </w:r>
      <w:r w:rsidRPr="004D5AD1">
        <w:t>awie skutków finansowych wygaśnięcia Traktatu EWWiS</w:t>
      </w:r>
      <w:r w:rsidR="004D5AD1" w:rsidRPr="004D5AD1">
        <w:t xml:space="preserve"> i</w:t>
      </w:r>
      <w:r w:rsidR="004D5AD1">
        <w:t> </w:t>
      </w:r>
      <w:r w:rsidR="004D5AD1" w:rsidRPr="004D5AD1">
        <w:t>w</w:t>
      </w:r>
      <w:r w:rsidR="004D5AD1">
        <w:t> </w:t>
      </w:r>
      <w:r w:rsidR="004D5AD1" w:rsidRPr="004D5AD1">
        <w:t>spr</w:t>
      </w:r>
      <w:r w:rsidRPr="004D5AD1">
        <w:t>awie Funduszu Badawczego Węgla</w:t>
      </w:r>
      <w:r w:rsidR="004D5AD1" w:rsidRPr="004D5AD1">
        <w:t xml:space="preserve"> i</w:t>
      </w:r>
      <w:r w:rsidR="004D5AD1">
        <w:t> </w:t>
      </w:r>
      <w:r w:rsidR="004D5AD1" w:rsidRPr="004D5AD1">
        <w:t>Sta</w:t>
      </w:r>
      <w:r w:rsidRPr="004D5AD1">
        <w:t>li, Dz.U. L. 261/54.</w:t>
      </w:r>
    </w:p>
  </w:footnote>
  <w:footnote w:id="33">
    <w:p w14:paraId="1CD7AD53" w14:textId="7FB727F6" w:rsidR="00A246E6" w:rsidRPr="004D5AD1" w:rsidRDefault="00A246E6">
      <w:pPr>
        <w:pStyle w:val="FootnoteText"/>
      </w:pPr>
      <w:r w:rsidRPr="004D5AD1">
        <w:rPr>
          <w:rStyle w:val="FootnoteReference"/>
        </w:rPr>
        <w:footnoteRef/>
      </w:r>
      <w:r w:rsidRPr="004D5AD1">
        <w:tab/>
        <w:t>T. Lauvaux, C. Giron, M. Mazzolini, A. d’Aspremont, R. Duren, D. Cusworth, D. Shindell, P. Ciais, „Global Assessment of Oil and Gas Methane 1 Ultra-Emitters” [„Globalna ocena superemitentów metanu</w:t>
      </w:r>
      <w:r w:rsidR="004D5AD1" w:rsidRPr="004D5AD1">
        <w:t xml:space="preserve"> w</w:t>
      </w:r>
      <w:r w:rsidR="004D5AD1">
        <w:t> </w:t>
      </w:r>
      <w:r w:rsidR="004D5AD1" w:rsidRPr="004D5AD1">
        <w:t>sek</w:t>
      </w:r>
      <w:r w:rsidRPr="004D5AD1">
        <w:t>torze produkcji ropy naftowej</w:t>
      </w:r>
      <w:r w:rsidR="004D5AD1" w:rsidRPr="004D5AD1">
        <w:t xml:space="preserve"> i</w:t>
      </w:r>
      <w:r w:rsidR="004D5AD1">
        <w:t> </w:t>
      </w:r>
      <w:r w:rsidR="004D5AD1" w:rsidRPr="004D5AD1">
        <w:t>gaz</w:t>
      </w:r>
      <w:r w:rsidRPr="004D5AD1">
        <w:t>u ziemnego”]</w:t>
      </w:r>
      <w:r w:rsidR="004D5AD1" w:rsidRPr="004D5AD1">
        <w:t xml:space="preserve">, </w:t>
      </w:r>
      <w:r w:rsidRPr="004D5AD1">
        <w:t>kwiecień 2021 r.</w:t>
      </w:r>
    </w:p>
  </w:footnote>
  <w:footnote w:id="34">
    <w:p w14:paraId="697F2029" w14:textId="5D970378" w:rsidR="00A246E6" w:rsidRPr="004D5AD1" w:rsidRDefault="00A246E6" w:rsidP="000F6E16">
      <w:pPr>
        <w:pStyle w:val="FootnoteText"/>
        <w:rPr>
          <w:rStyle w:val="FootnoteReference"/>
        </w:rPr>
      </w:pPr>
      <w:r w:rsidRPr="004D5AD1">
        <w:rPr>
          <w:rStyle w:val="FootnoteReference"/>
        </w:rPr>
        <w:footnoteRef/>
      </w:r>
      <w:r w:rsidRPr="004D5AD1">
        <w:tab/>
        <w:t>COM(2020) 663 final.</w:t>
      </w:r>
    </w:p>
  </w:footnote>
  <w:footnote w:id="35">
    <w:p w14:paraId="6A34EA98" w14:textId="5ECE90D7" w:rsidR="00A246E6" w:rsidRPr="004D5AD1" w:rsidRDefault="00A246E6" w:rsidP="00781211">
      <w:pPr>
        <w:pStyle w:val="FootnoteText"/>
        <w:rPr>
          <w:rStyle w:val="FootnoteReference"/>
          <w:sz w:val="24"/>
          <w:szCs w:val="22"/>
        </w:rPr>
      </w:pPr>
      <w:r w:rsidRPr="004D5AD1">
        <w:rPr>
          <w:rStyle w:val="FootnoteReference"/>
        </w:rPr>
        <w:footnoteRef/>
      </w:r>
      <w:r w:rsidRPr="004D5AD1">
        <w:rPr>
          <w:rStyle w:val="FootnoteReference"/>
        </w:rPr>
        <w:tab/>
      </w:r>
      <w:r w:rsidRPr="004D5AD1">
        <w:t>5263/21 TI/eb</w:t>
      </w:r>
      <w:r w:rsidR="004D5AD1" w:rsidRPr="004D5AD1">
        <w:t> </w:t>
      </w:r>
      <w:r w:rsidRPr="004D5AD1">
        <w:t>1 RELEX.1.C.</w:t>
      </w:r>
    </w:p>
  </w:footnote>
  <w:footnote w:id="36">
    <w:p w14:paraId="0B18AC5A" w14:textId="3FBFA419" w:rsidR="00A246E6" w:rsidRPr="004D5AD1" w:rsidRDefault="00A246E6">
      <w:pPr>
        <w:pStyle w:val="FootnoteText"/>
      </w:pPr>
      <w:r w:rsidRPr="004D5AD1">
        <w:rPr>
          <w:rStyle w:val="FootnoteReference"/>
        </w:rPr>
        <w:footnoteRef/>
      </w:r>
      <w:r w:rsidRPr="004D5AD1">
        <w:tab/>
        <w:t>COM(2020) 663 final.</w:t>
      </w:r>
    </w:p>
  </w:footnote>
  <w:footnote w:id="37">
    <w:p w14:paraId="2808A7D8" w14:textId="0AF47348" w:rsidR="00A246E6" w:rsidRPr="004D5AD1" w:rsidRDefault="00A246E6">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(UE) 2016/679</w:t>
      </w:r>
      <w:r w:rsidR="004D5AD1" w:rsidRPr="004D5AD1">
        <w:t xml:space="preserve"> z</w:t>
      </w:r>
      <w:r w:rsidR="004D5AD1">
        <w:t> </w:t>
      </w:r>
      <w:r w:rsidR="004D5AD1" w:rsidRPr="004D5AD1">
        <w:t>dni</w:t>
      </w:r>
      <w:r w:rsidRPr="004D5AD1">
        <w:t>a 27 kwietnia 2016</w:t>
      </w:r>
      <w:r w:rsidR="004D5AD1" w:rsidRPr="004D5AD1">
        <w:t> </w:t>
      </w:r>
      <w:r w:rsidRPr="004D5AD1">
        <w:t>r.</w:t>
      </w:r>
      <w:r w:rsidR="004D5AD1" w:rsidRPr="004D5AD1">
        <w:t xml:space="preserve"> w</w:t>
      </w:r>
      <w:r w:rsidR="004D5AD1">
        <w:t> </w:t>
      </w:r>
      <w:r w:rsidR="004D5AD1" w:rsidRPr="004D5AD1">
        <w:t>spr</w:t>
      </w:r>
      <w:r w:rsidRPr="004D5AD1">
        <w:t>awie ochrony osób fizycznych</w:t>
      </w:r>
      <w:r w:rsidR="004D5AD1" w:rsidRPr="004D5AD1">
        <w:t xml:space="preserve"> w</w:t>
      </w:r>
      <w:r w:rsidR="004D5AD1">
        <w:t> </w:t>
      </w:r>
      <w:r w:rsidR="004D5AD1" w:rsidRPr="004D5AD1">
        <w:t>zwi</w:t>
      </w:r>
      <w:r w:rsidRPr="004D5AD1">
        <w:t>ązku</w:t>
      </w:r>
      <w:r w:rsidR="004D5AD1" w:rsidRPr="004D5AD1">
        <w:t xml:space="preserve"> z</w:t>
      </w:r>
      <w:r w:rsidR="004D5AD1">
        <w:t> </w:t>
      </w:r>
      <w:r w:rsidR="004D5AD1" w:rsidRPr="004D5AD1">
        <w:t>prz</w:t>
      </w:r>
      <w:r w:rsidRPr="004D5AD1">
        <w:t>etwarzaniem danych osobowych</w:t>
      </w:r>
      <w:r w:rsidR="004D5AD1" w:rsidRPr="004D5AD1">
        <w:t xml:space="preserve"> i</w:t>
      </w:r>
      <w:r w:rsidR="004D5AD1">
        <w:t> </w:t>
      </w:r>
      <w:r w:rsidR="004D5AD1" w:rsidRPr="004D5AD1">
        <w:t>w</w:t>
      </w:r>
      <w:r w:rsidR="004D5AD1">
        <w:t> </w:t>
      </w:r>
      <w:r w:rsidR="004D5AD1" w:rsidRPr="004D5AD1">
        <w:t>spr</w:t>
      </w:r>
      <w:r w:rsidRPr="004D5AD1">
        <w:t>awie swobodnego przepływu takich danych oraz uchylenia dyrektywy 95/46/WE (ogólne rozporządzenie</w:t>
      </w:r>
      <w:r w:rsidR="004D5AD1" w:rsidRPr="004D5AD1">
        <w:t xml:space="preserve"> o</w:t>
      </w:r>
      <w:r w:rsidR="004D5AD1">
        <w:t> </w:t>
      </w:r>
      <w:r w:rsidR="004D5AD1" w:rsidRPr="004D5AD1">
        <w:t>och</w:t>
      </w:r>
      <w:r w:rsidRPr="004D5AD1">
        <w:t>ronie danych) (Dz.U. L 119</w:t>
      </w:r>
      <w:r w:rsidR="004D5AD1" w:rsidRPr="004D5AD1">
        <w:t xml:space="preserve"> z</w:t>
      </w:r>
      <w:r w:rsidR="004D5AD1">
        <w:t> </w:t>
      </w:r>
      <w:r w:rsidR="004D5AD1" w:rsidRPr="004D5AD1">
        <w:t>4</w:t>
      </w:r>
      <w:r w:rsidRPr="004D5AD1">
        <w:t>.5.2016, s. 1).</w:t>
      </w:r>
    </w:p>
  </w:footnote>
  <w:footnote w:id="38">
    <w:p w14:paraId="456B6FF2" w14:textId="4E0ACE86" w:rsidR="00A246E6" w:rsidRPr="004D5AD1" w:rsidRDefault="00A246E6">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(UE) 2018/1725</w:t>
      </w:r>
      <w:r w:rsidR="004D5AD1" w:rsidRPr="004D5AD1">
        <w:t xml:space="preserve"> z</w:t>
      </w:r>
      <w:r w:rsidR="004D5AD1">
        <w:t> </w:t>
      </w:r>
      <w:r w:rsidR="004D5AD1" w:rsidRPr="004D5AD1">
        <w:t>dni</w:t>
      </w:r>
      <w:r w:rsidRPr="004D5AD1">
        <w:t>a 23 października 2018</w:t>
      </w:r>
      <w:r w:rsidR="004D5AD1" w:rsidRPr="004D5AD1">
        <w:t> </w:t>
      </w:r>
      <w:r w:rsidRPr="004D5AD1">
        <w:t>r.</w:t>
      </w:r>
      <w:r w:rsidR="004D5AD1" w:rsidRPr="004D5AD1">
        <w:t xml:space="preserve"> w</w:t>
      </w:r>
      <w:r w:rsidR="004D5AD1">
        <w:t> </w:t>
      </w:r>
      <w:r w:rsidR="004D5AD1" w:rsidRPr="004D5AD1">
        <w:t>spr</w:t>
      </w:r>
      <w:r w:rsidRPr="004D5AD1">
        <w:t>awie ochrony osób fizycznych</w:t>
      </w:r>
      <w:r w:rsidR="004D5AD1" w:rsidRPr="004D5AD1">
        <w:t xml:space="preserve"> w</w:t>
      </w:r>
      <w:r w:rsidR="004D5AD1">
        <w:t> </w:t>
      </w:r>
      <w:r w:rsidR="004D5AD1" w:rsidRPr="004D5AD1">
        <w:t>zwi</w:t>
      </w:r>
      <w:r w:rsidRPr="004D5AD1">
        <w:t>ązku</w:t>
      </w:r>
      <w:r w:rsidR="004D5AD1" w:rsidRPr="004D5AD1">
        <w:t xml:space="preserve"> z</w:t>
      </w:r>
      <w:r w:rsidR="004D5AD1">
        <w:t> </w:t>
      </w:r>
      <w:r w:rsidR="004D5AD1" w:rsidRPr="004D5AD1">
        <w:t>prz</w:t>
      </w:r>
      <w:r w:rsidRPr="004D5AD1">
        <w:t>etwarzaniem danych osobowych przez instytucje, organy</w:t>
      </w:r>
      <w:r w:rsidR="004D5AD1" w:rsidRPr="004D5AD1">
        <w:t xml:space="preserve"> i</w:t>
      </w:r>
      <w:r w:rsidR="004D5AD1">
        <w:t> </w:t>
      </w:r>
      <w:r w:rsidR="004D5AD1" w:rsidRPr="004D5AD1">
        <w:t>jed</w:t>
      </w:r>
      <w:r w:rsidRPr="004D5AD1">
        <w:t>nostki organizacyjne Unii</w:t>
      </w:r>
      <w:r w:rsidR="004D5AD1" w:rsidRPr="004D5AD1">
        <w:t xml:space="preserve"> i</w:t>
      </w:r>
      <w:r w:rsidR="004D5AD1">
        <w:t> </w:t>
      </w:r>
      <w:r w:rsidR="004D5AD1" w:rsidRPr="004D5AD1">
        <w:t>swo</w:t>
      </w:r>
      <w:r w:rsidRPr="004D5AD1">
        <w:t>bodnego przepływu takich danych oraz uchylenia rozporządzenia (WE) nr</w:t>
      </w:r>
      <w:r w:rsidR="004D5AD1" w:rsidRPr="004D5AD1">
        <w:t> </w:t>
      </w:r>
      <w:r w:rsidRPr="004D5AD1">
        <w:t>45/2001</w:t>
      </w:r>
      <w:r w:rsidR="004D5AD1" w:rsidRPr="004D5AD1">
        <w:t xml:space="preserve"> i</w:t>
      </w:r>
      <w:r w:rsidR="004D5AD1">
        <w:t> </w:t>
      </w:r>
      <w:r w:rsidR="004D5AD1" w:rsidRPr="004D5AD1">
        <w:t>dec</w:t>
      </w:r>
      <w:r w:rsidRPr="004D5AD1">
        <w:t>yzji nr</w:t>
      </w:r>
      <w:r w:rsidR="004D5AD1" w:rsidRPr="004D5AD1">
        <w:t> </w:t>
      </w:r>
      <w:r w:rsidRPr="004D5AD1">
        <w:t>1247/2002/WE (Dz.U. L 295</w:t>
      </w:r>
      <w:r w:rsidR="004D5AD1" w:rsidRPr="004D5AD1">
        <w:t xml:space="preserve"> z</w:t>
      </w:r>
      <w:r w:rsidR="004D5AD1">
        <w:t> </w:t>
      </w:r>
      <w:r w:rsidR="004D5AD1" w:rsidRPr="004D5AD1">
        <w:t>2</w:t>
      </w:r>
      <w:r w:rsidRPr="004D5AD1">
        <w:t>1.11.2018, s. 39).</w:t>
      </w:r>
    </w:p>
  </w:footnote>
  <w:footnote w:id="39">
    <w:p w14:paraId="30865E34" w14:textId="6361BE67" w:rsidR="00A246E6" w:rsidRPr="004D5AD1" w:rsidRDefault="00A246E6" w:rsidP="00E51A1C">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(UE) 2019/942</w:t>
      </w:r>
      <w:r w:rsidR="004D5AD1" w:rsidRPr="004D5AD1">
        <w:t xml:space="preserve"> z</w:t>
      </w:r>
      <w:r w:rsidR="004D5AD1">
        <w:t> </w:t>
      </w:r>
      <w:r w:rsidR="004D5AD1" w:rsidRPr="004D5AD1">
        <w:t>dni</w:t>
      </w:r>
      <w:r w:rsidRPr="004D5AD1">
        <w:t>a 5 czerwca 2019</w:t>
      </w:r>
      <w:r w:rsidR="004D5AD1" w:rsidRPr="004D5AD1">
        <w:t> </w:t>
      </w:r>
      <w:r w:rsidRPr="004D5AD1">
        <w:t>r. ustanawiające Agencję Unii Europejskiej ds. Współpracy Organów Regulacji Energetyki (Dz.U. L 158</w:t>
      </w:r>
      <w:r w:rsidR="004D5AD1" w:rsidRPr="004D5AD1">
        <w:t xml:space="preserve"> z</w:t>
      </w:r>
      <w:r w:rsidR="004D5AD1">
        <w:t> </w:t>
      </w:r>
      <w:r w:rsidR="004D5AD1" w:rsidRPr="004D5AD1">
        <w:t>1</w:t>
      </w:r>
      <w:r w:rsidRPr="004D5AD1">
        <w:t>4.6.2019).</w:t>
      </w:r>
    </w:p>
  </w:footnote>
  <w:footnote w:id="40">
    <w:p w14:paraId="38A1CA91" w14:textId="14735863" w:rsidR="00A246E6" w:rsidRPr="004D5AD1" w:rsidRDefault="00A246E6" w:rsidP="00FE7131">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(UE) nr 182/2011</w:t>
      </w:r>
      <w:r w:rsidR="004D5AD1" w:rsidRPr="004D5AD1">
        <w:t xml:space="preserve"> z</w:t>
      </w:r>
      <w:r w:rsidR="004D5AD1">
        <w:t> </w:t>
      </w:r>
      <w:r w:rsidR="004D5AD1" w:rsidRPr="004D5AD1">
        <w:t>dni</w:t>
      </w:r>
      <w:r w:rsidRPr="004D5AD1">
        <w:t>a 16 lutego 2011</w:t>
      </w:r>
      <w:r w:rsidR="004D5AD1" w:rsidRPr="004D5AD1">
        <w:t> </w:t>
      </w:r>
      <w:r w:rsidRPr="004D5AD1">
        <w:t>r. ustanawiające przepisy</w:t>
      </w:r>
      <w:r w:rsidR="004D5AD1" w:rsidRPr="004D5AD1">
        <w:t xml:space="preserve"> i</w:t>
      </w:r>
      <w:r w:rsidR="004D5AD1">
        <w:t> </w:t>
      </w:r>
      <w:r w:rsidR="004D5AD1" w:rsidRPr="004D5AD1">
        <w:t>zas</w:t>
      </w:r>
      <w:r w:rsidRPr="004D5AD1">
        <w:t>ady ogólne dotyczące trybu kontroli przez państwa członkowskie wykonywania uprawnień wykonawczych przez Komisję (Dz.U. L 55</w:t>
      </w:r>
      <w:r w:rsidR="004D5AD1" w:rsidRPr="004D5AD1">
        <w:t xml:space="preserve"> z</w:t>
      </w:r>
      <w:r w:rsidR="004D5AD1">
        <w:t> </w:t>
      </w:r>
      <w:r w:rsidR="004D5AD1" w:rsidRPr="004D5AD1">
        <w:t>2</w:t>
      </w:r>
      <w:r w:rsidRPr="004D5AD1">
        <w:t>8.2.2011, s. 13).</w:t>
      </w:r>
    </w:p>
  </w:footnote>
  <w:footnote w:id="41">
    <w:p w14:paraId="2DB1EEB8" w14:textId="456D00C8" w:rsidR="00A246E6" w:rsidRPr="004D5AD1" w:rsidRDefault="00A246E6" w:rsidP="00FE7131">
      <w:pPr>
        <w:pStyle w:val="FootnoteText"/>
      </w:pPr>
      <w:r w:rsidRPr="004D5AD1">
        <w:rPr>
          <w:rStyle w:val="FootnoteReference"/>
        </w:rPr>
        <w:footnoteRef/>
      </w:r>
      <w:r w:rsidRPr="004D5AD1">
        <w:tab/>
        <w:t>Dyrektywa Parlamentu Europejskiego</w:t>
      </w:r>
      <w:r w:rsidR="004D5AD1" w:rsidRPr="004D5AD1">
        <w:t xml:space="preserve"> i</w:t>
      </w:r>
      <w:r w:rsidR="004D5AD1">
        <w:t> </w:t>
      </w:r>
      <w:r w:rsidR="004D5AD1" w:rsidRPr="004D5AD1">
        <w:t>Rad</w:t>
      </w:r>
      <w:r w:rsidRPr="004D5AD1">
        <w:t>y 2009/73/WE</w:t>
      </w:r>
      <w:r w:rsidR="004D5AD1" w:rsidRPr="004D5AD1">
        <w:t xml:space="preserve"> z</w:t>
      </w:r>
      <w:r w:rsidR="004D5AD1">
        <w:t> </w:t>
      </w:r>
      <w:r w:rsidR="004D5AD1" w:rsidRPr="004D5AD1">
        <w:t>dni</w:t>
      </w:r>
      <w:r w:rsidRPr="004D5AD1">
        <w:t>a 13 lipca 2009 r. dotycząca wspólnych zasad rynku wewnętrznego gazu ziemnego</w:t>
      </w:r>
      <w:r w:rsidR="004D5AD1" w:rsidRPr="004D5AD1">
        <w:t xml:space="preserve"> i</w:t>
      </w:r>
      <w:r w:rsidR="004D5AD1">
        <w:t> </w:t>
      </w:r>
      <w:r w:rsidR="004D5AD1" w:rsidRPr="004D5AD1">
        <w:t>uch</w:t>
      </w:r>
      <w:r w:rsidRPr="004D5AD1">
        <w:t>ylająca dyrektywę 2003/55/WE (Dz.U. L 211</w:t>
      </w:r>
      <w:r w:rsidR="004D5AD1" w:rsidRPr="004D5AD1">
        <w:t xml:space="preserve"> z</w:t>
      </w:r>
      <w:r w:rsidR="004D5AD1">
        <w:t> </w:t>
      </w:r>
      <w:r w:rsidR="004D5AD1" w:rsidRPr="004D5AD1">
        <w:t>1</w:t>
      </w:r>
      <w:r w:rsidRPr="004D5AD1">
        <w:t>4.8.2009, s. 94).</w:t>
      </w:r>
    </w:p>
  </w:footnote>
  <w:footnote w:id="42">
    <w:p w14:paraId="52F32616" w14:textId="47B5A139" w:rsidR="00A246E6" w:rsidRPr="004D5AD1" w:rsidRDefault="00A246E6">
      <w:pPr>
        <w:pStyle w:val="FootnoteText"/>
      </w:pPr>
      <w:r w:rsidRPr="004D5AD1">
        <w:rPr>
          <w:rStyle w:val="FootnoteReference"/>
        </w:rPr>
        <w:footnoteRef/>
      </w:r>
      <w:r w:rsidRPr="004D5AD1">
        <w:tab/>
        <w:t>Rozporządzenie Parlamentu Europejskiego</w:t>
      </w:r>
      <w:r w:rsidR="004D5AD1" w:rsidRPr="004D5AD1">
        <w:t xml:space="preserve"> i</w:t>
      </w:r>
      <w:r w:rsidR="004D5AD1">
        <w:t> </w:t>
      </w:r>
      <w:r w:rsidR="004D5AD1" w:rsidRPr="004D5AD1">
        <w:t>Rad</w:t>
      </w:r>
      <w:r w:rsidRPr="004D5AD1">
        <w:t>y (WE) nr</w:t>
      </w:r>
      <w:r w:rsidR="004D5AD1" w:rsidRPr="004D5AD1">
        <w:t> </w:t>
      </w:r>
      <w:r w:rsidRPr="004D5AD1">
        <w:t>1099/2008</w:t>
      </w:r>
      <w:r w:rsidR="004D5AD1" w:rsidRPr="004D5AD1">
        <w:t xml:space="preserve"> z</w:t>
      </w:r>
      <w:r w:rsidR="004D5AD1">
        <w:t> </w:t>
      </w:r>
      <w:r w:rsidR="004D5AD1" w:rsidRPr="004D5AD1">
        <w:t>dni</w:t>
      </w:r>
      <w:r w:rsidRPr="004D5AD1">
        <w:t>a 22 października 2008</w:t>
      </w:r>
      <w:r w:rsidR="004D5AD1" w:rsidRPr="004D5AD1">
        <w:t> </w:t>
      </w:r>
      <w:r w:rsidRPr="004D5AD1">
        <w:t>r.</w:t>
      </w:r>
      <w:r w:rsidR="004D5AD1" w:rsidRPr="004D5AD1">
        <w:t xml:space="preserve"> w</w:t>
      </w:r>
      <w:r w:rsidR="004D5AD1">
        <w:t> </w:t>
      </w:r>
      <w:r w:rsidR="004D5AD1" w:rsidRPr="004D5AD1">
        <w:t>spr</w:t>
      </w:r>
      <w:r w:rsidRPr="004D5AD1">
        <w:t>awie statystyki energii (Dz.U. L 304</w:t>
      </w:r>
      <w:r w:rsidR="004D5AD1" w:rsidRPr="004D5AD1">
        <w:t xml:space="preserve"> z</w:t>
      </w:r>
      <w:r w:rsidR="004D5AD1">
        <w:t> </w:t>
      </w:r>
      <w:r w:rsidR="004D5AD1" w:rsidRPr="004D5AD1">
        <w:t>1</w:t>
      </w:r>
      <w:r w:rsidRPr="004D5AD1">
        <w:t>4.11.2008, s. 1).</w:t>
      </w:r>
    </w:p>
  </w:footnote>
  <w:footnote w:id="43">
    <w:p w14:paraId="4C98B816" w14:textId="5F02B41C" w:rsidR="00A246E6" w:rsidRPr="004D5AD1" w:rsidRDefault="00A246E6">
      <w:pPr>
        <w:pStyle w:val="FootnoteText"/>
      </w:pPr>
      <w:r w:rsidRPr="004D5AD1">
        <w:rPr>
          <w:rStyle w:val="FootnoteReference"/>
        </w:rPr>
        <w:footnoteRef/>
      </w:r>
      <w:r w:rsidRPr="004D5AD1">
        <w:tab/>
        <w:t>Dyrektywa Parlamentu Europejskiego</w:t>
      </w:r>
      <w:r w:rsidR="004D5AD1" w:rsidRPr="004D5AD1">
        <w:t xml:space="preserve"> i</w:t>
      </w:r>
      <w:r w:rsidR="004D5AD1">
        <w:t> </w:t>
      </w:r>
      <w:r w:rsidR="004D5AD1" w:rsidRPr="004D5AD1">
        <w:t>Rad</w:t>
      </w:r>
      <w:r w:rsidRPr="004D5AD1">
        <w:t>y (UE) 2016/943</w:t>
      </w:r>
      <w:r w:rsidR="004D5AD1" w:rsidRPr="004D5AD1">
        <w:t xml:space="preserve"> z</w:t>
      </w:r>
      <w:r w:rsidR="004D5AD1">
        <w:t> </w:t>
      </w:r>
      <w:r w:rsidR="004D5AD1" w:rsidRPr="004D5AD1">
        <w:t>dni</w:t>
      </w:r>
      <w:r w:rsidRPr="004D5AD1">
        <w:t>a 8 czerwca 2016</w:t>
      </w:r>
      <w:r w:rsidR="004D5AD1" w:rsidRPr="004D5AD1">
        <w:t> </w:t>
      </w:r>
      <w:r w:rsidRPr="004D5AD1">
        <w:t>r.</w:t>
      </w:r>
      <w:r w:rsidR="004D5AD1" w:rsidRPr="004D5AD1">
        <w:t xml:space="preserve"> w</w:t>
      </w:r>
      <w:r w:rsidR="004D5AD1">
        <w:t> </w:t>
      </w:r>
      <w:r w:rsidR="004D5AD1" w:rsidRPr="004D5AD1">
        <w:t>spr</w:t>
      </w:r>
      <w:r w:rsidRPr="004D5AD1">
        <w:t>awie ochrony niejawnego know-how</w:t>
      </w:r>
      <w:r w:rsidR="004D5AD1" w:rsidRPr="004D5AD1">
        <w:t xml:space="preserve"> i</w:t>
      </w:r>
      <w:r w:rsidR="004D5AD1">
        <w:t> </w:t>
      </w:r>
      <w:r w:rsidR="004D5AD1" w:rsidRPr="004D5AD1">
        <w:t>nie</w:t>
      </w:r>
      <w:r w:rsidRPr="004D5AD1">
        <w:t>jawnych informacji handlowych (tajemnic przedsiębiorstwa) przed ich bezprawnym pozyskiwaniem, wykorzystywaniem</w:t>
      </w:r>
      <w:r w:rsidR="004D5AD1" w:rsidRPr="004D5AD1">
        <w:t xml:space="preserve"> i</w:t>
      </w:r>
      <w:r w:rsidR="004D5AD1">
        <w:t> </w:t>
      </w:r>
      <w:r w:rsidR="004D5AD1" w:rsidRPr="004D5AD1">
        <w:t>uja</w:t>
      </w:r>
      <w:r w:rsidRPr="004D5AD1">
        <w:t>wnianiem (Dz.U. L 157</w:t>
      </w:r>
      <w:r w:rsidR="004D5AD1" w:rsidRPr="004D5AD1">
        <w:t xml:space="preserve"> z</w:t>
      </w:r>
      <w:r w:rsidR="004D5AD1">
        <w:t> </w:t>
      </w:r>
      <w:r w:rsidR="004D5AD1" w:rsidRPr="004D5AD1">
        <w:t>1</w:t>
      </w:r>
      <w:r w:rsidRPr="004D5AD1">
        <w:t>5.6.2016,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E041AF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6F455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766F85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0D4F5BC"/>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B3E2549A"/>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1AF47CE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BCE7D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DC0AFA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3727425"/>
    <w:multiLevelType w:val="hybridMultilevel"/>
    <w:tmpl w:val="1C30E524"/>
    <w:styleLink w:val="Numbered"/>
    <w:lvl w:ilvl="0" w:tplc="1ED2A63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08CE1BF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1960CFD6">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EF2E3CF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EAE5F2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516D14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947A80B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5F00AE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B5A515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6"/>
  </w:num>
  <w:num w:numId="10">
    <w:abstractNumId w:val="23"/>
  </w:num>
  <w:num w:numId="11">
    <w:abstractNumId w:val="19"/>
  </w:num>
  <w:num w:numId="12">
    <w:abstractNumId w:val="17"/>
  </w:num>
  <w:num w:numId="13">
    <w:abstractNumId w:val="12"/>
  </w:num>
  <w:num w:numId="14">
    <w:abstractNumId w:val="27"/>
    <w:lvlOverride w:ilvl="0">
      <w:startOverride w:val="1"/>
    </w:lvlOverride>
  </w:num>
  <w:num w:numId="15">
    <w:abstractNumId w:val="8"/>
    <w:lvlOverride w:ilvl="0">
      <w:startOverride w:val="1"/>
    </w:lvlOverride>
    <w:lvlOverride w:ilvl="1">
      <w:startOverride w:val="1"/>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3"/>
  </w:num>
  <w:num w:numId="20">
    <w:abstractNumId w:val="25"/>
  </w:num>
  <w:num w:numId="21">
    <w:abstractNumId w:val="11"/>
  </w:num>
  <w:num w:numId="22">
    <w:abstractNumId w:val="14"/>
  </w:num>
  <w:num w:numId="23">
    <w:abstractNumId w:val="8"/>
  </w:num>
  <w:num w:numId="24">
    <w:abstractNumId w:val="16"/>
  </w:num>
  <w:num w:numId="25">
    <w:abstractNumId w:val="20"/>
  </w:num>
  <w:num w:numId="26">
    <w:abstractNumId w:val="21"/>
  </w:num>
  <w:num w:numId="27">
    <w:abstractNumId w:val="10"/>
  </w:num>
  <w:num w:numId="28">
    <w:abstractNumId w:val="18"/>
  </w:num>
  <w:num w:numId="29">
    <w:abstractNumId w:val="27"/>
  </w:num>
  <w:num w:numId="30">
    <w:abstractNumId w:val="24"/>
  </w:num>
  <w:num w:numId="31">
    <w:abstractNumId w:val="15"/>
  </w:num>
  <w:num w:numId="3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it-IT" w:vendorID="64" w:dllVersion="131078" w:nlCheck="1" w:checkStyle="0"/>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21 17:19:2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45"/>
    <w:docVar w:name="DQCResult_ModifiedMarkers" w:val="0;0"/>
    <w:docVar w:name="DQCResult_ModifiedNumbering" w:val="0;0"/>
    <w:docVar w:name="DQCResult_Objects" w:val="0;0"/>
    <w:docVar w:name="DQCResult_Sections" w:val="0;0"/>
    <w:docVar w:name="DQCResult_StructureCheck" w:val="0;0"/>
    <w:docVar w:name="DQCResult_SuperfluousWhitespace" w:val="0;46"/>
    <w:docVar w:name="DQCResult_UnknownFonts" w:val="0;0"/>
    <w:docVar w:name="DQCResult_UnknownStyles" w:val="0;25"/>
    <w:docVar w:name="DQCStatus" w:val="Green"/>
    <w:docVar w:name="DQCVersion" w:val="3"/>
    <w:docVar w:name="DQCWithWarnings" w:val="0"/>
    <w:docVar w:name="LW_CORRIGENDUM" w:val="&lt;UNUSED&gt;"/>
    <w:docVar w:name="LW_COVERPAGE_EXISTS" w:val="True"/>
    <w:docVar w:name="LW_COVERPAGE_GUID" w:val="4F1A5188-ABFE-4015-8133-6D725396EE20"/>
    <w:docVar w:name="LW_COVERPAGE_TYPE" w:val="1"/>
    <w:docVar w:name="LW_CROSSREFERENCE" w:val="{SEC(2021) 432 final} - {SWD(2021) 459 final} - {SWD(2021) 460 final}"/>
    <w:docVar w:name="LW_DocType" w:val="COM"/>
    <w:docVar w:name="LW_EMISSION" w:val="15.12.2021"/>
    <w:docVar w:name="LW_EMISSION_ISODATE" w:val="2021-12-15"/>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423"/>
    <w:docVar w:name="LW_REF.II.NEW.CP_YEAR" w:val="2021"/>
    <w:docVar w:name="LW_REF.INST.NEW" w:val="COM"/>
    <w:docVar w:name="LW_REF.INST.NEW_ADOPTED" w:val="final"/>
    <w:docVar w:name="LW_REF.INST.NEW_TEXT" w:val="(2021) 8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redukcji emisji metanu w sektorze energetycznym oraz zmieniające rozporządzenie (UE) 2019/942"/>
    <w:docVar w:name="LW_TYPE.DOC.CP" w:val="ROZPORZĄDZENIE PARLAMENTU EUROPEJSKIEGO I RADY"/>
    <w:docVar w:name="LwApiVersions" w:val="LW4CoDe 1.23.2.0; LW 8.0, Build 20211117"/>
  </w:docVars>
  <w:rsids>
    <w:rsidRoot w:val="00FD0FB2"/>
    <w:rsid w:val="000018A3"/>
    <w:rsid w:val="000061B9"/>
    <w:rsid w:val="000063AB"/>
    <w:rsid w:val="000067B3"/>
    <w:rsid w:val="0000780F"/>
    <w:rsid w:val="00021C97"/>
    <w:rsid w:val="0002471A"/>
    <w:rsid w:val="000255D9"/>
    <w:rsid w:val="0002606B"/>
    <w:rsid w:val="0003471D"/>
    <w:rsid w:val="00034E56"/>
    <w:rsid w:val="000400E9"/>
    <w:rsid w:val="0004093E"/>
    <w:rsid w:val="00045898"/>
    <w:rsid w:val="0005175D"/>
    <w:rsid w:val="00051DE0"/>
    <w:rsid w:val="00061B38"/>
    <w:rsid w:val="00064B0F"/>
    <w:rsid w:val="000652B0"/>
    <w:rsid w:val="00071242"/>
    <w:rsid w:val="00072BA0"/>
    <w:rsid w:val="00073DC0"/>
    <w:rsid w:val="000762E0"/>
    <w:rsid w:val="00083A06"/>
    <w:rsid w:val="000866E1"/>
    <w:rsid w:val="00090501"/>
    <w:rsid w:val="00097CB8"/>
    <w:rsid w:val="00097F85"/>
    <w:rsid w:val="000A494D"/>
    <w:rsid w:val="000A54A9"/>
    <w:rsid w:val="000A56A5"/>
    <w:rsid w:val="000A7370"/>
    <w:rsid w:val="000A7517"/>
    <w:rsid w:val="000A7D05"/>
    <w:rsid w:val="000B315E"/>
    <w:rsid w:val="000B7BCE"/>
    <w:rsid w:val="000B7C57"/>
    <w:rsid w:val="000C0C48"/>
    <w:rsid w:val="000C21BB"/>
    <w:rsid w:val="000C5CF3"/>
    <w:rsid w:val="000C5EE9"/>
    <w:rsid w:val="000D1CAD"/>
    <w:rsid w:val="000D367C"/>
    <w:rsid w:val="000D7B62"/>
    <w:rsid w:val="000E198E"/>
    <w:rsid w:val="000E1F1A"/>
    <w:rsid w:val="000E7189"/>
    <w:rsid w:val="000F3883"/>
    <w:rsid w:val="000F5190"/>
    <w:rsid w:val="000F6470"/>
    <w:rsid w:val="000F6E16"/>
    <w:rsid w:val="000F73B3"/>
    <w:rsid w:val="0010250B"/>
    <w:rsid w:val="001032EE"/>
    <w:rsid w:val="001035B4"/>
    <w:rsid w:val="00105799"/>
    <w:rsid w:val="0010636C"/>
    <w:rsid w:val="001201A3"/>
    <w:rsid w:val="00125289"/>
    <w:rsid w:val="00126809"/>
    <w:rsid w:val="00130584"/>
    <w:rsid w:val="00130C51"/>
    <w:rsid w:val="00133C7D"/>
    <w:rsid w:val="00134F87"/>
    <w:rsid w:val="00136AA8"/>
    <w:rsid w:val="001407CB"/>
    <w:rsid w:val="00141D87"/>
    <w:rsid w:val="00141FD3"/>
    <w:rsid w:val="00142189"/>
    <w:rsid w:val="001539EF"/>
    <w:rsid w:val="0015410C"/>
    <w:rsid w:val="001554DC"/>
    <w:rsid w:val="001608A2"/>
    <w:rsid w:val="00163F61"/>
    <w:rsid w:val="001715A0"/>
    <w:rsid w:val="001753B1"/>
    <w:rsid w:val="00180552"/>
    <w:rsid w:val="00184527"/>
    <w:rsid w:val="00185D09"/>
    <w:rsid w:val="001876FA"/>
    <w:rsid w:val="00187C43"/>
    <w:rsid w:val="001913B6"/>
    <w:rsid w:val="0019291A"/>
    <w:rsid w:val="001956A2"/>
    <w:rsid w:val="001962E6"/>
    <w:rsid w:val="00196FBD"/>
    <w:rsid w:val="001A2931"/>
    <w:rsid w:val="001A2AEB"/>
    <w:rsid w:val="001A2D31"/>
    <w:rsid w:val="001A40F6"/>
    <w:rsid w:val="001A45A9"/>
    <w:rsid w:val="001A74A3"/>
    <w:rsid w:val="001B0186"/>
    <w:rsid w:val="001B1D2B"/>
    <w:rsid w:val="001B5740"/>
    <w:rsid w:val="001C0511"/>
    <w:rsid w:val="001C0DCE"/>
    <w:rsid w:val="001C1D30"/>
    <w:rsid w:val="001C2816"/>
    <w:rsid w:val="001C3D39"/>
    <w:rsid w:val="001C3E6F"/>
    <w:rsid w:val="001C446A"/>
    <w:rsid w:val="001C4CE2"/>
    <w:rsid w:val="001C7339"/>
    <w:rsid w:val="001D4313"/>
    <w:rsid w:val="001D52C8"/>
    <w:rsid w:val="001D68AE"/>
    <w:rsid w:val="001E1F57"/>
    <w:rsid w:val="001E5939"/>
    <w:rsid w:val="001F2AD8"/>
    <w:rsid w:val="001F4CEE"/>
    <w:rsid w:val="001F4CEF"/>
    <w:rsid w:val="001F61AC"/>
    <w:rsid w:val="001F6C5D"/>
    <w:rsid w:val="001F6C63"/>
    <w:rsid w:val="0020004E"/>
    <w:rsid w:val="00200DEF"/>
    <w:rsid w:val="0021090A"/>
    <w:rsid w:val="0021572B"/>
    <w:rsid w:val="002177ED"/>
    <w:rsid w:val="00223761"/>
    <w:rsid w:val="00231670"/>
    <w:rsid w:val="00232E98"/>
    <w:rsid w:val="00233154"/>
    <w:rsid w:val="002336F3"/>
    <w:rsid w:val="00236130"/>
    <w:rsid w:val="002368C1"/>
    <w:rsid w:val="00243D7B"/>
    <w:rsid w:val="002454DF"/>
    <w:rsid w:val="002504D3"/>
    <w:rsid w:val="002547A8"/>
    <w:rsid w:val="00266FFF"/>
    <w:rsid w:val="00267123"/>
    <w:rsid w:val="00267644"/>
    <w:rsid w:val="0027609B"/>
    <w:rsid w:val="002844D3"/>
    <w:rsid w:val="0029142C"/>
    <w:rsid w:val="00291BAB"/>
    <w:rsid w:val="00293EF8"/>
    <w:rsid w:val="002A04C1"/>
    <w:rsid w:val="002A3FC7"/>
    <w:rsid w:val="002A5CEF"/>
    <w:rsid w:val="002B2013"/>
    <w:rsid w:val="002B590F"/>
    <w:rsid w:val="002B68AE"/>
    <w:rsid w:val="002C1E7B"/>
    <w:rsid w:val="002C28F0"/>
    <w:rsid w:val="002C3EA7"/>
    <w:rsid w:val="002C4895"/>
    <w:rsid w:val="002C51D0"/>
    <w:rsid w:val="002C5768"/>
    <w:rsid w:val="002C6AA9"/>
    <w:rsid w:val="002C6B41"/>
    <w:rsid w:val="002D1AB1"/>
    <w:rsid w:val="002D2AE4"/>
    <w:rsid w:val="002D4039"/>
    <w:rsid w:val="002D4388"/>
    <w:rsid w:val="002D571F"/>
    <w:rsid w:val="002D59C2"/>
    <w:rsid w:val="002D6562"/>
    <w:rsid w:val="002E1CC0"/>
    <w:rsid w:val="002E256A"/>
    <w:rsid w:val="002E7C6F"/>
    <w:rsid w:val="002E7D1B"/>
    <w:rsid w:val="002F2317"/>
    <w:rsid w:val="002F3BD7"/>
    <w:rsid w:val="00300070"/>
    <w:rsid w:val="003009DC"/>
    <w:rsid w:val="00301B26"/>
    <w:rsid w:val="00301CDA"/>
    <w:rsid w:val="00303A23"/>
    <w:rsid w:val="0030774D"/>
    <w:rsid w:val="00312455"/>
    <w:rsid w:val="0031286A"/>
    <w:rsid w:val="00314A60"/>
    <w:rsid w:val="00316E47"/>
    <w:rsid w:val="0031705A"/>
    <w:rsid w:val="00320A10"/>
    <w:rsid w:val="00322753"/>
    <w:rsid w:val="003249F8"/>
    <w:rsid w:val="00324EDE"/>
    <w:rsid w:val="003252A1"/>
    <w:rsid w:val="00327685"/>
    <w:rsid w:val="00332E49"/>
    <w:rsid w:val="003401E9"/>
    <w:rsid w:val="00340619"/>
    <w:rsid w:val="00342F38"/>
    <w:rsid w:val="003507B2"/>
    <w:rsid w:val="00350BED"/>
    <w:rsid w:val="0036184E"/>
    <w:rsid w:val="003619D2"/>
    <w:rsid w:val="00363640"/>
    <w:rsid w:val="00366350"/>
    <w:rsid w:val="003708B0"/>
    <w:rsid w:val="00371921"/>
    <w:rsid w:val="003722D5"/>
    <w:rsid w:val="00372CC1"/>
    <w:rsid w:val="003763A9"/>
    <w:rsid w:val="003765CC"/>
    <w:rsid w:val="00385C42"/>
    <w:rsid w:val="003900B4"/>
    <w:rsid w:val="003910B8"/>
    <w:rsid w:val="00392F3B"/>
    <w:rsid w:val="00392F99"/>
    <w:rsid w:val="00395BD3"/>
    <w:rsid w:val="00396BA2"/>
    <w:rsid w:val="00396FEF"/>
    <w:rsid w:val="00397189"/>
    <w:rsid w:val="00397AF5"/>
    <w:rsid w:val="00397AFF"/>
    <w:rsid w:val="003A188D"/>
    <w:rsid w:val="003A3158"/>
    <w:rsid w:val="003A3A0D"/>
    <w:rsid w:val="003A4FDA"/>
    <w:rsid w:val="003B49B3"/>
    <w:rsid w:val="003B5301"/>
    <w:rsid w:val="003B5F97"/>
    <w:rsid w:val="003C4460"/>
    <w:rsid w:val="003C44F1"/>
    <w:rsid w:val="003C4BBE"/>
    <w:rsid w:val="003C5B6B"/>
    <w:rsid w:val="003D0D17"/>
    <w:rsid w:val="003D1AA2"/>
    <w:rsid w:val="003D1E84"/>
    <w:rsid w:val="003E3CFA"/>
    <w:rsid w:val="003E54FD"/>
    <w:rsid w:val="003E7A81"/>
    <w:rsid w:val="003F1C7C"/>
    <w:rsid w:val="003F2E21"/>
    <w:rsid w:val="003F696F"/>
    <w:rsid w:val="003F7EAA"/>
    <w:rsid w:val="00400706"/>
    <w:rsid w:val="004026B2"/>
    <w:rsid w:val="004115EA"/>
    <w:rsid w:val="00411904"/>
    <w:rsid w:val="00412D2D"/>
    <w:rsid w:val="00413CF3"/>
    <w:rsid w:val="00417B83"/>
    <w:rsid w:val="00417D6D"/>
    <w:rsid w:val="0042080A"/>
    <w:rsid w:val="00421F6F"/>
    <w:rsid w:val="004226E6"/>
    <w:rsid w:val="004249A2"/>
    <w:rsid w:val="0042719E"/>
    <w:rsid w:val="0042742B"/>
    <w:rsid w:val="0043572F"/>
    <w:rsid w:val="004419B8"/>
    <w:rsid w:val="00443B9E"/>
    <w:rsid w:val="0044725F"/>
    <w:rsid w:val="004522FD"/>
    <w:rsid w:val="004523F6"/>
    <w:rsid w:val="00453B8F"/>
    <w:rsid w:val="00454409"/>
    <w:rsid w:val="004557B5"/>
    <w:rsid w:val="00456056"/>
    <w:rsid w:val="00456373"/>
    <w:rsid w:val="00457674"/>
    <w:rsid w:val="00461B86"/>
    <w:rsid w:val="00466366"/>
    <w:rsid w:val="00475824"/>
    <w:rsid w:val="00483A27"/>
    <w:rsid w:val="00486758"/>
    <w:rsid w:val="00492B5D"/>
    <w:rsid w:val="00495ACC"/>
    <w:rsid w:val="00496C59"/>
    <w:rsid w:val="00496DF4"/>
    <w:rsid w:val="004A3F6D"/>
    <w:rsid w:val="004C2F24"/>
    <w:rsid w:val="004C6583"/>
    <w:rsid w:val="004C6C4F"/>
    <w:rsid w:val="004D0A0B"/>
    <w:rsid w:val="004D21AB"/>
    <w:rsid w:val="004D2B76"/>
    <w:rsid w:val="004D3444"/>
    <w:rsid w:val="004D5AD1"/>
    <w:rsid w:val="004E0EE6"/>
    <w:rsid w:val="004E2477"/>
    <w:rsid w:val="004E3B74"/>
    <w:rsid w:val="004E4F15"/>
    <w:rsid w:val="004E7080"/>
    <w:rsid w:val="004F56D1"/>
    <w:rsid w:val="005044C3"/>
    <w:rsid w:val="0050562A"/>
    <w:rsid w:val="00510D05"/>
    <w:rsid w:val="00512723"/>
    <w:rsid w:val="00513A06"/>
    <w:rsid w:val="005140A1"/>
    <w:rsid w:val="0051664C"/>
    <w:rsid w:val="00516699"/>
    <w:rsid w:val="005179DC"/>
    <w:rsid w:val="0052021E"/>
    <w:rsid w:val="00521C68"/>
    <w:rsid w:val="00522C53"/>
    <w:rsid w:val="00524C0E"/>
    <w:rsid w:val="0052716D"/>
    <w:rsid w:val="00530F5A"/>
    <w:rsid w:val="00532840"/>
    <w:rsid w:val="00533739"/>
    <w:rsid w:val="0053784B"/>
    <w:rsid w:val="005419E7"/>
    <w:rsid w:val="005426D5"/>
    <w:rsid w:val="00542D62"/>
    <w:rsid w:val="00545626"/>
    <w:rsid w:val="0054651F"/>
    <w:rsid w:val="00546AFF"/>
    <w:rsid w:val="005472A7"/>
    <w:rsid w:val="00550A51"/>
    <w:rsid w:val="00553EBD"/>
    <w:rsid w:val="00554174"/>
    <w:rsid w:val="00555B18"/>
    <w:rsid w:val="00556A77"/>
    <w:rsid w:val="00562878"/>
    <w:rsid w:val="00562890"/>
    <w:rsid w:val="005645A5"/>
    <w:rsid w:val="005673FB"/>
    <w:rsid w:val="00577952"/>
    <w:rsid w:val="00580BF5"/>
    <w:rsid w:val="0058182C"/>
    <w:rsid w:val="005837DE"/>
    <w:rsid w:val="0058632B"/>
    <w:rsid w:val="00586CDD"/>
    <w:rsid w:val="00591694"/>
    <w:rsid w:val="005919F7"/>
    <w:rsid w:val="005921E7"/>
    <w:rsid w:val="00597234"/>
    <w:rsid w:val="005A04DE"/>
    <w:rsid w:val="005A784B"/>
    <w:rsid w:val="005B3031"/>
    <w:rsid w:val="005C0BFE"/>
    <w:rsid w:val="005C50D4"/>
    <w:rsid w:val="005C7DB6"/>
    <w:rsid w:val="005D021F"/>
    <w:rsid w:val="005D1B22"/>
    <w:rsid w:val="005D498E"/>
    <w:rsid w:val="005D5D1A"/>
    <w:rsid w:val="005D642A"/>
    <w:rsid w:val="005E06D0"/>
    <w:rsid w:val="005E07D8"/>
    <w:rsid w:val="005E29AA"/>
    <w:rsid w:val="005E48F1"/>
    <w:rsid w:val="005F27EB"/>
    <w:rsid w:val="005F416D"/>
    <w:rsid w:val="005F5856"/>
    <w:rsid w:val="005F66F2"/>
    <w:rsid w:val="00600BC9"/>
    <w:rsid w:val="00606E71"/>
    <w:rsid w:val="00607182"/>
    <w:rsid w:val="0061078C"/>
    <w:rsid w:val="006115EF"/>
    <w:rsid w:val="0061535F"/>
    <w:rsid w:val="0061560B"/>
    <w:rsid w:val="0061670B"/>
    <w:rsid w:val="006169B8"/>
    <w:rsid w:val="00623995"/>
    <w:rsid w:val="00623E50"/>
    <w:rsid w:val="00631AC8"/>
    <w:rsid w:val="006362E9"/>
    <w:rsid w:val="0064052E"/>
    <w:rsid w:val="006416A1"/>
    <w:rsid w:val="00641CDA"/>
    <w:rsid w:val="006471A2"/>
    <w:rsid w:val="006510BD"/>
    <w:rsid w:val="00651D8F"/>
    <w:rsid w:val="006533AE"/>
    <w:rsid w:val="00656F01"/>
    <w:rsid w:val="0065775F"/>
    <w:rsid w:val="00660C44"/>
    <w:rsid w:val="0066114F"/>
    <w:rsid w:val="00662475"/>
    <w:rsid w:val="00665D37"/>
    <w:rsid w:val="00666D41"/>
    <w:rsid w:val="0067458B"/>
    <w:rsid w:val="00674EF6"/>
    <w:rsid w:val="0067539A"/>
    <w:rsid w:val="0067730A"/>
    <w:rsid w:val="0068591C"/>
    <w:rsid w:val="00686396"/>
    <w:rsid w:val="00686C14"/>
    <w:rsid w:val="00692BC9"/>
    <w:rsid w:val="00692F91"/>
    <w:rsid w:val="0069675A"/>
    <w:rsid w:val="00696937"/>
    <w:rsid w:val="00696B9C"/>
    <w:rsid w:val="00696D41"/>
    <w:rsid w:val="006B0A5D"/>
    <w:rsid w:val="006B181C"/>
    <w:rsid w:val="006B20F5"/>
    <w:rsid w:val="006B63DE"/>
    <w:rsid w:val="006B6CDB"/>
    <w:rsid w:val="006B6EBD"/>
    <w:rsid w:val="006B7A44"/>
    <w:rsid w:val="006C00CA"/>
    <w:rsid w:val="006C16E8"/>
    <w:rsid w:val="006C49D5"/>
    <w:rsid w:val="006C55B4"/>
    <w:rsid w:val="006C5AE2"/>
    <w:rsid w:val="006C7357"/>
    <w:rsid w:val="006C78B3"/>
    <w:rsid w:val="006D04E5"/>
    <w:rsid w:val="006D28A4"/>
    <w:rsid w:val="006D4AC8"/>
    <w:rsid w:val="006D5D84"/>
    <w:rsid w:val="006D6EF0"/>
    <w:rsid w:val="006E13D2"/>
    <w:rsid w:val="006E59E5"/>
    <w:rsid w:val="006F003A"/>
    <w:rsid w:val="006F2CEE"/>
    <w:rsid w:val="006F5C5C"/>
    <w:rsid w:val="006F7234"/>
    <w:rsid w:val="00700954"/>
    <w:rsid w:val="0070128F"/>
    <w:rsid w:val="00705D03"/>
    <w:rsid w:val="007075F2"/>
    <w:rsid w:val="00710540"/>
    <w:rsid w:val="00711D80"/>
    <w:rsid w:val="00712283"/>
    <w:rsid w:val="00717CFD"/>
    <w:rsid w:val="00720ED9"/>
    <w:rsid w:val="00744266"/>
    <w:rsid w:val="00745931"/>
    <w:rsid w:val="007460DC"/>
    <w:rsid w:val="00751376"/>
    <w:rsid w:val="007531C9"/>
    <w:rsid w:val="007546B1"/>
    <w:rsid w:val="00754BB2"/>
    <w:rsid w:val="0076555E"/>
    <w:rsid w:val="0077408F"/>
    <w:rsid w:val="00781211"/>
    <w:rsid w:val="007A08E7"/>
    <w:rsid w:val="007A4253"/>
    <w:rsid w:val="007B263A"/>
    <w:rsid w:val="007B457D"/>
    <w:rsid w:val="007C06F6"/>
    <w:rsid w:val="007C193A"/>
    <w:rsid w:val="007C1A47"/>
    <w:rsid w:val="007C488A"/>
    <w:rsid w:val="007C5F9D"/>
    <w:rsid w:val="007C6BA6"/>
    <w:rsid w:val="007C7809"/>
    <w:rsid w:val="007C7AF7"/>
    <w:rsid w:val="007D0444"/>
    <w:rsid w:val="007D1F7E"/>
    <w:rsid w:val="007D3BA3"/>
    <w:rsid w:val="007D3DA6"/>
    <w:rsid w:val="007D4260"/>
    <w:rsid w:val="007D64C9"/>
    <w:rsid w:val="007E54F9"/>
    <w:rsid w:val="007F15A5"/>
    <w:rsid w:val="007F40B0"/>
    <w:rsid w:val="007F5393"/>
    <w:rsid w:val="00800CD9"/>
    <w:rsid w:val="00802C89"/>
    <w:rsid w:val="00804B5C"/>
    <w:rsid w:val="00804F54"/>
    <w:rsid w:val="0080501B"/>
    <w:rsid w:val="0080502D"/>
    <w:rsid w:val="00805D0B"/>
    <w:rsid w:val="00806011"/>
    <w:rsid w:val="00811125"/>
    <w:rsid w:val="00812D38"/>
    <w:rsid w:val="00813C25"/>
    <w:rsid w:val="00815DC7"/>
    <w:rsid w:val="00820D88"/>
    <w:rsid w:val="00820EB0"/>
    <w:rsid w:val="0082713A"/>
    <w:rsid w:val="00831DE3"/>
    <w:rsid w:val="00832758"/>
    <w:rsid w:val="0083355A"/>
    <w:rsid w:val="00835CC9"/>
    <w:rsid w:val="00836F50"/>
    <w:rsid w:val="00837E51"/>
    <w:rsid w:val="008400CF"/>
    <w:rsid w:val="00842BB1"/>
    <w:rsid w:val="00843F81"/>
    <w:rsid w:val="008443CE"/>
    <w:rsid w:val="00844CFE"/>
    <w:rsid w:val="0085081E"/>
    <w:rsid w:val="00861F8A"/>
    <w:rsid w:val="00866FAA"/>
    <w:rsid w:val="00870D84"/>
    <w:rsid w:val="00871845"/>
    <w:rsid w:val="008735A1"/>
    <w:rsid w:val="00875CD1"/>
    <w:rsid w:val="008774DC"/>
    <w:rsid w:val="00880AC3"/>
    <w:rsid w:val="00883081"/>
    <w:rsid w:val="008831C4"/>
    <w:rsid w:val="0089411C"/>
    <w:rsid w:val="00895504"/>
    <w:rsid w:val="008975A5"/>
    <w:rsid w:val="008A3E19"/>
    <w:rsid w:val="008A67D7"/>
    <w:rsid w:val="008A7CD6"/>
    <w:rsid w:val="008B4619"/>
    <w:rsid w:val="008B6CBA"/>
    <w:rsid w:val="008B7EC5"/>
    <w:rsid w:val="008C0356"/>
    <w:rsid w:val="008C052C"/>
    <w:rsid w:val="008C432E"/>
    <w:rsid w:val="008C520F"/>
    <w:rsid w:val="008D57DB"/>
    <w:rsid w:val="008E047D"/>
    <w:rsid w:val="008E04BB"/>
    <w:rsid w:val="008E2ED6"/>
    <w:rsid w:val="008E510D"/>
    <w:rsid w:val="008E6226"/>
    <w:rsid w:val="008F22BC"/>
    <w:rsid w:val="008F38B3"/>
    <w:rsid w:val="008F6A15"/>
    <w:rsid w:val="008F7D2E"/>
    <w:rsid w:val="00901F87"/>
    <w:rsid w:val="00904EF8"/>
    <w:rsid w:val="00907523"/>
    <w:rsid w:val="00910318"/>
    <w:rsid w:val="00912B73"/>
    <w:rsid w:val="00914012"/>
    <w:rsid w:val="0091799A"/>
    <w:rsid w:val="00927E40"/>
    <w:rsid w:val="0093597C"/>
    <w:rsid w:val="00937B99"/>
    <w:rsid w:val="00941A06"/>
    <w:rsid w:val="00941B31"/>
    <w:rsid w:val="00942647"/>
    <w:rsid w:val="009427B5"/>
    <w:rsid w:val="00950EB5"/>
    <w:rsid w:val="0095104D"/>
    <w:rsid w:val="0095285E"/>
    <w:rsid w:val="00956155"/>
    <w:rsid w:val="00957390"/>
    <w:rsid w:val="009641F4"/>
    <w:rsid w:val="009671B6"/>
    <w:rsid w:val="00967AE0"/>
    <w:rsid w:val="00970260"/>
    <w:rsid w:val="009702B1"/>
    <w:rsid w:val="00970F23"/>
    <w:rsid w:val="009760EF"/>
    <w:rsid w:val="00980FCA"/>
    <w:rsid w:val="00981038"/>
    <w:rsid w:val="00982195"/>
    <w:rsid w:val="00986B33"/>
    <w:rsid w:val="00987AD5"/>
    <w:rsid w:val="009902AD"/>
    <w:rsid w:val="0099598E"/>
    <w:rsid w:val="0099601C"/>
    <w:rsid w:val="009966D5"/>
    <w:rsid w:val="00996C3A"/>
    <w:rsid w:val="009A2A16"/>
    <w:rsid w:val="009A2BB2"/>
    <w:rsid w:val="009A3FC9"/>
    <w:rsid w:val="009A7096"/>
    <w:rsid w:val="009A7B4A"/>
    <w:rsid w:val="009B0215"/>
    <w:rsid w:val="009B266F"/>
    <w:rsid w:val="009B2900"/>
    <w:rsid w:val="009B2ABC"/>
    <w:rsid w:val="009B7138"/>
    <w:rsid w:val="009C06B1"/>
    <w:rsid w:val="009C306F"/>
    <w:rsid w:val="009C39A9"/>
    <w:rsid w:val="009D17E6"/>
    <w:rsid w:val="009D33F7"/>
    <w:rsid w:val="009D4947"/>
    <w:rsid w:val="009D64C0"/>
    <w:rsid w:val="009E0AEA"/>
    <w:rsid w:val="009E4614"/>
    <w:rsid w:val="009E5F58"/>
    <w:rsid w:val="009E7206"/>
    <w:rsid w:val="009F7E67"/>
    <w:rsid w:val="00A05388"/>
    <w:rsid w:val="00A06FE1"/>
    <w:rsid w:val="00A11318"/>
    <w:rsid w:val="00A11E6E"/>
    <w:rsid w:val="00A12B08"/>
    <w:rsid w:val="00A12D91"/>
    <w:rsid w:val="00A12EA4"/>
    <w:rsid w:val="00A13250"/>
    <w:rsid w:val="00A22FAB"/>
    <w:rsid w:val="00A24486"/>
    <w:rsid w:val="00A246E6"/>
    <w:rsid w:val="00A24DA7"/>
    <w:rsid w:val="00A33C33"/>
    <w:rsid w:val="00A3718A"/>
    <w:rsid w:val="00A43B67"/>
    <w:rsid w:val="00A5287B"/>
    <w:rsid w:val="00A52A59"/>
    <w:rsid w:val="00A53274"/>
    <w:rsid w:val="00A5722C"/>
    <w:rsid w:val="00A57EDD"/>
    <w:rsid w:val="00A61797"/>
    <w:rsid w:val="00A626EC"/>
    <w:rsid w:val="00A640C4"/>
    <w:rsid w:val="00A66740"/>
    <w:rsid w:val="00A671DB"/>
    <w:rsid w:val="00A70A62"/>
    <w:rsid w:val="00A74D15"/>
    <w:rsid w:val="00A8385C"/>
    <w:rsid w:val="00A85019"/>
    <w:rsid w:val="00A8592C"/>
    <w:rsid w:val="00A93AF4"/>
    <w:rsid w:val="00A94EB3"/>
    <w:rsid w:val="00A95F51"/>
    <w:rsid w:val="00A963D5"/>
    <w:rsid w:val="00A97D5C"/>
    <w:rsid w:val="00AA63A7"/>
    <w:rsid w:val="00AA7224"/>
    <w:rsid w:val="00AB2D03"/>
    <w:rsid w:val="00AB7453"/>
    <w:rsid w:val="00AC05E7"/>
    <w:rsid w:val="00AC28E1"/>
    <w:rsid w:val="00AC40FC"/>
    <w:rsid w:val="00AC51F6"/>
    <w:rsid w:val="00AD5B2A"/>
    <w:rsid w:val="00AE3D8E"/>
    <w:rsid w:val="00AE6025"/>
    <w:rsid w:val="00AF0715"/>
    <w:rsid w:val="00AF16B9"/>
    <w:rsid w:val="00AF3253"/>
    <w:rsid w:val="00AF4B8E"/>
    <w:rsid w:val="00B01A68"/>
    <w:rsid w:val="00B0395F"/>
    <w:rsid w:val="00B058C7"/>
    <w:rsid w:val="00B07DDD"/>
    <w:rsid w:val="00B11CB9"/>
    <w:rsid w:val="00B132BF"/>
    <w:rsid w:val="00B154B0"/>
    <w:rsid w:val="00B20376"/>
    <w:rsid w:val="00B21836"/>
    <w:rsid w:val="00B2281B"/>
    <w:rsid w:val="00B24B1B"/>
    <w:rsid w:val="00B24B87"/>
    <w:rsid w:val="00B30CEF"/>
    <w:rsid w:val="00B3138B"/>
    <w:rsid w:val="00B3316B"/>
    <w:rsid w:val="00B3490B"/>
    <w:rsid w:val="00B37679"/>
    <w:rsid w:val="00B37824"/>
    <w:rsid w:val="00B401DD"/>
    <w:rsid w:val="00B4108A"/>
    <w:rsid w:val="00B4285C"/>
    <w:rsid w:val="00B45FA9"/>
    <w:rsid w:val="00B46F05"/>
    <w:rsid w:val="00B5220E"/>
    <w:rsid w:val="00B52545"/>
    <w:rsid w:val="00B5499A"/>
    <w:rsid w:val="00B55D51"/>
    <w:rsid w:val="00B67E14"/>
    <w:rsid w:val="00B70743"/>
    <w:rsid w:val="00B71E18"/>
    <w:rsid w:val="00B73FD9"/>
    <w:rsid w:val="00B808AF"/>
    <w:rsid w:val="00B84655"/>
    <w:rsid w:val="00B868C0"/>
    <w:rsid w:val="00B86B2E"/>
    <w:rsid w:val="00B87869"/>
    <w:rsid w:val="00B958E5"/>
    <w:rsid w:val="00BA6B19"/>
    <w:rsid w:val="00BB0203"/>
    <w:rsid w:val="00BB0939"/>
    <w:rsid w:val="00BB4B63"/>
    <w:rsid w:val="00BB69B2"/>
    <w:rsid w:val="00BC3357"/>
    <w:rsid w:val="00BD3379"/>
    <w:rsid w:val="00BD3647"/>
    <w:rsid w:val="00BD47C0"/>
    <w:rsid w:val="00BD5904"/>
    <w:rsid w:val="00BE1EA1"/>
    <w:rsid w:val="00BE246D"/>
    <w:rsid w:val="00BE3DEC"/>
    <w:rsid w:val="00BE5932"/>
    <w:rsid w:val="00BF17AA"/>
    <w:rsid w:val="00BF41AE"/>
    <w:rsid w:val="00BF42D5"/>
    <w:rsid w:val="00BF6B19"/>
    <w:rsid w:val="00BF7532"/>
    <w:rsid w:val="00C03947"/>
    <w:rsid w:val="00C03F15"/>
    <w:rsid w:val="00C12F44"/>
    <w:rsid w:val="00C21632"/>
    <w:rsid w:val="00C221D2"/>
    <w:rsid w:val="00C2272F"/>
    <w:rsid w:val="00C24556"/>
    <w:rsid w:val="00C33C59"/>
    <w:rsid w:val="00C34922"/>
    <w:rsid w:val="00C362C0"/>
    <w:rsid w:val="00C36CB7"/>
    <w:rsid w:val="00C40861"/>
    <w:rsid w:val="00C41E09"/>
    <w:rsid w:val="00C47985"/>
    <w:rsid w:val="00C47ABB"/>
    <w:rsid w:val="00C507F6"/>
    <w:rsid w:val="00C511D9"/>
    <w:rsid w:val="00C574C1"/>
    <w:rsid w:val="00C609EB"/>
    <w:rsid w:val="00C61974"/>
    <w:rsid w:val="00C67CEC"/>
    <w:rsid w:val="00C67DB5"/>
    <w:rsid w:val="00C72694"/>
    <w:rsid w:val="00C73384"/>
    <w:rsid w:val="00C813B8"/>
    <w:rsid w:val="00C82B3B"/>
    <w:rsid w:val="00C82CB4"/>
    <w:rsid w:val="00C87DDD"/>
    <w:rsid w:val="00C956F3"/>
    <w:rsid w:val="00CA3BAF"/>
    <w:rsid w:val="00CA4B81"/>
    <w:rsid w:val="00CB0024"/>
    <w:rsid w:val="00CB1797"/>
    <w:rsid w:val="00CB7190"/>
    <w:rsid w:val="00CC403F"/>
    <w:rsid w:val="00CC534C"/>
    <w:rsid w:val="00CC5360"/>
    <w:rsid w:val="00CD116D"/>
    <w:rsid w:val="00CD124B"/>
    <w:rsid w:val="00CD3E32"/>
    <w:rsid w:val="00CD591C"/>
    <w:rsid w:val="00CD6114"/>
    <w:rsid w:val="00CD6E00"/>
    <w:rsid w:val="00CE0BE6"/>
    <w:rsid w:val="00CF1615"/>
    <w:rsid w:val="00CF22E0"/>
    <w:rsid w:val="00CF52FF"/>
    <w:rsid w:val="00CF68A1"/>
    <w:rsid w:val="00D00371"/>
    <w:rsid w:val="00D01BDB"/>
    <w:rsid w:val="00D02027"/>
    <w:rsid w:val="00D0394A"/>
    <w:rsid w:val="00D06382"/>
    <w:rsid w:val="00D0682F"/>
    <w:rsid w:val="00D1005E"/>
    <w:rsid w:val="00D10433"/>
    <w:rsid w:val="00D11725"/>
    <w:rsid w:val="00D12082"/>
    <w:rsid w:val="00D14FB6"/>
    <w:rsid w:val="00D30903"/>
    <w:rsid w:val="00D30F9F"/>
    <w:rsid w:val="00D30FCE"/>
    <w:rsid w:val="00D3312F"/>
    <w:rsid w:val="00D33CB9"/>
    <w:rsid w:val="00D3483A"/>
    <w:rsid w:val="00D405FD"/>
    <w:rsid w:val="00D4199B"/>
    <w:rsid w:val="00D455AC"/>
    <w:rsid w:val="00D46BA7"/>
    <w:rsid w:val="00D46D20"/>
    <w:rsid w:val="00D521F9"/>
    <w:rsid w:val="00D5276E"/>
    <w:rsid w:val="00D54278"/>
    <w:rsid w:val="00D577E0"/>
    <w:rsid w:val="00D57DB1"/>
    <w:rsid w:val="00D634FB"/>
    <w:rsid w:val="00D64509"/>
    <w:rsid w:val="00D65BEE"/>
    <w:rsid w:val="00D7555E"/>
    <w:rsid w:val="00D76D8B"/>
    <w:rsid w:val="00D8125B"/>
    <w:rsid w:val="00D84B0A"/>
    <w:rsid w:val="00D850DC"/>
    <w:rsid w:val="00D904B7"/>
    <w:rsid w:val="00D92D54"/>
    <w:rsid w:val="00D934FE"/>
    <w:rsid w:val="00D94137"/>
    <w:rsid w:val="00DA00C4"/>
    <w:rsid w:val="00DA6204"/>
    <w:rsid w:val="00DB0002"/>
    <w:rsid w:val="00DB11AD"/>
    <w:rsid w:val="00DB17E4"/>
    <w:rsid w:val="00DB252D"/>
    <w:rsid w:val="00DB47CF"/>
    <w:rsid w:val="00DC2D6D"/>
    <w:rsid w:val="00DC5AFB"/>
    <w:rsid w:val="00DC5E11"/>
    <w:rsid w:val="00DC5F45"/>
    <w:rsid w:val="00DC7C7D"/>
    <w:rsid w:val="00DD13E4"/>
    <w:rsid w:val="00DD436B"/>
    <w:rsid w:val="00DE398D"/>
    <w:rsid w:val="00DE3FFB"/>
    <w:rsid w:val="00DE439A"/>
    <w:rsid w:val="00DF28F9"/>
    <w:rsid w:val="00DF2F23"/>
    <w:rsid w:val="00DF5890"/>
    <w:rsid w:val="00DF720A"/>
    <w:rsid w:val="00E023DA"/>
    <w:rsid w:val="00E0259B"/>
    <w:rsid w:val="00E034E5"/>
    <w:rsid w:val="00E05853"/>
    <w:rsid w:val="00E07D60"/>
    <w:rsid w:val="00E111BF"/>
    <w:rsid w:val="00E14275"/>
    <w:rsid w:val="00E14BAF"/>
    <w:rsid w:val="00E16CF5"/>
    <w:rsid w:val="00E206BB"/>
    <w:rsid w:val="00E212DB"/>
    <w:rsid w:val="00E27BA5"/>
    <w:rsid w:val="00E34AB0"/>
    <w:rsid w:val="00E34C63"/>
    <w:rsid w:val="00E35DF7"/>
    <w:rsid w:val="00E373E4"/>
    <w:rsid w:val="00E4102B"/>
    <w:rsid w:val="00E4211D"/>
    <w:rsid w:val="00E45B11"/>
    <w:rsid w:val="00E472D5"/>
    <w:rsid w:val="00E510E0"/>
    <w:rsid w:val="00E518D0"/>
    <w:rsid w:val="00E51A1C"/>
    <w:rsid w:val="00E528F1"/>
    <w:rsid w:val="00E53854"/>
    <w:rsid w:val="00E54FC5"/>
    <w:rsid w:val="00E57A77"/>
    <w:rsid w:val="00E60958"/>
    <w:rsid w:val="00E6284C"/>
    <w:rsid w:val="00E62A42"/>
    <w:rsid w:val="00E80709"/>
    <w:rsid w:val="00E80D8A"/>
    <w:rsid w:val="00E81EA4"/>
    <w:rsid w:val="00E825DA"/>
    <w:rsid w:val="00E82776"/>
    <w:rsid w:val="00E836D8"/>
    <w:rsid w:val="00E84891"/>
    <w:rsid w:val="00E850CC"/>
    <w:rsid w:val="00E85851"/>
    <w:rsid w:val="00E859B1"/>
    <w:rsid w:val="00E8730B"/>
    <w:rsid w:val="00E920CE"/>
    <w:rsid w:val="00E9549A"/>
    <w:rsid w:val="00EB2C6E"/>
    <w:rsid w:val="00EB71EC"/>
    <w:rsid w:val="00EC6C46"/>
    <w:rsid w:val="00ED06D5"/>
    <w:rsid w:val="00ED1EDF"/>
    <w:rsid w:val="00ED2831"/>
    <w:rsid w:val="00ED7753"/>
    <w:rsid w:val="00ED7C74"/>
    <w:rsid w:val="00EE0063"/>
    <w:rsid w:val="00EE6288"/>
    <w:rsid w:val="00EE7139"/>
    <w:rsid w:val="00EF1DB8"/>
    <w:rsid w:val="00EF77E6"/>
    <w:rsid w:val="00F011AC"/>
    <w:rsid w:val="00F01C52"/>
    <w:rsid w:val="00F07860"/>
    <w:rsid w:val="00F13EF3"/>
    <w:rsid w:val="00F1651A"/>
    <w:rsid w:val="00F20062"/>
    <w:rsid w:val="00F263D6"/>
    <w:rsid w:val="00F278B3"/>
    <w:rsid w:val="00F30E1C"/>
    <w:rsid w:val="00F33291"/>
    <w:rsid w:val="00F35E4E"/>
    <w:rsid w:val="00F36935"/>
    <w:rsid w:val="00F36CDC"/>
    <w:rsid w:val="00F42435"/>
    <w:rsid w:val="00F42568"/>
    <w:rsid w:val="00F42D38"/>
    <w:rsid w:val="00F45497"/>
    <w:rsid w:val="00F45C1D"/>
    <w:rsid w:val="00F47167"/>
    <w:rsid w:val="00F50B30"/>
    <w:rsid w:val="00F53295"/>
    <w:rsid w:val="00F53740"/>
    <w:rsid w:val="00F542F0"/>
    <w:rsid w:val="00F5600B"/>
    <w:rsid w:val="00F60F2F"/>
    <w:rsid w:val="00F63D11"/>
    <w:rsid w:val="00F64241"/>
    <w:rsid w:val="00F6467B"/>
    <w:rsid w:val="00F71F17"/>
    <w:rsid w:val="00F75FE5"/>
    <w:rsid w:val="00F76414"/>
    <w:rsid w:val="00F8096D"/>
    <w:rsid w:val="00F80F43"/>
    <w:rsid w:val="00F83B31"/>
    <w:rsid w:val="00F849C6"/>
    <w:rsid w:val="00F84A14"/>
    <w:rsid w:val="00F867A9"/>
    <w:rsid w:val="00F90DF8"/>
    <w:rsid w:val="00F9164C"/>
    <w:rsid w:val="00F94D31"/>
    <w:rsid w:val="00F95E7B"/>
    <w:rsid w:val="00FA2E19"/>
    <w:rsid w:val="00FA63F6"/>
    <w:rsid w:val="00FA794A"/>
    <w:rsid w:val="00FA7E23"/>
    <w:rsid w:val="00FB14EF"/>
    <w:rsid w:val="00FB362E"/>
    <w:rsid w:val="00FB4F35"/>
    <w:rsid w:val="00FB697E"/>
    <w:rsid w:val="00FC15E8"/>
    <w:rsid w:val="00FC4D28"/>
    <w:rsid w:val="00FC55FE"/>
    <w:rsid w:val="00FD0FB2"/>
    <w:rsid w:val="00FE31DD"/>
    <w:rsid w:val="00FE4B4A"/>
    <w:rsid w:val="00FE5B8A"/>
    <w:rsid w:val="00FE5E6C"/>
    <w:rsid w:val="00FE5FD7"/>
    <w:rsid w:val="00FE7131"/>
    <w:rsid w:val="00FE7753"/>
    <w:rsid w:val="00FF2F45"/>
    <w:rsid w:val="00FF4BE0"/>
    <w:rsid w:val="00FF5949"/>
    <w:rsid w:val="00FF5A95"/>
    <w:rsid w:val="00FF5CB1"/>
    <w:rsid w:val="00FF76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07A39CC6"/>
  <w15:docId w15:val="{A0A2C8E3-C0E4-4E9E-8CBB-0091183C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9B7138"/>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6B6CDB"/>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rsid w:val="006B6CDB"/>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rsid w:val="006B6CDB"/>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D0FB2"/>
    <w:rPr>
      <w:rFonts w:cs="Times New Roman"/>
      <w:sz w:val="16"/>
      <w:szCs w:val="16"/>
    </w:rPr>
  </w:style>
  <w:style w:type="paragraph" w:styleId="CommentText">
    <w:name w:val="annotation text"/>
    <w:basedOn w:val="Normal"/>
    <w:link w:val="CommentTextChar"/>
    <w:uiPriority w:val="99"/>
    <w:rsid w:val="00FD0FB2"/>
    <w:rPr>
      <w:rFonts w:eastAsia="Times New Roman"/>
      <w:sz w:val="20"/>
      <w:szCs w:val="20"/>
      <w:lang w:eastAsia="en-GB"/>
    </w:rPr>
  </w:style>
  <w:style w:type="character" w:customStyle="1" w:styleId="CommentTextChar">
    <w:name w:val="Comment Text Char"/>
    <w:basedOn w:val="DefaultParagraphFont"/>
    <w:link w:val="CommentText"/>
    <w:uiPriority w:val="99"/>
    <w:rsid w:val="00FD0FB2"/>
    <w:rPr>
      <w:rFonts w:ascii="Times New Roman" w:eastAsia="Times New Roman" w:hAnsi="Times New Roman" w:cs="Times New Roman"/>
      <w:sz w:val="20"/>
      <w:szCs w:val="20"/>
      <w:lang w:val="pl-PL" w:eastAsia="en-GB"/>
    </w:rPr>
  </w:style>
  <w:style w:type="paragraph" w:styleId="BalloonText">
    <w:name w:val="Balloon Text"/>
    <w:basedOn w:val="Normal"/>
    <w:link w:val="BalloonTextChar"/>
    <w:unhideWhenUsed/>
    <w:rsid w:val="00FD0FB2"/>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D0FB2"/>
    <w:rPr>
      <w:rFonts w:ascii="Segoe UI" w:hAnsi="Segoe UI" w:cs="Segoe UI"/>
      <w:sz w:val="18"/>
      <w:szCs w:val="18"/>
      <w:lang w:val="pl-PL"/>
    </w:rPr>
  </w:style>
  <w:style w:type="paragraph" w:styleId="CommentSubject">
    <w:name w:val="annotation subject"/>
    <w:basedOn w:val="CommentText"/>
    <w:next w:val="CommentText"/>
    <w:link w:val="CommentSubjectChar"/>
    <w:unhideWhenUsed/>
    <w:rsid w:val="0010636C"/>
    <w:rPr>
      <w:rFonts w:eastAsiaTheme="minorHAnsi"/>
      <w:b/>
      <w:bCs/>
      <w:lang w:eastAsia="en-US"/>
    </w:rPr>
  </w:style>
  <w:style w:type="character" w:customStyle="1" w:styleId="CommentSubjectChar">
    <w:name w:val="Comment Subject Char"/>
    <w:basedOn w:val="CommentTextChar"/>
    <w:link w:val="CommentSubject"/>
    <w:rsid w:val="0010636C"/>
    <w:rPr>
      <w:rFonts w:ascii="Times New Roman" w:eastAsia="Times New Roman" w:hAnsi="Times New Roman" w:cs="Times New Roman"/>
      <w:b/>
      <w:bCs/>
      <w:sz w:val="20"/>
      <w:szCs w:val="20"/>
      <w:lang w:val="pl-PL" w:eastAsia="en-GB"/>
    </w:rPr>
  </w:style>
  <w:style w:type="paragraph" w:customStyle="1" w:styleId="paragraph">
    <w:name w:val="paragraph"/>
    <w:basedOn w:val="Normal"/>
    <w:rsid w:val="0019291A"/>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19291A"/>
  </w:style>
  <w:style w:type="character" w:customStyle="1" w:styleId="eop">
    <w:name w:val="eop"/>
    <w:basedOn w:val="DefaultParagraphFont"/>
    <w:rsid w:val="0019291A"/>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rsid w:val="00E212DB"/>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rsid w:val="00E212DB"/>
    <w:rPr>
      <w:lang w:val="pl-PL"/>
    </w:rPr>
  </w:style>
  <w:style w:type="paragraph" w:styleId="ListBullet">
    <w:name w:val="List Bullet"/>
    <w:basedOn w:val="Normal"/>
    <w:unhideWhenUsed/>
    <w:rsid w:val="00C34922"/>
    <w:pPr>
      <w:numPr>
        <w:numId w:val="1"/>
      </w:numPr>
      <w:contextualSpacing/>
    </w:pPr>
  </w:style>
  <w:style w:type="paragraph" w:styleId="ListBullet2">
    <w:name w:val="List Bullet 2"/>
    <w:basedOn w:val="Normal"/>
    <w:unhideWhenUsed/>
    <w:rsid w:val="00C34922"/>
    <w:pPr>
      <w:numPr>
        <w:numId w:val="2"/>
      </w:numPr>
      <w:contextualSpacing/>
    </w:pPr>
  </w:style>
  <w:style w:type="paragraph" w:styleId="ListBullet3">
    <w:name w:val="List Bullet 3"/>
    <w:basedOn w:val="Normal"/>
    <w:unhideWhenUsed/>
    <w:rsid w:val="00C34922"/>
    <w:pPr>
      <w:numPr>
        <w:numId w:val="3"/>
      </w:numPr>
      <w:contextualSpacing/>
    </w:pPr>
  </w:style>
  <w:style w:type="paragraph" w:styleId="ListBullet4">
    <w:name w:val="List Bullet 4"/>
    <w:basedOn w:val="Normal"/>
    <w:unhideWhenUsed/>
    <w:rsid w:val="00C34922"/>
    <w:pPr>
      <w:numPr>
        <w:numId w:val="4"/>
      </w:numPr>
      <w:contextualSpacing/>
    </w:pPr>
  </w:style>
  <w:style w:type="character" w:styleId="Hyperlink">
    <w:name w:val="Hyperlink"/>
    <w:uiPriority w:val="99"/>
    <w:rsid w:val="00C34922"/>
    <w:rPr>
      <w:color w:val="0000FF"/>
      <w:u w:val="single"/>
    </w:rPr>
  </w:style>
  <w:style w:type="paragraph" w:styleId="Revision">
    <w:name w:val="Revision"/>
    <w:hidden/>
    <w:uiPriority w:val="99"/>
    <w:semiHidden/>
    <w:rsid w:val="00E45B11"/>
    <w:pPr>
      <w:spacing w:after="0" w:line="240" w:lineRule="auto"/>
    </w:pPr>
    <w:rPr>
      <w:rFonts w:ascii="Times New Roman" w:hAnsi="Times New Roman" w:cs="Times New Roman"/>
      <w:sz w:val="24"/>
    </w:rPr>
  </w:style>
  <w:style w:type="character" w:styleId="FollowedHyperlink">
    <w:name w:val="FollowedHyperlink"/>
    <w:basedOn w:val="DefaultParagraphFont"/>
    <w:unhideWhenUsed/>
    <w:rsid w:val="00A70A62"/>
    <w:rPr>
      <w:color w:val="800080" w:themeColor="followedHyperlink"/>
      <w:u w:val="single"/>
    </w:rPr>
  </w:style>
  <w:style w:type="paragraph" w:customStyle="1" w:styleId="ti-art">
    <w:name w:val="ti-art"/>
    <w:basedOn w:val="Normal"/>
    <w:rsid w:val="00C507F6"/>
    <w:pPr>
      <w:spacing w:before="100" w:beforeAutospacing="1" w:after="100" w:afterAutospacing="1"/>
      <w:jc w:val="left"/>
    </w:pPr>
    <w:rPr>
      <w:szCs w:val="24"/>
      <w:lang w:eastAsia="en-IE"/>
    </w:rPr>
  </w:style>
  <w:style w:type="paragraph" w:customStyle="1" w:styleId="sti-art">
    <w:name w:val="sti-art"/>
    <w:basedOn w:val="Normal"/>
    <w:rsid w:val="00C507F6"/>
    <w:pPr>
      <w:spacing w:before="100" w:beforeAutospacing="1" w:after="100" w:afterAutospacing="1"/>
      <w:jc w:val="left"/>
    </w:pPr>
    <w:rPr>
      <w:szCs w:val="24"/>
      <w:lang w:eastAsia="en-IE"/>
    </w:rPr>
  </w:style>
  <w:style w:type="paragraph" w:customStyle="1" w:styleId="Normal1">
    <w:name w:val="Normal1"/>
    <w:basedOn w:val="Normal"/>
    <w:rsid w:val="00C507F6"/>
    <w:pPr>
      <w:spacing w:before="100" w:beforeAutospacing="1" w:after="100" w:afterAutospacing="1"/>
      <w:jc w:val="left"/>
    </w:pPr>
    <w:rPr>
      <w:szCs w:val="24"/>
      <w:lang w:eastAsia="en-IE"/>
    </w:rPr>
  </w:style>
  <w:style w:type="paragraph" w:customStyle="1" w:styleId="Normal10">
    <w:name w:val="Normal1"/>
    <w:basedOn w:val="Normal"/>
    <w:rsid w:val="005E07D8"/>
    <w:pPr>
      <w:spacing w:before="100" w:beforeAutospacing="1" w:after="100" w:afterAutospacing="1"/>
      <w:jc w:val="left"/>
    </w:pPr>
    <w:rPr>
      <w:szCs w:val="24"/>
      <w:lang w:eastAsia="en-IE"/>
    </w:rPr>
  </w:style>
  <w:style w:type="paragraph" w:styleId="BodyText">
    <w:name w:val="Body Text"/>
    <w:basedOn w:val="Normal"/>
    <w:link w:val="BodyTextChar"/>
    <w:uiPriority w:val="1"/>
    <w:qFormat/>
    <w:rsid w:val="00F33291"/>
    <w:pPr>
      <w:widowControl w:val="0"/>
      <w:autoSpaceDE w:val="0"/>
      <w:autoSpaceDN w:val="0"/>
      <w:spacing w:before="0" w:after="0"/>
      <w:ind w:left="340"/>
      <w:jc w:val="left"/>
    </w:pPr>
    <w:rPr>
      <w:rFonts w:ascii="Calibri" w:eastAsia="Calibri" w:hAnsi="Calibri" w:cs="Calibri"/>
      <w:sz w:val="22"/>
      <w:lang w:eastAsia="en-GB" w:bidi="en-GB"/>
    </w:rPr>
  </w:style>
  <w:style w:type="character" w:customStyle="1" w:styleId="BodyTextChar">
    <w:name w:val="Body Text Char"/>
    <w:basedOn w:val="DefaultParagraphFont"/>
    <w:link w:val="BodyText"/>
    <w:uiPriority w:val="1"/>
    <w:rsid w:val="00F33291"/>
    <w:rPr>
      <w:rFonts w:ascii="Calibri" w:eastAsia="Calibri" w:hAnsi="Calibri" w:cs="Calibri"/>
      <w:lang w:val="pl-PL" w:eastAsia="en-GB" w:bidi="en-GB"/>
    </w:rPr>
  </w:style>
  <w:style w:type="paragraph" w:styleId="NoSpacing">
    <w:name w:val="No Spacing"/>
    <w:uiPriority w:val="1"/>
    <w:qFormat/>
    <w:rsid w:val="00BC33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en-GB"/>
    </w:rPr>
  </w:style>
  <w:style w:type="paragraph" w:styleId="Caption">
    <w:name w:val="caption"/>
    <w:basedOn w:val="Normal"/>
    <w:next w:val="Normal"/>
    <w:unhideWhenUsed/>
    <w:qFormat/>
    <w:rsid w:val="00C87DDD"/>
    <w:pPr>
      <w:spacing w:before="0" w:after="200"/>
    </w:pPr>
    <w:rPr>
      <w:i/>
      <w:iCs/>
      <w:color w:val="1F497D" w:themeColor="text2"/>
      <w:sz w:val="18"/>
      <w:szCs w:val="18"/>
    </w:rPr>
  </w:style>
  <w:style w:type="paragraph" w:styleId="TableofFigures">
    <w:name w:val="table of figures"/>
    <w:basedOn w:val="Normal"/>
    <w:next w:val="Normal"/>
    <w:unhideWhenUsed/>
    <w:rsid w:val="00C87DDD"/>
    <w:pPr>
      <w:spacing w:after="0"/>
    </w:pPr>
  </w:style>
  <w:style w:type="paragraph" w:styleId="ListNumber">
    <w:name w:val="List Number"/>
    <w:basedOn w:val="Normal"/>
    <w:unhideWhenUsed/>
    <w:rsid w:val="00C87DDD"/>
    <w:pPr>
      <w:numPr>
        <w:numId w:val="5"/>
      </w:numPr>
      <w:contextualSpacing/>
    </w:pPr>
  </w:style>
  <w:style w:type="paragraph" w:styleId="ListNumber2">
    <w:name w:val="List Number 2"/>
    <w:basedOn w:val="Normal"/>
    <w:unhideWhenUsed/>
    <w:rsid w:val="00C87DDD"/>
    <w:pPr>
      <w:numPr>
        <w:numId w:val="6"/>
      </w:numPr>
      <w:contextualSpacing/>
    </w:pPr>
  </w:style>
  <w:style w:type="paragraph" w:styleId="ListNumber3">
    <w:name w:val="List Number 3"/>
    <w:basedOn w:val="Normal"/>
    <w:unhideWhenUsed/>
    <w:rsid w:val="00C87DDD"/>
    <w:pPr>
      <w:numPr>
        <w:numId w:val="7"/>
      </w:numPr>
      <w:contextualSpacing/>
    </w:pPr>
  </w:style>
  <w:style w:type="paragraph" w:styleId="ListNumber4">
    <w:name w:val="List Number 4"/>
    <w:basedOn w:val="Normal"/>
    <w:unhideWhenUsed/>
    <w:rsid w:val="00C87DDD"/>
    <w:pPr>
      <w:numPr>
        <w:numId w:val="8"/>
      </w:numPr>
      <w:contextualSpacing/>
    </w:pPr>
  </w:style>
  <w:style w:type="paragraph" w:customStyle="1" w:styleId="ListBullet1">
    <w:name w:val="List Bullet 1"/>
    <w:basedOn w:val="Normal"/>
    <w:rsid w:val="00C87DDD"/>
    <w:pPr>
      <w:numPr>
        <w:numId w:val="9"/>
      </w:numPr>
    </w:pPr>
    <w:rPr>
      <w:lang w:eastAsia="en-GB"/>
    </w:rPr>
  </w:style>
  <w:style w:type="paragraph" w:customStyle="1" w:styleId="ListDash1">
    <w:name w:val="List Dash 1"/>
    <w:basedOn w:val="Normal"/>
    <w:rsid w:val="00C87DDD"/>
    <w:pPr>
      <w:numPr>
        <w:numId w:val="10"/>
      </w:numPr>
    </w:pPr>
    <w:rPr>
      <w:lang w:eastAsia="en-GB"/>
    </w:rPr>
  </w:style>
  <w:style w:type="paragraph" w:customStyle="1" w:styleId="ListDash2">
    <w:name w:val="List Dash 2"/>
    <w:basedOn w:val="Normal"/>
    <w:rsid w:val="00C87DDD"/>
    <w:pPr>
      <w:numPr>
        <w:numId w:val="11"/>
      </w:numPr>
    </w:pPr>
    <w:rPr>
      <w:lang w:eastAsia="en-GB"/>
    </w:rPr>
  </w:style>
  <w:style w:type="paragraph" w:customStyle="1" w:styleId="ListNumberLevel2">
    <w:name w:val="List Number (Level 2)"/>
    <w:basedOn w:val="Normal"/>
    <w:rsid w:val="00C87DDD"/>
    <w:pPr>
      <w:tabs>
        <w:tab w:val="num" w:pos="1417"/>
      </w:tabs>
      <w:ind w:left="1417" w:hanging="708"/>
    </w:pPr>
    <w:rPr>
      <w:lang w:eastAsia="en-GB"/>
    </w:rPr>
  </w:style>
  <w:style w:type="paragraph" w:customStyle="1" w:styleId="ListNumberLevel3">
    <w:name w:val="List Number (Level 3)"/>
    <w:basedOn w:val="Normal"/>
    <w:rsid w:val="00C87DDD"/>
    <w:pPr>
      <w:tabs>
        <w:tab w:val="num" w:pos="2126"/>
      </w:tabs>
      <w:ind w:left="2126" w:hanging="709"/>
    </w:pPr>
    <w:rPr>
      <w:lang w:eastAsia="en-GB"/>
    </w:rPr>
  </w:style>
  <w:style w:type="paragraph" w:customStyle="1" w:styleId="ListNumberLevel4">
    <w:name w:val="List Number (Level 4)"/>
    <w:basedOn w:val="Normal"/>
    <w:rsid w:val="00C87DDD"/>
    <w:pPr>
      <w:tabs>
        <w:tab w:val="num" w:pos="2835"/>
      </w:tabs>
      <w:ind w:left="2835" w:hanging="709"/>
    </w:pPr>
    <w:rPr>
      <w:lang w:eastAsia="en-GB"/>
    </w:rPr>
  </w:style>
  <w:style w:type="paragraph" w:customStyle="1" w:styleId="Fichefinancirestandardtitre">
    <w:name w:val="Fiche financière (standard) titre"/>
    <w:basedOn w:val="Normal"/>
    <w:next w:val="Normal"/>
    <w:rsid w:val="00C87DDD"/>
    <w:pPr>
      <w:jc w:val="center"/>
    </w:pPr>
    <w:rPr>
      <w:b/>
      <w:u w:val="single"/>
      <w:lang w:eastAsia="en-GB"/>
    </w:rPr>
  </w:style>
  <w:style w:type="paragraph" w:customStyle="1" w:styleId="Sous-titreobjet">
    <w:name w:val="Sous-titre objet"/>
    <w:basedOn w:val="Normal"/>
    <w:rsid w:val="00C87DDD"/>
    <w:pPr>
      <w:spacing w:before="0" w:after="0"/>
      <w:jc w:val="center"/>
    </w:pPr>
    <w:rPr>
      <w:b/>
      <w:lang w:eastAsia="en-GB"/>
    </w:rPr>
  </w:style>
  <w:style w:type="paragraph" w:customStyle="1" w:styleId="Sous-titreobjetPagedecouverture">
    <w:name w:val="Sous-titre objet (Page de couverture)"/>
    <w:basedOn w:val="Sous-titreobjet"/>
    <w:rsid w:val="00C87DDD"/>
  </w:style>
  <w:style w:type="paragraph" w:customStyle="1" w:styleId="FooterCoverPage">
    <w:name w:val="Footer Cover Page"/>
    <w:basedOn w:val="Normal"/>
    <w:link w:val="FooterCoverPageChar"/>
    <w:rsid w:val="00C87DDD"/>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C87DDD"/>
    <w:rPr>
      <w:rFonts w:ascii="Times New Roman" w:hAnsi="Times New Roman" w:cs="Times New Roman"/>
      <w:b/>
      <w:sz w:val="28"/>
      <w:lang w:val="pl-PL"/>
    </w:rPr>
  </w:style>
  <w:style w:type="character" w:customStyle="1" w:styleId="FooterCoverPageChar">
    <w:name w:val="Footer Cover Page Char"/>
    <w:basedOn w:val="TOCHeadingChar"/>
    <w:link w:val="FooterCoverPage"/>
    <w:rsid w:val="00C87DDD"/>
    <w:rPr>
      <w:rFonts w:ascii="Times New Roman" w:hAnsi="Times New Roman" w:cs="Times New Roman"/>
      <w:b w:val="0"/>
      <w:sz w:val="24"/>
      <w:lang w:val="pl-PL"/>
    </w:rPr>
  </w:style>
  <w:style w:type="paragraph" w:customStyle="1" w:styleId="HeaderCoverPage">
    <w:name w:val="Header Cover Page"/>
    <w:basedOn w:val="Normal"/>
    <w:link w:val="HeaderCoverPageChar"/>
    <w:rsid w:val="00C87DDD"/>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C87DDD"/>
    <w:rPr>
      <w:rFonts w:ascii="Times New Roman" w:hAnsi="Times New Roman" w:cs="Times New Roman"/>
      <w:b w:val="0"/>
      <w:sz w:val="24"/>
      <w:lang w:val="pl-PL" w:eastAsia="en-GB"/>
    </w:rPr>
  </w:style>
  <w:style w:type="paragraph" w:styleId="BodyTextIndent">
    <w:name w:val="Body Text Indent"/>
    <w:basedOn w:val="Normal"/>
    <w:link w:val="BodyTextIndentChar"/>
    <w:uiPriority w:val="99"/>
    <w:unhideWhenUsed/>
    <w:rsid w:val="00C87DDD"/>
    <w:pPr>
      <w:pBdr>
        <w:top w:val="single" w:sz="4" w:space="1" w:color="auto"/>
        <w:left w:val="single" w:sz="4" w:space="1" w:color="auto"/>
        <w:bottom w:val="single" w:sz="4" w:space="1" w:color="auto"/>
        <w:right w:val="single" w:sz="4" w:space="4" w:color="auto"/>
      </w:pBdr>
      <w:ind w:left="851"/>
    </w:pPr>
    <w:rPr>
      <w:noProof/>
      <w:lang w:eastAsia="en-GB"/>
    </w:rPr>
  </w:style>
  <w:style w:type="character" w:customStyle="1" w:styleId="BodyTextIndentChar">
    <w:name w:val="Body Text Indent Char"/>
    <w:basedOn w:val="DefaultParagraphFont"/>
    <w:link w:val="BodyTextIndent"/>
    <w:uiPriority w:val="99"/>
    <w:rsid w:val="00C87DDD"/>
    <w:rPr>
      <w:rFonts w:ascii="Times New Roman" w:hAnsi="Times New Roman" w:cs="Times New Roman"/>
      <w:noProof/>
      <w:sz w:val="24"/>
      <w:lang w:val="pl-PL" w:eastAsia="en-GB"/>
    </w:rPr>
  </w:style>
  <w:style w:type="paragraph" w:customStyle="1" w:styleId="Body">
    <w:name w:val="Body"/>
    <w:rsid w:val="001F6C63"/>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eastAsia="en-IE"/>
      <w14:textOutline w14:w="0" w14:cap="flat" w14:cmpd="sng" w14:algn="ctr">
        <w14:noFill/>
        <w14:prstDash w14:val="solid"/>
        <w14:bevel/>
      </w14:textOutline>
    </w:rPr>
  </w:style>
  <w:style w:type="numbering" w:customStyle="1" w:styleId="Numbered">
    <w:name w:val="Numbered"/>
    <w:rsid w:val="001F6C63"/>
    <w:pPr>
      <w:numPr>
        <w:numId w:val="12"/>
      </w:numPr>
    </w:pPr>
  </w:style>
  <w:style w:type="paragraph" w:customStyle="1" w:styleId="LegalNumPar">
    <w:name w:val="LegalNumPar"/>
    <w:basedOn w:val="Normal"/>
    <w:rsid w:val="00F90DF8"/>
    <w:pPr>
      <w:numPr>
        <w:numId w:val="13"/>
      </w:numPr>
      <w:spacing w:line="360" w:lineRule="auto"/>
    </w:pPr>
  </w:style>
  <w:style w:type="paragraph" w:customStyle="1" w:styleId="LegalNumPar2">
    <w:name w:val="LegalNumPar2"/>
    <w:basedOn w:val="Normal"/>
    <w:rsid w:val="00F90DF8"/>
    <w:pPr>
      <w:numPr>
        <w:ilvl w:val="1"/>
        <w:numId w:val="13"/>
      </w:numPr>
      <w:spacing w:line="360" w:lineRule="auto"/>
    </w:pPr>
  </w:style>
  <w:style w:type="paragraph" w:customStyle="1" w:styleId="LegalNumPar3">
    <w:name w:val="LegalNumPar3"/>
    <w:basedOn w:val="Normal"/>
    <w:rsid w:val="00F90DF8"/>
    <w:pPr>
      <w:numPr>
        <w:ilvl w:val="2"/>
        <w:numId w:val="13"/>
      </w:numPr>
      <w:spacing w:line="360" w:lineRule="auto"/>
    </w:pPr>
  </w:style>
  <w:style w:type="paragraph" w:customStyle="1" w:styleId="s48">
    <w:name w:val="s48"/>
    <w:basedOn w:val="Normal"/>
    <w:rsid w:val="00D94137"/>
    <w:pPr>
      <w:spacing w:before="100" w:beforeAutospacing="1" w:after="100" w:afterAutospacing="1"/>
      <w:jc w:val="left"/>
    </w:pPr>
    <w:rPr>
      <w:szCs w:val="24"/>
      <w:lang w:eastAsia="en-GB"/>
    </w:rPr>
  </w:style>
  <w:style w:type="character" w:customStyle="1" w:styleId="s4">
    <w:name w:val="s4"/>
    <w:basedOn w:val="DefaultParagraphFont"/>
    <w:rsid w:val="00D94137"/>
  </w:style>
  <w:style w:type="paragraph" w:styleId="Header">
    <w:name w:val="header"/>
    <w:basedOn w:val="Normal"/>
    <w:link w:val="HeaderChar"/>
    <w:uiPriority w:val="99"/>
    <w:unhideWhenUsed/>
    <w:rsid w:val="0052021E"/>
    <w:pPr>
      <w:tabs>
        <w:tab w:val="center" w:pos="4535"/>
        <w:tab w:val="right" w:pos="9071"/>
      </w:tabs>
      <w:spacing w:before="0"/>
    </w:pPr>
  </w:style>
  <w:style w:type="character" w:customStyle="1" w:styleId="HeaderChar">
    <w:name w:val="Header Char"/>
    <w:basedOn w:val="DefaultParagraphFont"/>
    <w:link w:val="Header"/>
    <w:uiPriority w:val="99"/>
    <w:rsid w:val="0052021E"/>
    <w:rPr>
      <w:rFonts w:ascii="Times New Roman" w:hAnsi="Times New Roman" w:cs="Times New Roman"/>
      <w:sz w:val="24"/>
      <w:lang w:val="pl-PL"/>
    </w:rPr>
  </w:style>
  <w:style w:type="paragraph" w:styleId="Footer">
    <w:name w:val="footer"/>
    <w:basedOn w:val="Normal"/>
    <w:link w:val="FooterChar"/>
    <w:uiPriority w:val="99"/>
    <w:unhideWhenUsed/>
    <w:rsid w:val="0052021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2021E"/>
    <w:rPr>
      <w:rFonts w:ascii="Times New Roman" w:hAnsi="Times New Roman" w:cs="Times New Roman"/>
      <w:sz w:val="24"/>
      <w:lang w:val="pl-P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pl-PL"/>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52021E"/>
    <w:pPr>
      <w:tabs>
        <w:tab w:val="center" w:pos="7285"/>
        <w:tab w:val="right" w:pos="14003"/>
      </w:tabs>
      <w:spacing w:before="0"/>
    </w:pPr>
  </w:style>
  <w:style w:type="paragraph" w:customStyle="1" w:styleId="FooterLandscape">
    <w:name w:val="FooterLandscape"/>
    <w:basedOn w:val="Normal"/>
    <w:rsid w:val="0052021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52021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2021E"/>
    <w:pPr>
      <w:spacing w:before="0"/>
      <w:jc w:val="right"/>
    </w:pPr>
    <w:rPr>
      <w:sz w:val="28"/>
    </w:rPr>
  </w:style>
  <w:style w:type="paragraph" w:customStyle="1" w:styleId="FooterSensitivity">
    <w:name w:val="Footer Sensitivity"/>
    <w:basedOn w:val="Normal"/>
    <w:rsid w:val="0052021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8"/>
      </w:numPr>
    </w:pPr>
  </w:style>
  <w:style w:type="paragraph" w:customStyle="1" w:styleId="Tiret1">
    <w:name w:val="Tiret 1"/>
    <w:basedOn w:val="Point1"/>
    <w:rsid w:val="009B7138"/>
    <w:pPr>
      <w:numPr>
        <w:numId w:val="19"/>
      </w:numPr>
    </w:pPr>
  </w:style>
  <w:style w:type="paragraph" w:customStyle="1" w:styleId="Tiret2">
    <w:name w:val="Tiret 2"/>
    <w:basedOn w:val="Point2"/>
    <w:rsid w:val="009B7138"/>
    <w:pPr>
      <w:numPr>
        <w:numId w:val="20"/>
      </w:numPr>
    </w:pPr>
  </w:style>
  <w:style w:type="paragraph" w:customStyle="1" w:styleId="Tiret3">
    <w:name w:val="Tiret 3"/>
    <w:basedOn w:val="Point3"/>
    <w:rsid w:val="009B7138"/>
    <w:pPr>
      <w:numPr>
        <w:numId w:val="21"/>
      </w:numPr>
    </w:pPr>
  </w:style>
  <w:style w:type="paragraph" w:customStyle="1" w:styleId="Tiret4">
    <w:name w:val="Tiret 4"/>
    <w:basedOn w:val="Point4"/>
    <w:rsid w:val="009B7138"/>
    <w:pPr>
      <w:numPr>
        <w:numId w:val="2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2"/>
      </w:numPr>
    </w:pPr>
  </w:style>
  <w:style w:type="paragraph" w:customStyle="1" w:styleId="NumPar2">
    <w:name w:val="NumPar 2"/>
    <w:basedOn w:val="Normal"/>
    <w:next w:val="Text1"/>
    <w:rsid w:val="009B7138"/>
    <w:pPr>
      <w:numPr>
        <w:ilvl w:val="1"/>
        <w:numId w:val="32"/>
      </w:numPr>
    </w:pPr>
  </w:style>
  <w:style w:type="paragraph" w:customStyle="1" w:styleId="NumPar3">
    <w:name w:val="NumPar 3"/>
    <w:basedOn w:val="Normal"/>
    <w:next w:val="Text1"/>
    <w:rsid w:val="009B7138"/>
    <w:pPr>
      <w:numPr>
        <w:ilvl w:val="2"/>
        <w:numId w:val="32"/>
      </w:numPr>
    </w:pPr>
  </w:style>
  <w:style w:type="paragraph" w:customStyle="1" w:styleId="NumPar4">
    <w:name w:val="NumPar 4"/>
    <w:basedOn w:val="Normal"/>
    <w:next w:val="Text1"/>
    <w:rsid w:val="009B7138"/>
    <w:pPr>
      <w:numPr>
        <w:ilvl w:val="3"/>
        <w:numId w:val="3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76555E"/>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3"/>
      </w:numPr>
    </w:pPr>
  </w:style>
  <w:style w:type="paragraph" w:customStyle="1" w:styleId="Point1number">
    <w:name w:val="Point 1 (number)"/>
    <w:basedOn w:val="Normal"/>
    <w:rsid w:val="009B7138"/>
    <w:pPr>
      <w:numPr>
        <w:ilvl w:val="2"/>
        <w:numId w:val="23"/>
      </w:numPr>
    </w:pPr>
  </w:style>
  <w:style w:type="paragraph" w:customStyle="1" w:styleId="Point2number">
    <w:name w:val="Point 2 (number)"/>
    <w:basedOn w:val="Normal"/>
    <w:rsid w:val="009B7138"/>
    <w:pPr>
      <w:numPr>
        <w:ilvl w:val="4"/>
        <w:numId w:val="23"/>
      </w:numPr>
    </w:pPr>
  </w:style>
  <w:style w:type="paragraph" w:customStyle="1" w:styleId="Point3number">
    <w:name w:val="Point 3 (number)"/>
    <w:basedOn w:val="Normal"/>
    <w:rsid w:val="009B7138"/>
    <w:pPr>
      <w:numPr>
        <w:ilvl w:val="6"/>
        <w:numId w:val="23"/>
      </w:numPr>
    </w:pPr>
  </w:style>
  <w:style w:type="paragraph" w:customStyle="1" w:styleId="Point0letter">
    <w:name w:val="Point 0 (letter)"/>
    <w:basedOn w:val="Normal"/>
    <w:rsid w:val="009B7138"/>
    <w:pPr>
      <w:numPr>
        <w:ilvl w:val="1"/>
        <w:numId w:val="23"/>
      </w:numPr>
    </w:pPr>
  </w:style>
  <w:style w:type="paragraph" w:customStyle="1" w:styleId="Point1letter">
    <w:name w:val="Point 1 (letter)"/>
    <w:basedOn w:val="Normal"/>
    <w:rsid w:val="009B7138"/>
    <w:pPr>
      <w:numPr>
        <w:ilvl w:val="3"/>
        <w:numId w:val="23"/>
      </w:numPr>
    </w:pPr>
  </w:style>
  <w:style w:type="paragraph" w:customStyle="1" w:styleId="Point2letter">
    <w:name w:val="Point 2 (letter)"/>
    <w:basedOn w:val="Normal"/>
    <w:rsid w:val="009B7138"/>
    <w:pPr>
      <w:numPr>
        <w:ilvl w:val="5"/>
        <w:numId w:val="23"/>
      </w:numPr>
    </w:pPr>
  </w:style>
  <w:style w:type="paragraph" w:customStyle="1" w:styleId="Point3letter">
    <w:name w:val="Point 3 (letter)"/>
    <w:basedOn w:val="Normal"/>
    <w:rsid w:val="009B7138"/>
    <w:pPr>
      <w:numPr>
        <w:ilvl w:val="7"/>
        <w:numId w:val="23"/>
      </w:numPr>
    </w:pPr>
  </w:style>
  <w:style w:type="paragraph" w:customStyle="1" w:styleId="Point4letter">
    <w:name w:val="Point 4 (letter)"/>
    <w:basedOn w:val="Normal"/>
    <w:rsid w:val="009B7138"/>
    <w:pPr>
      <w:numPr>
        <w:ilvl w:val="8"/>
        <w:numId w:val="23"/>
      </w:numPr>
    </w:pPr>
  </w:style>
  <w:style w:type="paragraph" w:customStyle="1" w:styleId="Bullet0">
    <w:name w:val="Bullet 0"/>
    <w:basedOn w:val="Normal"/>
    <w:rsid w:val="009B7138"/>
    <w:pPr>
      <w:numPr>
        <w:numId w:val="24"/>
      </w:numPr>
    </w:pPr>
  </w:style>
  <w:style w:type="paragraph" w:customStyle="1" w:styleId="Bullet1">
    <w:name w:val="Bullet 1"/>
    <w:basedOn w:val="Normal"/>
    <w:rsid w:val="009B7138"/>
    <w:pPr>
      <w:numPr>
        <w:numId w:val="25"/>
      </w:numPr>
    </w:pPr>
  </w:style>
  <w:style w:type="paragraph" w:customStyle="1" w:styleId="Bullet2">
    <w:name w:val="Bullet 2"/>
    <w:basedOn w:val="Normal"/>
    <w:rsid w:val="009B7138"/>
    <w:pPr>
      <w:numPr>
        <w:numId w:val="26"/>
      </w:numPr>
    </w:pPr>
  </w:style>
  <w:style w:type="paragraph" w:customStyle="1" w:styleId="Bullet3">
    <w:name w:val="Bullet 3"/>
    <w:basedOn w:val="Normal"/>
    <w:rsid w:val="009B7138"/>
    <w:pPr>
      <w:numPr>
        <w:numId w:val="27"/>
      </w:numPr>
    </w:pPr>
  </w:style>
  <w:style w:type="paragraph" w:customStyle="1" w:styleId="Bullet4">
    <w:name w:val="Bullet 4"/>
    <w:basedOn w:val="Normal"/>
    <w:rsid w:val="009B7138"/>
    <w:pPr>
      <w:numPr>
        <w:numId w:val="2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6B6CDB"/>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sid w:val="006B6CDB"/>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sid w:val="006B6CDB"/>
    <w:rPr>
      <w:rFonts w:ascii="Times New Roman" w:eastAsiaTheme="majorEastAsia" w:hAnsi="Times New Roman" w:cs="Times New Roman"/>
      <w:iCs/>
      <w:sz w:val="24"/>
      <w:lang w:val="pl-PL"/>
    </w:rPr>
  </w:style>
  <w:style w:type="paragraph" w:customStyle="1" w:styleId="ManualHeading5">
    <w:name w:val="Manual Heading 5"/>
    <w:basedOn w:val="Normal"/>
    <w:next w:val="Text2"/>
    <w:rsid w:val="006B6CDB"/>
    <w:pPr>
      <w:keepNext/>
      <w:tabs>
        <w:tab w:val="left" w:pos="1417"/>
      </w:tabs>
      <w:ind w:left="1417" w:hanging="1417"/>
      <w:outlineLvl w:val="4"/>
    </w:pPr>
  </w:style>
  <w:style w:type="paragraph" w:customStyle="1" w:styleId="ManualHeading6">
    <w:name w:val="Manual Heading 6"/>
    <w:basedOn w:val="Normal"/>
    <w:next w:val="Text2"/>
    <w:rsid w:val="006B6CDB"/>
    <w:pPr>
      <w:keepNext/>
      <w:tabs>
        <w:tab w:val="left" w:pos="1417"/>
      </w:tabs>
      <w:ind w:left="1417" w:hanging="1417"/>
      <w:outlineLvl w:val="5"/>
    </w:pPr>
  </w:style>
  <w:style w:type="paragraph" w:customStyle="1" w:styleId="ManualHeading7">
    <w:name w:val="Manual Heading 7"/>
    <w:basedOn w:val="Normal"/>
    <w:next w:val="Text2"/>
    <w:rsid w:val="006B6CDB"/>
    <w:pPr>
      <w:keepNext/>
      <w:tabs>
        <w:tab w:val="left" w:pos="1417"/>
      </w:tabs>
      <w:ind w:left="1417" w:hanging="1417"/>
      <w:outlineLvl w:val="6"/>
    </w:pPr>
  </w:style>
  <w:style w:type="paragraph" w:customStyle="1" w:styleId="Text5">
    <w:name w:val="Text 5"/>
    <w:basedOn w:val="Normal"/>
    <w:rsid w:val="006B6CDB"/>
    <w:pPr>
      <w:ind w:left="3118"/>
    </w:pPr>
  </w:style>
  <w:style w:type="paragraph" w:customStyle="1" w:styleId="Text6">
    <w:name w:val="Text 6"/>
    <w:basedOn w:val="Normal"/>
    <w:rsid w:val="006B6CDB"/>
    <w:pPr>
      <w:ind w:left="3685"/>
    </w:pPr>
  </w:style>
  <w:style w:type="paragraph" w:customStyle="1" w:styleId="Point5">
    <w:name w:val="Point 5"/>
    <w:basedOn w:val="Normal"/>
    <w:rsid w:val="006B6CDB"/>
    <w:pPr>
      <w:ind w:left="3685" w:hanging="567"/>
    </w:pPr>
  </w:style>
  <w:style w:type="paragraph" w:customStyle="1" w:styleId="Tiret5">
    <w:name w:val="Tiret 5"/>
    <w:basedOn w:val="Point5"/>
    <w:rsid w:val="006B6CDB"/>
    <w:pPr>
      <w:numPr>
        <w:numId w:val="31"/>
      </w:numPr>
    </w:pPr>
  </w:style>
  <w:style w:type="paragraph" w:customStyle="1" w:styleId="NumPar5">
    <w:name w:val="NumPar 5"/>
    <w:basedOn w:val="Normal"/>
    <w:next w:val="Text2"/>
    <w:rsid w:val="006B6CDB"/>
    <w:pPr>
      <w:numPr>
        <w:ilvl w:val="4"/>
        <w:numId w:val="32"/>
      </w:numPr>
    </w:pPr>
  </w:style>
  <w:style w:type="paragraph" w:customStyle="1" w:styleId="NumPar6">
    <w:name w:val="NumPar 6"/>
    <w:basedOn w:val="Normal"/>
    <w:next w:val="Text2"/>
    <w:rsid w:val="006B6CDB"/>
    <w:pPr>
      <w:numPr>
        <w:ilvl w:val="5"/>
        <w:numId w:val="32"/>
      </w:numPr>
    </w:pPr>
  </w:style>
  <w:style w:type="paragraph" w:customStyle="1" w:styleId="NumPar7">
    <w:name w:val="NumPar 7"/>
    <w:basedOn w:val="Normal"/>
    <w:next w:val="Text2"/>
    <w:rsid w:val="006B6CDB"/>
    <w:pPr>
      <w:numPr>
        <w:ilvl w:val="6"/>
        <w:numId w:val="32"/>
      </w:numPr>
    </w:pPr>
  </w:style>
  <w:style w:type="paragraph" w:customStyle="1" w:styleId="ManualNumPar5">
    <w:name w:val="Manual NumPar 5"/>
    <w:basedOn w:val="Normal"/>
    <w:next w:val="Text2"/>
    <w:rsid w:val="006B6CDB"/>
    <w:pPr>
      <w:ind w:left="1417" w:hanging="1417"/>
    </w:pPr>
  </w:style>
  <w:style w:type="paragraph" w:customStyle="1" w:styleId="ManualNumPar6">
    <w:name w:val="Manual NumPar 6"/>
    <w:basedOn w:val="Normal"/>
    <w:next w:val="Text2"/>
    <w:rsid w:val="006B6CDB"/>
    <w:pPr>
      <w:ind w:left="1417" w:hanging="1417"/>
    </w:pPr>
  </w:style>
  <w:style w:type="paragraph" w:customStyle="1" w:styleId="ManualNumPar7">
    <w:name w:val="Manual NumPar 7"/>
    <w:basedOn w:val="Normal"/>
    <w:next w:val="Text2"/>
    <w:rsid w:val="006B6CDB"/>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0302">
      <w:bodyDiv w:val="1"/>
      <w:marLeft w:val="0"/>
      <w:marRight w:val="0"/>
      <w:marTop w:val="0"/>
      <w:marBottom w:val="0"/>
      <w:divBdr>
        <w:top w:val="none" w:sz="0" w:space="0" w:color="auto"/>
        <w:left w:val="none" w:sz="0" w:space="0" w:color="auto"/>
        <w:bottom w:val="none" w:sz="0" w:space="0" w:color="auto"/>
        <w:right w:val="none" w:sz="0" w:space="0" w:color="auto"/>
      </w:divBdr>
      <w:divsChild>
        <w:div w:id="234706287">
          <w:marLeft w:val="0"/>
          <w:marRight w:val="0"/>
          <w:marTop w:val="0"/>
          <w:marBottom w:val="0"/>
          <w:divBdr>
            <w:top w:val="none" w:sz="0" w:space="0" w:color="auto"/>
            <w:left w:val="none" w:sz="0" w:space="0" w:color="auto"/>
            <w:bottom w:val="none" w:sz="0" w:space="0" w:color="auto"/>
            <w:right w:val="none" w:sz="0" w:space="0" w:color="auto"/>
          </w:divBdr>
        </w:div>
        <w:div w:id="832457179">
          <w:marLeft w:val="0"/>
          <w:marRight w:val="0"/>
          <w:marTop w:val="0"/>
          <w:marBottom w:val="0"/>
          <w:divBdr>
            <w:top w:val="none" w:sz="0" w:space="0" w:color="auto"/>
            <w:left w:val="none" w:sz="0" w:space="0" w:color="auto"/>
            <w:bottom w:val="none" w:sz="0" w:space="0" w:color="auto"/>
            <w:right w:val="none" w:sz="0" w:space="0" w:color="auto"/>
          </w:divBdr>
        </w:div>
        <w:div w:id="2068256775">
          <w:marLeft w:val="0"/>
          <w:marRight w:val="0"/>
          <w:marTop w:val="0"/>
          <w:marBottom w:val="0"/>
          <w:divBdr>
            <w:top w:val="none" w:sz="0" w:space="0" w:color="auto"/>
            <w:left w:val="none" w:sz="0" w:space="0" w:color="auto"/>
            <w:bottom w:val="none" w:sz="0" w:space="0" w:color="auto"/>
            <w:right w:val="none" w:sz="0" w:space="0" w:color="auto"/>
          </w:divBdr>
        </w:div>
        <w:div w:id="1524323684">
          <w:marLeft w:val="0"/>
          <w:marRight w:val="0"/>
          <w:marTop w:val="0"/>
          <w:marBottom w:val="0"/>
          <w:divBdr>
            <w:top w:val="none" w:sz="0" w:space="0" w:color="auto"/>
            <w:left w:val="none" w:sz="0" w:space="0" w:color="auto"/>
            <w:bottom w:val="none" w:sz="0" w:space="0" w:color="auto"/>
            <w:right w:val="none" w:sz="0" w:space="0" w:color="auto"/>
          </w:divBdr>
        </w:div>
      </w:divsChild>
    </w:div>
    <w:div w:id="57749656">
      <w:bodyDiv w:val="1"/>
      <w:marLeft w:val="0"/>
      <w:marRight w:val="0"/>
      <w:marTop w:val="0"/>
      <w:marBottom w:val="0"/>
      <w:divBdr>
        <w:top w:val="none" w:sz="0" w:space="0" w:color="auto"/>
        <w:left w:val="none" w:sz="0" w:space="0" w:color="auto"/>
        <w:bottom w:val="none" w:sz="0" w:space="0" w:color="auto"/>
        <w:right w:val="none" w:sz="0" w:space="0" w:color="auto"/>
      </w:divBdr>
    </w:div>
    <w:div w:id="94911328">
      <w:bodyDiv w:val="1"/>
      <w:marLeft w:val="0"/>
      <w:marRight w:val="0"/>
      <w:marTop w:val="0"/>
      <w:marBottom w:val="0"/>
      <w:divBdr>
        <w:top w:val="none" w:sz="0" w:space="0" w:color="auto"/>
        <w:left w:val="none" w:sz="0" w:space="0" w:color="auto"/>
        <w:bottom w:val="none" w:sz="0" w:space="0" w:color="auto"/>
        <w:right w:val="none" w:sz="0" w:space="0" w:color="auto"/>
      </w:divBdr>
    </w:div>
    <w:div w:id="284316343">
      <w:bodyDiv w:val="1"/>
      <w:marLeft w:val="0"/>
      <w:marRight w:val="0"/>
      <w:marTop w:val="0"/>
      <w:marBottom w:val="0"/>
      <w:divBdr>
        <w:top w:val="none" w:sz="0" w:space="0" w:color="auto"/>
        <w:left w:val="none" w:sz="0" w:space="0" w:color="auto"/>
        <w:bottom w:val="none" w:sz="0" w:space="0" w:color="auto"/>
        <w:right w:val="none" w:sz="0" w:space="0" w:color="auto"/>
      </w:divBdr>
      <w:divsChild>
        <w:div w:id="1916668717">
          <w:marLeft w:val="0"/>
          <w:marRight w:val="0"/>
          <w:marTop w:val="0"/>
          <w:marBottom w:val="0"/>
          <w:divBdr>
            <w:top w:val="none" w:sz="0" w:space="0" w:color="auto"/>
            <w:left w:val="none" w:sz="0" w:space="0" w:color="auto"/>
            <w:bottom w:val="none" w:sz="0" w:space="0" w:color="auto"/>
            <w:right w:val="none" w:sz="0" w:space="0" w:color="auto"/>
          </w:divBdr>
        </w:div>
        <w:div w:id="984506481">
          <w:marLeft w:val="0"/>
          <w:marRight w:val="0"/>
          <w:marTop w:val="0"/>
          <w:marBottom w:val="0"/>
          <w:divBdr>
            <w:top w:val="none" w:sz="0" w:space="0" w:color="auto"/>
            <w:left w:val="none" w:sz="0" w:space="0" w:color="auto"/>
            <w:bottom w:val="none" w:sz="0" w:space="0" w:color="auto"/>
            <w:right w:val="none" w:sz="0" w:space="0" w:color="auto"/>
          </w:divBdr>
        </w:div>
        <w:div w:id="2125882125">
          <w:marLeft w:val="0"/>
          <w:marRight w:val="0"/>
          <w:marTop w:val="0"/>
          <w:marBottom w:val="0"/>
          <w:divBdr>
            <w:top w:val="none" w:sz="0" w:space="0" w:color="auto"/>
            <w:left w:val="none" w:sz="0" w:space="0" w:color="auto"/>
            <w:bottom w:val="none" w:sz="0" w:space="0" w:color="auto"/>
            <w:right w:val="none" w:sz="0" w:space="0" w:color="auto"/>
          </w:divBdr>
        </w:div>
      </w:divsChild>
    </w:div>
    <w:div w:id="451486577">
      <w:bodyDiv w:val="1"/>
      <w:marLeft w:val="0"/>
      <w:marRight w:val="0"/>
      <w:marTop w:val="0"/>
      <w:marBottom w:val="0"/>
      <w:divBdr>
        <w:top w:val="none" w:sz="0" w:space="0" w:color="auto"/>
        <w:left w:val="none" w:sz="0" w:space="0" w:color="auto"/>
        <w:bottom w:val="none" w:sz="0" w:space="0" w:color="auto"/>
        <w:right w:val="none" w:sz="0" w:space="0" w:color="auto"/>
      </w:divBdr>
      <w:divsChild>
        <w:div w:id="818956351">
          <w:marLeft w:val="0"/>
          <w:marRight w:val="0"/>
          <w:marTop w:val="0"/>
          <w:marBottom w:val="0"/>
          <w:divBdr>
            <w:top w:val="none" w:sz="0" w:space="0" w:color="auto"/>
            <w:left w:val="none" w:sz="0" w:space="0" w:color="auto"/>
            <w:bottom w:val="none" w:sz="0" w:space="0" w:color="auto"/>
            <w:right w:val="none" w:sz="0" w:space="0" w:color="auto"/>
          </w:divBdr>
        </w:div>
        <w:div w:id="1085807056">
          <w:marLeft w:val="0"/>
          <w:marRight w:val="0"/>
          <w:marTop w:val="0"/>
          <w:marBottom w:val="0"/>
          <w:divBdr>
            <w:top w:val="none" w:sz="0" w:space="0" w:color="auto"/>
            <w:left w:val="none" w:sz="0" w:space="0" w:color="auto"/>
            <w:bottom w:val="none" w:sz="0" w:space="0" w:color="auto"/>
            <w:right w:val="none" w:sz="0" w:space="0" w:color="auto"/>
          </w:divBdr>
        </w:div>
        <w:div w:id="1572541999">
          <w:marLeft w:val="0"/>
          <w:marRight w:val="0"/>
          <w:marTop w:val="0"/>
          <w:marBottom w:val="0"/>
          <w:divBdr>
            <w:top w:val="none" w:sz="0" w:space="0" w:color="auto"/>
            <w:left w:val="none" w:sz="0" w:space="0" w:color="auto"/>
            <w:bottom w:val="none" w:sz="0" w:space="0" w:color="auto"/>
            <w:right w:val="none" w:sz="0" w:space="0" w:color="auto"/>
          </w:divBdr>
        </w:div>
      </w:divsChild>
    </w:div>
    <w:div w:id="756100095">
      <w:bodyDiv w:val="1"/>
      <w:marLeft w:val="0"/>
      <w:marRight w:val="0"/>
      <w:marTop w:val="0"/>
      <w:marBottom w:val="0"/>
      <w:divBdr>
        <w:top w:val="none" w:sz="0" w:space="0" w:color="auto"/>
        <w:left w:val="none" w:sz="0" w:space="0" w:color="auto"/>
        <w:bottom w:val="none" w:sz="0" w:space="0" w:color="auto"/>
        <w:right w:val="none" w:sz="0" w:space="0" w:color="auto"/>
      </w:divBdr>
    </w:div>
    <w:div w:id="769590477">
      <w:bodyDiv w:val="1"/>
      <w:marLeft w:val="0"/>
      <w:marRight w:val="0"/>
      <w:marTop w:val="0"/>
      <w:marBottom w:val="0"/>
      <w:divBdr>
        <w:top w:val="none" w:sz="0" w:space="0" w:color="auto"/>
        <w:left w:val="none" w:sz="0" w:space="0" w:color="auto"/>
        <w:bottom w:val="none" w:sz="0" w:space="0" w:color="auto"/>
        <w:right w:val="none" w:sz="0" w:space="0" w:color="auto"/>
      </w:divBdr>
    </w:div>
    <w:div w:id="882669705">
      <w:bodyDiv w:val="1"/>
      <w:marLeft w:val="0"/>
      <w:marRight w:val="0"/>
      <w:marTop w:val="0"/>
      <w:marBottom w:val="0"/>
      <w:divBdr>
        <w:top w:val="none" w:sz="0" w:space="0" w:color="auto"/>
        <w:left w:val="none" w:sz="0" w:space="0" w:color="auto"/>
        <w:bottom w:val="none" w:sz="0" w:space="0" w:color="auto"/>
        <w:right w:val="none" w:sz="0" w:space="0" w:color="auto"/>
      </w:divBdr>
      <w:divsChild>
        <w:div w:id="302468694">
          <w:marLeft w:val="0"/>
          <w:marRight w:val="0"/>
          <w:marTop w:val="0"/>
          <w:marBottom w:val="0"/>
          <w:divBdr>
            <w:top w:val="none" w:sz="0" w:space="0" w:color="auto"/>
            <w:left w:val="none" w:sz="0" w:space="0" w:color="auto"/>
            <w:bottom w:val="none" w:sz="0" w:space="0" w:color="auto"/>
            <w:right w:val="none" w:sz="0" w:space="0" w:color="auto"/>
          </w:divBdr>
        </w:div>
        <w:div w:id="466823206">
          <w:marLeft w:val="0"/>
          <w:marRight w:val="0"/>
          <w:marTop w:val="0"/>
          <w:marBottom w:val="0"/>
          <w:divBdr>
            <w:top w:val="none" w:sz="0" w:space="0" w:color="auto"/>
            <w:left w:val="none" w:sz="0" w:space="0" w:color="auto"/>
            <w:bottom w:val="none" w:sz="0" w:space="0" w:color="auto"/>
            <w:right w:val="none" w:sz="0" w:space="0" w:color="auto"/>
          </w:divBdr>
        </w:div>
        <w:div w:id="1599681162">
          <w:marLeft w:val="0"/>
          <w:marRight w:val="0"/>
          <w:marTop w:val="0"/>
          <w:marBottom w:val="0"/>
          <w:divBdr>
            <w:top w:val="none" w:sz="0" w:space="0" w:color="auto"/>
            <w:left w:val="none" w:sz="0" w:space="0" w:color="auto"/>
            <w:bottom w:val="none" w:sz="0" w:space="0" w:color="auto"/>
            <w:right w:val="none" w:sz="0" w:space="0" w:color="auto"/>
          </w:divBdr>
        </w:div>
        <w:div w:id="1554080460">
          <w:marLeft w:val="0"/>
          <w:marRight w:val="0"/>
          <w:marTop w:val="0"/>
          <w:marBottom w:val="0"/>
          <w:divBdr>
            <w:top w:val="none" w:sz="0" w:space="0" w:color="auto"/>
            <w:left w:val="none" w:sz="0" w:space="0" w:color="auto"/>
            <w:bottom w:val="none" w:sz="0" w:space="0" w:color="auto"/>
            <w:right w:val="none" w:sz="0" w:space="0" w:color="auto"/>
          </w:divBdr>
        </w:div>
        <w:div w:id="1800762419">
          <w:marLeft w:val="0"/>
          <w:marRight w:val="0"/>
          <w:marTop w:val="0"/>
          <w:marBottom w:val="0"/>
          <w:divBdr>
            <w:top w:val="none" w:sz="0" w:space="0" w:color="auto"/>
            <w:left w:val="none" w:sz="0" w:space="0" w:color="auto"/>
            <w:bottom w:val="none" w:sz="0" w:space="0" w:color="auto"/>
            <w:right w:val="none" w:sz="0" w:space="0" w:color="auto"/>
          </w:divBdr>
        </w:div>
        <w:div w:id="1923105388">
          <w:marLeft w:val="0"/>
          <w:marRight w:val="0"/>
          <w:marTop w:val="0"/>
          <w:marBottom w:val="0"/>
          <w:divBdr>
            <w:top w:val="none" w:sz="0" w:space="0" w:color="auto"/>
            <w:left w:val="none" w:sz="0" w:space="0" w:color="auto"/>
            <w:bottom w:val="none" w:sz="0" w:space="0" w:color="auto"/>
            <w:right w:val="none" w:sz="0" w:space="0" w:color="auto"/>
          </w:divBdr>
        </w:div>
        <w:div w:id="1644576305">
          <w:marLeft w:val="0"/>
          <w:marRight w:val="0"/>
          <w:marTop w:val="0"/>
          <w:marBottom w:val="0"/>
          <w:divBdr>
            <w:top w:val="none" w:sz="0" w:space="0" w:color="auto"/>
            <w:left w:val="none" w:sz="0" w:space="0" w:color="auto"/>
            <w:bottom w:val="none" w:sz="0" w:space="0" w:color="auto"/>
            <w:right w:val="none" w:sz="0" w:space="0" w:color="auto"/>
          </w:divBdr>
        </w:div>
        <w:div w:id="1995984959">
          <w:marLeft w:val="0"/>
          <w:marRight w:val="0"/>
          <w:marTop w:val="0"/>
          <w:marBottom w:val="0"/>
          <w:divBdr>
            <w:top w:val="none" w:sz="0" w:space="0" w:color="auto"/>
            <w:left w:val="none" w:sz="0" w:space="0" w:color="auto"/>
            <w:bottom w:val="none" w:sz="0" w:space="0" w:color="auto"/>
            <w:right w:val="none" w:sz="0" w:space="0" w:color="auto"/>
          </w:divBdr>
        </w:div>
      </w:divsChild>
    </w:div>
    <w:div w:id="1047681292">
      <w:bodyDiv w:val="1"/>
      <w:marLeft w:val="0"/>
      <w:marRight w:val="0"/>
      <w:marTop w:val="0"/>
      <w:marBottom w:val="0"/>
      <w:divBdr>
        <w:top w:val="none" w:sz="0" w:space="0" w:color="auto"/>
        <w:left w:val="none" w:sz="0" w:space="0" w:color="auto"/>
        <w:bottom w:val="none" w:sz="0" w:space="0" w:color="auto"/>
        <w:right w:val="none" w:sz="0" w:space="0" w:color="auto"/>
      </w:divBdr>
    </w:div>
    <w:div w:id="1113473554">
      <w:bodyDiv w:val="1"/>
      <w:marLeft w:val="0"/>
      <w:marRight w:val="0"/>
      <w:marTop w:val="0"/>
      <w:marBottom w:val="0"/>
      <w:divBdr>
        <w:top w:val="none" w:sz="0" w:space="0" w:color="auto"/>
        <w:left w:val="none" w:sz="0" w:space="0" w:color="auto"/>
        <w:bottom w:val="none" w:sz="0" w:space="0" w:color="auto"/>
        <w:right w:val="none" w:sz="0" w:space="0" w:color="auto"/>
      </w:divBdr>
    </w:div>
    <w:div w:id="1216890477">
      <w:bodyDiv w:val="1"/>
      <w:marLeft w:val="0"/>
      <w:marRight w:val="0"/>
      <w:marTop w:val="0"/>
      <w:marBottom w:val="0"/>
      <w:divBdr>
        <w:top w:val="none" w:sz="0" w:space="0" w:color="auto"/>
        <w:left w:val="none" w:sz="0" w:space="0" w:color="auto"/>
        <w:bottom w:val="none" w:sz="0" w:space="0" w:color="auto"/>
        <w:right w:val="none" w:sz="0" w:space="0" w:color="auto"/>
      </w:divBdr>
    </w:div>
    <w:div w:id="13155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geoportal.pgi.gov.pl/surow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9DCA-0B2F-4D50-A9D3-36C7FAB3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53</Pages>
  <Words>19888</Words>
  <Characters>132258</Characters>
  <Application>Microsoft Office Word</Application>
  <DocSecurity>0</DocSecurity>
  <Lines>2099</Lines>
  <Paragraphs>658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cp:lastPrinted>2021-10-22T17:20:00Z</cp:lastPrinted>
  <dcterms:created xsi:type="dcterms:W3CDTF">2022-01-31T14:45:00Z</dcterms:created>
  <dcterms:modified xsi:type="dcterms:W3CDTF">2022-02-21T16:19:00Z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