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A988" w14:textId="51460E4F" w:rsidR="004523CB" w:rsidRPr="00C51514" w:rsidRDefault="000D5FEA" w:rsidP="000D5FEA">
      <w:pPr>
        <w:pStyle w:val="Pagedecouverture"/>
        <w:rPr>
          <w:noProof/>
        </w:rPr>
      </w:pPr>
      <w:r>
        <w:rPr>
          <w:noProof/>
        </w:rPr>
        <w:pict w14:anchorId="13461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42D2724-3CEC-4089-98DE-B8A3591A3D5D" style="width:455.25pt;height:396.75pt">
            <v:imagedata r:id="rId8" o:title=""/>
          </v:shape>
        </w:pict>
      </w:r>
    </w:p>
    <w:p w14:paraId="3A85C376" w14:textId="77777777" w:rsidR="004523CB" w:rsidRPr="00C51514" w:rsidRDefault="004523CB" w:rsidP="004523CB">
      <w:pPr>
        <w:rPr>
          <w:noProof/>
        </w:rPr>
        <w:sectPr w:rsidR="004523CB" w:rsidRPr="00C51514" w:rsidSect="000D5FEA">
          <w:footerReference w:type="default" r:id="rId9"/>
          <w:pgSz w:w="11907" w:h="16839"/>
          <w:pgMar w:top="1134" w:right="1417" w:bottom="1134" w:left="1417" w:header="709" w:footer="709" w:gutter="0"/>
          <w:pgNumType w:start="0"/>
          <w:cols w:space="720"/>
          <w:docGrid w:linePitch="360"/>
        </w:sectPr>
      </w:pPr>
    </w:p>
    <w:p w14:paraId="38A865DA" w14:textId="77777777" w:rsidR="004523CB" w:rsidRPr="00C51514" w:rsidRDefault="004523CB" w:rsidP="00BB6B30">
      <w:pPr>
        <w:pStyle w:val="Exposdesmotifstitre"/>
        <w:rPr>
          <w:noProof/>
        </w:rPr>
      </w:pPr>
      <w:bookmarkStart w:id="0" w:name="_GoBack"/>
      <w:bookmarkEnd w:id="0"/>
      <w:r w:rsidRPr="00C51514">
        <w:rPr>
          <w:noProof/>
        </w:rPr>
        <w:lastRenderedPageBreak/>
        <w:t>SELETUSKIRI</w:t>
      </w:r>
    </w:p>
    <w:p w14:paraId="2F5829D3" w14:textId="77777777" w:rsidR="003F46F8" w:rsidRPr="00C51514" w:rsidRDefault="003F46F8" w:rsidP="003F46F8">
      <w:pPr>
        <w:rPr>
          <w:noProof/>
        </w:rPr>
      </w:pPr>
      <w:r w:rsidRPr="00C51514">
        <w:rPr>
          <w:noProof/>
        </w:rPr>
        <w:t>Vastavalt 28. novembri 2006. aasta direktiivi 2006/112/EÜ (mis käsitleb ühist käibemaksusüsteemi) (edaspidi „käibemaksudirektiiv“) artikli 395 lõikele 1 võib nõukogu ühehäälselt komisjoni ettepaneku põhjal anda igale liikmesriigile loa võtta erimeetmeid kõnealuse direktiivi sätetest erandite tegemiseks, et lihtsustada käibemaksu kogumist või hoida ära teatavat maksudest kõrvalehoidmist või maksustamise vältimist.</w:t>
      </w:r>
    </w:p>
    <w:p w14:paraId="64493E05" w14:textId="5AF01062" w:rsidR="00460D58" w:rsidRPr="00C51514" w:rsidRDefault="00460D58" w:rsidP="003F46F8">
      <w:pPr>
        <w:rPr>
          <w:noProof/>
        </w:rPr>
      </w:pPr>
      <w:r w:rsidRPr="00C51514">
        <w:rPr>
          <w:noProof/>
        </w:rPr>
        <w:t>Poola esitas nõukogu rakendusotsuse (EL) 2019/310</w:t>
      </w:r>
      <w:r w:rsidRPr="00C51514">
        <w:rPr>
          <w:rStyle w:val="FootnoteReference"/>
          <w:noProof/>
        </w:rPr>
        <w:footnoteReference w:id="1"/>
      </w:r>
      <w:r w:rsidRPr="00C51514">
        <w:rPr>
          <w:noProof/>
        </w:rPr>
        <w:t xml:space="preserve"> artikli 2 kohaselt komisjonile 29. aprillil 2021 aruande meetme üldisest mõjust käibemaksupettuste tasemele ja asjaomastele maksukohustuslastele ning komisjon registreeris aruande 5. mail 2021.</w:t>
      </w:r>
    </w:p>
    <w:p w14:paraId="68DD32C3" w14:textId="1F6F0917" w:rsidR="003F46F8" w:rsidRPr="00C51514" w:rsidRDefault="003F46F8" w:rsidP="003F46F8">
      <w:pPr>
        <w:rPr>
          <w:noProof/>
        </w:rPr>
      </w:pPr>
      <w:r w:rsidRPr="00C51514">
        <w:rPr>
          <w:noProof/>
        </w:rPr>
        <w:t>Kirjas, mille komisjon registreeris 26. juulil 2021, taotles Poola luba jätkuvalt kohaldada erandit käibemaksudirektiivi artiklist 226 seoses arvetel käibemaksuga seotud teabe esitamise nõuetega ning kehtestada kohustuslik jagatud maksmise mehhanism pettusealdiste kaupade tarnete ja teenuste osutamise puhul, mille suhtes kohaldatakse Poolas enamasti pöördmaksustamist ja solidaarset vastutust. Käibemaksudirektiivi artikli 395 lõike 2 kohaselt teavitas komisjon 27. oktoobri 2021. aasta kirjas teisi lii</w:t>
      </w:r>
      <w:r w:rsidR="00FC7C72" w:rsidRPr="00C51514">
        <w:rPr>
          <w:noProof/>
        </w:rPr>
        <w:t>kmesriike Poola taotlusest. 28. </w:t>
      </w:r>
      <w:r w:rsidRPr="00C51514">
        <w:rPr>
          <w:noProof/>
        </w:rPr>
        <w:t>oktoobri 2021. aasta kirjas teatas komisjon Poolale, et ta on saanud kogu teabe, mida ta peab taotluse hindamiseks vajalikuks.</w:t>
      </w:r>
    </w:p>
    <w:p w14:paraId="08F140BB" w14:textId="77777777" w:rsidR="004523CB" w:rsidRPr="00C51514" w:rsidRDefault="004523CB" w:rsidP="00BB6B30">
      <w:pPr>
        <w:pStyle w:val="ManualHeading1"/>
        <w:rPr>
          <w:noProof/>
        </w:rPr>
      </w:pPr>
      <w:r w:rsidRPr="00C51514">
        <w:rPr>
          <w:noProof/>
        </w:rPr>
        <w:t>1.</w:t>
      </w:r>
      <w:r w:rsidRPr="00C51514">
        <w:rPr>
          <w:noProof/>
        </w:rPr>
        <w:tab/>
        <w:t>ETTEPANEKU TAUST</w:t>
      </w:r>
    </w:p>
    <w:p w14:paraId="2A4CE9E7" w14:textId="77777777" w:rsidR="004523CB" w:rsidRPr="00C51514" w:rsidRDefault="004523CB" w:rsidP="00044058">
      <w:pPr>
        <w:pStyle w:val="ManualHeading2"/>
        <w:rPr>
          <w:rFonts w:eastAsia="Arial Unicode MS"/>
          <w:noProof/>
        </w:rPr>
      </w:pPr>
      <w:r w:rsidRPr="00C51514">
        <w:rPr>
          <w:noProof/>
          <w:color w:val="000000"/>
          <w:u w:color="000000"/>
          <w:bdr w:val="nil"/>
        </w:rPr>
        <w:t>•</w:t>
      </w:r>
      <w:r w:rsidRPr="00C51514">
        <w:rPr>
          <w:noProof/>
        </w:rPr>
        <w:tab/>
        <w:t>Ettepaneku põhjused ja eesmärgid</w:t>
      </w:r>
    </w:p>
    <w:p w14:paraId="558ADFBF" w14:textId="6334653D" w:rsidR="00C21F62" w:rsidRPr="00C51514" w:rsidRDefault="00042ADF" w:rsidP="00C21F62">
      <w:pPr>
        <w:pBdr>
          <w:top w:val="nil"/>
          <w:left w:val="nil"/>
          <w:bottom w:val="nil"/>
          <w:right w:val="nil"/>
          <w:between w:val="nil"/>
          <w:bar w:val="nil"/>
        </w:pBdr>
        <w:spacing w:before="0" w:after="240"/>
        <w:rPr>
          <w:noProof/>
        </w:rPr>
      </w:pPr>
      <w:r w:rsidRPr="00C51514">
        <w:rPr>
          <w:noProof/>
        </w:rPr>
        <w:t xml:space="preserve">1. juulil 2018 kehtestas Poola vabatahtliku jagatud maksmise mehhanismi. Pärast nõukogu rakendusotsuse (EL) 2019/310 vastuvõtmist kehtestas Poola kohustusliku jagatud maksmise mehhanismi käibemaksu tasumiseks teatavate pettusealdiste kaupade tarnete ja teenuste osutamise puhul. Kohustuslik jagatud maksmise mehhanism tugineb samadele põhimõtetele nagu vabatahtlik jagatud maksmise mehhanism. Mõlemad jagatud maksmise mehhanismi mudelid (st vabatahtlik ja kohustuslik) on samal ajal kasutusel ja tavaliselt täiendavad teineteist. See tähendab, et mõlemad mudelid põhinevad samal pangakontode süsteemil ja hõlmavad ettevõtjatevahelisi tehinguid, milles maksed tehakse elektroonilise pangaülekandega. Kui maksukohustuslane tarnib kaupu või osutab teenuseid, mille suhtes kohaldatakse jagatud maksmise mehhanismi, peab tal lisaks tavalisele pangakontole olema ka eraldi kinnine käibemaksukonto. Pank jaotab ülekande osadeks, kandes kliendi tasutud summa üle tarnija vastavatele kontodele, st maksustatava summa kaupleja tavalisele pangakontole ja käibemaksusumma kaupleja kinnisele käibemaksukontole. Kinnisel käibemaksukontol olevad vahendid kuuluvad maksukohustuslasele. Neid vahendeid saab siiski käsutada üksnes maksuhaldurile tasumisele kuuluva või tarnijatelt saadud arvetest tuleneva käibemaksu maksmiseks. </w:t>
      </w:r>
    </w:p>
    <w:p w14:paraId="02AC07E3" w14:textId="7F6DC4AB" w:rsidR="00D41D4A" w:rsidRPr="00C51514" w:rsidRDefault="00D41D4A" w:rsidP="00D41D4A">
      <w:pPr>
        <w:pBdr>
          <w:top w:val="nil"/>
          <w:left w:val="nil"/>
          <w:bottom w:val="nil"/>
          <w:right w:val="nil"/>
          <w:between w:val="nil"/>
          <w:bar w:val="nil"/>
        </w:pBdr>
        <w:spacing w:before="0" w:after="240"/>
        <w:rPr>
          <w:noProof/>
        </w:rPr>
      </w:pPr>
      <w:r w:rsidRPr="00C51514">
        <w:rPr>
          <w:noProof/>
        </w:rPr>
        <w:t xml:space="preserve">Nõudes tasumisele kuuluva käibemaksu kandmist tarnija kinnisele käibemaksukontole, püütakse meetme abil võidelda maksupettusega, mis seisneb käibemaksu tasumata jätmises pettusealdiste kaupade tarnijate ja teenuste osutajate poolt. Maksukohustuslasele kuuluvale eraldi käibemaksukontole hoiustatud käibemaksusummat võib kasutada üksnes piiratud eesmärkidel, täpsemalt kohustusliku käibemaksu maksmiseks maksuhaldurile või käibemaksu maksmiseks tarnijatelt saadud arvete pealt. See aitab paremini tagada, et maksuhaldurini jõuab kogu käibemaks, mille maksukohustuslane peaks riigikassasse kandma. </w:t>
      </w:r>
    </w:p>
    <w:p w14:paraId="657E425F" w14:textId="77777777" w:rsidR="00D41D4A" w:rsidRPr="00C51514" w:rsidRDefault="00D41D4A" w:rsidP="00C21F62">
      <w:pPr>
        <w:pBdr>
          <w:top w:val="nil"/>
          <w:left w:val="nil"/>
          <w:bottom w:val="nil"/>
          <w:right w:val="nil"/>
          <w:between w:val="nil"/>
          <w:bar w:val="nil"/>
        </w:pBdr>
        <w:spacing w:before="0" w:after="240"/>
        <w:rPr>
          <w:noProof/>
          <w:lang w:eastAsia="en-GB"/>
        </w:rPr>
      </w:pPr>
    </w:p>
    <w:p w14:paraId="3A608CA9" w14:textId="2BB756BC" w:rsidR="00395352" w:rsidRPr="00C51514" w:rsidRDefault="00C21F62" w:rsidP="00395352">
      <w:pPr>
        <w:rPr>
          <w:noProof/>
        </w:rPr>
      </w:pPr>
      <w:r w:rsidRPr="00C51514">
        <w:rPr>
          <w:noProof/>
        </w:rPr>
        <w:t>Jagatud maksmise mehhanism muutub kohustuslikuks siis, kui vähemalt üks arvel märgitud artikkel osutab lisas loetletud pettusealdistele kaupadele või teenustele, mis kuuluvad erandi kohaldamisalasse, ning arve kogusumma koos käibemaksuga on üle 15 000 zloti.</w:t>
      </w:r>
    </w:p>
    <w:p w14:paraId="2015AEB8" w14:textId="1571F9E3" w:rsidR="00395352" w:rsidRPr="00C51514" w:rsidRDefault="00395352" w:rsidP="00395352">
      <w:pPr>
        <w:rPr>
          <w:noProof/>
        </w:rPr>
      </w:pPr>
      <w:r w:rsidRPr="00C51514">
        <w:rPr>
          <w:noProof/>
        </w:rPr>
        <w:t>Need kaubatarned ja teenused puudutavad selliseid majandusharusid nagu terase-, vanametalli-, elektroonikaseadmete, kulla-, mitteraudmetallide, kütuse- ja plastitööstus, mille suhtes kohaldati Poolas enne kohustusliku jagatud maksmise mehhanismi rakendamist üldjuhul pöördmaksustamist ja solidaarset vastutust (jagatud maksmise mehhanismiga hõlmatud kaupade ja teenuste loetelu esitati nõukogu rakendusotsuse (EL) 2019/310 lisas).</w:t>
      </w:r>
    </w:p>
    <w:p w14:paraId="2A850546" w14:textId="44B929F5" w:rsidR="00D50CF3" w:rsidRPr="00C51514" w:rsidRDefault="00D50CF3" w:rsidP="007E34AE">
      <w:pPr>
        <w:pBdr>
          <w:top w:val="nil"/>
          <w:left w:val="nil"/>
          <w:bottom w:val="nil"/>
          <w:right w:val="nil"/>
          <w:between w:val="nil"/>
          <w:bar w:val="nil"/>
        </w:pBdr>
        <w:spacing w:before="0" w:after="240"/>
        <w:rPr>
          <w:noProof/>
        </w:rPr>
      </w:pPr>
      <w:r w:rsidRPr="00C51514">
        <w:rPr>
          <w:noProof/>
        </w:rPr>
        <w:t>Poola Vabariik märgib, et uue käibemaksumäärade maatriksi jõustumisel 1. juulil 2020 muutus kaupade ja teenuste liigitamise meetod, et kohaldada kohustuslikku jagatud maksmise mehhanismi, ning Poola 2008. aasta kaupade ja teenuste liigitus (PKWiU 2008) asendati Poola 2015. aasta kaupade ja teenuste liigitusega (PKWiU 2015). Üleminek 2015. aasta liigitusele ei muutnud otsuse 2019/310 kohaselt kohustusliku jagatud maksmise mehhanismiga hõlmatud kaupade ja teenuste ulatust. Seetõttu tuleks rõhutada, et otsuse 2019/310 lisas loetletud kaupade ja teenuste ulatus jääb kehtima. Mõnes 2015. aasta liigituse punktis muudeti ainult statistilise liigituse sümboleid või tehti kaupade ja teenuste nimetustes redaktsioonilisi muudatusi, võrreldes 2008. aasta liigitusega, millel otsuse 2019/310 lisa põhineb. See ei toonud aga kaasa muutusi kohustusliku jagatud maksmise mehhanismiga hõlmatud kaupade ja teenuste ulatuses. Õiguskindluse huvides tuleks otsuse 2019/310 lisa ajakohastada, et kajastada 2015. aasta liigitusega 2008. aasta liigituses tehtud muudatusi.</w:t>
      </w:r>
    </w:p>
    <w:p w14:paraId="57CE45F2" w14:textId="11F1A9B3" w:rsidR="002E2CED" w:rsidRPr="00C51514" w:rsidRDefault="00395352" w:rsidP="00395352">
      <w:pPr>
        <w:rPr>
          <w:noProof/>
        </w:rPr>
      </w:pPr>
      <w:r w:rsidRPr="00C51514">
        <w:rPr>
          <w:noProof/>
        </w:rPr>
        <w:t xml:space="preserve">Erandi kohaselt on nõutav, et arved, mis väljastatakse jagatud maksmise mehhanismi raames käibemaksu maksjate vaheliste kaubatarnete ja teenuste osutamise eest, peavad sisaldama spetsiaalset avaldust selle kohta, et käibemaks tuleb maksta tarnija eraldiseisvale kinnisele käibemaksukontole. </w:t>
      </w:r>
    </w:p>
    <w:p w14:paraId="35D603F5" w14:textId="2F2D6929" w:rsidR="00906A42" w:rsidRPr="00C51514" w:rsidRDefault="00906A42" w:rsidP="00395352">
      <w:pPr>
        <w:rPr>
          <w:noProof/>
        </w:rPr>
      </w:pPr>
      <w:r w:rsidRPr="00C51514">
        <w:rPr>
          <w:noProof/>
        </w:rPr>
        <w:t>Kui maksukohustuslane esitab sisendkäibemaksu ülejäägi (mis ületab tasumisele kuuluvat käibemaksu) käibedeklaratsioonis tagastamisele kuuluva käibemaksusummana, makstakse see summa Poolas kehtivate üldiste eeskirjade kohaselt maksukohustuslase tavalisele pangakontole 60 päeva jooksul. Selleks et vähendada jagatud maksmise mudeli mõju kauplejate rahavoole, on Poola kehtestanud sisendkäibemaksu ülejäägi tagasimaksmiseks kiirema menetluse. Maksukohustuslase taotluse korral makstakse raha tagasi 25 päeva jooksul. Poola esitatud teabe kohaselt kulub selliste taotluste menetlemiseks siiski palju vähem aega (kohustusliku jagatud maksmise mehhanismi hindamisest nähtub, et 2020. aasta detsembris tehti vahendite vabastamise taotluse kohta otsus vähem kui 16 päevaga).</w:t>
      </w:r>
    </w:p>
    <w:p w14:paraId="59697076" w14:textId="77777777" w:rsidR="00224BB0" w:rsidRPr="00C51514" w:rsidRDefault="00224BB0" w:rsidP="00224BB0">
      <w:pPr>
        <w:pBdr>
          <w:top w:val="nil"/>
          <w:left w:val="nil"/>
          <w:bottom w:val="nil"/>
          <w:right w:val="nil"/>
          <w:between w:val="nil"/>
          <w:bar w:val="nil"/>
        </w:pBdr>
        <w:spacing w:before="0" w:after="240"/>
        <w:rPr>
          <w:noProof/>
        </w:rPr>
      </w:pPr>
      <w:r w:rsidRPr="00C51514">
        <w:rPr>
          <w:noProof/>
        </w:rPr>
        <w:t xml:space="preserve">Poola sõnul ei tohiks jagatud maksmise süsteemi toimimisega kaasneda olulisi kulusid ning need on enamasti seotud süsteemi rakendamise ja hooldamisega ning pangakonto haldamisega. </w:t>
      </w:r>
    </w:p>
    <w:p w14:paraId="25F67BA0" w14:textId="183D4B59" w:rsidR="00224BB0" w:rsidRPr="00C51514" w:rsidRDefault="00224BB0" w:rsidP="00224BB0">
      <w:pPr>
        <w:pBdr>
          <w:top w:val="nil"/>
          <w:left w:val="nil"/>
          <w:bottom w:val="nil"/>
          <w:right w:val="nil"/>
          <w:between w:val="nil"/>
          <w:bar w:val="nil"/>
        </w:pBdr>
        <w:spacing w:before="0" w:after="240"/>
        <w:rPr>
          <w:noProof/>
        </w:rPr>
      </w:pPr>
      <w:r w:rsidRPr="00C51514">
        <w:rPr>
          <w:noProof/>
        </w:rPr>
        <w:t>Kohustuslik jagatud maksmise mehhanism on üks põhielemente Poolas viimastel aastatel kasutusele võetud täiendavatest meetmetest, mille eesmärk on vähendada käibemaksupettusi ja ajakohastada Poola maksusüsteemi</w:t>
      </w:r>
      <w:r w:rsidRPr="00C51514">
        <w:rPr>
          <w:rStyle w:val="FootnoteReference"/>
          <w:noProof/>
        </w:rPr>
        <w:footnoteReference w:id="2"/>
      </w:r>
      <w:r w:rsidRPr="00C51514">
        <w:rPr>
          <w:noProof/>
        </w:rPr>
        <w:t>.</w:t>
      </w:r>
    </w:p>
    <w:p w14:paraId="7A0CC158" w14:textId="542F63CC" w:rsidR="00D711A2" w:rsidRPr="00C51514" w:rsidRDefault="00D711A2" w:rsidP="00D711A2">
      <w:pPr>
        <w:rPr>
          <w:rFonts w:eastAsia="Arial Unicode MS"/>
          <w:noProof/>
        </w:rPr>
      </w:pPr>
      <w:r w:rsidRPr="00C51514">
        <w:rPr>
          <w:noProof/>
        </w:rPr>
        <w:t xml:space="preserve">Arvestades eespool kirjeldatut, on komisjon seisukohal, et lisas loetletud pettusealdiste kaupade tarnete ja teenuste osutamise puhul võib kohustuslik jagatud maksmise mehhanism anda maksupettuste vastu võitlemisel häid tulemusi. Seega tehakse ettepanek lubada erand alates 1. märtsist 2022 kuni 28. veebruarini 2025. </w:t>
      </w:r>
    </w:p>
    <w:p w14:paraId="6433B3DB" w14:textId="77777777" w:rsidR="004523CB" w:rsidRPr="00C51514" w:rsidRDefault="004523CB" w:rsidP="00044058">
      <w:pPr>
        <w:pStyle w:val="ManualHeading2"/>
        <w:rPr>
          <w:rFonts w:eastAsia="Arial Unicode MS"/>
          <w:noProof/>
          <w:color w:val="000000"/>
          <w:u w:color="000000"/>
          <w:bdr w:val="nil"/>
        </w:rPr>
      </w:pPr>
      <w:r w:rsidRPr="00C51514">
        <w:rPr>
          <w:noProof/>
          <w:color w:val="000000"/>
          <w:u w:color="000000"/>
          <w:bdr w:val="nil"/>
        </w:rPr>
        <w:t>•</w:t>
      </w:r>
      <w:r w:rsidRPr="00C51514">
        <w:rPr>
          <w:noProof/>
        </w:rPr>
        <w:tab/>
        <w:t>Kooskõla poliitikavaldkonnas praegu kehtivate õigusnormidega</w:t>
      </w:r>
    </w:p>
    <w:p w14:paraId="2CC4F814" w14:textId="77777777" w:rsidR="00A725BD" w:rsidRPr="00C51514" w:rsidRDefault="00A725BD" w:rsidP="00A725BD">
      <w:pPr>
        <w:pBdr>
          <w:top w:val="nil"/>
          <w:left w:val="nil"/>
          <w:bottom w:val="nil"/>
          <w:right w:val="nil"/>
          <w:between w:val="nil"/>
          <w:bar w:val="nil"/>
        </w:pBdr>
        <w:spacing w:before="0" w:after="240"/>
        <w:rPr>
          <w:rFonts w:eastAsia="Arial Unicode MS"/>
          <w:noProof/>
        </w:rPr>
      </w:pPr>
      <w:r w:rsidRPr="00C51514">
        <w:rPr>
          <w:noProof/>
        </w:rPr>
        <w:t xml:space="preserve">Erandit võib lubada käibemaksudirektiivi artikli 395 alusel selleks, et lihtsustada käibemaksu kogumist või ära hoida teatavat maksudest kõrvalehoidmist või maksustamise vältimist. Poola taotles erandit, et võidelda maksudest kõrvalehoidmisega sektorites, kus on juba aastaid tuvastatud käibemaksupettuseid. Erand on kooskõlas poliitikavaldkonnas praegu kehtivate õigusnormidega. </w:t>
      </w:r>
    </w:p>
    <w:p w14:paraId="1B6DF47B" w14:textId="3CF1E1E2" w:rsidR="00A725BD" w:rsidRPr="00C51514" w:rsidRDefault="00A725BD" w:rsidP="00A725BD">
      <w:pPr>
        <w:pBdr>
          <w:top w:val="nil"/>
          <w:left w:val="nil"/>
          <w:bottom w:val="nil"/>
          <w:right w:val="nil"/>
          <w:between w:val="nil"/>
          <w:bar w:val="nil"/>
        </w:pBdr>
        <w:spacing w:before="0" w:after="240"/>
        <w:rPr>
          <w:noProof/>
          <w:color w:val="000000"/>
        </w:rPr>
      </w:pPr>
      <w:r w:rsidRPr="00C51514">
        <w:rPr>
          <w:noProof/>
        </w:rPr>
        <w:t>Nõukogu rakendusotsusega (EL) 2020/1105</w:t>
      </w:r>
      <w:r w:rsidRPr="00C51514">
        <w:rPr>
          <w:rStyle w:val="FootnoteReference"/>
          <w:rFonts w:eastAsia="Arial Unicode MS"/>
          <w:noProof/>
        </w:rPr>
        <w:footnoteReference w:id="3"/>
      </w:r>
      <w:r w:rsidRPr="00C51514">
        <w:rPr>
          <w:noProof/>
        </w:rPr>
        <w:t xml:space="preserve"> anti Itaaliale luba jätkata samalaadse erandi, jagatud maksmise mehhanismi rakendamist. Itaalia jagatud maksmise süsteemi kohaselt makstakse tasumisele kuuluv käibemaks maksuhalduri kinnisele käibemaksukontole. Itaalia erandi ulatus on piiratud kaupade tarnimise ja teenuste osutamisega riigiasutustele, riigiasutuste kontrollitavatele majandusüksustele ja mitmele börsil noteeritud äriühingule.</w:t>
      </w:r>
      <w:r w:rsidRPr="00C51514">
        <w:rPr>
          <w:noProof/>
          <w:color w:val="000000"/>
        </w:rPr>
        <w:t xml:space="preserve"> </w:t>
      </w:r>
    </w:p>
    <w:p w14:paraId="317BC9B5" w14:textId="77777777" w:rsidR="004523CB" w:rsidRPr="00C51514" w:rsidRDefault="004523CB" w:rsidP="00550536">
      <w:pPr>
        <w:pStyle w:val="ManualHeading1"/>
        <w:rPr>
          <w:noProof/>
        </w:rPr>
      </w:pPr>
      <w:r w:rsidRPr="00C51514">
        <w:rPr>
          <w:noProof/>
        </w:rPr>
        <w:t>2.</w:t>
      </w:r>
      <w:r w:rsidRPr="00C51514">
        <w:rPr>
          <w:noProof/>
        </w:rPr>
        <w:tab/>
        <w:t>ÕIGUSLIK ALUS, SUBSIDIAARSUS JA PROPORTSIONAALSUS</w:t>
      </w:r>
    </w:p>
    <w:p w14:paraId="74F5F30D" w14:textId="77777777" w:rsidR="004523CB" w:rsidRPr="00C51514" w:rsidRDefault="004523CB" w:rsidP="00A4693B">
      <w:pPr>
        <w:pStyle w:val="ManualHeading2"/>
        <w:rPr>
          <w:rFonts w:eastAsia="Arial Unicode MS"/>
          <w:noProof/>
          <w:u w:color="000000"/>
          <w:bdr w:val="nil"/>
        </w:rPr>
      </w:pPr>
      <w:r w:rsidRPr="00C51514">
        <w:rPr>
          <w:noProof/>
          <w:u w:color="000000"/>
          <w:bdr w:val="nil"/>
        </w:rPr>
        <w:t>•</w:t>
      </w:r>
      <w:r w:rsidRPr="00C51514">
        <w:rPr>
          <w:noProof/>
        </w:rPr>
        <w:tab/>
      </w:r>
      <w:r w:rsidRPr="00C51514">
        <w:rPr>
          <w:noProof/>
          <w:u w:color="000000"/>
          <w:bdr w:val="nil"/>
        </w:rPr>
        <w:t>Õiguslik alus</w:t>
      </w:r>
    </w:p>
    <w:p w14:paraId="1A7A32CF" w14:textId="10EA63CF" w:rsidR="004523CB" w:rsidRPr="00C51514" w:rsidRDefault="00A725BD" w:rsidP="00550536">
      <w:pPr>
        <w:pBdr>
          <w:top w:val="nil"/>
          <w:left w:val="nil"/>
          <w:bottom w:val="nil"/>
          <w:right w:val="nil"/>
          <w:between w:val="nil"/>
          <w:bar w:val="nil"/>
        </w:pBdr>
        <w:spacing w:before="0" w:after="240"/>
        <w:rPr>
          <w:rFonts w:eastAsia="Arial Unicode MS"/>
          <w:noProof/>
        </w:rPr>
      </w:pPr>
      <w:r w:rsidRPr="00C51514">
        <w:rPr>
          <w:noProof/>
        </w:rPr>
        <w:t>Käibemaksudirektiivi artikkel 395.</w:t>
      </w:r>
    </w:p>
    <w:p w14:paraId="4941B558" w14:textId="77777777" w:rsidR="004523CB" w:rsidRPr="00C51514" w:rsidRDefault="004523CB" w:rsidP="00A4693B">
      <w:pPr>
        <w:pStyle w:val="ManualHeading2"/>
        <w:rPr>
          <w:rFonts w:eastAsia="Arial Unicode MS"/>
          <w:noProof/>
          <w:u w:color="000000"/>
          <w:bdr w:val="nil"/>
        </w:rPr>
      </w:pPr>
      <w:r w:rsidRPr="00C51514">
        <w:rPr>
          <w:noProof/>
          <w:u w:color="000000"/>
          <w:bdr w:val="nil"/>
        </w:rPr>
        <w:t>•</w:t>
      </w:r>
      <w:r w:rsidRPr="00C51514">
        <w:rPr>
          <w:noProof/>
        </w:rPr>
        <w:tab/>
      </w:r>
      <w:r w:rsidRPr="00C51514">
        <w:rPr>
          <w:noProof/>
          <w:u w:color="000000"/>
          <w:bdr w:val="nil"/>
        </w:rPr>
        <w:t xml:space="preserve">Subsidiaarsus (ainupädevusse mittekuuluva valdkonna puhul) </w:t>
      </w:r>
    </w:p>
    <w:p w14:paraId="178ADA05" w14:textId="77777777" w:rsidR="00A725BD" w:rsidRPr="00C51514" w:rsidRDefault="00A725BD" w:rsidP="00A725BD">
      <w:pPr>
        <w:pBdr>
          <w:top w:val="nil"/>
          <w:left w:val="nil"/>
          <w:bottom w:val="nil"/>
          <w:right w:val="nil"/>
          <w:between w:val="nil"/>
          <w:bar w:val="nil"/>
        </w:pBdr>
        <w:spacing w:before="0" w:after="240"/>
        <w:rPr>
          <w:rFonts w:eastAsia="Arial Unicode MS"/>
          <w:noProof/>
        </w:rPr>
      </w:pPr>
      <w:r w:rsidRPr="00C51514">
        <w:rPr>
          <w:noProof/>
        </w:rPr>
        <w:t>Ettepaneku aluseks olevat käibemaksudirektiivi sätet arvesse võttes subsidiaarsuse põhimõtet ei kohaldata.</w:t>
      </w:r>
    </w:p>
    <w:p w14:paraId="5130CD4D" w14:textId="77777777" w:rsidR="004523CB" w:rsidRPr="00C51514" w:rsidRDefault="004523CB" w:rsidP="00A4693B">
      <w:pPr>
        <w:pStyle w:val="ManualHeading2"/>
        <w:rPr>
          <w:rFonts w:eastAsia="Arial Unicode MS"/>
          <w:noProof/>
          <w:u w:color="000000"/>
          <w:bdr w:val="nil"/>
        </w:rPr>
      </w:pPr>
      <w:r w:rsidRPr="00C51514">
        <w:rPr>
          <w:noProof/>
          <w:u w:color="000000"/>
          <w:bdr w:val="nil"/>
        </w:rPr>
        <w:t>•</w:t>
      </w:r>
      <w:r w:rsidRPr="00C51514">
        <w:rPr>
          <w:noProof/>
        </w:rPr>
        <w:tab/>
      </w:r>
      <w:r w:rsidRPr="00C51514">
        <w:rPr>
          <w:noProof/>
          <w:u w:color="000000"/>
          <w:bdr w:val="nil"/>
        </w:rPr>
        <w:t>Proportsionaalsus</w:t>
      </w:r>
    </w:p>
    <w:p w14:paraId="7E39FA05" w14:textId="77777777" w:rsidR="00A725BD" w:rsidRPr="00C51514" w:rsidRDefault="00A725BD" w:rsidP="00A725BD">
      <w:pPr>
        <w:rPr>
          <w:noProof/>
          <w:color w:val="000000"/>
        </w:rPr>
      </w:pPr>
      <w:r w:rsidRPr="00C51514">
        <w:rPr>
          <w:noProof/>
          <w:color w:val="000000"/>
        </w:rPr>
        <w:t xml:space="preserve">Ettepanek on proportsionaalsuse põhimõttega kooskõlas järgmistel põhjustel. </w:t>
      </w:r>
    </w:p>
    <w:p w14:paraId="113986DC" w14:textId="77777777" w:rsidR="00A725BD" w:rsidRPr="00C51514" w:rsidRDefault="00A725BD" w:rsidP="00A725BD">
      <w:pPr>
        <w:rPr>
          <w:noProof/>
          <w:color w:val="000000"/>
        </w:rPr>
      </w:pPr>
      <w:r w:rsidRPr="00C51514">
        <w:rPr>
          <w:noProof/>
          <w:color w:val="000000"/>
        </w:rPr>
        <w:t xml:space="preserve">Otsus käsitleb liikmesriigile tema enda taotlusel antud luba ja sellega ei määrata mingeid kohustusi. </w:t>
      </w:r>
    </w:p>
    <w:p w14:paraId="09E23452" w14:textId="03F6D832" w:rsidR="0049500C" w:rsidRPr="00C51514" w:rsidRDefault="0049500C" w:rsidP="00A725BD">
      <w:pPr>
        <w:rPr>
          <w:noProof/>
          <w:color w:val="000000" w:themeColor="text1"/>
        </w:rPr>
      </w:pPr>
      <w:r w:rsidRPr="00C51514">
        <w:rPr>
          <w:noProof/>
          <w:color w:val="000000"/>
        </w:rPr>
        <w:t>Ajaliselt piiratud ning teatavate kaubatarnete ja teenuste kohta kehtiv erand on ette nähtud kohaldamiseks sektorites, kus on palju probleeme maksupettustega.</w:t>
      </w:r>
    </w:p>
    <w:p w14:paraId="16F99B41" w14:textId="75A2574C" w:rsidR="0049500C" w:rsidRPr="00C51514" w:rsidRDefault="00A725BD" w:rsidP="0049500C">
      <w:pPr>
        <w:rPr>
          <w:noProof/>
          <w:color w:val="000000"/>
        </w:rPr>
      </w:pPr>
      <w:r w:rsidRPr="00C51514">
        <w:rPr>
          <w:noProof/>
        </w:rPr>
        <w:t>Arvestades erandi laia kohaldamisala, peab Poola juhul, kui ta taotleb erimeetme kohaldamise pikendamist, esitama aruande meetme toimimise ning käibemaksupettuste tasemele ja maksukohustuslastele avalduva mõju kohta (seoses käibemaksutagastuste, halduskoormuse, maksukohustuslastele tekkivate kuludega jne).</w:t>
      </w:r>
      <w:r w:rsidRPr="00C51514">
        <w:rPr>
          <w:noProof/>
          <w:color w:val="000000"/>
        </w:rPr>
        <w:t xml:space="preserve"> </w:t>
      </w:r>
    </w:p>
    <w:p w14:paraId="4E85E527" w14:textId="1A9871EB" w:rsidR="004523CB" w:rsidRPr="00C51514" w:rsidRDefault="0049500C" w:rsidP="00A725BD">
      <w:pPr>
        <w:pBdr>
          <w:top w:val="nil"/>
          <w:left w:val="nil"/>
          <w:bottom w:val="nil"/>
          <w:right w:val="nil"/>
          <w:between w:val="nil"/>
          <w:bar w:val="nil"/>
        </w:pBdr>
        <w:spacing w:before="0" w:after="240"/>
        <w:rPr>
          <w:rFonts w:eastAsia="Arial Unicode MS"/>
          <w:noProof/>
        </w:rPr>
      </w:pPr>
      <w:r w:rsidRPr="00C51514">
        <w:rPr>
          <w:noProof/>
          <w:color w:val="000000"/>
        </w:rPr>
        <w:t>Seega on erimeede proportsionaalne taotletava eesmärgiga, milleks on ennetada maksudest kõrvalehoidmist ja lihtsustada maksude kogumist.</w:t>
      </w:r>
    </w:p>
    <w:p w14:paraId="01B4E3AF" w14:textId="77777777" w:rsidR="004523CB" w:rsidRPr="00C51514" w:rsidRDefault="004523CB" w:rsidP="00A4693B">
      <w:pPr>
        <w:pStyle w:val="ManualHeading2"/>
        <w:rPr>
          <w:rFonts w:eastAsia="Arial Unicode MS"/>
          <w:noProof/>
          <w:u w:color="000000"/>
          <w:bdr w:val="nil"/>
        </w:rPr>
      </w:pPr>
      <w:r w:rsidRPr="00C51514">
        <w:rPr>
          <w:noProof/>
          <w:u w:color="000000"/>
          <w:bdr w:val="nil"/>
        </w:rPr>
        <w:t>•</w:t>
      </w:r>
      <w:r w:rsidRPr="00C51514">
        <w:rPr>
          <w:noProof/>
        </w:rPr>
        <w:tab/>
      </w:r>
      <w:r w:rsidRPr="00C51514">
        <w:rPr>
          <w:noProof/>
          <w:u w:color="000000"/>
          <w:bdr w:val="nil"/>
        </w:rPr>
        <w:t>Vahendi valik</w:t>
      </w:r>
    </w:p>
    <w:p w14:paraId="0A92F657" w14:textId="77777777" w:rsidR="00A725BD" w:rsidRPr="00C51514" w:rsidRDefault="00A725BD" w:rsidP="00A725BD">
      <w:pPr>
        <w:pBdr>
          <w:top w:val="nil"/>
          <w:left w:val="nil"/>
          <w:bottom w:val="nil"/>
          <w:right w:val="nil"/>
          <w:between w:val="nil"/>
          <w:bar w:val="nil"/>
        </w:pBdr>
        <w:spacing w:before="0" w:after="240"/>
        <w:rPr>
          <w:noProof/>
        </w:rPr>
      </w:pPr>
      <w:r w:rsidRPr="00C51514">
        <w:rPr>
          <w:noProof/>
        </w:rPr>
        <w:t xml:space="preserve">Kavandatav vahend: nõukogu rakendusotsus. </w:t>
      </w:r>
    </w:p>
    <w:p w14:paraId="43011516" w14:textId="77777777" w:rsidR="00A725BD" w:rsidRPr="00C51514" w:rsidRDefault="00A725BD" w:rsidP="00A725BD">
      <w:pPr>
        <w:pBdr>
          <w:top w:val="nil"/>
          <w:left w:val="nil"/>
          <w:bottom w:val="nil"/>
          <w:right w:val="nil"/>
          <w:between w:val="nil"/>
          <w:bar w:val="nil"/>
        </w:pBdr>
        <w:spacing w:before="0" w:after="240"/>
        <w:rPr>
          <w:noProof/>
        </w:rPr>
      </w:pPr>
      <w:r w:rsidRPr="00C51514">
        <w:rPr>
          <w:noProof/>
        </w:rPr>
        <w:t xml:space="preserve">Käibemaksudirektiivi artikli 395 kohaselt on erandi tegemine ühistest käibemaksueeskirjadest võimalik vaid komisjoni ettepaneku põhjal nõukogus ühehäälselt antud loa alusel. Nõukogu rakendusotsus on kõige sobivam õigusakt, sest selle saab adresseerida konkreetsele liikmesriigile. </w:t>
      </w:r>
    </w:p>
    <w:p w14:paraId="00642379" w14:textId="77777777" w:rsidR="004523CB" w:rsidRPr="00C51514" w:rsidRDefault="004523CB" w:rsidP="00550536">
      <w:pPr>
        <w:pStyle w:val="ManualHeading1"/>
        <w:rPr>
          <w:noProof/>
        </w:rPr>
      </w:pPr>
      <w:r w:rsidRPr="00C51514">
        <w:rPr>
          <w:noProof/>
        </w:rPr>
        <w:t>3.</w:t>
      </w:r>
      <w:r w:rsidRPr="00C51514">
        <w:rPr>
          <w:noProof/>
        </w:rPr>
        <w:tab/>
        <w:t>JÄRELHINDAMISE, SIDUSRÜHMADEGA KONSULTEERIMISE JA MÕJU HINDAMISE TULEMUSED</w:t>
      </w:r>
    </w:p>
    <w:p w14:paraId="20F0EB1D" w14:textId="5AFA5D35" w:rsidR="004523CB" w:rsidRPr="00C51514" w:rsidRDefault="004523CB" w:rsidP="00A725BD">
      <w:pPr>
        <w:pStyle w:val="ManualHeading2"/>
        <w:rPr>
          <w:rFonts w:eastAsia="Arial Unicode MS"/>
          <w:noProof/>
        </w:rPr>
      </w:pPr>
      <w:r w:rsidRPr="00C51514">
        <w:rPr>
          <w:noProof/>
        </w:rPr>
        <w:tab/>
      </w:r>
    </w:p>
    <w:p w14:paraId="55787619" w14:textId="77777777" w:rsidR="004523CB" w:rsidRPr="00C51514" w:rsidRDefault="004523CB" w:rsidP="00A4693B">
      <w:pPr>
        <w:pStyle w:val="ManualHeading2"/>
        <w:rPr>
          <w:rFonts w:eastAsia="Arial Unicode MS"/>
          <w:noProof/>
          <w:u w:color="000000"/>
          <w:bdr w:val="nil"/>
        </w:rPr>
      </w:pPr>
      <w:r w:rsidRPr="00C51514">
        <w:rPr>
          <w:noProof/>
          <w:u w:color="000000"/>
          <w:bdr w:val="nil"/>
        </w:rPr>
        <w:t>•</w:t>
      </w:r>
      <w:r w:rsidRPr="00C51514">
        <w:rPr>
          <w:noProof/>
        </w:rPr>
        <w:tab/>
      </w:r>
      <w:r w:rsidRPr="00C51514">
        <w:rPr>
          <w:noProof/>
          <w:u w:color="000000"/>
          <w:bdr w:val="nil"/>
        </w:rPr>
        <w:t>Konsulteerimine sidusrühmadega</w:t>
      </w:r>
    </w:p>
    <w:p w14:paraId="7F54010B" w14:textId="1C956BAB" w:rsidR="004523CB" w:rsidRPr="00C51514" w:rsidRDefault="00A725BD" w:rsidP="00A038AE">
      <w:pPr>
        <w:spacing w:before="0" w:after="240"/>
        <w:rPr>
          <w:rFonts w:eastAsia="Arial Unicode MS"/>
          <w:noProof/>
        </w:rPr>
      </w:pPr>
      <w:r w:rsidRPr="00C51514">
        <w:rPr>
          <w:noProof/>
        </w:rPr>
        <w:t>Käesolev ettepanek põhineb Poola esitatud taotlusel ja käsitleb ainult seda liikmesriiki.</w:t>
      </w:r>
    </w:p>
    <w:p w14:paraId="54B908AB" w14:textId="77777777" w:rsidR="004523CB" w:rsidRPr="00C51514" w:rsidRDefault="004523CB" w:rsidP="00A4693B">
      <w:pPr>
        <w:pStyle w:val="ManualHeading2"/>
        <w:rPr>
          <w:rFonts w:eastAsia="Arial Unicode MS"/>
          <w:noProof/>
          <w:u w:color="000000"/>
          <w:bdr w:val="nil"/>
        </w:rPr>
      </w:pPr>
      <w:r w:rsidRPr="00C51514">
        <w:rPr>
          <w:noProof/>
          <w:u w:color="000000"/>
          <w:bdr w:val="nil"/>
        </w:rPr>
        <w:t>•</w:t>
      </w:r>
      <w:r w:rsidRPr="00C51514">
        <w:rPr>
          <w:noProof/>
        </w:rPr>
        <w:tab/>
      </w:r>
      <w:r w:rsidRPr="00C51514">
        <w:rPr>
          <w:noProof/>
          <w:u w:color="000000"/>
          <w:bdr w:val="nil"/>
        </w:rPr>
        <w:t>Eksperdiarvamuste kogumine ja kasutamine</w:t>
      </w:r>
    </w:p>
    <w:p w14:paraId="4695E8EF" w14:textId="3258DEA6" w:rsidR="004523CB" w:rsidRPr="00C51514" w:rsidRDefault="00A725BD" w:rsidP="00A038AE">
      <w:pPr>
        <w:spacing w:before="0" w:after="240"/>
        <w:rPr>
          <w:rFonts w:eastAsia="Arial Unicode MS"/>
          <w:noProof/>
        </w:rPr>
      </w:pPr>
      <w:r w:rsidRPr="00C51514">
        <w:rPr>
          <w:noProof/>
        </w:rPr>
        <w:t>Välisekspertide arvamusi ei olnud vaja kasutada.</w:t>
      </w:r>
    </w:p>
    <w:p w14:paraId="00160267" w14:textId="77777777" w:rsidR="004523CB" w:rsidRPr="00C51514" w:rsidRDefault="004523CB" w:rsidP="00A4693B">
      <w:pPr>
        <w:pStyle w:val="ManualHeading2"/>
        <w:rPr>
          <w:rFonts w:eastAsia="Arial Unicode MS"/>
          <w:noProof/>
          <w:u w:color="000000"/>
          <w:bdr w:val="nil"/>
        </w:rPr>
      </w:pPr>
      <w:r w:rsidRPr="00C51514">
        <w:rPr>
          <w:noProof/>
          <w:u w:color="000000"/>
          <w:bdr w:val="nil"/>
        </w:rPr>
        <w:t>•</w:t>
      </w:r>
      <w:r w:rsidRPr="00C51514">
        <w:rPr>
          <w:noProof/>
        </w:rPr>
        <w:tab/>
      </w:r>
      <w:r w:rsidRPr="00C51514">
        <w:rPr>
          <w:noProof/>
          <w:u w:color="000000"/>
          <w:bdr w:val="nil"/>
        </w:rPr>
        <w:t>Mõjuhinnang</w:t>
      </w:r>
    </w:p>
    <w:p w14:paraId="1F4D91EA" w14:textId="43B4536C" w:rsidR="005261C7" w:rsidRPr="00C51514" w:rsidRDefault="005261C7" w:rsidP="005261C7">
      <w:pPr>
        <w:rPr>
          <w:noProof/>
        </w:rPr>
      </w:pPr>
      <w:r w:rsidRPr="00C51514">
        <w:rPr>
          <w:noProof/>
        </w:rPr>
        <w:t>Nõukogu rakendusotsuse ettepanekuga lubatakse Poolal teha erand käibemaksudirektiivi artiklist 226 ja kehtestada kohustuslik jagatud maksmise mehhanism käibemaksu tasumiseks teatavate kaubatarnete ja teenuste osutamise pealt.</w:t>
      </w:r>
    </w:p>
    <w:p w14:paraId="3EDF0706" w14:textId="42465592" w:rsidR="007A61A8" w:rsidRPr="00C51514" w:rsidRDefault="00B55CD2" w:rsidP="00B55CD2">
      <w:pPr>
        <w:pBdr>
          <w:top w:val="nil"/>
          <w:left w:val="nil"/>
          <w:bottom w:val="nil"/>
          <w:right w:val="nil"/>
          <w:between w:val="nil"/>
          <w:bar w:val="nil"/>
        </w:pBdr>
        <w:spacing w:before="0" w:after="240"/>
        <w:rPr>
          <w:noProof/>
        </w:rPr>
      </w:pPr>
      <w:r w:rsidRPr="00C51514">
        <w:rPr>
          <w:noProof/>
        </w:rPr>
        <w:t xml:space="preserve">Poola pidi otsuse 2019/310 artikli 2 kohaselt esitama komisjonile aruande kohustusliku jagatud maksmise mehhanismi üldisest mõjust käibemaksupettuste tasemele ja asjaomastele maksukohustuslastele 18 kuu jooksul pärast otsuse artiklis 1 osutatud meetme jõustumist. Kuna seda meedet kohaldatakse alates 1. novembrist 2019, esitati kõnealune aruanne komisjonile 29. aprillil 2021 ja komisjon registreeris selle 5. mail 2021. </w:t>
      </w:r>
    </w:p>
    <w:p w14:paraId="548D645B" w14:textId="654701B3" w:rsidR="005261C7" w:rsidRPr="00C51514" w:rsidRDefault="005261C7" w:rsidP="005261C7">
      <w:pPr>
        <w:pBdr>
          <w:top w:val="nil"/>
          <w:left w:val="nil"/>
          <w:bottom w:val="nil"/>
          <w:right w:val="nil"/>
          <w:between w:val="nil"/>
          <w:bar w:val="nil"/>
        </w:pBdr>
        <w:spacing w:before="0" w:after="240"/>
        <w:rPr>
          <w:noProof/>
        </w:rPr>
      </w:pPr>
      <w:r w:rsidRPr="00C51514">
        <w:rPr>
          <w:noProof/>
        </w:rPr>
        <w:t>Poola hinnang kohustusliku jagatud maksmise mehhanismi toimimisele näitab eelkõige seda, et meede täiendab muid põhimeetmeid, mille eesmärk on vähendada maksudest kõrvalehoidmist</w:t>
      </w:r>
      <w:r w:rsidRPr="00C51514">
        <w:rPr>
          <w:rStyle w:val="FootnoteReference"/>
          <w:noProof/>
        </w:rPr>
        <w:footnoteReference w:id="4"/>
      </w:r>
      <w:r w:rsidRPr="00C51514">
        <w:rPr>
          <w:noProof/>
        </w:rPr>
        <w:t>. Lisaks kohustuslikule jagatud maksmise mehhanismile rakendatud meetmed on aidanud vähendada käibemaksupettusi, sealhulgas karussellpettusi ja käibemaksu väljapressimisi. Poolas on käibemaksu alalaekumine märkimisväärselt vähenenud, langedes lühikese aja jooksul alla ELi keskmise. Vastavalt sotsiaal- ja majandusuuringute keskuse poolt Euroopa Komisjoni jaoks koostatud hinnangule vähenes see 2019. aastal ligikaudu 9,7 %-ni (0,2 protsendipunktine langus võrreldes 2018. aastaga),</w:t>
      </w:r>
      <w:r w:rsidRPr="00C51514">
        <w:rPr>
          <w:rStyle w:val="FootnoteReference"/>
          <w:noProof/>
        </w:rPr>
        <w:footnoteReference w:id="5"/>
      </w:r>
      <w:r w:rsidRPr="00C51514">
        <w:rPr>
          <w:noProof/>
        </w:rPr>
        <w:t xml:space="preserve"> samas kui 2017. aastal oli käibemaksu alalaekumine ligikaudu 14 %. Pandeemia põhjustatud majanduskriisi tõttu halvenes majandusolukord Poolas 2020. aastal märkimisväärselt ja tarbimisnõudlus vähenes. Rahandusministeeriumi esialgsetest hinnangutest, mis on lisatud riigi mitmeaastasesse rahastamiskavasse (2021–2024) nähtub siiski, et käibem</w:t>
      </w:r>
      <w:r w:rsidR="00FC7C72" w:rsidRPr="00C51514">
        <w:rPr>
          <w:noProof/>
        </w:rPr>
        <w:t>aksu alalaekumine vähenes 2020. </w:t>
      </w:r>
      <w:r w:rsidRPr="00C51514">
        <w:rPr>
          <w:noProof/>
        </w:rPr>
        <w:t>aastal majanduslangusest olenemata veel 1,3 protsendipunkti ning moodustas ligikaudu 10,8 % potentsiaalsest laekumisest.</w:t>
      </w:r>
    </w:p>
    <w:p w14:paraId="47ECC516" w14:textId="50DD7CE1" w:rsidR="00344B01" w:rsidRPr="00C51514" w:rsidRDefault="005261C7" w:rsidP="005261C7">
      <w:pPr>
        <w:rPr>
          <w:noProof/>
        </w:rPr>
      </w:pPr>
      <w:r w:rsidRPr="00C51514">
        <w:rPr>
          <w:noProof/>
        </w:rPr>
        <w:t>Maksukohustuslane ei saa kinnisel käibemaksukontol olevaid vahendeid käsutada muuks kui maksuhaldurile tasumisele kuuluva või tarnijatelt saadud arvetest tuleneva käibemaksu maksmiseks, mistõttu see mõjutab kaupleja rahavoogu. Olukorras, kus maksuhaldur tunnistab, et sisendkäibemaks ületab tasumisele kuuluvat käibemaksu, on Poolas ette nähtud kiirem menetlus sisendkäibemaksu ülejäägi tagasimaksmiseks, et vähendada ebasoodsat mõju. Maksukohustuslase taotluse korral makstakse raha tagasi 25 päeva jooksul alates maksudeklaratsiooni esitamise kuupäevast, ja mitte 60 päeva jooksul, nagu on ette nähtud tavamenetluses. Vabatahtliku jagatud maksmise mehhanismi rakendamise esialgses etapis (mis algas 1. juulil 2018) kulus maksuhalduril ühe taotluse menetlemiseks keskmiselt 27,56 päeva, samas kui 2020. aasta detsembris läks selleks vaid 15,90 päeva. See tähendab, et maksuhaldur menetleb vahendite vabastamise taotlusi üha tõhusamalt. See on eriti oluline praeguses COVID-19 pandeemiast mõjutatud olukorras nende ettevõtjate jaoks, kellel on probleeme püsiva rahalise likviidsusega.</w:t>
      </w:r>
    </w:p>
    <w:p w14:paraId="6547FC44" w14:textId="270A2EF0" w:rsidR="005261C7" w:rsidRPr="00C51514" w:rsidRDefault="005261C7" w:rsidP="005261C7">
      <w:pPr>
        <w:rPr>
          <w:noProof/>
        </w:rPr>
      </w:pPr>
      <w:r w:rsidRPr="00C51514">
        <w:rPr>
          <w:noProof/>
        </w:rPr>
        <w:t xml:space="preserve">Poola rõhutas samuti oma taotluses, et tõhusate ja õigeaegsete maksutagastuste tagamist peetakse esmatähtsaks. See kiirendab sisendkäibemaksu ülejäägi tagasimaksmist käibemaksukontole soodustingimustel maksimaalselt 25 päeva jooksul alates tasaarvelduse (maksudeklaratsiooni esitamise) kuupäevast. </w:t>
      </w:r>
    </w:p>
    <w:p w14:paraId="35487566" w14:textId="3F79B808" w:rsidR="00491481" w:rsidRPr="00C51514" w:rsidRDefault="00CD7ED5" w:rsidP="005261C7">
      <w:pPr>
        <w:pBdr>
          <w:top w:val="nil"/>
          <w:left w:val="nil"/>
          <w:bottom w:val="nil"/>
          <w:right w:val="nil"/>
          <w:between w:val="nil"/>
          <w:bar w:val="nil"/>
        </w:pBdr>
        <w:spacing w:before="0" w:after="240"/>
        <w:rPr>
          <w:noProof/>
        </w:rPr>
      </w:pPr>
      <w:r w:rsidRPr="00C51514">
        <w:rPr>
          <w:noProof/>
        </w:rPr>
        <w:t>Kohustuslik jagatud maksmise mehhanism kehtib ka nende tarnijate kohta, kelle asukoht ei ole Poolas, kuid kes tarnivad selliseid kaupu või osutavad selliseid teenuseid, mille suhtes kohaldatakse Poolas kohustuslikku jagatud maksmist. Sellistel kauplejatel peab olema Poola pangandusseadusele vastav pangakonto. Poola teatas komisjonile, et Poolas pangakonto avamise kohustusega ei kaasne mingeid lisakulusid kauplejatele, kelle asukoht ei ole Poolas, sest nendele maksukohustuslastele on Poolas pangakonto avamine ja pidamine tasuta. Nagu praegu, ei teki maksukohustuslastele, kelle asukoht ei ole Poolas, mingeid lisakulusid seoses kohustusega avada pangakonto Poolas ja pidada käibemaksukontot. Käibemaksuseadusega on ette nähtud hüvitiste erisüsteem juhuks, kui pangad võtavad sellistelt üksustelt tasu kõnealuste kontode pidamise eest. Sellisel juhul hüvitab tekkinud kulud välisriigi maksukohustuslase taotluse korral pädev maksuhaldur.</w:t>
      </w:r>
    </w:p>
    <w:p w14:paraId="1471E679" w14:textId="42F6CF3B" w:rsidR="0061439A" w:rsidRPr="00C51514" w:rsidRDefault="0061439A" w:rsidP="005261C7">
      <w:pPr>
        <w:pBdr>
          <w:top w:val="nil"/>
          <w:left w:val="nil"/>
          <w:bottom w:val="nil"/>
          <w:right w:val="nil"/>
          <w:between w:val="nil"/>
          <w:bar w:val="nil"/>
        </w:pBdr>
        <w:spacing w:before="0" w:after="240"/>
        <w:rPr>
          <w:noProof/>
        </w:rPr>
      </w:pPr>
      <w:r w:rsidRPr="00C51514">
        <w:rPr>
          <w:noProof/>
        </w:rPr>
        <w:t>Teine oluline eelis on see, et jagatud maksmise mehhanismi rakendavatele maksukohustuslastele ei saa üldjuhul määrata nn käibemaksusanktsiooni, mis kujutab endast suuremat käibemaksukohustust ja mille määrab maksuhaldur (võrdväärne 20 %, 30 % või 100 %-ga maksuhalduri kindlakstehtud summa ja maksukohustuslase poolt valesti deklareeritud algse summa vahest). Lisaks ei saa jagatud maksmise mehhanismi kohaldavalt ettevõtjalt nõuda kõrgema määraga viivist (võrdväärne 150 %-ga) käibemaksuvõlgadelt, mis on kogunenud aruandeperioodil, mille jooksul ta kasutas mehhanismi, et tasuda vähemalt 95 % oma ostuarvetest.</w:t>
      </w:r>
    </w:p>
    <w:p w14:paraId="2D4183FE" w14:textId="3B42B1E2" w:rsidR="0061439A" w:rsidRPr="00C51514" w:rsidRDefault="0061439A" w:rsidP="005261C7">
      <w:pPr>
        <w:pBdr>
          <w:top w:val="nil"/>
          <w:left w:val="nil"/>
          <w:bottom w:val="nil"/>
          <w:right w:val="nil"/>
          <w:between w:val="nil"/>
          <w:bar w:val="nil"/>
        </w:pBdr>
        <w:spacing w:before="0" w:after="240"/>
        <w:rPr>
          <w:noProof/>
        </w:rPr>
      </w:pPr>
      <w:r w:rsidRPr="00C51514">
        <w:rPr>
          <w:noProof/>
        </w:rPr>
        <w:t xml:space="preserve">Kõnealune nn allahindlus parandab jagatud maksmise mehhanismi rakendavate maksukohustuslaste rahalist likviidsust. See võimaldab vähendada käibemaksukohustuse summat juhul, kui see makstakse käibemaksukontolt täies ulatuses enne lõpliku makse kuupäeva. Allahindlussumma arvutatakse erivalemi alusel. Selline allahindlus ei tohiks mõjutada ebasoodsalt käibemaksust saadavaid liidu omavahendeid. </w:t>
      </w:r>
    </w:p>
    <w:p w14:paraId="174065A1" w14:textId="57443C67" w:rsidR="0061439A" w:rsidRPr="00C51514" w:rsidRDefault="0061439A" w:rsidP="005261C7">
      <w:pPr>
        <w:pBdr>
          <w:top w:val="nil"/>
          <w:left w:val="nil"/>
          <w:bottom w:val="nil"/>
          <w:right w:val="nil"/>
          <w:between w:val="nil"/>
          <w:bar w:val="nil"/>
        </w:pBdr>
        <w:spacing w:before="0" w:after="240"/>
        <w:rPr>
          <w:noProof/>
        </w:rPr>
      </w:pPr>
      <w:r w:rsidRPr="00C51514">
        <w:rPr>
          <w:noProof/>
        </w:rPr>
        <w:t xml:space="preserve">Enne erimeetme rakendamist algatati 2018. aastal käibemaksu väljapressimisega seotud õigusrikkumiste tõttu 3 507 menetlust ja 2019. aastal 3 389 menetlust (aastavõrdluses 118 menetlust vähem). 2020. aastal, kui kohustuslik jagatud maksmise mehhanism hakkas täies ulatuses toimima, oli selliseid menetlusi 2 973, st 416 vähem kui eelneval aastal. </w:t>
      </w:r>
    </w:p>
    <w:p w14:paraId="02135868" w14:textId="228F7D9B" w:rsidR="0061439A" w:rsidRPr="00C51514" w:rsidRDefault="0061439A" w:rsidP="005261C7">
      <w:pPr>
        <w:pBdr>
          <w:top w:val="nil"/>
          <w:left w:val="nil"/>
          <w:bottom w:val="nil"/>
          <w:right w:val="nil"/>
          <w:between w:val="nil"/>
          <w:bar w:val="nil"/>
        </w:pBdr>
        <w:spacing w:before="0" w:after="240"/>
        <w:rPr>
          <w:noProof/>
        </w:rPr>
      </w:pPr>
      <w:r w:rsidRPr="00C51514">
        <w:rPr>
          <w:noProof/>
        </w:rPr>
        <w:t>Enne kohustusliku jagatud maksmise mehhanismi jõustumist oli käibemaksu väljapressimistest eelarvele tekitatud kahju 2018. aastal 5 168 779 146 zlotti ja 2019. aastal 4 716 202 928 zlotti (aastavõrdluses vähenemine 452 576 218 zloti võrra). 2020. aastal oli eelarvekahju 3 533 646 348 zlotti, st 1 182 556 580 zlotti vähem kui eelneval aastal (peaaegu 25,1 % langus).</w:t>
      </w:r>
    </w:p>
    <w:p w14:paraId="73864B99" w14:textId="56D4B906" w:rsidR="00344B01" w:rsidRPr="00C51514" w:rsidRDefault="0061439A" w:rsidP="005261C7">
      <w:pPr>
        <w:pBdr>
          <w:top w:val="nil"/>
          <w:left w:val="nil"/>
          <w:bottom w:val="nil"/>
          <w:right w:val="nil"/>
          <w:between w:val="nil"/>
          <w:bar w:val="nil"/>
        </w:pBdr>
        <w:spacing w:before="0" w:after="240"/>
        <w:rPr>
          <w:noProof/>
        </w:rPr>
      </w:pPr>
      <w:r w:rsidRPr="00C51514">
        <w:rPr>
          <w:noProof/>
        </w:rPr>
        <w:t>Enne erandi rakendamist algatati 2018. aastal käibemaksu karussellpettustega seoses 558 menetlust ja 2019. aastal 277 menetlust (aastavõrdluses 281 menetlust vähem). 2020. aastal, mil kohaldati kohustuslikku jagatud maksmise mehhanismi, oli selliseid menetlusi 207, st 70 vähem kui eelneval aastal. Analüüsitud perioodil täheldati ka käibemaksu karussellpettuste tõttu eelarvele tekkinud kahju järkjärgulist vähenemist. Enne kohustusliku jagatud maksmise mehhanismi jõustumist oli see 2018. aastal 4 496 602 940 zlotti ja 2019. aastal 2 468 437 745 zlotti (aastavõrdluses vähenemine 2 028 165 195 zloti võrra). 2020. aastal oli see kahju 1 107 992 201 zlotti, st 1 360 445 544 zlotti vähem kui eelneval aastal (peaaegu 55,1 % langus).</w:t>
      </w:r>
    </w:p>
    <w:p w14:paraId="2C175816" w14:textId="4037D313" w:rsidR="004523CB" w:rsidRPr="00C51514" w:rsidRDefault="00344B01" w:rsidP="00597992">
      <w:pPr>
        <w:pBdr>
          <w:top w:val="nil"/>
          <w:left w:val="nil"/>
          <w:bottom w:val="nil"/>
          <w:right w:val="nil"/>
          <w:between w:val="nil"/>
          <w:bar w:val="nil"/>
        </w:pBdr>
        <w:spacing w:before="0" w:after="240"/>
        <w:rPr>
          <w:noProof/>
        </w:rPr>
      </w:pPr>
      <w:r w:rsidRPr="00C51514">
        <w:rPr>
          <w:noProof/>
        </w:rPr>
        <w:t>Käibemaksutulu oli 2019. aastal 180 891,8 miljonit zlotti (5 944,7 miljonit zlotti rohkem kui 2018. aastal). Esialgsed andmed riigieelarve täitmise kohta 2020. aastal näitavad, et vaatamata COVID-19 pandeemia levikule suurenes kaupade ja teenuste maksust saadud tulu võrreldes eelmiste aastatega. 2020. aastal oli käibemaksutulu 184 551,9 miljonit zlotti, mis on 3 660,1 miljoni zloti (2 %) võrra suurem kui 2019. aastal ja 9 604,8 miljoni zloti (5,5 %) võrra suurem kui 2018. aastal (174 947,1 miljonit zlotti).</w:t>
      </w:r>
    </w:p>
    <w:p w14:paraId="169AFDFD" w14:textId="77777777" w:rsidR="004523CB" w:rsidRPr="00C51514" w:rsidRDefault="004523CB" w:rsidP="00550536">
      <w:pPr>
        <w:pStyle w:val="ManualHeading1"/>
        <w:rPr>
          <w:noProof/>
        </w:rPr>
      </w:pPr>
      <w:r w:rsidRPr="00C51514">
        <w:rPr>
          <w:noProof/>
        </w:rPr>
        <w:t>4.</w:t>
      </w:r>
      <w:r w:rsidRPr="00C51514">
        <w:rPr>
          <w:noProof/>
        </w:rPr>
        <w:tab/>
        <w:t>MÕJU EELARVELE</w:t>
      </w:r>
    </w:p>
    <w:p w14:paraId="72AA6E94" w14:textId="21A4117C" w:rsidR="004523CB" w:rsidRPr="00C51514" w:rsidRDefault="00A725BD" w:rsidP="00A725BD">
      <w:pPr>
        <w:pBdr>
          <w:top w:val="nil"/>
          <w:left w:val="nil"/>
          <w:bottom w:val="nil"/>
          <w:right w:val="nil"/>
          <w:between w:val="nil"/>
          <w:bar w:val="nil"/>
        </w:pBdr>
        <w:spacing w:before="0" w:after="240"/>
        <w:rPr>
          <w:rFonts w:eastAsia="Arial Unicode MS"/>
          <w:noProof/>
        </w:rPr>
      </w:pPr>
      <w:r w:rsidRPr="00C51514">
        <w:rPr>
          <w:noProof/>
        </w:rPr>
        <w:t xml:space="preserve">Meede ei mõjuta ebasoodsalt käibemaksust saadavaid liidu omavahendeid. </w:t>
      </w:r>
    </w:p>
    <w:p w14:paraId="0F611296" w14:textId="77777777" w:rsidR="004523CB" w:rsidRPr="00C51514" w:rsidRDefault="004523CB" w:rsidP="00550536">
      <w:pPr>
        <w:pStyle w:val="ManualHeading1"/>
        <w:rPr>
          <w:noProof/>
        </w:rPr>
      </w:pPr>
      <w:r w:rsidRPr="00C51514">
        <w:rPr>
          <w:noProof/>
        </w:rPr>
        <w:t>5.</w:t>
      </w:r>
      <w:r w:rsidRPr="00C51514">
        <w:rPr>
          <w:noProof/>
        </w:rPr>
        <w:tab/>
        <w:t>MUU TEAVE</w:t>
      </w:r>
    </w:p>
    <w:p w14:paraId="1CD1058C" w14:textId="2E3F984A" w:rsidR="004523CB" w:rsidRPr="00B81AC0" w:rsidRDefault="00A725BD" w:rsidP="00576A6D">
      <w:pPr>
        <w:pBdr>
          <w:top w:val="nil"/>
          <w:left w:val="nil"/>
          <w:bottom w:val="nil"/>
          <w:right w:val="nil"/>
          <w:between w:val="nil"/>
          <w:bar w:val="nil"/>
        </w:pBdr>
        <w:spacing w:before="0" w:after="240"/>
      </w:pPr>
      <w:r w:rsidRPr="00C51514">
        <w:rPr>
          <w:noProof/>
        </w:rPr>
        <w:t xml:space="preserve">Ettepanek sisaldab aegumisklauslit; erandi kehtivus lõppeb automaatselt. </w:t>
      </w:r>
    </w:p>
    <w:p w14:paraId="19CE85A2" w14:textId="77777777" w:rsidR="004523CB" w:rsidRPr="00C51514" w:rsidRDefault="004523CB" w:rsidP="00D8676A">
      <w:pPr>
        <w:rPr>
          <w:noProof/>
        </w:rPr>
        <w:sectPr w:rsidR="004523CB" w:rsidRPr="00C51514" w:rsidSect="000D5FEA">
          <w:footerReference w:type="default" r:id="rId10"/>
          <w:footerReference w:type="first" r:id="rId11"/>
          <w:pgSz w:w="11907" w:h="16839"/>
          <w:pgMar w:top="1134" w:right="1417" w:bottom="1134" w:left="1417" w:header="709" w:footer="709" w:gutter="0"/>
          <w:cols w:space="708"/>
          <w:docGrid w:linePitch="360"/>
        </w:sectPr>
      </w:pPr>
    </w:p>
    <w:p w14:paraId="72878136" w14:textId="7C83504C" w:rsidR="002574A5" w:rsidRDefault="002574A5" w:rsidP="002574A5">
      <w:pPr>
        <w:pStyle w:val="Rfrenceinterinstitutionnelle"/>
        <w:rPr>
          <w:noProof/>
        </w:rPr>
      </w:pPr>
      <w:r w:rsidRPr="002574A5">
        <w:t>2022/0040 (NLE)</w:t>
      </w:r>
    </w:p>
    <w:p w14:paraId="22E94D0E" w14:textId="53B8C5C2" w:rsidR="004523CB" w:rsidRPr="00C51514" w:rsidRDefault="00FC7C72" w:rsidP="00FC7C72">
      <w:pPr>
        <w:pStyle w:val="Statut"/>
        <w:rPr>
          <w:noProof/>
        </w:rPr>
      </w:pPr>
      <w:r w:rsidRPr="00C51514">
        <w:rPr>
          <w:noProof/>
        </w:rPr>
        <w:t>Ettepanek:</w:t>
      </w:r>
    </w:p>
    <w:p w14:paraId="6B3DC436" w14:textId="4399C4EE" w:rsidR="004523CB" w:rsidRPr="00C51514" w:rsidRDefault="00FC7C72" w:rsidP="00FC7C72">
      <w:pPr>
        <w:pStyle w:val="Typedudocument"/>
        <w:rPr>
          <w:noProof/>
        </w:rPr>
      </w:pPr>
      <w:r w:rsidRPr="00C51514">
        <w:rPr>
          <w:noProof/>
        </w:rPr>
        <w:t>NÕUKOGU RAKENDUSOTSUS,</w:t>
      </w:r>
    </w:p>
    <w:p w14:paraId="3B9D3950" w14:textId="25CA59FD" w:rsidR="004523CB" w:rsidRPr="00C51514" w:rsidRDefault="00FC7C72" w:rsidP="00FC7C72">
      <w:pPr>
        <w:pStyle w:val="Titreobjet"/>
        <w:rPr>
          <w:noProof/>
        </w:rPr>
      </w:pPr>
      <w:r w:rsidRPr="00C51514">
        <w:rPr>
          <w:noProof/>
        </w:rPr>
        <w:t xml:space="preserve">millega muudetakse rakendusotsust (EL) 2019/310, millega antakse Poolale luba kehtestada erimeede, millega tehakse erand direktiivi 2006/112/EÜ (mis käsitleb ühist käibemaksusüsteemi) artiklist 226 </w:t>
      </w:r>
      <w:r w:rsidRPr="00C51514">
        <w:rPr>
          <w:noProof/>
        </w:rPr>
        <w:br/>
        <w:t xml:space="preserve"> </w:t>
      </w:r>
      <w:r w:rsidRPr="00C51514">
        <w:rPr>
          <w:noProof/>
        </w:rPr>
        <w:br/>
      </w:r>
    </w:p>
    <w:p w14:paraId="19AC88E8" w14:textId="77777777" w:rsidR="004523CB" w:rsidRPr="00C51514" w:rsidRDefault="004523CB" w:rsidP="00CE1658">
      <w:pPr>
        <w:pStyle w:val="Institutionquiagit"/>
        <w:rPr>
          <w:noProof/>
        </w:rPr>
      </w:pPr>
      <w:r w:rsidRPr="00C51514">
        <w:rPr>
          <w:noProof/>
        </w:rPr>
        <w:t>EUROOPA LIIDU NÕUKOGU,</w:t>
      </w:r>
    </w:p>
    <w:p w14:paraId="0B0CF3C4" w14:textId="77777777" w:rsidR="004523CB" w:rsidRPr="00C51514" w:rsidRDefault="004523CB" w:rsidP="00CE1658">
      <w:pPr>
        <w:rPr>
          <w:noProof/>
        </w:rPr>
      </w:pPr>
      <w:r w:rsidRPr="00C51514">
        <w:rPr>
          <w:noProof/>
        </w:rPr>
        <w:t xml:space="preserve">võttes arvesse Euroopa Liidu toimimise lepingut, </w:t>
      </w:r>
    </w:p>
    <w:p w14:paraId="0AF0649F" w14:textId="39B5AF44" w:rsidR="004523CB" w:rsidRPr="00C51514" w:rsidRDefault="004523CB" w:rsidP="00CE1658">
      <w:pPr>
        <w:rPr>
          <w:noProof/>
        </w:rPr>
      </w:pPr>
      <w:r w:rsidRPr="00C51514">
        <w:rPr>
          <w:noProof/>
        </w:rPr>
        <w:t>võttes arvesse nõukogu 28. novembri 2006. aasta direktiivi 2006/112/EÜ, mis käsitleb ühist käibemaksusüsteemi,</w:t>
      </w:r>
      <w:r w:rsidRPr="00C51514">
        <w:rPr>
          <w:rStyle w:val="FootnoteReference"/>
          <w:noProof/>
        </w:rPr>
        <w:footnoteReference w:id="6"/>
      </w:r>
      <w:r w:rsidRPr="00C51514">
        <w:rPr>
          <w:noProof/>
        </w:rPr>
        <w:t xml:space="preserve"> eriti selle artikli 395 lõiget 1,</w:t>
      </w:r>
    </w:p>
    <w:p w14:paraId="4350E700" w14:textId="77777777" w:rsidR="004523CB" w:rsidRPr="00C51514" w:rsidRDefault="004523CB" w:rsidP="00CE1658">
      <w:pPr>
        <w:rPr>
          <w:noProof/>
        </w:rPr>
      </w:pPr>
      <w:r w:rsidRPr="00C51514">
        <w:rPr>
          <w:noProof/>
        </w:rPr>
        <w:t>võttes arvesse Euroopa Komisjoni ettepanekut</w:t>
      </w:r>
    </w:p>
    <w:p w14:paraId="11BAD088" w14:textId="77777777" w:rsidR="004523CB" w:rsidRPr="00C51514" w:rsidRDefault="004523CB" w:rsidP="00CE1658">
      <w:pPr>
        <w:rPr>
          <w:noProof/>
        </w:rPr>
      </w:pPr>
      <w:r w:rsidRPr="00C51514">
        <w:rPr>
          <w:noProof/>
        </w:rPr>
        <w:t>ning arvestades järgmist:</w:t>
      </w:r>
    </w:p>
    <w:p w14:paraId="646A81B1" w14:textId="7348B4B3" w:rsidR="00597992" w:rsidRPr="00C51514" w:rsidRDefault="004C2D2D" w:rsidP="004C2D2D">
      <w:pPr>
        <w:pStyle w:val="ManualConsidrant"/>
        <w:rPr>
          <w:noProof/>
        </w:rPr>
      </w:pPr>
      <w:r w:rsidRPr="004C2D2D">
        <w:t>(1)</w:t>
      </w:r>
      <w:r w:rsidRPr="004C2D2D">
        <w:tab/>
      </w:r>
      <w:r w:rsidR="00597992" w:rsidRPr="00C51514">
        <w:rPr>
          <w:noProof/>
        </w:rPr>
        <w:t xml:space="preserve">Kirjas, mille komisjon registreeris 26. juulil 2021, taotles Poola luba jätkuvalt kohaldada erandit käibemaksudirektiivi artiklist 226 seoses arvetel käibemaksuga seotud teabe esitamise nõuetega ning kehtestada kohustuslik jagatud maksmise mehhanism pettusealdiste kaupade tarnete ja teenuste osutamise puhul, mille suhtes kohaldatakse Poolas enamasti pöördmaksustamist ja solidaarset vastutust. Poola taotles erimeetme kohaldamise pikendamist kolme aasta võrra, s.o 1. märtsist 2022 kuni 28. veebruarini 2025. </w:t>
      </w:r>
    </w:p>
    <w:p w14:paraId="15E2D805" w14:textId="00485DF2" w:rsidR="00597992" w:rsidRPr="00C51514" w:rsidRDefault="004C2D2D" w:rsidP="004C2D2D">
      <w:pPr>
        <w:pStyle w:val="ManualConsidrant"/>
        <w:rPr>
          <w:noProof/>
        </w:rPr>
      </w:pPr>
      <w:r w:rsidRPr="004C2D2D">
        <w:t>(2)</w:t>
      </w:r>
      <w:r w:rsidRPr="004C2D2D">
        <w:tab/>
      </w:r>
      <w:r w:rsidR="00597992" w:rsidRPr="00C51514">
        <w:rPr>
          <w:noProof/>
        </w:rPr>
        <w:t>Käibemaksudirektiivi artikli 395 lõike 2 kohaselt teavi</w:t>
      </w:r>
      <w:r w:rsidR="00FC7C72" w:rsidRPr="00C51514">
        <w:rPr>
          <w:noProof/>
        </w:rPr>
        <w:t>tas komisjon 27. oktoobri 2021. </w:t>
      </w:r>
      <w:r w:rsidR="00597992" w:rsidRPr="00C51514">
        <w:rPr>
          <w:noProof/>
        </w:rPr>
        <w:t>aasta kirjas teisi liikmesriike Poola taotlusest. 28. oktoobri 2021. aasta kirjas teatas komisjon Poolale, et ta on saanud kogu teabe, mida ta peab taotluse hindamiseks vajalikuks.</w:t>
      </w:r>
    </w:p>
    <w:p w14:paraId="712ECE84" w14:textId="5726A302" w:rsidR="00597992" w:rsidRPr="00C51514" w:rsidRDefault="004C2D2D" w:rsidP="004C2D2D">
      <w:pPr>
        <w:pStyle w:val="ManualConsidrant"/>
        <w:rPr>
          <w:noProof/>
        </w:rPr>
      </w:pPr>
      <w:r w:rsidRPr="004C2D2D">
        <w:t>(3)</w:t>
      </w:r>
      <w:r w:rsidRPr="004C2D2D">
        <w:tab/>
      </w:r>
      <w:r w:rsidR="00597992" w:rsidRPr="00C51514">
        <w:rPr>
          <w:noProof/>
        </w:rPr>
        <w:t>Poola esitas nõukogu rakendusotsuse (EL) 2019/310</w:t>
      </w:r>
      <w:r w:rsidR="00597992" w:rsidRPr="00C51514">
        <w:rPr>
          <w:rStyle w:val="FootnoteReference"/>
          <w:noProof/>
        </w:rPr>
        <w:footnoteReference w:id="7"/>
      </w:r>
      <w:r w:rsidR="00597992" w:rsidRPr="00C51514">
        <w:rPr>
          <w:noProof/>
        </w:rPr>
        <w:t xml:space="preserve"> art</w:t>
      </w:r>
      <w:r w:rsidR="00FC7C72" w:rsidRPr="00C51514">
        <w:rPr>
          <w:noProof/>
        </w:rPr>
        <w:t>ikli 2 kohaselt komisjonile 29. </w:t>
      </w:r>
      <w:r w:rsidR="00597992" w:rsidRPr="00C51514">
        <w:rPr>
          <w:noProof/>
        </w:rPr>
        <w:t>aprilli 2021. aasta kirjaga aruande meetme üldisest mõjust käibemaksupettuste tasemele ja asjaomastele maksukohustuslastele.</w:t>
      </w:r>
    </w:p>
    <w:p w14:paraId="359E5FB7" w14:textId="2FCFEF93" w:rsidR="00EC7845" w:rsidRPr="00C51514" w:rsidRDefault="004C2D2D" w:rsidP="004C2D2D">
      <w:pPr>
        <w:pStyle w:val="ManualConsidrant"/>
        <w:rPr>
          <w:noProof/>
        </w:rPr>
      </w:pPr>
      <w:r w:rsidRPr="004C2D2D">
        <w:t>(4)</w:t>
      </w:r>
      <w:r w:rsidRPr="004C2D2D">
        <w:tab/>
      </w:r>
      <w:r w:rsidR="00EC7845" w:rsidRPr="00C51514">
        <w:rPr>
          <w:noProof/>
        </w:rPr>
        <w:t xml:space="preserve">Ehkki Poola on võtnud pettuste vastu mitmesuguseid meetmeid (nt pöördmaksustamise ja kliendi solidaarse vastutuse kehtestamine, auditeerimise standardfaili kasutuselevõtt, rangemad reeglid käibemaksukohustuslasena registreerimiseks ja maksukohustuslaste registrist kustutamiseks, auditite hulga suurendamine jne), ei ole need meetmed Poola hinnangul käibemaksupettuste ärahoidmiseks siiski piisavad. </w:t>
      </w:r>
    </w:p>
    <w:p w14:paraId="6AC7F629" w14:textId="37E037F8" w:rsidR="00EC7845" w:rsidRPr="00C51514" w:rsidRDefault="004C2D2D" w:rsidP="004C2D2D">
      <w:pPr>
        <w:pStyle w:val="ManualConsidrant"/>
        <w:rPr>
          <w:noProof/>
        </w:rPr>
      </w:pPr>
      <w:r w:rsidRPr="004C2D2D">
        <w:t>(5)</w:t>
      </w:r>
      <w:r w:rsidRPr="004C2D2D">
        <w:tab/>
      </w:r>
      <w:r w:rsidR="00EC7845" w:rsidRPr="00C51514">
        <w:rPr>
          <w:noProof/>
        </w:rPr>
        <w:t xml:space="preserve">Poola võttis vabatahtliku jagatud maksmise mehhanismi kasutusele 1. juulil 2018 ja kohustusliku jagatud maksmise mehhanismi 1. märtsil 2019. </w:t>
      </w:r>
    </w:p>
    <w:p w14:paraId="0ACD24BE" w14:textId="4CD238F7" w:rsidR="00DE3F0A" w:rsidRPr="00C51514" w:rsidRDefault="004C2D2D" w:rsidP="004C2D2D">
      <w:pPr>
        <w:pStyle w:val="ManualConsidrant"/>
        <w:rPr>
          <w:noProof/>
        </w:rPr>
      </w:pPr>
      <w:r w:rsidRPr="004C2D2D">
        <w:t>(6)</w:t>
      </w:r>
      <w:r w:rsidRPr="004C2D2D">
        <w:tab/>
      </w:r>
      <w:r w:rsidR="00DE3F0A" w:rsidRPr="00C51514">
        <w:rPr>
          <w:noProof/>
        </w:rPr>
        <w:t>Erimeetme kohaldamisalasse kuuluvad kaubad ja teenused on loetletud lisas vastavalt Poola 2015. aasta kaupade ja teenuste liigitusele (PKWiU 2015), millega asendati alates 1. juulist 2020 Poola 2008. aasta kaupade ja teenuste liigitus (PKWiU 2008). 2015. aasta liigituses muudeti teatavate rakendusotsuse (EL) 2019/310 lisas loetletud kaupade ja teenuste statistilise liigituse sümboleid ning tehti nende nimetust</w:t>
      </w:r>
      <w:r w:rsidR="00C51514">
        <w:rPr>
          <w:noProof/>
        </w:rPr>
        <w:t xml:space="preserve">es redaktsioonilisi muudatusi. </w:t>
      </w:r>
      <w:r w:rsidR="00DE3F0A" w:rsidRPr="00C51514">
        <w:rPr>
          <w:noProof/>
        </w:rPr>
        <w:t xml:space="preserve">Seepärast tuleks seda lisa uuendada ja asendada see käesoleva otsuse lisaga. </w:t>
      </w:r>
    </w:p>
    <w:p w14:paraId="39A4EC4B" w14:textId="5E3C5D40" w:rsidR="00EC7845" w:rsidRPr="00C51514" w:rsidRDefault="004C2D2D" w:rsidP="004C2D2D">
      <w:pPr>
        <w:pStyle w:val="ManualConsidrant"/>
        <w:rPr>
          <w:noProof/>
        </w:rPr>
      </w:pPr>
      <w:r w:rsidRPr="004C2D2D">
        <w:t>(7)</w:t>
      </w:r>
      <w:r w:rsidRPr="004C2D2D">
        <w:tab/>
      </w:r>
      <w:r w:rsidR="00EC7845" w:rsidRPr="00C51514">
        <w:rPr>
          <w:noProof/>
        </w:rPr>
        <w:t>Kohustuslikku jagatud maksmise mudelit kohaldatakse jätkuvalt maksukohustuslaste, s.o ettevõtjatevaheliste tarnete suhtes, mis on seotud lisas loetletud kaupade ja teenustega, ning see hõlmab üksnes elektroonilisi pangaülekandeid. Kohustuslikku jagatud maksmise mehhanismi kohaldatakse jätkuvalt kõigi kauplejate, sealhulgas nende suhtes, kelle asukoht ei ole Poolas.</w:t>
      </w:r>
    </w:p>
    <w:p w14:paraId="5270154F" w14:textId="4499E03D" w:rsidR="008101C2" w:rsidRPr="00C51514" w:rsidRDefault="004C2D2D" w:rsidP="004C2D2D">
      <w:pPr>
        <w:pStyle w:val="ManualConsidrant"/>
        <w:rPr>
          <w:noProof/>
        </w:rPr>
      </w:pPr>
      <w:r w:rsidRPr="004C2D2D">
        <w:t>(8)</w:t>
      </w:r>
      <w:r w:rsidRPr="004C2D2D">
        <w:tab/>
      </w:r>
      <w:r w:rsidR="00EC7845" w:rsidRPr="00C51514">
        <w:rPr>
          <w:noProof/>
        </w:rPr>
        <w:t xml:space="preserve">Poola esitatud aruanne kinnitas, et pettusealdiste kaupade tarnete ja teenuste osutamise puhul annab kohustusliku jagatud maksmise mehhanismi rakendamine maksupettuste vastu võitlemisel häid tulemusi. </w:t>
      </w:r>
    </w:p>
    <w:p w14:paraId="7C6C7CE4" w14:textId="4D5B5A09" w:rsidR="00EC7845" w:rsidRPr="00C51514" w:rsidRDefault="004C2D2D" w:rsidP="004C2D2D">
      <w:pPr>
        <w:pStyle w:val="ManualConsidrant"/>
        <w:rPr>
          <w:noProof/>
        </w:rPr>
      </w:pPr>
      <w:r w:rsidRPr="004C2D2D">
        <w:t>(9)</w:t>
      </w:r>
      <w:r w:rsidRPr="004C2D2D">
        <w:tab/>
      </w:r>
      <w:r w:rsidR="008101C2" w:rsidRPr="00C51514">
        <w:rPr>
          <w:noProof/>
        </w:rPr>
        <w:t xml:space="preserve">Üldiselt lubatakse erandeid kohaldada piiratud aja jooksul, et oleks võimalik hinnata erimeetme asjakohasust ja tulemuslikkust. Seega tuleks erimeetme kehtivust pikendada kuni 28. veebruarini 2025. </w:t>
      </w:r>
    </w:p>
    <w:p w14:paraId="2FBBFC4C" w14:textId="56F342ED" w:rsidR="00937CC5" w:rsidRPr="00C51514" w:rsidRDefault="004C2D2D" w:rsidP="004C2D2D">
      <w:pPr>
        <w:pStyle w:val="ManualConsidrant"/>
        <w:rPr>
          <w:noProof/>
          <w:color w:val="000000"/>
        </w:rPr>
      </w:pPr>
      <w:r w:rsidRPr="004C2D2D">
        <w:t>(10)</w:t>
      </w:r>
      <w:r w:rsidRPr="004C2D2D">
        <w:tab/>
      </w:r>
      <w:r w:rsidR="00937CC5" w:rsidRPr="00C51514">
        <w:rPr>
          <w:noProof/>
        </w:rPr>
        <w:t>Arvestades erandi laia kohaldamisala, peab Poola juhul, kui ta taotleb erandi kohaldamise pikendamist, esitama aruande meetme toimimise ning käibemaksupettuste tasemele ja maksukohustuslastele avalduva mõju kohta (seoses käibemaksutagastuste, halduskoormuse, maksukohustuslastele tekkivate kuludega jne).</w:t>
      </w:r>
      <w:r w:rsidR="00937CC5" w:rsidRPr="00C51514">
        <w:rPr>
          <w:noProof/>
          <w:color w:val="000000"/>
        </w:rPr>
        <w:t xml:space="preserve"> </w:t>
      </w:r>
    </w:p>
    <w:p w14:paraId="1F44F0D4" w14:textId="0C027FF3" w:rsidR="00B23B6E" w:rsidRPr="00C51514" w:rsidRDefault="004C2D2D" w:rsidP="004C2D2D">
      <w:pPr>
        <w:pStyle w:val="ManualConsidrant"/>
        <w:rPr>
          <w:noProof/>
        </w:rPr>
      </w:pPr>
      <w:r w:rsidRPr="004C2D2D">
        <w:t>(11)</w:t>
      </w:r>
      <w:r w:rsidRPr="004C2D2D">
        <w:tab/>
      </w:r>
      <w:r w:rsidR="00937CC5" w:rsidRPr="00C51514">
        <w:rPr>
          <w:noProof/>
        </w:rPr>
        <w:t>Erimeetme kohaldamine ei mõjuta ebasoodsalt lõpptarbimise etapis kogutava maksutulu kogusummat ega käibemaksust saadavaid liidu omavahendeid.</w:t>
      </w:r>
    </w:p>
    <w:p w14:paraId="64A34B16" w14:textId="5ED427AA" w:rsidR="00937CC5" w:rsidRPr="00C51514" w:rsidRDefault="004C2D2D" w:rsidP="004C2D2D">
      <w:pPr>
        <w:pStyle w:val="ManualConsidrant"/>
        <w:rPr>
          <w:noProof/>
        </w:rPr>
      </w:pPr>
      <w:r w:rsidRPr="004C2D2D">
        <w:t>(12)</w:t>
      </w:r>
      <w:r w:rsidRPr="004C2D2D">
        <w:tab/>
      </w:r>
      <w:r w:rsidR="00B23B6E" w:rsidRPr="00C51514">
        <w:rPr>
          <w:noProof/>
        </w:rPr>
        <w:t>Seepärast tuleks rakendusotsust (EL) 2019/310 vastavalt muuta,</w:t>
      </w:r>
    </w:p>
    <w:p w14:paraId="6C50EB6E" w14:textId="77777777" w:rsidR="004523CB" w:rsidRPr="00C51514" w:rsidRDefault="004523CB" w:rsidP="00CE1658">
      <w:pPr>
        <w:pStyle w:val="Formuledadoption"/>
        <w:rPr>
          <w:noProof/>
        </w:rPr>
      </w:pPr>
      <w:r w:rsidRPr="00C51514">
        <w:rPr>
          <w:noProof/>
        </w:rPr>
        <w:t xml:space="preserve">ON VASTU VÕTNUD KÄESOLEVA OTSUSE: </w:t>
      </w:r>
    </w:p>
    <w:p w14:paraId="7764C0C9" w14:textId="77777777" w:rsidR="004523CB" w:rsidRPr="00C51514" w:rsidRDefault="004523CB" w:rsidP="00CE1658">
      <w:pPr>
        <w:pStyle w:val="Titrearticle"/>
        <w:rPr>
          <w:noProof/>
        </w:rPr>
      </w:pPr>
      <w:r w:rsidRPr="00C51514">
        <w:rPr>
          <w:noProof/>
        </w:rPr>
        <w:t>Artikkel 1</w:t>
      </w:r>
    </w:p>
    <w:p w14:paraId="1B7FD643" w14:textId="5B0EA81D" w:rsidR="00937CC5" w:rsidRPr="00C51514" w:rsidRDefault="00937CC5" w:rsidP="00937CC5">
      <w:pPr>
        <w:rPr>
          <w:noProof/>
        </w:rPr>
      </w:pPr>
      <w:r w:rsidRPr="00C51514">
        <w:rPr>
          <w:noProof/>
        </w:rPr>
        <w:t>Rakendusotsust (EL) 2019/310 muudetakse järgmiselt:</w:t>
      </w:r>
    </w:p>
    <w:p w14:paraId="6513B012" w14:textId="43520A48" w:rsidR="00937CC5" w:rsidRPr="00C51514" w:rsidRDefault="00F24015" w:rsidP="00937CC5">
      <w:pPr>
        <w:ind w:left="357"/>
        <w:rPr>
          <w:noProof/>
        </w:rPr>
      </w:pPr>
      <w:r w:rsidRPr="00C51514">
        <w:rPr>
          <w:noProof/>
        </w:rPr>
        <w:t>1) artikli 2 teine lõik asendatakse järgmisega:</w:t>
      </w:r>
    </w:p>
    <w:p w14:paraId="7C9EE912" w14:textId="71B0D087" w:rsidR="00F0233F" w:rsidRPr="00C51514" w:rsidRDefault="00F0233F" w:rsidP="00F24015">
      <w:pPr>
        <w:rPr>
          <w:noProof/>
        </w:rPr>
      </w:pPr>
      <w:r w:rsidRPr="00C51514">
        <w:rPr>
          <w:noProof/>
        </w:rPr>
        <w:t xml:space="preserve">„Kui Poola peab vajalikuks artiklis 1 osutatud meetme kehtivuse pikendamist, esitab ta komisjonile pikendustaotluse ning aruande meetme üldisest mõjust käibemaksupettuste tasemele ja asjaomastele maksukohustuslastele.“; </w:t>
      </w:r>
    </w:p>
    <w:p w14:paraId="6F44D986" w14:textId="6C83BA73" w:rsidR="004523CB" w:rsidRPr="00C51514" w:rsidRDefault="00F0233F" w:rsidP="00C51514">
      <w:pPr>
        <w:ind w:left="360"/>
        <w:rPr>
          <w:noProof/>
        </w:rPr>
      </w:pPr>
      <w:r w:rsidRPr="00C51514">
        <w:rPr>
          <w:noProof/>
        </w:rPr>
        <w:t>2)</w:t>
      </w:r>
      <w:r w:rsidRPr="00C51514">
        <w:rPr>
          <w:noProof/>
        </w:rPr>
        <w:tab/>
        <w:t>artiklis 3 asendatakse kuupäev „28. veebruarini 2022“ kuupäevaga „28. veebruarini 2025“;</w:t>
      </w:r>
    </w:p>
    <w:p w14:paraId="6CC38D8C" w14:textId="72F20A4F" w:rsidR="00DE3F0A" w:rsidRPr="00C51514" w:rsidRDefault="00DE3F0A" w:rsidP="00F0233F">
      <w:pPr>
        <w:rPr>
          <w:noProof/>
        </w:rPr>
      </w:pPr>
      <w:r w:rsidRPr="00C51514">
        <w:rPr>
          <w:noProof/>
        </w:rPr>
        <w:t xml:space="preserve">      3) lisa asendatakse käesoleva otsuse lisaga.</w:t>
      </w:r>
    </w:p>
    <w:p w14:paraId="3F59E948" w14:textId="13854F50" w:rsidR="004523CB" w:rsidRPr="00C51514" w:rsidRDefault="004523CB" w:rsidP="000D3D16">
      <w:pPr>
        <w:pStyle w:val="Titrearticle"/>
        <w:rPr>
          <w:noProof/>
        </w:rPr>
      </w:pPr>
      <w:r w:rsidRPr="00C51514">
        <w:rPr>
          <w:noProof/>
        </w:rPr>
        <w:t xml:space="preserve">Artikkel 2 </w:t>
      </w:r>
    </w:p>
    <w:p w14:paraId="41259C36" w14:textId="1DF9AD4D" w:rsidR="00F0233F" w:rsidRPr="00C51514" w:rsidRDefault="00F0233F" w:rsidP="000D3D16">
      <w:pPr>
        <w:keepNext/>
        <w:keepLines/>
        <w:rPr>
          <w:noProof/>
        </w:rPr>
      </w:pPr>
      <w:r w:rsidRPr="00C51514">
        <w:rPr>
          <w:noProof/>
        </w:rPr>
        <w:t>Käesolev otsus on adresseeritud Poola Vabariigile.</w:t>
      </w:r>
    </w:p>
    <w:p w14:paraId="04F5E702" w14:textId="6D7E6808" w:rsidR="004523CB" w:rsidRPr="00C51514" w:rsidRDefault="002E3333" w:rsidP="000D3D16">
      <w:pPr>
        <w:pStyle w:val="Fait"/>
        <w:rPr>
          <w:noProof/>
        </w:rPr>
      </w:pPr>
      <w:r w:rsidRPr="002E3333">
        <w:t>Brüssel,</w:t>
      </w:r>
    </w:p>
    <w:p w14:paraId="68ABE249" w14:textId="77777777" w:rsidR="004523CB" w:rsidRPr="00C51514" w:rsidRDefault="004523CB" w:rsidP="000D3D16">
      <w:pPr>
        <w:pStyle w:val="Institutionquisigne"/>
        <w:rPr>
          <w:noProof/>
        </w:rPr>
      </w:pPr>
      <w:r w:rsidRPr="00C51514">
        <w:rPr>
          <w:noProof/>
        </w:rPr>
        <w:tab/>
        <w:t>Nõukogu nimel</w:t>
      </w:r>
    </w:p>
    <w:p w14:paraId="2514EAF4" w14:textId="77777777" w:rsidR="004523CB" w:rsidRPr="00C51514" w:rsidRDefault="004523CB" w:rsidP="004523CB">
      <w:pPr>
        <w:pStyle w:val="Personnequisigne"/>
        <w:rPr>
          <w:noProof/>
        </w:rPr>
      </w:pPr>
      <w:r w:rsidRPr="00C51514">
        <w:rPr>
          <w:noProof/>
        </w:rPr>
        <w:tab/>
        <w:t>eesistuja</w:t>
      </w:r>
    </w:p>
    <w:sectPr w:rsidR="004523CB" w:rsidRPr="00C51514" w:rsidSect="000D5FEA">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1454C" w14:textId="77777777" w:rsidR="004523CB" w:rsidRDefault="004523CB" w:rsidP="004523CB">
      <w:pPr>
        <w:spacing w:before="0" w:after="0"/>
      </w:pPr>
      <w:r>
        <w:separator/>
      </w:r>
    </w:p>
  </w:endnote>
  <w:endnote w:type="continuationSeparator" w:id="0">
    <w:p w14:paraId="6E2E6BD6" w14:textId="77777777" w:rsidR="004523CB" w:rsidRDefault="004523CB" w:rsidP="004523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EBC6F" w14:textId="0D14C4F9" w:rsidR="00FC7C72" w:rsidRPr="000D5FEA" w:rsidRDefault="000D5FEA" w:rsidP="000D5FEA">
    <w:pPr>
      <w:pStyle w:val="Footer"/>
      <w:rPr>
        <w:rFonts w:ascii="Arial" w:hAnsi="Arial" w:cs="Arial"/>
        <w:b/>
        <w:sz w:val="48"/>
      </w:rPr>
    </w:pPr>
    <w:r w:rsidRPr="000D5FEA">
      <w:rPr>
        <w:rFonts w:ascii="Arial" w:hAnsi="Arial" w:cs="Arial"/>
        <w:b/>
        <w:sz w:val="48"/>
      </w:rPr>
      <w:t>ET</w:t>
    </w:r>
    <w:r w:rsidRPr="000D5FEA">
      <w:rPr>
        <w:rFonts w:ascii="Arial" w:hAnsi="Arial" w:cs="Arial"/>
        <w:b/>
        <w:sz w:val="48"/>
      </w:rPr>
      <w:tab/>
    </w:r>
    <w:r w:rsidRPr="000D5FEA">
      <w:rPr>
        <w:rFonts w:ascii="Arial" w:hAnsi="Arial" w:cs="Arial"/>
        <w:b/>
        <w:sz w:val="48"/>
      </w:rPr>
      <w:tab/>
    </w:r>
    <w:r w:rsidRPr="000D5FEA">
      <w:tab/>
    </w:r>
    <w:r w:rsidRPr="000D5FEA">
      <w:rPr>
        <w:rFonts w:ascii="Arial" w:hAnsi="Arial" w:cs="Arial"/>
        <w:b/>
        <w:sz w:val="48"/>
      </w:rPr>
      <w:t>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CF73" w14:textId="278C11E8" w:rsidR="000D5FEA" w:rsidRPr="000D5FEA" w:rsidRDefault="000D5FEA" w:rsidP="000D5FEA">
    <w:pPr>
      <w:pStyle w:val="Footer"/>
      <w:rPr>
        <w:rFonts w:ascii="Arial" w:hAnsi="Arial" w:cs="Arial"/>
        <w:b/>
        <w:sz w:val="48"/>
      </w:rPr>
    </w:pPr>
    <w:r w:rsidRPr="000D5FEA">
      <w:rPr>
        <w:rFonts w:ascii="Arial" w:hAnsi="Arial" w:cs="Arial"/>
        <w:b/>
        <w:sz w:val="48"/>
      </w:rPr>
      <w:t>ET</w:t>
    </w:r>
    <w:r w:rsidRPr="000D5FEA">
      <w:rPr>
        <w:rFonts w:ascii="Arial" w:hAnsi="Arial" w:cs="Arial"/>
        <w:b/>
        <w:sz w:val="48"/>
      </w:rPr>
      <w:tab/>
    </w:r>
    <w:r>
      <w:fldChar w:fldCharType="begin"/>
    </w:r>
    <w:r>
      <w:instrText xml:space="preserve"> PAGE  \* MERGEFORMAT </w:instrText>
    </w:r>
    <w:r>
      <w:fldChar w:fldCharType="separate"/>
    </w:r>
    <w:r w:rsidR="000D3D16">
      <w:rPr>
        <w:noProof/>
      </w:rPr>
      <w:t>9</w:t>
    </w:r>
    <w:r>
      <w:fldChar w:fldCharType="end"/>
    </w:r>
    <w:r>
      <w:tab/>
    </w:r>
    <w:r w:rsidRPr="000D5FEA">
      <w:tab/>
    </w:r>
    <w:r w:rsidRPr="000D5FEA">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955AE" w14:textId="77777777" w:rsidR="000D5FEA" w:rsidRPr="000D5FEA" w:rsidRDefault="000D5FEA" w:rsidP="000D5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CFD62" w14:textId="77777777" w:rsidR="004523CB" w:rsidRDefault="004523CB" w:rsidP="004523CB">
      <w:pPr>
        <w:spacing w:before="0" w:after="0"/>
      </w:pPr>
      <w:r>
        <w:separator/>
      </w:r>
    </w:p>
  </w:footnote>
  <w:footnote w:type="continuationSeparator" w:id="0">
    <w:p w14:paraId="3A0CFE3C" w14:textId="77777777" w:rsidR="004523CB" w:rsidRDefault="004523CB" w:rsidP="004523CB">
      <w:pPr>
        <w:spacing w:before="0" w:after="0"/>
      </w:pPr>
      <w:r>
        <w:continuationSeparator/>
      </w:r>
    </w:p>
  </w:footnote>
  <w:footnote w:id="1">
    <w:p w14:paraId="46B16BF3" w14:textId="635FAE3E" w:rsidR="00EC7845" w:rsidRPr="00EC7845" w:rsidRDefault="00EC7845">
      <w:pPr>
        <w:pStyle w:val="FootnoteText"/>
      </w:pPr>
      <w:r>
        <w:rPr>
          <w:rStyle w:val="FootnoteReference"/>
        </w:rPr>
        <w:footnoteRef/>
      </w:r>
      <w:r>
        <w:tab/>
        <w:t>Nõukogu 18. veebruari 2019. aasta rakendusotsus (EL) 2019/310, millega antakse Poolale luba kehtestada erimeede, millega tehakse erand direktiivi 2006/112/EÜ (mis käsitleb ühist käibemaksusüsteemi) artiklist 226 (ELT L 51, 22.2.2019, lk 19–27).</w:t>
      </w:r>
    </w:p>
  </w:footnote>
  <w:footnote w:id="2">
    <w:p w14:paraId="577E6C94" w14:textId="248461CA" w:rsidR="00224BB0" w:rsidRPr="00224BB0" w:rsidRDefault="00224BB0">
      <w:pPr>
        <w:pStyle w:val="FootnoteText"/>
      </w:pPr>
      <w:r>
        <w:rPr>
          <w:rStyle w:val="FootnoteReference"/>
        </w:rPr>
        <w:footnoteRef/>
      </w:r>
      <w:r>
        <w:tab/>
        <w:t>Kõige asjakohasemad seotud meetmed on</w:t>
      </w:r>
      <w:r w:rsidR="00C51514">
        <w:t xml:space="preserve"> ühtse auditi toimik (JPK_VAT);</w:t>
      </w:r>
      <w:r>
        <w:t xml:space="preserve"> elektrooniline rahavoogude analüüsimise süsteem (STIR); täpne ja usaldusväärne elektrooniline käibemaksumaksjate register (valge nimekiri); internetipõhiste kassaaparaatide süsteem jaemüügisektori jälgimiseks; uus käibemaksumäärade maatriks, mis lihtsustas vähendatud käibemaksumäärade kohaldamist ja suurendas maksukohustuslaste kindlustunnet käibemaksumäärade õige kohaldamise suhtes, kuna ette nähti siduv maksumäärateave, mis on maksukohustuslase taotluse korral</w:t>
      </w:r>
      <w:r w:rsidR="00FC7C72">
        <w:t xml:space="preserve"> väljastatav otsus, milles esi</w:t>
      </w:r>
      <w:r>
        <w:t>tatakse kaupade/teenuste õige maksumäär; tulusid haldava asutuse täiustatud meetodid suurandmete analüüsimiseks; tulude haldamise digitaliseerimine.</w:t>
      </w:r>
    </w:p>
  </w:footnote>
  <w:footnote w:id="3">
    <w:p w14:paraId="56AD6727" w14:textId="1C29203E" w:rsidR="00A725BD" w:rsidRPr="003B0907" w:rsidRDefault="00A725BD" w:rsidP="00CA5842">
      <w:pPr>
        <w:pStyle w:val="FootnoteText"/>
      </w:pPr>
      <w:r>
        <w:rPr>
          <w:rStyle w:val="FootnoteReference"/>
        </w:rPr>
        <w:footnoteRef/>
      </w:r>
      <w:r>
        <w:tab/>
      </w:r>
      <w:r w:rsidRPr="00C51514">
        <w:rPr>
          <w:rStyle w:val="FootnoteTextChar"/>
          <w:lang w:val="et-EE"/>
        </w:rPr>
        <w:t xml:space="preserve">Nõukogu 24. juuli 2020. aasta rakendusotsus (EL) 2020/1105, millega muudetakse rakendusotsust (EL) 2017/784, millega antakse Itaalia Vabariigile luba kohaldada erimeedet, millega tehakse erand direktiivi 2006/112/EÜ (mis käsitleb ühist käibemaksusüsteemi) artiklitest 206 ja 226 (ELT L 242, 28.7.2020, lk 4–6).  </w:t>
      </w:r>
    </w:p>
  </w:footnote>
  <w:footnote w:id="4">
    <w:p w14:paraId="72C6EAF6" w14:textId="668EE491" w:rsidR="005261C7" w:rsidRPr="005261C7" w:rsidRDefault="005261C7" w:rsidP="00017CA9">
      <w:pPr>
        <w:pStyle w:val="FootnoteText"/>
      </w:pPr>
      <w:r>
        <w:rPr>
          <w:rStyle w:val="FootnoteReference"/>
        </w:rPr>
        <w:footnoteRef/>
      </w:r>
      <w:r>
        <w:tab/>
        <w:t>Vt meetmete loetelu joonealuses märkuses 2.</w:t>
      </w:r>
    </w:p>
  </w:footnote>
  <w:footnote w:id="5">
    <w:p w14:paraId="6BABA943" w14:textId="1158919D" w:rsidR="00017CA9" w:rsidRPr="00017CA9" w:rsidRDefault="00017CA9">
      <w:pPr>
        <w:pStyle w:val="FootnoteText"/>
      </w:pPr>
      <w:r>
        <w:rPr>
          <w:rStyle w:val="FootnoteReference"/>
        </w:rPr>
        <w:footnoteRef/>
      </w:r>
      <w:r>
        <w:tab/>
        <w:t>Uuring ja aruanded käibemaksu alalaekumise kohta ELi 28 liikmesriigis. 2020. aasta lõpparuanne. Sotsiaal- ja majandusuuringute keskus (CASE) (projekti juht), september 2020.</w:t>
      </w:r>
    </w:p>
  </w:footnote>
  <w:footnote w:id="6">
    <w:p w14:paraId="42832DD7" w14:textId="7F1E105B" w:rsidR="004523CB" w:rsidRDefault="004523CB" w:rsidP="00CE1658">
      <w:pPr>
        <w:pStyle w:val="FootnoteText"/>
      </w:pPr>
      <w:r>
        <w:rPr>
          <w:rStyle w:val="FootnoteReference"/>
        </w:rPr>
        <w:footnoteRef/>
      </w:r>
      <w:r>
        <w:tab/>
        <w:t>ELT L 347, 11.12.2006, lk 1.</w:t>
      </w:r>
    </w:p>
  </w:footnote>
  <w:footnote w:id="7">
    <w:p w14:paraId="734ABD5A" w14:textId="0A22EB41" w:rsidR="00EC7845" w:rsidRPr="00EC7845" w:rsidRDefault="00EC7845">
      <w:pPr>
        <w:pStyle w:val="FootnoteText"/>
      </w:pPr>
      <w:r>
        <w:rPr>
          <w:rStyle w:val="FootnoteReference"/>
        </w:rPr>
        <w:footnoteRef/>
      </w:r>
      <w:r>
        <w:tab/>
        <w:t>Nõukogu 18. veebruari 2019. aasta rakendusotsus (EL) 2019/310, millega antakse Poolale luba kehtestada erimeede, millega tehakse erand direktiivi 2006/112/EÜ (mis käsitleb ühist käibemaksusüsteemi) artiklist 226 (ELT L 51, 22.2.2019, lk 19–27).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AF431A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58EE71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1004E1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DCABC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8805EB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38A8EE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E98B0F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2243F9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20"/>
  </w:num>
  <w:num w:numId="25">
    <w:abstractNumId w:val="20"/>
  </w:num>
  <w:num w:numId="26">
    <w:abstractNumId w:val="20"/>
  </w:num>
  <w:num w:numId="27">
    <w:abstractNumId w:val="14"/>
  </w:num>
  <w:num w:numId="28">
    <w:abstractNumId w:val="9"/>
  </w:num>
  <w:num w:numId="29">
    <w:abstractNumId w:val="9"/>
  </w:num>
  <w:num w:numId="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21 21:20:3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42D2724-3CEC-4089-98DE-B8A3591A3D5D"/>
    <w:docVar w:name="LW_COVERPAGE_TYPE" w:val="1"/>
    <w:docVar w:name="LW_CROSSREFERENCE" w:val="&lt;UNUSED&gt;"/>
    <w:docVar w:name="LW_DocType" w:val="COM"/>
    <w:docVar w:name="LW_EMISSION" w:val="22.2.2022"/>
    <w:docVar w:name="LW_EMISSION_ISODATE" w:val="2022-02-22"/>
    <w:docVar w:name="LW_EMISSION_LOCATION" w:val="BRX"/>
    <w:docVar w:name="LW_EMISSION_PREFIX" w:val="Brüssel,"/>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T"/>
    <w:docVar w:name="LW_LEVEL_OF_SENSITIVITY" w:val="Standard treatment"/>
    <w:docVar w:name="LW_NOM.INST" w:val="EUROOPA KOMISJON"/>
    <w:docVar w:name="LW_NOM.INST_JOINTDOC" w:val="&lt;EMPTY&gt;"/>
    <w:docVar w:name="LW_PART_NBR" w:val="1"/>
    <w:docVar w:name="LW_PART_NBR_TOTAL" w:val="1"/>
    <w:docVar w:name="LW_REF.II.NEW.CP" w:val="NLE"/>
    <w:docVar w:name="LW_REF.II.NEW.CP_NUMBER" w:val="0040"/>
    <w:docVar w:name="LW_REF.II.NEW.CP_YEAR" w:val="2022"/>
    <w:docVar w:name="LW_REF.INST.NEW" w:val="COM"/>
    <w:docVar w:name="LW_REF.INST.NEW_ADOPTED" w:val="final"/>
    <w:docVar w:name="LW_REF.INST.NEW_TEXT" w:val="(2022)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ttepanek:"/>
    <w:docVar w:name="LW_SUPERTITRE" w:val="&lt;UNUSED&gt;"/>
    <w:docVar w:name="LW_TITRE.OBJ.CP" w:val="millega muudetakse rakendusotsust (EL) 2019/310, millega antakse Poolale luba kehtestada erimeede, millega tehakse erand direktiivi 2006/112/EÜ (mis käsitleb ühist käibemaksusüsteemi) artiklist 226 _x000b_ _x000b_"/>
    <w:docVar w:name="LW_TYPE.DOC.CP" w:val="NÕUKOGU RAKENDUSOTSUS,"/>
    <w:docVar w:name="LwApiVersions" w:val="LW4CoDe 1.23.2.0; LW 8.0, Build 20211117"/>
  </w:docVars>
  <w:rsids>
    <w:rsidRoot w:val="004523CB"/>
    <w:rsid w:val="00017CA9"/>
    <w:rsid w:val="00042ADF"/>
    <w:rsid w:val="00044CAA"/>
    <w:rsid w:val="00077963"/>
    <w:rsid w:val="00086BBA"/>
    <w:rsid w:val="000A7517"/>
    <w:rsid w:val="000B12AA"/>
    <w:rsid w:val="000D3D16"/>
    <w:rsid w:val="000D5FEA"/>
    <w:rsid w:val="000E1662"/>
    <w:rsid w:val="000E198E"/>
    <w:rsid w:val="000F5F5C"/>
    <w:rsid w:val="00191BE8"/>
    <w:rsid w:val="001931D0"/>
    <w:rsid w:val="00193E81"/>
    <w:rsid w:val="001B3EA5"/>
    <w:rsid w:val="001C2816"/>
    <w:rsid w:val="001D7967"/>
    <w:rsid w:val="00224BB0"/>
    <w:rsid w:val="00232E98"/>
    <w:rsid w:val="0025658D"/>
    <w:rsid w:val="002574A5"/>
    <w:rsid w:val="002C0ECE"/>
    <w:rsid w:val="002C782A"/>
    <w:rsid w:val="002E2CED"/>
    <w:rsid w:val="002E3333"/>
    <w:rsid w:val="0031280E"/>
    <w:rsid w:val="003319EA"/>
    <w:rsid w:val="00344B01"/>
    <w:rsid w:val="00363381"/>
    <w:rsid w:val="00371016"/>
    <w:rsid w:val="00395352"/>
    <w:rsid w:val="003C53C1"/>
    <w:rsid w:val="003F46F8"/>
    <w:rsid w:val="00433B98"/>
    <w:rsid w:val="004523CB"/>
    <w:rsid w:val="00460BB7"/>
    <w:rsid w:val="00460D58"/>
    <w:rsid w:val="0046662E"/>
    <w:rsid w:val="00470ACC"/>
    <w:rsid w:val="00491481"/>
    <w:rsid w:val="0049500C"/>
    <w:rsid w:val="004C2D2D"/>
    <w:rsid w:val="004D5E15"/>
    <w:rsid w:val="00502E67"/>
    <w:rsid w:val="005261C7"/>
    <w:rsid w:val="00532C72"/>
    <w:rsid w:val="00533289"/>
    <w:rsid w:val="00551FFC"/>
    <w:rsid w:val="00570D0F"/>
    <w:rsid w:val="00575859"/>
    <w:rsid w:val="00576A6D"/>
    <w:rsid w:val="00584CDA"/>
    <w:rsid w:val="00597992"/>
    <w:rsid w:val="005C2B88"/>
    <w:rsid w:val="005D6AF7"/>
    <w:rsid w:val="0060375C"/>
    <w:rsid w:val="0061439A"/>
    <w:rsid w:val="00634B23"/>
    <w:rsid w:val="006443B1"/>
    <w:rsid w:val="0066764F"/>
    <w:rsid w:val="00676204"/>
    <w:rsid w:val="00694717"/>
    <w:rsid w:val="00695C0D"/>
    <w:rsid w:val="006D502B"/>
    <w:rsid w:val="006E4D22"/>
    <w:rsid w:val="0070128F"/>
    <w:rsid w:val="00790ED6"/>
    <w:rsid w:val="00794D2D"/>
    <w:rsid w:val="007A61A8"/>
    <w:rsid w:val="007B5833"/>
    <w:rsid w:val="007C06F6"/>
    <w:rsid w:val="007E34AE"/>
    <w:rsid w:val="008101C2"/>
    <w:rsid w:val="008700E2"/>
    <w:rsid w:val="00906A42"/>
    <w:rsid w:val="00937CC5"/>
    <w:rsid w:val="00986B33"/>
    <w:rsid w:val="00987AD5"/>
    <w:rsid w:val="0099633A"/>
    <w:rsid w:val="009A0ED2"/>
    <w:rsid w:val="009B7138"/>
    <w:rsid w:val="009F20DB"/>
    <w:rsid w:val="009F7E25"/>
    <w:rsid w:val="00A037EB"/>
    <w:rsid w:val="00A038AE"/>
    <w:rsid w:val="00A725BD"/>
    <w:rsid w:val="00A73CC1"/>
    <w:rsid w:val="00A74483"/>
    <w:rsid w:val="00AC1D97"/>
    <w:rsid w:val="00AD3220"/>
    <w:rsid w:val="00B01BDD"/>
    <w:rsid w:val="00B0382B"/>
    <w:rsid w:val="00B23B6E"/>
    <w:rsid w:val="00B55CD2"/>
    <w:rsid w:val="00B72D97"/>
    <w:rsid w:val="00B81AC0"/>
    <w:rsid w:val="00BD733B"/>
    <w:rsid w:val="00BE246D"/>
    <w:rsid w:val="00BF17AA"/>
    <w:rsid w:val="00C07A6A"/>
    <w:rsid w:val="00C21F62"/>
    <w:rsid w:val="00C24556"/>
    <w:rsid w:val="00C3750F"/>
    <w:rsid w:val="00C50DCF"/>
    <w:rsid w:val="00C51514"/>
    <w:rsid w:val="00CA2606"/>
    <w:rsid w:val="00CA5842"/>
    <w:rsid w:val="00CB5555"/>
    <w:rsid w:val="00CC3E3E"/>
    <w:rsid w:val="00CD7ED5"/>
    <w:rsid w:val="00CD7F73"/>
    <w:rsid w:val="00CF02E5"/>
    <w:rsid w:val="00D024EC"/>
    <w:rsid w:val="00D26941"/>
    <w:rsid w:val="00D30745"/>
    <w:rsid w:val="00D41D4A"/>
    <w:rsid w:val="00D50CF3"/>
    <w:rsid w:val="00D53E55"/>
    <w:rsid w:val="00D711A2"/>
    <w:rsid w:val="00D72DEA"/>
    <w:rsid w:val="00DB1246"/>
    <w:rsid w:val="00DB58FC"/>
    <w:rsid w:val="00DD13D5"/>
    <w:rsid w:val="00DE3F0A"/>
    <w:rsid w:val="00E45005"/>
    <w:rsid w:val="00E50287"/>
    <w:rsid w:val="00EC7845"/>
    <w:rsid w:val="00F0233F"/>
    <w:rsid w:val="00F07F4D"/>
    <w:rsid w:val="00F20062"/>
    <w:rsid w:val="00F24015"/>
    <w:rsid w:val="00F3787B"/>
    <w:rsid w:val="00F826CB"/>
    <w:rsid w:val="00FC051C"/>
    <w:rsid w:val="00FC7C72"/>
    <w:rsid w:val="00FD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153911"/>
  <w15:docId w15:val="{643D1343-126C-465F-84BA-19A68A3C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rsid w:val="009B7138"/>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7B5833"/>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rsid w:val="007B5833"/>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rsid w:val="007B5833"/>
    <w:pPr>
      <w:keepNext/>
      <w:numPr>
        <w:ilvl w:val="6"/>
        <w:numId w:val="2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3F46F8"/>
    <w:pPr>
      <w:numPr>
        <w:numId w:val="1"/>
      </w:numPr>
      <w:contextualSpacing/>
    </w:pPr>
  </w:style>
  <w:style w:type="paragraph" w:styleId="ListBullet2">
    <w:name w:val="List Bullet 2"/>
    <w:basedOn w:val="Normal"/>
    <w:uiPriority w:val="99"/>
    <w:semiHidden/>
    <w:unhideWhenUsed/>
    <w:rsid w:val="003F46F8"/>
    <w:pPr>
      <w:numPr>
        <w:numId w:val="2"/>
      </w:numPr>
      <w:contextualSpacing/>
    </w:pPr>
  </w:style>
  <w:style w:type="paragraph" w:styleId="ListBullet3">
    <w:name w:val="List Bullet 3"/>
    <w:basedOn w:val="Normal"/>
    <w:uiPriority w:val="99"/>
    <w:semiHidden/>
    <w:unhideWhenUsed/>
    <w:rsid w:val="003F46F8"/>
    <w:pPr>
      <w:numPr>
        <w:numId w:val="3"/>
      </w:numPr>
      <w:contextualSpacing/>
    </w:pPr>
  </w:style>
  <w:style w:type="paragraph" w:styleId="ListBullet4">
    <w:name w:val="List Bullet 4"/>
    <w:basedOn w:val="Normal"/>
    <w:uiPriority w:val="99"/>
    <w:semiHidden/>
    <w:unhideWhenUsed/>
    <w:rsid w:val="003F46F8"/>
    <w:pPr>
      <w:numPr>
        <w:numId w:val="4"/>
      </w:numPr>
      <w:contextualSpacing/>
    </w:pPr>
  </w:style>
  <w:style w:type="character" w:styleId="CommentReference">
    <w:name w:val="annotation reference"/>
    <w:basedOn w:val="DefaultParagraphFont"/>
    <w:uiPriority w:val="99"/>
    <w:semiHidden/>
    <w:unhideWhenUsed/>
    <w:rsid w:val="00042ADF"/>
    <w:rPr>
      <w:sz w:val="16"/>
      <w:szCs w:val="16"/>
    </w:rPr>
  </w:style>
  <w:style w:type="paragraph" w:styleId="CommentText">
    <w:name w:val="annotation text"/>
    <w:basedOn w:val="Normal"/>
    <w:link w:val="CommentTextChar"/>
    <w:uiPriority w:val="99"/>
    <w:semiHidden/>
    <w:unhideWhenUsed/>
    <w:rsid w:val="00042ADF"/>
    <w:rPr>
      <w:sz w:val="20"/>
      <w:szCs w:val="20"/>
    </w:rPr>
  </w:style>
  <w:style w:type="character" w:customStyle="1" w:styleId="CommentTextChar">
    <w:name w:val="Comment Text Char"/>
    <w:basedOn w:val="DefaultParagraphFont"/>
    <w:link w:val="CommentText"/>
    <w:uiPriority w:val="99"/>
    <w:semiHidden/>
    <w:rsid w:val="00042ADF"/>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sid w:val="00042ADF"/>
    <w:rPr>
      <w:b/>
      <w:bCs/>
    </w:rPr>
  </w:style>
  <w:style w:type="character" w:customStyle="1" w:styleId="CommentSubjectChar">
    <w:name w:val="Comment Subject Char"/>
    <w:basedOn w:val="CommentTextChar"/>
    <w:link w:val="CommentSubject"/>
    <w:uiPriority w:val="99"/>
    <w:semiHidden/>
    <w:rsid w:val="00042ADF"/>
    <w:rPr>
      <w:rFonts w:ascii="Times New Roman" w:hAnsi="Times New Roman" w:cs="Times New Roman"/>
      <w:b/>
      <w:bCs/>
      <w:sz w:val="20"/>
      <w:szCs w:val="20"/>
      <w:lang w:val="et-EE"/>
    </w:rPr>
  </w:style>
  <w:style w:type="paragraph" w:styleId="BalloonText">
    <w:name w:val="Balloon Text"/>
    <w:basedOn w:val="Normal"/>
    <w:link w:val="BalloonTextChar"/>
    <w:uiPriority w:val="99"/>
    <w:semiHidden/>
    <w:unhideWhenUsed/>
    <w:rsid w:val="00042AD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ADF"/>
    <w:rPr>
      <w:rFonts w:ascii="Segoe UI" w:hAnsi="Segoe UI" w:cs="Segoe UI"/>
      <w:sz w:val="18"/>
      <w:szCs w:val="18"/>
      <w:lang w:val="et-EE"/>
    </w:rPr>
  </w:style>
  <w:style w:type="paragraph" w:styleId="Revision">
    <w:name w:val="Revision"/>
    <w:hidden/>
    <w:uiPriority w:val="99"/>
    <w:semiHidden/>
    <w:rsid w:val="00042ADF"/>
    <w:pPr>
      <w:spacing w:after="0" w:line="240" w:lineRule="auto"/>
    </w:pPr>
    <w:rPr>
      <w:rFonts w:ascii="Times New Roman" w:hAnsi="Times New Roman" w:cs="Times New Roman"/>
      <w:sz w:val="24"/>
    </w:rPr>
  </w:style>
  <w:style w:type="paragraph" w:customStyle="1" w:styleId="oj-normal">
    <w:name w:val="oj-normal"/>
    <w:basedOn w:val="Normal"/>
    <w:rsid w:val="00F24015"/>
    <w:pPr>
      <w:spacing w:before="100" w:beforeAutospacing="1" w:after="100" w:afterAutospacing="1"/>
      <w:jc w:val="left"/>
    </w:pPr>
    <w:rPr>
      <w:rFonts w:eastAsia="Times New Roman"/>
      <w:szCs w:val="24"/>
      <w:lang w:eastAsia="it-IT"/>
    </w:rPr>
  </w:style>
  <w:style w:type="paragraph" w:styleId="Caption">
    <w:name w:val="caption"/>
    <w:basedOn w:val="Normal"/>
    <w:next w:val="Normal"/>
    <w:uiPriority w:val="35"/>
    <w:semiHidden/>
    <w:unhideWhenUsed/>
    <w:qFormat/>
    <w:rsid w:val="00C50DC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50DCF"/>
    <w:pPr>
      <w:spacing w:after="0"/>
    </w:pPr>
  </w:style>
  <w:style w:type="paragraph" w:styleId="ListNumber">
    <w:name w:val="List Number"/>
    <w:basedOn w:val="Normal"/>
    <w:uiPriority w:val="99"/>
    <w:semiHidden/>
    <w:unhideWhenUsed/>
    <w:rsid w:val="00C50DCF"/>
    <w:pPr>
      <w:numPr>
        <w:numId w:val="6"/>
      </w:numPr>
      <w:contextualSpacing/>
    </w:pPr>
  </w:style>
  <w:style w:type="paragraph" w:styleId="ListNumber2">
    <w:name w:val="List Number 2"/>
    <w:basedOn w:val="Normal"/>
    <w:uiPriority w:val="99"/>
    <w:semiHidden/>
    <w:unhideWhenUsed/>
    <w:rsid w:val="00C50DCF"/>
    <w:pPr>
      <w:numPr>
        <w:numId w:val="7"/>
      </w:numPr>
      <w:contextualSpacing/>
    </w:pPr>
  </w:style>
  <w:style w:type="paragraph" w:styleId="ListNumber3">
    <w:name w:val="List Number 3"/>
    <w:basedOn w:val="Normal"/>
    <w:uiPriority w:val="99"/>
    <w:semiHidden/>
    <w:unhideWhenUsed/>
    <w:rsid w:val="00C50DCF"/>
    <w:pPr>
      <w:numPr>
        <w:numId w:val="8"/>
      </w:numPr>
      <w:contextualSpacing/>
    </w:pPr>
  </w:style>
  <w:style w:type="paragraph" w:styleId="ListNumber4">
    <w:name w:val="List Number 4"/>
    <w:basedOn w:val="Normal"/>
    <w:uiPriority w:val="99"/>
    <w:semiHidden/>
    <w:unhideWhenUsed/>
    <w:rsid w:val="00C50DCF"/>
    <w:pPr>
      <w:numPr>
        <w:numId w:val="9"/>
      </w:numPr>
      <w:contextualSpacing/>
    </w:pPr>
  </w:style>
  <w:style w:type="character" w:styleId="Hyperlink">
    <w:name w:val="Hyperlink"/>
    <w:basedOn w:val="DefaultParagraphFont"/>
    <w:uiPriority w:val="99"/>
    <w:unhideWhenUsed/>
    <w:rsid w:val="00570D0F"/>
    <w:rPr>
      <w:color w:val="0000FF" w:themeColor="hyperlink"/>
      <w:u w:val="single"/>
    </w:rPr>
  </w:style>
  <w:style w:type="paragraph" w:styleId="Header">
    <w:name w:val="header"/>
    <w:basedOn w:val="Normal"/>
    <w:link w:val="HeaderChar"/>
    <w:uiPriority w:val="99"/>
    <w:unhideWhenUsed/>
    <w:rsid w:val="000D5FEA"/>
    <w:pPr>
      <w:tabs>
        <w:tab w:val="center" w:pos="4535"/>
        <w:tab w:val="right" w:pos="9071"/>
      </w:tabs>
      <w:spacing w:before="0"/>
    </w:pPr>
  </w:style>
  <w:style w:type="character" w:customStyle="1" w:styleId="HeaderChar">
    <w:name w:val="Header Char"/>
    <w:basedOn w:val="DefaultParagraphFont"/>
    <w:link w:val="Header"/>
    <w:uiPriority w:val="99"/>
    <w:rsid w:val="000D5FEA"/>
    <w:rPr>
      <w:rFonts w:ascii="Times New Roman" w:hAnsi="Times New Roman" w:cs="Times New Roman"/>
      <w:sz w:val="24"/>
      <w:lang w:val="et-EE"/>
    </w:rPr>
  </w:style>
  <w:style w:type="paragraph" w:styleId="Footer">
    <w:name w:val="footer"/>
    <w:basedOn w:val="Normal"/>
    <w:link w:val="FooterChar"/>
    <w:uiPriority w:val="99"/>
    <w:unhideWhenUsed/>
    <w:rsid w:val="000D5FE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D5FEA"/>
    <w:rPr>
      <w:rFonts w:ascii="Times New Roman" w:hAnsi="Times New Roman" w:cs="Times New Roman"/>
      <w:sz w:val="24"/>
      <w:lang w:val="et-EE"/>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0D5FEA"/>
    <w:pPr>
      <w:tabs>
        <w:tab w:val="center" w:pos="7285"/>
        <w:tab w:val="right" w:pos="14003"/>
      </w:tabs>
      <w:spacing w:before="0"/>
    </w:pPr>
  </w:style>
  <w:style w:type="paragraph" w:customStyle="1" w:styleId="FooterLandscape">
    <w:name w:val="FooterLandscape"/>
    <w:basedOn w:val="Normal"/>
    <w:rsid w:val="000D5FE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0D5FE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D5FEA"/>
    <w:pPr>
      <w:spacing w:before="0"/>
      <w:jc w:val="right"/>
    </w:pPr>
    <w:rPr>
      <w:sz w:val="28"/>
    </w:rPr>
  </w:style>
  <w:style w:type="paragraph" w:customStyle="1" w:styleId="FooterSensitivity">
    <w:name w:val="Footer Sensitivity"/>
    <w:basedOn w:val="Normal"/>
    <w:rsid w:val="000D5FE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0"/>
      </w:numPr>
    </w:pPr>
  </w:style>
  <w:style w:type="paragraph" w:customStyle="1" w:styleId="Tiret1">
    <w:name w:val="Tiret 1"/>
    <w:basedOn w:val="Point1"/>
    <w:rsid w:val="009B7138"/>
    <w:pPr>
      <w:numPr>
        <w:numId w:val="11"/>
      </w:numPr>
    </w:pPr>
  </w:style>
  <w:style w:type="paragraph" w:customStyle="1" w:styleId="Tiret2">
    <w:name w:val="Tiret 2"/>
    <w:basedOn w:val="Point2"/>
    <w:rsid w:val="009B7138"/>
    <w:pPr>
      <w:numPr>
        <w:numId w:val="12"/>
      </w:numPr>
    </w:pPr>
  </w:style>
  <w:style w:type="paragraph" w:customStyle="1" w:styleId="Tiret3">
    <w:name w:val="Tiret 3"/>
    <w:basedOn w:val="Point3"/>
    <w:rsid w:val="009B7138"/>
    <w:pPr>
      <w:numPr>
        <w:numId w:val="13"/>
      </w:numPr>
    </w:pPr>
  </w:style>
  <w:style w:type="paragraph" w:customStyle="1" w:styleId="Tiret4">
    <w:name w:val="Tiret 4"/>
    <w:basedOn w:val="Point4"/>
    <w:rsid w:val="009B7138"/>
    <w:pPr>
      <w:numPr>
        <w:numId w:val="1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0"/>
      </w:numPr>
    </w:pPr>
  </w:style>
  <w:style w:type="paragraph" w:customStyle="1" w:styleId="NumPar2">
    <w:name w:val="NumPar 2"/>
    <w:basedOn w:val="Normal"/>
    <w:next w:val="Text1"/>
    <w:rsid w:val="009B7138"/>
    <w:pPr>
      <w:numPr>
        <w:ilvl w:val="1"/>
        <w:numId w:val="30"/>
      </w:numPr>
    </w:pPr>
  </w:style>
  <w:style w:type="paragraph" w:customStyle="1" w:styleId="NumPar3">
    <w:name w:val="NumPar 3"/>
    <w:basedOn w:val="Normal"/>
    <w:next w:val="Text1"/>
    <w:rsid w:val="009B7138"/>
    <w:pPr>
      <w:numPr>
        <w:ilvl w:val="2"/>
        <w:numId w:val="30"/>
      </w:numPr>
    </w:pPr>
  </w:style>
  <w:style w:type="paragraph" w:customStyle="1" w:styleId="NumPar4">
    <w:name w:val="NumPar 4"/>
    <w:basedOn w:val="Normal"/>
    <w:next w:val="Text1"/>
    <w:rsid w:val="009B7138"/>
    <w:pPr>
      <w:numPr>
        <w:ilvl w:val="3"/>
        <w:numId w:val="30"/>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B81AC0"/>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7"/>
      </w:numPr>
    </w:pPr>
  </w:style>
  <w:style w:type="paragraph" w:customStyle="1" w:styleId="Point1number">
    <w:name w:val="Point 1 (number)"/>
    <w:basedOn w:val="Normal"/>
    <w:rsid w:val="009B7138"/>
    <w:pPr>
      <w:numPr>
        <w:ilvl w:val="2"/>
        <w:numId w:val="17"/>
      </w:numPr>
    </w:pPr>
  </w:style>
  <w:style w:type="paragraph" w:customStyle="1" w:styleId="Point2number">
    <w:name w:val="Point 2 (number)"/>
    <w:basedOn w:val="Normal"/>
    <w:rsid w:val="009B7138"/>
    <w:pPr>
      <w:numPr>
        <w:ilvl w:val="4"/>
        <w:numId w:val="17"/>
      </w:numPr>
    </w:pPr>
  </w:style>
  <w:style w:type="paragraph" w:customStyle="1" w:styleId="Point3number">
    <w:name w:val="Point 3 (number)"/>
    <w:basedOn w:val="Normal"/>
    <w:rsid w:val="009B7138"/>
    <w:pPr>
      <w:numPr>
        <w:ilvl w:val="6"/>
        <w:numId w:val="17"/>
      </w:numPr>
    </w:pPr>
  </w:style>
  <w:style w:type="paragraph" w:customStyle="1" w:styleId="Point0letter">
    <w:name w:val="Point 0 (letter)"/>
    <w:basedOn w:val="Normal"/>
    <w:rsid w:val="009B7138"/>
    <w:pPr>
      <w:numPr>
        <w:ilvl w:val="1"/>
        <w:numId w:val="17"/>
      </w:numPr>
    </w:pPr>
  </w:style>
  <w:style w:type="paragraph" w:customStyle="1" w:styleId="Point1letter">
    <w:name w:val="Point 1 (letter)"/>
    <w:basedOn w:val="Normal"/>
    <w:rsid w:val="009B7138"/>
    <w:pPr>
      <w:numPr>
        <w:ilvl w:val="3"/>
        <w:numId w:val="17"/>
      </w:numPr>
    </w:pPr>
  </w:style>
  <w:style w:type="paragraph" w:customStyle="1" w:styleId="Point2letter">
    <w:name w:val="Point 2 (letter)"/>
    <w:basedOn w:val="Normal"/>
    <w:rsid w:val="009B7138"/>
    <w:pPr>
      <w:numPr>
        <w:ilvl w:val="5"/>
        <w:numId w:val="17"/>
      </w:numPr>
    </w:pPr>
  </w:style>
  <w:style w:type="paragraph" w:customStyle="1" w:styleId="Point3letter">
    <w:name w:val="Point 3 (letter)"/>
    <w:basedOn w:val="Normal"/>
    <w:rsid w:val="009B7138"/>
    <w:pPr>
      <w:numPr>
        <w:ilvl w:val="7"/>
        <w:numId w:val="17"/>
      </w:numPr>
    </w:pPr>
  </w:style>
  <w:style w:type="paragraph" w:customStyle="1" w:styleId="Point4letter">
    <w:name w:val="Point 4 (letter)"/>
    <w:basedOn w:val="Normal"/>
    <w:rsid w:val="009B7138"/>
    <w:pPr>
      <w:numPr>
        <w:ilvl w:val="8"/>
        <w:numId w:val="17"/>
      </w:numPr>
    </w:pPr>
  </w:style>
  <w:style w:type="paragraph" w:customStyle="1" w:styleId="Bullet0">
    <w:name w:val="Bullet 0"/>
    <w:basedOn w:val="Normal"/>
    <w:rsid w:val="009B7138"/>
    <w:pPr>
      <w:numPr>
        <w:numId w:val="18"/>
      </w:numPr>
    </w:pPr>
  </w:style>
  <w:style w:type="paragraph" w:customStyle="1" w:styleId="Bullet1">
    <w:name w:val="Bullet 1"/>
    <w:basedOn w:val="Normal"/>
    <w:rsid w:val="009B7138"/>
    <w:pPr>
      <w:numPr>
        <w:numId w:val="19"/>
      </w:numPr>
    </w:pPr>
  </w:style>
  <w:style w:type="paragraph" w:customStyle="1" w:styleId="Bullet2">
    <w:name w:val="Bullet 2"/>
    <w:basedOn w:val="Normal"/>
    <w:rsid w:val="009B7138"/>
    <w:pPr>
      <w:numPr>
        <w:numId w:val="20"/>
      </w:numPr>
    </w:pPr>
  </w:style>
  <w:style w:type="paragraph" w:customStyle="1" w:styleId="Bullet3">
    <w:name w:val="Bullet 3"/>
    <w:basedOn w:val="Normal"/>
    <w:rsid w:val="009B7138"/>
    <w:pPr>
      <w:numPr>
        <w:numId w:val="21"/>
      </w:numPr>
    </w:pPr>
  </w:style>
  <w:style w:type="paragraph" w:customStyle="1" w:styleId="Bullet4">
    <w:name w:val="Bullet 4"/>
    <w:basedOn w:val="Normal"/>
    <w:rsid w:val="009B7138"/>
    <w:pPr>
      <w:numPr>
        <w:numId w:val="2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7B5833"/>
    <w:rPr>
      <w:rFonts w:ascii="Times New Roman" w:eastAsiaTheme="majorEastAsia" w:hAnsi="Times New Roman" w:cs="Times New Roman"/>
      <w:sz w:val="24"/>
      <w:lang w:val="et-EE"/>
    </w:rPr>
  </w:style>
  <w:style w:type="character" w:customStyle="1" w:styleId="Heading6Char">
    <w:name w:val="Heading 6 Char"/>
    <w:basedOn w:val="DefaultParagraphFont"/>
    <w:link w:val="Heading6"/>
    <w:uiPriority w:val="9"/>
    <w:semiHidden/>
    <w:rsid w:val="007B5833"/>
    <w:rPr>
      <w:rFonts w:ascii="Times New Roman" w:eastAsiaTheme="majorEastAsia" w:hAnsi="Times New Roman" w:cs="Times New Roman"/>
      <w:iCs/>
      <w:sz w:val="24"/>
      <w:lang w:val="et-EE"/>
    </w:rPr>
  </w:style>
  <w:style w:type="character" w:customStyle="1" w:styleId="Heading7Char">
    <w:name w:val="Heading 7 Char"/>
    <w:basedOn w:val="DefaultParagraphFont"/>
    <w:link w:val="Heading7"/>
    <w:uiPriority w:val="9"/>
    <w:semiHidden/>
    <w:rsid w:val="007B5833"/>
    <w:rPr>
      <w:rFonts w:ascii="Times New Roman" w:eastAsiaTheme="majorEastAsia" w:hAnsi="Times New Roman" w:cs="Times New Roman"/>
      <w:iCs/>
      <w:sz w:val="24"/>
      <w:lang w:val="et-EE"/>
    </w:rPr>
  </w:style>
  <w:style w:type="paragraph" w:customStyle="1" w:styleId="ManualHeading5">
    <w:name w:val="Manual Heading 5"/>
    <w:basedOn w:val="Normal"/>
    <w:next w:val="Text2"/>
    <w:rsid w:val="007B5833"/>
    <w:pPr>
      <w:keepNext/>
      <w:tabs>
        <w:tab w:val="left" w:pos="1417"/>
      </w:tabs>
      <w:ind w:left="1417" w:hanging="1417"/>
      <w:outlineLvl w:val="4"/>
    </w:pPr>
  </w:style>
  <w:style w:type="paragraph" w:customStyle="1" w:styleId="ManualHeading6">
    <w:name w:val="Manual Heading 6"/>
    <w:basedOn w:val="Normal"/>
    <w:next w:val="Text2"/>
    <w:rsid w:val="007B5833"/>
    <w:pPr>
      <w:keepNext/>
      <w:tabs>
        <w:tab w:val="left" w:pos="1417"/>
      </w:tabs>
      <w:ind w:left="1417" w:hanging="1417"/>
      <w:outlineLvl w:val="5"/>
    </w:pPr>
  </w:style>
  <w:style w:type="paragraph" w:customStyle="1" w:styleId="ManualHeading7">
    <w:name w:val="Manual Heading 7"/>
    <w:basedOn w:val="Normal"/>
    <w:next w:val="Text2"/>
    <w:rsid w:val="007B5833"/>
    <w:pPr>
      <w:keepNext/>
      <w:tabs>
        <w:tab w:val="left" w:pos="1417"/>
      </w:tabs>
      <w:ind w:left="1417" w:hanging="1417"/>
      <w:outlineLvl w:val="6"/>
    </w:pPr>
  </w:style>
  <w:style w:type="paragraph" w:customStyle="1" w:styleId="Text5">
    <w:name w:val="Text 5"/>
    <w:basedOn w:val="Normal"/>
    <w:rsid w:val="007B5833"/>
    <w:pPr>
      <w:ind w:left="3118"/>
    </w:pPr>
  </w:style>
  <w:style w:type="paragraph" w:customStyle="1" w:styleId="Text6">
    <w:name w:val="Text 6"/>
    <w:basedOn w:val="Normal"/>
    <w:rsid w:val="007B5833"/>
    <w:pPr>
      <w:ind w:left="3685"/>
    </w:pPr>
  </w:style>
  <w:style w:type="paragraph" w:customStyle="1" w:styleId="Point5">
    <w:name w:val="Point 5"/>
    <w:basedOn w:val="Normal"/>
    <w:rsid w:val="007B5833"/>
    <w:pPr>
      <w:ind w:left="3685" w:hanging="567"/>
    </w:pPr>
  </w:style>
  <w:style w:type="paragraph" w:customStyle="1" w:styleId="Tiret5">
    <w:name w:val="Tiret 5"/>
    <w:basedOn w:val="Point5"/>
    <w:rsid w:val="007B5833"/>
    <w:pPr>
      <w:numPr>
        <w:numId w:val="27"/>
      </w:numPr>
    </w:pPr>
  </w:style>
  <w:style w:type="paragraph" w:customStyle="1" w:styleId="NumPar5">
    <w:name w:val="NumPar 5"/>
    <w:basedOn w:val="Normal"/>
    <w:next w:val="Text2"/>
    <w:rsid w:val="007B5833"/>
    <w:pPr>
      <w:numPr>
        <w:ilvl w:val="4"/>
        <w:numId w:val="30"/>
      </w:numPr>
    </w:pPr>
  </w:style>
  <w:style w:type="paragraph" w:customStyle="1" w:styleId="NumPar6">
    <w:name w:val="NumPar 6"/>
    <w:basedOn w:val="Normal"/>
    <w:next w:val="Text2"/>
    <w:rsid w:val="007B5833"/>
    <w:pPr>
      <w:numPr>
        <w:ilvl w:val="5"/>
        <w:numId w:val="30"/>
      </w:numPr>
    </w:pPr>
  </w:style>
  <w:style w:type="paragraph" w:customStyle="1" w:styleId="NumPar7">
    <w:name w:val="NumPar 7"/>
    <w:basedOn w:val="Normal"/>
    <w:next w:val="Text2"/>
    <w:rsid w:val="007B5833"/>
    <w:pPr>
      <w:numPr>
        <w:ilvl w:val="6"/>
        <w:numId w:val="30"/>
      </w:numPr>
    </w:pPr>
  </w:style>
  <w:style w:type="paragraph" w:customStyle="1" w:styleId="ManualNumPar5">
    <w:name w:val="Manual NumPar 5"/>
    <w:basedOn w:val="Normal"/>
    <w:next w:val="Text2"/>
    <w:rsid w:val="007B5833"/>
    <w:pPr>
      <w:ind w:left="1417" w:hanging="1417"/>
    </w:pPr>
  </w:style>
  <w:style w:type="paragraph" w:customStyle="1" w:styleId="ManualNumPar6">
    <w:name w:val="Manual NumPar 6"/>
    <w:basedOn w:val="Normal"/>
    <w:next w:val="Text2"/>
    <w:rsid w:val="007B5833"/>
    <w:pPr>
      <w:ind w:left="1417" w:hanging="1417"/>
    </w:pPr>
  </w:style>
  <w:style w:type="paragraph" w:customStyle="1" w:styleId="ManualNumPar7">
    <w:name w:val="Manual NumPar 7"/>
    <w:basedOn w:val="Normal"/>
    <w:next w:val="Text2"/>
    <w:rsid w:val="007B5833"/>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06173">
      <w:bodyDiv w:val="1"/>
      <w:marLeft w:val="0"/>
      <w:marRight w:val="0"/>
      <w:marTop w:val="0"/>
      <w:marBottom w:val="0"/>
      <w:divBdr>
        <w:top w:val="none" w:sz="0" w:space="0" w:color="auto"/>
        <w:left w:val="none" w:sz="0" w:space="0" w:color="auto"/>
        <w:bottom w:val="none" w:sz="0" w:space="0" w:color="auto"/>
        <w:right w:val="none" w:sz="0" w:space="0" w:color="auto"/>
      </w:divBdr>
    </w:div>
    <w:div w:id="290281554">
      <w:bodyDiv w:val="1"/>
      <w:marLeft w:val="0"/>
      <w:marRight w:val="0"/>
      <w:marTop w:val="0"/>
      <w:marBottom w:val="0"/>
      <w:divBdr>
        <w:top w:val="none" w:sz="0" w:space="0" w:color="auto"/>
        <w:left w:val="none" w:sz="0" w:space="0" w:color="auto"/>
        <w:bottom w:val="none" w:sz="0" w:space="0" w:color="auto"/>
        <w:right w:val="none" w:sz="0" w:space="0" w:color="auto"/>
      </w:divBdr>
    </w:div>
    <w:div w:id="984506252">
      <w:bodyDiv w:val="1"/>
      <w:marLeft w:val="0"/>
      <w:marRight w:val="0"/>
      <w:marTop w:val="0"/>
      <w:marBottom w:val="0"/>
      <w:divBdr>
        <w:top w:val="none" w:sz="0" w:space="0" w:color="auto"/>
        <w:left w:val="none" w:sz="0" w:space="0" w:color="auto"/>
        <w:bottom w:val="none" w:sz="0" w:space="0" w:color="auto"/>
        <w:right w:val="none" w:sz="0" w:space="0" w:color="auto"/>
      </w:divBdr>
    </w:div>
    <w:div w:id="1029797140">
      <w:bodyDiv w:val="1"/>
      <w:marLeft w:val="0"/>
      <w:marRight w:val="0"/>
      <w:marTop w:val="0"/>
      <w:marBottom w:val="0"/>
      <w:divBdr>
        <w:top w:val="none" w:sz="0" w:space="0" w:color="auto"/>
        <w:left w:val="none" w:sz="0" w:space="0" w:color="auto"/>
        <w:bottom w:val="none" w:sz="0" w:space="0" w:color="auto"/>
        <w:right w:val="none" w:sz="0" w:space="0" w:color="auto"/>
      </w:divBdr>
    </w:div>
    <w:div w:id="1243297493">
      <w:bodyDiv w:val="1"/>
      <w:marLeft w:val="0"/>
      <w:marRight w:val="0"/>
      <w:marTop w:val="0"/>
      <w:marBottom w:val="0"/>
      <w:divBdr>
        <w:top w:val="none" w:sz="0" w:space="0" w:color="auto"/>
        <w:left w:val="none" w:sz="0" w:space="0" w:color="auto"/>
        <w:bottom w:val="none" w:sz="0" w:space="0" w:color="auto"/>
        <w:right w:val="none" w:sz="0" w:space="0" w:color="auto"/>
      </w:divBdr>
    </w:div>
    <w:div w:id="18489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07930-3E77-4B19-A49B-D89E3B13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2515</Words>
  <Characters>18739</Characters>
  <Application>Microsoft Office Word</Application>
  <DocSecurity>0</DocSecurity>
  <Lines>302</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2022-02-18T14:36:00Z</dcterms:created>
  <dcterms:modified xsi:type="dcterms:W3CDTF">2022-02-21T20:20:00Z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