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2A12" w14:textId="462DA4AF" w:rsidR="00A0188F" w:rsidRDefault="00E81DB9" w:rsidP="00E81DB9">
      <w:pPr>
        <w:pStyle w:val="Pagedecouverture"/>
        <w:rPr>
          <w:noProof/>
        </w:rPr>
      </w:pPr>
      <w:r>
        <w:rPr>
          <w:noProof/>
        </w:rPr>
        <w:pict w14:anchorId="2EF0F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DF6FAC41-AE64-49A0-B105-4FD4A478AE7F" style="width:455.25pt;height:414pt">
            <v:imagedata r:id="rId8" o:title=""/>
          </v:shape>
        </w:pict>
      </w:r>
    </w:p>
    <w:p w14:paraId="4F57E84D" w14:textId="77777777" w:rsidR="00A0188F" w:rsidRDefault="00A0188F" w:rsidP="00A0188F">
      <w:pPr>
        <w:rPr>
          <w:noProof/>
        </w:rPr>
        <w:sectPr w:rsidR="00A0188F" w:rsidSect="00E81DB9">
          <w:footerReference w:type="default" r:id="rId9"/>
          <w:pgSz w:w="11907" w:h="16839"/>
          <w:pgMar w:top="1134" w:right="1417" w:bottom="1134" w:left="1417" w:header="709" w:footer="709" w:gutter="0"/>
          <w:pgNumType w:start="0"/>
          <w:cols w:space="720"/>
          <w:docGrid w:linePitch="360"/>
        </w:sectPr>
      </w:pPr>
    </w:p>
    <w:p w14:paraId="7A77C43C" w14:textId="77777777" w:rsidR="00A0188F" w:rsidRDefault="00A0188F" w:rsidP="00A05AF1">
      <w:pPr>
        <w:pStyle w:val="Exposdesmotifstitre"/>
        <w:rPr>
          <w:noProof/>
        </w:rPr>
      </w:pPr>
      <w:bookmarkStart w:id="0" w:name="_GoBack"/>
      <w:bookmarkEnd w:id="0"/>
      <w:r w:rsidRPr="006F770D">
        <w:rPr>
          <w:noProof/>
        </w:rPr>
        <w:lastRenderedPageBreak/>
        <w:t>EXPLANATORY MEMORANDUM</w:t>
      </w:r>
    </w:p>
    <w:p w14:paraId="5FB03213" w14:textId="77777777" w:rsidR="00A0188F" w:rsidRPr="006F770D" w:rsidRDefault="00A0188F" w:rsidP="00A05AF1">
      <w:pPr>
        <w:pStyle w:val="ManualHeading1"/>
        <w:rPr>
          <w:noProof/>
        </w:rPr>
      </w:pPr>
      <w:r w:rsidRPr="00C567EE">
        <w:rPr>
          <w:noProof/>
        </w:rPr>
        <w:t>1.</w:t>
      </w:r>
      <w:r w:rsidRPr="00C567EE">
        <w:rPr>
          <w:noProof/>
        </w:rPr>
        <w:tab/>
      </w:r>
      <w:r w:rsidRPr="006F770D">
        <w:rPr>
          <w:noProof/>
        </w:rPr>
        <w:t>CONTEXT OF THE PROPOSAL</w:t>
      </w:r>
    </w:p>
    <w:p w14:paraId="057DDB8C" w14:textId="77777777" w:rsidR="00A0188F" w:rsidRPr="00044058" w:rsidRDefault="00A0188F" w:rsidP="00A05AF1">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18F89F45" w14:textId="250E5101" w:rsidR="0023412A" w:rsidRPr="00B356D4" w:rsidRDefault="0023412A" w:rsidP="0023412A">
      <w:pPr>
        <w:spacing w:before="0" w:after="200"/>
        <w:rPr>
          <w:rFonts w:eastAsia="Arial Unicode MS"/>
          <w:noProof/>
          <w:lang w:val="en-IE"/>
        </w:rPr>
      </w:pPr>
      <w:r w:rsidRPr="00B356D4">
        <w:rPr>
          <w:rFonts w:eastAsia="Arial Unicode MS"/>
          <w:noProof/>
          <w:lang w:val="en-IE"/>
        </w:rPr>
        <w:t xml:space="preserve">This explanatory memorandum accompanies the proposal for a Regulation on </w:t>
      </w:r>
      <w:r w:rsidR="00ED103B">
        <w:rPr>
          <w:rFonts w:eastAsia="Arial Unicode MS"/>
          <w:noProof/>
          <w:lang w:val="en-IE"/>
        </w:rPr>
        <w:t xml:space="preserve">harmonised rules on fair access to and use </w:t>
      </w:r>
      <w:r w:rsidRPr="00B356D4">
        <w:rPr>
          <w:rFonts w:eastAsia="Arial Unicode MS"/>
          <w:noProof/>
          <w:lang w:val="en-IE"/>
        </w:rPr>
        <w:t xml:space="preserve">of data (Data Act). </w:t>
      </w:r>
    </w:p>
    <w:p w14:paraId="1502C7ED" w14:textId="31465C1F" w:rsidR="0023412A" w:rsidRPr="00B356D4" w:rsidRDefault="0023412A" w:rsidP="0023412A">
      <w:pPr>
        <w:spacing w:before="0" w:after="200"/>
        <w:rPr>
          <w:rFonts w:eastAsia="Arial Unicode MS"/>
          <w:noProof/>
          <w:lang w:val="en-IE"/>
        </w:rPr>
      </w:pPr>
      <w:r w:rsidRPr="2FA46F90">
        <w:rPr>
          <w:rFonts w:eastAsia="Arial Unicode MS"/>
          <w:noProof/>
          <w:lang w:val="en-IE"/>
        </w:rPr>
        <w:t>Data is a core component of the digital economy, and</w:t>
      </w:r>
      <w:r w:rsidRPr="2FA46F90" w:rsidDel="3DDC8E78">
        <w:rPr>
          <w:rFonts w:eastAsia="Arial Unicode MS"/>
          <w:noProof/>
          <w:lang w:val="en-IE"/>
        </w:rPr>
        <w:t xml:space="preserve"> </w:t>
      </w:r>
      <w:r w:rsidRPr="2FA46F90">
        <w:rPr>
          <w:rFonts w:eastAsia="Arial Unicode MS"/>
          <w:noProof/>
          <w:lang w:val="en-IE"/>
        </w:rPr>
        <w:t>an essential resource to secure the green and digital transitions. The volume of data generated by humans and machines has been increasing exponentially in recent years. Most data are unused however, or its value is concentrated in the hands of relatively few large companies. Low trust, conflicting economic incentives and technological obstacles impede the full realisation of the potential of data-driven innovation. It is therefore crucial to unlock such potential by providing opportunities for the reuse of data, as well as by removing barriers to the development of the European data economy in compliance with</w:t>
      </w:r>
      <w:r w:rsidRPr="2FA46F90" w:rsidDel="00385848">
        <w:rPr>
          <w:rFonts w:eastAsia="Arial Unicode MS"/>
          <w:noProof/>
          <w:lang w:val="en-IE"/>
        </w:rPr>
        <w:t xml:space="preserve"> </w:t>
      </w:r>
      <w:r w:rsidRPr="2FA46F90">
        <w:rPr>
          <w:rFonts w:eastAsia="Arial Unicode MS"/>
          <w:noProof/>
          <w:lang w:val="en-IE"/>
        </w:rPr>
        <w:t>European rules and fully respecting European values</w:t>
      </w:r>
      <w:r>
        <w:rPr>
          <w:rFonts w:eastAsia="Arial Unicode MS"/>
          <w:noProof/>
          <w:lang w:val="en-IE"/>
        </w:rPr>
        <w:t xml:space="preserve">, and in line with the </w:t>
      </w:r>
      <w:r w:rsidRPr="00CB1A0B">
        <w:rPr>
          <w:rFonts w:eastAsia="Arial Unicode MS"/>
          <w:noProof/>
          <w:lang w:val="en-IE"/>
        </w:rPr>
        <w:t xml:space="preserve">mission </w:t>
      </w:r>
      <w:r>
        <w:rPr>
          <w:rFonts w:eastAsia="Arial Unicode MS"/>
          <w:noProof/>
          <w:lang w:val="en-IE"/>
        </w:rPr>
        <w:t xml:space="preserve">to </w:t>
      </w:r>
      <w:r w:rsidRPr="00CB1A0B">
        <w:rPr>
          <w:rFonts w:eastAsia="Arial Unicode MS"/>
          <w:noProof/>
          <w:lang w:val="en-IE"/>
        </w:rPr>
        <w:t>reduc</w:t>
      </w:r>
      <w:r>
        <w:rPr>
          <w:rFonts w:eastAsia="Arial Unicode MS"/>
          <w:noProof/>
          <w:lang w:val="en-IE"/>
        </w:rPr>
        <w:t xml:space="preserve">e </w:t>
      </w:r>
      <w:r w:rsidRPr="00CB1A0B">
        <w:rPr>
          <w:rFonts w:eastAsia="Arial Unicode MS"/>
          <w:noProof/>
          <w:lang w:val="en-IE"/>
        </w:rPr>
        <w:t xml:space="preserve">the digital divide </w:t>
      </w:r>
      <w:r>
        <w:rPr>
          <w:rFonts w:eastAsia="Arial Unicode MS"/>
          <w:noProof/>
          <w:lang w:val="en-IE"/>
        </w:rPr>
        <w:t xml:space="preserve">so that everyone benefits from these </w:t>
      </w:r>
      <w:r w:rsidRPr="00CB1A0B">
        <w:rPr>
          <w:rFonts w:eastAsia="Arial Unicode MS"/>
          <w:noProof/>
          <w:lang w:val="en-IE"/>
        </w:rPr>
        <w:t>opportunities.</w:t>
      </w:r>
      <w:r>
        <w:rPr>
          <w:rFonts w:eastAsia="Arial Unicode MS"/>
          <w:noProof/>
          <w:lang w:val="en-IE"/>
        </w:rPr>
        <w:t xml:space="preserve"> </w:t>
      </w:r>
      <w:r w:rsidRPr="2FA46F90">
        <w:rPr>
          <w:rFonts w:eastAsia="Arial Unicode MS"/>
          <w:noProof/>
          <w:lang w:val="en-IE"/>
        </w:rPr>
        <w:t xml:space="preserve">Ensuring greater balance in the distribution of the value from data in step with the new wave of non-personal industrial data and the proliferation of </w:t>
      </w:r>
      <w:r>
        <w:rPr>
          <w:rFonts w:eastAsia="Arial Unicode MS"/>
          <w:noProof/>
          <w:lang w:val="en-IE"/>
        </w:rPr>
        <w:t xml:space="preserve">products connected to the </w:t>
      </w:r>
      <w:r w:rsidR="007005B0">
        <w:rPr>
          <w:rFonts w:eastAsia="Arial Unicode MS"/>
          <w:noProof/>
          <w:lang w:val="en-IE"/>
        </w:rPr>
        <w:t>Internet of Things</w:t>
      </w:r>
      <w:r w:rsidRPr="2FA46F90">
        <w:rPr>
          <w:rFonts w:eastAsia="Arial Unicode MS"/>
          <w:noProof/>
          <w:lang w:val="en-IE"/>
        </w:rPr>
        <w:t xml:space="preserve"> means there is enormous potential for boosting a sustainable data economy in Europe. </w:t>
      </w:r>
    </w:p>
    <w:p w14:paraId="26BC88DF" w14:textId="7348D30C" w:rsidR="0023412A" w:rsidRPr="00B356D4" w:rsidRDefault="0023412A" w:rsidP="0023412A">
      <w:pPr>
        <w:spacing w:before="0" w:after="200"/>
        <w:rPr>
          <w:rFonts w:eastAsia="Arial Unicode MS"/>
          <w:noProof/>
          <w:lang w:val="en-IE"/>
        </w:rPr>
      </w:pPr>
      <w:r w:rsidRPr="00B356D4">
        <w:rPr>
          <w:rFonts w:eastAsia="Arial Unicode MS"/>
          <w:noProof/>
          <w:lang w:val="en-IE"/>
        </w:rPr>
        <w:t xml:space="preserve">Regulating data access and use is </w:t>
      </w:r>
      <w:r w:rsidRPr="6D6A0CCE">
        <w:rPr>
          <w:rFonts w:eastAsia="Arial Unicode MS"/>
          <w:noProof/>
          <w:lang w:val="en-IE"/>
        </w:rPr>
        <w:t xml:space="preserve">a </w:t>
      </w:r>
      <w:r w:rsidRPr="00B356D4">
        <w:rPr>
          <w:rFonts w:eastAsia="Arial Unicode MS"/>
          <w:noProof/>
          <w:lang w:val="en-IE"/>
        </w:rPr>
        <w:t xml:space="preserve">fundamental </w:t>
      </w:r>
      <w:r w:rsidRPr="6D6A0CCE">
        <w:rPr>
          <w:rFonts w:eastAsia="Arial Unicode MS"/>
          <w:noProof/>
          <w:lang w:val="en-IE"/>
        </w:rPr>
        <w:t>prerequisite for seizing</w:t>
      </w:r>
      <w:r w:rsidRPr="00B356D4">
        <w:rPr>
          <w:rFonts w:eastAsia="Arial Unicode MS"/>
          <w:noProof/>
          <w:lang w:val="en-IE"/>
        </w:rPr>
        <w:t xml:space="preserve"> the opportunities </w:t>
      </w:r>
      <w:r w:rsidRPr="6D6A0CCE">
        <w:rPr>
          <w:rFonts w:eastAsia="Arial Unicode MS"/>
          <w:noProof/>
          <w:lang w:val="en-IE"/>
        </w:rPr>
        <w:t xml:space="preserve">presented by </w:t>
      </w:r>
      <w:r>
        <w:rPr>
          <w:rFonts w:eastAsia="Arial Unicode MS"/>
          <w:noProof/>
          <w:lang w:val="en-IE"/>
        </w:rPr>
        <w:t>the</w:t>
      </w:r>
      <w:r w:rsidRPr="00B356D4">
        <w:rPr>
          <w:rFonts w:eastAsia="Arial Unicode MS"/>
          <w:noProof/>
          <w:lang w:val="en-IE"/>
        </w:rPr>
        <w:t xml:space="preserve"> digital age</w:t>
      </w:r>
      <w:r>
        <w:rPr>
          <w:rFonts w:eastAsia="Arial Unicode MS"/>
          <w:noProof/>
          <w:lang w:val="en-IE"/>
        </w:rPr>
        <w:t xml:space="preserve"> we live in</w:t>
      </w:r>
      <w:r w:rsidRPr="00B356D4">
        <w:rPr>
          <w:rFonts w:eastAsia="Arial Unicode MS"/>
          <w:noProof/>
          <w:lang w:val="en-IE"/>
        </w:rPr>
        <w:t xml:space="preserve">. The President of the Commission, Ursula von der Leyen, </w:t>
      </w:r>
      <w:r w:rsidRPr="6D6A0CCE">
        <w:rPr>
          <w:rFonts w:eastAsia="Arial Unicode MS"/>
          <w:noProof/>
          <w:lang w:val="en-IE"/>
        </w:rPr>
        <w:t xml:space="preserve">stated </w:t>
      </w:r>
      <w:r w:rsidRPr="00B356D4">
        <w:rPr>
          <w:rFonts w:eastAsia="Arial Unicode MS"/>
          <w:noProof/>
          <w:lang w:val="en-IE"/>
        </w:rPr>
        <w:t xml:space="preserve">in </w:t>
      </w:r>
      <w:r w:rsidRPr="00B356D4">
        <w:rPr>
          <w:rFonts w:eastAsia="Arial Unicode MS"/>
          <w:noProof/>
        </w:rPr>
        <w:t xml:space="preserve">her </w:t>
      </w:r>
      <w:r w:rsidRPr="00B356D4">
        <w:rPr>
          <w:rFonts w:eastAsia="Arial Unicode MS"/>
          <w:noProof/>
          <w:lang w:val="en-IE"/>
        </w:rPr>
        <w:t>political guidelines for the 2019-2024 Commission that Europe must ‘</w:t>
      </w:r>
      <w:r w:rsidRPr="1D7DF308">
        <w:rPr>
          <w:rFonts w:eastAsia="Arial Unicode MS"/>
          <w:i/>
          <w:iCs/>
          <w:noProof/>
        </w:rPr>
        <w:t>balance the flow and use of data while preserving high privacy, security, safety and ethical standards</w:t>
      </w:r>
      <w:r w:rsidRPr="00B356D4">
        <w:rPr>
          <w:rFonts w:eastAsia="Arial Unicode MS"/>
          <w:noProof/>
        </w:rPr>
        <w:t>’</w:t>
      </w:r>
      <w:r w:rsidRPr="00B356D4">
        <w:rPr>
          <w:rStyle w:val="FootnoteReference"/>
          <w:rFonts w:eastAsia="Arial Unicode MS"/>
          <w:noProof/>
          <w:lang w:val="en-IE"/>
        </w:rPr>
        <w:footnoteReference w:id="1"/>
      </w:r>
      <w:r w:rsidRPr="00B356D4">
        <w:rPr>
          <w:rFonts w:eastAsia="Arial Unicode MS"/>
          <w:noProof/>
        </w:rPr>
        <w:t>. T</w:t>
      </w:r>
      <w:r w:rsidRPr="00B356D4">
        <w:rPr>
          <w:rFonts w:eastAsia="Arial Unicode MS"/>
          <w:noProof/>
          <w:lang w:val="en-IE"/>
        </w:rPr>
        <w:t>he Commission Work Programme 2020</w:t>
      </w:r>
      <w:r w:rsidRPr="00B356D4">
        <w:rPr>
          <w:rStyle w:val="FootnoteReference"/>
          <w:rFonts w:eastAsia="Arial Unicode MS"/>
          <w:noProof/>
          <w:lang w:val="en-IE"/>
        </w:rPr>
        <w:footnoteReference w:id="2"/>
      </w:r>
      <w:r w:rsidRPr="00B356D4">
        <w:rPr>
          <w:rFonts w:eastAsia="Arial Unicode MS"/>
          <w:noProof/>
          <w:lang w:val="en-IE"/>
        </w:rPr>
        <w:t xml:space="preserve"> </w:t>
      </w:r>
      <w:r w:rsidRPr="6D6A0CCE">
        <w:rPr>
          <w:rFonts w:eastAsia="Arial Unicode MS"/>
          <w:noProof/>
          <w:lang w:val="en-IE"/>
        </w:rPr>
        <w:t xml:space="preserve">set out </w:t>
      </w:r>
      <w:r w:rsidRPr="00B356D4">
        <w:rPr>
          <w:rFonts w:eastAsia="Arial Unicode MS"/>
          <w:noProof/>
          <w:lang w:val="en-IE"/>
        </w:rPr>
        <w:t xml:space="preserve">several strategic objectives, including the European </w:t>
      </w:r>
      <w:r w:rsidRPr="6D6A0CCE">
        <w:rPr>
          <w:rFonts w:eastAsia="Arial Unicode MS"/>
          <w:noProof/>
          <w:lang w:val="en-IE"/>
        </w:rPr>
        <w:t>s</w:t>
      </w:r>
      <w:r w:rsidRPr="00B356D4">
        <w:rPr>
          <w:rFonts w:eastAsia="Arial Unicode MS"/>
          <w:noProof/>
          <w:lang w:val="en-IE"/>
        </w:rPr>
        <w:t xml:space="preserve">trategy for </w:t>
      </w:r>
      <w:r w:rsidRPr="6D6A0CCE">
        <w:rPr>
          <w:rFonts w:eastAsia="Arial Unicode MS"/>
          <w:noProof/>
          <w:lang w:val="en-IE"/>
        </w:rPr>
        <w:t>d</w:t>
      </w:r>
      <w:r w:rsidRPr="00B356D4">
        <w:rPr>
          <w:rFonts w:eastAsia="Arial Unicode MS"/>
          <w:noProof/>
          <w:lang w:val="en-IE"/>
        </w:rPr>
        <w:t>ata</w:t>
      </w:r>
      <w:r w:rsidRPr="00B356D4">
        <w:rPr>
          <w:rStyle w:val="FootnoteReference"/>
          <w:rFonts w:eastAsia="Arial Unicode MS"/>
          <w:noProof/>
          <w:lang w:val="en-IE"/>
        </w:rPr>
        <w:footnoteReference w:id="3"/>
      </w:r>
      <w:r w:rsidRPr="00B356D4">
        <w:rPr>
          <w:rFonts w:eastAsia="Arial Unicode MS"/>
          <w:noProof/>
          <w:lang w:val="en-IE"/>
        </w:rPr>
        <w:t>, adopted in February 2020. Th</w:t>
      </w:r>
      <w:r>
        <w:rPr>
          <w:rFonts w:eastAsia="Arial Unicode MS"/>
          <w:noProof/>
          <w:lang w:val="en-IE"/>
        </w:rPr>
        <w:t>at</w:t>
      </w:r>
      <w:r w:rsidRPr="00B356D4">
        <w:rPr>
          <w:rFonts w:eastAsia="Arial Unicode MS"/>
          <w:noProof/>
          <w:lang w:val="en-IE"/>
        </w:rPr>
        <w:t xml:space="preserve"> strategy aims at building a genuine single market for data and at making Europe a global leader in the data-agile economy. For this reason, the Data Act is a key pillar and the second major initiative announced in the data strategy. </w:t>
      </w:r>
      <w:r w:rsidRPr="1D7DF308">
        <w:rPr>
          <w:rFonts w:eastAsia="Arial Unicode MS"/>
          <w:noProof/>
          <w:lang w:val="en-IE"/>
        </w:rPr>
        <w:t>In particular, it</w:t>
      </w:r>
      <w:r w:rsidRPr="00B356D4">
        <w:rPr>
          <w:rFonts w:eastAsia="Arial Unicode MS"/>
          <w:noProof/>
          <w:lang w:val="en-IE"/>
        </w:rPr>
        <w:t xml:space="preserve"> contributes to the creation of a cross-sectoral governance framework for data access and use by legislating on matters that affect relations between data economy actors, in order to provide incentives for horizontal data sharing across sectors.</w:t>
      </w:r>
    </w:p>
    <w:p w14:paraId="29DB8836" w14:textId="78065F00" w:rsidR="0023412A" w:rsidRPr="00B356D4" w:rsidRDefault="0023412A" w:rsidP="0023412A">
      <w:pPr>
        <w:widowControl w:val="0"/>
        <w:spacing w:before="0" w:after="200"/>
        <w:rPr>
          <w:rFonts w:eastAsia="Calibri"/>
          <w:noProof/>
          <w:lang w:val="en-IE"/>
        </w:rPr>
      </w:pPr>
      <w:r w:rsidRPr="00B356D4">
        <w:rPr>
          <w:rFonts w:eastAsia="Arial Unicode MS"/>
          <w:noProof/>
          <w:lang w:val="en-IE"/>
        </w:rPr>
        <w:t>The European Council’s Conclusions of 21-22 October 2021 underlined ‘</w:t>
      </w:r>
      <w:r w:rsidRPr="1D7DF308">
        <w:rPr>
          <w:rFonts w:eastAsia="Arial Unicode MS"/>
          <w:i/>
          <w:iCs/>
          <w:noProof/>
          <w:lang w:val="en-IE"/>
        </w:rPr>
        <w:t>the importance of making rapid progress on existing and future initiatives, in particular unlocking the value of data in Europe, notably through a comprehensive regulatory framework that is conducive to innovation and facilitates better data portability, fair access to data and ensures interoperability</w:t>
      </w:r>
      <w:r w:rsidRPr="00B356D4">
        <w:rPr>
          <w:rFonts w:eastAsia="Arial Unicode MS"/>
          <w:noProof/>
          <w:lang w:val="en-IE"/>
        </w:rPr>
        <w:t>’</w:t>
      </w:r>
      <w:r w:rsidRPr="00B356D4">
        <w:rPr>
          <w:rStyle w:val="FootnoteReference"/>
          <w:rFonts w:eastAsia="Arial Unicode MS"/>
          <w:noProof/>
          <w:lang w:val="en-IE"/>
        </w:rPr>
        <w:footnoteReference w:id="4"/>
      </w:r>
      <w:r w:rsidRPr="00B356D4">
        <w:rPr>
          <w:rFonts w:eastAsia="Arial Unicode MS"/>
          <w:noProof/>
          <w:lang w:val="en-IE"/>
        </w:rPr>
        <w:t xml:space="preserve">. </w:t>
      </w:r>
      <w:r w:rsidRPr="00B356D4">
        <w:rPr>
          <w:noProof/>
          <w:lang w:val="en-IE"/>
        </w:rPr>
        <w:t>On 25 March 2021, the European Council reiterated ‘</w:t>
      </w:r>
      <w:r w:rsidRPr="1D7DF308">
        <w:rPr>
          <w:i/>
          <w:iCs/>
          <w:noProof/>
          <w:lang w:val="en-IE"/>
        </w:rPr>
        <w:t>the importance of better exploiting the potential of data and digital technologies for the benefit of the society and economy</w:t>
      </w:r>
      <w:r w:rsidRPr="00B356D4">
        <w:rPr>
          <w:noProof/>
          <w:lang w:val="en-IE"/>
        </w:rPr>
        <w:t>’</w:t>
      </w:r>
      <w:r w:rsidRPr="00B356D4">
        <w:rPr>
          <w:rStyle w:val="FootnoteReference"/>
          <w:noProof/>
          <w:lang w:val="en-IE"/>
        </w:rPr>
        <w:footnoteReference w:id="5"/>
      </w:r>
      <w:r w:rsidRPr="00B356D4">
        <w:rPr>
          <w:noProof/>
          <w:lang w:val="en-IE"/>
        </w:rPr>
        <w:t>. On 1-2 October 2020, it stressed ‘</w:t>
      </w:r>
      <w:r w:rsidRPr="1D7DF308">
        <w:rPr>
          <w:i/>
          <w:iCs/>
          <w:noProof/>
          <w:lang w:val="en-IE"/>
        </w:rPr>
        <w:t>the need to make high-quality data more readily available and to promote and enable better sharing and pooling of data, as well as interoperability</w:t>
      </w:r>
      <w:r w:rsidRPr="4749DABA">
        <w:rPr>
          <w:i/>
          <w:noProof/>
          <w:lang w:val="en-IE"/>
        </w:rPr>
        <w:t>’</w:t>
      </w:r>
      <w:r w:rsidRPr="00B356D4">
        <w:rPr>
          <w:rStyle w:val="FootnoteReference"/>
          <w:noProof/>
          <w:lang w:val="en-IE"/>
        </w:rPr>
        <w:footnoteReference w:id="6"/>
      </w:r>
      <w:r w:rsidRPr="00B356D4">
        <w:rPr>
          <w:noProof/>
          <w:lang w:val="en-IE"/>
        </w:rPr>
        <w:t xml:space="preserve">. On cloud services, on 15 October 2020, the EU </w:t>
      </w:r>
      <w:r w:rsidR="00DE3384">
        <w:rPr>
          <w:noProof/>
          <w:lang w:val="en-IE"/>
        </w:rPr>
        <w:t>Member States</w:t>
      </w:r>
      <w:r w:rsidR="00DE3384" w:rsidRPr="00B356D4">
        <w:rPr>
          <w:noProof/>
          <w:lang w:val="en-IE"/>
        </w:rPr>
        <w:t xml:space="preserve"> </w:t>
      </w:r>
      <w:r w:rsidRPr="00B356D4">
        <w:rPr>
          <w:noProof/>
          <w:lang w:val="en-IE"/>
        </w:rPr>
        <w:t>unanimously adopted a Joint Declaration on building the next generation cloud for businesses and the public sector in the EU. This would require a next generation of EU cloud offering that reaches the highest standards in in portability and interoperability, for example</w:t>
      </w:r>
      <w:r w:rsidRPr="00B356D4">
        <w:rPr>
          <w:rStyle w:val="FootnoteReference"/>
          <w:noProof/>
          <w:lang w:val="en-IE"/>
        </w:rPr>
        <w:footnoteReference w:id="7"/>
      </w:r>
      <w:r w:rsidRPr="00B356D4">
        <w:rPr>
          <w:noProof/>
          <w:lang w:val="en-IE"/>
        </w:rPr>
        <w:t xml:space="preserve">. </w:t>
      </w:r>
    </w:p>
    <w:p w14:paraId="6605581B" w14:textId="77777777" w:rsidR="0023412A" w:rsidRDefault="0023412A" w:rsidP="0023412A">
      <w:pPr>
        <w:widowControl w:val="0"/>
        <w:spacing w:before="0" w:after="200"/>
        <w:rPr>
          <w:rFonts w:eastAsia="Arial Unicode MS"/>
          <w:noProof/>
          <w:lang w:val="en-IE"/>
        </w:rPr>
      </w:pPr>
      <w:r w:rsidRPr="00B356D4">
        <w:rPr>
          <w:rFonts w:eastAsia="Arial Unicode MS"/>
          <w:noProof/>
          <w:lang w:val="en-IE"/>
        </w:rPr>
        <w:t>The European Parliament resolution of 25 March 2021 on a European strategy for data urged the Commission to present a data act to encourage and enable greater and fair</w:t>
      </w:r>
      <w:r w:rsidRPr="36AC8DDE">
        <w:rPr>
          <w:rFonts w:eastAsia="Arial Unicode MS"/>
          <w:noProof/>
          <w:lang w:val="en-IE"/>
        </w:rPr>
        <w:t>er</w:t>
      </w:r>
      <w:r w:rsidRPr="00B356D4">
        <w:rPr>
          <w:rFonts w:eastAsia="Arial Unicode MS"/>
          <w:noProof/>
          <w:lang w:val="en-IE"/>
        </w:rPr>
        <w:t xml:space="preserve"> </w:t>
      </w:r>
      <w:r w:rsidRPr="36AC8DDE">
        <w:rPr>
          <w:rFonts w:eastAsia="Arial Unicode MS"/>
          <w:noProof/>
          <w:lang w:val="en-IE"/>
        </w:rPr>
        <w:t>flow of data in all sectors, from</w:t>
      </w:r>
      <w:r w:rsidRPr="00B356D4">
        <w:rPr>
          <w:rFonts w:eastAsia="Arial Unicode MS"/>
          <w:noProof/>
          <w:lang w:val="en-IE"/>
        </w:rPr>
        <w:t xml:space="preserve"> business-to-business, business-to-government, government-to-business and government-to-government</w:t>
      </w:r>
      <w:r w:rsidRPr="00B356D4">
        <w:rPr>
          <w:rStyle w:val="FootnoteReference"/>
          <w:rFonts w:eastAsia="Arial Unicode MS"/>
          <w:noProof/>
          <w:lang w:val="en-IE"/>
        </w:rPr>
        <w:footnoteReference w:id="8"/>
      </w:r>
      <w:r w:rsidRPr="00B356D4">
        <w:rPr>
          <w:rFonts w:eastAsia="Arial Unicode MS"/>
          <w:noProof/>
          <w:lang w:val="en-IE"/>
        </w:rPr>
        <w:t xml:space="preserve">. </w:t>
      </w:r>
      <w:r w:rsidRPr="36AC8DDE">
        <w:rPr>
          <w:rFonts w:eastAsia="Arial Unicode MS"/>
          <w:noProof/>
          <w:lang w:val="en-IE"/>
        </w:rPr>
        <w:t>In its resolution of 25 March 2021, the</w:t>
      </w:r>
      <w:r>
        <w:rPr>
          <w:rFonts w:eastAsia="Arial Unicode MS"/>
          <w:noProof/>
          <w:lang w:val="en-IE"/>
        </w:rPr>
        <w:t xml:space="preserve"> European Parliament </w:t>
      </w:r>
      <w:r w:rsidRPr="36AC8DDE">
        <w:rPr>
          <w:rFonts w:eastAsia="Arial Unicode MS"/>
          <w:noProof/>
          <w:lang w:val="en-IE"/>
        </w:rPr>
        <w:t>also</w:t>
      </w:r>
      <w:r>
        <w:rPr>
          <w:rFonts w:eastAsia="Arial Unicode MS"/>
          <w:noProof/>
          <w:lang w:val="en-IE"/>
        </w:rPr>
        <w:t xml:space="preserve"> highlighted the need </w:t>
      </w:r>
      <w:r w:rsidRPr="00CB22E5">
        <w:rPr>
          <w:rFonts w:eastAsia="Arial Unicode MS"/>
          <w:noProof/>
        </w:rPr>
        <w:t xml:space="preserve">to create common European data spaces </w:t>
      </w:r>
      <w:r w:rsidRPr="36AC8DDE">
        <w:rPr>
          <w:rFonts w:eastAsia="Arial Unicode MS"/>
          <w:noProof/>
        </w:rPr>
        <w:t>for</w:t>
      </w:r>
      <w:r w:rsidRPr="00CB22E5">
        <w:rPr>
          <w:rFonts w:eastAsia="Arial Unicode MS"/>
          <w:noProof/>
        </w:rPr>
        <w:t xml:space="preserve"> the free flow of non-personal data across borders and sectors </w:t>
      </w:r>
      <w:r>
        <w:rPr>
          <w:rFonts w:eastAsia="Arial Unicode MS"/>
          <w:noProof/>
        </w:rPr>
        <w:t xml:space="preserve">and </w:t>
      </w:r>
      <w:r w:rsidRPr="00CB22E5">
        <w:rPr>
          <w:rFonts w:eastAsia="Arial Unicode MS"/>
          <w:noProof/>
        </w:rPr>
        <w:t>between businesses, academia, relevant stakeholders and the public sector</w:t>
      </w:r>
      <w:r>
        <w:rPr>
          <w:rFonts w:eastAsia="Arial Unicode MS"/>
          <w:noProof/>
        </w:rPr>
        <w:t>.</w:t>
      </w:r>
      <w:r w:rsidRPr="00B356D4">
        <w:rPr>
          <w:rFonts w:eastAsia="Arial Unicode MS"/>
          <w:noProof/>
          <w:lang w:val="en-IE"/>
        </w:rPr>
        <w:t xml:space="preserve"> </w:t>
      </w:r>
      <w:r w:rsidRPr="36AC8DDE">
        <w:rPr>
          <w:rFonts w:eastAsia="Arial Unicode MS"/>
          <w:noProof/>
          <w:lang w:val="en-IE"/>
        </w:rPr>
        <w:t xml:space="preserve">From this perspective, </w:t>
      </w:r>
      <w:r w:rsidRPr="00B356D4">
        <w:rPr>
          <w:rFonts w:eastAsia="Arial Unicode MS"/>
          <w:noProof/>
          <w:lang w:val="en-IE"/>
        </w:rPr>
        <w:t>it encouraged the Commission to clarify utilisation rights, especially in business-to-business and business-to-government settings. It stressed that market imbalances arising from the concentration of data restrict competition</w:t>
      </w:r>
      <w:r>
        <w:rPr>
          <w:rFonts w:eastAsia="Arial Unicode MS"/>
          <w:noProof/>
          <w:lang w:val="en-IE"/>
        </w:rPr>
        <w:t>,</w:t>
      </w:r>
      <w:r w:rsidRPr="00B356D4">
        <w:rPr>
          <w:rFonts w:eastAsia="Arial Unicode MS"/>
          <w:noProof/>
          <w:lang w:val="en-IE"/>
        </w:rPr>
        <w:t xml:space="preserve"> increase market entry barriers and diminish wider data access and use. </w:t>
      </w:r>
    </w:p>
    <w:p w14:paraId="7611F180" w14:textId="5612A1DB" w:rsidR="0023412A" w:rsidRDefault="0023412A" w:rsidP="0023412A">
      <w:pPr>
        <w:widowControl w:val="0"/>
        <w:spacing w:before="0" w:after="200"/>
        <w:rPr>
          <w:rFonts w:eastAsia="Arial Unicode MS"/>
          <w:noProof/>
          <w:lang w:val="en-IE"/>
        </w:rPr>
      </w:pPr>
      <w:r w:rsidRPr="1D7DF308">
        <w:rPr>
          <w:rFonts w:eastAsia="Arial Unicode MS"/>
          <w:noProof/>
          <w:lang w:val="en-IE"/>
        </w:rPr>
        <w:t>In its resolution, the European Parliament also pointed out that business-to-business contractual agreements do not necessarily guarantee adequate access to data for small and medium</w:t>
      </w:r>
      <w:r w:rsidR="003C30E8">
        <w:rPr>
          <w:rFonts w:eastAsia="Arial Unicode MS"/>
          <w:noProof/>
          <w:lang w:val="en-IE"/>
        </w:rPr>
        <w:t>-</w:t>
      </w:r>
      <w:r w:rsidRPr="1D7DF308">
        <w:rPr>
          <w:rFonts w:eastAsia="Arial Unicode MS"/>
          <w:noProof/>
          <w:lang w:val="en-IE"/>
        </w:rPr>
        <w:t>sized enterprises (SMEs</w:t>
      </w:r>
      <w:r w:rsidRPr="4749DABA">
        <w:rPr>
          <w:rFonts w:eastAsia="Arial Unicode MS"/>
          <w:noProof/>
          <w:lang w:val="en-IE"/>
        </w:rPr>
        <w:t>).</w:t>
      </w:r>
      <w:r w:rsidRPr="1D7DF308">
        <w:rPr>
          <w:rFonts w:eastAsia="Arial Unicode MS"/>
          <w:noProof/>
          <w:lang w:val="en-IE"/>
        </w:rPr>
        <w:t xml:space="preserve"> The reason for this is that there </w:t>
      </w:r>
      <w:r w:rsidRPr="4749DABA">
        <w:rPr>
          <w:rFonts w:eastAsia="Arial Unicode MS"/>
          <w:noProof/>
          <w:lang w:val="en-IE"/>
        </w:rPr>
        <w:t>are</w:t>
      </w:r>
      <w:r w:rsidRPr="1D7DF308">
        <w:rPr>
          <w:rFonts w:eastAsia="Arial Unicode MS"/>
          <w:noProof/>
          <w:lang w:val="en-IE"/>
        </w:rPr>
        <w:t xml:space="preserve"> disparities in negotiation power and expertise. The European Parliament </w:t>
      </w:r>
      <w:r w:rsidRPr="4749DABA">
        <w:rPr>
          <w:rFonts w:eastAsia="Arial Unicode MS"/>
          <w:noProof/>
          <w:lang w:val="en-IE"/>
        </w:rPr>
        <w:t>therefore</w:t>
      </w:r>
      <w:r w:rsidRPr="1D7DF308">
        <w:rPr>
          <w:rFonts w:eastAsia="Arial Unicode MS"/>
          <w:noProof/>
          <w:lang w:val="en-IE"/>
        </w:rPr>
        <w:t xml:space="preserve"> stressed the need for contracts to set out clear obligations and determine liability for accessing, processing, sharing and storing data in order to limit </w:t>
      </w:r>
      <w:r w:rsidRPr="4749DABA">
        <w:rPr>
          <w:rFonts w:eastAsia="Arial Unicode MS"/>
          <w:noProof/>
          <w:lang w:val="en-IE"/>
        </w:rPr>
        <w:t>its</w:t>
      </w:r>
      <w:r w:rsidRPr="1D7DF308">
        <w:rPr>
          <w:rFonts w:eastAsia="Arial Unicode MS"/>
          <w:noProof/>
          <w:lang w:val="en-IE"/>
        </w:rPr>
        <w:t xml:space="preserve"> misuse. </w:t>
      </w:r>
    </w:p>
    <w:p w14:paraId="296AB8B5" w14:textId="36C66066" w:rsidR="0023412A" w:rsidRDefault="0023412A" w:rsidP="0023412A">
      <w:pPr>
        <w:widowControl w:val="0"/>
        <w:spacing w:before="0" w:after="200"/>
        <w:rPr>
          <w:rFonts w:eastAsia="Arial Unicode MS"/>
          <w:noProof/>
          <w:lang w:val="en-IE"/>
        </w:rPr>
      </w:pPr>
      <w:r w:rsidRPr="00B356D4">
        <w:rPr>
          <w:rFonts w:eastAsia="Arial Unicode MS"/>
          <w:noProof/>
          <w:lang w:val="en-IE"/>
        </w:rPr>
        <w:t>As such</w:t>
      </w:r>
      <w:r w:rsidRPr="1D7DF308">
        <w:rPr>
          <w:rFonts w:eastAsia="Arial Unicode MS"/>
          <w:noProof/>
          <w:lang w:val="en-IE"/>
        </w:rPr>
        <w:t xml:space="preserve">, the Commission and EU </w:t>
      </w:r>
      <w:r w:rsidR="00DE3384">
        <w:rPr>
          <w:rFonts w:eastAsia="Arial Unicode MS"/>
          <w:noProof/>
          <w:lang w:val="en-IE"/>
        </w:rPr>
        <w:t>Member States</w:t>
      </w:r>
      <w:r w:rsidR="00DE3384" w:rsidRPr="1D7DF308">
        <w:rPr>
          <w:rFonts w:eastAsia="Arial Unicode MS"/>
          <w:noProof/>
          <w:lang w:val="en-IE"/>
        </w:rPr>
        <w:t xml:space="preserve"> </w:t>
      </w:r>
      <w:r w:rsidRPr="1D7DF308">
        <w:rPr>
          <w:rFonts w:eastAsia="Arial Unicode MS"/>
          <w:noProof/>
          <w:lang w:val="en-IE"/>
        </w:rPr>
        <w:t xml:space="preserve">were </w:t>
      </w:r>
      <w:r w:rsidRPr="4749DABA">
        <w:rPr>
          <w:rFonts w:eastAsia="Arial Unicode MS"/>
          <w:noProof/>
          <w:lang w:val="en-IE"/>
        </w:rPr>
        <w:t>asked</w:t>
      </w:r>
      <w:r w:rsidRPr="61A0BC11">
        <w:rPr>
          <w:rFonts w:eastAsia="Arial Unicode MS"/>
          <w:noProof/>
          <w:lang w:val="en-IE"/>
        </w:rPr>
        <w:t xml:space="preserve"> </w:t>
      </w:r>
      <w:r w:rsidRPr="1D7DF308">
        <w:rPr>
          <w:rFonts w:eastAsia="Arial Unicode MS"/>
          <w:noProof/>
          <w:lang w:val="en-IE"/>
        </w:rPr>
        <w:t xml:space="preserve">to examine actors’ rights and their obligations to access data they have been involved in generating and to improve their awareness of, in particular, the right to access data, to port it, to urge another party to stop using it, or to rectify or delete it, while also identifying the holders and delineating the nature of such rights. </w:t>
      </w:r>
    </w:p>
    <w:p w14:paraId="7E3CBF4F" w14:textId="77777777" w:rsidR="0023412A" w:rsidRPr="00B356D4" w:rsidRDefault="0023412A" w:rsidP="0023412A">
      <w:pPr>
        <w:widowControl w:val="0"/>
        <w:spacing w:before="0" w:after="200"/>
        <w:rPr>
          <w:rFonts w:eastAsia="Arial Unicode MS"/>
          <w:noProof/>
          <w:lang w:val="en-IE"/>
        </w:rPr>
      </w:pPr>
      <w:r w:rsidRPr="1D7DF308">
        <w:rPr>
          <w:rFonts w:eastAsia="Arial Unicode MS"/>
          <w:noProof/>
          <w:lang w:val="en-IE"/>
        </w:rPr>
        <w:t xml:space="preserve">On the business-to-government front, the European Parliament requested that the Commission </w:t>
      </w:r>
      <w:r w:rsidRPr="4749DABA">
        <w:rPr>
          <w:rFonts w:eastAsia="Arial Unicode MS"/>
          <w:noProof/>
          <w:lang w:val="en-IE"/>
        </w:rPr>
        <w:t>set</w:t>
      </w:r>
      <w:r w:rsidRPr="1D7DF308">
        <w:rPr>
          <w:rFonts w:eastAsia="Arial Unicode MS"/>
          <w:noProof/>
          <w:lang w:val="en-IE"/>
        </w:rPr>
        <w:t xml:space="preserve"> out the situations, conditions and incentives under which the private sector should be obliged to make data available for use by the public sector, such as due to its necessity for the organisation of data-driven public services, and also examine compulsory business-to-government data sharing schemes, for instance in situations that are beyond people’s control.</w:t>
      </w:r>
    </w:p>
    <w:p w14:paraId="4A224360" w14:textId="77777777" w:rsidR="00ED103B" w:rsidRDefault="0023412A" w:rsidP="0023412A">
      <w:pPr>
        <w:spacing w:before="0" w:after="200"/>
        <w:rPr>
          <w:rFonts w:eastAsia="Arial Unicode MS"/>
          <w:noProof/>
          <w:lang w:val="en-IE"/>
        </w:rPr>
      </w:pPr>
      <w:r w:rsidRPr="1D7DF308">
        <w:rPr>
          <w:rFonts w:eastAsia="Arial Unicode MS"/>
          <w:noProof/>
          <w:lang w:val="en-IE"/>
        </w:rPr>
        <w:t xml:space="preserve">In this context, the Commission puts forward the proposed </w:t>
      </w:r>
      <w:r w:rsidRPr="1D7DF308">
        <w:rPr>
          <w:rFonts w:eastAsia="Arial Unicode MS"/>
          <w:b/>
          <w:bCs/>
          <w:noProof/>
          <w:lang w:val="en-IE"/>
        </w:rPr>
        <w:t xml:space="preserve">Data Act </w:t>
      </w:r>
      <w:r w:rsidRPr="1D7DF308">
        <w:rPr>
          <w:rFonts w:eastAsia="Arial Unicode MS"/>
          <w:noProof/>
          <w:lang w:val="en-IE"/>
        </w:rPr>
        <w:t>with the</w:t>
      </w:r>
      <w:r w:rsidRPr="1D7DF308">
        <w:rPr>
          <w:rFonts w:eastAsia="Arial Unicode MS"/>
          <w:b/>
          <w:bCs/>
          <w:noProof/>
          <w:lang w:val="en-IE"/>
        </w:rPr>
        <w:t xml:space="preserve"> aim of ensuring fairness in the allocation of value from data among actors in the data economy and to foster access to and use of data</w:t>
      </w:r>
      <w:r w:rsidRPr="1D7DF308">
        <w:rPr>
          <w:rFonts w:eastAsia="Arial Unicode MS"/>
          <w:noProof/>
          <w:lang w:val="en-IE"/>
        </w:rPr>
        <w:t xml:space="preserve">. </w:t>
      </w:r>
    </w:p>
    <w:p w14:paraId="7B842571" w14:textId="00BC136E" w:rsidR="0023412A" w:rsidRPr="00B356D4" w:rsidRDefault="0023412A" w:rsidP="0023412A">
      <w:pPr>
        <w:spacing w:before="0" w:after="200"/>
        <w:rPr>
          <w:rFonts w:eastAsia="Arial Unicode MS"/>
          <w:noProof/>
          <w:lang w:val="en-IE"/>
        </w:rPr>
      </w:pPr>
      <w:r w:rsidRPr="1D7DF308">
        <w:rPr>
          <w:rFonts w:eastAsia="Arial Unicode MS"/>
          <w:noProof/>
          <w:lang w:val="en-IE"/>
        </w:rPr>
        <w:t xml:space="preserve">The proposal will help achieve the broader policy goals of ensuring EU businesses across all sectors are in a position to innovate and compete, </w:t>
      </w:r>
      <w:r w:rsidRPr="61A0BC11">
        <w:rPr>
          <w:rFonts w:eastAsia="Arial Unicode MS"/>
          <w:noProof/>
          <w:lang w:val="en-IE"/>
        </w:rPr>
        <w:t xml:space="preserve">effectively empowering </w:t>
      </w:r>
      <w:r w:rsidRPr="1D7DF308">
        <w:rPr>
          <w:rFonts w:eastAsia="Arial Unicode MS"/>
          <w:noProof/>
          <w:lang w:val="en-IE"/>
        </w:rPr>
        <w:t>individuals</w:t>
      </w:r>
      <w:r>
        <w:rPr>
          <w:rFonts w:eastAsia="Arial Unicode MS"/>
          <w:noProof/>
          <w:lang w:val="en-IE"/>
        </w:rPr>
        <w:t xml:space="preserve"> </w:t>
      </w:r>
      <w:r w:rsidRPr="1D7DF308">
        <w:rPr>
          <w:rFonts w:eastAsia="Arial Unicode MS"/>
          <w:noProof/>
          <w:lang w:val="en-IE"/>
        </w:rPr>
        <w:t xml:space="preserve">with respect to their data, and </w:t>
      </w:r>
      <w:r w:rsidRPr="61A0BC11">
        <w:rPr>
          <w:rFonts w:eastAsia="Arial Unicode MS"/>
          <w:noProof/>
          <w:lang w:val="en-IE"/>
        </w:rPr>
        <w:t xml:space="preserve">better equipping </w:t>
      </w:r>
      <w:r w:rsidR="00ED103B">
        <w:rPr>
          <w:rFonts w:eastAsia="Arial Unicode MS"/>
          <w:noProof/>
          <w:lang w:val="en-IE"/>
        </w:rPr>
        <w:t xml:space="preserve">businesses and </w:t>
      </w:r>
      <w:r w:rsidRPr="1D7DF308">
        <w:rPr>
          <w:rFonts w:eastAsia="Arial Unicode MS"/>
          <w:noProof/>
          <w:lang w:val="en-IE"/>
        </w:rPr>
        <w:t xml:space="preserve">public </w:t>
      </w:r>
      <w:r w:rsidR="00ED103B">
        <w:rPr>
          <w:rFonts w:eastAsia="Arial Unicode MS"/>
          <w:noProof/>
          <w:lang w:val="en-IE"/>
        </w:rPr>
        <w:t xml:space="preserve">sector </w:t>
      </w:r>
      <w:r w:rsidRPr="1F9331E6">
        <w:rPr>
          <w:rFonts w:eastAsia="Arial Unicode MS"/>
          <w:noProof/>
          <w:lang w:val="en-IE"/>
        </w:rPr>
        <w:t>bodies with</w:t>
      </w:r>
      <w:r w:rsidRPr="61A0BC11">
        <w:rPr>
          <w:rFonts w:eastAsia="Arial Unicode MS"/>
          <w:noProof/>
          <w:lang w:val="en-IE"/>
        </w:rPr>
        <w:t xml:space="preserve"> </w:t>
      </w:r>
      <w:r w:rsidR="00ED103B">
        <w:rPr>
          <w:rFonts w:eastAsia="Arial Unicode MS"/>
          <w:noProof/>
          <w:lang w:val="en-IE"/>
        </w:rPr>
        <w:t xml:space="preserve">a proportionate and predictable mechanism to tackle major policy and societal challenges, including public emergencies and other exceptional situations. Businesses will be able to easily </w:t>
      </w:r>
      <w:r w:rsidR="00ED103B" w:rsidRPr="00ED103B">
        <w:rPr>
          <w:rFonts w:eastAsia="Arial Unicode MS"/>
          <w:noProof/>
          <w:lang w:val="en-IE"/>
        </w:rPr>
        <w:t>switch their data and other digital assets between competing providers of cloud and other data processing services. Data sharing within and between sectors of the economy requires an interoperability framework of procedural and legislative measures to enhance trust and improve efficiency. The creation of common European data spaces for strategic sectors of the economy and domains of public interest will contribute to a genuine internal market for data enabling data sharing and use across sectors. This Regulation therefore contributes to these governance frameworks and infrastructure as well as data sharing outside data spaces</w:t>
      </w:r>
      <w:r w:rsidRPr="1D7DF308">
        <w:rPr>
          <w:rFonts w:eastAsia="Arial Unicode MS"/>
          <w:noProof/>
          <w:lang w:val="en-IE"/>
        </w:rPr>
        <w:t xml:space="preserve">. </w:t>
      </w:r>
    </w:p>
    <w:p w14:paraId="179D680C" w14:textId="77777777" w:rsidR="0023412A" w:rsidRPr="00B356D4" w:rsidRDefault="0023412A" w:rsidP="0023412A">
      <w:pPr>
        <w:spacing w:before="0" w:after="200"/>
        <w:rPr>
          <w:rFonts w:eastAsia="Arial Unicode MS"/>
          <w:noProof/>
          <w:lang w:val="en-IE"/>
        </w:rPr>
      </w:pPr>
      <w:r w:rsidRPr="00B356D4">
        <w:rPr>
          <w:rFonts w:eastAsia="Arial Unicode MS"/>
          <w:noProof/>
          <w:lang w:val="en-IE"/>
        </w:rPr>
        <w:t xml:space="preserve">The </w:t>
      </w:r>
      <w:r>
        <w:rPr>
          <w:rFonts w:eastAsia="Arial Unicode MS"/>
          <w:noProof/>
          <w:lang w:val="en-IE"/>
        </w:rPr>
        <w:t>proposal’s</w:t>
      </w:r>
      <w:r w:rsidRPr="00B356D4">
        <w:rPr>
          <w:rFonts w:eastAsia="Arial Unicode MS"/>
          <w:noProof/>
          <w:lang w:val="en-IE"/>
        </w:rPr>
        <w:t xml:space="preserve"> specific objectives are </w:t>
      </w:r>
      <w:r>
        <w:rPr>
          <w:rFonts w:eastAsia="Arial Unicode MS"/>
          <w:noProof/>
          <w:lang w:val="en-IE"/>
        </w:rPr>
        <w:t xml:space="preserve">outlined </w:t>
      </w:r>
      <w:r w:rsidRPr="4749DABA">
        <w:rPr>
          <w:rFonts w:eastAsia="Arial Unicode MS"/>
          <w:noProof/>
          <w:lang w:val="en-IE"/>
        </w:rPr>
        <w:t>below.</w:t>
      </w:r>
    </w:p>
    <w:p w14:paraId="0CAD61EA" w14:textId="640A7C5E" w:rsidR="0023412A" w:rsidRPr="00B356D4" w:rsidRDefault="0023412A" w:rsidP="000C36C5">
      <w:pPr>
        <w:pStyle w:val="Tiret0"/>
        <w:numPr>
          <w:ilvl w:val="0"/>
          <w:numId w:val="60"/>
        </w:numPr>
        <w:rPr>
          <w:rFonts w:eastAsia="Calibri"/>
          <w:noProof/>
          <w:lang w:val="en-IE"/>
        </w:rPr>
      </w:pPr>
      <w:r w:rsidRPr="00A053AE">
        <w:rPr>
          <w:b/>
          <w:noProof/>
          <w:lang w:val="en-IE"/>
        </w:rPr>
        <w:t xml:space="preserve">Facilitate access to and </w:t>
      </w:r>
      <w:r w:rsidRPr="4749DABA">
        <w:rPr>
          <w:b/>
          <w:bCs/>
          <w:noProof/>
          <w:lang w:val="en-IE"/>
        </w:rPr>
        <w:t xml:space="preserve">the </w:t>
      </w:r>
      <w:r w:rsidRPr="00A053AE">
        <w:rPr>
          <w:b/>
          <w:noProof/>
          <w:lang w:val="en-IE"/>
        </w:rPr>
        <w:t>use of data by consumers and</w:t>
      </w:r>
      <w:r w:rsidRPr="00A053AE" w:rsidDel="00565FF3">
        <w:rPr>
          <w:b/>
          <w:noProof/>
          <w:lang w:val="en-IE"/>
        </w:rPr>
        <w:t xml:space="preserve"> </w:t>
      </w:r>
      <w:r w:rsidRPr="00A053AE">
        <w:rPr>
          <w:b/>
          <w:noProof/>
          <w:lang w:val="en-IE"/>
        </w:rPr>
        <w:t>businesses, while preserving incentives to invest in ways of generating value through data.</w:t>
      </w:r>
      <w:r w:rsidRPr="00B356D4">
        <w:rPr>
          <w:noProof/>
          <w:lang w:val="en-IE"/>
        </w:rPr>
        <w:t xml:space="preserve"> This includes </w:t>
      </w:r>
      <w:r w:rsidRPr="00B356D4">
        <w:rPr>
          <w:rFonts w:eastAsia="Calibri"/>
          <w:noProof/>
          <w:lang w:val="en-IE"/>
        </w:rPr>
        <w:t xml:space="preserve">increasing legal certainty around the sharing of data </w:t>
      </w:r>
      <w:r>
        <w:rPr>
          <w:rFonts w:eastAsia="Calibri"/>
          <w:noProof/>
          <w:lang w:val="en-IE"/>
        </w:rPr>
        <w:t xml:space="preserve">obtained from or </w:t>
      </w:r>
      <w:r w:rsidRPr="00B356D4">
        <w:rPr>
          <w:rFonts w:eastAsia="Calibri"/>
          <w:noProof/>
          <w:lang w:val="en-IE"/>
        </w:rPr>
        <w:t xml:space="preserve">generated </w:t>
      </w:r>
      <w:r>
        <w:rPr>
          <w:rFonts w:eastAsia="Calibri"/>
          <w:noProof/>
          <w:lang w:val="en-IE"/>
        </w:rPr>
        <w:t>by</w:t>
      </w:r>
      <w:r w:rsidRPr="00B356D4">
        <w:rPr>
          <w:rFonts w:eastAsia="Calibri"/>
          <w:noProof/>
          <w:lang w:val="en-IE"/>
        </w:rPr>
        <w:t xml:space="preserve"> the use of products </w:t>
      </w:r>
      <w:r w:rsidR="00ED103B">
        <w:rPr>
          <w:rFonts w:eastAsia="Calibri"/>
          <w:noProof/>
          <w:lang w:val="en-IE"/>
        </w:rPr>
        <w:t>or</w:t>
      </w:r>
      <w:r w:rsidR="00ED103B" w:rsidRPr="00B356D4">
        <w:rPr>
          <w:rFonts w:eastAsia="Calibri"/>
          <w:noProof/>
          <w:lang w:val="en-IE"/>
        </w:rPr>
        <w:t xml:space="preserve"> </w:t>
      </w:r>
      <w:r w:rsidRPr="00B356D4">
        <w:rPr>
          <w:rFonts w:eastAsia="Calibri"/>
          <w:noProof/>
          <w:lang w:val="en-IE"/>
        </w:rPr>
        <w:t xml:space="preserve">related services, as well as operationalising rules to ensure fairness in data sharing contracts. </w:t>
      </w:r>
      <w:r w:rsidRPr="00B356D4">
        <w:rPr>
          <w:noProof/>
          <w:lang w:val="en-IE"/>
        </w:rPr>
        <w:t xml:space="preserve">The proposal </w:t>
      </w:r>
      <w:r w:rsidRPr="00A053AE">
        <w:rPr>
          <w:b/>
          <w:noProof/>
          <w:lang w:val="en-IE"/>
        </w:rPr>
        <w:t>clarifies</w:t>
      </w:r>
      <w:r w:rsidRPr="00B356D4">
        <w:rPr>
          <w:noProof/>
          <w:lang w:val="en-IE"/>
        </w:rPr>
        <w:t xml:space="preserve"> </w:t>
      </w:r>
      <w:r>
        <w:rPr>
          <w:noProof/>
          <w:lang w:val="en-IE"/>
        </w:rPr>
        <w:t>the application of</w:t>
      </w:r>
      <w:r w:rsidRPr="00B356D4">
        <w:rPr>
          <w:noProof/>
          <w:lang w:val="en-IE"/>
        </w:rPr>
        <w:t xml:space="preserve"> relevant rights under </w:t>
      </w:r>
      <w:r w:rsidRPr="61A0BC11">
        <w:rPr>
          <w:noProof/>
          <w:lang w:val="en-IE"/>
        </w:rPr>
        <w:t>Directive 96/9/EC</w:t>
      </w:r>
      <w:r w:rsidRPr="00B356D4">
        <w:rPr>
          <w:noProof/>
          <w:lang w:val="en-IE"/>
        </w:rPr>
        <w:t xml:space="preserve"> on the legal protection of databases </w:t>
      </w:r>
      <w:r w:rsidRPr="00B356D4">
        <w:rPr>
          <w:rFonts w:eastAsia="Calibri"/>
          <w:noProof/>
          <w:lang w:val="en-IE"/>
        </w:rPr>
        <w:t xml:space="preserve">(the </w:t>
      </w:r>
      <w:r w:rsidRPr="4749DABA">
        <w:rPr>
          <w:rFonts w:eastAsia="Calibri"/>
          <w:b/>
          <w:noProof/>
          <w:lang w:val="en-IE"/>
        </w:rPr>
        <w:t>Database Directive</w:t>
      </w:r>
      <w:r w:rsidRPr="00B356D4">
        <w:rPr>
          <w:rFonts w:eastAsia="Calibri"/>
          <w:noProof/>
          <w:lang w:val="en-IE"/>
        </w:rPr>
        <w:t>)</w:t>
      </w:r>
      <w:r w:rsidRPr="00B356D4">
        <w:rPr>
          <w:rStyle w:val="FootnoteReference"/>
          <w:rFonts w:eastAsia="Calibri"/>
          <w:noProof/>
          <w:lang w:val="en-IE"/>
        </w:rPr>
        <w:footnoteReference w:id="9"/>
      </w:r>
      <w:r>
        <w:rPr>
          <w:rFonts w:eastAsia="Calibri"/>
          <w:noProof/>
          <w:lang w:val="en-IE"/>
        </w:rPr>
        <w:t xml:space="preserve"> to its provisions</w:t>
      </w:r>
      <w:r w:rsidRPr="00B356D4">
        <w:rPr>
          <w:rFonts w:eastAsia="Calibri"/>
          <w:noProof/>
          <w:lang w:val="en-IE"/>
        </w:rPr>
        <w:t xml:space="preserve">. </w:t>
      </w:r>
    </w:p>
    <w:p w14:paraId="72920168" w14:textId="77777777" w:rsidR="0023412A" w:rsidRPr="00B356D4" w:rsidRDefault="0023412A" w:rsidP="000C36C5">
      <w:pPr>
        <w:pStyle w:val="Tiret0"/>
        <w:rPr>
          <w:noProof/>
          <w:lang w:val="en-IE"/>
        </w:rPr>
      </w:pPr>
      <w:r w:rsidRPr="00A053AE">
        <w:rPr>
          <w:rFonts w:eastAsia="Arial Unicode MS"/>
          <w:b/>
          <w:bCs/>
          <w:noProof/>
          <w:lang w:val="en-IE"/>
        </w:rPr>
        <w:t>Provide</w:t>
      </w:r>
      <w:r w:rsidRPr="00A053AE">
        <w:rPr>
          <w:b/>
          <w:bCs/>
          <w:noProof/>
          <w:lang w:val="en-IE"/>
        </w:rPr>
        <w:t xml:space="preserve"> for the </w:t>
      </w:r>
      <w:r w:rsidRPr="00A053AE">
        <w:rPr>
          <w:b/>
          <w:noProof/>
          <w:lang w:val="en-IE"/>
        </w:rPr>
        <w:t xml:space="preserve">use by public sector bodies and Union institutions, agencies or bodies of data held by enterprises </w:t>
      </w:r>
      <w:r w:rsidRPr="00A053AE">
        <w:rPr>
          <w:b/>
          <w:bCs/>
          <w:noProof/>
          <w:lang w:val="en-IE"/>
        </w:rPr>
        <w:t>in certain situations where there is an exceptional data need</w:t>
      </w:r>
      <w:r w:rsidRPr="00A053AE">
        <w:rPr>
          <w:b/>
          <w:noProof/>
          <w:lang w:val="en-IE"/>
        </w:rPr>
        <w:t>.</w:t>
      </w:r>
      <w:r w:rsidRPr="00B356D4">
        <w:rPr>
          <w:noProof/>
          <w:lang w:val="en-IE"/>
        </w:rPr>
        <w:t xml:space="preserve"> This</w:t>
      </w:r>
      <w:r w:rsidRPr="61A0BC11">
        <w:rPr>
          <w:noProof/>
          <w:lang w:val="en-IE"/>
        </w:rPr>
        <w:t xml:space="preserve"> </w:t>
      </w:r>
      <w:r w:rsidRPr="00B356D4">
        <w:rPr>
          <w:noProof/>
          <w:lang w:val="en-IE"/>
        </w:rPr>
        <w:t xml:space="preserve">primarily concerns public emergencies, but also other </w:t>
      </w:r>
      <w:r>
        <w:rPr>
          <w:noProof/>
          <w:lang w:val="en-IE"/>
        </w:rPr>
        <w:t xml:space="preserve">exceptional </w:t>
      </w:r>
      <w:r w:rsidRPr="00B356D4">
        <w:rPr>
          <w:noProof/>
          <w:lang w:val="en-IE"/>
        </w:rPr>
        <w:t xml:space="preserve">situations where compulsory business-to-government data sharing is justified, in order to support </w:t>
      </w:r>
      <w:r w:rsidRPr="00B356D4">
        <w:rPr>
          <w:rFonts w:eastAsia="Arial Unicode MS"/>
          <w:noProof/>
          <w:lang w:val="en-IE"/>
        </w:rPr>
        <w:t>evidence-based, effective, efficient</w:t>
      </w:r>
      <w:r w:rsidRPr="61A0BC11">
        <w:rPr>
          <w:rFonts w:eastAsia="Times New Roman"/>
          <w:noProof/>
          <w:lang w:val="en-IE"/>
        </w:rPr>
        <w:t>, and performance-</w:t>
      </w:r>
      <w:r w:rsidRPr="4749DABA">
        <w:rPr>
          <w:rFonts w:eastAsia="Times New Roman"/>
          <w:noProof/>
          <w:lang w:val="en-IE"/>
        </w:rPr>
        <w:t>driven</w:t>
      </w:r>
      <w:r w:rsidRPr="00B356D4">
        <w:rPr>
          <w:rFonts w:eastAsia="Arial Unicode MS"/>
          <w:noProof/>
          <w:lang w:val="en-IE"/>
        </w:rPr>
        <w:t xml:space="preserve"> public policies and services.</w:t>
      </w:r>
    </w:p>
    <w:p w14:paraId="664CE3D9" w14:textId="77777777" w:rsidR="0023412A" w:rsidRPr="00B356D4" w:rsidRDefault="0023412A" w:rsidP="000C36C5">
      <w:pPr>
        <w:pStyle w:val="Tiret0"/>
        <w:rPr>
          <w:noProof/>
          <w:lang w:val="en-IE"/>
        </w:rPr>
      </w:pPr>
      <w:r w:rsidRPr="00B356D4">
        <w:rPr>
          <w:b/>
          <w:bCs/>
          <w:noProof/>
          <w:lang w:val="en-IE"/>
        </w:rPr>
        <w:t xml:space="preserve">Facilitate </w:t>
      </w:r>
      <w:r w:rsidRPr="00B356D4">
        <w:rPr>
          <w:b/>
          <w:noProof/>
          <w:lang w:val="en-IE"/>
        </w:rPr>
        <w:t>switching between cloud and edge services</w:t>
      </w:r>
      <w:r w:rsidRPr="00B356D4">
        <w:rPr>
          <w:b/>
          <w:bCs/>
          <w:noProof/>
          <w:lang w:val="en-IE"/>
        </w:rPr>
        <w:t>.</w:t>
      </w:r>
      <w:r w:rsidRPr="00B356D4">
        <w:rPr>
          <w:noProof/>
          <w:lang w:val="en-IE"/>
        </w:rPr>
        <w:t xml:space="preserve"> Access to competitive and interoperable data processing services is a precondition for a flourishing data economy</w:t>
      </w:r>
      <w:r w:rsidRPr="76E49D51">
        <w:rPr>
          <w:noProof/>
          <w:lang w:val="en-IE"/>
        </w:rPr>
        <w:t>,</w:t>
      </w:r>
      <w:r w:rsidRPr="00B356D4">
        <w:rPr>
          <w:noProof/>
          <w:lang w:val="en-IE"/>
        </w:rPr>
        <w:t xml:space="preserve"> in which data can be shared easily within and across </w:t>
      </w:r>
      <w:r w:rsidRPr="76E49D51">
        <w:rPr>
          <w:noProof/>
          <w:lang w:val="en-IE"/>
        </w:rPr>
        <w:t>sectoral</w:t>
      </w:r>
      <w:r w:rsidRPr="00B356D4">
        <w:rPr>
          <w:noProof/>
          <w:lang w:val="en-IE"/>
        </w:rPr>
        <w:t xml:space="preserve"> ecosystems. The level of trust in data processing services determines the uptake of such services by users across sectors of the economy. </w:t>
      </w:r>
    </w:p>
    <w:p w14:paraId="2ECDD96B" w14:textId="77777777" w:rsidR="0023412A" w:rsidRPr="00B356D4" w:rsidRDefault="0023412A" w:rsidP="000C36C5">
      <w:pPr>
        <w:pStyle w:val="Tiret0"/>
        <w:rPr>
          <w:noProof/>
          <w:lang w:val="en-IE"/>
        </w:rPr>
      </w:pPr>
      <w:r w:rsidRPr="76E49D51">
        <w:rPr>
          <w:b/>
          <w:bCs/>
          <w:noProof/>
          <w:lang w:val="en-IE"/>
        </w:rPr>
        <w:t>Put in place</w:t>
      </w:r>
      <w:r w:rsidRPr="1D7DF308">
        <w:rPr>
          <w:b/>
          <w:bCs/>
          <w:noProof/>
          <w:lang w:val="en-IE"/>
        </w:rPr>
        <w:t xml:space="preserve"> safeguards against unlawful data transfer without notification by cloud service </w:t>
      </w:r>
      <w:r w:rsidRPr="76E49D51">
        <w:rPr>
          <w:b/>
          <w:bCs/>
          <w:noProof/>
          <w:lang w:val="en-IE"/>
        </w:rPr>
        <w:t>providers</w:t>
      </w:r>
      <w:r w:rsidRPr="76E49D51">
        <w:rPr>
          <w:noProof/>
          <w:lang w:val="en-IE"/>
        </w:rPr>
        <w:t>.</w:t>
      </w:r>
      <w:r w:rsidRPr="1D7DF308">
        <w:rPr>
          <w:noProof/>
          <w:lang w:val="en-IE"/>
        </w:rPr>
        <w:t xml:space="preserve"> This is because </w:t>
      </w:r>
      <w:r w:rsidRPr="76E49D51">
        <w:rPr>
          <w:noProof/>
          <w:lang w:val="en-IE"/>
        </w:rPr>
        <w:t>concerns</w:t>
      </w:r>
      <w:r w:rsidRPr="1D7DF308">
        <w:rPr>
          <w:noProof/>
          <w:lang w:val="en-IE"/>
        </w:rPr>
        <w:t xml:space="preserve"> have been raised about non-EU/European Economic Area (EEA) governments’ unlawful </w:t>
      </w:r>
      <w:r w:rsidRPr="76E49D51">
        <w:rPr>
          <w:noProof/>
          <w:lang w:val="en-IE"/>
        </w:rPr>
        <w:t>access to data.</w:t>
      </w:r>
      <w:r w:rsidRPr="00B356D4">
        <w:rPr>
          <w:noProof/>
          <w:lang w:val="en-IE"/>
        </w:rPr>
        <w:t xml:space="preserve"> Such</w:t>
      </w:r>
      <w:r w:rsidRPr="1D7DF308">
        <w:rPr>
          <w:noProof/>
          <w:lang w:val="en-IE"/>
        </w:rPr>
        <w:t xml:space="preserve"> safeguards should further enhance trust in the data processing services that increasingly underpin the European data economy.</w:t>
      </w:r>
    </w:p>
    <w:p w14:paraId="2A1AB2B1" w14:textId="77777777" w:rsidR="0023412A" w:rsidRPr="00B356D4" w:rsidRDefault="0023412A" w:rsidP="000C36C5">
      <w:pPr>
        <w:pStyle w:val="Tiret0"/>
        <w:rPr>
          <w:noProof/>
          <w:lang w:val="en-IE"/>
        </w:rPr>
      </w:pPr>
      <w:r w:rsidRPr="00B356D4">
        <w:rPr>
          <w:b/>
          <w:bCs/>
          <w:noProof/>
          <w:lang w:val="en-IE"/>
        </w:rPr>
        <w:t xml:space="preserve">Provide for the development of </w:t>
      </w:r>
      <w:r w:rsidRPr="00B356D4">
        <w:rPr>
          <w:b/>
          <w:noProof/>
          <w:lang w:val="en-IE"/>
        </w:rPr>
        <w:t>interoperability standards</w:t>
      </w:r>
      <w:r w:rsidRPr="00B356D4">
        <w:rPr>
          <w:b/>
          <w:bCs/>
          <w:noProof/>
          <w:lang w:val="en-IE"/>
        </w:rPr>
        <w:t xml:space="preserve"> for data to be reused between sectors</w:t>
      </w:r>
      <w:r w:rsidRPr="3712C946">
        <w:rPr>
          <w:noProof/>
          <w:lang w:val="en-IE"/>
        </w:rPr>
        <w:t xml:space="preserve">, in a </w:t>
      </w:r>
      <w:r w:rsidRPr="76E49D51">
        <w:rPr>
          <w:noProof/>
          <w:lang w:val="en-IE"/>
        </w:rPr>
        <w:t>bid to remove</w:t>
      </w:r>
      <w:r w:rsidRPr="00B356D4" w:rsidDel="00D65DCB">
        <w:rPr>
          <w:noProof/>
          <w:lang w:val="en-IE"/>
        </w:rPr>
        <w:t xml:space="preserve"> </w:t>
      </w:r>
      <w:r w:rsidRPr="00B356D4">
        <w:rPr>
          <w:noProof/>
          <w:lang w:val="en-IE"/>
        </w:rPr>
        <w:t xml:space="preserve">barriers to data sharing </w:t>
      </w:r>
      <w:r>
        <w:rPr>
          <w:noProof/>
          <w:lang w:val="en-IE"/>
        </w:rPr>
        <w:t>across</w:t>
      </w:r>
      <w:r w:rsidRPr="00B356D4">
        <w:rPr>
          <w:noProof/>
          <w:lang w:val="en-IE"/>
        </w:rPr>
        <w:t xml:space="preserve"> domain-specific common European data spaces</w:t>
      </w:r>
      <w:r>
        <w:rPr>
          <w:noProof/>
          <w:lang w:val="en-IE"/>
        </w:rPr>
        <w:t>, in consistency with sectoral interoperability requirements</w:t>
      </w:r>
      <w:r w:rsidRPr="76E49D51">
        <w:rPr>
          <w:noProof/>
          <w:lang w:val="en-IE"/>
        </w:rPr>
        <w:t>,</w:t>
      </w:r>
      <w:r w:rsidRPr="76E49D51">
        <w:rPr>
          <w:rFonts w:eastAsia="Times New Roman"/>
          <w:noProof/>
          <w:lang w:val="en-IE"/>
        </w:rPr>
        <w:t xml:space="preserve"> and between other data that are not within the scope of a specific common European data space</w:t>
      </w:r>
      <w:r w:rsidRPr="00B356D4">
        <w:rPr>
          <w:noProof/>
          <w:lang w:val="en-IE"/>
        </w:rPr>
        <w:t xml:space="preserve">. The proposal also supports </w:t>
      </w:r>
      <w:r w:rsidRPr="76E49D51">
        <w:rPr>
          <w:noProof/>
          <w:lang w:val="en-IE"/>
        </w:rPr>
        <w:t xml:space="preserve">the </w:t>
      </w:r>
      <w:r w:rsidRPr="00B356D4">
        <w:rPr>
          <w:noProof/>
          <w:lang w:val="en-IE"/>
        </w:rPr>
        <w:t xml:space="preserve">setting </w:t>
      </w:r>
      <w:r w:rsidRPr="76E49D51">
        <w:rPr>
          <w:noProof/>
          <w:lang w:val="en-IE"/>
        </w:rPr>
        <w:t xml:space="preserve">of </w:t>
      </w:r>
      <w:r w:rsidRPr="00B356D4">
        <w:rPr>
          <w:noProof/>
          <w:lang w:val="en-IE"/>
        </w:rPr>
        <w:t xml:space="preserve">standards for </w:t>
      </w:r>
      <w:r w:rsidRPr="76E49D51">
        <w:rPr>
          <w:noProof/>
          <w:lang w:val="en-IE"/>
        </w:rPr>
        <w:t>'smart</w:t>
      </w:r>
      <w:r w:rsidRPr="00B356D4">
        <w:rPr>
          <w:noProof/>
          <w:lang w:val="en-IE"/>
        </w:rPr>
        <w:t xml:space="preserve"> </w:t>
      </w:r>
      <w:r w:rsidRPr="3712C946">
        <w:rPr>
          <w:noProof/>
          <w:lang w:val="en-IE"/>
        </w:rPr>
        <w:t>contracts’.</w:t>
      </w:r>
      <w:r w:rsidRPr="76E49D51">
        <w:rPr>
          <w:noProof/>
          <w:lang w:val="en-IE"/>
        </w:rPr>
        <w:t xml:space="preserve"> These are</w:t>
      </w:r>
      <w:r w:rsidRPr="00B356D4">
        <w:rPr>
          <w:noProof/>
          <w:lang w:val="en-IE"/>
        </w:rPr>
        <w:t xml:space="preserve"> computer programs on electronic ledgers that execute and settle transactions based on pre-determined conditions</w:t>
      </w:r>
      <w:r w:rsidRPr="3712C946">
        <w:rPr>
          <w:noProof/>
          <w:lang w:val="en-IE"/>
        </w:rPr>
        <w:t>.</w:t>
      </w:r>
      <w:r w:rsidRPr="76E49D51">
        <w:rPr>
          <w:noProof/>
          <w:lang w:val="en-IE"/>
        </w:rPr>
        <w:t xml:space="preserve"> They have</w:t>
      </w:r>
      <w:r w:rsidRPr="00B356D4">
        <w:rPr>
          <w:noProof/>
          <w:lang w:val="en-IE"/>
        </w:rPr>
        <w:t xml:space="preserve"> the potential to provide data holders and data recipients </w:t>
      </w:r>
      <w:r w:rsidRPr="76E49D51">
        <w:rPr>
          <w:noProof/>
          <w:lang w:val="en-IE"/>
        </w:rPr>
        <w:t xml:space="preserve">with guarantees </w:t>
      </w:r>
      <w:r w:rsidRPr="00B356D4">
        <w:rPr>
          <w:noProof/>
          <w:lang w:val="en-IE"/>
        </w:rPr>
        <w:t>that conditions for sharing data are respected.</w:t>
      </w:r>
      <w:r w:rsidRPr="00B356D4">
        <w:rPr>
          <w:noProof/>
        </w:rPr>
        <w:t xml:space="preserve"> </w:t>
      </w:r>
    </w:p>
    <w:p w14:paraId="5D45FB74" w14:textId="77777777" w:rsidR="0023412A" w:rsidRPr="002D5EE2" w:rsidRDefault="0023412A" w:rsidP="0023412A">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60CC7219" w14:textId="015213AB" w:rsidR="0023412A" w:rsidRPr="00B356D4" w:rsidRDefault="0023412A" w:rsidP="0023412A">
      <w:pPr>
        <w:spacing w:before="0" w:after="200"/>
        <w:rPr>
          <w:rFonts w:eastAsia="Arial Unicode MS"/>
          <w:noProof/>
        </w:rPr>
      </w:pPr>
      <w:r w:rsidRPr="00B356D4">
        <w:rPr>
          <w:rFonts w:eastAsia="Arial Unicode MS"/>
          <w:noProof/>
          <w:lang w:val="en-IE"/>
        </w:rPr>
        <w:t>This proposal is consistent with existing rules on the</w:t>
      </w:r>
      <w:r w:rsidRPr="7A5A46DB">
        <w:rPr>
          <w:rFonts w:eastAsia="Arial Unicode MS"/>
          <w:b/>
          <w:bCs/>
          <w:noProof/>
          <w:lang w:val="en-IE"/>
        </w:rPr>
        <w:t xml:space="preserve"> </w:t>
      </w:r>
      <w:r w:rsidRPr="1D7DF308">
        <w:rPr>
          <w:rFonts w:eastAsia="Arial Unicode MS"/>
          <w:b/>
          <w:bCs/>
          <w:noProof/>
          <w:lang w:val="en-IE"/>
        </w:rPr>
        <w:t>processing of personal</w:t>
      </w:r>
      <w:r w:rsidRPr="00B356D4">
        <w:rPr>
          <w:rFonts w:eastAsia="Arial Unicode MS"/>
          <w:noProof/>
          <w:lang w:val="en-IE"/>
        </w:rPr>
        <w:t xml:space="preserve"> </w:t>
      </w:r>
      <w:r w:rsidRPr="1D7DF308">
        <w:rPr>
          <w:rFonts w:eastAsia="Arial Unicode MS"/>
          <w:b/>
          <w:bCs/>
          <w:noProof/>
          <w:lang w:val="en-IE"/>
        </w:rPr>
        <w:t>data</w:t>
      </w:r>
      <w:r w:rsidRPr="00B356D4">
        <w:rPr>
          <w:rFonts w:eastAsia="Arial Unicode MS"/>
          <w:noProof/>
          <w:lang w:val="en-IE"/>
        </w:rPr>
        <w:t xml:space="preserve"> (including the General Data Protection Regulation, (‘GDPR’)</w:t>
      </w:r>
      <w:r w:rsidRPr="00B356D4">
        <w:rPr>
          <w:rStyle w:val="FootnoteReference"/>
          <w:rFonts w:eastAsia="Arial Unicode MS"/>
          <w:noProof/>
          <w:lang w:val="en-IE"/>
        </w:rPr>
        <w:footnoteReference w:id="10"/>
      </w:r>
      <w:r w:rsidRPr="00B356D4">
        <w:rPr>
          <w:rFonts w:eastAsia="Arial Unicode MS"/>
          <w:noProof/>
          <w:lang w:val="en-IE"/>
        </w:rPr>
        <w:t xml:space="preserve">), and protecting the private life and the </w:t>
      </w:r>
      <w:r w:rsidRPr="1D7DF308">
        <w:rPr>
          <w:rFonts w:eastAsia="Arial Unicode MS"/>
          <w:b/>
          <w:bCs/>
          <w:noProof/>
          <w:lang w:val="en-IE"/>
        </w:rPr>
        <w:t>confidentiality of communications</w:t>
      </w:r>
      <w:r w:rsidRPr="00B356D4">
        <w:rPr>
          <w:rFonts w:eastAsia="Arial Unicode MS"/>
          <w:noProof/>
          <w:lang w:val="en-IE"/>
        </w:rPr>
        <w:t xml:space="preserve">, </w:t>
      </w:r>
      <w:r w:rsidRPr="1D7DF308">
        <w:rPr>
          <w:rFonts w:eastAsia="Arial Unicode MS"/>
          <w:noProof/>
          <w:lang w:val="en-IE"/>
        </w:rPr>
        <w:t xml:space="preserve">as well as </w:t>
      </w:r>
      <w:r w:rsidRPr="00B356D4">
        <w:rPr>
          <w:rFonts w:eastAsia="Arial Unicode MS"/>
          <w:noProof/>
          <w:lang w:val="en-IE"/>
        </w:rPr>
        <w:t>any (personal and non-personal) data stored in and accessed from terminal equipment (the ePrivacy Directive</w:t>
      </w:r>
      <w:r w:rsidRPr="00B356D4">
        <w:rPr>
          <w:rStyle w:val="FootnoteReference"/>
          <w:rFonts w:eastAsia="Arial Unicode MS"/>
          <w:noProof/>
          <w:lang w:val="en-IE"/>
        </w:rPr>
        <w:footnoteReference w:id="11"/>
      </w:r>
      <w:r w:rsidRPr="00B356D4">
        <w:rPr>
          <w:rFonts w:eastAsia="Arial Unicode MS"/>
          <w:noProof/>
          <w:lang w:val="en-IE"/>
        </w:rPr>
        <w:t>, to be replaced by the ePrivacy Regulation currently the subject of legislative negotiations).</w:t>
      </w:r>
      <w:r w:rsidRPr="7A5A46DB">
        <w:rPr>
          <w:noProof/>
          <w:lang w:val="en-IE"/>
        </w:rPr>
        <w:t xml:space="preserve"> </w:t>
      </w:r>
      <w:r w:rsidRPr="00B356D4">
        <w:rPr>
          <w:noProof/>
        </w:rPr>
        <w:t xml:space="preserve">This proposal </w:t>
      </w:r>
      <w:r w:rsidR="00ED103B">
        <w:rPr>
          <w:noProof/>
        </w:rPr>
        <w:t>complements</w:t>
      </w:r>
      <w:r w:rsidRPr="00B356D4">
        <w:rPr>
          <w:noProof/>
        </w:rPr>
        <w:t xml:space="preserve"> existing rights, specifically rights regarding data generated by a user’s product connected to a publicly available electronic communications network.</w:t>
      </w:r>
    </w:p>
    <w:p w14:paraId="1E420492" w14:textId="77777777" w:rsidR="0023412A" w:rsidRPr="00B356D4" w:rsidRDefault="0023412A" w:rsidP="0023412A">
      <w:pPr>
        <w:widowControl w:val="0"/>
        <w:spacing w:before="0" w:after="200"/>
        <w:rPr>
          <w:noProof/>
        </w:rPr>
      </w:pPr>
      <w:r w:rsidRPr="00B356D4">
        <w:rPr>
          <w:noProof/>
        </w:rPr>
        <w:t xml:space="preserve">The </w:t>
      </w:r>
      <w:r w:rsidRPr="1D7DF308">
        <w:rPr>
          <w:b/>
          <w:bCs/>
          <w:noProof/>
        </w:rPr>
        <w:t>Free Flow of Non-Personal Data Regulation</w:t>
      </w:r>
      <w:r w:rsidRPr="00B356D4">
        <w:rPr>
          <w:rStyle w:val="FootnoteReference"/>
          <w:noProof/>
        </w:rPr>
        <w:footnoteReference w:id="12"/>
      </w:r>
      <w:r w:rsidRPr="00B356D4">
        <w:rPr>
          <w:noProof/>
        </w:rPr>
        <w:t xml:space="preserve"> put in place a key building block of the European data economy, by ensuring that non-personal data can be stored, processed and transferred anywhere in the </w:t>
      </w:r>
      <w:r>
        <w:rPr>
          <w:noProof/>
        </w:rPr>
        <w:t>Union</w:t>
      </w:r>
      <w:r w:rsidRPr="00B356D4">
        <w:rPr>
          <w:noProof/>
        </w:rPr>
        <w:t xml:space="preserve">. It also presented a self-regulatory approach to the problem of ‘vendor lock-in’ at the level of providers of data processing services, by introducing codes of conduct to facilitate switching data between cloud services (the industry-developed ‘Switching Cloud Providers and Porting Data (SWIPO)’ Codes of Conduct). This proposal further builds on this, helping businesses and citizens to make the most of the right to switch cloud providers and port data. It is also </w:t>
      </w:r>
      <w:r w:rsidRPr="00B356D4">
        <w:rPr>
          <w:rFonts w:eastAsia="Arial Unicode MS"/>
          <w:noProof/>
          <w:lang w:val="en-IE"/>
        </w:rPr>
        <w:t>fully consistent with the Unfair Contract Terms Directive as regards contract law</w:t>
      </w:r>
      <w:r w:rsidRPr="00B356D4">
        <w:rPr>
          <w:rStyle w:val="FootnoteReference"/>
          <w:rFonts w:eastAsia="Arial Unicode MS"/>
          <w:noProof/>
          <w:lang w:val="en-IE"/>
        </w:rPr>
        <w:footnoteReference w:id="13"/>
      </w:r>
      <w:r w:rsidRPr="00B356D4">
        <w:rPr>
          <w:rFonts w:eastAsia="Arial Unicode MS"/>
          <w:noProof/>
          <w:lang w:val="en-IE"/>
        </w:rPr>
        <w:t xml:space="preserve">. </w:t>
      </w:r>
      <w:r w:rsidRPr="00B356D4">
        <w:rPr>
          <w:noProof/>
        </w:rPr>
        <w:t xml:space="preserve">With regard to cloud services, as the self-regulatory approach seems not to have affected market dynamics significantly, this proposal presents a regulatory approach to the problem highlighted in the Free Flow of Non-Personal Data Regulation. </w:t>
      </w:r>
    </w:p>
    <w:p w14:paraId="65B6268F" w14:textId="77777777" w:rsidR="0023412A" w:rsidRPr="00B356D4" w:rsidRDefault="0023412A" w:rsidP="0023412A">
      <w:pPr>
        <w:spacing w:before="0" w:after="200"/>
        <w:rPr>
          <w:noProof/>
        </w:rPr>
      </w:pPr>
      <w:r w:rsidRPr="00B356D4">
        <w:rPr>
          <w:noProof/>
        </w:rPr>
        <w:t>International data processing and storage</w:t>
      </w:r>
      <w:r>
        <w:rPr>
          <w:noProof/>
        </w:rPr>
        <w:t xml:space="preserve"> and </w:t>
      </w:r>
      <w:r w:rsidRPr="00B356D4">
        <w:rPr>
          <w:noProof/>
        </w:rPr>
        <w:t xml:space="preserve">data transfers are governed by the GDPR, </w:t>
      </w:r>
      <w:r>
        <w:rPr>
          <w:noProof/>
        </w:rPr>
        <w:t xml:space="preserve">World Trade Organization (WTO) </w:t>
      </w:r>
      <w:r w:rsidRPr="00B356D4">
        <w:rPr>
          <w:noProof/>
        </w:rPr>
        <w:t>trade commitments</w:t>
      </w:r>
      <w:r>
        <w:rPr>
          <w:noProof/>
        </w:rPr>
        <w:t>, the</w:t>
      </w:r>
      <w:r w:rsidRPr="00B356D4">
        <w:rPr>
          <w:noProof/>
        </w:rPr>
        <w:t xml:space="preserve"> General Agreement on Trade in Services (GATS) and bilateral trade agreements.</w:t>
      </w:r>
    </w:p>
    <w:p w14:paraId="17F22DC5" w14:textId="77777777" w:rsidR="0023412A" w:rsidRPr="00B356D4" w:rsidRDefault="0023412A" w:rsidP="0023412A">
      <w:pPr>
        <w:spacing w:before="0" w:after="200"/>
        <w:rPr>
          <w:noProof/>
        </w:rPr>
      </w:pPr>
      <w:r w:rsidRPr="00B356D4">
        <w:rPr>
          <w:b/>
          <w:noProof/>
        </w:rPr>
        <w:t>Competition law</w:t>
      </w:r>
      <w:r w:rsidRPr="00B356D4">
        <w:rPr>
          <w:rStyle w:val="FootnoteReference"/>
          <w:noProof/>
        </w:rPr>
        <w:footnoteReference w:id="14"/>
      </w:r>
      <w:r w:rsidRPr="00B356D4">
        <w:rPr>
          <w:noProof/>
        </w:rPr>
        <w:t xml:space="preserve"> is applicable in the context of amongst others merger control, data </w:t>
      </w:r>
      <w:r>
        <w:rPr>
          <w:noProof/>
        </w:rPr>
        <w:t>sharing</w:t>
      </w:r>
      <w:r w:rsidRPr="00B356D4">
        <w:rPr>
          <w:noProof/>
        </w:rPr>
        <w:t xml:space="preserve"> by companies or an abuse of a firm’s dominant position. </w:t>
      </w:r>
    </w:p>
    <w:p w14:paraId="40D28EAC" w14:textId="77EAE4F7" w:rsidR="0023412A" w:rsidRPr="00B356D4" w:rsidRDefault="0023412A" w:rsidP="0023412A">
      <w:pPr>
        <w:spacing w:before="0" w:after="200"/>
        <w:rPr>
          <w:noProof/>
        </w:rPr>
      </w:pPr>
      <w:r w:rsidRPr="76E49D51">
        <w:rPr>
          <w:noProof/>
        </w:rPr>
        <w:t xml:space="preserve">The </w:t>
      </w:r>
      <w:r w:rsidRPr="76E49D51">
        <w:rPr>
          <w:b/>
          <w:noProof/>
        </w:rPr>
        <w:t>Database Directive</w:t>
      </w:r>
      <w:r w:rsidRPr="76E49D51">
        <w:rPr>
          <w:rStyle w:val="FootnoteReference"/>
          <w:noProof/>
        </w:rPr>
        <w:footnoteReference w:id="15"/>
      </w:r>
      <w:r w:rsidRPr="76E49D51">
        <w:rPr>
          <w:noProof/>
        </w:rPr>
        <w:t xml:space="preserve"> provides for the </w:t>
      </w:r>
      <w:r w:rsidRPr="76E49D51">
        <w:rPr>
          <w:i/>
          <w:noProof/>
        </w:rPr>
        <w:t>sui generis</w:t>
      </w:r>
      <w:r w:rsidRPr="76E49D51">
        <w:rPr>
          <w:noProof/>
        </w:rPr>
        <w:t xml:space="preserve"> protection of databases that have been created as a result of a substantial investment, even if the database itself is not an original intellectual creation protected by copyright. Building on the substantial amount of case-law interpreting the provisions of the Database Directive, this proposal addresses ongoing legal uncertainties about whether databases containing data generated or obtained by </w:t>
      </w:r>
      <w:r>
        <w:rPr>
          <w:noProof/>
        </w:rPr>
        <w:t>the use of</w:t>
      </w:r>
      <w:r w:rsidRPr="76E49D51">
        <w:rPr>
          <w:noProof/>
        </w:rPr>
        <w:t xml:space="preserve"> products </w:t>
      </w:r>
      <w:r w:rsidR="00532827">
        <w:rPr>
          <w:noProof/>
        </w:rPr>
        <w:t>or</w:t>
      </w:r>
      <w:r w:rsidR="00532827" w:rsidRPr="76E49D51">
        <w:rPr>
          <w:noProof/>
        </w:rPr>
        <w:t xml:space="preserve"> </w:t>
      </w:r>
      <w:r w:rsidRPr="76E49D51">
        <w:rPr>
          <w:noProof/>
        </w:rPr>
        <w:t>related services</w:t>
      </w:r>
      <w:r>
        <w:rPr>
          <w:noProof/>
          <w:szCs w:val="24"/>
        </w:rPr>
        <w:t>, such as</w:t>
      </w:r>
      <w:r w:rsidRPr="004252D1">
        <w:rPr>
          <w:noProof/>
          <w:szCs w:val="24"/>
        </w:rPr>
        <w:t xml:space="preserve"> </w:t>
      </w:r>
      <w:r w:rsidRPr="76E49D51">
        <w:rPr>
          <w:noProof/>
        </w:rPr>
        <w:t>sensors, or other types of machine-generated data</w:t>
      </w:r>
      <w:r>
        <w:rPr>
          <w:noProof/>
          <w:szCs w:val="24"/>
        </w:rPr>
        <w:t>,</w:t>
      </w:r>
      <w:r w:rsidRPr="76E49D51">
        <w:rPr>
          <w:noProof/>
        </w:rPr>
        <w:t xml:space="preserve"> would be entitled to such protection.</w:t>
      </w:r>
    </w:p>
    <w:p w14:paraId="68B8277C" w14:textId="77777777" w:rsidR="0023412A" w:rsidRPr="00B356D4" w:rsidRDefault="0023412A" w:rsidP="0023412A">
      <w:pPr>
        <w:spacing w:before="0" w:after="200"/>
        <w:rPr>
          <w:noProof/>
        </w:rPr>
      </w:pPr>
      <w:r w:rsidRPr="76E49D51">
        <w:rPr>
          <w:noProof/>
        </w:rPr>
        <w:t xml:space="preserve">The </w:t>
      </w:r>
      <w:r w:rsidRPr="76E49D51">
        <w:rPr>
          <w:b/>
          <w:noProof/>
        </w:rPr>
        <w:t>Platform to Business Regulation</w:t>
      </w:r>
      <w:r w:rsidRPr="76E49D51">
        <w:rPr>
          <w:rStyle w:val="FootnoteReference"/>
          <w:noProof/>
        </w:rPr>
        <w:footnoteReference w:id="16"/>
      </w:r>
      <w:r w:rsidRPr="76E49D51">
        <w:rPr>
          <w:noProof/>
        </w:rPr>
        <w:t xml:space="preserve"> imposes transparency obligations, requiring platforms to describe for business users the data generated from the provision of the service.</w:t>
      </w:r>
    </w:p>
    <w:p w14:paraId="7BCFB96D" w14:textId="77777777" w:rsidR="0023412A" w:rsidRPr="00B356D4" w:rsidRDefault="0023412A" w:rsidP="0023412A">
      <w:pPr>
        <w:widowControl w:val="0"/>
        <w:spacing w:before="0" w:after="200"/>
        <w:rPr>
          <w:rFonts w:eastAsia="Arial Unicode MS"/>
          <w:noProof/>
          <w:lang w:val="en-IE"/>
        </w:rPr>
      </w:pPr>
      <w:r w:rsidRPr="76E49D51">
        <w:rPr>
          <w:noProof/>
        </w:rPr>
        <w:t xml:space="preserve">The </w:t>
      </w:r>
      <w:r w:rsidRPr="76E49D51">
        <w:rPr>
          <w:b/>
          <w:noProof/>
        </w:rPr>
        <w:t>Open Data Directive</w:t>
      </w:r>
      <w:r w:rsidRPr="76E49D51">
        <w:rPr>
          <w:rStyle w:val="FootnoteReference"/>
          <w:noProof/>
        </w:rPr>
        <w:footnoteReference w:id="17"/>
      </w:r>
      <w:r w:rsidRPr="76E49D51">
        <w:rPr>
          <w:noProof/>
        </w:rPr>
        <w:t xml:space="preserve"> sets out minimum rules on the re-use of data held by the public sector and of publicly funded research data made publicly available through repositories.</w:t>
      </w:r>
      <w:r w:rsidRPr="00B356D4">
        <w:rPr>
          <w:rFonts w:eastAsia="Arial Unicode MS"/>
          <w:noProof/>
          <w:lang w:val="en-IE"/>
        </w:rPr>
        <w:t xml:space="preserve"> </w:t>
      </w:r>
    </w:p>
    <w:p w14:paraId="6B0994B0" w14:textId="77777777" w:rsidR="0023412A" w:rsidRPr="00B356D4" w:rsidRDefault="0023412A" w:rsidP="0023412A">
      <w:pPr>
        <w:widowControl w:val="0"/>
        <w:spacing w:before="0" w:after="200"/>
        <w:rPr>
          <w:rFonts w:eastAsia="Calibri"/>
          <w:noProof/>
          <w:lang w:val="en-IE"/>
        </w:rPr>
      </w:pPr>
      <w:r w:rsidRPr="00B356D4">
        <w:rPr>
          <w:rFonts w:eastAsia="Arial Unicode MS"/>
          <w:noProof/>
          <w:lang w:val="en-IE"/>
        </w:rPr>
        <w:t xml:space="preserve">The </w:t>
      </w:r>
      <w:r w:rsidRPr="5134F6B5">
        <w:rPr>
          <w:rFonts w:eastAsia="Arial Unicode MS"/>
          <w:b/>
          <w:bCs/>
          <w:noProof/>
          <w:lang w:val="en-IE"/>
        </w:rPr>
        <w:t>Interoperable Europe</w:t>
      </w:r>
      <w:r w:rsidRPr="00B356D4">
        <w:rPr>
          <w:rFonts w:eastAsia="Arial Unicode MS"/>
          <w:b/>
          <w:noProof/>
          <w:lang w:val="en-IE"/>
        </w:rPr>
        <w:t xml:space="preserve"> initiative</w:t>
      </w:r>
      <w:r w:rsidRPr="00B356D4">
        <w:rPr>
          <w:rFonts w:eastAsia="Arial Unicode MS"/>
          <w:noProof/>
          <w:lang w:val="en-IE"/>
        </w:rPr>
        <w:t xml:space="preserve"> seeks to introduce a cooperative interoperability policy for a modernised public sector. The initiative arose out of the ISA</w:t>
      </w:r>
      <w:r w:rsidRPr="00B356D4">
        <w:rPr>
          <w:rFonts w:eastAsia="Arial Unicode MS"/>
          <w:noProof/>
          <w:vertAlign w:val="superscript"/>
          <w:lang w:val="en-IE"/>
        </w:rPr>
        <w:t>2</w:t>
      </w:r>
      <w:r w:rsidRPr="00B356D4">
        <w:rPr>
          <w:rFonts w:eastAsia="Arial Unicode MS"/>
          <w:noProof/>
          <w:lang w:val="en-IE"/>
        </w:rPr>
        <w:t>, a Union funding programme that ran from 2016 to 2021 and supported the development of digital solutions to enable interoperable cross-border and cross-sector public services</w:t>
      </w:r>
      <w:r w:rsidRPr="00B356D4">
        <w:rPr>
          <w:rStyle w:val="FootnoteReference"/>
          <w:rFonts w:eastAsia="Arial Unicode MS"/>
          <w:noProof/>
          <w:lang w:val="en-IE"/>
        </w:rPr>
        <w:footnoteReference w:id="18"/>
      </w:r>
      <w:r w:rsidRPr="00B356D4">
        <w:rPr>
          <w:rFonts w:eastAsia="Arial Unicode MS"/>
          <w:noProof/>
          <w:lang w:val="en-IE"/>
        </w:rPr>
        <w:t>.</w:t>
      </w:r>
    </w:p>
    <w:p w14:paraId="699A1B25" w14:textId="77777777" w:rsidR="0023412A" w:rsidRPr="00B356D4" w:rsidRDefault="0023412A" w:rsidP="0023412A">
      <w:pPr>
        <w:spacing w:before="0" w:after="200"/>
        <w:rPr>
          <w:rFonts w:eastAsia="Calibri"/>
          <w:noProof/>
          <w:lang w:val="en-IE"/>
        </w:rPr>
      </w:pPr>
      <w:r w:rsidRPr="00B356D4">
        <w:rPr>
          <w:rFonts w:eastAsia="Calibri"/>
          <w:noProof/>
          <w:lang w:val="en-IE"/>
        </w:rPr>
        <w:t>T</w:t>
      </w:r>
      <w:r w:rsidRPr="00B356D4" w:rsidDel="00E274CE">
        <w:rPr>
          <w:rFonts w:eastAsia="Calibri"/>
          <w:noProof/>
          <w:lang w:val="en-IE"/>
        </w:rPr>
        <w:t>h</w:t>
      </w:r>
      <w:r>
        <w:rPr>
          <w:rFonts w:eastAsia="Calibri"/>
          <w:noProof/>
          <w:lang w:val="en-IE"/>
        </w:rPr>
        <w:t>is</w:t>
      </w:r>
      <w:r w:rsidRPr="00B356D4" w:rsidDel="00E274CE">
        <w:rPr>
          <w:rFonts w:eastAsia="Calibri"/>
          <w:noProof/>
          <w:lang w:val="en-IE"/>
        </w:rPr>
        <w:t xml:space="preserve"> proposal </w:t>
      </w:r>
      <w:r w:rsidRPr="00B356D4">
        <w:rPr>
          <w:rFonts w:eastAsia="Calibri"/>
          <w:noProof/>
          <w:lang w:val="en-IE"/>
        </w:rPr>
        <w:t xml:space="preserve">complements the recently adopted </w:t>
      </w:r>
      <w:r w:rsidRPr="00B356D4">
        <w:rPr>
          <w:rFonts w:eastAsia="Calibri"/>
          <w:b/>
          <w:bCs/>
          <w:noProof/>
          <w:lang w:val="en-IE"/>
        </w:rPr>
        <w:t>Data Governance Act</w:t>
      </w:r>
      <w:r>
        <w:rPr>
          <w:rFonts w:eastAsia="Calibri"/>
          <w:b/>
          <w:bCs/>
          <w:noProof/>
          <w:lang w:val="en-IE"/>
        </w:rPr>
        <w:t>,</w:t>
      </w:r>
      <w:r w:rsidRPr="00B356D4">
        <w:rPr>
          <w:rFonts w:eastAsia="Calibri"/>
          <w:noProof/>
          <w:lang w:val="en-IE"/>
        </w:rPr>
        <w:t xml:space="preserve"> which aims to facilitate the voluntary sharing of data by individuals and businesses and harmonises conditions for the use of certain public sector data, </w:t>
      </w:r>
      <w:r>
        <w:rPr>
          <w:rFonts w:eastAsia="Calibri"/>
          <w:noProof/>
          <w:lang w:val="en-IE"/>
        </w:rPr>
        <w:t xml:space="preserve">without </w:t>
      </w:r>
      <w:r w:rsidRPr="00B356D4">
        <w:rPr>
          <w:rFonts w:eastAsia="Calibri"/>
          <w:noProof/>
          <w:lang w:val="en-IE"/>
        </w:rPr>
        <w:t>alter</w:t>
      </w:r>
      <w:r>
        <w:rPr>
          <w:rFonts w:eastAsia="Calibri"/>
          <w:noProof/>
          <w:lang w:val="en-IE"/>
        </w:rPr>
        <w:t>ing</w:t>
      </w:r>
      <w:r w:rsidRPr="00B356D4">
        <w:rPr>
          <w:rFonts w:eastAsia="Calibri"/>
          <w:noProof/>
          <w:lang w:val="en-IE"/>
        </w:rPr>
        <w:t xml:space="preserve"> material rights on the data or established data access and usage rights</w:t>
      </w:r>
      <w:r w:rsidRPr="00B356D4">
        <w:rPr>
          <w:rStyle w:val="FootnoteReference"/>
          <w:rFonts w:eastAsia="Calibri"/>
          <w:noProof/>
          <w:lang w:val="en-IE"/>
        </w:rPr>
        <w:footnoteReference w:id="19"/>
      </w:r>
      <w:r w:rsidRPr="00B356D4">
        <w:rPr>
          <w:rFonts w:eastAsia="Calibri"/>
          <w:noProof/>
          <w:lang w:val="en-IE"/>
        </w:rPr>
        <w:t>.</w:t>
      </w:r>
      <w:r w:rsidRPr="00B356D4">
        <w:rPr>
          <w:noProof/>
        </w:rPr>
        <w:t xml:space="preserve"> </w:t>
      </w:r>
      <w:r w:rsidRPr="00B356D4">
        <w:rPr>
          <w:rFonts w:eastAsia="Calibri"/>
          <w:noProof/>
          <w:lang w:val="en-IE"/>
        </w:rPr>
        <w:t>It also complements the proposal for a</w:t>
      </w:r>
      <w:r w:rsidRPr="00B356D4">
        <w:rPr>
          <w:rFonts w:eastAsia="Calibri"/>
          <w:b/>
          <w:bCs/>
          <w:noProof/>
          <w:lang w:val="en-IE"/>
        </w:rPr>
        <w:t xml:space="preserve"> Digital Markets Act</w:t>
      </w:r>
      <w:r w:rsidRPr="00B356D4">
        <w:rPr>
          <w:rFonts w:eastAsia="Calibri"/>
          <w:noProof/>
          <w:lang w:val="en-IE"/>
        </w:rPr>
        <w:t xml:space="preserve">, which </w:t>
      </w:r>
      <w:r>
        <w:rPr>
          <w:rFonts w:eastAsia="Calibri"/>
          <w:noProof/>
          <w:lang w:val="en-IE"/>
        </w:rPr>
        <w:t>will</w:t>
      </w:r>
      <w:r w:rsidRPr="00B356D4">
        <w:rPr>
          <w:rFonts w:eastAsia="Calibri"/>
          <w:noProof/>
          <w:lang w:val="en-IE"/>
        </w:rPr>
        <w:t xml:space="preserve"> require certain providers of core platform services identified as ‘gatekeepers’ to provide, inter alia, more effective po</w:t>
      </w:r>
      <w:r>
        <w:rPr>
          <w:rFonts w:eastAsia="Calibri"/>
          <w:noProof/>
          <w:lang w:val="en-IE"/>
        </w:rPr>
        <w:t>rtability of data generated through business and end users’ activities</w:t>
      </w:r>
      <w:r w:rsidRPr="00B356D4">
        <w:rPr>
          <w:rStyle w:val="FootnoteReference"/>
          <w:noProof/>
        </w:rPr>
        <w:footnoteReference w:id="20"/>
      </w:r>
      <w:r w:rsidRPr="76E49D51">
        <w:rPr>
          <w:rFonts w:eastAsia="Calibri"/>
          <w:noProof/>
          <w:lang w:val="en-IE"/>
        </w:rPr>
        <w:t>.</w:t>
      </w:r>
    </w:p>
    <w:p w14:paraId="0D84B31B" w14:textId="77777777" w:rsidR="009E26A7" w:rsidRDefault="0023412A" w:rsidP="0023412A">
      <w:pPr>
        <w:widowControl w:val="0"/>
        <w:spacing w:before="0" w:after="200"/>
        <w:rPr>
          <w:rFonts w:eastAsia="Arial Unicode MS"/>
          <w:noProof/>
          <w:lang w:val="en-IE"/>
        </w:rPr>
      </w:pPr>
      <w:r w:rsidRPr="00B356D4">
        <w:rPr>
          <w:rFonts w:eastAsia="Times New Roman"/>
          <w:noProof/>
          <w:lang w:eastAsia="fr-FR"/>
        </w:rPr>
        <w:t>T</w:t>
      </w:r>
      <w:r w:rsidRPr="00B356D4">
        <w:rPr>
          <w:rFonts w:eastAsia="Arial Unicode MS"/>
          <w:noProof/>
          <w:lang w:val="en-IE"/>
        </w:rPr>
        <w:t>h</w:t>
      </w:r>
      <w:r>
        <w:rPr>
          <w:rFonts w:eastAsia="Arial Unicode MS"/>
          <w:noProof/>
          <w:lang w:val="en-IE"/>
        </w:rPr>
        <w:t>is</w:t>
      </w:r>
      <w:r w:rsidRPr="00B356D4">
        <w:rPr>
          <w:rFonts w:eastAsia="Arial Unicode MS"/>
          <w:noProof/>
          <w:lang w:val="en-IE"/>
        </w:rPr>
        <w:t xml:space="preserve"> proposal </w:t>
      </w:r>
      <w:r w:rsidRPr="76E49D51">
        <w:rPr>
          <w:rFonts w:eastAsia="Arial Unicode MS"/>
          <w:noProof/>
          <w:lang w:val="en-IE"/>
        </w:rPr>
        <w:t>does not affect</w:t>
      </w:r>
      <w:r w:rsidRPr="00B356D4">
        <w:rPr>
          <w:rFonts w:eastAsia="Arial Unicode MS"/>
          <w:noProof/>
          <w:lang w:val="en-IE"/>
        </w:rPr>
        <w:t xml:space="preserve"> existing rules in the areas of </w:t>
      </w:r>
      <w:r w:rsidRPr="00B356D4" w:rsidDel="006A103C">
        <w:rPr>
          <w:rFonts w:eastAsia="Arial Unicode MS"/>
          <w:noProof/>
          <w:lang w:val="en-IE"/>
        </w:rPr>
        <w:t>intellectual property (</w:t>
      </w:r>
      <w:r w:rsidRPr="76E49D51">
        <w:rPr>
          <w:rFonts w:eastAsia="Arial Unicode MS"/>
          <w:noProof/>
          <w:lang w:val="en-IE"/>
        </w:rPr>
        <w:t>except</w:t>
      </w:r>
      <w:r w:rsidRPr="00B356D4" w:rsidDel="006A103C">
        <w:rPr>
          <w:rFonts w:eastAsia="Arial Unicode MS"/>
          <w:noProof/>
          <w:lang w:val="en-IE"/>
        </w:rPr>
        <w:t xml:space="preserve"> </w:t>
      </w:r>
      <w:r w:rsidRPr="001E240D">
        <w:rPr>
          <w:noProof/>
        </w:rPr>
        <w:t xml:space="preserve">the application of the </w:t>
      </w:r>
      <w:r w:rsidRPr="76E49D51">
        <w:rPr>
          <w:i/>
          <w:noProof/>
        </w:rPr>
        <w:t>sui generis</w:t>
      </w:r>
      <w:r w:rsidRPr="001E240D">
        <w:rPr>
          <w:noProof/>
        </w:rPr>
        <w:t xml:space="preserve"> right of the Database Directive</w:t>
      </w:r>
      <w:r w:rsidRPr="00B356D4" w:rsidDel="006A103C">
        <w:rPr>
          <w:rFonts w:eastAsia="Arial Unicode MS"/>
          <w:noProof/>
          <w:lang w:val="en-IE"/>
        </w:rPr>
        <w:t>)</w:t>
      </w:r>
      <w:r w:rsidRPr="00B356D4">
        <w:rPr>
          <w:rFonts w:eastAsia="Arial Unicode MS"/>
          <w:noProof/>
          <w:lang w:val="en-IE"/>
        </w:rPr>
        <w:t xml:space="preserve">, competition, justice, and home affairs and related (international) cooperation, trade-related obligations, </w:t>
      </w:r>
      <w:r w:rsidRPr="76E49D51">
        <w:rPr>
          <w:rFonts w:eastAsia="Arial Unicode MS"/>
          <w:noProof/>
          <w:lang w:val="en-IE"/>
        </w:rPr>
        <w:t>or</w:t>
      </w:r>
      <w:r w:rsidRPr="00B356D4">
        <w:rPr>
          <w:rFonts w:eastAsia="Arial Unicode MS"/>
          <w:noProof/>
          <w:lang w:val="en-IE"/>
        </w:rPr>
        <w:t xml:space="preserve"> the legal protection of trade secrets.</w:t>
      </w:r>
    </w:p>
    <w:p w14:paraId="58105A58" w14:textId="04089A81" w:rsidR="0023412A" w:rsidRPr="00B356D4" w:rsidRDefault="009E26A7" w:rsidP="001E21CC">
      <w:pPr>
        <w:spacing w:before="0" w:after="200"/>
        <w:rPr>
          <w:rFonts w:eastAsia="Times New Roman"/>
          <w:noProof/>
        </w:rPr>
      </w:pPr>
      <w:r w:rsidRPr="0040583F">
        <w:rPr>
          <w:noProof/>
          <w:lang w:val="en-IE"/>
        </w:rPr>
        <w:t>Legislative adaptations for promoting the digital transition are required in several areas. Clear rules on access to specific data necessary for circularity and sustainability of certain products t</w:t>
      </w:r>
      <w:r>
        <w:rPr>
          <w:noProof/>
          <w:lang w:val="en-IE"/>
        </w:rPr>
        <w:t xml:space="preserve">hroughout their life </w:t>
      </w:r>
      <w:r w:rsidRPr="0040583F">
        <w:rPr>
          <w:noProof/>
          <w:lang w:val="en-IE"/>
        </w:rPr>
        <w:t>cycle and</w:t>
      </w:r>
      <w:r>
        <w:rPr>
          <w:noProof/>
          <w:lang w:val="en-IE"/>
        </w:rPr>
        <w:t xml:space="preserve"> in non-exceptional situations will</w:t>
      </w:r>
      <w:r w:rsidRPr="0040583F">
        <w:rPr>
          <w:noProof/>
          <w:lang w:val="en-IE"/>
        </w:rPr>
        <w:t xml:space="preserve"> be established under the European Digital Product Passport</w:t>
      </w:r>
      <w:r>
        <w:rPr>
          <w:noProof/>
          <w:lang w:val="en-IE"/>
        </w:rPr>
        <w:t xml:space="preserve"> (as part of the Sustainable Products Initiative)</w:t>
      </w:r>
      <w:r>
        <w:rPr>
          <w:rStyle w:val="FootnoteReference"/>
          <w:noProof/>
          <w:lang w:val="en-IE"/>
        </w:rPr>
        <w:footnoteReference w:id="21"/>
      </w:r>
      <w:r w:rsidRPr="0040583F">
        <w:rPr>
          <w:noProof/>
          <w:lang w:val="en-IE"/>
        </w:rPr>
        <w:t xml:space="preserve">. Private law rules are a key element in the overall framework. This Regulation therefore adapts contract law and other rules to improve conditions for data reuse in the </w:t>
      </w:r>
      <w:r>
        <w:rPr>
          <w:noProof/>
          <w:lang w:val="en-IE"/>
        </w:rPr>
        <w:t>I</w:t>
      </w:r>
      <w:r w:rsidRPr="0040583F">
        <w:rPr>
          <w:noProof/>
          <w:lang w:val="en-IE"/>
        </w:rPr>
        <w:t xml:space="preserve">nternal </w:t>
      </w:r>
      <w:r>
        <w:rPr>
          <w:noProof/>
          <w:lang w:val="en-IE"/>
        </w:rPr>
        <w:t>M</w:t>
      </w:r>
      <w:r w:rsidRPr="0040583F">
        <w:rPr>
          <w:noProof/>
          <w:lang w:val="en-IE"/>
        </w:rPr>
        <w:t>arket, and to prevent parties to contracts abusing imbalances in negotiating power to the detriment of weaker parties.</w:t>
      </w:r>
      <w:r w:rsidR="0023412A" w:rsidRPr="006A103C">
        <w:rPr>
          <w:rFonts w:eastAsia="Arial Unicode MS"/>
          <w:noProof/>
          <w:lang w:val="en-IE"/>
        </w:rPr>
        <w:t xml:space="preserve"> </w:t>
      </w:r>
    </w:p>
    <w:p w14:paraId="0666BE22" w14:textId="77777777" w:rsidR="0023412A" w:rsidRPr="00B356D4" w:rsidRDefault="0023412A" w:rsidP="0023412A">
      <w:pPr>
        <w:widowControl w:val="0"/>
        <w:spacing w:before="0" w:after="200"/>
        <w:rPr>
          <w:rFonts w:eastAsia="Times New Roman"/>
          <w:noProof/>
        </w:rPr>
      </w:pPr>
      <w:r w:rsidRPr="00B356D4">
        <w:rPr>
          <w:rFonts w:eastAsia="Times New Roman"/>
          <w:noProof/>
        </w:rPr>
        <w:t>As a horizontal proposal, the</w:t>
      </w:r>
      <w:r w:rsidRPr="00B356D4">
        <w:rPr>
          <w:rFonts w:eastAsia="Times New Roman"/>
          <w:noProof/>
          <w:lang w:eastAsia="fr-FR"/>
        </w:rPr>
        <w:t xml:space="preserve"> </w:t>
      </w:r>
      <w:r w:rsidRPr="00B356D4">
        <w:rPr>
          <w:rFonts w:eastAsia="Times New Roman"/>
          <w:b/>
          <w:bCs/>
          <w:noProof/>
          <w:lang w:eastAsia="fr-FR"/>
        </w:rPr>
        <w:t>Data Act</w:t>
      </w:r>
      <w:r w:rsidRPr="00B356D4">
        <w:rPr>
          <w:rFonts w:eastAsia="Times New Roman"/>
          <w:noProof/>
          <w:lang w:eastAsia="fr-FR"/>
        </w:rPr>
        <w:t xml:space="preserve"> envisages </w:t>
      </w:r>
      <w:r w:rsidRPr="00B356D4">
        <w:rPr>
          <w:rFonts w:eastAsia="Times New Roman"/>
          <w:b/>
          <w:noProof/>
          <w:lang w:eastAsia="fr-FR"/>
        </w:rPr>
        <w:t>basic rules for all sectors</w:t>
      </w:r>
      <w:r w:rsidRPr="00B356D4">
        <w:rPr>
          <w:rFonts w:eastAsia="Times New Roman"/>
          <w:noProof/>
          <w:lang w:eastAsia="fr-FR"/>
        </w:rPr>
        <w:t xml:space="preserve"> as regards </w:t>
      </w:r>
      <w:r w:rsidRPr="76E49D51">
        <w:rPr>
          <w:rFonts w:eastAsia="Times New Roman"/>
          <w:noProof/>
          <w:lang w:eastAsia="fr-FR"/>
        </w:rPr>
        <w:t xml:space="preserve">the </w:t>
      </w:r>
      <w:r w:rsidRPr="00B356D4">
        <w:rPr>
          <w:rFonts w:eastAsia="Times New Roman"/>
          <w:noProof/>
          <w:lang w:eastAsia="fr-FR"/>
        </w:rPr>
        <w:t xml:space="preserve">rights to use data, such as in the areas of smart machinery </w:t>
      </w:r>
      <w:r w:rsidRPr="76E49D51">
        <w:rPr>
          <w:rFonts w:eastAsia="Times New Roman"/>
          <w:noProof/>
          <w:lang w:eastAsia="fr-FR"/>
        </w:rPr>
        <w:t>or</w:t>
      </w:r>
      <w:r w:rsidRPr="00B356D4">
        <w:rPr>
          <w:rFonts w:eastAsia="Times New Roman"/>
          <w:noProof/>
          <w:lang w:eastAsia="fr-FR"/>
        </w:rPr>
        <w:t xml:space="preserve"> consumer goods. </w:t>
      </w:r>
      <w:r w:rsidRPr="00B356D4">
        <w:rPr>
          <w:rFonts w:eastAsia="Times New Roman"/>
          <w:noProof/>
        </w:rPr>
        <w:t xml:space="preserve">However, the rights and obligations on data access and use have also been regulated to </w:t>
      </w:r>
      <w:r w:rsidRPr="76E49D51">
        <w:rPr>
          <w:rFonts w:eastAsia="Times New Roman"/>
          <w:noProof/>
        </w:rPr>
        <w:t xml:space="preserve">varying </w:t>
      </w:r>
      <w:r w:rsidRPr="3712C946">
        <w:rPr>
          <w:rFonts w:eastAsia="Times New Roman"/>
          <w:noProof/>
        </w:rPr>
        <w:t>degrees at</w:t>
      </w:r>
      <w:r w:rsidRPr="00B356D4">
        <w:rPr>
          <w:rFonts w:eastAsia="Times New Roman"/>
          <w:noProof/>
        </w:rPr>
        <w:t xml:space="preserve"> sectoral level. </w:t>
      </w:r>
      <w:r w:rsidRPr="76E49D51">
        <w:rPr>
          <w:rFonts w:eastAsia="Times New Roman"/>
          <w:noProof/>
          <w:lang w:eastAsia="fr-FR"/>
        </w:rPr>
        <w:t>The</w:t>
      </w:r>
      <w:r w:rsidRPr="00B356D4">
        <w:rPr>
          <w:rFonts w:eastAsia="Times New Roman"/>
          <w:noProof/>
          <w:lang w:eastAsia="fr-FR"/>
        </w:rPr>
        <w:t xml:space="preserve"> Data Act will not change any such existing legislation, </w:t>
      </w:r>
      <w:r w:rsidRPr="76E49D51">
        <w:rPr>
          <w:rFonts w:eastAsia="Times New Roman"/>
          <w:noProof/>
          <w:lang w:eastAsia="fr-FR"/>
        </w:rPr>
        <w:t xml:space="preserve">but </w:t>
      </w:r>
      <w:r w:rsidRPr="00B356D4">
        <w:rPr>
          <w:rFonts w:eastAsia="Times New Roman"/>
          <w:noProof/>
          <w:lang w:eastAsia="fr-FR"/>
        </w:rPr>
        <w:t xml:space="preserve">future legislation </w:t>
      </w:r>
      <w:r w:rsidRPr="76E49D51">
        <w:rPr>
          <w:rFonts w:eastAsia="Times New Roman"/>
          <w:noProof/>
          <w:lang w:eastAsia="fr-FR"/>
        </w:rPr>
        <w:t xml:space="preserve">in these areas </w:t>
      </w:r>
      <w:r w:rsidRPr="00B356D4">
        <w:rPr>
          <w:rFonts w:eastAsia="Times New Roman"/>
          <w:noProof/>
          <w:lang w:eastAsia="fr-FR"/>
        </w:rPr>
        <w:t xml:space="preserve">should in principle be aligned with the horizontal principles of the Data Act. Convergence with the Data Act’s horizontal rules should be assessed when sectoral instruments are reviewed. This proposal leaves room for vertical legislation to set more detailed rules </w:t>
      </w:r>
      <w:r w:rsidRPr="76E49D51">
        <w:rPr>
          <w:rFonts w:eastAsia="Times New Roman"/>
          <w:noProof/>
          <w:lang w:eastAsia="fr-FR"/>
        </w:rPr>
        <w:t>for the achievement of</w:t>
      </w:r>
      <w:r w:rsidRPr="00B356D4">
        <w:rPr>
          <w:rFonts w:eastAsia="Times New Roman"/>
          <w:noProof/>
          <w:lang w:eastAsia="fr-FR"/>
        </w:rPr>
        <w:t xml:space="preserve"> sector-specific regulatory objectives.</w:t>
      </w:r>
    </w:p>
    <w:p w14:paraId="2E98E1DD" w14:textId="77777777" w:rsidR="0023412A" w:rsidRDefault="0023412A" w:rsidP="0023412A">
      <w:pPr>
        <w:spacing w:before="0" w:after="200"/>
        <w:rPr>
          <w:noProof/>
        </w:rPr>
      </w:pPr>
      <w:r w:rsidRPr="00B356D4">
        <w:rPr>
          <w:rFonts w:eastAsia="Times New Roman"/>
          <w:noProof/>
        </w:rPr>
        <w:t xml:space="preserve">Given existing sectoral legislation, </w:t>
      </w:r>
      <w:r w:rsidRPr="00B356D4">
        <w:rPr>
          <w:rFonts w:eastAsia="Arial Unicode MS"/>
          <w:noProof/>
          <w:lang w:val="en-IE"/>
        </w:rPr>
        <w:t>with regard to the creation of the Green Deal data space, the review</w:t>
      </w:r>
      <w:r w:rsidRPr="006577BD">
        <w:rPr>
          <w:rStyle w:val="FootnoteReference"/>
          <w:rFonts w:eastAsia="Arial Unicode MS"/>
          <w:noProof/>
          <w:lang w:val="en-IE"/>
        </w:rPr>
        <w:footnoteReference w:id="22"/>
      </w:r>
      <w:r w:rsidRPr="00B356D4">
        <w:rPr>
          <w:rFonts w:eastAsia="Arial Unicode MS"/>
          <w:noProof/>
          <w:lang w:val="en-IE"/>
        </w:rPr>
        <w:t xml:space="preserve"> of the </w:t>
      </w:r>
      <w:r w:rsidRPr="00B356D4">
        <w:rPr>
          <w:rFonts w:eastAsia="Arial Unicode MS"/>
          <w:b/>
          <w:bCs/>
          <w:noProof/>
          <w:lang w:val="en-IE"/>
        </w:rPr>
        <w:t>INSPIRE Directive</w:t>
      </w:r>
      <w:r w:rsidRPr="00B356D4">
        <w:rPr>
          <w:rStyle w:val="FootnoteReference"/>
          <w:rFonts w:eastAsia="Arial Unicode MS"/>
          <w:noProof/>
          <w:lang w:val="en-IE"/>
        </w:rPr>
        <w:footnoteReference w:id="23"/>
      </w:r>
      <w:r w:rsidRPr="00B356D4">
        <w:rPr>
          <w:rFonts w:eastAsia="Arial Unicode MS"/>
          <w:noProof/>
          <w:lang w:val="en-IE"/>
        </w:rPr>
        <w:t xml:space="preserve"> will enable further open availability and </w:t>
      </w:r>
      <w:r>
        <w:rPr>
          <w:rFonts w:eastAsia="Arial Unicode MS"/>
          <w:noProof/>
          <w:lang w:val="en-IE"/>
        </w:rPr>
        <w:t>re</w:t>
      </w:r>
      <w:r w:rsidRPr="00B356D4">
        <w:rPr>
          <w:rFonts w:eastAsia="Arial Unicode MS"/>
          <w:noProof/>
          <w:lang w:val="en-IE"/>
        </w:rPr>
        <w:t xml:space="preserve">use of </w:t>
      </w:r>
      <w:r>
        <w:rPr>
          <w:rFonts w:eastAsia="Arial Unicode MS"/>
          <w:noProof/>
          <w:lang w:val="en-IE"/>
        </w:rPr>
        <w:t>spatial</w:t>
      </w:r>
      <w:r w:rsidRPr="00B356D4">
        <w:rPr>
          <w:rFonts w:eastAsia="Arial Unicode MS"/>
          <w:noProof/>
          <w:lang w:val="en-IE"/>
        </w:rPr>
        <w:t xml:space="preserve"> and environmental data. </w:t>
      </w:r>
      <w:r w:rsidRPr="00B356D4">
        <w:rPr>
          <w:noProof/>
        </w:rPr>
        <w:t xml:space="preserve">This initiative aims to make it easier for EU public authorities, businesses and citizens to support the transition to a greener and carbon-neutral economy and reducing administrative burden. It is expected to </w:t>
      </w:r>
      <w:r>
        <w:rPr>
          <w:noProof/>
        </w:rPr>
        <w:t>support</w:t>
      </w:r>
      <w:r w:rsidRPr="00B356D4">
        <w:rPr>
          <w:noProof/>
        </w:rPr>
        <w:t xml:space="preserve"> reusable data services on a large scale to assist in collecting, sharing, processing and analysing large volumes of data relevant for assuring compliance with environmental legislation and priority European Green Deal actions. It will streamline reporting and burden reduction through better reuse of existing data, automatic reporting generation through data mining and business intelligence. </w:t>
      </w:r>
    </w:p>
    <w:p w14:paraId="3A1DA803" w14:textId="77777777" w:rsidR="0023412A" w:rsidRPr="00052ACF" w:rsidRDefault="0023412A" w:rsidP="0023412A">
      <w:pPr>
        <w:spacing w:before="0" w:after="200" w:line="257" w:lineRule="auto"/>
        <w:rPr>
          <w:rFonts w:eastAsia="Times New Roman"/>
          <w:noProof/>
        </w:rPr>
      </w:pPr>
      <w:r w:rsidRPr="00B356D4">
        <w:rPr>
          <w:rFonts w:eastAsia="Times New Roman"/>
          <w:noProof/>
        </w:rPr>
        <w:t xml:space="preserve">The EU </w:t>
      </w:r>
      <w:r w:rsidRPr="00B356D4">
        <w:rPr>
          <w:rFonts w:eastAsia="Times New Roman"/>
          <w:b/>
          <w:bCs/>
          <w:noProof/>
        </w:rPr>
        <w:t>Electricity Regulation</w:t>
      </w:r>
      <w:r w:rsidRPr="003B5043">
        <w:rPr>
          <w:rStyle w:val="FootnoteReference"/>
          <w:noProof/>
        </w:rPr>
        <w:footnoteReference w:id="24"/>
      </w:r>
      <w:r w:rsidRPr="00B356D4">
        <w:rPr>
          <w:rFonts w:eastAsia="Times New Roman"/>
          <w:noProof/>
        </w:rPr>
        <w:t xml:space="preserve"> requires transmission system operators to provide data to regulators and for resource adequacy planning, while the EU </w:t>
      </w:r>
      <w:r w:rsidRPr="00B356D4">
        <w:rPr>
          <w:rFonts w:eastAsia="Times New Roman"/>
          <w:b/>
          <w:bCs/>
          <w:noProof/>
        </w:rPr>
        <w:t>Electricity Directive</w:t>
      </w:r>
      <w:r w:rsidRPr="003B5043">
        <w:rPr>
          <w:rStyle w:val="FootnoteReference"/>
          <w:noProof/>
        </w:rPr>
        <w:footnoteReference w:id="25"/>
      </w:r>
      <w:r w:rsidRPr="00B356D4">
        <w:rPr>
          <w:rFonts w:eastAsia="Times New Roman"/>
          <w:noProof/>
        </w:rPr>
        <w:t xml:space="preserve"> provides for the transparent and non-discriminatory access to data and mandates the Commission to develop related interoperability requirements and procedures to facilitate this. The </w:t>
      </w:r>
      <w:r w:rsidRPr="00B356D4">
        <w:rPr>
          <w:rFonts w:eastAsia="Times New Roman"/>
          <w:b/>
          <w:bCs/>
          <w:noProof/>
        </w:rPr>
        <w:t>Payment Services Directive 2</w:t>
      </w:r>
      <w:r w:rsidRPr="003B5043">
        <w:rPr>
          <w:rStyle w:val="FootnoteReference"/>
          <w:noProof/>
        </w:rPr>
        <w:footnoteReference w:id="26"/>
      </w:r>
      <w:r w:rsidRPr="00B356D4">
        <w:rPr>
          <w:rFonts w:eastAsia="Times New Roman"/>
          <w:noProof/>
        </w:rPr>
        <w:t xml:space="preserve"> opens some types of payment transactional and account information under certain conditions, thereby enabling </w:t>
      </w:r>
      <w:r>
        <w:rPr>
          <w:rFonts w:eastAsia="Times New Roman"/>
          <w:noProof/>
        </w:rPr>
        <w:t>business-to-business</w:t>
      </w:r>
      <w:r w:rsidRPr="00B356D4">
        <w:rPr>
          <w:rFonts w:eastAsia="Times New Roman"/>
          <w:noProof/>
        </w:rPr>
        <w:t xml:space="preserve"> data sharing in the area of </w:t>
      </w:r>
      <w:r w:rsidRPr="001B1240">
        <w:rPr>
          <w:rFonts w:eastAsia="Times New Roman"/>
          <w:noProof/>
        </w:rPr>
        <w:t>Fintech</w:t>
      </w:r>
      <w:r w:rsidRPr="00B356D4">
        <w:rPr>
          <w:rFonts w:eastAsia="Times New Roman"/>
          <w:noProof/>
        </w:rPr>
        <w:t xml:space="preserve">. In the mobility and transport sector, there is a wide variety of data access and sharing rules. Repair and maintenance information from motor vehicles and agricultural machines is </w:t>
      </w:r>
      <w:r w:rsidRPr="00052ACF">
        <w:rPr>
          <w:rFonts w:eastAsia="Times New Roman"/>
          <w:noProof/>
        </w:rPr>
        <w:t xml:space="preserve">subject to specific data access/sharing obligations under </w:t>
      </w:r>
      <w:r w:rsidRPr="00052ACF">
        <w:rPr>
          <w:rFonts w:eastAsia="Times New Roman"/>
          <w:b/>
          <w:bCs/>
          <w:noProof/>
        </w:rPr>
        <w:t>type approval legislation</w:t>
      </w:r>
      <w:r w:rsidRPr="00052ACF">
        <w:rPr>
          <w:rStyle w:val="FootnoteReference"/>
          <w:noProof/>
        </w:rPr>
        <w:footnoteReference w:id="27"/>
      </w:r>
      <w:r w:rsidRPr="00052ACF">
        <w:rPr>
          <w:rFonts w:eastAsia="Times New Roman"/>
          <w:noProof/>
        </w:rPr>
        <w:t xml:space="preserve">. However, new rules are needed to ensure that existing vehicle type-approval legislation is fit for the digital age and promotes the development of clean, connected and automated vehicles. Building on the Data Act as a framework for the access and use of data, these rules will address sector-specific challenges, including access to vehicle functions and resources. </w:t>
      </w:r>
    </w:p>
    <w:p w14:paraId="1EC354EE" w14:textId="77777777" w:rsidR="0023412A" w:rsidRPr="00B356D4" w:rsidRDefault="0023412A" w:rsidP="0023412A">
      <w:pPr>
        <w:spacing w:before="0" w:after="200"/>
        <w:rPr>
          <w:rFonts w:eastAsia="Times New Roman"/>
          <w:noProof/>
        </w:rPr>
      </w:pPr>
      <w:r w:rsidRPr="00B356D4">
        <w:rPr>
          <w:rFonts w:eastAsia="Times New Roman"/>
          <w:noProof/>
        </w:rPr>
        <w:t xml:space="preserve">In the framework of the </w:t>
      </w:r>
      <w:r w:rsidRPr="00B356D4">
        <w:rPr>
          <w:rFonts w:eastAsia="Times New Roman"/>
          <w:b/>
          <w:bCs/>
          <w:noProof/>
        </w:rPr>
        <w:t>Intelligent Transport Systems Directive</w:t>
      </w:r>
      <w:r w:rsidRPr="00B356D4">
        <w:rPr>
          <w:rStyle w:val="FootnoteReference"/>
          <w:rFonts w:eastAsia="Times New Roman"/>
          <w:noProof/>
        </w:rPr>
        <w:footnoteReference w:id="28"/>
      </w:r>
      <w:r w:rsidRPr="00B356D4">
        <w:rPr>
          <w:rFonts w:eastAsia="Times New Roman"/>
          <w:noProof/>
        </w:rPr>
        <w:t xml:space="preserve">, several delegated regulations </w:t>
      </w:r>
      <w:r>
        <w:rPr>
          <w:rFonts w:eastAsia="Times New Roman"/>
          <w:noProof/>
        </w:rPr>
        <w:t>have been developed and will continue to be developed, notably</w:t>
      </w:r>
      <w:r w:rsidRPr="00B356D4">
        <w:rPr>
          <w:rFonts w:eastAsia="Times New Roman"/>
          <w:noProof/>
        </w:rPr>
        <w:t xml:space="preserve"> </w:t>
      </w:r>
      <w:r>
        <w:rPr>
          <w:rFonts w:eastAsia="Times New Roman"/>
          <w:noProof/>
        </w:rPr>
        <w:t xml:space="preserve">to </w:t>
      </w:r>
      <w:r w:rsidRPr="00B356D4">
        <w:rPr>
          <w:rFonts w:eastAsia="Times New Roman"/>
          <w:noProof/>
        </w:rPr>
        <w:t xml:space="preserve">specify data accessibility for road and multimodal passenger transport, in particular through National Access Points. </w:t>
      </w:r>
      <w:r w:rsidRPr="00B356D4">
        <w:rPr>
          <w:noProof/>
        </w:rPr>
        <w:t xml:space="preserve">In air traffic management, non-operational data is important for improving inter-modality and connectivity. Operational data related to air traffic management would come under the specific regime defined in the framework of the </w:t>
      </w:r>
      <w:r w:rsidRPr="00B356D4">
        <w:rPr>
          <w:b/>
          <w:bCs/>
          <w:noProof/>
        </w:rPr>
        <w:t>Single European Sky</w:t>
      </w:r>
      <w:r w:rsidRPr="00B356D4">
        <w:rPr>
          <w:rStyle w:val="FootnoteReference"/>
          <w:noProof/>
        </w:rPr>
        <w:footnoteReference w:id="29"/>
      </w:r>
      <w:r w:rsidRPr="00B356D4">
        <w:rPr>
          <w:noProof/>
        </w:rPr>
        <w:t>. In vessel traffic monitoring, vessel related data (tracking and tracing) is important for improving inter-modality and connectivity: this data falls under the specific regime defined in the VTMIS Directive</w:t>
      </w:r>
      <w:r w:rsidRPr="00B356D4">
        <w:rPr>
          <w:rStyle w:val="FootnoteReference"/>
          <w:noProof/>
        </w:rPr>
        <w:footnoteReference w:id="30"/>
      </w:r>
      <w:r>
        <w:rPr>
          <w:noProof/>
        </w:rPr>
        <w:t>. It also falls within</w:t>
      </w:r>
      <w:r w:rsidRPr="00B356D4">
        <w:rPr>
          <w:noProof/>
        </w:rPr>
        <w:t xml:space="preserve"> the </w:t>
      </w:r>
      <w:r>
        <w:rPr>
          <w:noProof/>
        </w:rPr>
        <w:t>remit</w:t>
      </w:r>
      <w:r w:rsidRPr="00B356D4">
        <w:rPr>
          <w:noProof/>
        </w:rPr>
        <w:t xml:space="preserve"> of</w:t>
      </w:r>
      <w:r w:rsidRPr="00811720">
        <w:rPr>
          <w:noProof/>
        </w:rPr>
        <w:t xml:space="preserve"> </w:t>
      </w:r>
      <w:r w:rsidRPr="00B356D4">
        <w:rPr>
          <w:noProof/>
        </w:rPr>
        <w:t>the Digital Maritime System and Services</w:t>
      </w:r>
      <w:r>
        <w:rPr>
          <w:noProof/>
        </w:rPr>
        <w:t>.</w:t>
      </w:r>
      <w:r w:rsidRPr="00B356D4">
        <w:rPr>
          <w:rStyle w:val="FootnoteReference"/>
          <w:noProof/>
        </w:rPr>
        <w:footnoteReference w:id="31"/>
      </w:r>
      <w:r w:rsidRPr="00B356D4">
        <w:rPr>
          <w:rFonts w:eastAsia="Times New Roman"/>
          <w:noProof/>
        </w:rPr>
        <w:t xml:space="preserve"> The proposal for a Regulation on the deployment of </w:t>
      </w:r>
      <w:r w:rsidRPr="00B356D4">
        <w:rPr>
          <w:rFonts w:eastAsia="Times New Roman"/>
          <w:b/>
          <w:bCs/>
          <w:noProof/>
        </w:rPr>
        <w:t>alternative fuels infrastructure</w:t>
      </w:r>
      <w:r w:rsidRPr="003B5043">
        <w:rPr>
          <w:rStyle w:val="FootnoteReference"/>
          <w:noProof/>
        </w:rPr>
        <w:footnoteReference w:id="32"/>
      </w:r>
      <w:r w:rsidRPr="00B356D4">
        <w:rPr>
          <w:rFonts w:eastAsia="Times New Roman"/>
          <w:noProof/>
        </w:rPr>
        <w:t xml:space="preserve"> specifies the relevant data types to be made available, in synergy with the general framework established in the Intelligent Transport Systems Directive. </w:t>
      </w:r>
    </w:p>
    <w:p w14:paraId="469E0022" w14:textId="77777777" w:rsidR="0023412A" w:rsidRPr="002D5EE2" w:rsidRDefault="0023412A" w:rsidP="0023412A">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14:paraId="3677F1BE" w14:textId="48FEB5C8" w:rsidR="0023412A" w:rsidRPr="000F2E77" w:rsidRDefault="0023412A" w:rsidP="0023412A">
      <w:pPr>
        <w:widowControl w:val="0"/>
        <w:spacing w:before="0" w:after="200"/>
        <w:rPr>
          <w:rFonts w:eastAsia="Arial Unicode MS"/>
          <w:noProof/>
          <w:lang w:val="en-IE"/>
        </w:rPr>
      </w:pPr>
      <w:r w:rsidRPr="00B356D4">
        <w:rPr>
          <w:rFonts w:eastAsia="Arial Unicode MS"/>
          <w:noProof/>
          <w:lang w:val="en-IE"/>
        </w:rPr>
        <w:t>Th</w:t>
      </w:r>
      <w:r>
        <w:rPr>
          <w:rFonts w:eastAsia="Arial Unicode MS"/>
          <w:noProof/>
          <w:lang w:val="en-IE"/>
        </w:rPr>
        <w:t>is</w:t>
      </w:r>
      <w:r w:rsidRPr="00B356D4">
        <w:rPr>
          <w:rFonts w:eastAsia="Arial Unicode MS"/>
          <w:noProof/>
          <w:lang w:val="en-IE"/>
        </w:rPr>
        <w:t xml:space="preserve"> proposal is in line with the Commission’s priorities to </w:t>
      </w:r>
      <w:r w:rsidRPr="00B356D4">
        <w:rPr>
          <w:rFonts w:eastAsia="Arial Unicode MS"/>
          <w:b/>
          <w:bCs/>
          <w:noProof/>
          <w:lang w:val="en-IE"/>
        </w:rPr>
        <w:t>make Europe fit for the digital age</w:t>
      </w:r>
      <w:r w:rsidRPr="00B356D4">
        <w:rPr>
          <w:rFonts w:eastAsia="Arial Unicode MS"/>
          <w:noProof/>
          <w:lang w:val="en-IE"/>
        </w:rPr>
        <w:t xml:space="preserve"> and to build a future-ready economy that works for people</w:t>
      </w:r>
      <w:r w:rsidRPr="00B356D4">
        <w:rPr>
          <w:rStyle w:val="FootnoteReference"/>
          <w:rFonts w:eastAsia="Arial Unicode MS"/>
          <w:noProof/>
          <w:lang w:val="en-IE"/>
        </w:rPr>
        <w:footnoteReference w:id="33"/>
      </w:r>
      <w:r w:rsidRPr="00B356D4">
        <w:rPr>
          <w:rFonts w:eastAsia="Arial Unicode MS"/>
          <w:noProof/>
          <w:lang w:val="en-IE"/>
        </w:rPr>
        <w:t xml:space="preserve">, where the digitalisation of the </w:t>
      </w:r>
      <w:r w:rsidRPr="1F1F9AC5">
        <w:rPr>
          <w:rFonts w:eastAsia="Arial Unicode MS"/>
          <w:noProof/>
          <w:lang w:val="en-IE"/>
        </w:rPr>
        <w:t>internal</w:t>
      </w:r>
      <w:r>
        <w:rPr>
          <w:rFonts w:eastAsia="Arial Unicode MS"/>
          <w:noProof/>
          <w:lang w:val="en-IE"/>
        </w:rPr>
        <w:t xml:space="preserve"> market</w:t>
      </w:r>
      <w:r w:rsidRPr="00B356D4">
        <w:rPr>
          <w:rFonts w:eastAsia="Arial Unicode MS"/>
          <w:noProof/>
          <w:lang w:val="en-IE"/>
        </w:rPr>
        <w:t xml:space="preserve"> is characteri</w:t>
      </w:r>
      <w:r>
        <w:rPr>
          <w:rFonts w:eastAsia="Arial Unicode MS"/>
          <w:noProof/>
          <w:lang w:val="en-IE"/>
        </w:rPr>
        <w:t>s</w:t>
      </w:r>
      <w:r w:rsidRPr="00B356D4">
        <w:rPr>
          <w:rFonts w:eastAsia="Arial Unicode MS"/>
          <w:noProof/>
          <w:lang w:val="en-IE"/>
        </w:rPr>
        <w:t>ed by a high degree of trust, security, safety and choice for consumers</w:t>
      </w:r>
      <w:r w:rsidR="00BD4BEA">
        <w:rPr>
          <w:rFonts w:eastAsia="Arial Unicode MS"/>
          <w:noProof/>
          <w:lang w:val="en-IE"/>
        </w:rPr>
        <w:t>.</w:t>
      </w:r>
      <w:r w:rsidRPr="00B356D4">
        <w:rPr>
          <w:rFonts w:eastAsia="Arial Unicode MS"/>
          <w:noProof/>
          <w:lang w:val="en-IE"/>
        </w:rPr>
        <w:t xml:space="preserve"> </w:t>
      </w:r>
      <w:r w:rsidR="00BD4BEA">
        <w:rPr>
          <w:rFonts w:eastAsia="Arial Unicode MS"/>
          <w:noProof/>
          <w:lang w:val="en-IE"/>
        </w:rPr>
        <w:t>The digitalisation of the internal market is</w:t>
      </w:r>
      <w:r w:rsidRPr="1F1F9AC5">
        <w:rPr>
          <w:rFonts w:eastAsia="Arial Unicode MS"/>
          <w:noProof/>
          <w:lang w:val="en-IE"/>
        </w:rPr>
        <w:t xml:space="preserve"> highly</w:t>
      </w:r>
      <w:r w:rsidRPr="00B356D4">
        <w:rPr>
          <w:rFonts w:eastAsia="Arial Unicode MS"/>
          <w:noProof/>
          <w:lang w:val="en-IE"/>
        </w:rPr>
        <w:t xml:space="preserve"> competitive </w:t>
      </w:r>
      <w:r w:rsidRPr="1F1F9AC5">
        <w:rPr>
          <w:rFonts w:eastAsia="Arial Unicode MS"/>
          <w:noProof/>
          <w:lang w:val="en-IE"/>
        </w:rPr>
        <w:t>thanks to</w:t>
      </w:r>
      <w:r w:rsidRPr="00B356D4">
        <w:rPr>
          <w:rFonts w:eastAsia="Arial Unicode MS"/>
          <w:noProof/>
          <w:lang w:val="en-IE"/>
        </w:rPr>
        <w:t xml:space="preserve"> a framework </w:t>
      </w:r>
      <w:r w:rsidRPr="1F1F9AC5">
        <w:rPr>
          <w:rFonts w:eastAsia="Arial Unicode MS"/>
          <w:noProof/>
          <w:lang w:val="en-IE"/>
        </w:rPr>
        <w:t>that</w:t>
      </w:r>
      <w:r w:rsidRPr="00B356D4">
        <w:rPr>
          <w:rFonts w:eastAsia="Arial Unicode MS"/>
          <w:noProof/>
          <w:lang w:val="en-IE"/>
        </w:rPr>
        <w:t xml:space="preserve"> </w:t>
      </w:r>
      <w:r w:rsidRPr="1F1F9AC5">
        <w:rPr>
          <w:rFonts w:eastAsia="Arial Unicode MS"/>
          <w:noProof/>
          <w:lang w:val="en-IE"/>
        </w:rPr>
        <w:t>favours</w:t>
      </w:r>
      <w:r w:rsidRPr="00B356D4">
        <w:rPr>
          <w:rFonts w:eastAsia="Arial Unicode MS"/>
          <w:noProof/>
          <w:lang w:val="en-IE"/>
        </w:rPr>
        <w:t xml:space="preserve"> transparency, competition and innovation, and which is technology neutral. </w:t>
      </w:r>
      <w:r w:rsidRPr="00B356D4">
        <w:rPr>
          <w:rFonts w:eastAsia="Calibri"/>
          <w:noProof/>
          <w:lang w:val="en-IE"/>
        </w:rPr>
        <w:t xml:space="preserve">It supports the </w:t>
      </w:r>
      <w:r w:rsidRPr="00B356D4">
        <w:rPr>
          <w:rFonts w:eastAsia="Calibri"/>
          <w:b/>
          <w:bCs/>
          <w:noProof/>
          <w:lang w:val="en-IE"/>
        </w:rPr>
        <w:t>Recovery and Resilience Facility</w:t>
      </w:r>
      <w:r w:rsidRPr="00B356D4">
        <w:rPr>
          <w:rStyle w:val="FootnoteReference"/>
          <w:rFonts w:eastAsia="Calibri"/>
          <w:noProof/>
          <w:lang w:val="en-IE"/>
        </w:rPr>
        <w:footnoteReference w:id="34"/>
      </w:r>
      <w:r w:rsidRPr="00B356D4">
        <w:rPr>
          <w:rFonts w:eastAsia="Calibri"/>
          <w:noProof/>
          <w:lang w:val="en-IE"/>
        </w:rPr>
        <w:t>,</w:t>
      </w:r>
      <w:r w:rsidRPr="00B356D4">
        <w:rPr>
          <w:rFonts w:eastAsia="Calibri"/>
          <w:b/>
          <w:bCs/>
          <w:noProof/>
          <w:lang w:val="en-IE"/>
        </w:rPr>
        <w:t xml:space="preserve"> </w:t>
      </w:r>
      <w:r w:rsidRPr="00B356D4">
        <w:rPr>
          <w:rFonts w:eastAsia="Calibri"/>
          <w:noProof/>
          <w:lang w:val="en-IE"/>
        </w:rPr>
        <w:t xml:space="preserve">learning lessons from the COVID-19 pandemic and the </w:t>
      </w:r>
      <w:r w:rsidRPr="000F2E77">
        <w:rPr>
          <w:rFonts w:eastAsia="Calibri"/>
          <w:noProof/>
          <w:lang w:val="en-IE"/>
        </w:rPr>
        <w:t xml:space="preserve">benefits of more easily accessible data where necessary. </w:t>
      </w:r>
    </w:p>
    <w:p w14:paraId="3281D440" w14:textId="77777777" w:rsidR="0023412A" w:rsidRPr="00B356D4" w:rsidRDefault="0023412A" w:rsidP="0023412A">
      <w:pPr>
        <w:widowControl w:val="0"/>
        <w:spacing w:before="0" w:after="200"/>
        <w:rPr>
          <w:rFonts w:eastAsia="Arial Unicode MS"/>
          <w:noProof/>
          <w:lang w:val="en-IE"/>
        </w:rPr>
      </w:pPr>
      <w:r>
        <w:rPr>
          <w:rFonts w:eastAsia="Arial Unicode MS"/>
          <w:noProof/>
          <w:lang w:val="en-IE"/>
        </w:rPr>
        <w:t>This proposal</w:t>
      </w:r>
      <w:r w:rsidRPr="000F2E77">
        <w:rPr>
          <w:rFonts w:eastAsia="Arial Unicode MS"/>
          <w:noProof/>
          <w:lang w:val="en-IE"/>
        </w:rPr>
        <w:t xml:space="preserve"> supports the critical role of data in achieving the European </w:t>
      </w:r>
      <w:r w:rsidRPr="000F2E77">
        <w:rPr>
          <w:rFonts w:eastAsia="Arial Unicode MS"/>
          <w:b/>
          <w:noProof/>
          <w:lang w:val="en-IE"/>
        </w:rPr>
        <w:t>Green Deal objectives</w:t>
      </w:r>
      <w:r w:rsidRPr="000F2E77">
        <w:rPr>
          <w:rFonts w:eastAsia="Arial Unicode MS"/>
          <w:noProof/>
          <w:lang w:val="en-IE"/>
        </w:rPr>
        <w:t xml:space="preserve"> in various ways. First, by deepening the understanding of governments, businesses and individuals of the impacts on society and the economy of products, services and materials across entire supply chains. Second, by mobilising the existing wealth of relevant private sector data in order to tackle climate-, biodiversity-, pollution-</w:t>
      </w:r>
      <w:r w:rsidRPr="000F2E77">
        <w:rPr>
          <w:rStyle w:val="FootnoteReference"/>
          <w:rFonts w:eastAsia="Arial Unicode MS"/>
          <w:noProof/>
          <w:lang w:val="en-IE"/>
        </w:rPr>
        <w:footnoteReference w:id="35"/>
      </w:r>
      <w:r w:rsidRPr="000F2E77">
        <w:rPr>
          <w:rFonts w:eastAsia="Arial Unicode MS"/>
          <w:noProof/>
          <w:lang w:val="en-IE"/>
        </w:rPr>
        <w:t xml:space="preserve"> and natural resource-related in line with objectives of the European Green Deal</w:t>
      </w:r>
      <w:r w:rsidRPr="000F2E77">
        <w:rPr>
          <w:rStyle w:val="FootnoteReference"/>
          <w:rFonts w:eastAsia="Arial Unicode MS"/>
          <w:noProof/>
          <w:lang w:val="en-IE"/>
        </w:rPr>
        <w:footnoteReference w:id="36"/>
      </w:r>
      <w:r w:rsidRPr="000F2E77">
        <w:rPr>
          <w:rFonts w:eastAsia="Arial Unicode MS"/>
          <w:noProof/>
          <w:lang w:val="en-IE"/>
        </w:rPr>
        <w:t>, the relevant Council conclusions</w:t>
      </w:r>
      <w:r w:rsidRPr="000F2E77">
        <w:rPr>
          <w:rStyle w:val="FootnoteReference"/>
          <w:rFonts w:eastAsia="Arial Unicode MS"/>
          <w:noProof/>
          <w:lang w:val="en-IE"/>
        </w:rPr>
        <w:footnoteReference w:id="37"/>
      </w:r>
      <w:r w:rsidRPr="000F2E77">
        <w:rPr>
          <w:rFonts w:eastAsia="Arial Unicode MS"/>
          <w:noProof/>
          <w:lang w:val="en-IE"/>
        </w:rPr>
        <w:t xml:space="preserve"> and positions</w:t>
      </w:r>
      <w:r w:rsidRPr="000F2E77">
        <w:rPr>
          <w:rStyle w:val="FootnoteReference"/>
          <w:rFonts w:eastAsia="Arial Unicode MS"/>
          <w:noProof/>
          <w:lang w:val="en-IE"/>
        </w:rPr>
        <w:footnoteReference w:id="38"/>
      </w:r>
      <w:r w:rsidRPr="000F2E77">
        <w:rPr>
          <w:rFonts w:eastAsia="Arial Unicode MS"/>
          <w:noProof/>
          <w:lang w:val="en-IE"/>
        </w:rPr>
        <w:t xml:space="preserve"> of the European Parliament. Third, by closing knowledge gaps and managing related crises through enhanced mitigation, preparedness, response and recovery actions. </w:t>
      </w:r>
    </w:p>
    <w:p w14:paraId="39B86701" w14:textId="77777777" w:rsidR="0023412A" w:rsidRPr="00B356D4" w:rsidRDefault="0023412A" w:rsidP="0023412A">
      <w:pPr>
        <w:widowControl w:val="0"/>
        <w:spacing w:before="0" w:after="200"/>
        <w:rPr>
          <w:rFonts w:eastAsia="Arial Unicode MS"/>
          <w:noProof/>
          <w:lang w:val="en-IE"/>
        </w:rPr>
      </w:pPr>
      <w:r w:rsidRPr="00B356D4">
        <w:rPr>
          <w:rFonts w:eastAsia="Arial Unicode MS"/>
          <w:noProof/>
          <w:lang w:val="en-IE"/>
        </w:rPr>
        <w:t xml:space="preserve">In line with the </w:t>
      </w:r>
      <w:r w:rsidRPr="00B356D4">
        <w:rPr>
          <w:rFonts w:eastAsia="Arial Unicode MS"/>
          <w:b/>
          <w:bCs/>
          <w:noProof/>
          <w:lang w:val="en-IE"/>
        </w:rPr>
        <w:t>Industrial Strategy</w:t>
      </w:r>
      <w:r w:rsidRPr="00B356D4">
        <w:rPr>
          <w:rStyle w:val="FootnoteReference"/>
          <w:rFonts w:eastAsia="Arial Unicode MS"/>
          <w:noProof/>
          <w:lang w:val="en-IE"/>
        </w:rPr>
        <w:footnoteReference w:id="39"/>
      </w:r>
      <w:r w:rsidRPr="00B356D4">
        <w:rPr>
          <w:rFonts w:eastAsia="Arial Unicode MS"/>
          <w:noProof/>
          <w:lang w:val="en-IE"/>
        </w:rPr>
        <w:t xml:space="preserve">, the proposal deals with highly strategic technologies such as cloud computing and artificial intelligence systems: areas whose full potential the EU has yet to harness, on the cusp of the next industrial data wave. It implements the </w:t>
      </w:r>
      <w:r w:rsidRPr="00B356D4">
        <w:rPr>
          <w:rFonts w:eastAsia="Arial Unicode MS"/>
          <w:b/>
          <w:bCs/>
          <w:noProof/>
          <w:lang w:val="en-IE"/>
        </w:rPr>
        <w:t>Strategy for Data</w:t>
      </w:r>
      <w:r w:rsidRPr="00B356D4">
        <w:rPr>
          <w:rStyle w:val="FootnoteReference"/>
          <w:rFonts w:eastAsia="Arial Unicode MS"/>
          <w:noProof/>
          <w:lang w:val="en-IE"/>
        </w:rPr>
        <w:footnoteReference w:id="40"/>
      </w:r>
      <w:r w:rsidRPr="00B356D4">
        <w:rPr>
          <w:rFonts w:eastAsia="Arial Unicode MS"/>
          <w:noProof/>
          <w:lang w:val="en-IE"/>
        </w:rPr>
        <w:t xml:space="preserve"> goal of businesses to being better able to innovate and compete on the basis of EU values, and the principle of </w:t>
      </w:r>
      <w:r w:rsidRPr="00B356D4">
        <w:rPr>
          <w:rFonts w:eastAsia="Arial Unicode MS"/>
          <w:b/>
          <w:bCs/>
          <w:noProof/>
          <w:lang w:val="en-IE"/>
        </w:rPr>
        <w:t>free flow of data within the internal market</w:t>
      </w:r>
      <w:r w:rsidRPr="30D3AC72">
        <w:rPr>
          <w:rFonts w:eastAsia="Arial Unicode MS"/>
          <w:noProof/>
          <w:lang w:val="en-IE"/>
        </w:rPr>
        <w:t>. It also tallies with</w:t>
      </w:r>
      <w:r w:rsidRPr="00B356D4">
        <w:rPr>
          <w:rFonts w:eastAsia="Arial Unicode MS"/>
          <w:noProof/>
          <w:lang w:val="en-IE"/>
        </w:rPr>
        <w:t xml:space="preserve"> </w:t>
      </w:r>
      <w:r w:rsidRPr="00B356D4">
        <w:rPr>
          <w:rFonts w:eastAsia="Calibri"/>
          <w:noProof/>
          <w:lang w:val="en-IE"/>
        </w:rPr>
        <w:t xml:space="preserve">the </w:t>
      </w:r>
      <w:r w:rsidRPr="00B356D4">
        <w:rPr>
          <w:rFonts w:eastAsia="Calibri"/>
          <w:b/>
          <w:bCs/>
          <w:noProof/>
          <w:lang w:val="en-IE"/>
        </w:rPr>
        <w:t>Intellectual Property Action Plan</w:t>
      </w:r>
      <w:r w:rsidRPr="00B356D4">
        <w:rPr>
          <w:rStyle w:val="FootnoteReference"/>
          <w:rFonts w:eastAsia="Arial Unicode MS"/>
          <w:noProof/>
          <w:lang w:val="en-IE"/>
        </w:rPr>
        <w:footnoteReference w:id="41"/>
      </w:r>
      <w:r w:rsidRPr="00B356D4">
        <w:rPr>
          <w:rFonts w:eastAsia="Calibri"/>
          <w:noProof/>
          <w:lang w:val="en-IE"/>
        </w:rPr>
        <w:t xml:space="preserve"> in which the Commission undertook to review the Database Directive. </w:t>
      </w:r>
    </w:p>
    <w:p w14:paraId="72545D56" w14:textId="6CFC3422" w:rsidR="0023412A" w:rsidRPr="001B1240" w:rsidRDefault="0023412A" w:rsidP="0023412A">
      <w:pPr>
        <w:widowControl w:val="0"/>
        <w:spacing w:before="0" w:after="200"/>
        <w:rPr>
          <w:rFonts w:eastAsia="Arial Unicode MS"/>
          <w:noProof/>
        </w:rPr>
      </w:pPr>
      <w:r>
        <w:rPr>
          <w:rFonts w:eastAsia="Calibri"/>
          <w:noProof/>
        </w:rPr>
        <w:t xml:space="preserve">This proposal should also comply with the principles under the European Pillar of Social Rights (EPSR) </w:t>
      </w:r>
      <w:r w:rsidR="009E26A7">
        <w:rPr>
          <w:rFonts w:eastAsia="Calibri"/>
          <w:noProof/>
        </w:rPr>
        <w:t>Action Plan</w:t>
      </w:r>
      <w:r w:rsidR="009E26A7">
        <w:rPr>
          <w:rStyle w:val="FootnoteReference"/>
          <w:rFonts w:eastAsia="Calibri"/>
          <w:noProof/>
        </w:rPr>
        <w:footnoteReference w:id="42"/>
      </w:r>
      <w:r w:rsidR="009E26A7">
        <w:rPr>
          <w:rFonts w:eastAsia="Calibri"/>
          <w:noProof/>
        </w:rPr>
        <w:t xml:space="preserve"> </w:t>
      </w:r>
      <w:r>
        <w:rPr>
          <w:rFonts w:eastAsia="Calibri"/>
          <w:noProof/>
        </w:rPr>
        <w:t xml:space="preserve">and the accessibility requirements of the </w:t>
      </w:r>
      <w:r w:rsidRPr="004F61A4">
        <w:rPr>
          <w:rFonts w:eastAsia="Calibri"/>
          <w:noProof/>
        </w:rPr>
        <w:t>Directive (EU) 2019/882 on the accessibility requirements for products and services</w:t>
      </w:r>
      <w:r>
        <w:rPr>
          <w:rStyle w:val="FootnoteReference"/>
          <w:rFonts w:eastAsia="Calibri"/>
          <w:noProof/>
        </w:rPr>
        <w:footnoteReference w:id="43"/>
      </w:r>
      <w:r>
        <w:rPr>
          <w:rFonts w:eastAsia="Calibri"/>
          <w:noProof/>
        </w:rPr>
        <w:t xml:space="preserve">. </w:t>
      </w:r>
    </w:p>
    <w:p w14:paraId="298DB37D" w14:textId="77777777" w:rsidR="0023412A" w:rsidRPr="002D5EE2" w:rsidRDefault="0023412A" w:rsidP="0023412A">
      <w:pPr>
        <w:pStyle w:val="ManualHeading1"/>
        <w:rPr>
          <w:noProof/>
        </w:rPr>
      </w:pPr>
      <w:r w:rsidRPr="002D5EE2">
        <w:rPr>
          <w:noProof/>
        </w:rPr>
        <w:t>2.</w:t>
      </w:r>
      <w:r w:rsidRPr="002D5EE2">
        <w:rPr>
          <w:noProof/>
        </w:rPr>
        <w:tab/>
        <w:t>LEGAL BASIS, SUBSIDIARITY AND PROPORTIONALITY</w:t>
      </w:r>
    </w:p>
    <w:p w14:paraId="3C2B9701" w14:textId="77777777" w:rsidR="0023412A" w:rsidRPr="002D5EE2" w:rsidRDefault="0023412A" w:rsidP="0023412A">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6F4CDDF9" w14:textId="77777777" w:rsidR="0023412A" w:rsidRPr="00B356D4" w:rsidRDefault="0023412A" w:rsidP="0023412A">
      <w:pPr>
        <w:widowControl w:val="0"/>
        <w:spacing w:before="0" w:after="200"/>
        <w:rPr>
          <w:noProof/>
          <w:lang w:val="en-IE"/>
        </w:rPr>
      </w:pPr>
      <w:r w:rsidRPr="00B356D4">
        <w:rPr>
          <w:noProof/>
          <w:lang w:val="en-IE"/>
        </w:rPr>
        <w:t>The legal basis for this proposal is Article 114 of the Treaty on the Functioning of the European Union, whose objective is the establishment and functioning of the internal market by enhancing measures for the approximation of national rules.</w:t>
      </w:r>
    </w:p>
    <w:p w14:paraId="72EC86C6" w14:textId="6E90A1E1" w:rsidR="0023412A" w:rsidRPr="00B356D4" w:rsidRDefault="0023412A" w:rsidP="0023412A">
      <w:pPr>
        <w:pStyle w:val="Text1"/>
        <w:widowControl w:val="0"/>
        <w:spacing w:before="0" w:after="200"/>
        <w:ind w:left="0"/>
        <w:rPr>
          <w:noProof/>
          <w:lang w:val="en-IE" w:eastAsia="en-GB"/>
        </w:rPr>
      </w:pPr>
      <w:r w:rsidRPr="00B356D4">
        <w:rPr>
          <w:noProof/>
          <w:lang w:val="en-IE" w:eastAsia="en-GB"/>
        </w:rPr>
        <w:t xml:space="preserve">This proposal intends to further </w:t>
      </w:r>
      <w:r w:rsidRPr="30D3AC72">
        <w:rPr>
          <w:noProof/>
          <w:lang w:val="en-IE" w:eastAsia="en-GB"/>
        </w:rPr>
        <w:t>the completion of the</w:t>
      </w:r>
      <w:r w:rsidRPr="00B356D4" w:rsidDel="004B57DC">
        <w:rPr>
          <w:noProof/>
          <w:lang w:val="en-IE" w:eastAsia="en-GB"/>
        </w:rPr>
        <w:t xml:space="preserve"> </w:t>
      </w:r>
      <w:r>
        <w:rPr>
          <w:noProof/>
          <w:lang w:val="en-IE" w:eastAsia="en-GB"/>
        </w:rPr>
        <w:t>internal</w:t>
      </w:r>
      <w:r w:rsidRPr="00B356D4">
        <w:rPr>
          <w:noProof/>
          <w:lang w:val="en-IE" w:eastAsia="en-GB"/>
        </w:rPr>
        <w:t xml:space="preserve"> market for data in which data from the public sector, businesses and individuals </w:t>
      </w:r>
      <w:r w:rsidRPr="33157BD8">
        <w:rPr>
          <w:noProof/>
          <w:lang w:val="en-IE" w:eastAsia="en-GB"/>
        </w:rPr>
        <w:t>is</w:t>
      </w:r>
      <w:r w:rsidRPr="00B356D4">
        <w:rPr>
          <w:noProof/>
          <w:lang w:val="en-IE" w:eastAsia="en-GB"/>
        </w:rPr>
        <w:t xml:space="preserve"> put to the best possible use, while respecting rights in relation to such data and </w:t>
      </w:r>
      <w:r>
        <w:rPr>
          <w:noProof/>
          <w:lang w:val="en-IE" w:eastAsia="en-GB"/>
        </w:rPr>
        <w:t xml:space="preserve">the </w:t>
      </w:r>
      <w:r w:rsidRPr="00B356D4">
        <w:rPr>
          <w:noProof/>
          <w:lang w:val="en-IE" w:eastAsia="en-GB"/>
        </w:rPr>
        <w:t>investments made in</w:t>
      </w:r>
      <w:r>
        <w:rPr>
          <w:noProof/>
          <w:lang w:val="en-IE" w:eastAsia="en-GB"/>
        </w:rPr>
        <w:t xml:space="preserve"> order to collect </w:t>
      </w:r>
      <w:r w:rsidRPr="6E895F06">
        <w:rPr>
          <w:noProof/>
          <w:lang w:val="en-IE" w:eastAsia="en-GB"/>
        </w:rPr>
        <w:t>it.</w:t>
      </w:r>
      <w:r w:rsidRPr="00B356D4">
        <w:rPr>
          <w:noProof/>
          <w:lang w:val="en-IE" w:eastAsia="en-GB"/>
        </w:rPr>
        <w:t xml:space="preserve"> The provisions on switching between data processing services aim to establish fair and competitive market conditions for the </w:t>
      </w:r>
      <w:r>
        <w:rPr>
          <w:noProof/>
          <w:lang w:val="en-IE" w:eastAsia="en-GB"/>
        </w:rPr>
        <w:t>internal</w:t>
      </w:r>
      <w:r w:rsidRPr="00B356D4">
        <w:rPr>
          <w:noProof/>
          <w:lang w:val="en-IE" w:eastAsia="en-GB"/>
        </w:rPr>
        <w:t xml:space="preserve"> market in cloud, edge and related services.</w:t>
      </w:r>
    </w:p>
    <w:p w14:paraId="76FB5ABA" w14:textId="0CA061D3" w:rsidR="0023412A" w:rsidRPr="00B356D4" w:rsidRDefault="0023412A" w:rsidP="0023412A">
      <w:pPr>
        <w:pStyle w:val="Text1"/>
        <w:widowControl w:val="0"/>
        <w:spacing w:before="0" w:after="200"/>
        <w:ind w:left="0"/>
        <w:rPr>
          <w:noProof/>
          <w:lang w:val="en-IE" w:eastAsia="en-GB"/>
        </w:rPr>
      </w:pPr>
      <w:r>
        <w:rPr>
          <w:noProof/>
          <w:lang w:val="en-IE" w:eastAsia="en-GB"/>
        </w:rPr>
        <w:t xml:space="preserve">The </w:t>
      </w:r>
      <w:r w:rsidRPr="00B356D4">
        <w:rPr>
          <w:noProof/>
          <w:lang w:val="en-IE" w:eastAsia="en-GB"/>
        </w:rPr>
        <w:t xml:space="preserve">protection of confidential business data and trade secrets is </w:t>
      </w:r>
      <w:r w:rsidRPr="33157BD8">
        <w:rPr>
          <w:noProof/>
          <w:lang w:val="en-IE" w:eastAsia="en-GB"/>
        </w:rPr>
        <w:t xml:space="preserve">an </w:t>
      </w:r>
      <w:r w:rsidRPr="00B356D4">
        <w:rPr>
          <w:noProof/>
          <w:lang w:val="en-IE" w:eastAsia="en-GB"/>
        </w:rPr>
        <w:t xml:space="preserve">important </w:t>
      </w:r>
      <w:r w:rsidRPr="33157BD8">
        <w:rPr>
          <w:noProof/>
          <w:lang w:val="en-IE" w:eastAsia="en-GB"/>
        </w:rPr>
        <w:t xml:space="preserve">aspect of the </w:t>
      </w:r>
      <w:r w:rsidRPr="00B356D4">
        <w:rPr>
          <w:noProof/>
          <w:lang w:val="en-IE" w:eastAsia="en-GB"/>
        </w:rPr>
        <w:t xml:space="preserve">well-functioning of the internal market, as </w:t>
      </w:r>
      <w:r w:rsidRPr="6E895F06">
        <w:rPr>
          <w:noProof/>
          <w:lang w:val="en-IE" w:eastAsia="en-GB"/>
        </w:rPr>
        <w:t>is</w:t>
      </w:r>
      <w:r w:rsidRPr="00B356D4">
        <w:rPr>
          <w:noProof/>
          <w:lang w:val="en-IE" w:eastAsia="en-GB"/>
        </w:rPr>
        <w:t xml:space="preserve"> the case for other contexts in which services are exchanged and goods are traded. This proposal </w:t>
      </w:r>
      <w:r>
        <w:rPr>
          <w:noProof/>
          <w:lang w:val="en-IE" w:eastAsia="en-GB"/>
        </w:rPr>
        <w:t xml:space="preserve">ensures respect for </w:t>
      </w:r>
      <w:r w:rsidRPr="00B356D4">
        <w:rPr>
          <w:noProof/>
          <w:lang w:val="en-IE" w:eastAsia="en-GB"/>
        </w:rPr>
        <w:t>trade secrets in the context of data use between businesses or by consumers. The initiative will allow the</w:t>
      </w:r>
      <w:r w:rsidRPr="00B356D4" w:rsidDel="004B57DC">
        <w:rPr>
          <w:noProof/>
          <w:lang w:val="en-IE" w:eastAsia="en-GB"/>
        </w:rPr>
        <w:t xml:space="preserve"> </w:t>
      </w:r>
      <w:r>
        <w:rPr>
          <w:noProof/>
          <w:lang w:val="en-IE" w:eastAsia="en-GB"/>
        </w:rPr>
        <w:t>Union</w:t>
      </w:r>
      <w:r w:rsidRPr="00B356D4">
        <w:rPr>
          <w:noProof/>
          <w:lang w:val="en-IE" w:eastAsia="en-GB"/>
        </w:rPr>
        <w:t xml:space="preserve"> to benefit from the scale of the internal market, since products </w:t>
      </w:r>
      <w:r w:rsidR="009E26A7">
        <w:rPr>
          <w:noProof/>
          <w:lang w:val="en-IE" w:eastAsia="en-GB"/>
        </w:rPr>
        <w:t>or</w:t>
      </w:r>
      <w:r w:rsidR="009E26A7" w:rsidRPr="00B356D4">
        <w:rPr>
          <w:noProof/>
          <w:lang w:val="en-IE" w:eastAsia="en-GB"/>
        </w:rPr>
        <w:t xml:space="preserve"> </w:t>
      </w:r>
      <w:r w:rsidRPr="00B356D4">
        <w:rPr>
          <w:noProof/>
          <w:lang w:val="en-IE" w:eastAsia="en-GB"/>
        </w:rPr>
        <w:t xml:space="preserve">related services are often developed using data from different Member States, and later commercialised across the </w:t>
      </w:r>
      <w:r>
        <w:rPr>
          <w:noProof/>
          <w:lang w:val="en-IE" w:eastAsia="en-GB"/>
        </w:rPr>
        <w:t>Union</w:t>
      </w:r>
      <w:r w:rsidRPr="00B356D4">
        <w:rPr>
          <w:noProof/>
          <w:lang w:val="en-IE" w:eastAsia="en-GB"/>
        </w:rPr>
        <w:t>.</w:t>
      </w:r>
    </w:p>
    <w:p w14:paraId="23D49B11" w14:textId="77777777" w:rsidR="0023412A" w:rsidRPr="00B356D4" w:rsidRDefault="0023412A" w:rsidP="0023412A">
      <w:pPr>
        <w:pStyle w:val="Text1"/>
        <w:widowControl w:val="0"/>
        <w:spacing w:before="0" w:after="200"/>
        <w:ind w:left="0"/>
        <w:rPr>
          <w:noProof/>
          <w:lang w:val="en-IE" w:eastAsia="en-GB"/>
        </w:rPr>
      </w:pPr>
      <w:r w:rsidRPr="1F9331E6">
        <w:rPr>
          <w:noProof/>
          <w:lang w:val="en-IE" w:eastAsia="en-GB"/>
        </w:rPr>
        <w:t>Some</w:t>
      </w:r>
      <w:r w:rsidRPr="00B356D4">
        <w:rPr>
          <w:noProof/>
          <w:lang w:val="en-IE" w:eastAsia="en-GB"/>
        </w:rPr>
        <w:t xml:space="preserve"> Member States have taken legislative action to address the problems described above, in business-to-business and business-to-government scenarios, whereas others have not. This can lead to legislative fragmentation in the internal market and different rules and practices across the </w:t>
      </w:r>
      <w:r>
        <w:rPr>
          <w:noProof/>
          <w:lang w:val="en-IE" w:eastAsia="en-GB"/>
        </w:rPr>
        <w:t>Union</w:t>
      </w:r>
      <w:r w:rsidRPr="00B356D4">
        <w:rPr>
          <w:noProof/>
          <w:lang w:val="en-IE" w:eastAsia="en-GB"/>
        </w:rPr>
        <w:t xml:space="preserve"> and related costs by companies that would have to comply with different regimes. It is therefore important to ensure that the proposed measures are applied consistently across Member States.</w:t>
      </w:r>
    </w:p>
    <w:p w14:paraId="2E4D9AA4" w14:textId="77777777" w:rsidR="0023412A" w:rsidRPr="002D5EE2" w:rsidRDefault="0023412A" w:rsidP="0023412A">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723259A5" w14:textId="7FD585AF" w:rsidR="0023412A" w:rsidRPr="00B356D4" w:rsidRDefault="0023412A" w:rsidP="0023412A">
      <w:pPr>
        <w:pStyle w:val="Text1"/>
        <w:widowControl w:val="0"/>
        <w:spacing w:before="0" w:after="200"/>
        <w:ind w:left="0"/>
        <w:rPr>
          <w:noProof/>
          <w:lang w:val="en-IE" w:eastAsia="en-GB"/>
        </w:rPr>
      </w:pPr>
      <w:r w:rsidRPr="1D7DF308">
        <w:rPr>
          <w:noProof/>
          <w:lang w:val="en-IE" w:eastAsia="en-GB"/>
        </w:rPr>
        <w:t xml:space="preserve">Given the cross-border nature of the use of data and the </w:t>
      </w:r>
      <w:r w:rsidRPr="33157BD8">
        <w:rPr>
          <w:noProof/>
          <w:lang w:val="en-IE" w:eastAsia="en-GB"/>
        </w:rPr>
        <w:t xml:space="preserve">many </w:t>
      </w:r>
      <w:r w:rsidRPr="1D7DF308">
        <w:rPr>
          <w:noProof/>
          <w:lang w:val="en-IE" w:eastAsia="en-GB"/>
        </w:rPr>
        <w:t xml:space="preserve">areas of impact of the Data Act, the issues this proposal </w:t>
      </w:r>
      <w:r w:rsidRPr="33157BD8">
        <w:rPr>
          <w:noProof/>
          <w:lang w:val="en-IE" w:eastAsia="en-GB"/>
        </w:rPr>
        <w:t xml:space="preserve">deals with </w:t>
      </w:r>
      <w:r w:rsidRPr="1D7DF308">
        <w:rPr>
          <w:noProof/>
          <w:lang w:val="en-IE" w:eastAsia="en-GB"/>
        </w:rPr>
        <w:t xml:space="preserve">cannot be effectively addressed at Member State level. Fragmentation </w:t>
      </w:r>
      <w:r w:rsidRPr="33157BD8">
        <w:rPr>
          <w:noProof/>
          <w:lang w:val="en-IE" w:eastAsia="en-GB"/>
        </w:rPr>
        <w:t xml:space="preserve">arising out of differences between </w:t>
      </w:r>
      <w:r w:rsidRPr="1D7DF308">
        <w:rPr>
          <w:noProof/>
          <w:lang w:val="en-IE" w:eastAsia="en-GB"/>
        </w:rPr>
        <w:t xml:space="preserve">national rules should be avoided, as it would lead to </w:t>
      </w:r>
      <w:r w:rsidRPr="6E895F06">
        <w:rPr>
          <w:noProof/>
          <w:lang w:val="en-IE" w:eastAsia="en-GB"/>
        </w:rPr>
        <w:t>higher</w:t>
      </w:r>
      <w:r w:rsidRPr="1D7DF308">
        <w:rPr>
          <w:noProof/>
          <w:lang w:val="en-IE" w:eastAsia="en-GB"/>
        </w:rPr>
        <w:t xml:space="preserve"> transactional costs, lack of transparency, legal uncertainty and undesirable forum shopping. Avoiding this is particularly important in all situations concerning </w:t>
      </w:r>
      <w:r w:rsidRPr="33157BD8">
        <w:rPr>
          <w:noProof/>
          <w:lang w:val="en-IE" w:eastAsia="en-GB"/>
        </w:rPr>
        <w:t xml:space="preserve">the </w:t>
      </w:r>
      <w:r w:rsidRPr="1D7DF308">
        <w:rPr>
          <w:noProof/>
          <w:lang w:val="en-IE" w:eastAsia="en-GB"/>
        </w:rPr>
        <w:t xml:space="preserve">data aspects of business-to-business relations, including fair contractual terms and </w:t>
      </w:r>
      <w:r w:rsidRPr="3BD088B1">
        <w:rPr>
          <w:noProof/>
          <w:lang w:val="en-IE" w:eastAsia="en-GB"/>
        </w:rPr>
        <w:t xml:space="preserve">the </w:t>
      </w:r>
      <w:r w:rsidRPr="1D7DF308">
        <w:rPr>
          <w:noProof/>
          <w:lang w:val="en-IE" w:eastAsia="en-GB"/>
        </w:rPr>
        <w:t xml:space="preserve">obligations </w:t>
      </w:r>
      <w:r w:rsidRPr="6E895F06">
        <w:rPr>
          <w:noProof/>
          <w:lang w:val="en-IE" w:eastAsia="en-GB"/>
        </w:rPr>
        <w:t>of</w:t>
      </w:r>
      <w:r w:rsidRPr="1D7DF308">
        <w:rPr>
          <w:noProof/>
          <w:lang w:val="en-IE" w:eastAsia="en-GB"/>
        </w:rPr>
        <w:t xml:space="preserve"> manufacturers of </w:t>
      </w:r>
      <w:r w:rsidRPr="33157BD8">
        <w:rPr>
          <w:noProof/>
          <w:lang w:val="en-IE" w:eastAsia="en-GB"/>
        </w:rPr>
        <w:t>Internet</w:t>
      </w:r>
      <w:r w:rsidR="007005B0">
        <w:rPr>
          <w:noProof/>
          <w:lang w:val="en-IE" w:eastAsia="en-GB"/>
        </w:rPr>
        <w:t xml:space="preserve"> </w:t>
      </w:r>
      <w:r w:rsidRPr="1D7DF308">
        <w:rPr>
          <w:noProof/>
          <w:lang w:val="en-IE" w:eastAsia="en-GB"/>
        </w:rPr>
        <w:t>of</w:t>
      </w:r>
      <w:r w:rsidR="007005B0">
        <w:rPr>
          <w:noProof/>
          <w:lang w:val="en-IE" w:eastAsia="en-GB"/>
        </w:rPr>
        <w:t xml:space="preserve"> </w:t>
      </w:r>
      <w:r w:rsidRPr="1D7DF308">
        <w:rPr>
          <w:noProof/>
          <w:lang w:val="en-IE" w:eastAsia="en-GB"/>
        </w:rPr>
        <w:t xml:space="preserve">Things products </w:t>
      </w:r>
      <w:r w:rsidR="009E26A7">
        <w:rPr>
          <w:noProof/>
          <w:lang w:val="en-IE" w:eastAsia="en-GB"/>
        </w:rPr>
        <w:t>or</w:t>
      </w:r>
      <w:r w:rsidR="009E26A7" w:rsidRPr="1D7DF308">
        <w:rPr>
          <w:noProof/>
          <w:lang w:val="en-IE" w:eastAsia="en-GB"/>
        </w:rPr>
        <w:t xml:space="preserve"> </w:t>
      </w:r>
      <w:r w:rsidRPr="1D7DF308">
        <w:rPr>
          <w:noProof/>
          <w:lang w:val="en-IE" w:eastAsia="en-GB"/>
        </w:rPr>
        <w:t>related services</w:t>
      </w:r>
      <w:r w:rsidRPr="6E895F06">
        <w:rPr>
          <w:noProof/>
          <w:lang w:val="en-IE" w:eastAsia="en-GB"/>
        </w:rPr>
        <w:t>, aspects</w:t>
      </w:r>
      <w:r w:rsidRPr="1D7DF308">
        <w:rPr>
          <w:noProof/>
          <w:lang w:val="en-IE" w:eastAsia="en-GB"/>
        </w:rPr>
        <w:t xml:space="preserve"> that </w:t>
      </w:r>
      <w:r w:rsidRPr="6E895F06">
        <w:rPr>
          <w:noProof/>
          <w:lang w:val="en-IE" w:eastAsia="en-GB"/>
        </w:rPr>
        <w:t xml:space="preserve">require homogeneity of </w:t>
      </w:r>
      <w:r w:rsidRPr="1D7DF308">
        <w:rPr>
          <w:noProof/>
          <w:lang w:val="en-IE" w:eastAsia="en-GB"/>
        </w:rPr>
        <w:t xml:space="preserve">the framework throughout the </w:t>
      </w:r>
      <w:r w:rsidRPr="33157BD8">
        <w:rPr>
          <w:noProof/>
          <w:lang w:val="en-IE" w:eastAsia="en-GB"/>
        </w:rPr>
        <w:t>Union</w:t>
      </w:r>
      <w:r w:rsidRPr="1D7DF308">
        <w:rPr>
          <w:noProof/>
          <w:lang w:val="en-IE" w:eastAsia="en-GB"/>
        </w:rPr>
        <w:t xml:space="preserve">. </w:t>
      </w:r>
    </w:p>
    <w:p w14:paraId="10A60781" w14:textId="77777777" w:rsidR="0023412A" w:rsidRPr="00B356D4" w:rsidRDefault="0023412A" w:rsidP="0023412A">
      <w:pPr>
        <w:pStyle w:val="Text1"/>
        <w:widowControl w:val="0"/>
        <w:spacing w:before="0" w:after="200"/>
        <w:ind w:left="0"/>
        <w:rPr>
          <w:noProof/>
          <w:lang w:val="en-IE" w:eastAsia="en-GB"/>
        </w:rPr>
      </w:pPr>
      <w:r w:rsidRPr="6E895F06">
        <w:rPr>
          <w:noProof/>
          <w:lang w:val="en-IE" w:eastAsia="en-GB"/>
        </w:rPr>
        <w:t>An</w:t>
      </w:r>
      <w:r w:rsidRPr="1D7DF308">
        <w:rPr>
          <w:noProof/>
          <w:lang w:val="en-IE" w:eastAsia="en-GB"/>
        </w:rPr>
        <w:t xml:space="preserve"> assessment of </w:t>
      </w:r>
      <w:r w:rsidRPr="6E895F06">
        <w:rPr>
          <w:noProof/>
          <w:lang w:val="en-IE" w:eastAsia="en-GB"/>
        </w:rPr>
        <w:t xml:space="preserve">the </w:t>
      </w:r>
      <w:r w:rsidRPr="1D7DF308">
        <w:rPr>
          <w:noProof/>
          <w:lang w:val="en-IE" w:eastAsia="en-GB"/>
        </w:rPr>
        <w:t xml:space="preserve">cross-border aspects of data flows in the area of business-to-government data sharing also demonstrates the need to act at Union level. Many private actors </w:t>
      </w:r>
      <w:r w:rsidRPr="6E895F06">
        <w:rPr>
          <w:noProof/>
          <w:lang w:val="en-IE" w:eastAsia="en-GB"/>
        </w:rPr>
        <w:t>who hold</w:t>
      </w:r>
      <w:r w:rsidRPr="1D7DF308">
        <w:rPr>
          <w:noProof/>
          <w:lang w:val="en-IE" w:eastAsia="en-GB"/>
        </w:rPr>
        <w:t xml:space="preserve"> relevant data are multinational companies</w:t>
      </w:r>
      <w:r w:rsidRPr="6E895F06">
        <w:rPr>
          <w:noProof/>
          <w:lang w:val="en-IE" w:eastAsia="en-GB"/>
        </w:rPr>
        <w:t>. These</w:t>
      </w:r>
      <w:r w:rsidRPr="1D7DF308">
        <w:rPr>
          <w:noProof/>
          <w:lang w:val="en-IE" w:eastAsia="en-GB"/>
        </w:rPr>
        <w:t xml:space="preserve"> companies should not be confronted with a fragmented legal regime. </w:t>
      </w:r>
    </w:p>
    <w:p w14:paraId="4C7A9D61" w14:textId="77777777" w:rsidR="0023412A" w:rsidRPr="00B356D4" w:rsidRDefault="0023412A" w:rsidP="0023412A">
      <w:pPr>
        <w:pStyle w:val="Text1"/>
        <w:spacing w:before="0" w:after="200"/>
        <w:ind w:left="0"/>
        <w:rPr>
          <w:noProof/>
          <w:lang w:val="en-IE" w:eastAsia="en-GB"/>
        </w:rPr>
      </w:pPr>
      <w:r w:rsidRPr="1D7DF308">
        <w:rPr>
          <w:noProof/>
          <w:lang w:val="en-IE" w:eastAsia="en-GB"/>
        </w:rPr>
        <w:t xml:space="preserve">Cloud computing services are rarely offered </w:t>
      </w:r>
      <w:r w:rsidRPr="6E895F06">
        <w:rPr>
          <w:noProof/>
          <w:lang w:val="en-IE" w:eastAsia="en-GB"/>
        </w:rPr>
        <w:t>in</w:t>
      </w:r>
      <w:r w:rsidRPr="1D7DF308">
        <w:rPr>
          <w:noProof/>
          <w:lang w:val="en-IE" w:eastAsia="en-GB"/>
        </w:rPr>
        <w:t xml:space="preserve"> one Member State only. In line with the GDPR and the Free Flow of Non-Personal Data Regulation that </w:t>
      </w:r>
      <w:r w:rsidRPr="00B356D4">
        <w:rPr>
          <w:noProof/>
          <w:lang w:val="en-IE" w:eastAsia="en-GB"/>
        </w:rPr>
        <w:t>enable</w:t>
      </w:r>
      <w:r w:rsidRPr="1D7DF308">
        <w:rPr>
          <w:noProof/>
          <w:lang w:val="en-IE" w:eastAsia="en-GB"/>
        </w:rPr>
        <w:t xml:space="preserve"> consumers and businesses to process personal and non-personal data anywhere they want in the Union, the cross-border processing of data within the Union is essential for conducting business in the internal market. It is therefore crucial that provisions on switching data processing services are applied at Union level, to avoid harmful fragmentation in an otherwise unified market for data processing services.</w:t>
      </w:r>
    </w:p>
    <w:p w14:paraId="16F470F3" w14:textId="7C432D02" w:rsidR="0023412A" w:rsidRPr="00B356D4" w:rsidRDefault="0023412A" w:rsidP="0023412A">
      <w:pPr>
        <w:pStyle w:val="Text1"/>
        <w:widowControl w:val="0"/>
        <w:spacing w:before="0" w:after="200"/>
        <w:ind w:left="0"/>
        <w:rPr>
          <w:noProof/>
          <w:lang w:val="en-IE" w:eastAsia="en-GB"/>
        </w:rPr>
      </w:pPr>
      <w:r w:rsidRPr="1D7DF308">
        <w:rPr>
          <w:noProof/>
          <w:lang w:val="en-IE" w:eastAsia="en-GB"/>
        </w:rPr>
        <w:t xml:space="preserve">Only common action at the Union level can enable the achievement of the objectives laid down in this proposal, including the creation of an innovative and competitive level-playing field for data-driven businesses and the empowerment of citizens. This common action </w:t>
      </w:r>
      <w:r w:rsidRPr="6E895F06">
        <w:rPr>
          <w:noProof/>
          <w:lang w:val="en-IE" w:eastAsia="en-GB"/>
        </w:rPr>
        <w:t>is</w:t>
      </w:r>
      <w:r w:rsidRPr="1D7DF308">
        <w:rPr>
          <w:noProof/>
          <w:lang w:val="en-IE" w:eastAsia="en-GB"/>
        </w:rPr>
        <w:t xml:space="preserve"> a confident step forward in the realisation of the vision to create a genuine </w:t>
      </w:r>
      <w:r w:rsidR="007005B0">
        <w:rPr>
          <w:noProof/>
          <w:lang w:val="en-IE" w:eastAsia="en-GB"/>
        </w:rPr>
        <w:t>internal</w:t>
      </w:r>
      <w:r w:rsidR="007005B0" w:rsidRPr="1D7DF308">
        <w:rPr>
          <w:noProof/>
          <w:lang w:val="en-IE" w:eastAsia="en-GB"/>
        </w:rPr>
        <w:t xml:space="preserve"> </w:t>
      </w:r>
      <w:r w:rsidRPr="1D7DF308">
        <w:rPr>
          <w:noProof/>
          <w:lang w:val="en-IE" w:eastAsia="en-GB"/>
        </w:rPr>
        <w:t>market for data.</w:t>
      </w:r>
    </w:p>
    <w:p w14:paraId="3A9DE488"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14:paraId="56550F78" w14:textId="77777777" w:rsidR="0023412A" w:rsidRPr="00B356D4" w:rsidRDefault="0023412A" w:rsidP="0023412A">
      <w:pPr>
        <w:pStyle w:val="Text1"/>
        <w:widowControl w:val="0"/>
        <w:spacing w:before="0" w:after="200"/>
        <w:ind w:left="0"/>
        <w:rPr>
          <w:noProof/>
          <w:lang w:val="en-IE" w:eastAsia="en-GB"/>
        </w:rPr>
      </w:pPr>
      <w:r>
        <w:rPr>
          <w:noProof/>
          <w:lang w:val="en-IE" w:eastAsia="en-GB"/>
        </w:rPr>
        <w:t>This</w:t>
      </w:r>
      <w:r w:rsidRPr="1D7DF308">
        <w:rPr>
          <w:noProof/>
          <w:lang w:val="en-IE" w:eastAsia="en-GB"/>
        </w:rPr>
        <w:t xml:space="preserve"> proposal balances the rights and interests of affected stakeholders with the general objective to facilitate wider use of data for a broad range of actors. </w:t>
      </w:r>
      <w:r>
        <w:rPr>
          <w:noProof/>
          <w:lang w:val="en-IE" w:eastAsia="en-GB"/>
        </w:rPr>
        <w:t>It</w:t>
      </w:r>
      <w:r w:rsidRPr="1D7DF308">
        <w:rPr>
          <w:noProof/>
          <w:lang w:val="en-IE" w:eastAsia="en-GB"/>
        </w:rPr>
        <w:t xml:space="preserve"> creates an enabling framework that does not go beyond what is necessary to achieve the objectives. It addresses existing barriers to fuller realisation of the potential value of data among businesses, consumers and the public sector. It </w:t>
      </w:r>
      <w:r w:rsidRPr="6E895F06">
        <w:rPr>
          <w:noProof/>
          <w:lang w:val="en-IE" w:eastAsia="en-GB"/>
        </w:rPr>
        <w:t xml:space="preserve">also </w:t>
      </w:r>
      <w:r w:rsidRPr="1D7DF308">
        <w:rPr>
          <w:noProof/>
          <w:lang w:val="en-IE" w:eastAsia="en-GB"/>
        </w:rPr>
        <w:t>sets</w:t>
      </w:r>
      <w:r w:rsidRPr="6E895F06">
        <w:rPr>
          <w:noProof/>
          <w:lang w:val="en-IE" w:eastAsia="en-GB"/>
        </w:rPr>
        <w:t xml:space="preserve"> out</w:t>
      </w:r>
      <w:r w:rsidRPr="1D7DF308">
        <w:rPr>
          <w:noProof/>
          <w:lang w:val="en-IE" w:eastAsia="en-GB"/>
        </w:rPr>
        <w:t xml:space="preserve"> a framework for future sectoral rules to avoid fragmentation and legal uncertainty. It clarifies existing rights and</w:t>
      </w:r>
      <w:r w:rsidRPr="6E895F06">
        <w:rPr>
          <w:noProof/>
          <w:lang w:val="en-IE" w:eastAsia="en-GB"/>
        </w:rPr>
        <w:t>,</w:t>
      </w:r>
      <w:r w:rsidRPr="1D7DF308">
        <w:rPr>
          <w:noProof/>
          <w:lang w:val="en-IE" w:eastAsia="en-GB"/>
        </w:rPr>
        <w:t xml:space="preserve"> where necessary</w:t>
      </w:r>
      <w:r w:rsidRPr="6E895F06">
        <w:rPr>
          <w:noProof/>
          <w:lang w:val="en-IE" w:eastAsia="en-GB"/>
        </w:rPr>
        <w:t>,</w:t>
      </w:r>
      <w:r w:rsidRPr="1D7DF308">
        <w:rPr>
          <w:noProof/>
          <w:lang w:val="en-IE" w:eastAsia="en-GB"/>
        </w:rPr>
        <w:t xml:space="preserve"> provides access rights to data</w:t>
      </w:r>
      <w:r w:rsidRPr="6E895F06">
        <w:rPr>
          <w:noProof/>
          <w:lang w:val="en-IE" w:eastAsia="en-GB"/>
        </w:rPr>
        <w:t>, thereby helping</w:t>
      </w:r>
      <w:r w:rsidRPr="1D7DF308">
        <w:rPr>
          <w:noProof/>
          <w:lang w:val="en-IE" w:eastAsia="en-GB"/>
        </w:rPr>
        <w:t xml:space="preserve"> to develop an internal market for data sharing. The initiative leaves a significant amount of flexibility for application at sector-specific level.</w:t>
      </w:r>
    </w:p>
    <w:p w14:paraId="183F552C" w14:textId="38229419" w:rsidR="0023412A" w:rsidRPr="00B356D4" w:rsidRDefault="0023412A" w:rsidP="0023412A">
      <w:pPr>
        <w:pStyle w:val="Text1"/>
        <w:widowControl w:val="0"/>
        <w:spacing w:before="0" w:after="200"/>
        <w:ind w:left="0"/>
        <w:rPr>
          <w:noProof/>
          <w:lang w:val="en-IE" w:eastAsia="en-GB"/>
        </w:rPr>
      </w:pPr>
      <w:r>
        <w:rPr>
          <w:noProof/>
          <w:lang w:val="en-IE" w:eastAsia="en-GB"/>
        </w:rPr>
        <w:t>This</w:t>
      </w:r>
      <w:r w:rsidRPr="1D7DF308">
        <w:rPr>
          <w:noProof/>
          <w:lang w:val="en-IE" w:eastAsia="en-GB"/>
        </w:rPr>
        <w:t xml:space="preserve"> proposal will give rise to financial and administrative costs</w:t>
      </w:r>
      <w:r w:rsidRPr="6E895F06">
        <w:rPr>
          <w:noProof/>
          <w:lang w:val="en-IE" w:eastAsia="en-GB"/>
        </w:rPr>
        <w:t>. These</w:t>
      </w:r>
      <w:r w:rsidRPr="1D7DF308">
        <w:rPr>
          <w:noProof/>
          <w:lang w:val="en-IE" w:eastAsia="en-GB"/>
        </w:rPr>
        <w:t xml:space="preserve"> are to be borne mainly by national authorities</w:t>
      </w:r>
      <w:r w:rsidR="007005B0">
        <w:rPr>
          <w:noProof/>
          <w:lang w:val="en-IE" w:eastAsia="en-GB"/>
        </w:rPr>
        <w:t>,</w:t>
      </w:r>
      <w:r w:rsidRPr="1D7DF308">
        <w:rPr>
          <w:noProof/>
          <w:lang w:val="en-IE" w:eastAsia="en-GB"/>
        </w:rPr>
        <w:t xml:space="preserve"> manufacturers and service providers</w:t>
      </w:r>
      <w:r w:rsidRPr="6E895F06">
        <w:rPr>
          <w:noProof/>
          <w:lang w:val="en-IE" w:eastAsia="en-GB"/>
        </w:rPr>
        <w:t>, so that they comply</w:t>
      </w:r>
      <w:r w:rsidRPr="1D7DF308">
        <w:rPr>
          <w:noProof/>
          <w:lang w:val="en-IE" w:eastAsia="en-GB"/>
        </w:rPr>
        <w:t xml:space="preserve"> with the obligations set </w:t>
      </w:r>
      <w:r w:rsidRPr="6E895F06">
        <w:rPr>
          <w:noProof/>
          <w:lang w:val="en-IE" w:eastAsia="en-GB"/>
        </w:rPr>
        <w:t xml:space="preserve">out </w:t>
      </w:r>
      <w:r w:rsidRPr="1D7DF308">
        <w:rPr>
          <w:noProof/>
          <w:lang w:val="en-IE" w:eastAsia="en-GB"/>
        </w:rPr>
        <w:t xml:space="preserve">in this Regulation. However, the exploration of different options and their expected costs and benefits </w:t>
      </w:r>
      <w:r w:rsidRPr="6E895F06">
        <w:rPr>
          <w:noProof/>
          <w:lang w:val="en-IE" w:eastAsia="en-GB"/>
        </w:rPr>
        <w:t xml:space="preserve">has resulted in </w:t>
      </w:r>
      <w:r w:rsidRPr="1D7DF308">
        <w:rPr>
          <w:noProof/>
          <w:lang w:val="en-IE" w:eastAsia="en-GB"/>
        </w:rPr>
        <w:t xml:space="preserve">a balanced design of the instrument. Similarly, the costs to data users and holders will be counterbalanced by the value </w:t>
      </w:r>
      <w:r w:rsidRPr="6E895F06">
        <w:rPr>
          <w:noProof/>
          <w:lang w:val="en-IE" w:eastAsia="en-GB"/>
        </w:rPr>
        <w:t>to be derived</w:t>
      </w:r>
      <w:r w:rsidRPr="1D7DF308">
        <w:rPr>
          <w:noProof/>
          <w:lang w:val="en-IE" w:eastAsia="en-GB"/>
        </w:rPr>
        <w:t xml:space="preserve"> from broader access and use of data, as well as the market uptake of novel services.</w:t>
      </w:r>
    </w:p>
    <w:p w14:paraId="50B34603"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0891B071" w14:textId="43E49E62" w:rsidR="0023412A" w:rsidRPr="00B356D4" w:rsidRDefault="0023412A" w:rsidP="0023412A">
      <w:pPr>
        <w:pStyle w:val="Text1"/>
        <w:spacing w:before="0" w:after="200"/>
        <w:ind w:left="0"/>
        <w:rPr>
          <w:noProof/>
          <w:lang w:val="en-IE" w:eastAsia="en-GB"/>
        </w:rPr>
      </w:pPr>
      <w:r w:rsidRPr="00B356D4">
        <w:rPr>
          <w:noProof/>
          <w:lang w:val="en-IE" w:eastAsia="en-GB"/>
        </w:rPr>
        <w:t xml:space="preserve">The </w:t>
      </w:r>
      <w:r w:rsidRPr="6E895F06">
        <w:rPr>
          <w:noProof/>
          <w:lang w:val="en-IE" w:eastAsia="en-GB"/>
        </w:rPr>
        <w:t>choice</w:t>
      </w:r>
      <w:r>
        <w:rPr>
          <w:noProof/>
          <w:lang w:val="en-IE" w:eastAsia="en-GB"/>
        </w:rPr>
        <w:t xml:space="preserve"> of</w:t>
      </w:r>
      <w:r w:rsidRPr="00B356D4">
        <w:rPr>
          <w:noProof/>
          <w:lang w:val="en-IE" w:eastAsia="en-GB"/>
        </w:rPr>
        <w:t xml:space="preserve"> a </w:t>
      </w:r>
      <w:r w:rsidRPr="6E895F06">
        <w:rPr>
          <w:noProof/>
          <w:lang w:val="en-IE" w:eastAsia="en-GB"/>
        </w:rPr>
        <w:t>regulation was</w:t>
      </w:r>
      <w:r>
        <w:rPr>
          <w:noProof/>
          <w:lang w:val="en-IE" w:eastAsia="en-GB"/>
        </w:rPr>
        <w:t xml:space="preserve"> made</w:t>
      </w:r>
      <w:r w:rsidRPr="00B356D4">
        <w:rPr>
          <w:noProof/>
          <w:lang w:val="en-IE" w:eastAsia="en-GB"/>
        </w:rPr>
        <w:t xml:space="preserve"> because it is the best mechanism to serve the broader policy goals of ensuring all businesses</w:t>
      </w:r>
      <w:r>
        <w:rPr>
          <w:noProof/>
          <w:lang w:val="en-IE" w:eastAsia="en-GB"/>
        </w:rPr>
        <w:t xml:space="preserve"> in the Union</w:t>
      </w:r>
      <w:r w:rsidRPr="00B356D4">
        <w:rPr>
          <w:noProof/>
          <w:lang w:val="en-IE" w:eastAsia="en-GB"/>
        </w:rPr>
        <w:t xml:space="preserve"> are put in a position to innovate and compete, consumers are better able to take control of their data, and </w:t>
      </w:r>
      <w:r>
        <w:rPr>
          <w:noProof/>
          <w:lang w:val="en-IE" w:eastAsia="en-GB"/>
        </w:rPr>
        <w:t>Union institutions, agencies and</w:t>
      </w:r>
      <w:r w:rsidRPr="00B356D4">
        <w:rPr>
          <w:noProof/>
          <w:lang w:val="en-IE" w:eastAsia="en-GB"/>
        </w:rPr>
        <w:t xml:space="preserve"> bodies</w:t>
      </w:r>
      <w:r w:rsidRPr="00B356D4" w:rsidDel="007B078F">
        <w:rPr>
          <w:noProof/>
          <w:lang w:val="en-IE" w:eastAsia="en-GB"/>
        </w:rPr>
        <w:t xml:space="preserve"> </w:t>
      </w:r>
      <w:r w:rsidRPr="00B356D4">
        <w:rPr>
          <w:noProof/>
          <w:lang w:val="en-IE" w:eastAsia="en-GB"/>
        </w:rPr>
        <w:t xml:space="preserve">are better equipped to tackle major policy challenges, including public emergencies. </w:t>
      </w:r>
      <w:r w:rsidRPr="6E895F06">
        <w:rPr>
          <w:noProof/>
          <w:lang w:val="en-IE" w:eastAsia="en-GB"/>
        </w:rPr>
        <w:t>A</w:t>
      </w:r>
      <w:r w:rsidRPr="00B356D4" w:rsidDel="007B078F">
        <w:rPr>
          <w:noProof/>
          <w:lang w:val="en-IE" w:eastAsia="en-GB"/>
        </w:rPr>
        <w:t xml:space="preserve"> </w:t>
      </w:r>
      <w:r>
        <w:rPr>
          <w:noProof/>
          <w:lang w:val="en-IE" w:eastAsia="en-GB"/>
        </w:rPr>
        <w:t>r</w:t>
      </w:r>
      <w:r w:rsidRPr="00B356D4">
        <w:rPr>
          <w:noProof/>
          <w:lang w:val="en-IE" w:eastAsia="en-GB"/>
        </w:rPr>
        <w:t>egulation is necessary</w:t>
      </w:r>
      <w:r w:rsidRPr="00B356D4" w:rsidDel="007B078F">
        <w:rPr>
          <w:noProof/>
          <w:lang w:val="en-IE" w:eastAsia="en-GB"/>
        </w:rPr>
        <w:t xml:space="preserve"> </w:t>
      </w:r>
      <w:r>
        <w:rPr>
          <w:noProof/>
          <w:lang w:val="en-IE" w:eastAsia="en-GB"/>
        </w:rPr>
        <w:t xml:space="preserve">in light of the goal of </w:t>
      </w:r>
      <w:r w:rsidR="007005B0">
        <w:rPr>
          <w:noProof/>
          <w:lang w:val="en-IE" w:eastAsia="en-GB"/>
        </w:rPr>
        <w:t xml:space="preserve">comprehensive </w:t>
      </w:r>
      <w:r>
        <w:rPr>
          <w:noProof/>
          <w:lang w:val="en-IE" w:eastAsia="en-GB"/>
        </w:rPr>
        <w:t xml:space="preserve">harmonisation pursued by the proposal, </w:t>
      </w:r>
      <w:r w:rsidRPr="00B356D4">
        <w:rPr>
          <w:noProof/>
          <w:lang w:val="en-IE" w:eastAsia="en-GB"/>
        </w:rPr>
        <w:t>in order to ensure legal certainty and transparency for economic operators, including micro, small and medium-sized enterprises, and to provide legal and natural persons in all Member States with the same level of legally enforceable rights and obligations, to ensure consistent enforcement in all Member States</w:t>
      </w:r>
      <w:r w:rsidR="007005B0">
        <w:rPr>
          <w:noProof/>
          <w:lang w:val="en-IE" w:eastAsia="en-GB"/>
        </w:rPr>
        <w:t>,</w:t>
      </w:r>
      <w:r w:rsidRPr="00B356D4">
        <w:rPr>
          <w:noProof/>
          <w:lang w:val="en-IE" w:eastAsia="en-GB"/>
        </w:rPr>
        <w:t xml:space="preserve"> as well as effective cooperation between the </w:t>
      </w:r>
      <w:r w:rsidR="007005B0">
        <w:rPr>
          <w:noProof/>
          <w:lang w:val="en-IE" w:eastAsia="en-GB"/>
        </w:rPr>
        <w:t>competent</w:t>
      </w:r>
      <w:r w:rsidR="007005B0" w:rsidRPr="00B356D4">
        <w:rPr>
          <w:noProof/>
          <w:lang w:val="en-IE" w:eastAsia="en-GB"/>
        </w:rPr>
        <w:t xml:space="preserve"> </w:t>
      </w:r>
      <w:r w:rsidRPr="00B356D4">
        <w:rPr>
          <w:noProof/>
          <w:lang w:val="en-IE" w:eastAsia="en-GB"/>
        </w:rPr>
        <w:t>authorities of different Member States.</w:t>
      </w:r>
    </w:p>
    <w:p w14:paraId="582AA03D" w14:textId="77777777" w:rsidR="0023412A" w:rsidRPr="00B356D4" w:rsidRDefault="0023412A" w:rsidP="0023412A">
      <w:pPr>
        <w:pStyle w:val="Text1"/>
        <w:spacing w:before="0" w:after="200"/>
        <w:ind w:left="0"/>
        <w:rPr>
          <w:noProof/>
          <w:lang w:val="en-IE" w:eastAsia="en-GB"/>
        </w:rPr>
      </w:pPr>
      <w:r w:rsidRPr="00B356D4">
        <w:rPr>
          <w:noProof/>
          <w:lang w:val="en-IE" w:eastAsia="en-GB"/>
        </w:rPr>
        <w:t xml:space="preserve">The proposal will strengthen the </w:t>
      </w:r>
      <w:r>
        <w:rPr>
          <w:noProof/>
          <w:lang w:val="en-IE" w:eastAsia="en-GB"/>
        </w:rPr>
        <w:t>internal</w:t>
      </w:r>
      <w:r w:rsidRPr="00B356D4">
        <w:rPr>
          <w:noProof/>
          <w:lang w:val="en-IE" w:eastAsia="en-GB"/>
        </w:rPr>
        <w:t xml:space="preserve"> market for data by increasing legal certainty and guaranteeing a uniform, horizontal and coherent legal framework.</w:t>
      </w:r>
    </w:p>
    <w:p w14:paraId="76521F0C" w14:textId="77777777" w:rsidR="0023412A" w:rsidRPr="00550536" w:rsidRDefault="0023412A" w:rsidP="0023412A">
      <w:pPr>
        <w:pStyle w:val="ManualHeading1"/>
        <w:rPr>
          <w:noProof/>
        </w:rPr>
      </w:pPr>
      <w:r w:rsidRPr="00550536">
        <w:rPr>
          <w:noProof/>
        </w:rPr>
        <w:t>3.</w:t>
      </w:r>
      <w:r w:rsidRPr="00550536">
        <w:rPr>
          <w:noProof/>
        </w:rPr>
        <w:tab/>
        <w:t>RESULTS OF EX-POST EVALUATIONS, STAKEHOLDER CONSULTATIONS AND IMPACT ASSESSMENTS</w:t>
      </w:r>
    </w:p>
    <w:p w14:paraId="477DF5DC"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14:paraId="464DE558" w14:textId="77777777" w:rsidR="0023412A" w:rsidRPr="00B356D4" w:rsidRDefault="0023412A" w:rsidP="0023412A">
      <w:pPr>
        <w:spacing w:before="0" w:after="200"/>
        <w:rPr>
          <w:noProof/>
        </w:rPr>
      </w:pPr>
      <w:r w:rsidRPr="00B356D4">
        <w:rPr>
          <w:noProof/>
          <w:lang w:val="en-IE" w:eastAsia="en-GB"/>
        </w:rPr>
        <w:t xml:space="preserve">This proposal partially builds on the </w:t>
      </w:r>
      <w:r>
        <w:rPr>
          <w:noProof/>
          <w:lang w:val="en-IE" w:eastAsia="en-GB"/>
        </w:rPr>
        <w:t xml:space="preserve">latest </w:t>
      </w:r>
      <w:r w:rsidRPr="00B356D4">
        <w:rPr>
          <w:noProof/>
          <w:lang w:val="en-IE" w:eastAsia="en-GB"/>
        </w:rPr>
        <w:t>evaluation of the Database Directive</w:t>
      </w:r>
      <w:r>
        <w:rPr>
          <w:noProof/>
          <w:lang w:val="en-IE" w:eastAsia="en-GB"/>
        </w:rPr>
        <w:t xml:space="preserve"> </w:t>
      </w:r>
      <w:r w:rsidRPr="00B75D20">
        <w:rPr>
          <w:noProof/>
          <w:lang w:val="en-IE" w:eastAsia="en-GB"/>
        </w:rPr>
        <w:t>and the Commission’s study supporting the review of the Directive</w:t>
      </w:r>
      <w:r w:rsidRPr="00B75D20">
        <w:rPr>
          <w:rStyle w:val="FootnoteReference"/>
          <w:noProof/>
          <w:lang w:val="en-IE" w:eastAsia="en-GB"/>
        </w:rPr>
        <w:footnoteReference w:id="44"/>
      </w:r>
      <w:r w:rsidRPr="00CD32CA">
        <w:rPr>
          <w:noProof/>
          <w:lang w:val="en-IE" w:eastAsia="en-GB"/>
        </w:rPr>
        <w:t>.</w:t>
      </w:r>
      <w:r w:rsidRPr="00B356D4">
        <w:rPr>
          <w:noProof/>
          <w:lang w:val="en-IE" w:eastAsia="en-GB"/>
        </w:rPr>
        <w:t xml:space="preserve"> </w:t>
      </w:r>
      <w:r w:rsidRPr="00B356D4">
        <w:rPr>
          <w:noProof/>
          <w:lang w:val="en-IE"/>
        </w:rPr>
        <w:t>The</w:t>
      </w:r>
      <w:r w:rsidRPr="00B356D4">
        <w:rPr>
          <w:noProof/>
        </w:rPr>
        <w:t xml:space="preserve"> Database Directive</w:t>
      </w:r>
      <w:r w:rsidRPr="00B356D4" w:rsidDel="00525AC1">
        <w:rPr>
          <w:noProof/>
        </w:rPr>
        <w:t xml:space="preserve"> </w:t>
      </w:r>
      <w:r w:rsidRPr="00B356D4">
        <w:rPr>
          <w:noProof/>
        </w:rPr>
        <w:t xml:space="preserve">introduced, among other things, a specific </w:t>
      </w:r>
      <w:r w:rsidRPr="00B356D4">
        <w:rPr>
          <w:i/>
          <w:iCs/>
          <w:noProof/>
        </w:rPr>
        <w:t>sui generis</w:t>
      </w:r>
      <w:r w:rsidRPr="00B356D4">
        <w:rPr>
          <w:noProof/>
        </w:rPr>
        <w:t xml:space="preserve"> right to protect databases if the producer of a database substantially invested in obtaining, verifying and presenting the data. Since its first adoption, the </w:t>
      </w:r>
      <w:r>
        <w:rPr>
          <w:noProof/>
        </w:rPr>
        <w:t>D</w:t>
      </w:r>
      <w:r w:rsidRPr="00B356D4">
        <w:rPr>
          <w:noProof/>
        </w:rPr>
        <w:t>irective has been evaluated twice. Both evaluations have been supplemented with Commission communications on policy for the data economy</w:t>
      </w:r>
      <w:r w:rsidRPr="00B356D4">
        <w:rPr>
          <w:rStyle w:val="FootnoteReference"/>
          <w:noProof/>
        </w:rPr>
        <w:footnoteReference w:id="45"/>
      </w:r>
      <w:r w:rsidRPr="00B356D4">
        <w:rPr>
          <w:noProof/>
        </w:rPr>
        <w:t>.</w:t>
      </w:r>
    </w:p>
    <w:p w14:paraId="35643471" w14:textId="07242C90" w:rsidR="0023412A" w:rsidRPr="00B356D4" w:rsidRDefault="0023412A" w:rsidP="0023412A">
      <w:pPr>
        <w:rPr>
          <w:noProof/>
          <w:lang w:val="en-IE" w:eastAsia="en-GB"/>
        </w:rPr>
      </w:pPr>
      <w:r w:rsidRPr="00B75D20">
        <w:rPr>
          <w:noProof/>
        </w:rPr>
        <w:t xml:space="preserve">The Court of Justice of the European Union has sharpened the understanding of substantial investments in a database, clarifying that the </w:t>
      </w:r>
      <w:r w:rsidRPr="002D783C">
        <w:rPr>
          <w:i/>
          <w:noProof/>
        </w:rPr>
        <w:t>sui generis</w:t>
      </w:r>
      <w:r w:rsidRPr="00B75D20">
        <w:rPr>
          <w:noProof/>
        </w:rPr>
        <w:t xml:space="preserve"> right aims at protecting the investments in the collection, not the creation of data</w:t>
      </w:r>
      <w:r w:rsidRPr="00B75D20">
        <w:rPr>
          <w:rStyle w:val="FootnoteReference"/>
          <w:noProof/>
        </w:rPr>
        <w:footnoteReference w:id="46"/>
      </w:r>
      <w:r w:rsidRPr="00B75D20">
        <w:rPr>
          <w:noProof/>
          <w:lang w:val="en-IE"/>
        </w:rPr>
        <w:t xml:space="preserve"> as a by-product of another economic activity. </w:t>
      </w:r>
      <w:r w:rsidRPr="00B75D20">
        <w:rPr>
          <w:noProof/>
        </w:rPr>
        <w:t xml:space="preserve">However, uncertainty remains as to the accidental or unintended application of the </w:t>
      </w:r>
      <w:r w:rsidRPr="002D783C">
        <w:rPr>
          <w:i/>
          <w:noProof/>
        </w:rPr>
        <w:t>sui generis</w:t>
      </w:r>
      <w:r w:rsidRPr="00B75D20">
        <w:rPr>
          <w:noProof/>
        </w:rPr>
        <w:t xml:space="preserve"> right to databases containing machine-generated data, i.e. data obtained from or generated by </w:t>
      </w:r>
      <w:r>
        <w:rPr>
          <w:noProof/>
        </w:rPr>
        <w:t xml:space="preserve">the use of products </w:t>
      </w:r>
      <w:r w:rsidR="009E26A7">
        <w:rPr>
          <w:noProof/>
        </w:rPr>
        <w:t xml:space="preserve">or </w:t>
      </w:r>
      <w:r>
        <w:rPr>
          <w:noProof/>
        </w:rPr>
        <w:t>related services</w:t>
      </w:r>
      <w:r w:rsidRPr="00B75D20">
        <w:rPr>
          <w:noProof/>
        </w:rPr>
        <w:t xml:space="preserve">. There is a need to balance the policy objectives of IP protection of such databases in the context of the data economy, where the exclusivity of data as </w:t>
      </w:r>
      <w:r w:rsidR="0044061F">
        <w:rPr>
          <w:noProof/>
        </w:rPr>
        <w:t xml:space="preserve">a </w:t>
      </w:r>
      <w:r w:rsidRPr="00B75D20">
        <w:rPr>
          <w:noProof/>
        </w:rPr>
        <w:t xml:space="preserve">non-rival good is in general considered an impediment to innovation. To ensure consistency with the regulatory interventions proposed in this proposal, the intervention on the </w:t>
      </w:r>
      <w:r w:rsidRPr="00F20B84">
        <w:rPr>
          <w:i/>
          <w:noProof/>
        </w:rPr>
        <w:t>sui generis</w:t>
      </w:r>
      <w:r w:rsidRPr="00B75D20">
        <w:rPr>
          <w:noProof/>
        </w:rPr>
        <w:t xml:space="preserve"> right specifically addresses the identified problematic application of the </w:t>
      </w:r>
      <w:r w:rsidRPr="00B75D20">
        <w:rPr>
          <w:i/>
          <w:iCs/>
          <w:noProof/>
        </w:rPr>
        <w:t>sui generis</w:t>
      </w:r>
      <w:r w:rsidRPr="00B75D20">
        <w:rPr>
          <w:noProof/>
        </w:rPr>
        <w:t xml:space="preserve"> right in the </w:t>
      </w:r>
      <w:r w:rsidR="007005B0">
        <w:rPr>
          <w:noProof/>
        </w:rPr>
        <w:t>Internet of Things</w:t>
      </w:r>
      <w:r w:rsidRPr="00B75D20">
        <w:rPr>
          <w:noProof/>
        </w:rPr>
        <w:t xml:space="preserve"> context.</w:t>
      </w:r>
      <w:r>
        <w:rPr>
          <w:noProof/>
        </w:rPr>
        <w:t xml:space="preserve"> </w:t>
      </w:r>
      <w:r w:rsidRPr="00B356D4">
        <w:rPr>
          <w:rFonts w:eastAsia="Calibri"/>
          <w:noProof/>
        </w:rPr>
        <w:t xml:space="preserve">The Commission is also currently preparing the evaluation of Regulation </w:t>
      </w:r>
      <w:r w:rsidR="0044061F">
        <w:rPr>
          <w:rFonts w:eastAsia="Calibri"/>
          <w:noProof/>
        </w:rPr>
        <w:t xml:space="preserve">(EU) </w:t>
      </w:r>
      <w:r w:rsidRPr="00B356D4">
        <w:rPr>
          <w:rFonts w:eastAsia="Calibri"/>
          <w:noProof/>
        </w:rPr>
        <w:t>2018/1807, expected for November 2022. Initial reports by external contractors have shown the limited effect of the SWIPO Codes of Conduct on cloud switching.</w:t>
      </w:r>
    </w:p>
    <w:p w14:paraId="603C93DD"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0F0163B3" w14:textId="6D7E3862" w:rsidR="0023412A" w:rsidRPr="00B356D4" w:rsidRDefault="0023412A" w:rsidP="0023412A">
      <w:pPr>
        <w:spacing w:before="0" w:after="200"/>
        <w:rPr>
          <w:noProof/>
          <w:lang w:val="en-IE"/>
        </w:rPr>
      </w:pPr>
      <w:r w:rsidRPr="00B356D4">
        <w:rPr>
          <w:noProof/>
          <w:lang w:val="en-IE"/>
        </w:rPr>
        <w:t xml:space="preserve">Extensive work was initiated during the mandate of the previous Commission on identifying the problems that are preventing </w:t>
      </w:r>
      <w:r>
        <w:rPr>
          <w:noProof/>
          <w:lang w:val="en-IE"/>
        </w:rPr>
        <w:t>the Union</w:t>
      </w:r>
      <w:r w:rsidRPr="00B356D4">
        <w:rPr>
          <w:noProof/>
          <w:lang w:val="en-IE"/>
        </w:rPr>
        <w:t xml:space="preserve"> from realising the full potential of the data-driven innovation in the economy. The proposal builds on past consultation actions, such as the 2017 public consultation supporting the Commission Communication “</w:t>
      </w:r>
      <w:r w:rsidRPr="008568E2">
        <w:rPr>
          <w:i/>
          <w:noProof/>
          <w:lang w:val="en-IE"/>
        </w:rPr>
        <w:t>Building a European data economy</w:t>
      </w:r>
      <w:r w:rsidRPr="00B356D4">
        <w:rPr>
          <w:noProof/>
          <w:lang w:val="en-IE"/>
        </w:rPr>
        <w:t>”</w:t>
      </w:r>
      <w:r w:rsidRPr="003B5043">
        <w:rPr>
          <w:rStyle w:val="FootnoteReference"/>
          <w:noProof/>
        </w:rPr>
        <w:footnoteReference w:id="47"/>
      </w:r>
      <w:r w:rsidRPr="00B356D4">
        <w:rPr>
          <w:noProof/>
          <w:lang w:val="en-IE"/>
        </w:rPr>
        <w:t xml:space="preserve">, the 2017 public consultation on the evaluation of the Database Directive, the 2018 public consultation on the revision of the Directive on the reuse of public sector information, the 2018 SME panel consultation on </w:t>
      </w:r>
      <w:r>
        <w:rPr>
          <w:noProof/>
          <w:lang w:val="en-IE"/>
        </w:rPr>
        <w:t>business-to-business</w:t>
      </w:r>
      <w:r w:rsidRPr="00B356D4">
        <w:rPr>
          <w:noProof/>
          <w:lang w:val="en-IE"/>
        </w:rPr>
        <w:t xml:space="preserve"> data sharing principles and guidance, and the Commission online open consultation on the Data Strategy</w:t>
      </w:r>
      <w:r w:rsidRPr="003B5043">
        <w:rPr>
          <w:rStyle w:val="FootnoteReference"/>
          <w:noProof/>
        </w:rPr>
        <w:footnoteReference w:id="48"/>
      </w:r>
      <w:r w:rsidRPr="00B356D4">
        <w:rPr>
          <w:noProof/>
          <w:lang w:val="en-IE"/>
        </w:rPr>
        <w:t xml:space="preserve"> from February to May 2020.</w:t>
      </w:r>
    </w:p>
    <w:p w14:paraId="435A7868" w14:textId="77777777" w:rsidR="0023412A" w:rsidRPr="00B356D4" w:rsidRDefault="0023412A" w:rsidP="0023412A">
      <w:pPr>
        <w:spacing w:before="0" w:after="200"/>
        <w:rPr>
          <w:rFonts w:eastAsia="Calibri"/>
          <w:noProof/>
          <w:lang w:val="en-IE"/>
        </w:rPr>
      </w:pPr>
      <w:r w:rsidRPr="00B356D4">
        <w:rPr>
          <w:rFonts w:eastAsia="Calibri"/>
          <w:noProof/>
          <w:lang w:val="en-IE"/>
        </w:rPr>
        <w:t>An Inception Impact Assessment was published on the Better Regulation portal on 28 May 2021 and was left open for feedback for 4 weeks. The Commission received 91 contributions on the Better Regulation Portal</w:t>
      </w:r>
      <w:r w:rsidRPr="003B5043">
        <w:rPr>
          <w:rStyle w:val="FootnoteReference"/>
          <w:noProof/>
        </w:rPr>
        <w:footnoteReference w:id="49"/>
      </w:r>
      <w:r w:rsidRPr="00B356D4">
        <w:rPr>
          <w:rFonts w:eastAsia="Calibri"/>
          <w:noProof/>
          <w:lang w:val="en-IE"/>
        </w:rPr>
        <w:t xml:space="preserve">, mainly from businesses. </w:t>
      </w:r>
    </w:p>
    <w:p w14:paraId="00CA1855" w14:textId="7D4D76AF" w:rsidR="0023412A" w:rsidRPr="00B356D4" w:rsidRDefault="0023412A" w:rsidP="0023412A">
      <w:pPr>
        <w:spacing w:before="0" w:after="200"/>
        <w:rPr>
          <w:rFonts w:eastAsia="Times New Roman"/>
          <w:noProof/>
          <w:lang w:val="en-IE"/>
        </w:rPr>
      </w:pPr>
      <w:r w:rsidRPr="00B356D4">
        <w:rPr>
          <w:rFonts w:eastAsia="Calibri"/>
          <w:noProof/>
          <w:lang w:val="en-IE"/>
        </w:rPr>
        <w:t>A public online consultation on the Data Act was subsequently published on 3 June 2021. It closed on 3 September 2021. The consultation addressed the items covered in the initiative with relevant sections and questions. It targeted all types of stakeholders, gathering input on data sharing</w:t>
      </w:r>
      <w:r w:rsidR="0044061F">
        <w:rPr>
          <w:rFonts w:eastAsia="Calibri"/>
          <w:noProof/>
          <w:lang w:val="en-IE"/>
        </w:rPr>
        <w:t>, access and</w:t>
      </w:r>
      <w:r w:rsidRPr="00B356D4">
        <w:rPr>
          <w:rFonts w:eastAsia="Calibri"/>
          <w:noProof/>
          <w:lang w:val="en-IE"/>
        </w:rPr>
        <w:t xml:space="preserve"> use in business-to-business and business-to-government contexts, on consumer empowerment and data portability, the potential role of technical measures such as smart contracts, user’s ability to switch between cloud services, </w:t>
      </w:r>
      <w:r>
        <w:rPr>
          <w:rFonts w:eastAsia="Calibri"/>
          <w:noProof/>
          <w:lang w:val="en-IE"/>
        </w:rPr>
        <w:t>i</w:t>
      </w:r>
      <w:r w:rsidRPr="00B356D4">
        <w:rPr>
          <w:rFonts w:eastAsia="Calibri"/>
          <w:noProof/>
          <w:lang w:val="en-IE"/>
        </w:rPr>
        <w:t xml:space="preserve">ntellectual </w:t>
      </w:r>
      <w:r>
        <w:rPr>
          <w:rFonts w:eastAsia="Calibri"/>
          <w:noProof/>
          <w:lang w:val="en-IE"/>
        </w:rPr>
        <w:t>p</w:t>
      </w:r>
      <w:r w:rsidRPr="00B356D4">
        <w:rPr>
          <w:rFonts w:eastAsia="Calibri"/>
          <w:noProof/>
          <w:lang w:val="en-IE"/>
        </w:rPr>
        <w:t>roperty</w:t>
      </w:r>
      <w:r w:rsidRPr="00B356D4" w:rsidDel="00280C54">
        <w:rPr>
          <w:rFonts w:eastAsia="Calibri"/>
          <w:noProof/>
          <w:lang w:val="en-IE"/>
        </w:rPr>
        <w:t xml:space="preserve"> </w:t>
      </w:r>
      <w:r>
        <w:rPr>
          <w:rFonts w:eastAsia="Calibri"/>
          <w:noProof/>
          <w:lang w:val="en-IE"/>
        </w:rPr>
        <w:t>r</w:t>
      </w:r>
      <w:r w:rsidRPr="00B356D4">
        <w:rPr>
          <w:rFonts w:eastAsia="Calibri"/>
          <w:noProof/>
          <w:lang w:val="en-IE"/>
        </w:rPr>
        <w:t>ights</w:t>
      </w:r>
      <w:r w:rsidR="0044061F">
        <w:rPr>
          <w:rFonts w:eastAsia="Calibri"/>
          <w:noProof/>
          <w:lang w:val="en-IE"/>
        </w:rPr>
        <w:t xml:space="preserve"> (</w:t>
      </w:r>
      <w:r w:rsidRPr="00B356D4">
        <w:rPr>
          <w:rFonts w:eastAsia="Calibri"/>
          <w:noProof/>
          <w:lang w:val="en-IE"/>
        </w:rPr>
        <w:t>meaning the protection of databases</w:t>
      </w:r>
      <w:r w:rsidR="0044061F">
        <w:rPr>
          <w:rFonts w:eastAsia="Calibri"/>
          <w:noProof/>
          <w:lang w:val="en-IE"/>
        </w:rPr>
        <w:t>),</w:t>
      </w:r>
      <w:r w:rsidRPr="00B356D4">
        <w:rPr>
          <w:rFonts w:eastAsia="Calibri"/>
          <w:noProof/>
          <w:lang w:val="en-IE"/>
        </w:rPr>
        <w:t xml:space="preserve"> and safeguards for non-personal data in </w:t>
      </w:r>
      <w:r>
        <w:rPr>
          <w:rFonts w:eastAsia="Calibri"/>
          <w:noProof/>
          <w:lang w:val="en-IE"/>
        </w:rPr>
        <w:t>the</w:t>
      </w:r>
      <w:r w:rsidRPr="00B356D4">
        <w:rPr>
          <w:rFonts w:eastAsia="Calibri"/>
          <w:noProof/>
          <w:lang w:val="en-IE"/>
        </w:rPr>
        <w:t xml:space="preserve"> international context.</w:t>
      </w:r>
      <w:r w:rsidRPr="00B356D4">
        <w:rPr>
          <w:rFonts w:eastAsia="Times New Roman"/>
          <w:noProof/>
          <w:lang w:val="en-IE"/>
        </w:rPr>
        <w:t xml:space="preserve"> After carrying out an in-depth analysis of the replies, the Commission published a summary report on its website</w:t>
      </w:r>
      <w:r w:rsidRPr="00B356D4">
        <w:rPr>
          <w:rStyle w:val="FootnoteReference"/>
          <w:rFonts w:eastAsia="Times New Roman"/>
          <w:noProof/>
          <w:lang w:val="en-IE"/>
        </w:rPr>
        <w:footnoteReference w:id="50"/>
      </w:r>
      <w:r w:rsidRPr="00B356D4">
        <w:rPr>
          <w:rFonts w:eastAsia="Times New Roman"/>
          <w:noProof/>
          <w:lang w:val="en-IE"/>
        </w:rPr>
        <w:t xml:space="preserve">. </w:t>
      </w:r>
    </w:p>
    <w:p w14:paraId="64143398" w14:textId="77777777" w:rsidR="0023412A" w:rsidRPr="00B356D4" w:rsidRDefault="0023412A" w:rsidP="0023412A">
      <w:pPr>
        <w:spacing w:before="0" w:after="200"/>
        <w:rPr>
          <w:rFonts w:eastAsia="Times New Roman"/>
          <w:noProof/>
          <w:lang w:val="en-IE"/>
        </w:rPr>
      </w:pPr>
      <w:r w:rsidRPr="00B356D4">
        <w:rPr>
          <w:rFonts w:eastAsia="Times New Roman"/>
          <w:noProof/>
          <w:lang w:val="en-IE"/>
        </w:rPr>
        <w:t xml:space="preserve">In total, 449 contributions were received from 32 countries. Business entities constituted the largest </w:t>
      </w:r>
      <w:r w:rsidRPr="07CA4B77">
        <w:rPr>
          <w:rFonts w:eastAsia="Times New Roman"/>
          <w:noProof/>
          <w:lang w:val="en-IE"/>
        </w:rPr>
        <w:t>number</w:t>
      </w:r>
      <w:r w:rsidRPr="2D0A2D2A">
        <w:rPr>
          <w:rFonts w:eastAsia="Times New Roman"/>
          <w:noProof/>
          <w:lang w:val="en-IE"/>
        </w:rPr>
        <w:t xml:space="preserve"> of contributions</w:t>
      </w:r>
      <w:r w:rsidRPr="00B356D4">
        <w:rPr>
          <w:rFonts w:eastAsia="Times New Roman"/>
          <w:noProof/>
          <w:lang w:val="en-IE"/>
        </w:rPr>
        <w:t xml:space="preserve">, comprising 122 business </w:t>
      </w:r>
      <w:r>
        <w:rPr>
          <w:rFonts w:eastAsia="Times New Roman"/>
          <w:noProof/>
          <w:lang w:val="en-IE"/>
        </w:rPr>
        <w:t>associations and 105 companies/</w:t>
      </w:r>
      <w:r w:rsidRPr="00B356D4">
        <w:rPr>
          <w:rFonts w:eastAsia="Times New Roman"/>
          <w:noProof/>
          <w:lang w:val="en-IE"/>
        </w:rPr>
        <w:t xml:space="preserve">business organisations. In addition, 100 respondents were public authorities and 58 were </w:t>
      </w:r>
      <w:r w:rsidRPr="07CA4B77">
        <w:rPr>
          <w:rFonts w:eastAsia="Times New Roman"/>
          <w:noProof/>
          <w:lang w:val="en-IE"/>
        </w:rPr>
        <w:t>individual</w:t>
      </w:r>
      <w:r w:rsidRPr="2D0A2D2A">
        <w:rPr>
          <w:rFonts w:eastAsia="Times New Roman"/>
          <w:noProof/>
          <w:lang w:val="en-IE"/>
        </w:rPr>
        <w:t xml:space="preserve"> members of the public.</w:t>
      </w:r>
      <w:r w:rsidRPr="00B356D4">
        <w:rPr>
          <w:rFonts w:eastAsia="Times New Roman"/>
          <w:noProof/>
          <w:lang w:val="en-IE"/>
        </w:rPr>
        <w:t xml:space="preserve"> </w:t>
      </w:r>
      <w:r w:rsidRPr="00B356D4">
        <w:rPr>
          <w:noProof/>
        </w:rPr>
        <w:t xml:space="preserve">Generally, the responses confirmed that </w:t>
      </w:r>
      <w:r w:rsidRPr="00B356D4">
        <w:rPr>
          <w:rFonts w:eastAsia="Times New Roman"/>
          <w:noProof/>
          <w:lang w:val="en-IE"/>
        </w:rPr>
        <w:t xml:space="preserve">there is </w:t>
      </w:r>
      <w:r w:rsidRPr="2D0A2D2A">
        <w:rPr>
          <w:rFonts w:eastAsia="Times New Roman"/>
          <w:noProof/>
          <w:lang w:val="en-IE"/>
        </w:rPr>
        <w:t xml:space="preserve">a whole host </w:t>
      </w:r>
      <w:r w:rsidRPr="00B356D4">
        <w:rPr>
          <w:rFonts w:eastAsia="Times New Roman"/>
          <w:noProof/>
          <w:lang w:val="en-IE"/>
        </w:rPr>
        <w:t>of obstacles to effective and efficient data sharing in all types of data relations.</w:t>
      </w:r>
    </w:p>
    <w:p w14:paraId="760C2954" w14:textId="11CE55B3" w:rsidR="0023412A" w:rsidRPr="00B356D4" w:rsidRDefault="0023412A" w:rsidP="0023412A">
      <w:pPr>
        <w:spacing w:before="0" w:after="200"/>
        <w:rPr>
          <w:noProof/>
          <w:lang w:val="en-IE"/>
        </w:rPr>
      </w:pPr>
      <w:r w:rsidRPr="1D7DF308">
        <w:rPr>
          <w:rFonts w:eastAsia="Times New Roman"/>
          <w:noProof/>
          <w:lang w:val="en-IE"/>
        </w:rPr>
        <w:t xml:space="preserve">In the business-to-business context, despite data sharing between businesses being a common practice, respondents </w:t>
      </w:r>
      <w:r w:rsidRPr="2D0A2D2A">
        <w:rPr>
          <w:rFonts w:eastAsia="Times New Roman"/>
          <w:noProof/>
          <w:lang w:val="en-IE"/>
        </w:rPr>
        <w:t xml:space="preserve">who had </w:t>
      </w:r>
      <w:r w:rsidRPr="1D7DF308">
        <w:rPr>
          <w:rFonts w:eastAsia="Times New Roman"/>
          <w:noProof/>
          <w:lang w:val="en-IE"/>
        </w:rPr>
        <w:t>experienced difficulties identified obstacles such as those of</w:t>
      </w:r>
      <w:r w:rsidRPr="1D7DF308">
        <w:rPr>
          <w:noProof/>
          <w:lang w:val="en-IE"/>
        </w:rPr>
        <w:t xml:space="preserve"> </w:t>
      </w:r>
      <w:r w:rsidRPr="2D0A2D2A">
        <w:rPr>
          <w:noProof/>
          <w:lang w:val="en-IE"/>
        </w:rPr>
        <w:t xml:space="preserve">a </w:t>
      </w:r>
      <w:r w:rsidRPr="1D7DF308">
        <w:rPr>
          <w:noProof/>
          <w:lang w:val="en-IE"/>
        </w:rPr>
        <w:t>technical nature (formats, lack of standards – 69</w:t>
      </w:r>
      <w:r w:rsidRPr="07CA4B77">
        <w:rPr>
          <w:noProof/>
          <w:lang w:val="en-IE"/>
        </w:rPr>
        <w:t>%);</w:t>
      </w:r>
      <w:r w:rsidRPr="1D7DF308">
        <w:rPr>
          <w:noProof/>
          <w:lang w:val="en-IE"/>
        </w:rPr>
        <w:t xml:space="preserve"> outright refusal to grant access not linked to competition concerns (55%) or </w:t>
      </w:r>
      <w:r w:rsidRPr="2D0A2D2A">
        <w:rPr>
          <w:noProof/>
          <w:lang w:val="en-IE"/>
        </w:rPr>
        <w:t xml:space="preserve">the </w:t>
      </w:r>
      <w:r w:rsidRPr="1D7DF308">
        <w:rPr>
          <w:noProof/>
          <w:lang w:val="en-IE"/>
        </w:rPr>
        <w:t xml:space="preserve">abuse of </w:t>
      </w:r>
      <w:r w:rsidRPr="2D0A2D2A">
        <w:rPr>
          <w:noProof/>
          <w:lang w:val="en-IE"/>
        </w:rPr>
        <w:t xml:space="preserve">a </w:t>
      </w:r>
      <w:r w:rsidRPr="1D7DF308">
        <w:rPr>
          <w:noProof/>
          <w:lang w:val="en-IE"/>
        </w:rPr>
        <w:t xml:space="preserve">contractual imbalance (44%). On contractual issues, almost half of respondents </w:t>
      </w:r>
      <w:r w:rsidRPr="2D0A2D2A">
        <w:rPr>
          <w:noProof/>
          <w:lang w:val="en-IE"/>
        </w:rPr>
        <w:t xml:space="preserve">were in favour of introducing </w:t>
      </w:r>
      <w:r w:rsidRPr="1D7DF308">
        <w:rPr>
          <w:noProof/>
          <w:lang w:val="en-IE"/>
        </w:rPr>
        <w:t xml:space="preserve">an unfairness test (46%), </w:t>
      </w:r>
      <w:r w:rsidRPr="2D0A2D2A">
        <w:rPr>
          <w:noProof/>
          <w:lang w:val="en-IE"/>
        </w:rPr>
        <w:t xml:space="preserve">while </w:t>
      </w:r>
      <w:r w:rsidRPr="1D7DF308">
        <w:rPr>
          <w:noProof/>
          <w:lang w:val="en-IE"/>
        </w:rPr>
        <w:t xml:space="preserve">more than double of those </w:t>
      </w:r>
      <w:r w:rsidRPr="2D0A2D2A">
        <w:rPr>
          <w:noProof/>
          <w:lang w:val="en-IE"/>
        </w:rPr>
        <w:t xml:space="preserve">were </w:t>
      </w:r>
      <w:r w:rsidRPr="1D7DF308">
        <w:rPr>
          <w:noProof/>
          <w:lang w:val="en-IE"/>
        </w:rPr>
        <w:t>not in favour (21%). SMEs showed strong support (50</w:t>
      </w:r>
      <w:r w:rsidRPr="2D0A2D2A">
        <w:rPr>
          <w:noProof/>
          <w:lang w:val="en-IE"/>
        </w:rPr>
        <w:t>%) for an unfairness test, and</w:t>
      </w:r>
      <w:r w:rsidRPr="1D7DF308">
        <w:rPr>
          <w:noProof/>
          <w:lang w:val="en-IE"/>
        </w:rPr>
        <w:t xml:space="preserve"> a significant number of large companies were also in favour (41</w:t>
      </w:r>
      <w:r w:rsidRPr="2D0A2D2A">
        <w:rPr>
          <w:noProof/>
          <w:lang w:val="en-IE"/>
        </w:rPr>
        <w:t>%) of it.</w:t>
      </w:r>
      <w:r w:rsidRPr="1D7DF308">
        <w:rPr>
          <w:noProof/>
          <w:lang w:val="en-IE"/>
        </w:rPr>
        <w:t xml:space="preserve"> Similarly</w:t>
      </w:r>
      <w:r w:rsidRPr="30D3AC72">
        <w:rPr>
          <w:noProof/>
          <w:lang w:val="en-IE"/>
        </w:rPr>
        <w:t>,</w:t>
      </w:r>
      <w:r w:rsidRPr="1D7DF308">
        <w:rPr>
          <w:noProof/>
          <w:lang w:val="en-IE"/>
        </w:rPr>
        <w:t xml:space="preserve"> 46% of stakeholders across sectors showed support for general access rules based on fair, reasonable and non-discriminatory terms (46%). 60% of respondents, SMEs and micro companies in particular (78%), agreed that model contract</w:t>
      </w:r>
      <w:r w:rsidR="00D81AA6">
        <w:rPr>
          <w:noProof/>
          <w:lang w:val="en-IE"/>
        </w:rPr>
        <w:t>ual</w:t>
      </w:r>
      <w:r w:rsidRPr="1D7DF308">
        <w:rPr>
          <w:noProof/>
          <w:lang w:val="en-IE"/>
        </w:rPr>
        <w:t xml:space="preserve"> terms could contribute to increased data sharing. </w:t>
      </w:r>
      <w:r w:rsidRPr="1D7DF308">
        <w:rPr>
          <w:rFonts w:eastAsia="Times New Roman"/>
          <w:noProof/>
          <w:lang w:val="en-IE"/>
        </w:rPr>
        <w:t xml:space="preserve">70% of stakeholders expressed the opinion that there is a fairness problem with data generated </w:t>
      </w:r>
      <w:r w:rsidR="0044061F">
        <w:rPr>
          <w:rFonts w:eastAsia="Times New Roman"/>
          <w:noProof/>
          <w:lang w:val="en-IE"/>
        </w:rPr>
        <w:t>in</w:t>
      </w:r>
      <w:r w:rsidR="0044061F" w:rsidRPr="1D7DF308">
        <w:rPr>
          <w:rFonts w:eastAsia="Times New Roman"/>
          <w:noProof/>
          <w:lang w:val="en-IE"/>
        </w:rPr>
        <w:t xml:space="preserve"> </w:t>
      </w:r>
      <w:r w:rsidRPr="1D7DF308">
        <w:rPr>
          <w:rFonts w:eastAsia="Times New Roman"/>
          <w:noProof/>
          <w:lang w:val="en-IE"/>
        </w:rPr>
        <w:t xml:space="preserve">the </w:t>
      </w:r>
      <w:r w:rsidR="007005B0">
        <w:rPr>
          <w:rFonts w:eastAsia="Times New Roman"/>
          <w:noProof/>
          <w:lang w:val="en-IE"/>
        </w:rPr>
        <w:t>Internet of Things</w:t>
      </w:r>
      <w:r w:rsidR="0044061F">
        <w:rPr>
          <w:rFonts w:eastAsia="Times New Roman"/>
          <w:noProof/>
          <w:lang w:val="en-IE"/>
        </w:rPr>
        <w:t xml:space="preserve"> context</w:t>
      </w:r>
      <w:r w:rsidRPr="07CA4B77">
        <w:rPr>
          <w:rFonts w:eastAsia="Times New Roman"/>
          <w:noProof/>
          <w:lang w:val="en-IE"/>
        </w:rPr>
        <w:t>,</w:t>
      </w:r>
      <w:r w:rsidRPr="1D7DF308">
        <w:rPr>
          <w:rFonts w:eastAsia="Times New Roman"/>
          <w:noProof/>
          <w:lang w:val="en-IE"/>
        </w:rPr>
        <w:t xml:space="preserve"> and that manufacturers of connected products </w:t>
      </w:r>
      <w:r w:rsidR="009E26A7">
        <w:rPr>
          <w:rFonts w:eastAsia="Times New Roman"/>
          <w:noProof/>
          <w:lang w:val="en-IE"/>
        </w:rPr>
        <w:t>or</w:t>
      </w:r>
      <w:r w:rsidR="009E26A7" w:rsidRPr="1D7DF308">
        <w:rPr>
          <w:rFonts w:eastAsia="Times New Roman"/>
          <w:noProof/>
          <w:lang w:val="en-IE"/>
        </w:rPr>
        <w:t xml:space="preserve"> </w:t>
      </w:r>
      <w:r w:rsidRPr="1D7DF308">
        <w:rPr>
          <w:rFonts w:eastAsia="Times New Roman"/>
          <w:noProof/>
          <w:lang w:val="en-IE"/>
        </w:rPr>
        <w:t xml:space="preserve">related services should not be able to decide unilaterally on what happens to the data generated by such products. 79% of respondents considered that smart contracts could be an effective tool to technically implement data access and use in the context of co-generated </w:t>
      </w:r>
      <w:r w:rsidR="007005B0">
        <w:rPr>
          <w:rFonts w:eastAsia="Times New Roman"/>
          <w:noProof/>
          <w:lang w:val="en-IE"/>
        </w:rPr>
        <w:t>Internet of Things</w:t>
      </w:r>
      <w:r w:rsidRPr="30D3AC72">
        <w:rPr>
          <w:rFonts w:eastAsia="Times New Roman"/>
          <w:noProof/>
          <w:lang w:val="en-IE"/>
        </w:rPr>
        <w:t xml:space="preserve"> </w:t>
      </w:r>
      <w:r w:rsidRPr="1D7DF308">
        <w:rPr>
          <w:rFonts w:eastAsia="Times New Roman"/>
          <w:noProof/>
          <w:lang w:val="en-IE"/>
        </w:rPr>
        <w:t>data.</w:t>
      </w:r>
    </w:p>
    <w:p w14:paraId="4B9A8263" w14:textId="77777777" w:rsidR="0023412A" w:rsidRPr="00B356D4" w:rsidRDefault="0023412A" w:rsidP="0023412A">
      <w:pPr>
        <w:spacing w:before="0" w:after="200"/>
        <w:rPr>
          <w:noProof/>
          <w:lang w:val="en-IE"/>
        </w:rPr>
      </w:pPr>
      <w:r w:rsidRPr="00B356D4">
        <w:rPr>
          <w:noProof/>
          <w:lang w:val="en-IE"/>
        </w:rPr>
        <w:t xml:space="preserve">Legal uncertainty and barriers, commercial </w:t>
      </w:r>
      <w:r w:rsidRPr="2D0A2D2A">
        <w:rPr>
          <w:noProof/>
          <w:lang w:val="en-IE"/>
        </w:rPr>
        <w:t>disincentives, and a</w:t>
      </w:r>
      <w:r w:rsidRPr="00B356D4">
        <w:rPr>
          <w:noProof/>
          <w:lang w:val="en-IE"/>
        </w:rPr>
        <w:t xml:space="preserve"> lack of appropriate infrastructure were amongst the main factors impeding </w:t>
      </w:r>
      <w:r w:rsidRPr="07CA4B77">
        <w:rPr>
          <w:noProof/>
          <w:lang w:val="en-IE"/>
        </w:rPr>
        <w:t>business</w:t>
      </w:r>
      <w:r>
        <w:rPr>
          <w:noProof/>
          <w:lang w:val="en-IE"/>
        </w:rPr>
        <w:t>-to-</w:t>
      </w:r>
      <w:r w:rsidRPr="07CA4B77">
        <w:rPr>
          <w:noProof/>
          <w:lang w:val="en-IE"/>
        </w:rPr>
        <w:t>government</w:t>
      </w:r>
      <w:r w:rsidRPr="00B356D4">
        <w:rPr>
          <w:noProof/>
          <w:lang w:val="en-IE"/>
        </w:rPr>
        <w:t xml:space="preserve"> data sharing identified by respondents. </w:t>
      </w:r>
      <w:r w:rsidRPr="00B356D4">
        <w:rPr>
          <w:rFonts w:eastAsia="Times New Roman"/>
          <w:noProof/>
          <w:lang w:val="en-IE"/>
        </w:rPr>
        <w:t>Almost all public authorities consider that action (</w:t>
      </w:r>
      <w:r>
        <w:rPr>
          <w:rFonts w:eastAsia="Times New Roman"/>
          <w:noProof/>
          <w:lang w:val="en-IE"/>
        </w:rPr>
        <w:t>Union</w:t>
      </w:r>
      <w:r w:rsidRPr="00B356D4">
        <w:rPr>
          <w:rFonts w:eastAsia="Times New Roman"/>
          <w:noProof/>
          <w:lang w:val="en-IE"/>
        </w:rPr>
        <w:t xml:space="preserve"> or </w:t>
      </w:r>
      <w:r w:rsidRPr="07CA4B77">
        <w:rPr>
          <w:rFonts w:eastAsia="Times New Roman"/>
          <w:noProof/>
          <w:lang w:val="en-IE"/>
        </w:rPr>
        <w:t>Member</w:t>
      </w:r>
      <w:r>
        <w:rPr>
          <w:rFonts w:eastAsia="Times New Roman"/>
          <w:noProof/>
          <w:lang w:val="en-IE"/>
        </w:rPr>
        <w:t xml:space="preserve"> State</w:t>
      </w:r>
      <w:r w:rsidRPr="00B356D4">
        <w:rPr>
          <w:rFonts w:eastAsia="Times New Roman"/>
          <w:noProof/>
          <w:lang w:val="en-IE"/>
        </w:rPr>
        <w:t xml:space="preserve">) on business-to-government </w:t>
      </w:r>
      <w:r w:rsidRPr="2D0A2D2A">
        <w:rPr>
          <w:rFonts w:eastAsia="Times New Roman"/>
          <w:noProof/>
          <w:lang w:val="en-IE"/>
        </w:rPr>
        <w:t xml:space="preserve">data sharing </w:t>
      </w:r>
      <w:r>
        <w:rPr>
          <w:rFonts w:eastAsia="Times New Roman"/>
          <w:noProof/>
          <w:lang w:val="en-IE"/>
        </w:rPr>
        <w:t>is needed,</w:t>
      </w:r>
      <w:r w:rsidRPr="00B356D4">
        <w:rPr>
          <w:rFonts w:eastAsia="Times New Roman"/>
          <w:noProof/>
          <w:lang w:val="en-IE"/>
        </w:rPr>
        <w:t xml:space="preserve"> compared to 80% of academic/ research institutions and 38% of </w:t>
      </w:r>
      <w:r w:rsidRPr="07CA4B77">
        <w:rPr>
          <w:rFonts w:eastAsia="Times New Roman"/>
          <w:noProof/>
          <w:lang w:val="en-IE"/>
        </w:rPr>
        <w:t>companies</w:t>
      </w:r>
      <w:r w:rsidRPr="00B356D4">
        <w:rPr>
          <w:rFonts w:eastAsia="Times New Roman"/>
          <w:noProof/>
          <w:lang w:val="en-IE"/>
        </w:rPr>
        <w:t xml:space="preserve">/ business organisations/ associations. </w:t>
      </w:r>
      <w:r w:rsidRPr="07CA4B77">
        <w:rPr>
          <w:rFonts w:eastAsia="Times New Roman"/>
          <w:noProof/>
          <w:lang w:val="en-IE"/>
        </w:rPr>
        <w:t>A</w:t>
      </w:r>
      <w:r w:rsidRPr="2D0A2D2A">
        <w:rPr>
          <w:rFonts w:eastAsia="Times New Roman"/>
          <w:noProof/>
          <w:lang w:val="en-IE"/>
        </w:rPr>
        <w:t xml:space="preserve"> clear majority of stakeholders (in particular citizens and public administrations) also expressed the opinion that business-to-government data sharing should be compulsory, with clear safeguards for specific use-cases with a clear public interest in emergencies and for crisis management purposes, for official statistics, for environmental protection and for a healthier society in general.</w:t>
      </w:r>
    </w:p>
    <w:p w14:paraId="0188E802" w14:textId="79BDD0CD" w:rsidR="0023412A" w:rsidRPr="00B356D4" w:rsidRDefault="0023412A" w:rsidP="0023412A">
      <w:pPr>
        <w:spacing w:before="0" w:after="200"/>
        <w:rPr>
          <w:rFonts w:eastAsia="Calibri"/>
          <w:noProof/>
          <w:lang w:val="en-IE"/>
        </w:rPr>
      </w:pPr>
      <w:r w:rsidRPr="00B356D4">
        <w:rPr>
          <w:rFonts w:eastAsia="Times New Roman"/>
          <w:noProof/>
          <w:lang w:val="en-IE"/>
        </w:rPr>
        <w:t xml:space="preserve">Respondents also confirmed the usefulness of a right to switchability for business users of cloud computing services. </w:t>
      </w:r>
      <w:r w:rsidR="0044061F">
        <w:rPr>
          <w:rFonts w:eastAsia="Times New Roman"/>
          <w:noProof/>
          <w:lang w:val="en-IE"/>
        </w:rPr>
        <w:t>A</w:t>
      </w:r>
      <w:r w:rsidRPr="00B356D4">
        <w:rPr>
          <w:rFonts w:eastAsia="Times New Roman"/>
          <w:noProof/>
          <w:lang w:val="en-IE"/>
        </w:rPr>
        <w:t xml:space="preserve">s regards safeguards for non-personal data in international contexts, 76% of respondents perceive potential access to data by foreign authorities on the basis of foreign legislation as a risk to their organisation, with 19% indicating that </w:t>
      </w:r>
      <w:r w:rsidRPr="07CA4B77">
        <w:rPr>
          <w:rFonts w:eastAsia="Times New Roman"/>
          <w:noProof/>
          <w:lang w:val="en-IE"/>
        </w:rPr>
        <w:t>it</w:t>
      </w:r>
      <w:r w:rsidRPr="00B356D4">
        <w:rPr>
          <w:rFonts w:eastAsia="Times New Roman"/>
          <w:noProof/>
          <w:lang w:val="en-IE"/>
        </w:rPr>
        <w:t xml:space="preserve"> is a major risk.</w:t>
      </w:r>
      <w:r w:rsidRPr="00B356D4">
        <w:rPr>
          <w:noProof/>
          <w:lang w:val="en-IE"/>
        </w:rPr>
        <w:t xml:space="preserve"> </w:t>
      </w:r>
    </w:p>
    <w:p w14:paraId="7C39589C"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14:paraId="3F09483E" w14:textId="77777777" w:rsidR="0023412A" w:rsidRPr="00B356D4" w:rsidRDefault="0023412A" w:rsidP="0023412A">
      <w:pPr>
        <w:rPr>
          <w:noProof/>
          <w:lang w:val="en-IE"/>
        </w:rPr>
      </w:pPr>
      <w:r w:rsidRPr="00B356D4">
        <w:rPr>
          <w:noProof/>
          <w:lang w:val="en-IE"/>
        </w:rPr>
        <w:t>The proposal was supported by several studies, workshops and other expert input</w:t>
      </w:r>
      <w:r w:rsidRPr="2D0A2D2A" w:rsidDel="00385848">
        <w:rPr>
          <w:noProof/>
          <w:lang w:val="en-IE"/>
        </w:rPr>
        <w:t>:</w:t>
      </w:r>
      <w:r w:rsidRPr="00B356D4">
        <w:rPr>
          <w:noProof/>
          <w:lang w:val="en-IE"/>
        </w:rPr>
        <w:t xml:space="preserve"> </w:t>
      </w:r>
    </w:p>
    <w:p w14:paraId="6225435F" w14:textId="77777777" w:rsidR="0023412A" w:rsidRPr="00B356D4" w:rsidRDefault="0023412A" w:rsidP="000C36C5">
      <w:pPr>
        <w:pStyle w:val="Tiret0"/>
        <w:rPr>
          <w:rFonts w:eastAsia="Calibri"/>
          <w:b/>
          <w:noProof/>
          <w:lang w:val="en-IE"/>
        </w:rPr>
      </w:pPr>
      <w:r w:rsidRPr="0033171E">
        <w:rPr>
          <w:b/>
          <w:noProof/>
          <w:lang w:val="en-IE"/>
        </w:rPr>
        <w:t xml:space="preserve">Study to support this Impact Assessment on </w:t>
      </w:r>
      <w:r w:rsidRPr="00B356D4">
        <w:rPr>
          <w:b/>
          <w:bCs/>
          <w:noProof/>
          <w:lang w:val="en-IE"/>
        </w:rPr>
        <w:t>enhancing the use of data in Europe</w:t>
      </w:r>
      <w:r w:rsidRPr="0033171E">
        <w:rPr>
          <w:noProof/>
          <w:lang w:val="en-IE"/>
        </w:rPr>
        <w:t>,</w:t>
      </w:r>
      <w:r w:rsidRPr="00B356D4">
        <w:rPr>
          <w:b/>
          <w:bCs/>
          <w:noProof/>
          <w:lang w:val="en-IE"/>
        </w:rPr>
        <w:t xml:space="preserve"> </w:t>
      </w:r>
      <w:r w:rsidRPr="00B356D4">
        <w:rPr>
          <w:noProof/>
          <w:lang w:val="en-IE"/>
        </w:rPr>
        <w:t>including interviews with targeted stakeholders.</w:t>
      </w:r>
      <w:r w:rsidRPr="00B356D4">
        <w:rPr>
          <w:b/>
          <w:bCs/>
          <w:noProof/>
          <w:lang w:val="en-IE"/>
        </w:rPr>
        <w:t xml:space="preserve"> </w:t>
      </w:r>
      <w:r w:rsidRPr="00B356D4">
        <w:rPr>
          <w:noProof/>
          <w:lang w:val="en-IE"/>
        </w:rPr>
        <w:t xml:space="preserve">This included two cross-sectoral workshops on </w:t>
      </w:r>
      <w:r w:rsidRPr="07CA4B77">
        <w:rPr>
          <w:noProof/>
          <w:lang w:val="en-IE"/>
        </w:rPr>
        <w:t>business</w:t>
      </w:r>
      <w:r>
        <w:rPr>
          <w:noProof/>
          <w:lang w:val="en-IE"/>
        </w:rPr>
        <w:t>-to-business</w:t>
      </w:r>
      <w:r w:rsidRPr="00B356D4">
        <w:rPr>
          <w:noProof/>
          <w:lang w:val="en-IE"/>
        </w:rPr>
        <w:t xml:space="preserve"> and </w:t>
      </w:r>
      <w:r w:rsidRPr="07CA4B77">
        <w:rPr>
          <w:noProof/>
          <w:lang w:val="en-IE"/>
        </w:rPr>
        <w:t>business</w:t>
      </w:r>
      <w:r>
        <w:rPr>
          <w:noProof/>
          <w:lang w:val="en-IE"/>
        </w:rPr>
        <w:t>-to-government</w:t>
      </w:r>
      <w:r w:rsidRPr="00B356D4">
        <w:rPr>
          <w:noProof/>
          <w:lang w:val="en-IE"/>
        </w:rPr>
        <w:t xml:space="preserve"> data sharing, and a final validation workshop organised in spring 2021.</w:t>
      </w:r>
    </w:p>
    <w:p w14:paraId="4A966CFA" w14:textId="77674008" w:rsidR="0023412A" w:rsidRPr="00B356D4" w:rsidRDefault="0023412A" w:rsidP="000C36C5">
      <w:pPr>
        <w:pStyle w:val="Tiret0"/>
        <w:rPr>
          <w:rFonts w:eastAsia="Calibri"/>
          <w:b/>
          <w:noProof/>
          <w:lang w:val="en-IE"/>
        </w:rPr>
      </w:pPr>
      <w:r w:rsidRPr="0033171E">
        <w:rPr>
          <w:b/>
          <w:noProof/>
          <w:lang w:val="en-IE"/>
        </w:rPr>
        <w:t xml:space="preserve">Study on </w:t>
      </w:r>
      <w:r w:rsidRPr="00B356D4">
        <w:rPr>
          <w:b/>
          <w:noProof/>
          <w:lang w:val="en-IE"/>
        </w:rPr>
        <w:t>model contract</w:t>
      </w:r>
      <w:r w:rsidR="0080572F">
        <w:rPr>
          <w:b/>
          <w:noProof/>
          <w:lang w:val="en-IE"/>
        </w:rPr>
        <w:t>ual</w:t>
      </w:r>
      <w:r w:rsidRPr="00B356D4">
        <w:rPr>
          <w:b/>
          <w:noProof/>
          <w:lang w:val="en-IE"/>
        </w:rPr>
        <w:t xml:space="preserve"> terms, fairness control in data </w:t>
      </w:r>
      <w:r w:rsidRPr="00BA4E07">
        <w:rPr>
          <w:b/>
          <w:noProof/>
          <w:lang w:val="en-IE"/>
        </w:rPr>
        <w:t>sharing and in cloud contracts and on data access rights</w:t>
      </w:r>
      <w:r>
        <w:rPr>
          <w:b/>
          <w:noProof/>
          <w:lang w:val="en-IE"/>
        </w:rPr>
        <w:t xml:space="preserve"> </w:t>
      </w:r>
      <w:r>
        <w:rPr>
          <w:noProof/>
          <w:lang w:val="en-IE"/>
        </w:rPr>
        <w:t xml:space="preserve">assessed, in particular, </w:t>
      </w:r>
      <w:r w:rsidRPr="0039523D">
        <w:rPr>
          <w:noProof/>
          <w:lang w:val="en-IE"/>
        </w:rPr>
        <w:t xml:space="preserve">fairness aspects in </w:t>
      </w:r>
      <w:r>
        <w:rPr>
          <w:noProof/>
          <w:lang w:val="en-IE"/>
        </w:rPr>
        <w:t xml:space="preserve">business-to-business </w:t>
      </w:r>
      <w:r w:rsidRPr="0039523D">
        <w:rPr>
          <w:noProof/>
          <w:lang w:val="en-IE"/>
        </w:rPr>
        <w:t>data sharing relations</w:t>
      </w:r>
      <w:r>
        <w:rPr>
          <w:noProof/>
          <w:lang w:val="en-IE"/>
        </w:rPr>
        <w:t xml:space="preserve"> and</w:t>
      </w:r>
      <w:r w:rsidRPr="00FF4830">
        <w:rPr>
          <w:noProof/>
          <w:lang w:val="en-IE"/>
        </w:rPr>
        <w:t xml:space="preserve"> </w:t>
      </w:r>
      <w:r>
        <w:rPr>
          <w:noProof/>
          <w:lang w:val="en-IE"/>
        </w:rPr>
        <w:t xml:space="preserve">included </w:t>
      </w:r>
      <w:r w:rsidRPr="00FF4830">
        <w:rPr>
          <w:noProof/>
          <w:lang w:val="en-IE"/>
        </w:rPr>
        <w:t>targeted stakeholder interviews</w:t>
      </w:r>
      <w:r>
        <w:rPr>
          <w:noProof/>
          <w:lang w:val="en-IE"/>
        </w:rPr>
        <w:t xml:space="preserve"> and a validation workshop</w:t>
      </w:r>
      <w:r w:rsidRPr="00EF0490">
        <w:rPr>
          <w:noProof/>
          <w:lang w:val="en-IE"/>
        </w:rPr>
        <w:t>.</w:t>
      </w:r>
    </w:p>
    <w:p w14:paraId="07DF8804" w14:textId="020050EC" w:rsidR="0023412A" w:rsidRPr="00B356D4" w:rsidRDefault="0023412A" w:rsidP="000C36C5">
      <w:pPr>
        <w:pStyle w:val="Tiret0"/>
        <w:rPr>
          <w:rFonts w:eastAsia="Calibri"/>
          <w:b/>
          <w:noProof/>
          <w:lang w:val="en-IE"/>
        </w:rPr>
      </w:pPr>
      <w:r w:rsidRPr="0033171E">
        <w:rPr>
          <w:b/>
          <w:noProof/>
          <w:lang w:val="en-IE"/>
        </w:rPr>
        <w:t>Study on the economic detriment from</w:t>
      </w:r>
      <w:r w:rsidRPr="00B356D4">
        <w:rPr>
          <w:noProof/>
          <w:lang w:val="en-IE"/>
        </w:rPr>
        <w:t xml:space="preserve"> </w:t>
      </w:r>
      <w:r w:rsidRPr="00B356D4">
        <w:rPr>
          <w:b/>
          <w:noProof/>
          <w:lang w:val="en-IE"/>
        </w:rPr>
        <w:t>unfair and unbalanced cloud computing contracts</w:t>
      </w:r>
      <w:r w:rsidRPr="00B356D4">
        <w:rPr>
          <w:noProof/>
          <w:lang w:val="en-IE"/>
        </w:rPr>
        <w:t xml:space="preserve">. </w:t>
      </w:r>
      <w:r w:rsidRPr="07CA4B77">
        <w:rPr>
          <w:noProof/>
          <w:lang w:val="en-IE"/>
        </w:rPr>
        <w:t>This</w:t>
      </w:r>
      <w:r w:rsidRPr="00B356D4">
        <w:rPr>
          <w:noProof/>
          <w:lang w:val="en-IE"/>
        </w:rPr>
        <w:t xml:space="preserve"> include</w:t>
      </w:r>
      <w:r>
        <w:rPr>
          <w:noProof/>
          <w:lang w:val="en-IE"/>
        </w:rPr>
        <w:t>d</w:t>
      </w:r>
      <w:r w:rsidRPr="00B356D4">
        <w:rPr>
          <w:noProof/>
          <w:lang w:val="en-IE"/>
        </w:rPr>
        <w:t xml:space="preserve"> an online survey </w:t>
      </w:r>
      <w:r w:rsidRPr="07CA4B77">
        <w:rPr>
          <w:noProof/>
          <w:lang w:val="en-IE"/>
        </w:rPr>
        <w:t>of</w:t>
      </w:r>
      <w:r w:rsidRPr="00B356D4">
        <w:rPr>
          <w:noProof/>
          <w:lang w:val="en-IE"/>
        </w:rPr>
        <w:t xml:space="preserve"> a sample of SMEs and start-ups</w:t>
      </w:r>
      <w:r>
        <w:rPr>
          <w:noProof/>
          <w:lang w:val="en-IE"/>
        </w:rPr>
        <w:t xml:space="preserve"> </w:t>
      </w:r>
      <w:r w:rsidRPr="00B356D4">
        <w:rPr>
          <w:noProof/>
          <w:lang w:val="en-IE"/>
        </w:rPr>
        <w:t xml:space="preserve">using cloud computing for conducting their business. </w:t>
      </w:r>
    </w:p>
    <w:p w14:paraId="2571C916" w14:textId="77777777" w:rsidR="0023412A" w:rsidRPr="00B356D4" w:rsidRDefault="0023412A" w:rsidP="000C36C5">
      <w:pPr>
        <w:pStyle w:val="Tiret0"/>
        <w:rPr>
          <w:b/>
          <w:noProof/>
          <w:lang w:val="en-IE"/>
        </w:rPr>
      </w:pPr>
      <w:r w:rsidRPr="0033171E">
        <w:rPr>
          <w:b/>
          <w:noProof/>
          <w:lang w:val="en-IE"/>
        </w:rPr>
        <w:t xml:space="preserve">Study on the </w:t>
      </w:r>
      <w:r w:rsidRPr="00B356D4">
        <w:rPr>
          <w:b/>
          <w:noProof/>
          <w:lang w:val="en-IE"/>
        </w:rPr>
        <w:t>switching of cloud service providers</w:t>
      </w:r>
      <w:r w:rsidRPr="00B356D4">
        <w:rPr>
          <w:noProof/>
          <w:lang w:val="en-IE"/>
        </w:rPr>
        <w:t xml:space="preserve">, </w:t>
      </w:r>
      <w:r w:rsidRPr="2D0A2D2A">
        <w:rPr>
          <w:noProof/>
          <w:lang w:val="en-IE"/>
        </w:rPr>
        <w:t xml:space="preserve">including </w:t>
      </w:r>
      <w:r w:rsidRPr="00B356D4">
        <w:rPr>
          <w:noProof/>
          <w:lang w:val="en-IE"/>
        </w:rPr>
        <w:t xml:space="preserve">a cross-sectorial workshop in </w:t>
      </w:r>
      <w:r w:rsidRPr="2D0A2D2A">
        <w:rPr>
          <w:noProof/>
          <w:lang w:val="en-IE"/>
        </w:rPr>
        <w:t>the second quarter of</w:t>
      </w:r>
      <w:r w:rsidRPr="2D0A2D2A" w:rsidDel="00385848">
        <w:rPr>
          <w:noProof/>
          <w:lang w:val="en-IE"/>
        </w:rPr>
        <w:t xml:space="preserve"> </w:t>
      </w:r>
      <w:r w:rsidRPr="00B356D4">
        <w:rPr>
          <w:noProof/>
          <w:lang w:val="en-IE"/>
        </w:rPr>
        <w:t>2017.</w:t>
      </w:r>
    </w:p>
    <w:p w14:paraId="193C1D59" w14:textId="77777777" w:rsidR="0023412A" w:rsidRPr="00B356D4" w:rsidRDefault="0023412A" w:rsidP="000C36C5">
      <w:pPr>
        <w:pStyle w:val="Tiret0"/>
        <w:rPr>
          <w:rFonts w:eastAsia="Calibri"/>
          <w:b/>
          <w:noProof/>
          <w:lang w:val="en-IE"/>
        </w:rPr>
      </w:pPr>
      <w:r w:rsidRPr="0033171E">
        <w:rPr>
          <w:b/>
          <w:noProof/>
          <w:lang w:val="en-IE"/>
        </w:rPr>
        <w:t xml:space="preserve">Study in support of the </w:t>
      </w:r>
      <w:r w:rsidRPr="00B356D4">
        <w:rPr>
          <w:b/>
          <w:noProof/>
          <w:lang w:val="en-IE"/>
        </w:rPr>
        <w:t>review of the Database Directive</w:t>
      </w:r>
      <w:r w:rsidRPr="0033171E">
        <w:rPr>
          <w:noProof/>
          <w:lang w:val="en-IE"/>
        </w:rPr>
        <w:t>,</w:t>
      </w:r>
      <w:r w:rsidRPr="00B356D4">
        <w:rPr>
          <w:noProof/>
          <w:lang w:val="en-IE"/>
        </w:rPr>
        <w:t xml:space="preserve"> including interviews with targeted stakeholders.</w:t>
      </w:r>
      <w:r w:rsidRPr="00B356D4">
        <w:rPr>
          <w:b/>
          <w:bCs/>
          <w:noProof/>
          <w:lang w:val="en-IE"/>
        </w:rPr>
        <w:t xml:space="preserve"> </w:t>
      </w:r>
      <w:r w:rsidRPr="00B356D4">
        <w:rPr>
          <w:noProof/>
          <w:lang w:val="en-IE"/>
        </w:rPr>
        <w:t xml:space="preserve">It has assisted the Commission in the preparation of this Impact Assessment to accompany the review of the Database Directive, in the context of the Data Act and </w:t>
      </w:r>
      <w:r w:rsidRPr="2D0A2D2A">
        <w:rPr>
          <w:noProof/>
          <w:lang w:val="en-IE"/>
        </w:rPr>
        <w:t xml:space="preserve">in the achievement of their </w:t>
      </w:r>
      <w:r w:rsidRPr="07CA4B77">
        <w:rPr>
          <w:noProof/>
          <w:lang w:val="en-IE"/>
        </w:rPr>
        <w:t>intertwined</w:t>
      </w:r>
      <w:r w:rsidRPr="00B356D4">
        <w:rPr>
          <w:noProof/>
          <w:lang w:val="en-IE"/>
        </w:rPr>
        <w:t xml:space="preserve"> objectives.</w:t>
      </w:r>
    </w:p>
    <w:p w14:paraId="323E9655" w14:textId="77777777" w:rsidR="0023412A" w:rsidRPr="00B356D4" w:rsidRDefault="0023412A" w:rsidP="000C36C5">
      <w:pPr>
        <w:pStyle w:val="Tiret0"/>
        <w:rPr>
          <w:rFonts w:eastAsia="Calibri"/>
          <w:b/>
          <w:noProof/>
          <w:lang w:val="en-IE"/>
        </w:rPr>
      </w:pPr>
      <w:r w:rsidRPr="0033171E">
        <w:rPr>
          <w:b/>
          <w:noProof/>
          <w:lang w:val="en-IE"/>
        </w:rPr>
        <w:t xml:space="preserve">Methodological support to impact assessment of using privately </w:t>
      </w:r>
      <w:r w:rsidRPr="00B356D4">
        <w:rPr>
          <w:b/>
          <w:bCs/>
          <w:noProof/>
          <w:lang w:val="en-IE"/>
        </w:rPr>
        <w:t>held data by official statistics</w:t>
      </w:r>
      <w:r w:rsidRPr="00B356D4">
        <w:rPr>
          <w:bCs/>
          <w:noProof/>
          <w:lang w:val="en-IE"/>
        </w:rPr>
        <w:t>.</w:t>
      </w:r>
      <w:r w:rsidRPr="00B356D4">
        <w:rPr>
          <w:b/>
          <w:bCs/>
          <w:noProof/>
          <w:lang w:val="en-IE"/>
        </w:rPr>
        <w:t xml:space="preserve"> </w:t>
      </w:r>
      <w:r w:rsidRPr="00B356D4">
        <w:rPr>
          <w:noProof/>
          <w:lang w:val="en-IE"/>
        </w:rPr>
        <w:t xml:space="preserve">This exercise provides input </w:t>
      </w:r>
      <w:r>
        <w:rPr>
          <w:noProof/>
          <w:lang w:val="en-IE"/>
        </w:rPr>
        <w:t>to the assessment of the impact of business-to-government data reuse in official statistics by developing a methodological approach and by describing the benefits and costs of data reuse and of selected use cases for different statistical domains and different types of private sector data. In addition, it contributes to</w:t>
      </w:r>
      <w:r w:rsidRPr="00B356D4">
        <w:rPr>
          <w:noProof/>
          <w:lang w:val="en-IE"/>
        </w:rPr>
        <w:t xml:space="preserve"> ongoing research and deliberations </w:t>
      </w:r>
      <w:r w:rsidRPr="2D0A2D2A">
        <w:rPr>
          <w:noProof/>
          <w:lang w:val="en-IE"/>
        </w:rPr>
        <w:t xml:space="preserve">in order to arrive at </w:t>
      </w:r>
      <w:r w:rsidRPr="00B356D4">
        <w:rPr>
          <w:noProof/>
          <w:lang w:val="en-IE"/>
        </w:rPr>
        <w:t xml:space="preserve">a better understanding of </w:t>
      </w:r>
      <w:r w:rsidRPr="07CA4B77">
        <w:rPr>
          <w:noProof/>
          <w:lang w:val="en-IE"/>
        </w:rPr>
        <w:t>business</w:t>
      </w:r>
      <w:r>
        <w:rPr>
          <w:noProof/>
          <w:lang w:val="en-IE"/>
        </w:rPr>
        <w:t>-to-government</w:t>
      </w:r>
      <w:r w:rsidRPr="00B356D4">
        <w:rPr>
          <w:noProof/>
          <w:lang w:val="en-IE"/>
        </w:rPr>
        <w:t xml:space="preserve"> data sharing.</w:t>
      </w:r>
    </w:p>
    <w:p w14:paraId="2619FACB" w14:textId="77777777" w:rsidR="0023412A" w:rsidRPr="00B356D4" w:rsidRDefault="0023412A" w:rsidP="000C36C5">
      <w:pPr>
        <w:pStyle w:val="Tiret0"/>
        <w:rPr>
          <w:rFonts w:eastAsia="Calibri"/>
          <w:b/>
          <w:bCs/>
          <w:noProof/>
          <w:szCs w:val="24"/>
          <w:lang w:val="en-IE"/>
        </w:rPr>
      </w:pPr>
      <w:r w:rsidRPr="0033171E">
        <w:rPr>
          <w:b/>
          <w:noProof/>
          <w:lang w:val="en-IE"/>
        </w:rPr>
        <w:t xml:space="preserve">Webinars on personal data platforms and industrial </w:t>
      </w:r>
      <w:r w:rsidRPr="00B356D4">
        <w:rPr>
          <w:b/>
          <w:noProof/>
          <w:lang w:val="en-IE"/>
        </w:rPr>
        <w:t>data</w:t>
      </w:r>
      <w:r w:rsidRPr="00B356D4">
        <w:rPr>
          <w:b/>
          <w:bCs/>
          <w:noProof/>
          <w:lang w:val="en-IE"/>
        </w:rPr>
        <w:t xml:space="preserve"> platforms</w:t>
      </w:r>
      <w:r w:rsidRPr="00B356D4">
        <w:rPr>
          <w:bCs/>
          <w:noProof/>
          <w:lang w:val="en-IE"/>
        </w:rPr>
        <w:t xml:space="preserve">. </w:t>
      </w:r>
      <w:r w:rsidRPr="00B356D4">
        <w:rPr>
          <w:noProof/>
          <w:lang w:val="en-IE"/>
        </w:rPr>
        <w:t xml:space="preserve">Three webinars were organised on 6, 7 and 8 May 2020. They brought together the relevant data platform projects in the Big Data Value Public-Private Partnership portfolio. </w:t>
      </w:r>
    </w:p>
    <w:p w14:paraId="4DB71543" w14:textId="77777777" w:rsidR="0023412A" w:rsidRPr="00B356D4" w:rsidRDefault="0023412A" w:rsidP="000C36C5">
      <w:pPr>
        <w:pStyle w:val="Tiret0"/>
        <w:rPr>
          <w:rFonts w:eastAsia="Calibri"/>
          <w:b/>
          <w:noProof/>
          <w:lang w:val="en-IE"/>
        </w:rPr>
      </w:pPr>
      <w:r w:rsidRPr="00B356D4">
        <w:rPr>
          <w:b/>
          <w:noProof/>
          <w:lang w:val="en-IE"/>
        </w:rPr>
        <w:t>High-Level Expert Group Report on Busi</w:t>
      </w:r>
      <w:r w:rsidRPr="00B356D4">
        <w:rPr>
          <w:b/>
          <w:bCs/>
          <w:noProof/>
          <w:lang w:val="en-IE"/>
        </w:rPr>
        <w:t xml:space="preserve">ness-to-Government data sharing. </w:t>
      </w:r>
      <w:r w:rsidRPr="00B356D4">
        <w:rPr>
          <w:noProof/>
          <w:lang w:val="en-IE"/>
        </w:rPr>
        <w:t xml:space="preserve">The report provides an analysis of the problems </w:t>
      </w:r>
      <w:r w:rsidRPr="07CA4B77">
        <w:rPr>
          <w:noProof/>
          <w:lang w:val="en-IE"/>
        </w:rPr>
        <w:t>surrounding</w:t>
      </w:r>
      <w:r w:rsidRPr="00B356D4">
        <w:rPr>
          <w:noProof/>
          <w:lang w:val="en-IE"/>
        </w:rPr>
        <w:t xml:space="preserve"> business-to-government data sharing in the </w:t>
      </w:r>
      <w:r>
        <w:rPr>
          <w:noProof/>
          <w:lang w:val="en-IE"/>
        </w:rPr>
        <w:t>Union</w:t>
      </w:r>
      <w:r w:rsidRPr="00B356D4">
        <w:rPr>
          <w:noProof/>
          <w:lang w:val="en-IE"/>
        </w:rPr>
        <w:t xml:space="preserve"> and offers a set of recommendations in order to ensure scalable, responsible and sustainable business-to-government data sharing </w:t>
      </w:r>
      <w:r w:rsidRPr="2D0A2D2A">
        <w:rPr>
          <w:noProof/>
          <w:lang w:val="en-IE"/>
        </w:rPr>
        <w:t>in the public’s</w:t>
      </w:r>
      <w:r w:rsidRPr="00B356D4">
        <w:rPr>
          <w:noProof/>
          <w:lang w:val="en-IE"/>
        </w:rPr>
        <w:t xml:space="preserve"> interest. In addition to the recommendation to the Commission to explore </w:t>
      </w:r>
      <w:r w:rsidRPr="2D0A2D2A">
        <w:rPr>
          <w:noProof/>
          <w:lang w:val="en-IE"/>
        </w:rPr>
        <w:t xml:space="preserve">the option of </w:t>
      </w:r>
      <w:r w:rsidRPr="00B356D4">
        <w:rPr>
          <w:noProof/>
          <w:lang w:val="en-IE"/>
        </w:rPr>
        <w:t xml:space="preserve">a legal framework in this area, it presents several ways </w:t>
      </w:r>
      <w:r w:rsidRPr="2D0A2D2A">
        <w:rPr>
          <w:noProof/>
          <w:lang w:val="en-IE"/>
        </w:rPr>
        <w:t xml:space="preserve">of </w:t>
      </w:r>
      <w:r w:rsidRPr="07CA4B77">
        <w:rPr>
          <w:noProof/>
          <w:lang w:val="en-IE"/>
        </w:rPr>
        <w:t>encouraging</w:t>
      </w:r>
      <w:r w:rsidRPr="00B356D4">
        <w:rPr>
          <w:noProof/>
          <w:lang w:val="en-IE"/>
        </w:rPr>
        <w:t xml:space="preserve"> private companies to share their data. These include monetary and non-monetary incentives, for example tax incentives, investment of public funds to support the development of trusted technical tools and recognition schemes for data sharing.</w:t>
      </w:r>
      <w:r w:rsidRPr="00B356D4">
        <w:rPr>
          <w:b/>
          <w:bCs/>
          <w:noProof/>
          <w:lang w:val="en-IE"/>
        </w:rPr>
        <w:t xml:space="preserve"> </w:t>
      </w:r>
    </w:p>
    <w:p w14:paraId="03B78B2D" w14:textId="77777777" w:rsidR="0023412A" w:rsidRPr="00B356D4" w:rsidRDefault="0023412A" w:rsidP="000C36C5">
      <w:pPr>
        <w:pStyle w:val="Tiret0"/>
        <w:rPr>
          <w:rFonts w:eastAsia="Calibri"/>
          <w:b/>
          <w:bCs/>
          <w:noProof/>
          <w:szCs w:val="24"/>
          <w:lang w:val="en-IE"/>
        </w:rPr>
      </w:pPr>
      <w:r w:rsidRPr="0033171E">
        <w:rPr>
          <w:b/>
          <w:noProof/>
          <w:lang w:val="en-IE"/>
        </w:rPr>
        <w:t xml:space="preserve">Workshop on labels for / certification of providers of </w:t>
      </w:r>
      <w:r w:rsidRPr="00B356D4">
        <w:rPr>
          <w:b/>
          <w:noProof/>
          <w:lang w:val="en-IE"/>
        </w:rPr>
        <w:t>technical solutions for data exchange</w:t>
      </w:r>
      <w:r w:rsidRPr="00B356D4">
        <w:rPr>
          <w:noProof/>
          <w:lang w:val="en-IE"/>
        </w:rPr>
        <w:t xml:space="preserve">. Around one hundred participants from businesses (including SMEs), European institutions and academia attended this webinar on 12 May 2020. Its aim was to examine whether a labelling or certification scheme could boost the business uptake of data intermediaries by enhancing trust in the data ecosystem. </w:t>
      </w:r>
    </w:p>
    <w:p w14:paraId="3362FD0A" w14:textId="77777777" w:rsidR="0023412A" w:rsidRPr="00B356D4" w:rsidRDefault="0023412A" w:rsidP="000C36C5">
      <w:pPr>
        <w:pStyle w:val="Tiret0"/>
        <w:rPr>
          <w:rFonts w:eastAsia="Calibri"/>
          <w:b/>
          <w:noProof/>
          <w:lang w:val="en-IE"/>
        </w:rPr>
      </w:pPr>
      <w:r w:rsidRPr="0033171E">
        <w:rPr>
          <w:b/>
          <w:noProof/>
          <w:lang w:val="en-IE"/>
        </w:rPr>
        <w:t>Ten workshops organised between July and November 2019 involved more than 300 stakeholders and covered different sectors</w:t>
      </w:r>
      <w:r w:rsidRPr="00B356D4">
        <w:rPr>
          <w:noProof/>
          <w:lang w:val="en-IE"/>
        </w:rPr>
        <w:t xml:space="preserve">. </w:t>
      </w:r>
      <w:r w:rsidRPr="07CA4B77">
        <w:rPr>
          <w:noProof/>
          <w:lang w:val="en-IE"/>
        </w:rPr>
        <w:t>The workshops</w:t>
      </w:r>
      <w:r w:rsidRPr="00B356D4">
        <w:rPr>
          <w:noProof/>
          <w:lang w:val="en-IE"/>
        </w:rPr>
        <w:t xml:space="preserve"> discussed how the organisation of </w:t>
      </w:r>
      <w:r w:rsidRPr="00B356D4">
        <w:rPr>
          <w:b/>
          <w:noProof/>
          <w:lang w:val="en-IE"/>
        </w:rPr>
        <w:t>data sharing in certain areas</w:t>
      </w:r>
      <w:r w:rsidRPr="2D0A2D2A">
        <w:rPr>
          <w:b/>
          <w:bCs/>
          <w:noProof/>
          <w:lang w:val="en-IE"/>
        </w:rPr>
        <w:t>,</w:t>
      </w:r>
      <w:r w:rsidRPr="00B356D4">
        <w:rPr>
          <w:noProof/>
          <w:lang w:val="en-IE"/>
        </w:rPr>
        <w:t xml:space="preserve"> such as </w:t>
      </w:r>
      <w:r w:rsidRPr="2D0A2D2A">
        <w:rPr>
          <w:noProof/>
          <w:lang w:val="en-IE"/>
        </w:rPr>
        <w:t xml:space="preserve">the </w:t>
      </w:r>
      <w:r w:rsidRPr="00B356D4">
        <w:rPr>
          <w:noProof/>
          <w:lang w:val="en-IE"/>
        </w:rPr>
        <w:t xml:space="preserve">environment, agriculture, energy or </w:t>
      </w:r>
      <w:r w:rsidRPr="2D0A2D2A">
        <w:rPr>
          <w:noProof/>
          <w:lang w:val="en-IE"/>
        </w:rPr>
        <w:t>healthcare,</w:t>
      </w:r>
      <w:r w:rsidRPr="00B356D4">
        <w:rPr>
          <w:noProof/>
          <w:lang w:val="en-IE"/>
        </w:rPr>
        <w:t xml:space="preserve"> could benefit society as a whole, helping public actors to design better policies and improve public services, as well as private actors to produce services contributing to facing societal challenges. </w:t>
      </w:r>
    </w:p>
    <w:p w14:paraId="77922B3E" w14:textId="77777777" w:rsidR="0023412A" w:rsidRPr="00B356D4" w:rsidRDefault="0023412A" w:rsidP="000C36C5">
      <w:pPr>
        <w:pStyle w:val="Tiret0"/>
        <w:rPr>
          <w:rFonts w:eastAsia="Calibri"/>
          <w:b/>
          <w:bCs/>
          <w:noProof/>
          <w:lang w:val="en-IE"/>
        </w:rPr>
      </w:pPr>
      <w:r w:rsidRPr="00B356D4">
        <w:rPr>
          <w:b/>
          <w:bCs/>
          <w:noProof/>
          <w:lang w:val="en-IE"/>
        </w:rPr>
        <w:t xml:space="preserve">SME Panel consultation. </w:t>
      </w:r>
      <w:r w:rsidRPr="00B356D4">
        <w:rPr>
          <w:noProof/>
          <w:lang w:val="en-IE"/>
        </w:rPr>
        <w:t>This panel consultation, organised from October 2018 to January 2019, sought the views of SMEs on the Commission’s business-to-business data sharing principles and guidance issued in the Communication “</w:t>
      </w:r>
      <w:r w:rsidRPr="002D783C">
        <w:rPr>
          <w:i/>
          <w:noProof/>
          <w:lang w:val="en-IE"/>
        </w:rPr>
        <w:t>Towards a common European data space</w:t>
      </w:r>
      <w:r w:rsidRPr="00B356D4">
        <w:rPr>
          <w:noProof/>
        </w:rPr>
        <w:t>” and accompanying the Staff Working Document of 25 April 2018</w:t>
      </w:r>
      <w:r w:rsidRPr="00B356D4">
        <w:rPr>
          <w:rStyle w:val="FootnoteReference"/>
          <w:noProof/>
        </w:rPr>
        <w:footnoteReference w:id="51"/>
      </w:r>
      <w:r w:rsidRPr="00B356D4">
        <w:rPr>
          <w:noProof/>
          <w:lang w:val="en-IE"/>
        </w:rPr>
        <w:t>.</w:t>
      </w:r>
    </w:p>
    <w:p w14:paraId="3D91D5B8" w14:textId="612D185E" w:rsidR="0023412A" w:rsidRPr="00B356D4" w:rsidRDefault="0023412A" w:rsidP="000C36C5">
      <w:pPr>
        <w:pStyle w:val="Tiret0"/>
        <w:rPr>
          <w:rFonts w:eastAsia="Calibri"/>
          <w:b/>
          <w:noProof/>
          <w:lang w:val="en-IE"/>
        </w:rPr>
      </w:pPr>
      <w:r w:rsidRPr="0033171E">
        <w:rPr>
          <w:b/>
          <w:noProof/>
          <w:lang w:val="en-IE"/>
        </w:rPr>
        <w:t>The latest</w:t>
      </w:r>
      <w:r w:rsidRPr="00B356D4">
        <w:rPr>
          <w:noProof/>
          <w:lang w:val="en-IE"/>
        </w:rPr>
        <w:t xml:space="preserve"> </w:t>
      </w:r>
      <w:r w:rsidRPr="00B356D4">
        <w:rPr>
          <w:b/>
          <w:noProof/>
          <w:lang w:val="en-IE"/>
        </w:rPr>
        <w:t>Eurobarometer on the impact of digitisation</w:t>
      </w:r>
      <w:r w:rsidRPr="00B356D4">
        <w:rPr>
          <w:b/>
          <w:bCs/>
          <w:noProof/>
          <w:lang w:val="en-IE"/>
        </w:rPr>
        <w:t xml:space="preserve">. </w:t>
      </w:r>
      <w:r w:rsidRPr="00B356D4">
        <w:rPr>
          <w:noProof/>
          <w:lang w:val="en-IE"/>
        </w:rPr>
        <w:t xml:space="preserve">This general survey on the daily lives of Europeans includes questions on people’s control </w:t>
      </w:r>
      <w:r w:rsidRPr="07CA4B77">
        <w:rPr>
          <w:noProof/>
          <w:lang w:val="en-IE"/>
        </w:rPr>
        <w:t>over</w:t>
      </w:r>
      <w:r w:rsidRPr="00B356D4">
        <w:rPr>
          <w:noProof/>
          <w:lang w:val="en-IE"/>
        </w:rPr>
        <w:t xml:space="preserve"> and sharing of personal information. </w:t>
      </w:r>
      <w:r w:rsidRPr="07CA4B77">
        <w:rPr>
          <w:noProof/>
          <w:lang w:val="en-IE"/>
        </w:rPr>
        <w:t>Published</w:t>
      </w:r>
      <w:r w:rsidRPr="00B356D4">
        <w:rPr>
          <w:noProof/>
          <w:lang w:val="en-IE"/>
        </w:rPr>
        <w:t xml:space="preserve"> on 5 March 2020, </w:t>
      </w:r>
      <w:r w:rsidRPr="2D0A2D2A">
        <w:rPr>
          <w:noProof/>
          <w:lang w:val="en-IE"/>
        </w:rPr>
        <w:t xml:space="preserve">it </w:t>
      </w:r>
      <w:r w:rsidRPr="00B356D4">
        <w:rPr>
          <w:noProof/>
          <w:lang w:val="en-IE"/>
        </w:rPr>
        <w:t>provides information on the willingness of European citizens to share their personal information</w:t>
      </w:r>
      <w:r w:rsidR="0080572F">
        <w:rPr>
          <w:noProof/>
          <w:lang w:val="en-IE"/>
        </w:rPr>
        <w:t>, including</w:t>
      </w:r>
      <w:r w:rsidRPr="00B356D4">
        <w:rPr>
          <w:noProof/>
          <w:lang w:val="en-IE"/>
        </w:rPr>
        <w:t xml:space="preserve"> under which conditions.</w:t>
      </w:r>
    </w:p>
    <w:p w14:paraId="1EC0D8C6" w14:textId="77777777" w:rsidR="0023412A" w:rsidRPr="00B356D4" w:rsidRDefault="0023412A" w:rsidP="000C36C5">
      <w:pPr>
        <w:pStyle w:val="Tiret0"/>
        <w:rPr>
          <w:rFonts w:eastAsia="Calibri"/>
          <w:b/>
          <w:bCs/>
          <w:noProof/>
          <w:szCs w:val="24"/>
          <w:lang w:val="en-IE"/>
        </w:rPr>
      </w:pPr>
      <w:r w:rsidRPr="0033171E">
        <w:rPr>
          <w:b/>
          <w:noProof/>
          <w:lang w:val="en-IE"/>
        </w:rPr>
        <w:t>The</w:t>
      </w:r>
      <w:r w:rsidRPr="00B356D4">
        <w:rPr>
          <w:noProof/>
          <w:lang w:val="en-IE"/>
        </w:rPr>
        <w:t xml:space="preserve"> </w:t>
      </w:r>
      <w:r w:rsidRPr="00B356D4">
        <w:rPr>
          <w:b/>
          <w:noProof/>
          <w:lang w:val="en-IE"/>
        </w:rPr>
        <w:t>Opinion of the European Data Protection Supervisor</w:t>
      </w:r>
      <w:r w:rsidRPr="00B356D4">
        <w:rPr>
          <w:noProof/>
          <w:lang w:val="en-IE"/>
        </w:rPr>
        <w:t xml:space="preserve"> (EDPS) on</w:t>
      </w:r>
      <w:r w:rsidRPr="00B356D4">
        <w:rPr>
          <w:b/>
          <w:bCs/>
          <w:noProof/>
          <w:lang w:val="en-IE"/>
        </w:rPr>
        <w:t xml:space="preserve"> </w:t>
      </w:r>
      <w:r w:rsidRPr="00B356D4">
        <w:rPr>
          <w:bCs/>
          <w:noProof/>
          <w:lang w:val="en-IE"/>
        </w:rPr>
        <w:t>the European strategy for data</w:t>
      </w:r>
      <w:r w:rsidRPr="00B356D4">
        <w:rPr>
          <w:rStyle w:val="FootnoteReference"/>
          <w:noProof/>
          <w:lang w:val="en-IE"/>
        </w:rPr>
        <w:footnoteReference w:id="52"/>
      </w:r>
      <w:r w:rsidRPr="00B356D4">
        <w:rPr>
          <w:bCs/>
          <w:noProof/>
          <w:lang w:val="en-IE"/>
        </w:rPr>
        <w:t xml:space="preserve">. </w:t>
      </w:r>
      <w:r w:rsidRPr="00B356D4">
        <w:rPr>
          <w:noProof/>
          <w:lang w:val="en-IE"/>
        </w:rPr>
        <w:t>On 16 June 2020, the EDPS adopted Opinion 3/2020 on the European strategy for data. The EDPS welcomed the strategy, considering its implementation an opportunity to set an example for an alternative data economy model.</w:t>
      </w:r>
    </w:p>
    <w:p w14:paraId="6748F11B"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74567617" w14:textId="77777777" w:rsidR="0023412A" w:rsidRPr="00B356D4" w:rsidRDefault="0023412A" w:rsidP="0023412A">
      <w:pPr>
        <w:widowControl w:val="0"/>
        <w:spacing w:before="0" w:after="200"/>
        <w:rPr>
          <w:noProof/>
          <w:lang w:val="en-IE"/>
        </w:rPr>
      </w:pPr>
      <w:r w:rsidRPr="00B356D4">
        <w:rPr>
          <w:noProof/>
          <w:lang w:val="en-IE"/>
        </w:rPr>
        <w:t>This proposal is accompanied by an impact assessment</w:t>
      </w:r>
      <w:r w:rsidRPr="00B356D4">
        <w:rPr>
          <w:rStyle w:val="FootnoteReference"/>
          <w:rFonts w:eastAsia="Arial Unicode MS"/>
          <w:noProof/>
          <w:lang w:val="en-IE"/>
        </w:rPr>
        <w:footnoteReference w:id="53"/>
      </w:r>
      <w:r w:rsidRPr="00B356D4">
        <w:rPr>
          <w:noProof/>
          <w:lang w:val="en-IE"/>
        </w:rPr>
        <w:t xml:space="preserve">, submitted to the Regulatory Scrutiny Board (RSB) on 29 September 2021 and 13 December 2021. </w:t>
      </w:r>
      <w:r w:rsidRPr="2D0A2D2A">
        <w:rPr>
          <w:rFonts w:eastAsia="Times New Roman"/>
          <w:noProof/>
          <w:lang w:val="en-IE"/>
        </w:rPr>
        <w:t>On 21 January 2022, the Board issued a positive opinion subject to reservations.</w:t>
      </w:r>
    </w:p>
    <w:p w14:paraId="33FD5607"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18DA262F" w14:textId="1246C459" w:rsidR="0023412A" w:rsidRPr="00B356D4" w:rsidRDefault="0023412A" w:rsidP="0023412A">
      <w:pPr>
        <w:spacing w:before="0" w:after="200"/>
        <w:rPr>
          <w:noProof/>
        </w:rPr>
      </w:pPr>
      <w:r w:rsidRPr="00B356D4">
        <w:rPr>
          <w:noProof/>
        </w:rPr>
        <w:t xml:space="preserve">By clarifying that the </w:t>
      </w:r>
      <w:r w:rsidRPr="00B356D4">
        <w:rPr>
          <w:i/>
          <w:noProof/>
        </w:rPr>
        <w:t>sui generis</w:t>
      </w:r>
      <w:r w:rsidRPr="00B356D4">
        <w:rPr>
          <w:noProof/>
        </w:rPr>
        <w:t xml:space="preserve"> right </w:t>
      </w:r>
      <w:r w:rsidRPr="00CD32CA">
        <w:rPr>
          <w:noProof/>
        </w:rPr>
        <w:t xml:space="preserve">under the Database Directive (Directive 96/9/EC) </w:t>
      </w:r>
      <w:r>
        <w:rPr>
          <w:noProof/>
        </w:rPr>
        <w:t xml:space="preserve">does not apply to databases containing data generated or obtained by the use of products </w:t>
      </w:r>
      <w:r w:rsidR="009E26A7">
        <w:rPr>
          <w:noProof/>
        </w:rPr>
        <w:t xml:space="preserve">or </w:t>
      </w:r>
      <w:r>
        <w:rPr>
          <w:noProof/>
        </w:rPr>
        <w:t xml:space="preserve">related services, the proposal ensures that the </w:t>
      </w:r>
      <w:r w:rsidRPr="009D68D8">
        <w:rPr>
          <w:i/>
          <w:noProof/>
        </w:rPr>
        <w:t>sui generis</w:t>
      </w:r>
      <w:r>
        <w:rPr>
          <w:noProof/>
        </w:rPr>
        <w:t xml:space="preserve"> right will not interfere with rights for businesses and consumers to access and use data and to share data provided for in this Regulation</w:t>
      </w:r>
      <w:r w:rsidRPr="00CD32CA">
        <w:rPr>
          <w:noProof/>
        </w:rPr>
        <w:t xml:space="preserve">. </w:t>
      </w:r>
      <w:r w:rsidRPr="00B356D4">
        <w:rPr>
          <w:noProof/>
        </w:rPr>
        <w:t xml:space="preserve">The </w:t>
      </w:r>
      <w:r w:rsidRPr="00CD32CA">
        <w:rPr>
          <w:noProof/>
        </w:rPr>
        <w:t xml:space="preserve">clarification will align the application of the </w:t>
      </w:r>
      <w:r w:rsidRPr="009D68D8">
        <w:rPr>
          <w:i/>
          <w:noProof/>
        </w:rPr>
        <w:t>sui generis</w:t>
      </w:r>
      <w:r w:rsidRPr="00CD32CA">
        <w:rPr>
          <w:noProof/>
        </w:rPr>
        <w:t xml:space="preserve"> right with the aim of the legislative proposal and</w:t>
      </w:r>
      <w:r w:rsidRPr="00B356D4">
        <w:rPr>
          <w:noProof/>
        </w:rPr>
        <w:t xml:space="preserve"> have a positive impact on the uniform application of rules in the </w:t>
      </w:r>
      <w:r>
        <w:rPr>
          <w:noProof/>
        </w:rPr>
        <w:t xml:space="preserve">internal </w:t>
      </w:r>
      <w:r w:rsidRPr="00B356D4">
        <w:rPr>
          <w:noProof/>
        </w:rPr>
        <w:t xml:space="preserve">market and for the data economy. </w:t>
      </w:r>
    </w:p>
    <w:p w14:paraId="03F7922C" w14:textId="77777777" w:rsidR="0023412A" w:rsidRPr="00B356D4" w:rsidRDefault="0023412A" w:rsidP="0023412A">
      <w:pPr>
        <w:spacing w:before="0" w:after="200"/>
        <w:rPr>
          <w:noProof/>
        </w:rPr>
      </w:pPr>
      <w:r w:rsidRPr="2D0A2D2A">
        <w:rPr>
          <w:noProof/>
        </w:rPr>
        <w:t>By facilitating data access and use, the Data Act should reduce burden</w:t>
      </w:r>
      <w:r>
        <w:rPr>
          <w:noProof/>
        </w:rPr>
        <w:t>s, both in the public sector and among businesses,</w:t>
      </w:r>
      <w:r w:rsidRPr="2D0A2D2A">
        <w:rPr>
          <w:noProof/>
        </w:rPr>
        <w:t xml:space="preserve"> mainly as a result of lowering transaction costs and in terms of efficiency gains</w:t>
      </w:r>
      <w:r w:rsidRPr="00B356D4">
        <w:rPr>
          <w:noProof/>
          <w:szCs w:val="24"/>
        </w:rPr>
        <w:t xml:space="preserve">. </w:t>
      </w:r>
      <w:r>
        <w:rPr>
          <w:noProof/>
        </w:rPr>
        <w:t>In the scope of the ‘one in, one out’ approach</w:t>
      </w:r>
      <w:r>
        <w:rPr>
          <w:rStyle w:val="FootnoteReference"/>
          <w:noProof/>
          <w:szCs w:val="24"/>
        </w:rPr>
        <w:footnoteReference w:id="54"/>
      </w:r>
      <w:r>
        <w:rPr>
          <w:noProof/>
        </w:rPr>
        <w:t xml:space="preserve">, which aims to minimise burdens for citizens and businesses related to the implications and costs of applying legislation, the Data Act’s estimated net administrative burden, based on the Impact Assessment, accounts for benefits that are likely not only to offset but to far outweigh the associated administrative costs. </w:t>
      </w:r>
    </w:p>
    <w:p w14:paraId="4BAF6532"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22CA0662" w14:textId="77777777" w:rsidR="0023412A" w:rsidRDefault="0023412A" w:rsidP="0023412A">
      <w:pPr>
        <w:pStyle w:val="Text1"/>
        <w:widowControl w:val="0"/>
        <w:spacing w:before="0" w:after="200"/>
        <w:ind w:left="0"/>
        <w:rPr>
          <w:noProof/>
          <w:lang w:val="en-IE" w:eastAsia="en-GB"/>
        </w:rPr>
      </w:pPr>
      <w:r>
        <w:rPr>
          <w:noProof/>
          <w:lang w:val="en-IE" w:eastAsia="en-GB"/>
        </w:rPr>
        <w:t>The proposal is in compliance with the Union legislation on the protection of personal data and the privacy of communications and terminal equipment</w:t>
      </w:r>
      <w:r w:rsidRPr="00B356D4">
        <w:rPr>
          <w:noProof/>
          <w:lang w:val="en-IE" w:eastAsia="en-GB"/>
        </w:rPr>
        <w:t xml:space="preserve"> </w:t>
      </w:r>
      <w:r>
        <w:rPr>
          <w:noProof/>
          <w:lang w:val="en-IE" w:eastAsia="en-GB"/>
        </w:rPr>
        <w:t xml:space="preserve">and </w:t>
      </w:r>
      <w:r w:rsidRPr="0E4728CF">
        <w:rPr>
          <w:noProof/>
          <w:lang w:val="en-IE" w:eastAsia="en-GB"/>
        </w:rPr>
        <w:t xml:space="preserve">envisages </w:t>
      </w:r>
      <w:r>
        <w:rPr>
          <w:noProof/>
          <w:lang w:val="en-IE" w:eastAsia="en-GB"/>
        </w:rPr>
        <w:t>additional safeguards where access to personal data can be concerned</w:t>
      </w:r>
      <w:r w:rsidRPr="0E4728CF">
        <w:rPr>
          <w:noProof/>
          <w:lang w:val="en-IE" w:eastAsia="en-GB"/>
        </w:rPr>
        <w:t>,</w:t>
      </w:r>
      <w:r>
        <w:rPr>
          <w:noProof/>
          <w:lang w:val="en-IE" w:eastAsia="en-GB"/>
        </w:rPr>
        <w:t xml:space="preserve"> as well as </w:t>
      </w:r>
      <w:r w:rsidRPr="0E4728CF">
        <w:rPr>
          <w:noProof/>
          <w:lang w:val="en-IE" w:eastAsia="en-GB"/>
        </w:rPr>
        <w:t xml:space="preserve">in cases subject to </w:t>
      </w:r>
      <w:r>
        <w:rPr>
          <w:noProof/>
          <w:lang w:val="en-IE" w:eastAsia="en-GB"/>
        </w:rPr>
        <w:t>intellectual property rights.</w:t>
      </w:r>
    </w:p>
    <w:p w14:paraId="3B63A190" w14:textId="38F3E978" w:rsidR="0023412A" w:rsidRDefault="0023412A" w:rsidP="0023412A">
      <w:pPr>
        <w:pStyle w:val="Text1"/>
        <w:widowControl w:val="0"/>
        <w:spacing w:before="0" w:after="200"/>
        <w:ind w:left="0"/>
        <w:rPr>
          <w:noProof/>
          <w:lang w:val="en-IE" w:eastAsia="en-GB"/>
        </w:rPr>
      </w:pPr>
      <w:r w:rsidRPr="00A00FF0">
        <w:rPr>
          <w:noProof/>
          <w:lang w:val="en-IE" w:eastAsia="en-GB"/>
        </w:rPr>
        <w:t>In Chapter II, a high</w:t>
      </w:r>
      <w:r>
        <w:rPr>
          <w:noProof/>
          <w:lang w:val="en-IE" w:eastAsia="en-GB"/>
        </w:rPr>
        <w:t xml:space="preserve"> level of consumer protection is reinforced with the new right to access user generated data in situations previously not covered by Union law. The right to use and dispose of lawfully acquired possessions is reinforced with a right to access data generated from the use of an </w:t>
      </w:r>
      <w:r w:rsidR="007005B0">
        <w:rPr>
          <w:noProof/>
          <w:lang w:val="en-IE" w:eastAsia="en-GB"/>
        </w:rPr>
        <w:t>Internet of Things</w:t>
      </w:r>
      <w:r>
        <w:rPr>
          <w:noProof/>
          <w:lang w:val="en-IE" w:eastAsia="en-GB"/>
        </w:rPr>
        <w:t xml:space="preserve"> object. </w:t>
      </w:r>
      <w:r w:rsidRPr="0E4728CF">
        <w:rPr>
          <w:noProof/>
          <w:lang w:val="en-IE" w:eastAsia="en-GB"/>
        </w:rPr>
        <w:t xml:space="preserve">This way, </w:t>
      </w:r>
      <w:r w:rsidRPr="07CA4B77">
        <w:rPr>
          <w:noProof/>
          <w:lang w:val="en-IE" w:eastAsia="en-GB"/>
        </w:rPr>
        <w:t>the</w:t>
      </w:r>
      <w:r>
        <w:rPr>
          <w:noProof/>
          <w:lang w:val="en-IE" w:eastAsia="en-GB"/>
        </w:rPr>
        <w:t xml:space="preserve"> owner may benefit from </w:t>
      </w:r>
      <w:r w:rsidRPr="0E4728CF">
        <w:rPr>
          <w:noProof/>
          <w:lang w:val="en-IE" w:eastAsia="en-GB"/>
        </w:rPr>
        <w:t xml:space="preserve">a </w:t>
      </w:r>
      <w:r w:rsidRPr="07CA4B77">
        <w:rPr>
          <w:noProof/>
          <w:lang w:val="en-IE" w:eastAsia="en-GB"/>
        </w:rPr>
        <w:t>better</w:t>
      </w:r>
      <w:r>
        <w:rPr>
          <w:noProof/>
          <w:lang w:val="en-IE" w:eastAsia="en-GB"/>
        </w:rPr>
        <w:t xml:space="preserve"> user experience and a wider range of</w:t>
      </w:r>
      <w:r w:rsidRPr="4E127D54">
        <w:rPr>
          <w:noProof/>
          <w:lang w:val="en-IE" w:eastAsia="en-GB"/>
        </w:rPr>
        <w:t xml:space="preserve">, </w:t>
      </w:r>
      <w:r>
        <w:rPr>
          <w:noProof/>
          <w:lang w:val="en-IE" w:eastAsia="en-GB"/>
        </w:rPr>
        <w:t>for example</w:t>
      </w:r>
      <w:r w:rsidRPr="4E127D54">
        <w:rPr>
          <w:noProof/>
          <w:lang w:val="en-IE" w:eastAsia="en-GB"/>
        </w:rPr>
        <w:t>,</w:t>
      </w:r>
      <w:r>
        <w:rPr>
          <w:noProof/>
          <w:lang w:val="en-IE" w:eastAsia="en-GB"/>
        </w:rPr>
        <w:t xml:space="preserve"> repair and maintenance services.</w:t>
      </w:r>
      <w:r w:rsidR="009E26A7">
        <w:rPr>
          <w:noProof/>
          <w:lang w:val="en-IE" w:eastAsia="en-GB"/>
        </w:rPr>
        <w:t xml:space="preserve"> In the context of consumer protection, the rights of children as vulnerable consumers deserve specific attention and the rules of the Data Act will contribute to clarity about data access and use situations. </w:t>
      </w:r>
    </w:p>
    <w:p w14:paraId="7839E17C" w14:textId="49698399" w:rsidR="0023412A" w:rsidRDefault="0023412A" w:rsidP="0023412A">
      <w:pPr>
        <w:pStyle w:val="Text1"/>
        <w:widowControl w:val="0"/>
        <w:spacing w:before="0" w:after="200"/>
        <w:ind w:left="0"/>
        <w:rPr>
          <w:noProof/>
          <w:lang w:val="en-IE" w:eastAsia="en-GB"/>
        </w:rPr>
      </w:pPr>
      <w:r>
        <w:rPr>
          <w:noProof/>
          <w:lang w:val="en-IE" w:eastAsia="en-GB"/>
        </w:rPr>
        <w:t xml:space="preserve">The </w:t>
      </w:r>
      <w:r w:rsidR="007005B0">
        <w:rPr>
          <w:noProof/>
          <w:lang w:val="en-IE" w:eastAsia="en-GB"/>
        </w:rPr>
        <w:t>Internet of Things</w:t>
      </w:r>
      <w:r>
        <w:rPr>
          <w:noProof/>
          <w:lang w:val="en-IE" w:eastAsia="en-GB"/>
        </w:rPr>
        <w:t xml:space="preserve"> data access right for third parties upon the user’s request limits the freedom to conduct a business and </w:t>
      </w:r>
      <w:r w:rsidRPr="0E4728CF">
        <w:rPr>
          <w:noProof/>
          <w:lang w:val="en-IE" w:eastAsia="en-GB"/>
        </w:rPr>
        <w:t xml:space="preserve">the </w:t>
      </w:r>
      <w:r>
        <w:rPr>
          <w:noProof/>
          <w:lang w:val="en-IE" w:eastAsia="en-GB"/>
        </w:rPr>
        <w:t xml:space="preserve">freedom of contract of the manufacturer or designer of a product </w:t>
      </w:r>
      <w:r w:rsidR="009E26A7">
        <w:rPr>
          <w:noProof/>
          <w:lang w:val="en-IE" w:eastAsia="en-GB"/>
        </w:rPr>
        <w:t xml:space="preserve">or </w:t>
      </w:r>
      <w:r>
        <w:rPr>
          <w:noProof/>
          <w:lang w:val="en-IE" w:eastAsia="en-GB"/>
        </w:rPr>
        <w:t>related service. The limitation is justified</w:t>
      </w:r>
      <w:r w:rsidRPr="0E4728CF">
        <w:rPr>
          <w:noProof/>
          <w:lang w:val="en-IE" w:eastAsia="en-GB"/>
        </w:rPr>
        <w:t xml:space="preserve"> in order</w:t>
      </w:r>
      <w:r>
        <w:rPr>
          <w:noProof/>
          <w:lang w:val="en-IE" w:eastAsia="en-GB"/>
        </w:rPr>
        <w:t xml:space="preserve"> to enhance consumer protection, in particular to promote consumer’s economic interests. The manufacturer or designer of a product </w:t>
      </w:r>
      <w:r w:rsidR="009E26A7">
        <w:rPr>
          <w:noProof/>
          <w:lang w:val="en-IE" w:eastAsia="en-GB"/>
        </w:rPr>
        <w:t xml:space="preserve">or </w:t>
      </w:r>
      <w:r>
        <w:rPr>
          <w:noProof/>
          <w:lang w:val="en-IE" w:eastAsia="en-GB"/>
        </w:rPr>
        <w:t xml:space="preserve">related service typically has exclusive control over the use of data generated by the use of a product </w:t>
      </w:r>
      <w:r w:rsidR="009E26A7">
        <w:rPr>
          <w:noProof/>
          <w:lang w:val="en-IE" w:eastAsia="en-GB"/>
        </w:rPr>
        <w:t xml:space="preserve">or </w:t>
      </w:r>
      <w:r>
        <w:rPr>
          <w:noProof/>
          <w:lang w:val="en-IE" w:eastAsia="en-GB"/>
        </w:rPr>
        <w:t xml:space="preserve">related service, which contributes to </w:t>
      </w:r>
      <w:r w:rsidRPr="4E127D54">
        <w:rPr>
          <w:noProof/>
          <w:lang w:val="en-IE" w:eastAsia="en-GB"/>
        </w:rPr>
        <w:t>lock</w:t>
      </w:r>
      <w:r>
        <w:rPr>
          <w:noProof/>
          <w:lang w:val="en-IE" w:eastAsia="en-GB"/>
        </w:rPr>
        <w:t xml:space="preserve">-in effects and hinders market entry for players offering aftermarket services. </w:t>
      </w:r>
      <w:r w:rsidRPr="4E127D54">
        <w:rPr>
          <w:noProof/>
          <w:lang w:val="en-IE" w:eastAsia="en-GB"/>
        </w:rPr>
        <w:t xml:space="preserve">The </w:t>
      </w:r>
      <w:r w:rsidR="007005B0">
        <w:rPr>
          <w:noProof/>
          <w:lang w:val="en-IE" w:eastAsia="en-GB"/>
        </w:rPr>
        <w:t>Internet of Things</w:t>
      </w:r>
      <w:r>
        <w:rPr>
          <w:noProof/>
          <w:lang w:val="en-IE" w:eastAsia="en-GB"/>
        </w:rPr>
        <w:t xml:space="preserve"> data access right addresses this situation by further </w:t>
      </w:r>
      <w:r w:rsidRPr="4E127D54">
        <w:rPr>
          <w:noProof/>
          <w:lang w:val="en-IE" w:eastAsia="en-GB"/>
        </w:rPr>
        <w:t>empowering</w:t>
      </w:r>
      <w:r>
        <w:rPr>
          <w:noProof/>
          <w:lang w:val="en-IE" w:eastAsia="en-GB"/>
        </w:rPr>
        <w:t xml:space="preserve"> consumers using products </w:t>
      </w:r>
      <w:r w:rsidR="009E26A7">
        <w:rPr>
          <w:noProof/>
          <w:lang w:val="en-IE" w:eastAsia="en-GB"/>
        </w:rPr>
        <w:t xml:space="preserve">or </w:t>
      </w:r>
      <w:r>
        <w:rPr>
          <w:noProof/>
          <w:lang w:val="en-IE" w:eastAsia="en-GB"/>
        </w:rPr>
        <w:t xml:space="preserve">related services to meaningfully control how the data generated by their use of the product </w:t>
      </w:r>
      <w:r w:rsidR="009E26A7">
        <w:rPr>
          <w:noProof/>
          <w:lang w:val="en-IE" w:eastAsia="en-GB"/>
        </w:rPr>
        <w:t xml:space="preserve">or </w:t>
      </w:r>
      <w:r>
        <w:rPr>
          <w:noProof/>
          <w:lang w:val="en-IE" w:eastAsia="en-GB"/>
        </w:rPr>
        <w:t xml:space="preserve">related service is used and enabling innovation by more market players. Consumers can therefore benefit from a wider choice in aftermarket services, such as repair and maintenance, and no longer depend on only the manufacturer’s services. </w:t>
      </w:r>
      <w:r w:rsidRPr="4E127D54">
        <w:rPr>
          <w:noProof/>
          <w:lang w:val="en-IE" w:eastAsia="en-GB"/>
        </w:rPr>
        <w:t>The</w:t>
      </w:r>
      <w:r w:rsidDel="004731C2">
        <w:rPr>
          <w:noProof/>
          <w:lang w:val="en-IE" w:eastAsia="en-GB"/>
        </w:rPr>
        <w:t xml:space="preserve"> </w:t>
      </w:r>
      <w:r>
        <w:rPr>
          <w:noProof/>
          <w:lang w:val="en-IE" w:eastAsia="en-GB"/>
        </w:rPr>
        <w:t>proposal facilitates the portability of the user’s data to third parties and thereby allows for a competitive offer of aftermarket services</w:t>
      </w:r>
      <w:r w:rsidR="009E26A7">
        <w:rPr>
          <w:noProof/>
          <w:lang w:val="en-IE" w:eastAsia="en-GB"/>
        </w:rPr>
        <w:t>, as well as broader data-based innovation and the development of products or services unrelated to those initially purchas</w:t>
      </w:r>
      <w:r w:rsidR="00322847">
        <w:rPr>
          <w:noProof/>
          <w:lang w:val="en-IE" w:eastAsia="en-GB"/>
        </w:rPr>
        <w:t>ed or subscribed to by the user</w:t>
      </w:r>
      <w:r>
        <w:rPr>
          <w:noProof/>
          <w:lang w:val="en-IE" w:eastAsia="en-GB"/>
        </w:rPr>
        <w:t>.</w:t>
      </w:r>
    </w:p>
    <w:p w14:paraId="5F8C3985" w14:textId="2B752998" w:rsidR="0023412A" w:rsidRDefault="0023412A" w:rsidP="0023412A">
      <w:pPr>
        <w:pStyle w:val="Text1"/>
        <w:widowControl w:val="0"/>
        <w:spacing w:before="0" w:after="200"/>
        <w:ind w:left="0"/>
        <w:rPr>
          <w:noProof/>
          <w:lang w:val="en-IE" w:eastAsia="en-GB"/>
        </w:rPr>
      </w:pPr>
      <w:r>
        <w:rPr>
          <w:noProof/>
          <w:lang w:val="en-IE" w:eastAsia="en-GB"/>
        </w:rPr>
        <w:t>The limitation of the manufacturer’s or designer’s freedom to contract and conduct a business is proportionate</w:t>
      </w:r>
      <w:r w:rsidR="0080572F">
        <w:rPr>
          <w:noProof/>
          <w:lang w:val="en-IE" w:eastAsia="en-GB"/>
        </w:rPr>
        <w:t xml:space="preserve"> and </w:t>
      </w:r>
      <w:r>
        <w:rPr>
          <w:noProof/>
          <w:lang w:val="en-IE" w:eastAsia="en-GB"/>
        </w:rPr>
        <w:t>mitigated by the unaffected ability of the manufacturer or designer to also use the data</w:t>
      </w:r>
      <w:r w:rsidR="0080572F">
        <w:rPr>
          <w:noProof/>
          <w:lang w:val="en-IE" w:eastAsia="en-GB"/>
        </w:rPr>
        <w:t>, insofar it is</w:t>
      </w:r>
      <w:r>
        <w:rPr>
          <w:noProof/>
          <w:lang w:val="en-IE" w:eastAsia="en-GB"/>
        </w:rPr>
        <w:t xml:space="preserve"> in line with the applicable legislation and the agreement with the user</w:t>
      </w:r>
      <w:r w:rsidR="0080572F">
        <w:rPr>
          <w:noProof/>
          <w:lang w:val="en-IE" w:eastAsia="en-GB"/>
        </w:rPr>
        <w:t>. Furthermore, the manufacturer or designer will also benefit from</w:t>
      </w:r>
      <w:r>
        <w:rPr>
          <w:noProof/>
          <w:lang w:val="en-IE" w:eastAsia="en-GB"/>
        </w:rPr>
        <w:t xml:space="preserve"> the right to require compensation for enabling third party access. The access right is without prejudice to the existing access and portability rights for data subjects under the GDPR. Additional safeguards ensure a proportionate use of the data by the third party.</w:t>
      </w:r>
    </w:p>
    <w:p w14:paraId="21879DAD" w14:textId="6FEA6024" w:rsidR="0023412A" w:rsidRDefault="0023412A" w:rsidP="0023412A">
      <w:pPr>
        <w:pStyle w:val="Text1"/>
        <w:widowControl w:val="0"/>
        <w:spacing w:before="0" w:after="200"/>
        <w:ind w:left="0"/>
        <w:rPr>
          <w:noProof/>
          <w:lang w:val="en-IE" w:eastAsia="en-GB"/>
        </w:rPr>
      </w:pPr>
      <w:r w:rsidRPr="00A00FF0">
        <w:rPr>
          <w:noProof/>
          <w:lang w:val="en-IE" w:eastAsia="en-GB"/>
        </w:rPr>
        <w:t>In Chapter IV, a</w:t>
      </w:r>
      <w:r w:rsidRPr="00C1497C">
        <w:rPr>
          <w:noProof/>
          <w:lang w:val="en-IE" w:eastAsia="en-GB"/>
        </w:rPr>
        <w:t xml:space="preserve"> fair and effective system of protection against </w:t>
      </w:r>
      <w:r>
        <w:rPr>
          <w:noProof/>
          <w:lang w:val="en-IE" w:eastAsia="en-GB"/>
        </w:rPr>
        <w:t xml:space="preserve">unfair contractual </w:t>
      </w:r>
      <w:r w:rsidRPr="2FA46F90">
        <w:rPr>
          <w:noProof/>
          <w:lang w:val="en-IE" w:eastAsia="en-GB"/>
        </w:rPr>
        <w:t xml:space="preserve">terms </w:t>
      </w:r>
      <w:r>
        <w:rPr>
          <w:noProof/>
          <w:lang w:val="en-IE" w:eastAsia="en-GB"/>
        </w:rPr>
        <w:t>in data sharing</w:t>
      </w:r>
      <w:r w:rsidRPr="00C1497C">
        <w:rPr>
          <w:noProof/>
          <w:lang w:val="en-IE" w:eastAsia="en-GB"/>
        </w:rPr>
        <w:t xml:space="preserve"> will contribute to </w:t>
      </w:r>
      <w:r>
        <w:rPr>
          <w:noProof/>
          <w:lang w:val="en-IE" w:eastAsia="en-GB"/>
        </w:rPr>
        <w:t>micro, small or medium</w:t>
      </w:r>
      <w:r w:rsidRPr="2FA46F90">
        <w:rPr>
          <w:noProof/>
          <w:lang w:val="en-IE" w:eastAsia="en-GB"/>
        </w:rPr>
        <w:t>-sized</w:t>
      </w:r>
      <w:r>
        <w:rPr>
          <w:noProof/>
          <w:lang w:val="en-IE" w:eastAsia="en-GB"/>
        </w:rPr>
        <w:t xml:space="preserve"> enterprises</w:t>
      </w:r>
      <w:r w:rsidRPr="2FA46F90">
        <w:rPr>
          <w:noProof/>
          <w:lang w:val="en-IE" w:eastAsia="en-GB"/>
        </w:rPr>
        <w:t>’</w:t>
      </w:r>
      <w:r>
        <w:rPr>
          <w:noProof/>
          <w:lang w:val="en-IE" w:eastAsia="en-GB"/>
        </w:rPr>
        <w:t xml:space="preserve"> </w:t>
      </w:r>
      <w:r w:rsidRPr="00C1497C">
        <w:rPr>
          <w:noProof/>
          <w:lang w:val="en-IE" w:eastAsia="en-GB"/>
        </w:rPr>
        <w:t>ability to conduct a business</w:t>
      </w:r>
      <w:r>
        <w:rPr>
          <w:noProof/>
          <w:lang w:val="en-IE" w:eastAsia="en-GB"/>
        </w:rPr>
        <w:t>. Th</w:t>
      </w:r>
      <w:r w:rsidRPr="2FA46F90">
        <w:rPr>
          <w:noProof/>
          <w:lang w:val="en-IE" w:eastAsia="en-GB"/>
        </w:rPr>
        <w:t>is</w:t>
      </w:r>
      <w:r>
        <w:rPr>
          <w:noProof/>
          <w:lang w:val="en-IE" w:eastAsia="en-GB"/>
        </w:rPr>
        <w:t xml:space="preserve"> provision restricts the contractual freedom of companies in the scope to a limited extent, as it only applies to unfair contractual terms related to data access and use unilaterally imposed by one </w:t>
      </w:r>
      <w:r w:rsidRPr="2FA46F90">
        <w:rPr>
          <w:noProof/>
          <w:lang w:val="en-IE" w:eastAsia="en-GB"/>
        </w:rPr>
        <w:t xml:space="preserve">contractual </w:t>
      </w:r>
      <w:r>
        <w:rPr>
          <w:noProof/>
          <w:lang w:val="en-IE" w:eastAsia="en-GB"/>
        </w:rPr>
        <w:t>party on a</w:t>
      </w:r>
      <w:r w:rsidRPr="2FA46F90">
        <w:rPr>
          <w:noProof/>
          <w:lang w:val="en-IE" w:eastAsia="en-GB"/>
        </w:rPr>
        <w:t xml:space="preserve"> micro, small </w:t>
      </w:r>
      <w:r w:rsidRPr="33FDCCE6">
        <w:rPr>
          <w:noProof/>
          <w:lang w:val="en-IE" w:eastAsia="en-GB"/>
        </w:rPr>
        <w:t>or medium</w:t>
      </w:r>
      <w:r w:rsidRPr="2FA46F90">
        <w:rPr>
          <w:noProof/>
          <w:lang w:val="en-IE" w:eastAsia="en-GB"/>
        </w:rPr>
        <w:t>-sized</w:t>
      </w:r>
      <w:r>
        <w:rPr>
          <w:noProof/>
          <w:lang w:val="en-IE" w:eastAsia="en-GB"/>
        </w:rPr>
        <w:t xml:space="preserve"> enterprise.</w:t>
      </w:r>
      <w:r w:rsidRPr="00030F68">
        <w:rPr>
          <w:noProof/>
        </w:rPr>
        <w:t xml:space="preserve"> </w:t>
      </w:r>
      <w:r>
        <w:rPr>
          <w:noProof/>
        </w:rPr>
        <w:t xml:space="preserve">This is justified as </w:t>
      </w:r>
      <w:r>
        <w:rPr>
          <w:noProof/>
          <w:lang w:val="en-IE" w:eastAsia="en-GB"/>
        </w:rPr>
        <w:t xml:space="preserve">SMEs </w:t>
      </w:r>
      <w:r w:rsidRPr="00544375">
        <w:rPr>
          <w:noProof/>
          <w:lang w:val="en-IE" w:eastAsia="en-GB"/>
        </w:rPr>
        <w:t xml:space="preserve">are typically </w:t>
      </w:r>
      <w:r>
        <w:rPr>
          <w:noProof/>
          <w:lang w:val="en-IE" w:eastAsia="en-GB"/>
        </w:rPr>
        <w:t>in a weaker bargaining position and often left with no other choice than to accept ‘take it or leave it’ contract</w:t>
      </w:r>
      <w:r w:rsidR="000D18D5">
        <w:rPr>
          <w:noProof/>
          <w:lang w:val="en-IE" w:eastAsia="en-GB"/>
        </w:rPr>
        <w:t>ual</w:t>
      </w:r>
      <w:r>
        <w:rPr>
          <w:noProof/>
          <w:lang w:val="en-IE" w:eastAsia="en-GB"/>
        </w:rPr>
        <w:t xml:space="preserve"> terms. The contractual freedom largely remains unaffected as only excessive and abusive </w:t>
      </w:r>
      <w:r w:rsidRPr="2FA46F90">
        <w:rPr>
          <w:noProof/>
          <w:lang w:val="en-IE" w:eastAsia="en-GB"/>
        </w:rPr>
        <w:t xml:space="preserve">terms </w:t>
      </w:r>
      <w:r>
        <w:rPr>
          <w:noProof/>
          <w:lang w:val="en-IE" w:eastAsia="en-GB"/>
        </w:rPr>
        <w:t xml:space="preserve">are invalidated, and the concluded contract, if possible, </w:t>
      </w:r>
      <w:r w:rsidRPr="008734FE">
        <w:rPr>
          <w:noProof/>
          <w:lang w:val="en-IE" w:eastAsia="en-GB"/>
        </w:rPr>
        <w:t>remain</w:t>
      </w:r>
      <w:r>
        <w:rPr>
          <w:noProof/>
          <w:lang w:val="en-IE" w:eastAsia="en-GB"/>
        </w:rPr>
        <w:t>s</w:t>
      </w:r>
      <w:r w:rsidRPr="008734FE">
        <w:rPr>
          <w:noProof/>
          <w:lang w:val="en-IE" w:eastAsia="en-GB"/>
        </w:rPr>
        <w:t xml:space="preserve"> va</w:t>
      </w:r>
      <w:r>
        <w:rPr>
          <w:noProof/>
          <w:lang w:val="en-IE" w:eastAsia="en-GB"/>
        </w:rPr>
        <w:t xml:space="preserve">lid without the unfair </w:t>
      </w:r>
      <w:r w:rsidRPr="2FA46F90">
        <w:rPr>
          <w:noProof/>
          <w:lang w:val="en-IE" w:eastAsia="en-GB"/>
        </w:rPr>
        <w:t>terms</w:t>
      </w:r>
      <w:r>
        <w:rPr>
          <w:noProof/>
          <w:lang w:val="en-IE" w:eastAsia="en-GB"/>
        </w:rPr>
        <w:t>. Furthermore, the parties can still individually negotiate a specific contract</w:t>
      </w:r>
      <w:r w:rsidRPr="2FA46F90">
        <w:rPr>
          <w:noProof/>
          <w:lang w:val="en-IE" w:eastAsia="en-GB"/>
        </w:rPr>
        <w:t>ual</w:t>
      </w:r>
      <w:r>
        <w:rPr>
          <w:noProof/>
          <w:lang w:val="en-IE" w:eastAsia="en-GB"/>
        </w:rPr>
        <w:t xml:space="preserve"> term</w:t>
      </w:r>
      <w:r>
        <w:rPr>
          <w:rStyle w:val="FootnoteReference"/>
          <w:noProof/>
          <w:lang w:val="en-IE" w:eastAsia="en-GB"/>
        </w:rPr>
        <w:footnoteReference w:id="55"/>
      </w:r>
      <w:r w:rsidR="00322847">
        <w:rPr>
          <w:noProof/>
          <w:lang w:val="en-IE" w:eastAsia="en-GB"/>
        </w:rPr>
        <w:t>.</w:t>
      </w:r>
      <w:r>
        <w:rPr>
          <w:noProof/>
        </w:rPr>
        <w:t xml:space="preserve"> </w:t>
      </w:r>
    </w:p>
    <w:p w14:paraId="6AB8C113" w14:textId="0D7743EF" w:rsidR="0023412A" w:rsidRPr="001B1240" w:rsidRDefault="0023412A" w:rsidP="0023412A">
      <w:pPr>
        <w:pStyle w:val="Text1"/>
        <w:widowControl w:val="0"/>
        <w:spacing w:before="0" w:after="200"/>
        <w:ind w:left="0"/>
        <w:rPr>
          <w:noProof/>
        </w:rPr>
      </w:pPr>
      <w:r>
        <w:rPr>
          <w:noProof/>
        </w:rPr>
        <w:t xml:space="preserve">In Chapter V, the provisions </w:t>
      </w:r>
      <w:r w:rsidR="0080572F">
        <w:rPr>
          <w:noProof/>
        </w:rPr>
        <w:t>related to business-to-</w:t>
      </w:r>
      <w:r>
        <w:rPr>
          <w:noProof/>
        </w:rPr>
        <w:t>government data sharing</w:t>
      </w:r>
      <w:r w:rsidR="0080572F">
        <w:rPr>
          <w:noProof/>
        </w:rPr>
        <w:t xml:space="preserve"> based on an exceptional need will enhance the </w:t>
      </w:r>
      <w:r>
        <w:rPr>
          <w:noProof/>
        </w:rPr>
        <w:t>capacity of public</w:t>
      </w:r>
      <w:r w:rsidR="0080572F">
        <w:rPr>
          <w:noProof/>
        </w:rPr>
        <w:t xml:space="preserve"> authorities</w:t>
      </w:r>
      <w:r>
        <w:rPr>
          <w:noProof/>
        </w:rPr>
        <w:t xml:space="preserve"> </w:t>
      </w:r>
      <w:r w:rsidR="0080572F">
        <w:rPr>
          <w:noProof/>
        </w:rPr>
        <w:t xml:space="preserve">to take action for the common good, such as to respond, prevent or </w:t>
      </w:r>
      <w:r w:rsidR="0080572F" w:rsidRPr="008176C5">
        <w:rPr>
          <w:noProof/>
        </w:rPr>
        <w:t xml:space="preserve">assist </w:t>
      </w:r>
      <w:r w:rsidR="0080572F">
        <w:rPr>
          <w:noProof/>
        </w:rPr>
        <w:t xml:space="preserve">in the </w:t>
      </w:r>
      <w:r w:rsidR="0080572F" w:rsidRPr="008176C5">
        <w:rPr>
          <w:noProof/>
        </w:rPr>
        <w:t>recovery</w:t>
      </w:r>
      <w:r w:rsidR="0080572F">
        <w:rPr>
          <w:noProof/>
        </w:rPr>
        <w:t xml:space="preserve"> from a public emergency. The private sector also stands to benefit from the streamlining of data request procedures</w:t>
      </w:r>
      <w:r>
        <w:rPr>
          <w:noProof/>
        </w:rPr>
        <w:t xml:space="preserve">. </w:t>
      </w:r>
    </w:p>
    <w:p w14:paraId="4CD3DDD4" w14:textId="77777777" w:rsidR="0023412A" w:rsidRPr="001C0877" w:rsidRDefault="0023412A" w:rsidP="0023412A">
      <w:pPr>
        <w:pStyle w:val="Text1"/>
        <w:widowControl w:val="0"/>
        <w:spacing w:before="0" w:after="200"/>
        <w:ind w:left="0"/>
        <w:rPr>
          <w:noProof/>
        </w:rPr>
      </w:pPr>
      <w:r>
        <w:rPr>
          <w:noProof/>
        </w:rPr>
        <w:t xml:space="preserve">In Chapter VI, the provisions on switching of data processing providers enhances the position of the business customers and safeguards their choice to change provider. The limitation of the right to conduct a business for data processing providers is justified because the new rules address lock-in effects in the cloud and edge market and improve the choice for business users and individuals of data processing services. </w:t>
      </w:r>
    </w:p>
    <w:p w14:paraId="76F1E561" w14:textId="77777777" w:rsidR="0023412A" w:rsidRPr="00B356D4" w:rsidRDefault="0023412A" w:rsidP="0023412A">
      <w:pPr>
        <w:pStyle w:val="Text1"/>
        <w:widowControl w:val="0"/>
        <w:spacing w:before="0" w:after="200"/>
        <w:ind w:left="0"/>
        <w:rPr>
          <w:noProof/>
          <w:lang w:val="en-IE" w:eastAsia="en-GB"/>
        </w:rPr>
      </w:pPr>
      <w:r w:rsidRPr="00A00FF0">
        <w:rPr>
          <w:noProof/>
          <w:lang w:val="en-IE" w:eastAsia="en-GB"/>
        </w:rPr>
        <w:t>In Chapter X, the</w:t>
      </w:r>
      <w:r>
        <w:rPr>
          <w:noProof/>
          <w:lang w:val="en-IE" w:eastAsia="en-GB"/>
        </w:rPr>
        <w:t xml:space="preserve"> </w:t>
      </w:r>
      <w:r w:rsidRPr="2B0A31B9">
        <w:rPr>
          <w:noProof/>
          <w:lang w:val="en-IE" w:eastAsia="en-GB"/>
        </w:rPr>
        <w:t>intervention</w:t>
      </w:r>
      <w:r>
        <w:rPr>
          <w:noProof/>
          <w:lang w:val="en-IE" w:eastAsia="en-GB"/>
        </w:rPr>
        <w:t xml:space="preserve"> on the </w:t>
      </w:r>
      <w:r w:rsidRPr="0033171E">
        <w:rPr>
          <w:i/>
          <w:noProof/>
          <w:lang w:val="en-IE" w:eastAsia="en-GB"/>
        </w:rPr>
        <w:t>sui generis</w:t>
      </w:r>
      <w:r>
        <w:rPr>
          <w:noProof/>
          <w:lang w:val="en-IE" w:eastAsia="en-GB"/>
        </w:rPr>
        <w:t xml:space="preserve"> database right of the Database Directive does not limit the IP protection therein. It rather contributes to legal certainty in cases where the protection of the </w:t>
      </w:r>
      <w:r w:rsidRPr="00665204">
        <w:rPr>
          <w:i/>
          <w:noProof/>
          <w:lang w:val="en-IE" w:eastAsia="en-GB"/>
        </w:rPr>
        <w:t>sui generis</w:t>
      </w:r>
      <w:r>
        <w:rPr>
          <w:noProof/>
          <w:lang w:val="en-IE" w:eastAsia="en-GB"/>
        </w:rPr>
        <w:t xml:space="preserve"> right was previously unclear. </w:t>
      </w:r>
    </w:p>
    <w:p w14:paraId="38F9B280" w14:textId="77777777" w:rsidR="0023412A" w:rsidRDefault="0023412A" w:rsidP="0023412A">
      <w:pPr>
        <w:pStyle w:val="ManualHeading1"/>
        <w:rPr>
          <w:noProof/>
        </w:rPr>
      </w:pPr>
      <w:r w:rsidRPr="00550536">
        <w:rPr>
          <w:noProof/>
        </w:rPr>
        <w:t>4.</w:t>
      </w:r>
      <w:r w:rsidRPr="00550536">
        <w:rPr>
          <w:noProof/>
        </w:rPr>
        <w:tab/>
        <w:t>BUDGETARY IMPLICATIONS</w:t>
      </w:r>
    </w:p>
    <w:p w14:paraId="5E41A081" w14:textId="77777777" w:rsidR="0023412A" w:rsidRPr="00550536" w:rsidRDefault="0023412A" w:rsidP="0023412A">
      <w:pPr>
        <w:pBdr>
          <w:top w:val="nil"/>
          <w:left w:val="nil"/>
          <w:bottom w:val="nil"/>
          <w:right w:val="nil"/>
          <w:between w:val="nil"/>
          <w:bar w:val="nil"/>
        </w:pBdr>
        <w:spacing w:before="0" w:after="240"/>
        <w:rPr>
          <w:rFonts w:eastAsia="Arial Unicode MS"/>
          <w:noProof/>
        </w:rPr>
      </w:pPr>
      <w:r w:rsidRPr="00B356D4">
        <w:rPr>
          <w:noProof/>
          <w:lang w:val="en-IE"/>
        </w:rPr>
        <w:t>This proposal will not have any budgetary implications.</w:t>
      </w:r>
    </w:p>
    <w:p w14:paraId="16B7640F" w14:textId="77777777" w:rsidR="0023412A" w:rsidRPr="00550536" w:rsidRDefault="0023412A" w:rsidP="0023412A">
      <w:pPr>
        <w:pStyle w:val="ManualHeading1"/>
        <w:rPr>
          <w:noProof/>
        </w:rPr>
      </w:pPr>
      <w:r w:rsidRPr="00550536">
        <w:rPr>
          <w:noProof/>
        </w:rPr>
        <w:t>5.</w:t>
      </w:r>
      <w:r w:rsidRPr="00550536">
        <w:rPr>
          <w:noProof/>
        </w:rPr>
        <w:tab/>
        <w:t>OTHER ELEMENTS</w:t>
      </w:r>
    </w:p>
    <w:p w14:paraId="14865C35" w14:textId="77777777" w:rsidR="0023412A" w:rsidRDefault="0023412A" w:rsidP="0023412A">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018C1F0C" w14:textId="77777777" w:rsidR="0023412A" w:rsidRPr="00B356D4" w:rsidRDefault="0023412A" w:rsidP="0023412A">
      <w:pPr>
        <w:widowControl w:val="0"/>
        <w:spacing w:before="0" w:after="200"/>
        <w:rPr>
          <w:rFonts w:eastAsia="Times New Roman"/>
          <w:noProof/>
          <w:lang w:val="en-IE"/>
        </w:rPr>
      </w:pPr>
      <w:r w:rsidRPr="07CA4B77">
        <w:rPr>
          <w:rFonts w:eastAsia="Times New Roman"/>
          <w:noProof/>
          <w:lang w:val="en-IE"/>
        </w:rPr>
        <w:t>On a sectoral and macroeconomic level, the ongoing Data Market Monitoring study will help track the economic impact of the current proposal on the growth of the data market in the Union.</w:t>
      </w:r>
    </w:p>
    <w:p w14:paraId="778FAEE7" w14:textId="77777777" w:rsidR="0023412A" w:rsidRPr="00B356D4" w:rsidRDefault="0023412A" w:rsidP="0023412A">
      <w:pPr>
        <w:widowControl w:val="0"/>
        <w:spacing w:before="0" w:after="200"/>
        <w:rPr>
          <w:rFonts w:eastAsia="Times New Roman"/>
          <w:noProof/>
          <w:lang w:val="en-IE"/>
        </w:rPr>
      </w:pPr>
      <w:r w:rsidRPr="2FA46F90">
        <w:rPr>
          <w:rFonts w:eastAsia="Times New Roman"/>
          <w:noProof/>
          <w:lang w:val="en-IE"/>
        </w:rPr>
        <w:t>The impact on SMEs, namely their perception of problems related to data access and use, will be assessed with an SME panel consultation five years after adoption of the Data Act.</w:t>
      </w:r>
    </w:p>
    <w:p w14:paraId="5E35BFD0" w14:textId="77777777" w:rsidR="0023412A" w:rsidRPr="00B356D4" w:rsidRDefault="0023412A" w:rsidP="0023412A">
      <w:pPr>
        <w:widowControl w:val="0"/>
        <w:spacing w:before="0" w:after="200"/>
        <w:rPr>
          <w:rFonts w:eastAsia="Times New Roman"/>
          <w:noProof/>
          <w:lang w:val="en-IE"/>
        </w:rPr>
      </w:pPr>
      <w:r w:rsidRPr="2FA46F90">
        <w:rPr>
          <w:rFonts w:eastAsia="Times New Roman"/>
          <w:noProof/>
          <w:lang w:val="en-IE"/>
        </w:rPr>
        <w:t xml:space="preserve">Given the central role of the Common European Data Spaces in the implementation of the </w:t>
      </w:r>
      <w:r w:rsidRPr="2FA46F90">
        <w:rPr>
          <w:rFonts w:eastAsia="Arial Unicode MS"/>
          <w:noProof/>
          <w:lang w:val="en-IE"/>
        </w:rPr>
        <w:t xml:space="preserve">European </w:t>
      </w:r>
      <w:r w:rsidRPr="07CA4B77">
        <w:rPr>
          <w:rFonts w:eastAsia="Arial Unicode MS"/>
          <w:noProof/>
          <w:lang w:val="en-IE"/>
        </w:rPr>
        <w:t>strategy</w:t>
      </w:r>
      <w:r w:rsidRPr="2FA46F90">
        <w:rPr>
          <w:rFonts w:eastAsia="Arial Unicode MS"/>
          <w:noProof/>
          <w:lang w:val="en-IE"/>
        </w:rPr>
        <w:t xml:space="preserve"> for </w:t>
      </w:r>
      <w:r w:rsidRPr="07CA4B77">
        <w:rPr>
          <w:rFonts w:eastAsia="Arial Unicode MS"/>
          <w:noProof/>
          <w:lang w:val="en-IE"/>
        </w:rPr>
        <w:t>data</w:t>
      </w:r>
      <w:r w:rsidRPr="2FA46F90">
        <w:rPr>
          <w:rFonts w:eastAsia="Times New Roman"/>
          <w:noProof/>
          <w:lang w:val="en-IE"/>
        </w:rPr>
        <w:t xml:space="preserve">, many of the effects of this initiative will be monitored on the level of the sectoral data spaces, and the insights collected by the Data Spaces Support Centre to be funded under the Digital Europe Programme. The regular interaction between the Commission services, the Support Centre and the European Data Innovation Board (to be established following the entry into force of the Data Governance Act) should serve as a reliable source of information allowing in order to </w:t>
      </w:r>
      <w:r w:rsidRPr="07CA4B77">
        <w:rPr>
          <w:rFonts w:eastAsia="Times New Roman"/>
          <w:noProof/>
          <w:lang w:val="en-IE"/>
        </w:rPr>
        <w:t>assess</w:t>
      </w:r>
      <w:r w:rsidRPr="2FA46F90">
        <w:rPr>
          <w:rFonts w:eastAsia="Times New Roman"/>
          <w:noProof/>
          <w:lang w:val="en-IE"/>
        </w:rPr>
        <w:t xml:space="preserve"> progress. </w:t>
      </w:r>
    </w:p>
    <w:p w14:paraId="4F0C8985" w14:textId="77777777" w:rsidR="0023412A" w:rsidRPr="00B356D4" w:rsidRDefault="0023412A" w:rsidP="0023412A">
      <w:pPr>
        <w:widowControl w:val="0"/>
        <w:spacing w:before="0" w:after="200"/>
        <w:rPr>
          <w:noProof/>
          <w:lang w:val="en-IE"/>
        </w:rPr>
      </w:pPr>
      <w:r w:rsidRPr="00B356D4">
        <w:rPr>
          <w:rFonts w:eastAsia="Times New Roman"/>
          <w:noProof/>
          <w:szCs w:val="24"/>
          <w:lang w:val="en-IE"/>
        </w:rPr>
        <w:t xml:space="preserve">Finally, an evaluation will be launched four years after the adoption of the Data Act to evaluate the initiative and to prepare further action as required. </w:t>
      </w:r>
    </w:p>
    <w:p w14:paraId="2F048FEE" w14:textId="77777777" w:rsidR="0023412A" w:rsidRDefault="0023412A" w:rsidP="0023412A">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14:paraId="5D12646B" w14:textId="77777777" w:rsidR="0023412A" w:rsidRPr="00B356D4" w:rsidRDefault="0023412A" w:rsidP="0023412A">
      <w:pPr>
        <w:spacing w:before="0" w:after="200"/>
        <w:rPr>
          <w:noProof/>
          <w:lang w:val="en-IE"/>
        </w:rPr>
      </w:pPr>
      <w:r w:rsidRPr="00B356D4">
        <w:rPr>
          <w:noProof/>
          <w:lang w:val="en-IE"/>
        </w:rPr>
        <w:t xml:space="preserve">Chapter I defines the subject matter </w:t>
      </w:r>
      <w:r>
        <w:rPr>
          <w:noProof/>
          <w:lang w:val="en-IE"/>
        </w:rPr>
        <w:t>and scope</w:t>
      </w:r>
      <w:r w:rsidRPr="00B356D4">
        <w:rPr>
          <w:noProof/>
          <w:lang w:val="en-IE"/>
        </w:rPr>
        <w:t xml:space="preserve"> of the regulation and sets out the definitions used throughout the instrument.</w:t>
      </w:r>
    </w:p>
    <w:p w14:paraId="25A3373D" w14:textId="74E29C3F" w:rsidR="0023412A" w:rsidRPr="00B356D4" w:rsidRDefault="0023412A" w:rsidP="0023412A">
      <w:pPr>
        <w:spacing w:before="0" w:after="200"/>
        <w:rPr>
          <w:rFonts w:eastAsia="Calibri"/>
          <w:noProof/>
          <w:lang w:val="en-IE"/>
        </w:rPr>
      </w:pPr>
      <w:r w:rsidRPr="2FA46F90">
        <w:rPr>
          <w:rFonts w:eastAsia="Calibri"/>
          <w:noProof/>
          <w:lang w:val="en-IE"/>
        </w:rPr>
        <w:t xml:space="preserve">Chapter II increases legal certainty for consumers and businesses to access data generated by the products </w:t>
      </w:r>
      <w:r w:rsidR="00322847">
        <w:rPr>
          <w:rFonts w:eastAsia="Calibri"/>
          <w:noProof/>
          <w:lang w:val="en-IE"/>
        </w:rPr>
        <w:t>or</w:t>
      </w:r>
      <w:r w:rsidR="00322847" w:rsidRPr="2FA46F90">
        <w:rPr>
          <w:rFonts w:eastAsia="Calibri"/>
          <w:noProof/>
          <w:lang w:val="en-IE"/>
        </w:rPr>
        <w:t xml:space="preserve"> </w:t>
      </w:r>
      <w:r w:rsidRPr="2FA46F90">
        <w:rPr>
          <w:rFonts w:eastAsia="Calibri"/>
          <w:noProof/>
          <w:lang w:val="en-IE"/>
        </w:rPr>
        <w:t xml:space="preserve">related services they own, rent or lease. Manufacturers and designers have to design the products in a way that makes the data easily accessible by default, and they will have to be transparent on what data will be accessible and how to access them. Provisions in this </w:t>
      </w:r>
      <w:r>
        <w:rPr>
          <w:rFonts w:eastAsia="Calibri"/>
          <w:noProof/>
          <w:lang w:val="en-IE"/>
        </w:rPr>
        <w:t>C</w:t>
      </w:r>
      <w:r w:rsidRPr="2FA46F90">
        <w:rPr>
          <w:rFonts w:eastAsia="Calibri"/>
          <w:noProof/>
          <w:lang w:val="en-IE"/>
        </w:rPr>
        <w:t xml:space="preserve">hapter shall not affect the possibility for manufacturers to access and use data from products </w:t>
      </w:r>
      <w:r w:rsidR="00322847">
        <w:rPr>
          <w:rFonts w:eastAsia="Calibri"/>
          <w:noProof/>
          <w:lang w:val="en-IE"/>
        </w:rPr>
        <w:t>or</w:t>
      </w:r>
      <w:r w:rsidR="00322847" w:rsidRPr="2FA46F90">
        <w:rPr>
          <w:rFonts w:eastAsia="Calibri"/>
          <w:noProof/>
          <w:lang w:val="en-IE"/>
        </w:rPr>
        <w:t xml:space="preserve"> </w:t>
      </w:r>
      <w:r w:rsidRPr="2FA46F90">
        <w:rPr>
          <w:rFonts w:eastAsia="Calibri"/>
          <w:noProof/>
          <w:lang w:val="en-IE"/>
        </w:rPr>
        <w:t xml:space="preserve">related services they offer, where agreed with the user. There is an obligation of the data holder to make such data available </w:t>
      </w:r>
      <w:r w:rsidR="001E23EA" w:rsidRPr="2FA46F90">
        <w:rPr>
          <w:rFonts w:eastAsia="Calibri"/>
          <w:noProof/>
          <w:lang w:val="en-IE"/>
        </w:rPr>
        <w:t xml:space="preserve">to third parties </w:t>
      </w:r>
      <w:r w:rsidRPr="2FA46F90">
        <w:rPr>
          <w:rFonts w:eastAsia="Calibri"/>
          <w:noProof/>
          <w:lang w:val="en-IE"/>
        </w:rPr>
        <w:t xml:space="preserve">upon the request of the user. Users will be entitled to authorise the data holder to give access to the data to third party service providers, such as providers of aftermarket services. Micro and small enterprises will be exempt from these obligations. </w:t>
      </w:r>
    </w:p>
    <w:p w14:paraId="018AD4E3" w14:textId="6421CC24" w:rsidR="0023412A" w:rsidRPr="00B356D4" w:rsidRDefault="0023412A" w:rsidP="0023412A">
      <w:pPr>
        <w:spacing w:before="0" w:after="200"/>
        <w:rPr>
          <w:rFonts w:eastAsia="Calibri"/>
          <w:noProof/>
          <w:lang w:val="en-IE"/>
        </w:rPr>
      </w:pPr>
      <w:r w:rsidRPr="2FA46F90">
        <w:rPr>
          <w:rFonts w:eastAsia="Calibri"/>
          <w:noProof/>
          <w:lang w:val="en-IE"/>
        </w:rPr>
        <w:t xml:space="preserve">Chapter III sets out general rules applicable to obligations to make data available. Where a data holder is obliged to make data available to </w:t>
      </w:r>
      <w:r w:rsidR="00DF6A7A">
        <w:rPr>
          <w:rFonts w:eastAsia="Calibri"/>
          <w:noProof/>
          <w:lang w:val="en-IE"/>
        </w:rPr>
        <w:t>a data recipient</w:t>
      </w:r>
      <w:r w:rsidRPr="2FA46F90">
        <w:rPr>
          <w:rFonts w:eastAsia="Calibri"/>
          <w:noProof/>
          <w:lang w:val="en-IE"/>
        </w:rPr>
        <w:t xml:space="preserve"> as in Chapter II or in other Union</w:t>
      </w:r>
      <w:r w:rsidR="00322847">
        <w:rPr>
          <w:rFonts w:eastAsia="Calibri"/>
          <w:noProof/>
          <w:lang w:val="en-IE"/>
        </w:rPr>
        <w:t xml:space="preserve"> law</w:t>
      </w:r>
      <w:r w:rsidRPr="2FA46F90">
        <w:rPr>
          <w:rFonts w:eastAsia="Calibri"/>
          <w:noProof/>
          <w:lang w:val="en-IE"/>
        </w:rPr>
        <w:t xml:space="preserve"> or Member State legislation, the general framework addresses the </w:t>
      </w:r>
      <w:r w:rsidR="009C01BA">
        <w:rPr>
          <w:rFonts w:eastAsia="Calibri"/>
          <w:noProof/>
          <w:lang w:val="en-IE"/>
        </w:rPr>
        <w:t xml:space="preserve">conditions under which data is made </w:t>
      </w:r>
      <w:r w:rsidRPr="2FA46F90">
        <w:rPr>
          <w:rFonts w:eastAsia="Calibri"/>
          <w:noProof/>
          <w:lang w:val="en-IE"/>
        </w:rPr>
        <w:t xml:space="preserve">available and the </w:t>
      </w:r>
      <w:r w:rsidR="009C01BA">
        <w:rPr>
          <w:rFonts w:eastAsia="Calibri"/>
          <w:noProof/>
          <w:lang w:val="en-IE"/>
        </w:rPr>
        <w:t>compensation</w:t>
      </w:r>
      <w:r w:rsidR="009C01BA" w:rsidRPr="2FA46F90">
        <w:rPr>
          <w:rFonts w:eastAsia="Calibri"/>
          <w:noProof/>
          <w:lang w:val="en-IE"/>
        </w:rPr>
        <w:t xml:space="preserve"> </w:t>
      </w:r>
      <w:r w:rsidRPr="2FA46F90">
        <w:rPr>
          <w:rFonts w:eastAsia="Calibri"/>
          <w:noProof/>
          <w:lang w:val="en-IE"/>
        </w:rPr>
        <w:t>for making data available. Any conditions will have to be fair and non-discriminatory, and any compensation will have to be reasonable</w:t>
      </w:r>
      <w:r w:rsidRPr="006573CD">
        <w:rPr>
          <w:rFonts w:eastAsia="Calibri"/>
          <w:noProof/>
          <w:lang w:val="en-IE"/>
        </w:rPr>
        <w:t xml:space="preserve">, without </w:t>
      </w:r>
      <w:r>
        <w:rPr>
          <w:rFonts w:eastAsia="Calibri"/>
          <w:noProof/>
          <w:lang w:val="en-IE"/>
        </w:rPr>
        <w:t>precluding</w:t>
      </w:r>
      <w:r w:rsidRPr="006573CD">
        <w:rPr>
          <w:rFonts w:eastAsia="Calibri"/>
          <w:noProof/>
          <w:lang w:val="en-IE"/>
        </w:rPr>
        <w:t xml:space="preserve"> other Union </w:t>
      </w:r>
      <w:r w:rsidR="00322847">
        <w:rPr>
          <w:rFonts w:eastAsia="Calibri"/>
          <w:noProof/>
          <w:lang w:val="en-IE"/>
        </w:rPr>
        <w:t>law</w:t>
      </w:r>
      <w:r w:rsidR="00322847" w:rsidRPr="006573CD">
        <w:rPr>
          <w:rFonts w:eastAsia="Calibri"/>
          <w:noProof/>
          <w:lang w:val="en-IE"/>
        </w:rPr>
        <w:t xml:space="preserve"> </w:t>
      </w:r>
      <w:r w:rsidRPr="006573CD">
        <w:rPr>
          <w:rFonts w:eastAsia="Calibri"/>
          <w:noProof/>
          <w:lang w:val="en-IE"/>
        </w:rPr>
        <w:t xml:space="preserve">or national legislation implementing Union </w:t>
      </w:r>
      <w:r w:rsidR="00322847">
        <w:rPr>
          <w:rFonts w:eastAsia="Calibri"/>
          <w:noProof/>
          <w:lang w:val="en-IE"/>
        </w:rPr>
        <w:t>law</w:t>
      </w:r>
      <w:r w:rsidR="00322847" w:rsidRPr="006573CD">
        <w:rPr>
          <w:rFonts w:eastAsia="Calibri"/>
          <w:noProof/>
          <w:lang w:val="en-IE"/>
        </w:rPr>
        <w:t xml:space="preserve"> </w:t>
      </w:r>
      <w:r>
        <w:rPr>
          <w:rFonts w:eastAsia="Calibri"/>
          <w:noProof/>
          <w:lang w:val="en-IE"/>
        </w:rPr>
        <w:t>from excluding</w:t>
      </w:r>
      <w:r w:rsidRPr="006573CD">
        <w:rPr>
          <w:rFonts w:eastAsia="Calibri"/>
          <w:noProof/>
          <w:lang w:val="en-IE"/>
        </w:rPr>
        <w:t xml:space="preserve"> compensation or </w:t>
      </w:r>
      <w:r>
        <w:rPr>
          <w:rFonts w:eastAsia="Calibri"/>
          <w:noProof/>
          <w:lang w:val="en-IE"/>
        </w:rPr>
        <w:t>providing</w:t>
      </w:r>
      <w:r w:rsidRPr="006573CD">
        <w:rPr>
          <w:rFonts w:eastAsia="Calibri"/>
          <w:noProof/>
          <w:lang w:val="en-IE"/>
        </w:rPr>
        <w:t xml:space="preserve"> for lower compensation</w:t>
      </w:r>
      <w:r>
        <w:rPr>
          <w:rFonts w:eastAsia="Calibri"/>
          <w:noProof/>
          <w:lang w:val="en-IE"/>
        </w:rPr>
        <w:t xml:space="preserve"> for making data available</w:t>
      </w:r>
      <w:r w:rsidRPr="2FA46F90">
        <w:rPr>
          <w:rFonts w:eastAsia="Calibri"/>
          <w:noProof/>
          <w:lang w:val="en-IE"/>
        </w:rPr>
        <w:t xml:space="preserve">. Any compensation set for SMEs cannot exceed the costs incurred for making the data available, </w:t>
      </w:r>
      <w:r>
        <w:rPr>
          <w:noProof/>
        </w:rPr>
        <w:t xml:space="preserve">unless otherwise specified in sectoral legislations. </w:t>
      </w:r>
      <w:r w:rsidRPr="2FA46F90">
        <w:rPr>
          <w:rFonts w:eastAsia="Calibri"/>
          <w:noProof/>
          <w:lang w:val="en-IE"/>
        </w:rPr>
        <w:t xml:space="preserve">Dispute settlement bodies certified by the Member States may assist parties that disagree on the compensation or conditions to come to an agreement. </w:t>
      </w:r>
    </w:p>
    <w:p w14:paraId="4615C502" w14:textId="7FA17FA1" w:rsidR="0023412A" w:rsidRPr="00B356D4" w:rsidRDefault="0023412A" w:rsidP="0023412A">
      <w:pPr>
        <w:spacing w:before="0" w:after="200"/>
        <w:rPr>
          <w:rFonts w:eastAsia="Calibri"/>
          <w:noProof/>
          <w:lang w:val="en-IE"/>
        </w:rPr>
      </w:pPr>
      <w:r w:rsidRPr="00B356D4">
        <w:rPr>
          <w:rFonts w:eastAsia="Calibri"/>
          <w:noProof/>
          <w:lang w:val="en-IE"/>
        </w:rPr>
        <w:t xml:space="preserve">Chapter IV addresses unfairness </w:t>
      </w:r>
      <w:r>
        <w:rPr>
          <w:rFonts w:eastAsia="Calibri"/>
          <w:noProof/>
          <w:lang w:val="en-IE"/>
        </w:rPr>
        <w:t>of</w:t>
      </w:r>
      <w:r w:rsidRPr="00B356D4">
        <w:rPr>
          <w:rFonts w:eastAsia="Calibri"/>
          <w:noProof/>
          <w:lang w:val="en-IE"/>
        </w:rPr>
        <w:t xml:space="preserve"> contractual terms</w:t>
      </w:r>
      <w:r w:rsidRPr="00B356D4" w:rsidDel="00A90644">
        <w:rPr>
          <w:rFonts w:eastAsia="Calibri"/>
          <w:noProof/>
          <w:lang w:val="en-IE"/>
        </w:rPr>
        <w:t xml:space="preserve"> </w:t>
      </w:r>
      <w:r>
        <w:rPr>
          <w:rFonts w:eastAsia="Calibri"/>
          <w:noProof/>
          <w:lang w:val="en-IE"/>
        </w:rPr>
        <w:t>in</w:t>
      </w:r>
      <w:r w:rsidRPr="00B356D4">
        <w:rPr>
          <w:rFonts w:eastAsia="Calibri"/>
          <w:noProof/>
          <w:lang w:val="en-IE"/>
        </w:rPr>
        <w:t xml:space="preserve"> data sharing</w:t>
      </w:r>
      <w:r w:rsidRPr="00AC6B95">
        <w:rPr>
          <w:rFonts w:eastAsia="Calibri"/>
          <w:noProof/>
          <w:lang w:val="en-IE"/>
        </w:rPr>
        <w:t xml:space="preserve"> </w:t>
      </w:r>
      <w:r w:rsidRPr="2FA46F90">
        <w:rPr>
          <w:rFonts w:eastAsia="Calibri"/>
          <w:noProof/>
          <w:lang w:val="en-IE"/>
        </w:rPr>
        <w:t>contracts</w:t>
      </w:r>
      <w:r w:rsidRPr="00B356D4">
        <w:rPr>
          <w:rFonts w:eastAsia="Calibri"/>
          <w:noProof/>
          <w:lang w:val="en-IE"/>
        </w:rPr>
        <w:t xml:space="preserve"> between businesses, in situations where a contractual </w:t>
      </w:r>
      <w:r>
        <w:rPr>
          <w:rFonts w:eastAsia="Calibri"/>
          <w:noProof/>
          <w:lang w:val="en-IE"/>
        </w:rPr>
        <w:t>term</w:t>
      </w:r>
      <w:r w:rsidRPr="00B356D4">
        <w:rPr>
          <w:rFonts w:eastAsia="Calibri"/>
          <w:noProof/>
          <w:lang w:val="en-IE"/>
        </w:rPr>
        <w:t xml:space="preserve"> is unilaterally imposed by one party on a </w:t>
      </w:r>
      <w:r>
        <w:rPr>
          <w:rFonts w:eastAsia="Calibri"/>
          <w:noProof/>
          <w:lang w:val="en-IE"/>
        </w:rPr>
        <w:t xml:space="preserve">micro, </w:t>
      </w:r>
      <w:r w:rsidRPr="00B356D4">
        <w:rPr>
          <w:rFonts w:eastAsia="Calibri"/>
          <w:noProof/>
          <w:lang w:val="en-IE"/>
        </w:rPr>
        <w:t>small or medium-siz</w:t>
      </w:r>
      <w:r>
        <w:rPr>
          <w:rFonts w:eastAsia="Calibri"/>
          <w:noProof/>
          <w:lang w:val="en-IE"/>
        </w:rPr>
        <w:t xml:space="preserve">ed enterprise. This </w:t>
      </w:r>
      <w:r w:rsidR="00524C44">
        <w:rPr>
          <w:rFonts w:eastAsia="Calibri"/>
          <w:noProof/>
          <w:lang w:val="en-IE"/>
        </w:rPr>
        <w:t>C</w:t>
      </w:r>
      <w:r w:rsidRPr="00B356D4">
        <w:rPr>
          <w:rFonts w:eastAsia="Calibri"/>
          <w:noProof/>
          <w:lang w:val="en-IE"/>
        </w:rPr>
        <w:t xml:space="preserve">hapter guarantees that contractual agreements on data access and use do not take advantage of imbalances in </w:t>
      </w:r>
      <w:r>
        <w:rPr>
          <w:rFonts w:eastAsia="Calibri"/>
          <w:noProof/>
          <w:lang w:val="en-IE"/>
        </w:rPr>
        <w:t xml:space="preserve">negotiating </w:t>
      </w:r>
      <w:r w:rsidRPr="00B356D4">
        <w:rPr>
          <w:rFonts w:eastAsia="Calibri"/>
          <w:noProof/>
          <w:lang w:val="en-IE"/>
        </w:rPr>
        <w:t xml:space="preserve">power between the contractual parties. </w:t>
      </w:r>
      <w:r>
        <w:rPr>
          <w:rFonts w:eastAsia="Calibri"/>
          <w:noProof/>
          <w:lang w:val="en-IE"/>
        </w:rPr>
        <w:t>T</w:t>
      </w:r>
      <w:r w:rsidRPr="00B356D4">
        <w:rPr>
          <w:rFonts w:eastAsia="Calibri"/>
          <w:noProof/>
          <w:lang w:val="en-IE"/>
        </w:rPr>
        <w:t xml:space="preserve">he instrument of an unfairness test includes </w:t>
      </w:r>
      <w:r>
        <w:rPr>
          <w:rFonts w:eastAsia="Calibri"/>
          <w:noProof/>
          <w:lang w:val="en-IE"/>
        </w:rPr>
        <w:t>a general provision defining unfairness of a data sharing-related contract</w:t>
      </w:r>
      <w:r w:rsidRPr="2FA46F90">
        <w:rPr>
          <w:rFonts w:eastAsia="Calibri"/>
          <w:noProof/>
          <w:lang w:val="en-IE"/>
        </w:rPr>
        <w:t>ual</w:t>
      </w:r>
      <w:r>
        <w:rPr>
          <w:rFonts w:eastAsia="Calibri"/>
          <w:noProof/>
          <w:lang w:val="en-IE"/>
        </w:rPr>
        <w:t xml:space="preserve"> term complemented by a list of clauses </w:t>
      </w:r>
      <w:r w:rsidRPr="00B356D4">
        <w:rPr>
          <w:rFonts w:eastAsia="Calibri"/>
          <w:noProof/>
          <w:lang w:val="en-IE"/>
        </w:rPr>
        <w:t>that are either always unfair or presumed to be unfair</w:t>
      </w:r>
      <w:r>
        <w:rPr>
          <w:rFonts w:eastAsia="Calibri"/>
          <w:noProof/>
          <w:lang w:val="en-IE"/>
        </w:rPr>
        <w:t>.</w:t>
      </w:r>
      <w:r w:rsidRPr="00B356D4">
        <w:rPr>
          <w:rFonts w:eastAsia="Calibri"/>
          <w:noProof/>
          <w:lang w:val="en-IE"/>
        </w:rPr>
        <w:t xml:space="preserve"> </w:t>
      </w:r>
      <w:r>
        <w:rPr>
          <w:rFonts w:eastAsia="Calibri"/>
          <w:noProof/>
          <w:lang w:val="en-IE"/>
        </w:rPr>
        <w:t>In</w:t>
      </w:r>
      <w:r w:rsidRPr="00B356D4">
        <w:rPr>
          <w:rFonts w:eastAsia="Calibri"/>
          <w:noProof/>
          <w:lang w:val="en-IE"/>
        </w:rPr>
        <w:t xml:space="preserve"> situations of unequal bargaining power</w:t>
      </w:r>
      <w:r w:rsidRPr="2FA46F90">
        <w:rPr>
          <w:rFonts w:eastAsia="Calibri"/>
          <w:noProof/>
          <w:lang w:val="en-IE"/>
        </w:rPr>
        <w:t>,</w:t>
      </w:r>
      <w:r w:rsidRPr="00B356D4">
        <w:rPr>
          <w:rFonts w:eastAsia="Calibri"/>
          <w:noProof/>
          <w:lang w:val="en-IE"/>
        </w:rPr>
        <w:t xml:space="preserve"> </w:t>
      </w:r>
      <w:r w:rsidRPr="2FA46F90">
        <w:rPr>
          <w:rFonts w:eastAsia="Calibri"/>
          <w:noProof/>
          <w:lang w:val="en-IE"/>
        </w:rPr>
        <w:t>that test</w:t>
      </w:r>
      <w:r>
        <w:rPr>
          <w:rFonts w:eastAsia="Calibri"/>
          <w:noProof/>
          <w:lang w:val="en-IE"/>
        </w:rPr>
        <w:t xml:space="preserve"> </w:t>
      </w:r>
      <w:r w:rsidRPr="00B356D4">
        <w:rPr>
          <w:rFonts w:eastAsia="Calibri"/>
          <w:noProof/>
          <w:lang w:val="en-IE"/>
        </w:rPr>
        <w:t>protect</w:t>
      </w:r>
      <w:r>
        <w:rPr>
          <w:rFonts w:eastAsia="Calibri"/>
          <w:noProof/>
          <w:lang w:val="en-IE"/>
        </w:rPr>
        <w:t>s</w:t>
      </w:r>
      <w:r w:rsidRPr="00B356D4">
        <w:rPr>
          <w:rFonts w:eastAsia="Calibri"/>
          <w:noProof/>
          <w:lang w:val="en-IE"/>
        </w:rPr>
        <w:t xml:space="preserve"> the weaker contractual party in order to avoid unfair contracts. Such unfairness impedes the use of data by both contractual parties. With that, the provisions ensure a fairer allocation of value in the data economy</w:t>
      </w:r>
      <w:r>
        <w:rPr>
          <w:rStyle w:val="FootnoteReference"/>
          <w:rFonts w:eastAsia="Calibri"/>
          <w:noProof/>
          <w:lang w:val="en-IE"/>
        </w:rPr>
        <w:footnoteReference w:id="56"/>
      </w:r>
      <w:r w:rsidR="00322847">
        <w:rPr>
          <w:rFonts w:eastAsia="Calibri"/>
          <w:noProof/>
          <w:lang w:val="en-IE"/>
        </w:rPr>
        <w:t>.</w:t>
      </w:r>
      <w:r w:rsidRPr="00B356D4">
        <w:rPr>
          <w:rFonts w:eastAsia="Calibri"/>
          <w:noProof/>
          <w:lang w:val="en-IE"/>
        </w:rPr>
        <w:t xml:space="preserve"> </w:t>
      </w:r>
      <w:r w:rsidRPr="2FA46F90">
        <w:rPr>
          <w:rFonts w:eastAsia="Calibri"/>
          <w:noProof/>
          <w:lang w:val="en-IE"/>
        </w:rPr>
        <w:t>Model contractual terms recommended by the Commission may assist commercial parties in concluding contracts based on fair terms.</w:t>
      </w:r>
    </w:p>
    <w:p w14:paraId="4C33AE93" w14:textId="5633BE76" w:rsidR="0023412A" w:rsidRPr="00B356D4" w:rsidRDefault="0023412A" w:rsidP="0023412A">
      <w:pPr>
        <w:spacing w:before="0" w:after="200"/>
        <w:rPr>
          <w:rFonts w:eastAsia="Times New Roman"/>
          <w:noProof/>
        </w:rPr>
      </w:pPr>
      <w:r w:rsidRPr="00B356D4">
        <w:rPr>
          <w:rFonts w:eastAsia="Calibri"/>
          <w:noProof/>
          <w:lang w:val="en-US"/>
        </w:rPr>
        <w:t>Chapter V creates</w:t>
      </w:r>
      <w:r w:rsidRPr="00B356D4">
        <w:rPr>
          <w:rFonts w:eastAsia="Times New Roman"/>
          <w:noProof/>
        </w:rPr>
        <w:t xml:space="preserve"> a harmonised framework for the use by public sector bodies and Union institutions, agencies</w:t>
      </w:r>
      <w:r>
        <w:rPr>
          <w:rFonts w:eastAsia="Times New Roman"/>
          <w:noProof/>
        </w:rPr>
        <w:t xml:space="preserve"> and</w:t>
      </w:r>
      <w:r w:rsidRPr="00B356D4">
        <w:rPr>
          <w:rFonts w:eastAsia="Times New Roman"/>
          <w:noProof/>
        </w:rPr>
        <w:t xml:space="preserve"> bodies of data held by enterprises</w:t>
      </w:r>
      <w:r>
        <w:rPr>
          <w:rFonts w:eastAsia="Times New Roman"/>
          <w:noProof/>
        </w:rPr>
        <w:t xml:space="preserve"> in situations where there is an exceptional need for the data requested</w:t>
      </w:r>
      <w:r w:rsidRPr="00B356D4">
        <w:rPr>
          <w:rFonts w:eastAsia="Times New Roman"/>
          <w:noProof/>
        </w:rPr>
        <w:t xml:space="preserve">. The framework is based on an obligation to </w:t>
      </w:r>
      <w:r w:rsidR="00322847">
        <w:rPr>
          <w:rFonts w:eastAsia="Times New Roman"/>
          <w:noProof/>
        </w:rPr>
        <w:t>make</w:t>
      </w:r>
      <w:r w:rsidR="00322847" w:rsidRPr="00B356D4">
        <w:rPr>
          <w:rFonts w:eastAsia="Times New Roman"/>
          <w:noProof/>
        </w:rPr>
        <w:t xml:space="preserve"> </w:t>
      </w:r>
      <w:r w:rsidRPr="00B356D4">
        <w:rPr>
          <w:rFonts w:eastAsia="Times New Roman"/>
          <w:noProof/>
        </w:rPr>
        <w:t>data</w:t>
      </w:r>
      <w:r w:rsidR="00322847">
        <w:rPr>
          <w:rFonts w:eastAsia="Times New Roman"/>
          <w:noProof/>
        </w:rPr>
        <w:t xml:space="preserve"> available</w:t>
      </w:r>
      <w:r w:rsidRPr="00B356D4">
        <w:rPr>
          <w:rFonts w:eastAsia="Times New Roman"/>
          <w:noProof/>
        </w:rPr>
        <w:t xml:space="preserve"> and would only apply in the case of public emergencies </w:t>
      </w:r>
      <w:r w:rsidR="00322847">
        <w:rPr>
          <w:rFonts w:eastAsia="Times New Roman"/>
          <w:noProof/>
        </w:rPr>
        <w:t>or</w:t>
      </w:r>
      <w:r w:rsidR="00322847" w:rsidRPr="00B356D4">
        <w:rPr>
          <w:rFonts w:eastAsia="Times New Roman"/>
          <w:noProof/>
        </w:rPr>
        <w:t xml:space="preserve"> </w:t>
      </w:r>
      <w:r w:rsidRPr="00B356D4">
        <w:rPr>
          <w:rFonts w:eastAsia="Times New Roman"/>
          <w:noProof/>
        </w:rPr>
        <w:t>in situations where public sector bodies have an exceptional need to use certain data</w:t>
      </w:r>
      <w:r w:rsidR="00322847">
        <w:rPr>
          <w:rFonts w:eastAsia="Times New Roman"/>
          <w:noProof/>
        </w:rPr>
        <w:t>,</w:t>
      </w:r>
      <w:r w:rsidRPr="00B356D4">
        <w:rPr>
          <w:rFonts w:eastAsia="Times New Roman"/>
          <w:noProof/>
        </w:rPr>
        <w:t xml:space="preserve"> </w:t>
      </w:r>
      <w:r w:rsidR="00322847">
        <w:rPr>
          <w:rFonts w:eastAsia="Times New Roman"/>
          <w:noProof/>
        </w:rPr>
        <w:t>but such data</w:t>
      </w:r>
      <w:r w:rsidR="00322847" w:rsidRPr="00B356D4">
        <w:rPr>
          <w:rFonts w:eastAsia="Times New Roman"/>
          <w:noProof/>
        </w:rPr>
        <w:t xml:space="preserve"> </w:t>
      </w:r>
      <w:r w:rsidRPr="00B356D4">
        <w:rPr>
          <w:rFonts w:eastAsia="Times New Roman"/>
          <w:noProof/>
        </w:rPr>
        <w:t>cannot be obtained on the market</w:t>
      </w:r>
      <w:r>
        <w:rPr>
          <w:rFonts w:eastAsia="Times New Roman"/>
          <w:noProof/>
        </w:rPr>
        <w:t xml:space="preserve">, </w:t>
      </w:r>
      <w:r w:rsidRPr="00B356D4">
        <w:rPr>
          <w:rFonts w:eastAsia="Times New Roman"/>
          <w:noProof/>
        </w:rPr>
        <w:t xml:space="preserve">in a timely manner through </w:t>
      </w:r>
      <w:r>
        <w:rPr>
          <w:rFonts w:eastAsia="Times New Roman"/>
          <w:noProof/>
        </w:rPr>
        <w:t>enacting new legislation</w:t>
      </w:r>
      <w:r w:rsidR="00322847">
        <w:rPr>
          <w:rFonts w:eastAsia="Times New Roman"/>
          <w:noProof/>
        </w:rPr>
        <w:t>, or by means of existing reporting obligations.</w:t>
      </w:r>
      <w:r w:rsidRPr="00B356D4">
        <w:rPr>
          <w:rFonts w:eastAsia="Times New Roman"/>
          <w:noProof/>
        </w:rPr>
        <w:t xml:space="preserve"> In case of </w:t>
      </w:r>
      <w:r w:rsidR="00322847">
        <w:rPr>
          <w:rFonts w:eastAsia="Times New Roman"/>
          <w:noProof/>
        </w:rPr>
        <w:t xml:space="preserve">an exceptional need to respond to </w:t>
      </w:r>
      <w:r>
        <w:rPr>
          <w:rFonts w:eastAsia="Times New Roman"/>
          <w:noProof/>
        </w:rPr>
        <w:t xml:space="preserve">public </w:t>
      </w:r>
      <w:r w:rsidR="00322847">
        <w:rPr>
          <w:rFonts w:eastAsia="Times New Roman"/>
          <w:noProof/>
        </w:rPr>
        <w:t xml:space="preserve">emergency, such as public health </w:t>
      </w:r>
      <w:r w:rsidRPr="00B356D4">
        <w:rPr>
          <w:rFonts w:eastAsia="Times New Roman"/>
          <w:noProof/>
        </w:rPr>
        <w:t xml:space="preserve">emergencies, </w:t>
      </w:r>
      <w:r w:rsidR="00322847">
        <w:rPr>
          <w:rFonts w:eastAsia="Times New Roman"/>
          <w:noProof/>
        </w:rPr>
        <w:t xml:space="preserve">or major natural or human-induced </w:t>
      </w:r>
      <w:r w:rsidRPr="00B356D4">
        <w:rPr>
          <w:rFonts w:eastAsia="Times New Roman"/>
          <w:noProof/>
        </w:rPr>
        <w:t xml:space="preserve">disasters, data would be made available for free. </w:t>
      </w:r>
      <w:r>
        <w:rPr>
          <w:rFonts w:eastAsia="Times New Roman"/>
          <w:noProof/>
        </w:rPr>
        <w:t>In other cases of</w:t>
      </w:r>
      <w:r w:rsidRPr="00B356D4">
        <w:rPr>
          <w:rFonts w:eastAsia="Times New Roman"/>
          <w:noProof/>
        </w:rPr>
        <w:t xml:space="preserve"> exceptional </w:t>
      </w:r>
      <w:r>
        <w:rPr>
          <w:rFonts w:eastAsia="Times New Roman"/>
          <w:noProof/>
        </w:rPr>
        <w:t>need</w:t>
      </w:r>
      <w:r w:rsidRPr="00B356D4">
        <w:rPr>
          <w:rFonts w:eastAsia="Times New Roman"/>
          <w:noProof/>
        </w:rPr>
        <w:t xml:space="preserve">, </w:t>
      </w:r>
      <w:r w:rsidR="00322847">
        <w:rPr>
          <w:rFonts w:eastAsia="Times New Roman"/>
          <w:noProof/>
        </w:rPr>
        <w:t xml:space="preserve">including to prevent or assist the recovery from a public emergency, </w:t>
      </w:r>
      <w:r w:rsidRPr="00B356D4">
        <w:rPr>
          <w:rFonts w:eastAsia="Times New Roman"/>
          <w:noProof/>
        </w:rPr>
        <w:t xml:space="preserve">the </w:t>
      </w:r>
      <w:r>
        <w:rPr>
          <w:rFonts w:eastAsia="Times New Roman"/>
          <w:noProof/>
        </w:rPr>
        <w:t>data holder making</w:t>
      </w:r>
      <w:r w:rsidRPr="00B356D4">
        <w:rPr>
          <w:rFonts w:eastAsia="Times New Roman"/>
          <w:noProof/>
        </w:rPr>
        <w:t xml:space="preserve"> the data</w:t>
      </w:r>
      <w:r>
        <w:rPr>
          <w:rFonts w:eastAsia="Times New Roman"/>
          <w:noProof/>
        </w:rPr>
        <w:t xml:space="preserve"> available</w:t>
      </w:r>
      <w:r w:rsidRPr="00B356D4">
        <w:rPr>
          <w:rFonts w:eastAsia="Times New Roman"/>
          <w:noProof/>
        </w:rPr>
        <w:t xml:space="preserve"> should be entitled to compensation </w:t>
      </w:r>
      <w:r>
        <w:rPr>
          <w:rFonts w:eastAsia="Times New Roman"/>
          <w:noProof/>
        </w:rPr>
        <w:t>that</w:t>
      </w:r>
      <w:r w:rsidRPr="00B356D4">
        <w:rPr>
          <w:rFonts w:eastAsia="Times New Roman"/>
          <w:noProof/>
        </w:rPr>
        <w:t xml:space="preserve"> include costs related to making the </w:t>
      </w:r>
      <w:r>
        <w:rPr>
          <w:rFonts w:eastAsia="Times New Roman"/>
          <w:noProof/>
        </w:rPr>
        <w:t xml:space="preserve">relevant </w:t>
      </w:r>
      <w:r w:rsidRPr="00B356D4">
        <w:rPr>
          <w:rFonts w:eastAsia="Times New Roman"/>
          <w:noProof/>
        </w:rPr>
        <w:t xml:space="preserve">data available plus </w:t>
      </w:r>
      <w:r>
        <w:rPr>
          <w:rFonts w:eastAsia="Times New Roman"/>
          <w:noProof/>
        </w:rPr>
        <w:t>a</w:t>
      </w:r>
      <w:r w:rsidRPr="00B356D4">
        <w:rPr>
          <w:rFonts w:eastAsia="Times New Roman"/>
          <w:noProof/>
        </w:rPr>
        <w:t xml:space="preserve"> reasonable </w:t>
      </w:r>
      <w:r>
        <w:rPr>
          <w:rFonts w:eastAsia="Times New Roman"/>
          <w:noProof/>
        </w:rPr>
        <w:t>margin</w:t>
      </w:r>
      <w:r w:rsidRPr="00B356D4">
        <w:rPr>
          <w:rFonts w:eastAsia="Times New Roman"/>
          <w:noProof/>
        </w:rPr>
        <w:t>. To ensure that the right to request data is not abused and that the public sector remains accountable for its use, the requests for data would need to be proportionate, clearly indicate the purpose to be achieved, and respect the interests of the enterprise making the data available. Competent authorities would ensure the transparency and public availability of all requests. They would also handle any resulting complaints.</w:t>
      </w:r>
    </w:p>
    <w:p w14:paraId="75BD2254" w14:textId="764F8661" w:rsidR="0023412A" w:rsidRPr="00B356D4" w:rsidRDefault="0023412A" w:rsidP="0023412A">
      <w:pPr>
        <w:spacing w:before="0" w:after="200"/>
        <w:rPr>
          <w:rFonts w:eastAsia="Calibri"/>
          <w:noProof/>
          <w:lang w:val="en-US"/>
        </w:rPr>
      </w:pPr>
      <w:r w:rsidRPr="00B356D4">
        <w:rPr>
          <w:rFonts w:eastAsia="Calibri"/>
          <w:noProof/>
          <w:lang w:val="en-US"/>
        </w:rPr>
        <w:t>Chapter VI introduces minimum regulatory requirements of contractual, commercial and technical nature</w:t>
      </w:r>
      <w:r w:rsidR="00F7592A">
        <w:rPr>
          <w:rFonts w:eastAsia="Calibri"/>
          <w:noProof/>
          <w:lang w:val="en-US"/>
        </w:rPr>
        <w:t>,</w:t>
      </w:r>
      <w:r w:rsidRPr="00B356D4">
        <w:rPr>
          <w:rFonts w:eastAsia="Calibri"/>
          <w:noProof/>
          <w:lang w:val="en-US"/>
        </w:rPr>
        <w:t xml:space="preserve"> imposed on providers of cloud, edge and other data processing services</w:t>
      </w:r>
      <w:r w:rsidR="00F7592A">
        <w:rPr>
          <w:rFonts w:eastAsia="Calibri"/>
          <w:noProof/>
          <w:lang w:val="en-US"/>
        </w:rPr>
        <w:t>,</w:t>
      </w:r>
      <w:r w:rsidRPr="00B356D4">
        <w:rPr>
          <w:rFonts w:eastAsia="Calibri"/>
          <w:noProof/>
          <w:lang w:val="en-US"/>
        </w:rPr>
        <w:t xml:space="preserve"> to enable switching between such services. In particular, </w:t>
      </w:r>
      <w:r>
        <w:rPr>
          <w:rFonts w:eastAsia="Calibri"/>
          <w:noProof/>
          <w:lang w:val="en-US"/>
        </w:rPr>
        <w:t>the proposal</w:t>
      </w:r>
      <w:r w:rsidRPr="00B356D4">
        <w:rPr>
          <w:rFonts w:eastAsia="Calibri"/>
          <w:noProof/>
          <w:lang w:val="en-US"/>
        </w:rPr>
        <w:t xml:space="preserve"> ensure</w:t>
      </w:r>
      <w:r>
        <w:rPr>
          <w:rFonts w:eastAsia="Calibri"/>
          <w:noProof/>
          <w:lang w:val="en-US"/>
        </w:rPr>
        <w:t>s</w:t>
      </w:r>
      <w:r w:rsidRPr="00B356D4">
        <w:rPr>
          <w:rFonts w:eastAsia="Calibri"/>
          <w:noProof/>
          <w:lang w:val="en-US"/>
        </w:rPr>
        <w:t xml:space="preserve"> that </w:t>
      </w:r>
      <w:r>
        <w:rPr>
          <w:rFonts w:eastAsia="Calibri"/>
          <w:noProof/>
          <w:lang w:val="en-US"/>
        </w:rPr>
        <w:t>customers</w:t>
      </w:r>
      <w:r w:rsidRPr="00B356D4">
        <w:rPr>
          <w:rFonts w:eastAsia="Calibri"/>
          <w:noProof/>
          <w:lang w:val="en-US"/>
        </w:rPr>
        <w:t xml:space="preserve"> maintain functional equivalence (a minimum level of functionality) of the service after they have switched to another service provider. The proposal contains an exception for technical unfeasibility, but puts the burden of proof in this regard on the service provider. The proposal does not mandate specific technical standards or interfaces</w:t>
      </w:r>
      <w:r w:rsidR="00C62043">
        <w:rPr>
          <w:rFonts w:eastAsia="Calibri"/>
          <w:noProof/>
          <w:lang w:val="en-US"/>
        </w:rPr>
        <w:t>. However, it</w:t>
      </w:r>
      <w:r w:rsidRPr="00B356D4">
        <w:rPr>
          <w:rFonts w:eastAsia="Calibri"/>
          <w:noProof/>
          <w:lang w:val="en-US"/>
        </w:rPr>
        <w:t xml:space="preserve"> requires services</w:t>
      </w:r>
      <w:r w:rsidR="00C62043">
        <w:rPr>
          <w:rFonts w:eastAsia="Calibri"/>
          <w:noProof/>
          <w:lang w:val="en-US"/>
        </w:rPr>
        <w:t xml:space="preserve"> to be</w:t>
      </w:r>
      <w:r w:rsidRPr="00B356D4">
        <w:rPr>
          <w:rFonts w:eastAsia="Calibri"/>
          <w:noProof/>
          <w:lang w:val="en-US"/>
        </w:rPr>
        <w:t xml:space="preserve"> compatible with </w:t>
      </w:r>
      <w:r w:rsidRPr="66CB8D08">
        <w:rPr>
          <w:rFonts w:eastAsia="Calibri"/>
          <w:noProof/>
          <w:lang w:val="en-US"/>
        </w:rPr>
        <w:t xml:space="preserve">European standards or open interoperability </w:t>
      </w:r>
      <w:r w:rsidRPr="37C5FED9">
        <w:rPr>
          <w:rFonts w:eastAsia="Calibri"/>
          <w:noProof/>
          <w:lang w:val="en-US"/>
        </w:rPr>
        <w:t xml:space="preserve">technical </w:t>
      </w:r>
      <w:r w:rsidRPr="66CB8D08">
        <w:rPr>
          <w:rFonts w:eastAsia="Calibri"/>
          <w:noProof/>
          <w:lang w:val="en-US"/>
        </w:rPr>
        <w:t>specifications where these exist.</w:t>
      </w:r>
    </w:p>
    <w:p w14:paraId="73DAE40D" w14:textId="77777777" w:rsidR="0023412A" w:rsidRPr="00B356D4" w:rsidRDefault="0023412A" w:rsidP="0023412A">
      <w:pPr>
        <w:spacing w:before="0" w:after="200"/>
        <w:rPr>
          <w:rFonts w:eastAsia="Calibri"/>
          <w:noProof/>
          <w:lang w:val="en-IE"/>
        </w:rPr>
      </w:pPr>
      <w:r w:rsidRPr="00B356D4">
        <w:rPr>
          <w:rFonts w:eastAsia="Calibri"/>
          <w:noProof/>
          <w:lang w:val="en-IE"/>
        </w:rPr>
        <w:t>Chapter VII addresses unlawful third</w:t>
      </w:r>
      <w:r>
        <w:rPr>
          <w:rFonts w:eastAsia="Calibri"/>
          <w:noProof/>
          <w:lang w:val="en-IE"/>
        </w:rPr>
        <w:t xml:space="preserve"> </w:t>
      </w:r>
      <w:r w:rsidRPr="00B356D4">
        <w:rPr>
          <w:rFonts w:eastAsia="Calibri"/>
          <w:noProof/>
          <w:lang w:val="en-IE"/>
        </w:rPr>
        <w:t xml:space="preserve">party access to </w:t>
      </w:r>
      <w:r>
        <w:rPr>
          <w:rFonts w:eastAsia="Calibri"/>
          <w:noProof/>
          <w:lang w:val="en-IE"/>
        </w:rPr>
        <w:t xml:space="preserve">non-personal data held in the Union by </w:t>
      </w:r>
      <w:r w:rsidRPr="00B356D4">
        <w:rPr>
          <w:rFonts w:eastAsia="Calibri"/>
          <w:noProof/>
          <w:lang w:val="en-IE"/>
        </w:rPr>
        <w:t xml:space="preserve">data processing services offered on the </w:t>
      </w:r>
      <w:r>
        <w:rPr>
          <w:rFonts w:eastAsia="Calibri"/>
          <w:noProof/>
          <w:lang w:val="en-IE"/>
        </w:rPr>
        <w:t>Union</w:t>
      </w:r>
      <w:r w:rsidRPr="00B356D4">
        <w:rPr>
          <w:rFonts w:eastAsia="Calibri"/>
          <w:noProof/>
          <w:lang w:val="en-IE"/>
        </w:rPr>
        <w:t xml:space="preserve"> market. </w:t>
      </w:r>
      <w:r>
        <w:rPr>
          <w:rFonts w:eastAsia="Calibri"/>
          <w:noProof/>
          <w:lang w:val="en-IE"/>
        </w:rPr>
        <w:t>The proposal</w:t>
      </w:r>
      <w:r w:rsidRPr="00B356D4">
        <w:rPr>
          <w:rFonts w:eastAsia="Calibri"/>
          <w:noProof/>
          <w:lang w:val="en-IE"/>
        </w:rPr>
        <w:t xml:space="preserve"> does not affect the legal basis of data access requests made to data held by EU citizens or businesses and </w:t>
      </w:r>
      <w:r>
        <w:rPr>
          <w:rFonts w:eastAsia="Calibri"/>
          <w:noProof/>
          <w:lang w:val="en-IE"/>
        </w:rPr>
        <w:t>is</w:t>
      </w:r>
      <w:r w:rsidRPr="00B356D4">
        <w:rPr>
          <w:rFonts w:eastAsia="Calibri"/>
          <w:noProof/>
          <w:lang w:val="en-IE"/>
        </w:rPr>
        <w:t xml:space="preserve"> without prejudice to the U</w:t>
      </w:r>
      <w:r>
        <w:rPr>
          <w:rFonts w:eastAsia="Calibri"/>
          <w:noProof/>
          <w:lang w:val="en-IE"/>
        </w:rPr>
        <w:t>nion</w:t>
      </w:r>
      <w:r w:rsidRPr="00B356D4">
        <w:rPr>
          <w:rFonts w:eastAsia="Calibri"/>
          <w:noProof/>
          <w:lang w:val="en-IE"/>
        </w:rPr>
        <w:t>’s data protection and privacy framework. It offers specific safeguards, by way of providers having to take all reasonable technical, legal and organisational measures to prevent such access that conflict</w:t>
      </w:r>
      <w:r>
        <w:rPr>
          <w:rFonts w:eastAsia="Calibri"/>
          <w:noProof/>
          <w:lang w:val="en-IE"/>
        </w:rPr>
        <w:t>s</w:t>
      </w:r>
      <w:r w:rsidRPr="00B356D4">
        <w:rPr>
          <w:rFonts w:eastAsia="Calibri"/>
          <w:noProof/>
          <w:lang w:val="en-IE"/>
        </w:rPr>
        <w:t xml:space="preserve"> with competing obligations to protect such data under </w:t>
      </w:r>
      <w:r>
        <w:rPr>
          <w:rFonts w:eastAsia="Calibri"/>
          <w:noProof/>
          <w:lang w:val="en-IE"/>
        </w:rPr>
        <w:t>Union</w:t>
      </w:r>
      <w:r w:rsidRPr="00B356D4">
        <w:rPr>
          <w:rFonts w:eastAsia="Calibri"/>
          <w:noProof/>
          <w:lang w:val="en-IE"/>
        </w:rPr>
        <w:t xml:space="preserve"> law, unless strict conditions are met. The Regulation complies with the U</w:t>
      </w:r>
      <w:r>
        <w:rPr>
          <w:rFonts w:eastAsia="Calibri"/>
          <w:noProof/>
          <w:lang w:val="en-IE"/>
        </w:rPr>
        <w:t>nion</w:t>
      </w:r>
      <w:r w:rsidRPr="00B356D4">
        <w:rPr>
          <w:rFonts w:eastAsia="Calibri"/>
          <w:noProof/>
          <w:lang w:val="en-IE"/>
        </w:rPr>
        <w:t>’s international commitments in the WTO and in bilateral trade agreements.</w:t>
      </w:r>
    </w:p>
    <w:p w14:paraId="2F6BCA86" w14:textId="0ABE3DEF" w:rsidR="0023412A" w:rsidRDefault="0023412A" w:rsidP="0023412A">
      <w:pPr>
        <w:spacing w:before="0" w:after="200"/>
        <w:rPr>
          <w:rFonts w:eastAsia="Calibri"/>
          <w:noProof/>
          <w:lang w:val="en-US"/>
        </w:rPr>
      </w:pPr>
      <w:r w:rsidRPr="5134F6B5">
        <w:rPr>
          <w:rFonts w:eastAsia="Calibri"/>
          <w:noProof/>
          <w:lang w:val="en-US"/>
        </w:rPr>
        <w:t xml:space="preserve">Chapter VIII provides for </w:t>
      </w:r>
      <w:r w:rsidR="00F82E6B">
        <w:rPr>
          <w:rFonts w:eastAsia="Calibri"/>
          <w:noProof/>
          <w:lang w:val="en-US"/>
        </w:rPr>
        <w:t xml:space="preserve">essential requirements to be complied with regarding </w:t>
      </w:r>
      <w:r w:rsidR="008B73A0">
        <w:rPr>
          <w:rFonts w:eastAsia="Calibri"/>
          <w:noProof/>
          <w:lang w:val="en-US"/>
        </w:rPr>
        <w:t>interoperability for</w:t>
      </w:r>
      <w:r w:rsidRPr="5134F6B5">
        <w:rPr>
          <w:rFonts w:eastAsia="Calibri"/>
          <w:noProof/>
          <w:lang w:val="en-US"/>
        </w:rPr>
        <w:t xml:space="preserve"> </w:t>
      </w:r>
      <w:r w:rsidR="00F82E6B">
        <w:rPr>
          <w:rFonts w:eastAsia="Calibri"/>
          <w:noProof/>
          <w:lang w:val="en-US"/>
        </w:rPr>
        <w:t>operators</w:t>
      </w:r>
      <w:r w:rsidR="009E0FB4">
        <w:rPr>
          <w:rFonts w:eastAsia="Calibri"/>
          <w:noProof/>
          <w:lang w:val="en-US"/>
        </w:rPr>
        <w:t xml:space="preserve"> of </w:t>
      </w:r>
      <w:r w:rsidR="009E0FB4" w:rsidRPr="009E0FB4">
        <w:rPr>
          <w:rFonts w:eastAsia="Calibri"/>
          <w:noProof/>
          <w:lang w:val="en-US"/>
        </w:rPr>
        <w:t xml:space="preserve">data spaces and data processing </w:t>
      </w:r>
      <w:r w:rsidR="00F82E6B">
        <w:rPr>
          <w:rFonts w:eastAsia="Times New Roman"/>
          <w:noProof/>
          <w:lang w:val="en-US"/>
        </w:rPr>
        <w:t xml:space="preserve">service providers as well as for </w:t>
      </w:r>
      <w:r w:rsidRPr="5134F6B5">
        <w:rPr>
          <w:rFonts w:eastAsia="Calibri"/>
          <w:noProof/>
          <w:lang w:val="en-US"/>
        </w:rPr>
        <w:t xml:space="preserve">essential requirements </w:t>
      </w:r>
      <w:r w:rsidR="00F82E6B">
        <w:rPr>
          <w:rFonts w:eastAsia="Calibri"/>
          <w:noProof/>
          <w:lang w:val="en-US"/>
        </w:rPr>
        <w:t>for</w:t>
      </w:r>
      <w:r w:rsidRPr="5134F6B5">
        <w:rPr>
          <w:rFonts w:eastAsia="Calibri"/>
          <w:noProof/>
          <w:lang w:val="en-US"/>
        </w:rPr>
        <w:t xml:space="preserve"> smart contracts.</w:t>
      </w:r>
      <w:r w:rsidR="00F82E6B">
        <w:rPr>
          <w:rFonts w:eastAsia="Calibri"/>
          <w:noProof/>
          <w:lang w:val="en-US"/>
        </w:rPr>
        <w:t xml:space="preserve"> The Chapter also enables open interoperability specifications and European standards for the interoperability of data processing services to promote a seamless multi-vendor cloud environment.</w:t>
      </w:r>
    </w:p>
    <w:p w14:paraId="55453DA3" w14:textId="1AB68163" w:rsidR="0023412A" w:rsidRPr="00B356D4" w:rsidRDefault="0023412A" w:rsidP="0023412A">
      <w:pPr>
        <w:spacing w:before="0" w:after="200"/>
        <w:rPr>
          <w:rFonts w:eastAsia="Calibri"/>
          <w:noProof/>
          <w:lang w:val="en-IE"/>
        </w:rPr>
      </w:pPr>
      <w:r w:rsidRPr="72C6DB09">
        <w:rPr>
          <w:rFonts w:eastAsia="Calibri"/>
          <w:noProof/>
          <w:lang w:val="en-IE"/>
        </w:rPr>
        <w:t>Chapter IX lays down the implementation and enforcement framework with competent authorities in each Member State, including a complaints mechanism. The Commission shall recommend voluntary model contract</w:t>
      </w:r>
      <w:r w:rsidR="00B85CE8">
        <w:rPr>
          <w:rFonts w:eastAsia="Calibri"/>
          <w:noProof/>
          <w:lang w:val="en-IE"/>
        </w:rPr>
        <w:t>ual</w:t>
      </w:r>
      <w:r w:rsidRPr="72C6DB09">
        <w:rPr>
          <w:rFonts w:eastAsia="Calibri"/>
          <w:noProof/>
          <w:lang w:val="en-IE"/>
        </w:rPr>
        <w:t xml:space="preserve"> terms on access to and use of data. Penalties shall apply for infringements of this Regulation.</w:t>
      </w:r>
    </w:p>
    <w:p w14:paraId="5C5A7094" w14:textId="3F5AA62F" w:rsidR="0023412A" w:rsidRPr="00B356D4" w:rsidRDefault="0023412A" w:rsidP="0023412A">
      <w:pPr>
        <w:spacing w:before="0" w:after="200"/>
        <w:rPr>
          <w:rFonts w:eastAsia="Calibri"/>
          <w:noProof/>
          <w:lang w:val="en-IE"/>
        </w:rPr>
      </w:pPr>
      <w:r w:rsidRPr="60DCBC11">
        <w:rPr>
          <w:rFonts w:eastAsia="Calibri"/>
          <w:noProof/>
          <w:lang w:val="en-IE"/>
        </w:rPr>
        <w:t xml:space="preserve">Chapter X contains a provision </w:t>
      </w:r>
      <w:r w:rsidRPr="60DCBC11">
        <w:rPr>
          <w:rFonts w:eastAsia="Times New Roman"/>
          <w:noProof/>
          <w:lang w:val="en-IE"/>
        </w:rPr>
        <w:t xml:space="preserve">so that the </w:t>
      </w:r>
      <w:r w:rsidRPr="009D68D8">
        <w:rPr>
          <w:rFonts w:eastAsia="Times New Roman"/>
          <w:i/>
          <w:noProof/>
          <w:lang w:val="en-IE"/>
        </w:rPr>
        <w:t>sui generis</w:t>
      </w:r>
      <w:r w:rsidRPr="60DCBC11">
        <w:rPr>
          <w:rFonts w:eastAsia="Times New Roman"/>
          <w:noProof/>
          <w:lang w:val="en-IE"/>
        </w:rPr>
        <w:t xml:space="preserve"> right established in Directive 96/9/EC does not apply to databases containing data obtained from or generated by the use of a product </w:t>
      </w:r>
      <w:r w:rsidR="00375E75">
        <w:rPr>
          <w:rFonts w:eastAsia="Times New Roman"/>
          <w:noProof/>
          <w:lang w:val="en-IE"/>
        </w:rPr>
        <w:t xml:space="preserve">or </w:t>
      </w:r>
      <w:r w:rsidRPr="60DCBC11">
        <w:rPr>
          <w:rFonts w:eastAsia="Times New Roman"/>
          <w:noProof/>
          <w:lang w:val="en-IE"/>
        </w:rPr>
        <w:t>related service to hinder the effective exercise of the right of users to access and use data in accordance with Article 4</w:t>
      </w:r>
      <w:r w:rsidR="00104D6C">
        <w:rPr>
          <w:rFonts w:eastAsia="Times New Roman"/>
          <w:noProof/>
          <w:lang w:val="en-IE"/>
        </w:rPr>
        <w:t xml:space="preserve"> of this Regulation</w:t>
      </w:r>
      <w:r w:rsidRPr="60DCBC11">
        <w:rPr>
          <w:rFonts w:eastAsia="Times New Roman"/>
          <w:noProof/>
          <w:lang w:val="en-IE"/>
        </w:rPr>
        <w:t xml:space="preserve"> or of the right to share such data with third parties in accordance with Article 5</w:t>
      </w:r>
      <w:r w:rsidR="00104D6C">
        <w:rPr>
          <w:rFonts w:eastAsia="Times New Roman"/>
          <w:noProof/>
          <w:lang w:val="en-IE"/>
        </w:rPr>
        <w:t xml:space="preserve"> of this Regulation</w:t>
      </w:r>
      <w:r w:rsidRPr="60DCBC11">
        <w:rPr>
          <w:rFonts w:eastAsia="Times New Roman"/>
          <w:noProof/>
          <w:lang w:val="en-IE"/>
        </w:rPr>
        <w:t>.</w:t>
      </w:r>
      <w:r w:rsidRPr="60DCBC11">
        <w:rPr>
          <w:rFonts w:eastAsia="Calibri"/>
          <w:noProof/>
          <w:lang w:val="en-IE"/>
        </w:rPr>
        <w:t xml:space="preserve"> </w:t>
      </w:r>
    </w:p>
    <w:p w14:paraId="149DB9DB" w14:textId="6EEED956" w:rsidR="0023412A" w:rsidRDefault="0023412A" w:rsidP="0023412A">
      <w:pPr>
        <w:rPr>
          <w:noProof/>
          <w:lang w:val="en-IE"/>
        </w:rPr>
      </w:pPr>
      <w:r w:rsidRPr="00B356D4">
        <w:rPr>
          <w:noProof/>
          <w:lang w:val="en-IE"/>
        </w:rPr>
        <w:t>Chapter XI allows the Commission to</w:t>
      </w:r>
      <w:r>
        <w:rPr>
          <w:noProof/>
          <w:lang w:val="en-IE"/>
        </w:rPr>
        <w:t xml:space="preserve"> </w:t>
      </w:r>
      <w:r w:rsidRPr="00B356D4">
        <w:rPr>
          <w:noProof/>
          <w:lang w:val="en-IE"/>
        </w:rPr>
        <w:t xml:space="preserve">adopt delegated acts to introduce a monitoring mechanism on switching charges imposed on </w:t>
      </w:r>
      <w:r>
        <w:rPr>
          <w:noProof/>
          <w:lang w:val="en-IE"/>
        </w:rPr>
        <w:t xml:space="preserve">providers of </w:t>
      </w:r>
      <w:r w:rsidRPr="00B356D4">
        <w:rPr>
          <w:noProof/>
          <w:lang w:val="en-IE"/>
        </w:rPr>
        <w:t>dat</w:t>
      </w:r>
      <w:r>
        <w:rPr>
          <w:noProof/>
          <w:lang w:val="en-IE"/>
        </w:rPr>
        <w:t>a processing services,</w:t>
      </w:r>
      <w:r w:rsidRPr="3A86A359">
        <w:rPr>
          <w:noProof/>
          <w:lang w:val="en-IE"/>
        </w:rPr>
        <w:t xml:space="preserve"> </w:t>
      </w:r>
      <w:r w:rsidR="00375E75">
        <w:rPr>
          <w:rFonts w:eastAsia="Times New Roman"/>
          <w:noProof/>
          <w:szCs w:val="24"/>
          <w:lang w:val="en-IE"/>
        </w:rPr>
        <w:t xml:space="preserve">to further specify the essential requirements regarding </w:t>
      </w:r>
      <w:r>
        <w:rPr>
          <w:rFonts w:eastAsia="Times New Roman"/>
          <w:noProof/>
          <w:szCs w:val="24"/>
          <w:lang w:val="en-IE"/>
        </w:rPr>
        <w:t>interoperability</w:t>
      </w:r>
      <w:r w:rsidR="00375E75">
        <w:rPr>
          <w:rFonts w:eastAsia="Times New Roman"/>
          <w:noProof/>
          <w:szCs w:val="24"/>
          <w:lang w:val="en-IE"/>
        </w:rPr>
        <w:t>,</w:t>
      </w:r>
      <w:r>
        <w:rPr>
          <w:rFonts w:eastAsia="Times New Roman"/>
          <w:noProof/>
          <w:szCs w:val="24"/>
          <w:lang w:val="en-IE"/>
        </w:rPr>
        <w:t xml:space="preserve"> and </w:t>
      </w:r>
      <w:r w:rsidR="00375E75">
        <w:rPr>
          <w:rFonts w:eastAsia="Times New Roman"/>
          <w:noProof/>
          <w:szCs w:val="24"/>
          <w:lang w:val="en-IE"/>
        </w:rPr>
        <w:t>to publish</w:t>
      </w:r>
      <w:r w:rsidRPr="3A86A359">
        <w:rPr>
          <w:rFonts w:eastAsia="Times New Roman"/>
          <w:noProof/>
          <w:lang w:val="en-IE"/>
        </w:rPr>
        <w:t xml:space="preserve"> the </w:t>
      </w:r>
      <w:r w:rsidR="00375E75">
        <w:rPr>
          <w:rFonts w:eastAsia="Times New Roman"/>
          <w:noProof/>
          <w:lang w:val="en-IE"/>
        </w:rPr>
        <w:t xml:space="preserve">reference of open interoperability specifications and European </w:t>
      </w:r>
      <w:r>
        <w:rPr>
          <w:rFonts w:eastAsia="Times New Roman"/>
          <w:noProof/>
          <w:lang w:val="en-IE"/>
        </w:rPr>
        <w:t xml:space="preserve">standards for the </w:t>
      </w:r>
      <w:r>
        <w:rPr>
          <w:noProof/>
          <w:szCs w:val="24"/>
          <w:lang w:val="en-IE"/>
        </w:rPr>
        <w:t xml:space="preserve">interoperability of data processing services </w:t>
      </w:r>
      <w:r w:rsidR="00375E75">
        <w:rPr>
          <w:rFonts w:eastAsia="Times New Roman"/>
          <w:noProof/>
          <w:lang w:val="en-IE"/>
        </w:rPr>
        <w:t>. It also provides for the committee procedure to adopt implementing acts to facilitate the adoption of</w:t>
      </w:r>
      <w:r w:rsidRPr="3A86A359">
        <w:rPr>
          <w:rFonts w:eastAsia="Times New Roman"/>
          <w:noProof/>
          <w:lang w:val="en-IE"/>
        </w:rPr>
        <w:t xml:space="preserve"> common specifications </w:t>
      </w:r>
      <w:r w:rsidR="00375E75">
        <w:rPr>
          <w:rFonts w:eastAsia="Times New Roman"/>
          <w:noProof/>
          <w:lang w:val="en-IE"/>
        </w:rPr>
        <w:t>for interoperability and</w:t>
      </w:r>
      <w:r w:rsidRPr="3A86A359">
        <w:rPr>
          <w:rFonts w:eastAsia="Times New Roman"/>
          <w:noProof/>
          <w:lang w:val="en-IE"/>
        </w:rPr>
        <w:t xml:space="preserve"> smart contracts</w:t>
      </w:r>
      <w:r w:rsidR="00375E75">
        <w:rPr>
          <w:rFonts w:eastAsia="Times New Roman"/>
          <w:noProof/>
          <w:lang w:val="en-IE"/>
        </w:rPr>
        <w:t xml:space="preserve"> where harmonised standards do not exist or are insufficient to ensure the conformity with essential requirements</w:t>
      </w:r>
      <w:r w:rsidRPr="00B356D4">
        <w:rPr>
          <w:rFonts w:eastAsia="Times New Roman"/>
          <w:noProof/>
          <w:szCs w:val="24"/>
          <w:lang w:val="en-IE"/>
        </w:rPr>
        <w:t>.</w:t>
      </w:r>
      <w:r>
        <w:rPr>
          <w:noProof/>
          <w:lang w:val="en-IE"/>
        </w:rPr>
        <w:t xml:space="preserve"> The proposal also clarifies the relation to other Union legal acts governing data sharing rights and obligations.</w:t>
      </w:r>
    </w:p>
    <w:p w14:paraId="526A0787" w14:textId="13720A0F" w:rsidR="00A0188F" w:rsidRPr="00686918" w:rsidRDefault="00A0188F" w:rsidP="0023412A">
      <w:pPr>
        <w:spacing w:before="0" w:after="200"/>
        <w:rPr>
          <w:noProof/>
          <w:lang w:val="en-IE"/>
        </w:rPr>
        <w:sectPr w:rsidR="00A0188F" w:rsidRPr="00686918" w:rsidSect="00E81DB9">
          <w:footerReference w:type="default" r:id="rId10"/>
          <w:footerReference w:type="first" r:id="rId11"/>
          <w:pgSz w:w="11907" w:h="16839"/>
          <w:pgMar w:top="1134" w:right="1417" w:bottom="1134" w:left="1417" w:header="709" w:footer="709" w:gutter="0"/>
          <w:cols w:space="708"/>
          <w:docGrid w:linePitch="360"/>
        </w:sectPr>
      </w:pPr>
    </w:p>
    <w:p w14:paraId="54C9FEA4" w14:textId="0ECDCFE8" w:rsidR="0082102D" w:rsidRDefault="005E7D1B" w:rsidP="005E7D1B">
      <w:pPr>
        <w:pStyle w:val="Rfrenceinterinstitutionnelle"/>
        <w:rPr>
          <w:noProof/>
        </w:rPr>
      </w:pPr>
      <w:r w:rsidRPr="005E7D1B">
        <w:t>2022/0047 (COD)</w:t>
      </w:r>
    </w:p>
    <w:p w14:paraId="48AFB7DC" w14:textId="51A969A9" w:rsidR="00A0188F" w:rsidRPr="00F96E01" w:rsidRDefault="00F15EF6" w:rsidP="00F15EF6">
      <w:pPr>
        <w:pStyle w:val="Statut"/>
        <w:rPr>
          <w:noProof/>
        </w:rPr>
      </w:pPr>
      <w:r w:rsidRPr="00F15EF6">
        <w:rPr>
          <w:noProof/>
        </w:rPr>
        <w:t>Proposal for a</w:t>
      </w:r>
    </w:p>
    <w:p w14:paraId="182D4964" w14:textId="578DB72C" w:rsidR="00A0188F" w:rsidRPr="00F96E01" w:rsidRDefault="00F15EF6" w:rsidP="00F15EF6">
      <w:pPr>
        <w:pStyle w:val="Typedudocument"/>
        <w:rPr>
          <w:noProof/>
        </w:rPr>
      </w:pPr>
      <w:r w:rsidRPr="00F15EF6">
        <w:rPr>
          <w:noProof/>
        </w:rPr>
        <w:t>REGULATION OF THE EUROPEAN PARLIAMENT AND OF THE COUNCIL</w:t>
      </w:r>
    </w:p>
    <w:p w14:paraId="1C654C55" w14:textId="5318A85F" w:rsidR="00C83280" w:rsidRDefault="00F15EF6" w:rsidP="00F15EF6">
      <w:pPr>
        <w:pStyle w:val="Titreobjet"/>
        <w:rPr>
          <w:noProof/>
        </w:rPr>
      </w:pPr>
      <w:r w:rsidRPr="00F15EF6">
        <w:rPr>
          <w:noProof/>
        </w:rPr>
        <w:t>on harmonised rules on fair access to and use of data</w:t>
      </w:r>
      <w:r w:rsidRPr="00F15EF6">
        <w:rPr>
          <w:noProof/>
        </w:rPr>
        <w:br/>
        <w:t>(Data Act)</w:t>
      </w:r>
    </w:p>
    <w:p w14:paraId="3397956B" w14:textId="15CE5A6B" w:rsidR="00D91EB4" w:rsidRDefault="00F15EF6" w:rsidP="00F15EF6">
      <w:pPr>
        <w:pStyle w:val="IntrtEEE"/>
        <w:rPr>
          <w:noProof/>
        </w:rPr>
      </w:pPr>
      <w:r w:rsidRPr="00F15EF6">
        <w:rPr>
          <w:noProof/>
        </w:rPr>
        <w:t>(Text with EEA relevance)</w:t>
      </w:r>
    </w:p>
    <w:p w14:paraId="752E2BE6" w14:textId="73E8587C" w:rsidR="00A0188F" w:rsidRPr="00F96E01" w:rsidRDefault="00A0188F" w:rsidP="00A05AF1">
      <w:pPr>
        <w:pStyle w:val="Institutionquiagit"/>
        <w:rPr>
          <w:noProof/>
        </w:rPr>
      </w:pPr>
      <w:r w:rsidRPr="00F96E01">
        <w:rPr>
          <w:noProof/>
        </w:rPr>
        <w:t>THE EUROPEAN PARLIAMENT AND THE COUNCIL OF THE EUROPEAN UNION,</w:t>
      </w:r>
    </w:p>
    <w:p w14:paraId="0756FA4A" w14:textId="77777777" w:rsidR="00A0188F" w:rsidRPr="00F96E01" w:rsidRDefault="00A0188F" w:rsidP="00A05AF1">
      <w:pPr>
        <w:rPr>
          <w:noProof/>
        </w:rPr>
      </w:pPr>
      <w:r w:rsidRPr="00F96E01">
        <w:rPr>
          <w:noProof/>
        </w:rPr>
        <w:t xml:space="preserve">Having regard to the Treaty on the Functioning of the European Union, and in particular Article </w:t>
      </w:r>
      <w:r w:rsidR="00E90BFF" w:rsidRPr="00B356D4">
        <w:rPr>
          <w:noProof/>
          <w:lang w:val="en-IE"/>
        </w:rPr>
        <w:t>114</w:t>
      </w:r>
      <w:r w:rsidRPr="00F96E01">
        <w:rPr>
          <w:noProof/>
        </w:rPr>
        <w:t xml:space="preserve"> thereof,</w:t>
      </w:r>
    </w:p>
    <w:p w14:paraId="2ECC935E" w14:textId="77777777" w:rsidR="00A0188F" w:rsidRPr="00F96E01" w:rsidRDefault="00A0188F" w:rsidP="00A05AF1">
      <w:pPr>
        <w:rPr>
          <w:noProof/>
        </w:rPr>
      </w:pPr>
      <w:r w:rsidRPr="00F96E01">
        <w:rPr>
          <w:noProof/>
        </w:rPr>
        <w:t>Having regard to the proposal from the European Commission,</w:t>
      </w:r>
    </w:p>
    <w:p w14:paraId="793E569C" w14:textId="77777777" w:rsidR="00A0188F" w:rsidRPr="00F96E01" w:rsidRDefault="00A0188F" w:rsidP="00A05AF1">
      <w:pPr>
        <w:rPr>
          <w:noProof/>
        </w:rPr>
      </w:pPr>
      <w:r w:rsidRPr="00F96E01">
        <w:rPr>
          <w:noProof/>
        </w:rPr>
        <w:t xml:space="preserve">After transmission of the draft legislative act to the national </w:t>
      </w:r>
      <w:r>
        <w:rPr>
          <w:noProof/>
        </w:rPr>
        <w:t>p</w:t>
      </w:r>
      <w:r w:rsidRPr="00F96E01">
        <w:rPr>
          <w:noProof/>
        </w:rPr>
        <w:t>arliaments,</w:t>
      </w:r>
    </w:p>
    <w:p w14:paraId="678D9A3A" w14:textId="77777777" w:rsidR="00A0188F" w:rsidRPr="00F96E01" w:rsidRDefault="00A0188F" w:rsidP="00A05AF1">
      <w:pPr>
        <w:rPr>
          <w:noProof/>
        </w:rPr>
      </w:pPr>
      <w:r w:rsidRPr="00F96E01">
        <w:rPr>
          <w:noProof/>
        </w:rPr>
        <w:t>Having regard to the opinion of the European Economic and Social Committee</w:t>
      </w:r>
      <w:r w:rsidRPr="00F96E01">
        <w:rPr>
          <w:rStyle w:val="FootnoteReference"/>
          <w:noProof/>
        </w:rPr>
        <w:footnoteReference w:id="57"/>
      </w:r>
      <w:r w:rsidRPr="00F96E01">
        <w:rPr>
          <w:noProof/>
        </w:rPr>
        <w:t xml:space="preserve">, </w:t>
      </w:r>
    </w:p>
    <w:p w14:paraId="3E629124" w14:textId="77777777" w:rsidR="00A0188F" w:rsidRPr="00F96E01" w:rsidRDefault="00A0188F" w:rsidP="00A05AF1">
      <w:pPr>
        <w:rPr>
          <w:noProof/>
        </w:rPr>
      </w:pPr>
      <w:r w:rsidRPr="00F96E01">
        <w:rPr>
          <w:noProof/>
        </w:rPr>
        <w:t>Having regard to the opinion of the Committee of the Regions</w:t>
      </w:r>
      <w:r w:rsidRPr="00F96E01">
        <w:rPr>
          <w:rStyle w:val="FootnoteReference"/>
          <w:noProof/>
        </w:rPr>
        <w:footnoteReference w:id="58"/>
      </w:r>
      <w:r w:rsidRPr="00F96E01">
        <w:rPr>
          <w:noProof/>
        </w:rPr>
        <w:t xml:space="preserve">, </w:t>
      </w:r>
    </w:p>
    <w:p w14:paraId="6666E565" w14:textId="77777777" w:rsidR="00A0188F" w:rsidRPr="00F96E01" w:rsidRDefault="00A0188F" w:rsidP="00A05AF1">
      <w:pPr>
        <w:rPr>
          <w:noProof/>
        </w:rPr>
      </w:pPr>
      <w:r w:rsidRPr="00F96E01">
        <w:rPr>
          <w:noProof/>
        </w:rPr>
        <w:t>Acting in accordance with the ordinary legislative procedure,</w:t>
      </w:r>
    </w:p>
    <w:p w14:paraId="147B534C" w14:textId="77777777" w:rsidR="00A0188F" w:rsidRPr="00F96E01" w:rsidRDefault="00A0188F" w:rsidP="00A05AF1">
      <w:pPr>
        <w:rPr>
          <w:noProof/>
        </w:rPr>
      </w:pPr>
      <w:r w:rsidRPr="00F96E01">
        <w:rPr>
          <w:noProof/>
        </w:rPr>
        <w:t>Whereas:</w:t>
      </w:r>
    </w:p>
    <w:p w14:paraId="67C21053" w14:textId="7E38B242" w:rsidR="0023412A" w:rsidRPr="00D53F43" w:rsidRDefault="000856CE" w:rsidP="000856CE">
      <w:pPr>
        <w:pStyle w:val="ManualConsidrant"/>
        <w:rPr>
          <w:noProof/>
          <w:lang w:val="en-IE"/>
        </w:rPr>
      </w:pPr>
      <w:r w:rsidRPr="000856CE">
        <w:t>(1)</w:t>
      </w:r>
      <w:r w:rsidRPr="000856CE">
        <w:tab/>
      </w:r>
      <w:r w:rsidR="0023412A" w:rsidRPr="0040583F">
        <w:rPr>
          <w:noProof/>
          <w:lang w:val="en-IE"/>
        </w:rPr>
        <w:t xml:space="preserve">In recent years, data-driven technologies have had transformative effects on all sectors of the economy. </w:t>
      </w:r>
      <w:r w:rsidR="0023412A" w:rsidRPr="009B0E04">
        <w:rPr>
          <w:noProof/>
          <w:lang w:val="en-IE"/>
        </w:rPr>
        <w:t>The proliferation in products connected to the Internet of Things</w:t>
      </w:r>
      <w:r w:rsidR="0023412A">
        <w:rPr>
          <w:noProof/>
          <w:lang w:val="en-IE"/>
        </w:rPr>
        <w:t xml:space="preserve"> in particular</w:t>
      </w:r>
      <w:r w:rsidR="0023412A" w:rsidRPr="009B0E04">
        <w:rPr>
          <w:noProof/>
          <w:lang w:val="en-IE"/>
        </w:rPr>
        <w:t xml:space="preserve"> has increased the volume and potential value of data for </w:t>
      </w:r>
      <w:r w:rsidR="0023412A" w:rsidRPr="00671BC7">
        <w:rPr>
          <w:noProof/>
          <w:lang w:val="en-IE"/>
        </w:rPr>
        <w:t xml:space="preserve">consumers, </w:t>
      </w:r>
      <w:r w:rsidR="0023412A" w:rsidRPr="009B0E04">
        <w:rPr>
          <w:noProof/>
          <w:lang w:val="en-IE"/>
        </w:rPr>
        <w:t xml:space="preserve">businesses and society. </w:t>
      </w:r>
      <w:r w:rsidR="0023412A" w:rsidRPr="00064DAB">
        <w:rPr>
          <w:rFonts w:eastAsia="Times New Roman"/>
          <w:noProof/>
          <w:lang w:val="en-IE"/>
        </w:rPr>
        <w:t>High</w:t>
      </w:r>
      <w:r w:rsidR="0023412A">
        <w:rPr>
          <w:rFonts w:eastAsia="Times New Roman"/>
          <w:noProof/>
          <w:lang w:val="en-IE"/>
        </w:rPr>
        <w:t xml:space="preserve"> </w:t>
      </w:r>
      <w:r w:rsidR="0023412A" w:rsidRPr="00064DAB">
        <w:rPr>
          <w:rFonts w:eastAsia="Times New Roman"/>
          <w:noProof/>
          <w:lang w:val="en-IE"/>
        </w:rPr>
        <w:t>quality and interoperable data from different domains</w:t>
      </w:r>
      <w:r w:rsidR="0023412A">
        <w:rPr>
          <w:rFonts w:eastAsia="Times New Roman"/>
          <w:noProof/>
          <w:lang w:val="en-IE"/>
        </w:rPr>
        <w:t xml:space="preserve"> increase competitiveness and innovation and ensure</w:t>
      </w:r>
      <w:r w:rsidR="0023412A" w:rsidRPr="009B0E04">
        <w:rPr>
          <w:noProof/>
          <w:lang w:val="en-IE"/>
        </w:rPr>
        <w:t xml:space="preserve"> </w:t>
      </w:r>
      <w:r w:rsidR="0023412A" w:rsidRPr="00064DAB">
        <w:rPr>
          <w:noProof/>
          <w:lang w:val="en-IE"/>
        </w:rPr>
        <w:t xml:space="preserve">sustainable economic growth. The same dataset may potentially be used and reused for a variety of purposes and to an unlimited degree, without any loss in its quality or quantity. </w:t>
      </w:r>
    </w:p>
    <w:p w14:paraId="1AF9216A" w14:textId="0791C4D4" w:rsidR="0023412A" w:rsidRPr="00926AE1" w:rsidRDefault="000856CE" w:rsidP="000856CE">
      <w:pPr>
        <w:pStyle w:val="ManualConsidrant"/>
        <w:rPr>
          <w:rFonts w:asciiTheme="minorHAnsi" w:eastAsiaTheme="minorEastAsia" w:hAnsiTheme="minorHAnsi" w:cstheme="minorBidi"/>
          <w:noProof/>
          <w:lang w:val="en-IE"/>
        </w:rPr>
      </w:pPr>
      <w:r w:rsidRPr="000856CE">
        <w:t>(2)</w:t>
      </w:r>
      <w:r w:rsidRPr="000856CE">
        <w:tab/>
      </w:r>
      <w:r w:rsidR="0023412A" w:rsidRPr="00881E71">
        <w:rPr>
          <w:noProof/>
          <w:lang w:val="en-IE"/>
        </w:rPr>
        <w:t xml:space="preserve">Barriers to data sharing </w:t>
      </w:r>
      <w:r w:rsidR="0023412A">
        <w:rPr>
          <w:noProof/>
          <w:lang w:val="en-IE"/>
        </w:rPr>
        <w:t xml:space="preserve">prevent </w:t>
      </w:r>
      <w:r w:rsidR="0023412A" w:rsidRPr="00671BC7">
        <w:rPr>
          <w:noProof/>
          <w:lang w:val="en-IE"/>
        </w:rPr>
        <w:t>an</w:t>
      </w:r>
      <w:r w:rsidR="0023412A">
        <w:rPr>
          <w:noProof/>
          <w:lang w:val="en-IE"/>
        </w:rPr>
        <w:t xml:space="preserve"> </w:t>
      </w:r>
      <w:r w:rsidR="0023412A" w:rsidRPr="00064DAB">
        <w:rPr>
          <w:noProof/>
          <w:lang w:val="en-IE"/>
        </w:rPr>
        <w:t>optimal allocation of data</w:t>
      </w:r>
      <w:r w:rsidR="0023412A">
        <w:rPr>
          <w:noProof/>
          <w:lang w:val="en-IE"/>
        </w:rPr>
        <w:t xml:space="preserve"> to the benefit of society. These barriers</w:t>
      </w:r>
      <w:r w:rsidR="0023412A" w:rsidRPr="00881E71">
        <w:rPr>
          <w:noProof/>
          <w:lang w:val="en-IE"/>
        </w:rPr>
        <w:t xml:space="preserve"> include </w:t>
      </w:r>
      <w:r w:rsidR="0023412A">
        <w:rPr>
          <w:noProof/>
          <w:lang w:val="en-IE"/>
        </w:rPr>
        <w:t>a</w:t>
      </w:r>
      <w:r w:rsidR="0023412A" w:rsidRPr="009B0E04">
        <w:rPr>
          <w:noProof/>
          <w:lang w:val="en-IE"/>
        </w:rPr>
        <w:t xml:space="preserve"> </w:t>
      </w:r>
      <w:r w:rsidR="0023412A" w:rsidRPr="00881E71">
        <w:rPr>
          <w:noProof/>
          <w:lang w:val="en-IE"/>
        </w:rPr>
        <w:t xml:space="preserve">lack of incentives for data holders to </w:t>
      </w:r>
      <w:r w:rsidR="0023412A">
        <w:rPr>
          <w:noProof/>
          <w:lang w:val="en-IE"/>
        </w:rPr>
        <w:t xml:space="preserve">enter </w:t>
      </w:r>
      <w:r w:rsidR="0023412A" w:rsidRPr="009B0E04">
        <w:rPr>
          <w:noProof/>
          <w:lang w:val="en-IE"/>
        </w:rPr>
        <w:t>voluntar</w:t>
      </w:r>
      <w:r w:rsidR="0023412A">
        <w:rPr>
          <w:noProof/>
          <w:lang w:val="en-IE"/>
        </w:rPr>
        <w:t>il</w:t>
      </w:r>
      <w:r w:rsidR="0023412A" w:rsidRPr="009B0E04">
        <w:rPr>
          <w:noProof/>
          <w:lang w:val="en-IE"/>
        </w:rPr>
        <w:t>y</w:t>
      </w:r>
      <w:r w:rsidR="0023412A">
        <w:rPr>
          <w:noProof/>
          <w:lang w:val="en-IE"/>
        </w:rPr>
        <w:t xml:space="preserve"> into</w:t>
      </w:r>
      <w:r w:rsidR="0023412A" w:rsidRPr="009B0E04">
        <w:rPr>
          <w:noProof/>
          <w:lang w:val="en-IE"/>
        </w:rPr>
        <w:t xml:space="preserve"> </w:t>
      </w:r>
      <w:r w:rsidR="0023412A">
        <w:rPr>
          <w:noProof/>
          <w:lang w:val="en-IE"/>
        </w:rPr>
        <w:t xml:space="preserve">data </w:t>
      </w:r>
      <w:r w:rsidR="0023412A" w:rsidRPr="009B0E04">
        <w:rPr>
          <w:noProof/>
          <w:lang w:val="en-IE"/>
        </w:rPr>
        <w:t>sharing agreements, uncertainty about rights and obligations</w:t>
      </w:r>
      <w:r w:rsidR="0023412A">
        <w:rPr>
          <w:noProof/>
          <w:lang w:val="en-IE"/>
        </w:rPr>
        <w:t xml:space="preserve"> in relation to data</w:t>
      </w:r>
      <w:r w:rsidR="0023412A" w:rsidRPr="009B0E04">
        <w:rPr>
          <w:noProof/>
          <w:lang w:val="en-IE"/>
        </w:rPr>
        <w:t>, costs of contract</w:t>
      </w:r>
      <w:r w:rsidR="0023412A">
        <w:rPr>
          <w:noProof/>
          <w:lang w:val="en-IE"/>
        </w:rPr>
        <w:t>ing</w:t>
      </w:r>
      <w:r w:rsidR="0023412A" w:rsidRPr="009B0E04">
        <w:rPr>
          <w:noProof/>
          <w:lang w:val="en-IE"/>
        </w:rPr>
        <w:t xml:space="preserve"> </w:t>
      </w:r>
      <w:r w:rsidR="0023412A" w:rsidRPr="00881E71">
        <w:rPr>
          <w:noProof/>
          <w:lang w:val="en-IE"/>
        </w:rPr>
        <w:t xml:space="preserve">and implementing technical interfaces, </w:t>
      </w:r>
      <w:r w:rsidR="0023412A" w:rsidRPr="00881E71">
        <w:rPr>
          <w:rFonts w:eastAsia="Times New Roman"/>
          <w:noProof/>
          <w:lang w:val="en-IE"/>
        </w:rPr>
        <w:t xml:space="preserve">the high level of fragmentation of information in data silos, poor metadata management, </w:t>
      </w:r>
      <w:r w:rsidR="0023412A" w:rsidRPr="00881E71">
        <w:rPr>
          <w:noProof/>
          <w:lang w:val="en-IE"/>
        </w:rPr>
        <w:t>the absence of standards for semantic and technical interoperability, bottlenecks impeding data access, a lack of common data sharing practice</w:t>
      </w:r>
      <w:r w:rsidR="0023412A">
        <w:rPr>
          <w:noProof/>
          <w:lang w:val="en-IE"/>
        </w:rPr>
        <w:t>s</w:t>
      </w:r>
      <w:r w:rsidR="0023412A" w:rsidRPr="00881E71">
        <w:rPr>
          <w:noProof/>
          <w:lang w:val="en-IE"/>
        </w:rPr>
        <w:t xml:space="preserve"> and abuse of contractual imbalances with regards to data access and use. </w:t>
      </w:r>
    </w:p>
    <w:p w14:paraId="6283A125" w14:textId="62057CCE" w:rsidR="0023412A" w:rsidRDefault="000856CE" w:rsidP="000856CE">
      <w:pPr>
        <w:pStyle w:val="ManualConsidrant"/>
        <w:rPr>
          <w:rFonts w:asciiTheme="minorHAnsi" w:eastAsiaTheme="minorEastAsia" w:hAnsiTheme="minorHAnsi" w:cstheme="minorBidi"/>
          <w:noProof/>
          <w:lang w:val="en-IE"/>
        </w:rPr>
      </w:pPr>
      <w:r w:rsidRPr="000856CE">
        <w:t>(3)</w:t>
      </w:r>
      <w:r w:rsidRPr="000856CE">
        <w:tab/>
      </w:r>
      <w:r w:rsidR="0023412A" w:rsidRPr="44137436">
        <w:rPr>
          <w:noProof/>
          <w:lang w:val="en-IE"/>
        </w:rPr>
        <w:t xml:space="preserve">In sectors characterised by the presence of micro, small and medium-sized enterprises, there is often a lack of digital capacities and skills to collect, analyse and use data, and access is </w:t>
      </w:r>
      <w:r w:rsidR="0023412A" w:rsidRPr="44137436">
        <w:rPr>
          <w:rFonts w:eastAsia="Times New Roman"/>
          <w:noProof/>
          <w:lang w:val="en-IE"/>
        </w:rPr>
        <w:t xml:space="preserve">frequently </w:t>
      </w:r>
      <w:r w:rsidR="0023412A" w:rsidRPr="44137436">
        <w:rPr>
          <w:noProof/>
          <w:lang w:val="en-IE"/>
        </w:rPr>
        <w:t xml:space="preserve">restricted where one actor holds it in the system or due to a lack of interoperability between data, </w:t>
      </w:r>
      <w:r w:rsidR="0023412A">
        <w:rPr>
          <w:noProof/>
          <w:lang w:val="en-IE"/>
        </w:rPr>
        <w:t xml:space="preserve">between </w:t>
      </w:r>
      <w:r w:rsidR="0023412A" w:rsidRPr="44137436">
        <w:rPr>
          <w:noProof/>
          <w:lang w:val="en-IE"/>
        </w:rPr>
        <w:t>data services or across borders.</w:t>
      </w:r>
    </w:p>
    <w:p w14:paraId="6EC9E6C6" w14:textId="7CBFB812" w:rsidR="0023412A" w:rsidRPr="00351078" w:rsidRDefault="000856CE" w:rsidP="000856CE">
      <w:pPr>
        <w:pStyle w:val="ManualConsidrant"/>
        <w:rPr>
          <w:rFonts w:asciiTheme="minorHAnsi" w:eastAsiaTheme="minorEastAsia" w:hAnsiTheme="minorHAnsi" w:cstheme="minorBidi"/>
          <w:noProof/>
          <w:lang w:val="en-IE"/>
        </w:rPr>
      </w:pPr>
      <w:r w:rsidRPr="000856CE">
        <w:t>(4)</w:t>
      </w:r>
      <w:r w:rsidRPr="000856CE">
        <w:tab/>
      </w:r>
      <w:r w:rsidR="0023412A" w:rsidRPr="00351078">
        <w:rPr>
          <w:noProof/>
          <w:lang w:val="en-IE"/>
        </w:rPr>
        <w:t xml:space="preserve">In order to respond to the needs of the digital economy and to remove barriers to a well-functioning internal market for data, it is necessary to lay down a harmonised framework </w:t>
      </w:r>
      <w:r w:rsidR="00DE0D63">
        <w:rPr>
          <w:noProof/>
          <w:lang w:val="en-IE"/>
        </w:rPr>
        <w:t>specifying who, other than the manufacturer or other data holder is entitled to access the data generated by products or related services, under which conditions and on what basis</w:t>
      </w:r>
      <w:r w:rsidR="0023412A" w:rsidRPr="00351078">
        <w:rPr>
          <w:noProof/>
          <w:lang w:val="en-IE"/>
        </w:rPr>
        <w:t>. Accordingly, Member States should not adopt or maintain additional national requirements on those matters falling within the scope of this Regulation, unless explicitly provided for in this Regulation, since this would affect the direct and uniform application of this Regulation.</w:t>
      </w:r>
    </w:p>
    <w:p w14:paraId="52A72E11" w14:textId="79FD129B" w:rsidR="0023412A" w:rsidRDefault="000856CE" w:rsidP="000856CE">
      <w:pPr>
        <w:pStyle w:val="ManualConsidrant"/>
        <w:rPr>
          <w:rFonts w:asciiTheme="minorHAnsi" w:eastAsiaTheme="minorEastAsia" w:hAnsiTheme="minorHAnsi" w:cstheme="minorBidi"/>
          <w:noProof/>
          <w:lang w:val="en-IE"/>
        </w:rPr>
      </w:pPr>
      <w:r w:rsidRPr="000856CE">
        <w:t>(5)</w:t>
      </w:r>
      <w:r w:rsidRPr="000856CE">
        <w:tab/>
      </w:r>
      <w:r w:rsidR="00DE0D63">
        <w:rPr>
          <w:noProof/>
          <w:lang w:val="en-IE"/>
        </w:rPr>
        <w:t>T</w:t>
      </w:r>
      <w:r w:rsidR="0023412A" w:rsidRPr="44137436">
        <w:rPr>
          <w:noProof/>
          <w:lang w:val="en-IE"/>
        </w:rPr>
        <w:t xml:space="preserve">his Regulation ensures that users of a product </w:t>
      </w:r>
      <w:r w:rsidR="00DE0D63">
        <w:rPr>
          <w:noProof/>
          <w:lang w:val="en-IE"/>
        </w:rPr>
        <w:t>or</w:t>
      </w:r>
      <w:r w:rsidR="00DE0D63" w:rsidRPr="44137436">
        <w:rPr>
          <w:noProof/>
          <w:lang w:val="en-IE"/>
        </w:rPr>
        <w:t xml:space="preserve"> </w:t>
      </w:r>
      <w:r w:rsidR="0023412A" w:rsidRPr="44137436">
        <w:rPr>
          <w:noProof/>
          <w:lang w:val="en-IE"/>
        </w:rPr>
        <w:t xml:space="preserve">related service in the Union can access, in a timely manner, the data generated by the use of that product </w:t>
      </w:r>
      <w:r w:rsidR="00DE0D63">
        <w:rPr>
          <w:noProof/>
          <w:lang w:val="en-IE"/>
        </w:rPr>
        <w:t>or</w:t>
      </w:r>
      <w:r w:rsidR="0013192C" w:rsidRPr="44137436">
        <w:rPr>
          <w:noProof/>
          <w:lang w:val="en-IE"/>
        </w:rPr>
        <w:t xml:space="preserve"> </w:t>
      </w:r>
      <w:r w:rsidR="0023412A" w:rsidRPr="44137436">
        <w:rPr>
          <w:noProof/>
          <w:lang w:val="en-IE"/>
        </w:rPr>
        <w:t>related service and that those users can use th</w:t>
      </w:r>
      <w:r w:rsidR="0023412A">
        <w:rPr>
          <w:noProof/>
          <w:lang w:val="en-IE"/>
        </w:rPr>
        <w:t>e</w:t>
      </w:r>
      <w:r w:rsidR="0023412A" w:rsidRPr="44137436">
        <w:rPr>
          <w:noProof/>
          <w:lang w:val="en-IE"/>
        </w:rPr>
        <w:t xml:space="preserve"> data, including by sharing them with third parties of their choice. </w:t>
      </w:r>
      <w:r w:rsidR="0023412A">
        <w:rPr>
          <w:noProof/>
          <w:lang w:val="en-IE"/>
        </w:rPr>
        <w:t xml:space="preserve">It </w:t>
      </w:r>
      <w:r w:rsidR="003E3905">
        <w:rPr>
          <w:noProof/>
          <w:lang w:val="en-IE"/>
        </w:rPr>
        <w:t>imposes</w:t>
      </w:r>
      <w:r w:rsidR="00051AD6">
        <w:rPr>
          <w:rFonts w:eastAsiaTheme="minorEastAsia"/>
          <w:noProof/>
          <w:lang w:val="en-IE"/>
        </w:rPr>
        <w:t xml:space="preserve"> </w:t>
      </w:r>
      <w:r w:rsidR="0023412A" w:rsidRPr="00BD4877">
        <w:rPr>
          <w:rFonts w:eastAsiaTheme="minorEastAsia"/>
          <w:noProof/>
          <w:lang w:val="en-IE"/>
        </w:rPr>
        <w:t xml:space="preserve">the obligation on the data holder to make data available </w:t>
      </w:r>
      <w:r w:rsidR="00051AD6">
        <w:rPr>
          <w:rFonts w:eastAsiaTheme="minorEastAsia"/>
          <w:noProof/>
          <w:lang w:val="en-IE"/>
        </w:rPr>
        <w:t xml:space="preserve">to users and third parties nominated by </w:t>
      </w:r>
      <w:r w:rsidR="00BB47A4">
        <w:rPr>
          <w:rFonts w:eastAsiaTheme="minorEastAsia"/>
          <w:noProof/>
          <w:lang w:val="en-IE"/>
        </w:rPr>
        <w:t>the users</w:t>
      </w:r>
      <w:r w:rsidR="00051AD6">
        <w:rPr>
          <w:rFonts w:eastAsiaTheme="minorEastAsia"/>
          <w:noProof/>
          <w:lang w:val="en-IE"/>
        </w:rPr>
        <w:t xml:space="preserve"> </w:t>
      </w:r>
      <w:r w:rsidR="0023412A" w:rsidRPr="00BD4877">
        <w:rPr>
          <w:rFonts w:eastAsiaTheme="minorEastAsia"/>
          <w:noProof/>
          <w:lang w:val="en-IE"/>
        </w:rPr>
        <w:t>in certain circumstances.</w:t>
      </w:r>
      <w:r w:rsidR="0023412A">
        <w:rPr>
          <w:rFonts w:eastAsiaTheme="minorEastAsia"/>
          <w:noProof/>
          <w:lang w:val="en-IE"/>
        </w:rPr>
        <w:t xml:space="preserve"> </w:t>
      </w:r>
      <w:r w:rsidR="0023412A" w:rsidRPr="44137436">
        <w:rPr>
          <w:noProof/>
          <w:lang w:val="en-IE"/>
        </w:rPr>
        <w:t xml:space="preserve">It also ensures that data holders make data available to data recipients in the Union under fair, reasonable and non-discriminatory terms and in a transparent manner. Private law rules are key in the overall framework of data sharing. Therefore, this Regulation adapts rules of contract law </w:t>
      </w:r>
      <w:r w:rsidR="00DE0D63">
        <w:rPr>
          <w:noProof/>
          <w:lang w:val="en-IE"/>
        </w:rPr>
        <w:t>and</w:t>
      </w:r>
      <w:r w:rsidR="00DE0D63" w:rsidRPr="44137436">
        <w:rPr>
          <w:noProof/>
          <w:lang w:val="en-IE"/>
        </w:rPr>
        <w:t xml:space="preserve"> </w:t>
      </w:r>
      <w:r w:rsidR="0023412A" w:rsidRPr="44137436">
        <w:rPr>
          <w:noProof/>
          <w:lang w:val="en-IE"/>
        </w:rPr>
        <w:t>prevent</w:t>
      </w:r>
      <w:r w:rsidR="00DE0D63">
        <w:rPr>
          <w:noProof/>
          <w:lang w:val="en-IE"/>
        </w:rPr>
        <w:t>s</w:t>
      </w:r>
      <w:r w:rsidR="0023412A" w:rsidRPr="44137436">
        <w:rPr>
          <w:noProof/>
          <w:lang w:val="en-IE"/>
        </w:rPr>
        <w:t xml:space="preserve"> the exploitation of contractual imbalances that hinder fair data access and use for micro, small or medium-sized enterprise</w:t>
      </w:r>
      <w:r w:rsidR="0023412A">
        <w:rPr>
          <w:noProof/>
          <w:lang w:val="en-IE"/>
        </w:rPr>
        <w:t>s</w:t>
      </w:r>
      <w:r w:rsidR="0023412A" w:rsidRPr="44137436">
        <w:rPr>
          <w:noProof/>
          <w:lang w:val="en-IE"/>
        </w:rPr>
        <w:t xml:space="preserve"> within the meaning of Recommendation 2003/361/EC. This Regulation also ensures that data holders make available to public sector bodies of the Member States and to Union institutions, agencies or bodies, where there is an exceptional need, the data that are necessary for the performance of task</w:t>
      </w:r>
      <w:r w:rsidR="0023412A">
        <w:rPr>
          <w:noProof/>
          <w:lang w:val="en-IE"/>
        </w:rPr>
        <w:t>s</w:t>
      </w:r>
      <w:r w:rsidR="0023412A" w:rsidRPr="44137436">
        <w:rPr>
          <w:noProof/>
          <w:lang w:val="en-IE"/>
        </w:rPr>
        <w:t xml:space="preserve"> carried out in the public interest. In addition, this Regulation seeks to facilitate switching between data processing services and to enhance the interoperability of data and data sharing mechanisms and services in the Union. </w:t>
      </w:r>
      <w:r w:rsidR="00DE0D63">
        <w:rPr>
          <w:noProof/>
          <w:lang w:val="en-IE"/>
        </w:rPr>
        <w:t>This Regulation should not be interpreted as recognising or creating any legal basis for the data holder to hold, have access to or process data, or as conferring any new right on the data holder to use data generated by the use of a product or related service. Instead, it takes as its starting point the control that the data holder effectively enjoys, de facto or de jure, over data generated by products or related services.</w:t>
      </w:r>
    </w:p>
    <w:p w14:paraId="729F30FE" w14:textId="2CB6C054" w:rsidR="0023412A" w:rsidRDefault="000856CE" w:rsidP="000856CE">
      <w:pPr>
        <w:pStyle w:val="ManualConsidrant"/>
        <w:rPr>
          <w:rFonts w:asciiTheme="minorHAnsi" w:eastAsiaTheme="minorEastAsia" w:hAnsiTheme="minorHAnsi" w:cstheme="minorBidi"/>
          <w:noProof/>
          <w:lang w:val="en-IE"/>
        </w:rPr>
      </w:pPr>
      <w:r w:rsidRPr="000856CE">
        <w:t>(6)</w:t>
      </w:r>
      <w:r w:rsidRPr="000856CE">
        <w:tab/>
      </w:r>
      <w:r w:rsidR="00DE0D63">
        <w:rPr>
          <w:noProof/>
          <w:lang w:val="en-IE"/>
        </w:rPr>
        <w:t>D</w:t>
      </w:r>
      <w:r w:rsidR="0023412A" w:rsidRPr="44137436">
        <w:rPr>
          <w:noProof/>
          <w:lang w:val="en-IE"/>
        </w:rPr>
        <w:t>ata generation is the result of the actions of at least two actors, the designer or manufacturer of a product and the user of that product. It gives rise to questions of fairness in the digital economy</w:t>
      </w:r>
      <w:r w:rsidR="0023412A">
        <w:rPr>
          <w:noProof/>
          <w:lang w:val="en-IE"/>
        </w:rPr>
        <w:t>,</w:t>
      </w:r>
      <w:r w:rsidR="0023412A" w:rsidRPr="44137436">
        <w:rPr>
          <w:noProof/>
          <w:lang w:val="en-IE"/>
        </w:rPr>
        <w:t xml:space="preserve"> </w:t>
      </w:r>
      <w:r w:rsidR="0023412A">
        <w:rPr>
          <w:noProof/>
          <w:lang w:val="en-IE"/>
        </w:rPr>
        <w:t>because</w:t>
      </w:r>
      <w:r w:rsidR="0023412A" w:rsidRPr="44137436">
        <w:rPr>
          <w:noProof/>
          <w:lang w:val="en-IE"/>
        </w:rPr>
        <w:t xml:space="preserve"> the data recorded by such products </w:t>
      </w:r>
      <w:r w:rsidR="00DE0D63">
        <w:rPr>
          <w:noProof/>
          <w:lang w:val="en-IE"/>
        </w:rPr>
        <w:t>or</w:t>
      </w:r>
      <w:r w:rsidR="00DE0D63" w:rsidRPr="44137436">
        <w:rPr>
          <w:noProof/>
          <w:lang w:val="en-IE"/>
        </w:rPr>
        <w:t xml:space="preserve"> </w:t>
      </w:r>
      <w:r w:rsidR="0023412A" w:rsidRPr="44137436">
        <w:rPr>
          <w:noProof/>
          <w:lang w:val="en-IE"/>
        </w:rPr>
        <w:t xml:space="preserve">related services are an important input for aftermarket, ancillary and other services. In order to realise the important economic benefits of data as a non-rival good for the economy and society, </w:t>
      </w:r>
      <w:r w:rsidR="0023412A">
        <w:rPr>
          <w:noProof/>
          <w:lang w:val="en-IE"/>
        </w:rPr>
        <w:t>a</w:t>
      </w:r>
      <w:r w:rsidR="0023412A" w:rsidRPr="44137436">
        <w:rPr>
          <w:noProof/>
          <w:lang w:val="en-IE"/>
        </w:rPr>
        <w:t xml:space="preserve"> general approach </w:t>
      </w:r>
      <w:r w:rsidR="0023412A">
        <w:rPr>
          <w:noProof/>
          <w:lang w:val="en-IE"/>
        </w:rPr>
        <w:t xml:space="preserve">to </w:t>
      </w:r>
      <w:r w:rsidR="0023412A" w:rsidRPr="44137436">
        <w:rPr>
          <w:noProof/>
          <w:lang w:val="en-IE"/>
        </w:rPr>
        <w:t xml:space="preserve">assigning access and usage rights on data is preferable to awarding exclusive rights of access and use. </w:t>
      </w:r>
    </w:p>
    <w:p w14:paraId="6470518C" w14:textId="1F4171C8" w:rsidR="0023412A" w:rsidRPr="00351078" w:rsidRDefault="000856CE" w:rsidP="000856CE">
      <w:pPr>
        <w:pStyle w:val="ManualConsidrant"/>
        <w:rPr>
          <w:rFonts w:asciiTheme="minorHAnsi" w:eastAsiaTheme="minorEastAsia" w:hAnsiTheme="minorHAnsi" w:cstheme="minorBidi"/>
          <w:noProof/>
          <w:lang w:val="en-IE"/>
        </w:rPr>
      </w:pPr>
      <w:r w:rsidRPr="000856CE">
        <w:t>(7)</w:t>
      </w:r>
      <w:r w:rsidRPr="000856CE">
        <w:tab/>
      </w:r>
      <w:r w:rsidR="0023412A" w:rsidRPr="0040583F">
        <w:rPr>
          <w:noProof/>
          <w:lang w:val="en-IE"/>
        </w:rPr>
        <w:t>The fundamental right to the protection of personal data is safeguarded in particular under Regulation (EU) 2016/679 and Regulation (EU) 2018/1725</w:t>
      </w:r>
      <w:r w:rsidR="0023412A" w:rsidRPr="00B356D4">
        <w:rPr>
          <w:noProof/>
        </w:rPr>
        <w:t xml:space="preserve">. </w:t>
      </w:r>
      <w:r w:rsidR="0023412A" w:rsidRPr="0040583F">
        <w:rPr>
          <w:noProof/>
          <w:lang w:val="en-IE"/>
        </w:rPr>
        <w:t xml:space="preserve">Directive 2002/58/EC additionally protects private life and the confidentiality of communications, including providing conditions to any personal and non-personal data storing in and access from terminal equipment. These instruments provide the basis for sustainable and responsible data processing, including where datasets include a mix of personal and non-personal data. </w:t>
      </w:r>
      <w:r w:rsidR="0023412A" w:rsidRPr="00B356D4">
        <w:rPr>
          <w:noProof/>
        </w:rPr>
        <w:t>This Regulation complements and is without prejudice to Union law on data protection</w:t>
      </w:r>
      <w:r w:rsidR="0023412A" w:rsidRPr="003364F9">
        <w:rPr>
          <w:noProof/>
        </w:rPr>
        <w:t xml:space="preserve"> </w:t>
      </w:r>
      <w:r w:rsidR="0023412A">
        <w:rPr>
          <w:noProof/>
        </w:rPr>
        <w:t>and privacy</w:t>
      </w:r>
      <w:r w:rsidR="0023412A" w:rsidRPr="00B356D4">
        <w:rPr>
          <w:noProof/>
        </w:rPr>
        <w:t>, in particular Regulation (EU) 2016/679</w:t>
      </w:r>
      <w:r w:rsidR="0023412A" w:rsidRPr="003364F9">
        <w:rPr>
          <w:noProof/>
        </w:rPr>
        <w:t xml:space="preserve"> </w:t>
      </w:r>
      <w:r w:rsidR="0023412A">
        <w:rPr>
          <w:noProof/>
        </w:rPr>
        <w:t xml:space="preserve">and </w:t>
      </w:r>
      <w:r w:rsidR="0023412A" w:rsidRPr="00622A81">
        <w:rPr>
          <w:noProof/>
        </w:rPr>
        <w:t>Directive 2002/58/EC</w:t>
      </w:r>
      <w:r w:rsidR="0023412A" w:rsidRPr="00B356D4">
        <w:rPr>
          <w:noProof/>
        </w:rPr>
        <w:t>. No provision of this Regulation should be applied or interpreted in such a way as to diminish or limit the right to the protection of personal data</w:t>
      </w:r>
      <w:r w:rsidR="0023412A" w:rsidRPr="003364F9">
        <w:rPr>
          <w:noProof/>
        </w:rPr>
        <w:t xml:space="preserve"> </w:t>
      </w:r>
      <w:r w:rsidR="0023412A">
        <w:rPr>
          <w:noProof/>
        </w:rPr>
        <w:t xml:space="preserve">or </w:t>
      </w:r>
      <w:r w:rsidR="0023412A" w:rsidRPr="008C6A96">
        <w:rPr>
          <w:noProof/>
        </w:rPr>
        <w:t>the right to privacy and confidentiality of communications</w:t>
      </w:r>
      <w:r w:rsidR="0023412A" w:rsidRPr="00B356D4">
        <w:rPr>
          <w:noProof/>
        </w:rPr>
        <w:t>.</w:t>
      </w:r>
    </w:p>
    <w:p w14:paraId="43F56032" w14:textId="7005880E" w:rsidR="0023412A" w:rsidRPr="2FA46F90" w:rsidDel="00A30FAA" w:rsidRDefault="000856CE" w:rsidP="000856CE">
      <w:pPr>
        <w:pStyle w:val="ManualConsidrant"/>
        <w:rPr>
          <w:noProof/>
          <w:lang w:val="en-IE"/>
        </w:rPr>
      </w:pPr>
      <w:r w:rsidRPr="000856CE">
        <w:t>(8)</w:t>
      </w:r>
      <w:r w:rsidRPr="000856CE">
        <w:tab/>
      </w:r>
      <w:r w:rsidR="0023412A">
        <w:rPr>
          <w:noProof/>
          <w:lang w:val="en-IE"/>
        </w:rPr>
        <w:t>The principles of data minimisation and data protection by design and by default are essential when processing involve</w:t>
      </w:r>
      <w:r w:rsidR="007B0B60">
        <w:rPr>
          <w:noProof/>
          <w:lang w:val="en-IE"/>
        </w:rPr>
        <w:t>s</w:t>
      </w:r>
      <w:r w:rsidR="0023412A">
        <w:rPr>
          <w:noProof/>
          <w:lang w:val="en-IE"/>
        </w:rPr>
        <w:t xml:space="preserve"> significant risks to the fundamental rights of individuals. Taking </w:t>
      </w:r>
      <w:r w:rsidR="0023412A" w:rsidRPr="00DC52D6">
        <w:rPr>
          <w:noProof/>
          <w:lang w:val="en-IE"/>
        </w:rPr>
        <w:t>into account the state of the art</w:t>
      </w:r>
      <w:r w:rsidR="0023412A">
        <w:rPr>
          <w:noProof/>
          <w:lang w:val="en-IE"/>
        </w:rPr>
        <w:t xml:space="preserve">, all parties to data sharing, including where within scope of this Regulation, should implement technical and organisational measures to protect these rights. Such measures include not only pseudonymisation and encryption, but also the use of increasingly available technology that </w:t>
      </w:r>
      <w:r w:rsidR="0023412A" w:rsidRPr="65BB2C0E">
        <w:rPr>
          <w:noProof/>
          <w:lang w:val="en-IE"/>
        </w:rPr>
        <w:t>permit</w:t>
      </w:r>
      <w:r w:rsidR="0023412A">
        <w:rPr>
          <w:noProof/>
          <w:lang w:val="en-IE"/>
        </w:rPr>
        <w:t>s</w:t>
      </w:r>
      <w:r w:rsidR="0023412A" w:rsidRPr="65BB2C0E">
        <w:rPr>
          <w:noProof/>
          <w:lang w:val="en-IE"/>
        </w:rPr>
        <w:t xml:space="preserve"> algorithms to be brought to the data </w:t>
      </w:r>
      <w:r w:rsidR="0023412A">
        <w:rPr>
          <w:noProof/>
          <w:lang w:val="en-IE"/>
        </w:rPr>
        <w:t xml:space="preserve">and </w:t>
      </w:r>
      <w:r w:rsidR="0023412A" w:rsidRPr="65BB2C0E">
        <w:rPr>
          <w:noProof/>
          <w:lang w:val="en-IE"/>
        </w:rPr>
        <w:t>allow valuable insights</w:t>
      </w:r>
      <w:r w:rsidR="0023412A">
        <w:rPr>
          <w:noProof/>
          <w:lang w:val="en-IE"/>
        </w:rPr>
        <w:t xml:space="preserve"> to be derived without the transmission between parties or unnecessary copying of the raw or structured data themselves</w:t>
      </w:r>
      <w:r w:rsidR="0023412A" w:rsidRPr="65BB2C0E">
        <w:rPr>
          <w:noProof/>
          <w:lang w:val="en-IE"/>
        </w:rPr>
        <w:t xml:space="preserve">. </w:t>
      </w:r>
    </w:p>
    <w:p w14:paraId="0866C8E8" w14:textId="518ED81C" w:rsidR="00900075" w:rsidRPr="001E21CC" w:rsidRDefault="000856CE" w:rsidP="000856CE">
      <w:pPr>
        <w:pStyle w:val="ManualConsidrant"/>
        <w:rPr>
          <w:rFonts w:asciiTheme="minorHAnsi" w:eastAsiaTheme="minorEastAsia" w:hAnsiTheme="minorHAnsi" w:cstheme="minorBidi"/>
          <w:noProof/>
          <w:lang w:val="en-IE"/>
        </w:rPr>
      </w:pPr>
      <w:r w:rsidRPr="000856CE">
        <w:t>(9)</w:t>
      </w:r>
      <w:r w:rsidRPr="000856CE">
        <w:tab/>
      </w:r>
      <w:r w:rsidR="0023412A" w:rsidRPr="00D673A4">
        <w:rPr>
          <w:noProof/>
          <w:lang w:val="en-IE"/>
        </w:rPr>
        <w:t>This</w:t>
      </w:r>
      <w:r w:rsidR="0023412A" w:rsidRPr="00B356D4">
        <w:rPr>
          <w:noProof/>
        </w:rPr>
        <w:t xml:space="preserve"> Regulation complements and is without prejudice to Union law aiming to promote the interests of consumers and to ensure a high level of consumer protection, to protect their health, safety and economic interests, in particular Directive 2005/29/EC of the European Parliament and of the Council</w:t>
      </w:r>
      <w:r w:rsidR="0023412A" w:rsidRPr="00B356D4">
        <w:rPr>
          <w:rStyle w:val="FootnoteReference"/>
          <w:noProof/>
        </w:rPr>
        <w:footnoteReference w:id="59"/>
      </w:r>
      <w:r w:rsidR="0023412A" w:rsidRPr="00B356D4">
        <w:rPr>
          <w:noProof/>
        </w:rPr>
        <w:t>, Directive 2011/83/EU of the European Parliament and of the Council</w:t>
      </w:r>
      <w:r w:rsidR="0023412A" w:rsidRPr="00B356D4">
        <w:rPr>
          <w:rStyle w:val="FootnoteReference"/>
          <w:noProof/>
        </w:rPr>
        <w:footnoteReference w:id="60"/>
      </w:r>
      <w:r w:rsidR="0023412A" w:rsidRPr="00B356D4">
        <w:rPr>
          <w:noProof/>
        </w:rPr>
        <w:t xml:space="preserve"> and Directive 93/13/EEC of the European Parliament and of the Council</w:t>
      </w:r>
      <w:r w:rsidR="0023412A" w:rsidRPr="00B356D4">
        <w:rPr>
          <w:rStyle w:val="FootnoteReference"/>
          <w:noProof/>
        </w:rPr>
        <w:footnoteReference w:id="61"/>
      </w:r>
      <w:r w:rsidR="0023412A" w:rsidRPr="00B356D4">
        <w:rPr>
          <w:noProof/>
        </w:rPr>
        <w:t>.</w:t>
      </w:r>
    </w:p>
    <w:p w14:paraId="37782D10" w14:textId="20435133" w:rsidR="0023412A" w:rsidRPr="003768DA" w:rsidRDefault="000856CE" w:rsidP="000856CE">
      <w:pPr>
        <w:pStyle w:val="ManualConsidrant"/>
        <w:rPr>
          <w:rFonts w:asciiTheme="minorHAnsi" w:hAnsiTheme="minorHAnsi" w:cstheme="minorBidi"/>
          <w:noProof/>
          <w:lang w:val="en-IE"/>
        </w:rPr>
      </w:pPr>
      <w:r w:rsidRPr="000856CE">
        <w:t>(10)</w:t>
      </w:r>
      <w:r w:rsidRPr="000856CE">
        <w:tab/>
      </w:r>
      <w:r w:rsidR="00900075">
        <w:rPr>
          <w:noProof/>
        </w:rPr>
        <w:t xml:space="preserve">This Regulation </w:t>
      </w:r>
      <w:r w:rsidR="00900075" w:rsidRPr="000F54D0">
        <w:rPr>
          <w:noProof/>
          <w:lang w:val="en-IE"/>
        </w:rPr>
        <w:t>is without prejudice to Union legal acts providing for the sharing of, the access to and the use of data for the purpose of prevention, investigation, detection or prosecution of criminal offences or the execution of criminal penalties, or for customs and taxation purposes, irrespective of the legal basis under the Treaty on the Functioning of the European Union on which basis they were adopted. Such acts  include Regulation (EU) 2021/784 of the European Parliament and of the Council of 29 April 2021 on addressing the dissemination of terrorist content online, the [e-evidence proposals [COM(2018) 225 and 226] once adopted], the [Proposal for] a Regulation of the European Parliament and of the Council on a Single Market For Digital Services (Digital Services Act) and amending Directive 2000/31/EC, as well as international cooperation in this context in particular on the basis of the Council of Europe 2001 Convention on Cybercrime (“Budapest Convention”). This Regulation is without prejudice to the competences of the Member States regarding activities concerning public security, defence and national security in accordance with Union law, and activities from customs on risk management and in general, verification of compliance with the Customs Code by economic operators</w:t>
      </w:r>
      <w:r w:rsidR="00900075">
        <w:rPr>
          <w:noProof/>
          <w:lang w:val="en-IE"/>
        </w:rPr>
        <w:t>.</w:t>
      </w:r>
      <w:r w:rsidR="0023412A" w:rsidRPr="0040583F">
        <w:rPr>
          <w:noProof/>
          <w:lang w:val="en-IE"/>
        </w:rPr>
        <w:t xml:space="preserve"> </w:t>
      </w:r>
    </w:p>
    <w:p w14:paraId="1865A2EB" w14:textId="69C75CE3" w:rsidR="0023412A" w:rsidRDefault="000856CE" w:rsidP="000856CE">
      <w:pPr>
        <w:pStyle w:val="ManualConsidrant"/>
        <w:rPr>
          <w:rFonts w:asciiTheme="minorHAnsi" w:eastAsiaTheme="minorEastAsia" w:hAnsiTheme="minorHAnsi" w:cstheme="minorBidi"/>
          <w:noProof/>
          <w:lang w:val="en-IE"/>
        </w:rPr>
      </w:pPr>
      <w:r w:rsidRPr="000856CE">
        <w:t>(11)</w:t>
      </w:r>
      <w:r w:rsidRPr="000856CE">
        <w:tab/>
      </w:r>
      <w:r w:rsidR="0023412A" w:rsidRPr="44137436">
        <w:rPr>
          <w:noProof/>
          <w:lang w:val="en-IE"/>
        </w:rPr>
        <w:t>Union law setting physical design and data requirements for products to be placed on the Union market should not be affected by this Regulation.</w:t>
      </w:r>
    </w:p>
    <w:p w14:paraId="0E27DEA0" w14:textId="091AF220" w:rsidR="0023412A" w:rsidRPr="00507120" w:rsidRDefault="000856CE" w:rsidP="000856CE">
      <w:pPr>
        <w:pStyle w:val="ManualConsidrant"/>
        <w:rPr>
          <w:noProof/>
        </w:rPr>
      </w:pPr>
      <w:r w:rsidRPr="000856CE">
        <w:t>(12)</w:t>
      </w:r>
      <w:r w:rsidRPr="000856CE">
        <w:tab/>
      </w:r>
      <w:r w:rsidR="0023412A">
        <w:rPr>
          <w:noProof/>
        </w:rPr>
        <w:t xml:space="preserve">This </w:t>
      </w:r>
      <w:r w:rsidR="003672D3">
        <w:rPr>
          <w:noProof/>
        </w:rPr>
        <w:t>R</w:t>
      </w:r>
      <w:r w:rsidR="0023412A">
        <w:rPr>
          <w:noProof/>
        </w:rPr>
        <w:t>egulation complements and is without prejudice to Union law aiming at setting accessibility requirements on certain products and services, in particular Directive</w:t>
      </w:r>
      <w:r w:rsidR="0023412A" w:rsidRPr="004941DF">
        <w:rPr>
          <w:noProof/>
        </w:rPr>
        <w:t xml:space="preserve"> 2019/882</w:t>
      </w:r>
      <w:r w:rsidR="0023412A">
        <w:rPr>
          <w:rStyle w:val="FootnoteReference"/>
          <w:noProof/>
        </w:rPr>
        <w:footnoteReference w:id="62"/>
      </w:r>
      <w:r w:rsidR="0023412A">
        <w:rPr>
          <w:noProof/>
        </w:rPr>
        <w:t>.</w:t>
      </w:r>
      <w:r w:rsidR="0023412A" w:rsidRPr="004941DF">
        <w:rPr>
          <w:noProof/>
        </w:rPr>
        <w:t xml:space="preserve"> </w:t>
      </w:r>
    </w:p>
    <w:p w14:paraId="2A945E04" w14:textId="42E2927F" w:rsidR="0023412A" w:rsidRDefault="000856CE" w:rsidP="000856CE">
      <w:pPr>
        <w:pStyle w:val="ManualConsidrant"/>
        <w:rPr>
          <w:rFonts w:asciiTheme="minorHAnsi" w:eastAsiaTheme="minorEastAsia" w:hAnsiTheme="minorHAnsi" w:cstheme="minorBidi"/>
          <w:noProof/>
          <w:lang w:val="en-IE"/>
        </w:rPr>
      </w:pPr>
      <w:r w:rsidRPr="000856CE">
        <w:t>(13)</w:t>
      </w:r>
      <w:r w:rsidRPr="000856CE">
        <w:tab/>
      </w:r>
      <w:r w:rsidR="0023412A" w:rsidRPr="44137436">
        <w:rPr>
          <w:noProof/>
          <w:lang w:val="en-IE"/>
        </w:rPr>
        <w:t xml:space="preserve">This Regulation is without prejudice to the competences of the Member States regarding activities concerning public security, defence and national security in accordance with Union law, and activities from customs on risk management and in general, verification of compliance with the Customs Code by economic operators. </w:t>
      </w:r>
    </w:p>
    <w:p w14:paraId="18E79AA5" w14:textId="1FE58315" w:rsidR="0023412A" w:rsidRDefault="000856CE" w:rsidP="000856CE">
      <w:pPr>
        <w:pStyle w:val="ManualConsidrant"/>
        <w:rPr>
          <w:rFonts w:asciiTheme="minorHAnsi" w:eastAsiaTheme="minorEastAsia" w:hAnsiTheme="minorHAnsi" w:cstheme="minorBidi"/>
          <w:noProof/>
          <w:lang w:val="en-IE"/>
        </w:rPr>
      </w:pPr>
      <w:r w:rsidRPr="000856CE">
        <w:t>(14)</w:t>
      </w:r>
      <w:r w:rsidRPr="000856CE">
        <w:tab/>
      </w:r>
      <w:r w:rsidR="0023412A">
        <w:rPr>
          <w:noProof/>
        </w:rPr>
        <w:t xml:space="preserve">Physical products that obtain, generate or collect, by means of their components, data concerning their performance, use or environment and that are able to communicate that data via a publicly available electronic communications service (often referred to as the Internet of Things) should be covered by this Regulation. Electronic communications services include land-based telephone networks, television cable networks, satellite-based networks and near-field communication networks. Such products may include vehicles, home equipment and consumer goods, medical and health devices or agricultural and industrial machinery. The data represent the digitalisation of user actions and events and should accordingly be accessible to the user, while information derived or inferred from this data, where lawfully held, should not be considered within scope of this Regulation. Such data are potentially valuable to the user and support innovation and the development of digital and other services protecting the environment, health and the circular economy, in particular though facilitating the maintenance and repair of the products in question. </w:t>
      </w:r>
    </w:p>
    <w:p w14:paraId="08246198" w14:textId="381F329D" w:rsidR="0023412A" w:rsidRDefault="000856CE" w:rsidP="000856CE">
      <w:pPr>
        <w:pStyle w:val="ManualConsidrant"/>
        <w:rPr>
          <w:rFonts w:asciiTheme="minorHAnsi" w:eastAsiaTheme="minorEastAsia" w:hAnsiTheme="minorHAnsi" w:cstheme="minorBidi"/>
          <w:noProof/>
          <w:lang w:val="en-IE"/>
        </w:rPr>
      </w:pPr>
      <w:r w:rsidRPr="000856CE">
        <w:t>(15)</w:t>
      </w:r>
      <w:r w:rsidRPr="000856CE">
        <w:tab/>
      </w:r>
      <w:r w:rsidR="0023412A">
        <w:rPr>
          <w:noProof/>
        </w:rPr>
        <w:t xml:space="preserve">In contrast, certain products that are primarily designed to display or play content, or to record and transmit content, amongst others for the use by an online service should not be covered by this Regulation. Such products include, for example, personal computers, servers, tablets and smart phones, cameras, webcams, sound recording systems and text scanners. They require human input to produce various forms of content, such as text documents, sound files, video files, games, digital maps. </w:t>
      </w:r>
    </w:p>
    <w:p w14:paraId="76C0B9CA" w14:textId="1109982A" w:rsidR="0023412A" w:rsidRDefault="000856CE" w:rsidP="000856CE">
      <w:pPr>
        <w:pStyle w:val="ManualConsidrant"/>
        <w:rPr>
          <w:rFonts w:asciiTheme="minorHAnsi" w:eastAsiaTheme="minorEastAsia" w:hAnsiTheme="minorHAnsi" w:cstheme="minorBidi"/>
          <w:noProof/>
          <w:lang w:val="en-IE"/>
        </w:rPr>
      </w:pPr>
      <w:r w:rsidRPr="000856CE">
        <w:t>(16)</w:t>
      </w:r>
      <w:r w:rsidRPr="000856CE">
        <w:tab/>
      </w:r>
      <w:r w:rsidR="0023412A">
        <w:rPr>
          <w:noProof/>
        </w:rPr>
        <w:t xml:space="preserve">It is necessary to lay down rules applying to connected products that incorporate or are interconnected with a service in such a way that the absence of the service would prevent the product from performing its functions. Such related services can be part of the sale, rent or lease agreement, </w:t>
      </w:r>
      <w:r w:rsidR="0023412A" w:rsidRPr="00E83DC7">
        <w:rPr>
          <w:noProof/>
        </w:rPr>
        <w:t>or such services</w:t>
      </w:r>
      <w:r w:rsidR="0023412A" w:rsidRPr="00E83DC7" w:rsidDel="001E7DCD">
        <w:rPr>
          <w:noProof/>
        </w:rPr>
        <w:t xml:space="preserve"> are normally provided for products of the same type and </w:t>
      </w:r>
      <w:r w:rsidR="0023412A" w:rsidRPr="00E83DC7">
        <w:rPr>
          <w:noProof/>
        </w:rPr>
        <w:t xml:space="preserve">the user could reasonably expect them to be provided given the nature of the product </w:t>
      </w:r>
      <w:r w:rsidR="0023412A" w:rsidRPr="00E83DC7" w:rsidDel="001E7DCD">
        <w:rPr>
          <w:noProof/>
        </w:rPr>
        <w:t xml:space="preserve">and taking into account any </w:t>
      </w:r>
      <w:r w:rsidR="0023412A" w:rsidRPr="00E83DC7" w:rsidDel="00EE0B22">
        <w:rPr>
          <w:noProof/>
        </w:rPr>
        <w:t xml:space="preserve">public </w:t>
      </w:r>
      <w:r w:rsidR="0023412A" w:rsidRPr="00E83DC7" w:rsidDel="001E7DCD">
        <w:rPr>
          <w:noProof/>
        </w:rPr>
        <w:t>statement made by or on behalf of the seller, renter, lessor or other persons in previous links of the chain of transactions, including the manufacture</w:t>
      </w:r>
      <w:r w:rsidR="0023412A" w:rsidRPr="00471B19">
        <w:rPr>
          <w:noProof/>
        </w:rPr>
        <w:t>r</w:t>
      </w:r>
      <w:r w:rsidR="0023412A" w:rsidRPr="00052ACF">
        <w:rPr>
          <w:noProof/>
        </w:rPr>
        <w:t>.</w:t>
      </w:r>
      <w:r w:rsidR="0023412A">
        <w:rPr>
          <w:noProof/>
        </w:rPr>
        <w:t xml:space="preserve"> These related services may themselves generate data of value to the user independently of the data collection capabilities of the product with which they are interconnected. </w:t>
      </w:r>
      <w:r w:rsidR="0023412A" w:rsidRPr="44137436">
        <w:rPr>
          <w:noProof/>
          <w:lang w:val="en-IE"/>
        </w:rPr>
        <w:t xml:space="preserve">This Regulation should also apply to a related service that is not supplied by the seller, renter or lessor itself, but is supplied, under the sales, rental or lease contract, by a third party. In the event of doubt as to whether the supply of service forms part of the sale, rent or lease contract, this Regulation should apply. </w:t>
      </w:r>
    </w:p>
    <w:p w14:paraId="5AA475B7" w14:textId="6219C0E2" w:rsidR="0023412A" w:rsidRDefault="000856CE" w:rsidP="000856CE">
      <w:pPr>
        <w:pStyle w:val="ManualConsidrant"/>
        <w:rPr>
          <w:rFonts w:asciiTheme="minorHAnsi" w:hAnsiTheme="minorHAnsi" w:cstheme="minorBidi"/>
          <w:noProof/>
          <w:lang w:val="en-IE"/>
        </w:rPr>
      </w:pPr>
      <w:r w:rsidRPr="000856CE">
        <w:t>(17)</w:t>
      </w:r>
      <w:r w:rsidRPr="000856CE">
        <w:tab/>
      </w:r>
      <w:r w:rsidR="0023412A" w:rsidRPr="44137436">
        <w:rPr>
          <w:noProof/>
          <w:lang w:val="en-IE"/>
        </w:rPr>
        <w:t xml:space="preserve">Data generated by the use of a product </w:t>
      </w:r>
      <w:r w:rsidR="00900075">
        <w:rPr>
          <w:noProof/>
          <w:lang w:val="en-IE"/>
        </w:rPr>
        <w:t>or</w:t>
      </w:r>
      <w:r w:rsidR="00900075" w:rsidRPr="44137436">
        <w:rPr>
          <w:noProof/>
          <w:lang w:val="en-IE"/>
        </w:rPr>
        <w:t xml:space="preserve"> </w:t>
      </w:r>
      <w:r w:rsidR="0023412A" w:rsidRPr="44137436">
        <w:rPr>
          <w:noProof/>
          <w:lang w:val="en-IE"/>
        </w:rPr>
        <w:t>related service include data recorded intentionally by the user. Such data include also data generated as a by-product of the user’s action, such as diagnostics data, and without any action by the user, such as when the product is in ‘standby mode’, and data recorded during periods when the product is switched off. Such data should include data in the form and format in which they are generated by the product, but not pertain to data resulting from any software process that calculates derivative data from such data as such software process may be subject to intellectual property rights.</w:t>
      </w:r>
    </w:p>
    <w:p w14:paraId="7244C6B8" w14:textId="4DC6E3B0" w:rsidR="0023412A" w:rsidRDefault="000856CE" w:rsidP="000856CE">
      <w:pPr>
        <w:pStyle w:val="ManualConsidrant"/>
        <w:rPr>
          <w:rFonts w:asciiTheme="minorHAnsi" w:eastAsiaTheme="minorEastAsia" w:hAnsiTheme="minorHAnsi" w:cstheme="minorBidi"/>
          <w:noProof/>
          <w:lang w:val="en-IE"/>
        </w:rPr>
      </w:pPr>
      <w:r w:rsidRPr="000856CE">
        <w:t>(18)</w:t>
      </w:r>
      <w:r w:rsidRPr="000856CE">
        <w:tab/>
      </w:r>
      <w:r w:rsidR="0023412A" w:rsidRPr="44137436">
        <w:rPr>
          <w:noProof/>
          <w:lang w:val="en-IE"/>
        </w:rPr>
        <w:t xml:space="preserve">The user of a product should be understood as the legal or natural person, such as a business or consumer, which has purchased, rented or leased the product. Depending on the legal title under which he uses it, such a user bears the risks and enjoys the benefits of using the connected product and should enjoy also the access </w:t>
      </w:r>
      <w:r w:rsidR="0023412A">
        <w:rPr>
          <w:noProof/>
          <w:lang w:val="en-IE"/>
        </w:rPr>
        <w:t>to</w:t>
      </w:r>
      <w:r w:rsidR="0023412A" w:rsidRPr="44137436">
        <w:rPr>
          <w:noProof/>
          <w:lang w:val="en-IE"/>
        </w:rPr>
        <w:t xml:space="preserve"> the data it generates. The user should therefore be entitled to derive benefit from data generated by that product and any related service</w:t>
      </w:r>
      <w:r w:rsidR="0023412A">
        <w:rPr>
          <w:noProof/>
          <w:lang w:val="en-IE"/>
        </w:rPr>
        <w:t>.</w:t>
      </w:r>
    </w:p>
    <w:p w14:paraId="5388677F" w14:textId="2A59B022" w:rsidR="0023412A" w:rsidRPr="000254C2" w:rsidRDefault="000856CE" w:rsidP="000856CE">
      <w:pPr>
        <w:pStyle w:val="ManualConsidrant"/>
        <w:rPr>
          <w:rFonts w:asciiTheme="minorHAnsi" w:eastAsiaTheme="minorEastAsia" w:hAnsiTheme="minorHAnsi" w:cstheme="minorBidi"/>
          <w:noProof/>
          <w:lang w:val="en-IE"/>
        </w:rPr>
      </w:pPr>
      <w:r w:rsidRPr="000856CE">
        <w:t>(19)</w:t>
      </w:r>
      <w:r w:rsidRPr="000856CE">
        <w:tab/>
      </w:r>
      <w:r w:rsidR="0023412A" w:rsidRPr="0040583F" w:rsidDel="00281299">
        <w:rPr>
          <w:noProof/>
          <w:lang w:val="en-IE"/>
        </w:rPr>
        <w:t xml:space="preserve">In practice, not all data generated by products </w:t>
      </w:r>
      <w:r w:rsidR="00900075">
        <w:rPr>
          <w:noProof/>
          <w:lang w:val="en-IE"/>
        </w:rPr>
        <w:t>or</w:t>
      </w:r>
      <w:r w:rsidR="00900075" w:rsidRPr="0040583F" w:rsidDel="00281299">
        <w:rPr>
          <w:noProof/>
          <w:lang w:val="en-IE"/>
        </w:rPr>
        <w:t xml:space="preserve"> </w:t>
      </w:r>
      <w:r w:rsidR="0023412A" w:rsidRPr="0040583F" w:rsidDel="00281299">
        <w:rPr>
          <w:noProof/>
          <w:lang w:val="en-IE"/>
        </w:rPr>
        <w:t xml:space="preserve">related services are easily accessible to </w:t>
      </w:r>
      <w:r w:rsidR="0023412A">
        <w:rPr>
          <w:noProof/>
          <w:lang w:val="en-IE"/>
        </w:rPr>
        <w:t>their users</w:t>
      </w:r>
      <w:r w:rsidR="0023412A" w:rsidRPr="0040583F" w:rsidDel="00281299">
        <w:rPr>
          <w:noProof/>
          <w:lang w:val="en-IE"/>
        </w:rPr>
        <w:t xml:space="preserve">, and there are </w:t>
      </w:r>
      <w:r w:rsidR="009D3B45">
        <w:rPr>
          <w:noProof/>
          <w:lang w:val="en-IE"/>
        </w:rPr>
        <w:t xml:space="preserve">often </w:t>
      </w:r>
      <w:r w:rsidR="0023412A" w:rsidRPr="0040583F" w:rsidDel="00281299">
        <w:rPr>
          <w:noProof/>
          <w:lang w:val="en-IE"/>
        </w:rPr>
        <w:t xml:space="preserve">limited possibilities for the portability of data generated by </w:t>
      </w:r>
      <w:r w:rsidR="0023412A">
        <w:rPr>
          <w:noProof/>
          <w:lang w:val="en-IE"/>
        </w:rPr>
        <w:t xml:space="preserve">products connected to the </w:t>
      </w:r>
      <w:r w:rsidR="0023412A" w:rsidRPr="0040583F" w:rsidDel="00281299">
        <w:rPr>
          <w:noProof/>
          <w:lang w:val="en-IE"/>
        </w:rPr>
        <w:t>Internet</w:t>
      </w:r>
      <w:r w:rsidR="003B5061">
        <w:rPr>
          <w:noProof/>
          <w:lang w:val="en-IE"/>
        </w:rPr>
        <w:t xml:space="preserve"> </w:t>
      </w:r>
      <w:r w:rsidR="0023412A" w:rsidRPr="0040583F" w:rsidDel="00281299">
        <w:rPr>
          <w:noProof/>
          <w:lang w:val="en-IE"/>
        </w:rPr>
        <w:t>of</w:t>
      </w:r>
      <w:r w:rsidR="003B5061">
        <w:rPr>
          <w:noProof/>
          <w:lang w:val="en-IE"/>
        </w:rPr>
        <w:t xml:space="preserve"> </w:t>
      </w:r>
      <w:r w:rsidR="0023412A" w:rsidRPr="0040583F" w:rsidDel="00281299">
        <w:rPr>
          <w:noProof/>
          <w:lang w:val="en-IE"/>
        </w:rPr>
        <w:t xml:space="preserve">Things. Users are unable to obtain data necessary to make use of providers of repair and other services, and businesses are unable to launch innovative, more efficient and convenient services. In many sectors, manufacturers are often able to determine, through their control of the technical design of the product </w:t>
      </w:r>
      <w:r w:rsidR="00900075">
        <w:rPr>
          <w:noProof/>
          <w:lang w:val="en-IE"/>
        </w:rPr>
        <w:t>or</w:t>
      </w:r>
      <w:r w:rsidR="00900075" w:rsidRPr="0040583F" w:rsidDel="00281299">
        <w:rPr>
          <w:noProof/>
          <w:lang w:val="en-IE"/>
        </w:rPr>
        <w:t xml:space="preserve"> </w:t>
      </w:r>
      <w:r w:rsidR="0023412A" w:rsidRPr="0040583F" w:rsidDel="00281299">
        <w:rPr>
          <w:noProof/>
          <w:lang w:val="en-IE"/>
        </w:rPr>
        <w:t xml:space="preserve">related services, what data are generated and how they can be accessed, even though they have no </w:t>
      </w:r>
      <w:r w:rsidR="0023412A" w:rsidRPr="000254C2">
        <w:rPr>
          <w:noProof/>
          <w:lang w:val="en-IE"/>
        </w:rPr>
        <w:t>legal</w:t>
      </w:r>
      <w:r w:rsidR="0023412A" w:rsidRPr="000254C2" w:rsidDel="00281299">
        <w:rPr>
          <w:noProof/>
          <w:lang w:val="en-IE"/>
        </w:rPr>
        <w:t xml:space="preserve"> </w:t>
      </w:r>
      <w:r w:rsidR="0023412A" w:rsidRPr="0040583F" w:rsidDel="00281299">
        <w:rPr>
          <w:noProof/>
          <w:lang w:val="en-IE"/>
        </w:rPr>
        <w:t xml:space="preserve">right </w:t>
      </w:r>
      <w:r w:rsidR="0023412A">
        <w:rPr>
          <w:noProof/>
          <w:lang w:val="en-IE"/>
        </w:rPr>
        <w:t>to the data. It is therefore necessary to ensure that products are designed and manufactured and related services are provided in such a manner that data generated by their use are</w:t>
      </w:r>
      <w:r w:rsidR="00234FDF">
        <w:rPr>
          <w:noProof/>
          <w:lang w:val="en-IE"/>
        </w:rPr>
        <w:t xml:space="preserve"> always</w:t>
      </w:r>
      <w:r w:rsidR="0023412A">
        <w:rPr>
          <w:noProof/>
          <w:lang w:val="en-IE"/>
        </w:rPr>
        <w:t xml:space="preserve"> easily accessible to the user</w:t>
      </w:r>
      <w:r w:rsidR="0023412A" w:rsidRPr="0040583F" w:rsidDel="00281299">
        <w:rPr>
          <w:noProof/>
          <w:lang w:val="en-IE"/>
        </w:rPr>
        <w:t>.</w:t>
      </w:r>
    </w:p>
    <w:p w14:paraId="32F74748" w14:textId="5A953D33" w:rsidR="0023412A" w:rsidRPr="00445FCA" w:rsidRDefault="000856CE" w:rsidP="000856CE">
      <w:pPr>
        <w:pStyle w:val="ManualConsidrant"/>
        <w:rPr>
          <w:rFonts w:asciiTheme="minorHAnsi" w:eastAsiaTheme="minorEastAsia" w:hAnsiTheme="minorHAnsi" w:cstheme="minorBidi"/>
          <w:noProof/>
          <w:lang w:val="en-IE"/>
        </w:rPr>
      </w:pPr>
      <w:r w:rsidRPr="000856CE">
        <w:t>(20)</w:t>
      </w:r>
      <w:r w:rsidRPr="000856CE">
        <w:tab/>
      </w:r>
      <w:r w:rsidR="0023412A" w:rsidRPr="0040583F">
        <w:rPr>
          <w:noProof/>
          <w:lang w:val="en-IE"/>
        </w:rPr>
        <w:t xml:space="preserve">In case several persons or entities </w:t>
      </w:r>
      <w:r w:rsidR="0023412A">
        <w:rPr>
          <w:noProof/>
          <w:lang w:val="en-IE"/>
        </w:rPr>
        <w:t>own</w:t>
      </w:r>
      <w:r w:rsidR="0023412A" w:rsidRPr="0040583F">
        <w:rPr>
          <w:noProof/>
          <w:lang w:val="en-IE"/>
        </w:rPr>
        <w:t xml:space="preserve"> a product or are party to a lease or rent agreement and benefit from access to a related service, reasonable efforts should be made in the design of the product </w:t>
      </w:r>
      <w:r w:rsidR="00900075">
        <w:rPr>
          <w:noProof/>
          <w:lang w:val="en-IE"/>
        </w:rPr>
        <w:t>or</w:t>
      </w:r>
      <w:r w:rsidR="00900075" w:rsidRPr="0040583F">
        <w:rPr>
          <w:noProof/>
          <w:lang w:val="en-IE"/>
        </w:rPr>
        <w:t xml:space="preserve"> </w:t>
      </w:r>
      <w:r w:rsidR="0023412A" w:rsidRPr="0040583F">
        <w:rPr>
          <w:noProof/>
          <w:lang w:val="en-IE"/>
        </w:rPr>
        <w:t>related service or the relevant interface so that all persons can have access to data they generate.</w:t>
      </w:r>
      <w:r w:rsidR="0023412A" w:rsidRPr="00ED658A">
        <w:rPr>
          <w:noProof/>
          <w:lang w:val="en-IE"/>
        </w:rPr>
        <w:t xml:space="preserve"> </w:t>
      </w:r>
      <w:r w:rsidR="0023412A" w:rsidRPr="0040583F">
        <w:rPr>
          <w:noProof/>
          <w:lang w:val="en-IE"/>
        </w:rPr>
        <w:t xml:space="preserve">Users of </w:t>
      </w:r>
      <w:r w:rsidR="0023412A">
        <w:rPr>
          <w:noProof/>
          <w:lang w:val="en-IE"/>
        </w:rPr>
        <w:t>products that generate data</w:t>
      </w:r>
      <w:r w:rsidR="0023412A" w:rsidRPr="0040583F">
        <w:rPr>
          <w:noProof/>
          <w:lang w:val="en-IE"/>
        </w:rPr>
        <w:t xml:space="preserve"> typically require a user account to be set up. This allows for identification of the user by the manufacturer as well as a means to communicate </w:t>
      </w:r>
      <w:r w:rsidR="0023412A">
        <w:rPr>
          <w:noProof/>
          <w:lang w:val="en-IE"/>
        </w:rPr>
        <w:t>to exercise and process</w:t>
      </w:r>
      <w:r w:rsidR="0023412A" w:rsidRPr="0040583F">
        <w:rPr>
          <w:noProof/>
          <w:lang w:val="en-IE"/>
        </w:rPr>
        <w:t xml:space="preserve"> data access request</w:t>
      </w:r>
      <w:r w:rsidR="0023412A">
        <w:rPr>
          <w:noProof/>
          <w:lang w:val="en-IE"/>
        </w:rPr>
        <w:t>s</w:t>
      </w:r>
      <w:r w:rsidR="0023412A" w:rsidRPr="0040583F">
        <w:rPr>
          <w:noProof/>
          <w:lang w:val="en-IE"/>
        </w:rPr>
        <w:t xml:space="preserve">. Manufacturers </w:t>
      </w:r>
      <w:r w:rsidR="0023412A">
        <w:rPr>
          <w:noProof/>
          <w:lang w:val="en-IE"/>
        </w:rPr>
        <w:t xml:space="preserve">or designers </w:t>
      </w:r>
      <w:r w:rsidR="0023412A" w:rsidRPr="0040583F">
        <w:rPr>
          <w:noProof/>
          <w:lang w:val="en-IE"/>
        </w:rPr>
        <w:t xml:space="preserve">of </w:t>
      </w:r>
      <w:r w:rsidR="0023412A">
        <w:rPr>
          <w:noProof/>
          <w:lang w:val="en-IE"/>
        </w:rPr>
        <w:t xml:space="preserve">a product </w:t>
      </w:r>
      <w:r w:rsidR="0023412A" w:rsidRPr="0040583F">
        <w:rPr>
          <w:noProof/>
          <w:lang w:val="en-IE"/>
        </w:rPr>
        <w:t xml:space="preserve">that </w:t>
      </w:r>
      <w:r w:rsidR="0023412A">
        <w:rPr>
          <w:noProof/>
          <w:lang w:val="en-IE"/>
        </w:rPr>
        <w:t>is</w:t>
      </w:r>
      <w:r w:rsidR="0023412A" w:rsidRPr="0040583F">
        <w:rPr>
          <w:noProof/>
          <w:lang w:val="en-IE"/>
        </w:rPr>
        <w:t xml:space="preserve"> typically used by several persons should put in place the necessary </w:t>
      </w:r>
      <w:r w:rsidR="0023412A">
        <w:rPr>
          <w:noProof/>
          <w:lang w:val="en-IE"/>
        </w:rPr>
        <w:t>mechanism</w:t>
      </w:r>
      <w:r w:rsidR="0023412A" w:rsidRPr="0040583F">
        <w:rPr>
          <w:noProof/>
          <w:lang w:val="en-IE"/>
        </w:rPr>
        <w:t xml:space="preserve"> that allow separate user accounts for individual persons, where relevant, or the possibility for several persons to use the same user account.</w:t>
      </w:r>
      <w:r w:rsidR="0023412A" w:rsidRPr="00C71230">
        <w:rPr>
          <w:noProof/>
          <w:lang w:val="en-IE"/>
        </w:rPr>
        <w:t xml:space="preserve"> </w:t>
      </w:r>
      <w:r w:rsidR="0023412A">
        <w:rPr>
          <w:noProof/>
          <w:lang w:val="en-IE"/>
        </w:rPr>
        <w:t xml:space="preserve">Access should be granted to the user upon simple request mechanisms granting automatic execution, not requiring examination or clearance by the manufacturer or data holder. </w:t>
      </w:r>
      <w:r w:rsidR="00900075">
        <w:rPr>
          <w:noProof/>
          <w:lang w:val="en-IE"/>
        </w:rPr>
        <w:t xml:space="preserve">This means </w:t>
      </w:r>
      <w:r w:rsidR="0023412A">
        <w:rPr>
          <w:noProof/>
          <w:lang w:val="en-IE"/>
        </w:rPr>
        <w:t>that data should only be made available when the user actually wants this.</w:t>
      </w:r>
      <w:r w:rsidR="0023412A" w:rsidRPr="2FA46F90">
        <w:rPr>
          <w:noProof/>
          <w:lang w:val="en-IE"/>
        </w:rPr>
        <w:t xml:space="preserve"> </w:t>
      </w:r>
      <w:r w:rsidR="0023412A" w:rsidRPr="0040583F">
        <w:rPr>
          <w:noProof/>
          <w:lang w:val="en-IE"/>
        </w:rPr>
        <w:t>Where automated execution of the data access request is not possible, for instance, via a user account or accompanying mobile application provided with the product or service, the manufacturer should inform the user how the data may be accessed.</w:t>
      </w:r>
    </w:p>
    <w:p w14:paraId="53766E52" w14:textId="3E303605" w:rsidR="0023412A" w:rsidRPr="00351078" w:rsidRDefault="000856CE" w:rsidP="000856CE">
      <w:pPr>
        <w:pStyle w:val="ManualConsidrant"/>
        <w:rPr>
          <w:rFonts w:asciiTheme="minorHAnsi" w:eastAsiaTheme="minorEastAsia" w:hAnsiTheme="minorHAnsi" w:cstheme="minorBidi"/>
          <w:noProof/>
          <w:lang w:val="en-IE"/>
        </w:rPr>
      </w:pPr>
      <w:r w:rsidRPr="000856CE">
        <w:t>(21)</w:t>
      </w:r>
      <w:r w:rsidRPr="000856CE">
        <w:tab/>
      </w:r>
      <w:r w:rsidR="0023412A" w:rsidRPr="0040583F">
        <w:rPr>
          <w:noProof/>
          <w:lang w:val="en-IE"/>
        </w:rPr>
        <w:t>Products may be designed to make certain data directly available from an on-device data storage or from a remote server to which the data are communicated</w:t>
      </w:r>
      <w:r w:rsidR="0023412A">
        <w:rPr>
          <w:noProof/>
          <w:lang w:val="en-IE"/>
        </w:rPr>
        <w:t xml:space="preserve">. Access to the on-device data storage may be enabled via cable-based or wireless local area networks connected to a </w:t>
      </w:r>
      <w:r w:rsidR="0023412A" w:rsidRPr="00B356D4">
        <w:rPr>
          <w:noProof/>
        </w:rPr>
        <w:t>publicly available electronic communications service</w:t>
      </w:r>
      <w:r w:rsidR="0023412A">
        <w:rPr>
          <w:noProof/>
        </w:rPr>
        <w:t xml:space="preserve"> </w:t>
      </w:r>
      <w:r w:rsidR="0023412A">
        <w:rPr>
          <w:noProof/>
          <w:lang w:val="en-IE"/>
        </w:rPr>
        <w:t xml:space="preserve">or a mobile network. </w:t>
      </w:r>
      <w:r w:rsidR="0023412A" w:rsidRPr="0040583F">
        <w:rPr>
          <w:noProof/>
          <w:lang w:val="en-IE"/>
        </w:rPr>
        <w:t>The server may be the manufacturer’s own local server capacity or that of a third party or a cloud service provider</w:t>
      </w:r>
      <w:r w:rsidR="0023412A">
        <w:rPr>
          <w:noProof/>
          <w:lang w:val="en-IE"/>
        </w:rPr>
        <w:t xml:space="preserve"> who functions as data holder</w:t>
      </w:r>
      <w:r w:rsidR="0023412A" w:rsidRPr="0040583F">
        <w:rPr>
          <w:noProof/>
          <w:lang w:val="en-IE"/>
        </w:rPr>
        <w:t xml:space="preserve">. They may be designed to </w:t>
      </w:r>
      <w:r w:rsidR="0023412A" w:rsidRPr="00B356D4">
        <w:rPr>
          <w:rStyle w:val="italic"/>
          <w:noProof/>
        </w:rPr>
        <w:t>permit</w:t>
      </w:r>
      <w:r w:rsidR="0023412A">
        <w:rPr>
          <w:rStyle w:val="italic"/>
          <w:noProof/>
        </w:rPr>
        <w:t xml:space="preserve"> </w:t>
      </w:r>
      <w:r w:rsidR="0023412A" w:rsidRPr="00B356D4">
        <w:rPr>
          <w:rStyle w:val="italic"/>
          <w:noProof/>
        </w:rPr>
        <w:t xml:space="preserve">the user or a third party to process the data on the </w:t>
      </w:r>
      <w:r w:rsidR="0023412A">
        <w:rPr>
          <w:rStyle w:val="italic"/>
          <w:noProof/>
        </w:rPr>
        <w:t>product</w:t>
      </w:r>
      <w:r w:rsidR="0023412A" w:rsidRPr="00B356D4">
        <w:rPr>
          <w:rStyle w:val="italic"/>
          <w:noProof/>
        </w:rPr>
        <w:t xml:space="preserve"> or on a computing instance of the manufacturer</w:t>
      </w:r>
      <w:r w:rsidR="0023412A">
        <w:rPr>
          <w:rStyle w:val="italic"/>
          <w:noProof/>
        </w:rPr>
        <w:t xml:space="preserve">. </w:t>
      </w:r>
    </w:p>
    <w:p w14:paraId="01731F7A" w14:textId="38D428DB" w:rsidR="0023412A" w:rsidRDefault="000856CE" w:rsidP="000856CE">
      <w:pPr>
        <w:pStyle w:val="ManualConsidrant"/>
        <w:rPr>
          <w:rFonts w:asciiTheme="minorHAnsi" w:eastAsiaTheme="minorEastAsia" w:hAnsiTheme="minorHAnsi" w:cstheme="minorBidi"/>
          <w:noProof/>
          <w:lang w:val="en-IE"/>
        </w:rPr>
      </w:pPr>
      <w:r w:rsidRPr="000856CE">
        <w:t>(22)</w:t>
      </w:r>
      <w:r w:rsidRPr="000856CE">
        <w:tab/>
      </w:r>
      <w:r w:rsidR="0023412A" w:rsidRPr="44137436">
        <w:rPr>
          <w:noProof/>
          <w:lang w:val="en-IE"/>
        </w:rPr>
        <w:t>Virtual assistants play an increasing role in digitising consumer environments and serve as an easy-to-use interface to play content, obtain information, or activate physical objects connected to the Internet</w:t>
      </w:r>
      <w:r w:rsidR="003B5061">
        <w:rPr>
          <w:noProof/>
          <w:lang w:val="en-IE"/>
        </w:rPr>
        <w:t xml:space="preserve"> </w:t>
      </w:r>
      <w:r w:rsidR="0023412A" w:rsidRPr="44137436">
        <w:rPr>
          <w:noProof/>
          <w:lang w:val="en-IE"/>
        </w:rPr>
        <w:t>of</w:t>
      </w:r>
      <w:r w:rsidR="003B5061">
        <w:rPr>
          <w:noProof/>
          <w:lang w:val="en-IE"/>
        </w:rPr>
        <w:t xml:space="preserve"> </w:t>
      </w:r>
      <w:r w:rsidR="0023412A" w:rsidRPr="44137436">
        <w:rPr>
          <w:noProof/>
          <w:lang w:val="en-IE"/>
        </w:rPr>
        <w:t xml:space="preserve">Things. Virtual assistants can act as a single gateway in, for example, a smart home environment and record significant amounts of relevant data on how users interact with products connected to the </w:t>
      </w:r>
      <w:r w:rsidR="003B5061">
        <w:rPr>
          <w:noProof/>
          <w:lang w:val="en-IE"/>
        </w:rPr>
        <w:t>I</w:t>
      </w:r>
      <w:r w:rsidR="0023412A" w:rsidRPr="44137436">
        <w:rPr>
          <w:noProof/>
          <w:lang w:val="en-IE"/>
        </w:rPr>
        <w:t>nternet</w:t>
      </w:r>
      <w:r w:rsidR="003B5061">
        <w:rPr>
          <w:noProof/>
          <w:lang w:val="en-IE"/>
        </w:rPr>
        <w:t xml:space="preserve"> </w:t>
      </w:r>
      <w:r w:rsidR="0023412A" w:rsidRPr="44137436">
        <w:rPr>
          <w:noProof/>
          <w:lang w:val="en-IE"/>
        </w:rPr>
        <w:t>of</w:t>
      </w:r>
      <w:r w:rsidR="003B5061">
        <w:rPr>
          <w:noProof/>
          <w:lang w:val="en-IE"/>
        </w:rPr>
        <w:t xml:space="preserve"> T</w:t>
      </w:r>
      <w:r w:rsidR="0023412A" w:rsidRPr="44137436">
        <w:rPr>
          <w:noProof/>
          <w:lang w:val="en-IE"/>
        </w:rPr>
        <w:t xml:space="preserve">hings, including those manufactured by other parties and can replace the use of manufacturer-provided interfaces such as touchscreens or smart phone apps. The user may wish to make available such data with third party manufacturers and enable novel smart home services. Such virtual assistants should be covered by the data access right provided for in this Regulation also regarding </w:t>
      </w:r>
      <w:r w:rsidR="0023412A" w:rsidRPr="44137436">
        <w:rPr>
          <w:rFonts w:eastAsiaTheme="minorEastAsia"/>
          <w:noProof/>
          <w:lang w:val="en-IE"/>
        </w:rPr>
        <w:t>data recorded before the virtual assistant’s activation by the wake word</w:t>
      </w:r>
      <w:r w:rsidR="0023412A" w:rsidRPr="44137436">
        <w:rPr>
          <w:noProof/>
          <w:lang w:val="en-IE"/>
        </w:rPr>
        <w:t xml:space="preserve"> and data generated when a user interacts with a product via a virtual assistant provided by an entity other than the manufacturer of the product. However, only the data stemming from the interaction between the user and product through the virtual assistant falls within the scope of this Regulation. Data produced by the virtual assistant unrelated to the use of a product is not the object of this Regulation.</w:t>
      </w:r>
    </w:p>
    <w:p w14:paraId="388B3D13" w14:textId="15109942" w:rsidR="0023412A" w:rsidRDefault="000856CE" w:rsidP="000856CE">
      <w:pPr>
        <w:pStyle w:val="ManualConsidrant"/>
        <w:rPr>
          <w:rFonts w:asciiTheme="minorHAnsi" w:hAnsiTheme="minorHAnsi" w:cstheme="minorBidi"/>
          <w:noProof/>
          <w:lang w:val="en-IE"/>
        </w:rPr>
      </w:pPr>
      <w:r w:rsidRPr="000856CE">
        <w:t>(23)</w:t>
      </w:r>
      <w:r w:rsidRPr="000856CE">
        <w:tab/>
      </w:r>
      <w:r w:rsidR="0023412A" w:rsidRPr="44137436">
        <w:rPr>
          <w:noProof/>
          <w:lang w:val="en-IE"/>
        </w:rPr>
        <w:t xml:space="preserve">Before concluding a contract for the purchase, rent, or lease of a product or the provision of a related service, clear and sufficient information should be provided to the user on how the data generated may be accessed. </w:t>
      </w:r>
      <w:r w:rsidR="0023412A">
        <w:rPr>
          <w:noProof/>
          <w:lang w:val="en-IE"/>
        </w:rPr>
        <w:t xml:space="preserve">This obligation provides transparency over the data generated and enhances the easy access for the user. </w:t>
      </w:r>
      <w:r w:rsidR="0023412A" w:rsidRPr="44137436">
        <w:rPr>
          <w:noProof/>
          <w:lang w:val="en-IE"/>
        </w:rPr>
        <w:t>This obligation to provide information</w:t>
      </w:r>
      <w:r w:rsidR="00A817FF">
        <w:rPr>
          <w:noProof/>
          <w:lang w:val="en-IE"/>
        </w:rPr>
        <w:t xml:space="preserve"> does not affect</w:t>
      </w:r>
      <w:r w:rsidR="0023412A" w:rsidRPr="44137436">
        <w:rPr>
          <w:noProof/>
          <w:lang w:val="en-IE"/>
        </w:rPr>
        <w:t xml:space="preserve"> the obligation for the controller to provide information to the data subject pursuant to Article 12, 13 and 14 of Regulation</w:t>
      </w:r>
      <w:r w:rsidR="0023412A">
        <w:rPr>
          <w:noProof/>
          <w:lang w:val="en-IE"/>
        </w:rPr>
        <w:t> </w:t>
      </w:r>
      <w:r w:rsidR="0023412A" w:rsidRPr="44137436">
        <w:rPr>
          <w:noProof/>
          <w:lang w:val="en-IE"/>
        </w:rPr>
        <w:t xml:space="preserve">2016/679. </w:t>
      </w:r>
    </w:p>
    <w:p w14:paraId="50B2CCC2" w14:textId="7CFD1B63" w:rsidR="0023412A" w:rsidRPr="0033171E" w:rsidRDefault="000856CE" w:rsidP="000856CE">
      <w:pPr>
        <w:pStyle w:val="ManualConsidrant"/>
        <w:rPr>
          <w:rFonts w:asciiTheme="minorHAnsi" w:hAnsiTheme="minorHAnsi" w:cstheme="minorBidi"/>
          <w:noProof/>
          <w:lang w:val="en-IE"/>
        </w:rPr>
      </w:pPr>
      <w:r w:rsidRPr="000856CE">
        <w:t>(24)</w:t>
      </w:r>
      <w:r w:rsidRPr="000856CE">
        <w:tab/>
      </w:r>
      <w:r w:rsidR="0023412A" w:rsidRPr="44137436">
        <w:rPr>
          <w:noProof/>
          <w:lang w:val="en-IE"/>
        </w:rPr>
        <w:t>Th</w:t>
      </w:r>
      <w:r w:rsidR="0023412A">
        <w:rPr>
          <w:noProof/>
          <w:lang w:val="en-IE"/>
        </w:rPr>
        <w:t xml:space="preserve">is </w:t>
      </w:r>
      <w:r w:rsidR="0023412A" w:rsidRPr="44137436">
        <w:rPr>
          <w:noProof/>
          <w:lang w:val="en-IE"/>
        </w:rPr>
        <w:t xml:space="preserve">Regulation </w:t>
      </w:r>
      <w:r w:rsidR="00234FDF">
        <w:rPr>
          <w:noProof/>
          <w:lang w:val="en-IE"/>
        </w:rPr>
        <w:t>imposes</w:t>
      </w:r>
      <w:r w:rsidR="00234FDF" w:rsidRPr="44137436">
        <w:rPr>
          <w:noProof/>
          <w:lang w:val="en-IE"/>
        </w:rPr>
        <w:t xml:space="preserve"> </w:t>
      </w:r>
      <w:r w:rsidR="0023412A" w:rsidRPr="44137436">
        <w:rPr>
          <w:noProof/>
          <w:lang w:val="en-IE"/>
        </w:rPr>
        <w:t>the obligation on data holder</w:t>
      </w:r>
      <w:r w:rsidR="00900075">
        <w:rPr>
          <w:noProof/>
          <w:lang w:val="en-IE"/>
        </w:rPr>
        <w:t>s</w:t>
      </w:r>
      <w:r w:rsidR="0023412A" w:rsidRPr="44137436">
        <w:rPr>
          <w:noProof/>
          <w:lang w:val="en-IE"/>
        </w:rPr>
        <w:t xml:space="preserve"> to make data available in certain circumstances. </w:t>
      </w:r>
      <w:r w:rsidR="00203C43" w:rsidRPr="44137436">
        <w:rPr>
          <w:noProof/>
          <w:lang w:val="en-IE"/>
        </w:rPr>
        <w:t xml:space="preserve">Insofar as personal data are processed, the data holder </w:t>
      </w:r>
      <w:r w:rsidR="00900075">
        <w:rPr>
          <w:noProof/>
          <w:lang w:val="en-IE"/>
        </w:rPr>
        <w:t>should be</w:t>
      </w:r>
      <w:r w:rsidR="00203C43" w:rsidRPr="44137436">
        <w:rPr>
          <w:noProof/>
          <w:lang w:val="en-IE"/>
        </w:rPr>
        <w:t xml:space="preserve"> a controller under Regulation (EU) 2016/679.</w:t>
      </w:r>
      <w:r w:rsidR="00203C43">
        <w:rPr>
          <w:noProof/>
          <w:lang w:val="en-IE"/>
        </w:rPr>
        <w:t xml:space="preserve"> </w:t>
      </w:r>
      <w:r w:rsidR="00A8362B" w:rsidRPr="00A8362B">
        <w:rPr>
          <w:noProof/>
          <w:lang w:val="en-IE"/>
        </w:rPr>
        <w:t xml:space="preserve">Where users are data subjects, data holders should be obliged to provide them access to their data </w:t>
      </w:r>
      <w:r w:rsidR="00900075">
        <w:rPr>
          <w:noProof/>
          <w:lang w:val="en-IE"/>
        </w:rPr>
        <w:t xml:space="preserve">and to make the data available to third parties of the user’s choice </w:t>
      </w:r>
      <w:r w:rsidR="00A8362B" w:rsidRPr="00A8362B">
        <w:rPr>
          <w:noProof/>
          <w:lang w:val="en-IE"/>
        </w:rPr>
        <w:t xml:space="preserve">in accordance with this Regulation. </w:t>
      </w:r>
      <w:r w:rsidR="00A8362B">
        <w:rPr>
          <w:noProof/>
          <w:lang w:val="en-IE"/>
        </w:rPr>
        <w:t>However, th</w:t>
      </w:r>
      <w:r w:rsidR="00203C43">
        <w:rPr>
          <w:noProof/>
          <w:lang w:val="en-IE"/>
        </w:rPr>
        <w:t xml:space="preserve">is Regulation </w:t>
      </w:r>
      <w:r w:rsidR="00203C43" w:rsidRPr="44137436">
        <w:rPr>
          <w:noProof/>
          <w:lang w:val="en-IE"/>
        </w:rPr>
        <w:t xml:space="preserve">does not create a legal basis under Regulation (EU) 2016/679 for the data holder to provide access to personal data </w:t>
      </w:r>
      <w:r w:rsidR="00DB74DE">
        <w:rPr>
          <w:noProof/>
          <w:lang w:val="en-IE"/>
        </w:rPr>
        <w:t xml:space="preserve">or make it available to a third party </w:t>
      </w:r>
      <w:r w:rsidR="00203C43" w:rsidRPr="44137436">
        <w:rPr>
          <w:noProof/>
          <w:lang w:val="en-IE"/>
        </w:rPr>
        <w:t>when requested by a user that is not a data subject</w:t>
      </w:r>
      <w:r w:rsidR="0023412A">
        <w:rPr>
          <w:noProof/>
          <w:lang w:val="en-IE"/>
        </w:rPr>
        <w:t xml:space="preserve"> </w:t>
      </w:r>
      <w:r w:rsidR="00DB74DE">
        <w:rPr>
          <w:noProof/>
          <w:lang w:val="en-IE"/>
        </w:rPr>
        <w:t xml:space="preserve">and </w:t>
      </w:r>
      <w:r w:rsidR="0023412A" w:rsidRPr="44137436">
        <w:rPr>
          <w:noProof/>
          <w:lang w:val="en-IE"/>
        </w:rPr>
        <w:t xml:space="preserve">should not be </w:t>
      </w:r>
      <w:r w:rsidR="00DB74DE">
        <w:rPr>
          <w:noProof/>
          <w:lang w:val="en-IE"/>
        </w:rPr>
        <w:t>understood</w:t>
      </w:r>
      <w:r w:rsidR="00DB74DE" w:rsidRPr="44137436">
        <w:rPr>
          <w:noProof/>
          <w:lang w:val="en-IE"/>
        </w:rPr>
        <w:t xml:space="preserve"> </w:t>
      </w:r>
      <w:r w:rsidR="0023412A" w:rsidRPr="44137436">
        <w:rPr>
          <w:noProof/>
          <w:lang w:val="en-IE"/>
        </w:rPr>
        <w:t xml:space="preserve">as conferring any new </w:t>
      </w:r>
      <w:r w:rsidR="0023412A">
        <w:rPr>
          <w:noProof/>
          <w:lang w:val="en-IE"/>
        </w:rPr>
        <w:t>right</w:t>
      </w:r>
      <w:r w:rsidR="0023412A" w:rsidRPr="44137436">
        <w:rPr>
          <w:noProof/>
          <w:lang w:val="en-IE"/>
        </w:rPr>
        <w:t xml:space="preserve"> on the data holder to use data generated by the use of a product </w:t>
      </w:r>
      <w:r w:rsidR="00DB74DE">
        <w:rPr>
          <w:noProof/>
          <w:lang w:val="en-IE"/>
        </w:rPr>
        <w:t>or</w:t>
      </w:r>
      <w:r w:rsidR="00DB74DE" w:rsidRPr="44137436">
        <w:rPr>
          <w:noProof/>
          <w:lang w:val="en-IE"/>
        </w:rPr>
        <w:t xml:space="preserve"> </w:t>
      </w:r>
      <w:r w:rsidR="0023412A" w:rsidRPr="44137436">
        <w:rPr>
          <w:noProof/>
          <w:lang w:val="en-IE"/>
        </w:rPr>
        <w:t xml:space="preserve">related service. This applies in particular where the manufacturer is the data holder. In that case, the basis for the manufacturer to use non-personal data should be a contractual agreement between the manufacturer and the user. This agreement may be part of the sale, rent or lease </w:t>
      </w:r>
      <w:r w:rsidR="0023412A">
        <w:rPr>
          <w:noProof/>
          <w:lang w:val="en-IE"/>
        </w:rPr>
        <w:t>agreement</w:t>
      </w:r>
      <w:r w:rsidR="0023412A" w:rsidRPr="44137436">
        <w:rPr>
          <w:noProof/>
          <w:lang w:val="en-IE"/>
        </w:rPr>
        <w:t xml:space="preserve"> relating to the product. Any contractual term in the agreement stipulating that the data holder may use the data generated by the user of a product </w:t>
      </w:r>
      <w:r w:rsidR="00DB74DE">
        <w:rPr>
          <w:noProof/>
          <w:lang w:val="en-IE"/>
        </w:rPr>
        <w:t>or</w:t>
      </w:r>
      <w:r w:rsidR="00DB74DE" w:rsidRPr="44137436">
        <w:rPr>
          <w:noProof/>
          <w:lang w:val="en-IE"/>
        </w:rPr>
        <w:t xml:space="preserve"> </w:t>
      </w:r>
      <w:r w:rsidR="0023412A" w:rsidRPr="44137436">
        <w:rPr>
          <w:noProof/>
          <w:lang w:val="en-IE"/>
        </w:rPr>
        <w:t xml:space="preserve">related service should be transparent to the user, including as regards the purpose for which the data holder intends to use the data. This Regulation should not prevent contractual conditions, whose effect is to exclude </w:t>
      </w:r>
      <w:r w:rsidR="00B54588">
        <w:rPr>
          <w:noProof/>
          <w:lang w:val="en-IE"/>
        </w:rPr>
        <w:t xml:space="preserve">or limit </w:t>
      </w:r>
      <w:r w:rsidR="0023412A" w:rsidRPr="44137436">
        <w:rPr>
          <w:noProof/>
          <w:lang w:val="en-IE"/>
        </w:rPr>
        <w:t>the use of the data</w:t>
      </w:r>
      <w:r w:rsidR="00B54588">
        <w:rPr>
          <w:noProof/>
          <w:lang w:val="en-IE"/>
        </w:rPr>
        <w:t>, or certain categories thereof,</w:t>
      </w:r>
      <w:r w:rsidR="0023412A" w:rsidRPr="44137436">
        <w:rPr>
          <w:noProof/>
          <w:lang w:val="en-IE"/>
        </w:rPr>
        <w:t xml:space="preserve"> by the data holder.</w:t>
      </w:r>
      <w:r w:rsidR="0023412A">
        <w:rPr>
          <w:noProof/>
          <w:lang w:val="en-IE"/>
        </w:rPr>
        <w:t xml:space="preserve"> </w:t>
      </w:r>
      <w:r w:rsidR="00B54588" w:rsidRPr="00B54588">
        <w:rPr>
          <w:noProof/>
          <w:lang w:val="en-IE"/>
        </w:rPr>
        <w:t>This Regulation should also not prevent sector-specific regulatory requirements under Union law, or national law compatible with Union law, which would exclude or limit the use of certain such data by the data holder on well-defined public policy grounds.</w:t>
      </w:r>
      <w:r w:rsidR="00B54588">
        <w:rPr>
          <w:noProof/>
          <w:lang w:val="en-IE"/>
        </w:rPr>
        <w:t xml:space="preserve"> </w:t>
      </w:r>
    </w:p>
    <w:p w14:paraId="7665FF05" w14:textId="19416645" w:rsidR="0023412A" w:rsidRPr="001B1240" w:rsidRDefault="000856CE" w:rsidP="000856CE">
      <w:pPr>
        <w:pStyle w:val="ManualConsidrant"/>
        <w:rPr>
          <w:rFonts w:asciiTheme="minorHAnsi" w:eastAsiaTheme="minorEastAsia" w:hAnsiTheme="minorHAnsi" w:cstheme="minorBidi"/>
          <w:noProof/>
          <w:lang w:val="en-IE"/>
        </w:rPr>
      </w:pPr>
      <w:r w:rsidRPr="000856CE">
        <w:t>(25)</w:t>
      </w:r>
      <w:r w:rsidRPr="000856CE">
        <w:tab/>
      </w:r>
      <w:r w:rsidR="0023412A" w:rsidRPr="44137436">
        <w:rPr>
          <w:noProof/>
          <w:lang w:val="en-IE"/>
        </w:rPr>
        <w:t>In sectors characterised by the concentration of a small number of manufacturers supplying end users, there are only limited options available to users with regard to sharing data with those manufacturers. In such circumstances, contractual agreements may be insufficient to achieve the objective of user empowerment. The data tends to remain under the control of the manufacturers, making it difficult for users to obtain value from the data generated by the equipment they purchase or lease. Consequently, there is limited potential for innovative smaller businesses to offer data-based solutions in a competitive manner and for a diverse data economy in Europe. This Regulation should therefore build on recent developments in specific sectors, such as the Code of Conduct on agricultural data sharing by contractual agreement. Sectoral legislation may be brought forward to address sector-specific needs and objectives.</w:t>
      </w:r>
      <w:r w:rsidR="00206858">
        <w:rPr>
          <w:noProof/>
          <w:lang w:val="en-IE"/>
        </w:rPr>
        <w:t xml:space="preserve"> </w:t>
      </w:r>
      <w:r w:rsidR="00206858" w:rsidRPr="00206858">
        <w:rPr>
          <w:noProof/>
          <w:lang w:val="en-IE"/>
        </w:rPr>
        <w:t xml:space="preserve">Furthermore, the data holder should not use any data generated by the use of the product </w:t>
      </w:r>
      <w:r w:rsidR="009B648A">
        <w:rPr>
          <w:noProof/>
          <w:lang w:val="en-IE"/>
        </w:rPr>
        <w:t>or</w:t>
      </w:r>
      <w:r w:rsidR="009B648A" w:rsidRPr="00206858">
        <w:rPr>
          <w:noProof/>
          <w:lang w:val="en-IE"/>
        </w:rPr>
        <w:t xml:space="preserve"> </w:t>
      </w:r>
      <w:r w:rsidR="00206858" w:rsidRPr="00206858">
        <w:rPr>
          <w:noProof/>
          <w:lang w:val="en-IE"/>
        </w:rPr>
        <w:t>related service in order to derive insights about the economic situation of the user or its assets or production methods or the use in any other way that could undermine the commercial position of the user on the markets it is active on. This would</w:t>
      </w:r>
      <w:r w:rsidR="00B45BEB">
        <w:rPr>
          <w:noProof/>
          <w:lang w:val="en-IE"/>
        </w:rPr>
        <w:t xml:space="preserve">, for instance, involve </w:t>
      </w:r>
      <w:r w:rsidR="00206858" w:rsidRPr="00206858">
        <w:rPr>
          <w:noProof/>
          <w:lang w:val="en-IE"/>
        </w:rPr>
        <w:t xml:space="preserve">using knowledge about the overall performance of a business or a farm in contractual negotiations with the user on potential acquisition of the user’s products or agricultural produce to the </w:t>
      </w:r>
      <w:r w:rsidR="00B45BEB">
        <w:rPr>
          <w:noProof/>
          <w:lang w:val="en-IE"/>
        </w:rPr>
        <w:t xml:space="preserve">user’s </w:t>
      </w:r>
      <w:r w:rsidR="00206858" w:rsidRPr="00206858">
        <w:rPr>
          <w:noProof/>
          <w:lang w:val="en-IE"/>
        </w:rPr>
        <w:t>detriment</w:t>
      </w:r>
      <w:r w:rsidR="009B648A">
        <w:rPr>
          <w:noProof/>
          <w:lang w:val="en-IE"/>
        </w:rPr>
        <w:t>, or</w:t>
      </w:r>
      <w:r w:rsidR="00515428">
        <w:rPr>
          <w:noProof/>
          <w:lang w:val="en-IE"/>
        </w:rPr>
        <w:t xml:space="preserve"> for instance,</w:t>
      </w:r>
      <w:r w:rsidR="00206858" w:rsidRPr="00206858">
        <w:rPr>
          <w:noProof/>
          <w:lang w:val="en-IE"/>
        </w:rPr>
        <w:t xml:space="preserve"> using such information to feed in larger databases on certain markets in the aggregate (</w:t>
      </w:r>
      <w:r w:rsidR="00B45BEB">
        <w:rPr>
          <w:noProof/>
          <w:lang w:val="en-IE"/>
        </w:rPr>
        <w:t>,</w:t>
      </w:r>
      <w:r w:rsidR="00515428">
        <w:rPr>
          <w:noProof/>
          <w:lang w:val="en-IE"/>
        </w:rPr>
        <w:t>e.g.</w:t>
      </w:r>
      <w:r w:rsidR="00B45BEB">
        <w:rPr>
          <w:noProof/>
          <w:lang w:val="en-IE"/>
        </w:rPr>
        <w:t xml:space="preserve"> </w:t>
      </w:r>
      <w:r w:rsidR="00206858" w:rsidRPr="00206858">
        <w:rPr>
          <w:noProof/>
          <w:lang w:val="en-IE"/>
        </w:rPr>
        <w:t xml:space="preserve">databases on crop yields for the </w:t>
      </w:r>
      <w:r w:rsidR="001B1BAE">
        <w:rPr>
          <w:noProof/>
          <w:lang w:val="en-IE"/>
        </w:rPr>
        <w:t>up</w:t>
      </w:r>
      <w:r w:rsidR="00206858" w:rsidRPr="00206858">
        <w:rPr>
          <w:noProof/>
          <w:lang w:val="en-IE"/>
        </w:rPr>
        <w:t xml:space="preserve">coming harvesting season) as such </w:t>
      </w:r>
      <w:r w:rsidR="001148BE">
        <w:rPr>
          <w:noProof/>
          <w:lang w:val="en-IE"/>
        </w:rPr>
        <w:t xml:space="preserve">use could </w:t>
      </w:r>
      <w:r w:rsidR="00206858" w:rsidRPr="00206858">
        <w:rPr>
          <w:noProof/>
          <w:lang w:val="en-IE"/>
        </w:rPr>
        <w:t>affect the user negatively in an indirect manner. The user should be given the necessary technical interface to manage permissions, preferably with granular permission options (</w:t>
      </w:r>
      <w:r w:rsidR="00B45BEB">
        <w:rPr>
          <w:noProof/>
          <w:lang w:val="en-IE"/>
        </w:rPr>
        <w:t xml:space="preserve">such as </w:t>
      </w:r>
      <w:r w:rsidR="00206858" w:rsidRPr="00206858">
        <w:rPr>
          <w:noProof/>
          <w:lang w:val="en-IE"/>
        </w:rPr>
        <w:t>“allow once”</w:t>
      </w:r>
      <w:r w:rsidR="00B45BEB">
        <w:rPr>
          <w:noProof/>
          <w:lang w:val="en-IE"/>
        </w:rPr>
        <w:t xml:space="preserve"> or</w:t>
      </w:r>
      <w:r w:rsidR="00206858" w:rsidRPr="00206858">
        <w:rPr>
          <w:noProof/>
          <w:lang w:val="en-IE"/>
        </w:rPr>
        <w:t xml:space="preserve"> “allow while using this app or service”), including </w:t>
      </w:r>
      <w:r w:rsidR="00B45BEB">
        <w:rPr>
          <w:noProof/>
          <w:lang w:val="en-IE"/>
        </w:rPr>
        <w:t xml:space="preserve">the option </w:t>
      </w:r>
      <w:r w:rsidR="00206858" w:rsidRPr="00206858">
        <w:rPr>
          <w:noProof/>
          <w:lang w:val="en-IE"/>
        </w:rPr>
        <w:t xml:space="preserve">to withdraw </w:t>
      </w:r>
      <w:r w:rsidR="00B45BEB">
        <w:rPr>
          <w:noProof/>
          <w:lang w:val="en-IE"/>
        </w:rPr>
        <w:t>permission</w:t>
      </w:r>
      <w:r w:rsidR="00206858">
        <w:rPr>
          <w:noProof/>
          <w:lang w:val="en-IE"/>
        </w:rPr>
        <w:t>.</w:t>
      </w:r>
      <w:r w:rsidR="0023412A" w:rsidRPr="5F71A290">
        <w:rPr>
          <w:noProof/>
          <w:lang w:val="en-IE"/>
        </w:rPr>
        <w:t xml:space="preserve"> </w:t>
      </w:r>
    </w:p>
    <w:p w14:paraId="0E71E3FC" w14:textId="1966D68C" w:rsidR="0014431C" w:rsidRPr="002D7C8A" w:rsidRDefault="000856CE" w:rsidP="000856CE">
      <w:pPr>
        <w:pStyle w:val="ManualConsidrant"/>
        <w:rPr>
          <w:rFonts w:asciiTheme="minorHAnsi" w:eastAsiaTheme="minorEastAsia" w:hAnsiTheme="minorHAnsi" w:cstheme="minorBidi"/>
          <w:noProof/>
          <w:lang w:val="en-IE"/>
        </w:rPr>
      </w:pPr>
      <w:r w:rsidRPr="000856CE">
        <w:t>(26)</w:t>
      </w:r>
      <w:r w:rsidRPr="000856CE">
        <w:tab/>
      </w:r>
      <w:r w:rsidR="0023412A" w:rsidRPr="007A774C">
        <w:rPr>
          <w:noProof/>
          <w:lang w:val="en-IE"/>
        </w:rPr>
        <w:t>In contracts</w:t>
      </w:r>
      <w:r w:rsidR="0023412A" w:rsidRPr="44137436">
        <w:rPr>
          <w:noProof/>
          <w:lang w:val="en-IE"/>
        </w:rPr>
        <w:t xml:space="preserve"> between a </w:t>
      </w:r>
      <w:r w:rsidR="0023412A">
        <w:rPr>
          <w:noProof/>
          <w:lang w:val="en-IE"/>
        </w:rPr>
        <w:t xml:space="preserve">data holder </w:t>
      </w:r>
      <w:r w:rsidR="0023412A" w:rsidRPr="44137436">
        <w:rPr>
          <w:noProof/>
          <w:lang w:val="en-IE"/>
        </w:rPr>
        <w:t xml:space="preserve">and a consumer as a user of a product </w:t>
      </w:r>
      <w:r w:rsidR="009B648A">
        <w:rPr>
          <w:noProof/>
          <w:lang w:val="en-IE"/>
        </w:rPr>
        <w:t>or</w:t>
      </w:r>
      <w:r w:rsidR="009B648A" w:rsidRPr="44137436">
        <w:rPr>
          <w:noProof/>
          <w:lang w:val="en-IE"/>
        </w:rPr>
        <w:t xml:space="preserve"> </w:t>
      </w:r>
      <w:r w:rsidR="0023412A" w:rsidRPr="44137436">
        <w:rPr>
          <w:noProof/>
          <w:lang w:val="en-IE"/>
        </w:rPr>
        <w:t>related service generating data</w:t>
      </w:r>
      <w:r w:rsidR="0023412A" w:rsidRPr="007A774C">
        <w:rPr>
          <w:noProof/>
          <w:lang w:val="en-IE"/>
        </w:rPr>
        <w:t xml:space="preserve">, </w:t>
      </w:r>
      <w:r w:rsidR="0023412A" w:rsidRPr="00B356D4">
        <w:rPr>
          <w:noProof/>
        </w:rPr>
        <w:t>Directive 93/13/EEC</w:t>
      </w:r>
      <w:r w:rsidR="0023412A">
        <w:rPr>
          <w:noProof/>
        </w:rPr>
        <w:t xml:space="preserve"> applies to the terms of the contract to ensure that a consumer is not subject to unfair contract</w:t>
      </w:r>
      <w:r w:rsidR="002A524E">
        <w:rPr>
          <w:noProof/>
        </w:rPr>
        <w:t>ual</w:t>
      </w:r>
      <w:r w:rsidR="0023412A">
        <w:rPr>
          <w:noProof/>
        </w:rPr>
        <w:t xml:space="preserve"> terms</w:t>
      </w:r>
      <w:r w:rsidR="0023412A" w:rsidRPr="00B356D4">
        <w:rPr>
          <w:noProof/>
        </w:rPr>
        <w:t>.</w:t>
      </w:r>
      <w:r w:rsidR="0023412A">
        <w:rPr>
          <w:noProof/>
        </w:rPr>
        <w:t xml:space="preserve"> For unfair contractual terms </w:t>
      </w:r>
      <w:r w:rsidR="0023412A" w:rsidRPr="00B356D4">
        <w:rPr>
          <w:noProof/>
        </w:rPr>
        <w:t xml:space="preserve">unilaterally imposed on a micro, small or medium-sized enterprise </w:t>
      </w:r>
      <w:r w:rsidR="00797E62">
        <w:rPr>
          <w:noProof/>
        </w:rPr>
        <w:t xml:space="preserve">as defined in Article 2 of the Annex to </w:t>
      </w:r>
      <w:r w:rsidR="0023412A" w:rsidRPr="00B356D4">
        <w:rPr>
          <w:noProof/>
        </w:rPr>
        <w:t>Recommendation 2003/361/EC</w:t>
      </w:r>
      <w:r w:rsidR="0023412A">
        <w:rPr>
          <w:rStyle w:val="FootnoteReference"/>
          <w:noProof/>
        </w:rPr>
        <w:footnoteReference w:id="63"/>
      </w:r>
      <w:r w:rsidR="00BF5CE0">
        <w:rPr>
          <w:noProof/>
        </w:rPr>
        <w:t>,</w:t>
      </w:r>
      <w:r w:rsidR="0023412A">
        <w:rPr>
          <w:noProof/>
        </w:rPr>
        <w:t xml:space="preserve"> this Regulation </w:t>
      </w:r>
      <w:r w:rsidR="00BF5CE0">
        <w:rPr>
          <w:noProof/>
        </w:rPr>
        <w:t xml:space="preserve">provides </w:t>
      </w:r>
      <w:r w:rsidR="0023412A">
        <w:rPr>
          <w:noProof/>
        </w:rPr>
        <w:t xml:space="preserve">that such unfair terms </w:t>
      </w:r>
      <w:r w:rsidR="0023412A" w:rsidRPr="44137436">
        <w:rPr>
          <w:noProof/>
        </w:rPr>
        <w:t xml:space="preserve">should </w:t>
      </w:r>
      <w:r w:rsidR="0023412A" w:rsidRPr="00B356D4">
        <w:rPr>
          <w:noProof/>
        </w:rPr>
        <w:t>not be binding on that enterprise.</w:t>
      </w:r>
      <w:r w:rsidR="0023412A" w:rsidRPr="007A774C" w:rsidDel="00617F62">
        <w:rPr>
          <w:noProof/>
          <w:lang w:val="en-IE"/>
        </w:rPr>
        <w:t xml:space="preserve"> </w:t>
      </w:r>
    </w:p>
    <w:p w14:paraId="41F56D22" w14:textId="6A109667" w:rsidR="0023412A" w:rsidRDefault="000856CE" w:rsidP="000856CE">
      <w:pPr>
        <w:pStyle w:val="ManualConsidrant"/>
        <w:rPr>
          <w:rFonts w:asciiTheme="minorHAnsi" w:eastAsiaTheme="minorEastAsia" w:hAnsiTheme="minorHAnsi" w:cstheme="minorBidi"/>
          <w:noProof/>
          <w:lang w:val="en-IE"/>
        </w:rPr>
      </w:pPr>
      <w:r w:rsidRPr="000856CE">
        <w:t>(27)</w:t>
      </w:r>
      <w:r w:rsidRPr="000856CE">
        <w:tab/>
      </w:r>
      <w:r w:rsidR="0023412A" w:rsidRPr="007A774C">
        <w:rPr>
          <w:noProof/>
          <w:lang w:val="en-IE"/>
        </w:rPr>
        <w:t xml:space="preserve">The data holder may require appropriate user identification to verify the user’s entitlement to access the data. In the case of personal data processed by a processor on behalf of the controller, the data holder should ensure that the access request is received and handled by the processor. </w:t>
      </w:r>
    </w:p>
    <w:p w14:paraId="7F68972D" w14:textId="7ADF7821" w:rsidR="0023412A" w:rsidRDefault="000856CE" w:rsidP="000856CE">
      <w:pPr>
        <w:pStyle w:val="ManualConsidrant"/>
        <w:rPr>
          <w:rFonts w:asciiTheme="minorHAnsi" w:eastAsiaTheme="minorEastAsia" w:hAnsiTheme="minorHAnsi" w:cstheme="minorBidi"/>
          <w:noProof/>
          <w:lang w:val="en-IE"/>
        </w:rPr>
      </w:pPr>
      <w:r w:rsidRPr="000856CE">
        <w:t>(28)</w:t>
      </w:r>
      <w:r w:rsidRPr="000856CE">
        <w:tab/>
      </w:r>
      <w:r w:rsidR="0023412A" w:rsidRPr="44137436">
        <w:rPr>
          <w:noProof/>
          <w:lang w:val="en-IE"/>
        </w:rPr>
        <w:t xml:space="preserve">The user should be free to use the data for any lawful purpose. This includes providing the data </w:t>
      </w:r>
      <w:r w:rsidR="009B648A">
        <w:rPr>
          <w:noProof/>
          <w:lang w:val="en-IE"/>
        </w:rPr>
        <w:t xml:space="preserve">the user has received exercising the right under this Regulation </w:t>
      </w:r>
      <w:r w:rsidR="0023412A" w:rsidRPr="44137436">
        <w:rPr>
          <w:noProof/>
          <w:lang w:val="en-IE"/>
        </w:rPr>
        <w:t xml:space="preserve">to a third party offering an aftermarket service </w:t>
      </w:r>
      <w:r w:rsidR="0023412A">
        <w:rPr>
          <w:noProof/>
          <w:lang w:val="en-IE"/>
        </w:rPr>
        <w:t>that</w:t>
      </w:r>
      <w:r w:rsidR="0023412A" w:rsidRPr="44137436">
        <w:rPr>
          <w:noProof/>
          <w:lang w:val="en-IE"/>
        </w:rPr>
        <w:t xml:space="preserve"> may be in competition with a service provided by the data holder</w:t>
      </w:r>
      <w:r w:rsidR="009B648A">
        <w:rPr>
          <w:noProof/>
          <w:lang w:val="en-IE"/>
        </w:rPr>
        <w:t>, or to instruct the data holder to do so</w:t>
      </w:r>
      <w:r w:rsidR="0023412A" w:rsidRPr="44137436">
        <w:rPr>
          <w:noProof/>
          <w:lang w:val="en-IE"/>
        </w:rPr>
        <w:t xml:space="preserve">. </w:t>
      </w:r>
      <w:r w:rsidR="00BF5CE0">
        <w:rPr>
          <w:noProof/>
          <w:lang w:val="en-IE"/>
        </w:rPr>
        <w:t xml:space="preserve">The data holder should ensure that the data made available to the third party is as accurate, complete, reliable, relevant and up-to-date as the data the data holder itself may be </w:t>
      </w:r>
      <w:r w:rsidR="00D41F53">
        <w:rPr>
          <w:noProof/>
          <w:lang w:val="en-IE"/>
        </w:rPr>
        <w:t xml:space="preserve">able or </w:t>
      </w:r>
      <w:r w:rsidR="00BF5CE0">
        <w:rPr>
          <w:noProof/>
          <w:lang w:val="en-IE"/>
        </w:rPr>
        <w:t xml:space="preserve">entitled to access from the use of the product </w:t>
      </w:r>
      <w:r w:rsidR="009B648A">
        <w:rPr>
          <w:noProof/>
          <w:lang w:val="en-IE"/>
        </w:rPr>
        <w:t xml:space="preserve">or </w:t>
      </w:r>
      <w:r w:rsidR="00BF5CE0">
        <w:rPr>
          <w:noProof/>
          <w:lang w:val="en-IE"/>
        </w:rPr>
        <w:t xml:space="preserve">related service. </w:t>
      </w:r>
      <w:r w:rsidR="0023412A" w:rsidRPr="44137436">
        <w:rPr>
          <w:noProof/>
          <w:lang w:val="en-IE"/>
        </w:rPr>
        <w:t xml:space="preserve">Any trade secrets or intellectual property rights should be respected in handling the data. It is important to preserve </w:t>
      </w:r>
      <w:r w:rsidR="0023412A">
        <w:rPr>
          <w:noProof/>
          <w:lang w:val="en-IE"/>
        </w:rPr>
        <w:t>incentives</w:t>
      </w:r>
      <w:r w:rsidR="0023412A" w:rsidRPr="44137436">
        <w:rPr>
          <w:noProof/>
          <w:lang w:val="en-IE"/>
        </w:rPr>
        <w:t xml:space="preserve"> to invest in products with functionalities based on the use of data from sensors built into that </w:t>
      </w:r>
      <w:r w:rsidR="0023412A">
        <w:rPr>
          <w:noProof/>
          <w:lang w:val="en-IE"/>
        </w:rPr>
        <w:t>product. The aim of thi</w:t>
      </w:r>
      <w:r w:rsidR="0023412A" w:rsidRPr="44137436">
        <w:rPr>
          <w:noProof/>
          <w:lang w:val="en-IE"/>
        </w:rPr>
        <w:t xml:space="preserve">s Regulation should </w:t>
      </w:r>
      <w:r w:rsidR="0023412A">
        <w:rPr>
          <w:noProof/>
          <w:lang w:val="en-IE"/>
        </w:rPr>
        <w:t xml:space="preserve">accordingly </w:t>
      </w:r>
      <w:r w:rsidR="0023412A" w:rsidRPr="44137436">
        <w:rPr>
          <w:noProof/>
          <w:lang w:val="en-IE"/>
        </w:rPr>
        <w:t xml:space="preserve">be </w:t>
      </w:r>
      <w:r w:rsidR="0023412A">
        <w:rPr>
          <w:noProof/>
          <w:lang w:val="en-IE"/>
        </w:rPr>
        <w:t xml:space="preserve">understood as </w:t>
      </w:r>
      <w:r w:rsidR="0023412A" w:rsidRPr="44137436">
        <w:rPr>
          <w:noProof/>
          <w:lang w:val="en-IE"/>
        </w:rPr>
        <w:t xml:space="preserve">to foster the development of new, innovative products </w:t>
      </w:r>
      <w:r w:rsidR="009B648A">
        <w:rPr>
          <w:noProof/>
          <w:lang w:val="en-IE"/>
        </w:rPr>
        <w:t>or</w:t>
      </w:r>
      <w:r w:rsidR="009B648A" w:rsidRPr="44137436">
        <w:rPr>
          <w:noProof/>
          <w:lang w:val="en-IE"/>
        </w:rPr>
        <w:t xml:space="preserve"> </w:t>
      </w:r>
      <w:r w:rsidR="0023412A" w:rsidRPr="44137436">
        <w:rPr>
          <w:noProof/>
          <w:lang w:val="en-IE"/>
        </w:rPr>
        <w:t>related services</w:t>
      </w:r>
      <w:r w:rsidR="0023412A">
        <w:rPr>
          <w:noProof/>
          <w:lang w:val="en-IE"/>
        </w:rPr>
        <w:t>,</w:t>
      </w:r>
      <w:r w:rsidR="009B648A">
        <w:rPr>
          <w:noProof/>
          <w:lang w:val="en-IE"/>
        </w:rPr>
        <w:t xml:space="preserve"> stimulate innovation on aftermarkets, but also stimulate the development of entirely novel services making use of the data, including based on data from a variety of products or related services</w:t>
      </w:r>
      <w:r w:rsidR="0023412A">
        <w:rPr>
          <w:noProof/>
          <w:lang w:val="en-IE"/>
        </w:rPr>
        <w:t xml:space="preserve">. </w:t>
      </w:r>
      <w:r w:rsidR="009B648A">
        <w:rPr>
          <w:noProof/>
          <w:lang w:val="en-IE"/>
        </w:rPr>
        <w:t xml:space="preserve">At the same time, it </w:t>
      </w:r>
      <w:r w:rsidR="0023412A">
        <w:rPr>
          <w:noProof/>
          <w:lang w:val="en-IE"/>
        </w:rPr>
        <w:t>aims to avoid undermining</w:t>
      </w:r>
      <w:r w:rsidR="0023412A" w:rsidRPr="44137436">
        <w:rPr>
          <w:noProof/>
          <w:lang w:val="en-IE"/>
        </w:rPr>
        <w:t xml:space="preserve"> the investment incentives for the type of product from which the data are obtained, </w:t>
      </w:r>
      <w:r w:rsidR="0023412A">
        <w:rPr>
          <w:noProof/>
          <w:lang w:val="en-IE"/>
        </w:rPr>
        <w:t xml:space="preserve">for instance, </w:t>
      </w:r>
      <w:r w:rsidR="0023412A" w:rsidRPr="44137436">
        <w:rPr>
          <w:noProof/>
          <w:lang w:val="en-IE"/>
        </w:rPr>
        <w:t xml:space="preserve">by the use of data to develop a </w:t>
      </w:r>
      <w:r w:rsidR="00FE3A77">
        <w:rPr>
          <w:noProof/>
          <w:lang w:val="en-IE"/>
        </w:rPr>
        <w:t xml:space="preserve">competing </w:t>
      </w:r>
      <w:r w:rsidR="0023412A" w:rsidRPr="44137436">
        <w:rPr>
          <w:noProof/>
          <w:lang w:val="en-IE"/>
        </w:rPr>
        <w:t xml:space="preserve">product. </w:t>
      </w:r>
    </w:p>
    <w:p w14:paraId="6A7C93C7" w14:textId="54B33AB1" w:rsidR="0023412A" w:rsidRDefault="000856CE" w:rsidP="000856CE">
      <w:pPr>
        <w:pStyle w:val="ManualConsidrant"/>
        <w:rPr>
          <w:rFonts w:asciiTheme="minorHAnsi" w:eastAsiaTheme="minorEastAsia" w:hAnsiTheme="minorHAnsi" w:cstheme="minorBidi"/>
          <w:noProof/>
          <w:lang w:val="en-IE"/>
        </w:rPr>
      </w:pPr>
      <w:r w:rsidRPr="000856CE">
        <w:t>(29)</w:t>
      </w:r>
      <w:r w:rsidRPr="000856CE">
        <w:tab/>
      </w:r>
      <w:r w:rsidR="009B648A">
        <w:rPr>
          <w:noProof/>
          <w:lang w:val="en-IE"/>
        </w:rPr>
        <w:t xml:space="preserve">A </w:t>
      </w:r>
      <w:r w:rsidR="0023412A" w:rsidRPr="5F71A290">
        <w:rPr>
          <w:noProof/>
          <w:lang w:val="en-IE"/>
        </w:rPr>
        <w:t xml:space="preserve">third party </w:t>
      </w:r>
      <w:r w:rsidR="009B648A">
        <w:rPr>
          <w:noProof/>
          <w:lang w:val="en-IE"/>
        </w:rPr>
        <w:t xml:space="preserve">to whom data is made available </w:t>
      </w:r>
      <w:r w:rsidR="0023412A" w:rsidRPr="5F71A290">
        <w:rPr>
          <w:noProof/>
          <w:lang w:val="en-IE"/>
        </w:rPr>
        <w:t xml:space="preserve">may be an enterprise, a research organisation or a not-for-profit organisation. </w:t>
      </w:r>
      <w:r w:rsidR="00720AF3">
        <w:rPr>
          <w:noProof/>
          <w:lang w:val="en-IE"/>
        </w:rPr>
        <w:t>In making the data available to the third party, t</w:t>
      </w:r>
      <w:r w:rsidR="00720AF3" w:rsidRPr="00720AF3">
        <w:rPr>
          <w:noProof/>
          <w:lang w:val="en-IE"/>
        </w:rPr>
        <w:t xml:space="preserve">he data holder should not </w:t>
      </w:r>
      <w:r w:rsidR="00720AF3">
        <w:rPr>
          <w:noProof/>
          <w:lang w:val="en-IE"/>
        </w:rPr>
        <w:t xml:space="preserve">abuse its position to seek a competitive advantage in markets where the data holder and third party may be in direct competition. The data holder should not therefore </w:t>
      </w:r>
      <w:r w:rsidR="00720AF3" w:rsidRPr="00720AF3">
        <w:rPr>
          <w:noProof/>
          <w:lang w:val="en-IE"/>
        </w:rPr>
        <w:t xml:space="preserve">use any data generated by the use of the product </w:t>
      </w:r>
      <w:r w:rsidR="009B648A">
        <w:rPr>
          <w:noProof/>
          <w:lang w:val="en-IE"/>
        </w:rPr>
        <w:t>or</w:t>
      </w:r>
      <w:r w:rsidR="009B648A" w:rsidRPr="00720AF3">
        <w:rPr>
          <w:noProof/>
          <w:lang w:val="en-IE"/>
        </w:rPr>
        <w:t xml:space="preserve"> </w:t>
      </w:r>
      <w:r w:rsidR="00720AF3" w:rsidRPr="00720AF3">
        <w:rPr>
          <w:noProof/>
          <w:lang w:val="en-IE"/>
        </w:rPr>
        <w:t xml:space="preserve">related service in order to derive insights about the economic situation of the </w:t>
      </w:r>
      <w:r w:rsidR="00720AF3">
        <w:rPr>
          <w:noProof/>
          <w:lang w:val="en-IE"/>
        </w:rPr>
        <w:t xml:space="preserve">third party </w:t>
      </w:r>
      <w:r w:rsidR="00720AF3" w:rsidRPr="00720AF3">
        <w:rPr>
          <w:noProof/>
          <w:lang w:val="en-IE"/>
        </w:rPr>
        <w:t xml:space="preserve">or its assets or production methods or the use in any other way that could undermine the commercial position of the </w:t>
      </w:r>
      <w:r w:rsidR="00720AF3">
        <w:rPr>
          <w:noProof/>
          <w:lang w:val="en-IE"/>
        </w:rPr>
        <w:t>third party</w:t>
      </w:r>
      <w:r w:rsidR="00720AF3" w:rsidRPr="00720AF3">
        <w:rPr>
          <w:noProof/>
          <w:lang w:val="en-IE"/>
        </w:rPr>
        <w:t xml:space="preserve"> on the markets it is active on. </w:t>
      </w:r>
    </w:p>
    <w:p w14:paraId="483E3201" w14:textId="6E3DD221" w:rsidR="0023412A" w:rsidRPr="00CC2CB5" w:rsidRDefault="000856CE" w:rsidP="000856CE">
      <w:pPr>
        <w:pStyle w:val="ManualConsidrant"/>
        <w:rPr>
          <w:rFonts w:asciiTheme="minorHAnsi" w:hAnsiTheme="minorHAnsi" w:cstheme="minorBidi"/>
          <w:noProof/>
          <w:lang w:val="en-IE"/>
        </w:rPr>
      </w:pPr>
      <w:r w:rsidRPr="000856CE">
        <w:t>(30)</w:t>
      </w:r>
      <w:r w:rsidRPr="000856CE">
        <w:tab/>
      </w:r>
      <w:r w:rsidR="0023412A" w:rsidRPr="00C80A11">
        <w:rPr>
          <w:noProof/>
          <w:lang w:val="en-IE"/>
        </w:rPr>
        <w:t xml:space="preserve">The use of a product </w:t>
      </w:r>
      <w:r w:rsidR="009B648A">
        <w:rPr>
          <w:noProof/>
          <w:lang w:val="en-IE"/>
        </w:rPr>
        <w:t>or</w:t>
      </w:r>
      <w:r w:rsidR="009B648A" w:rsidRPr="00C80A11">
        <w:rPr>
          <w:noProof/>
          <w:lang w:val="en-IE"/>
        </w:rPr>
        <w:t xml:space="preserve"> </w:t>
      </w:r>
      <w:r w:rsidR="0023412A" w:rsidRPr="00C80A11">
        <w:rPr>
          <w:noProof/>
          <w:lang w:val="en-IE"/>
        </w:rPr>
        <w:t xml:space="preserve">related service may, in particular when the user is a natural person, generate data that relates to an </w:t>
      </w:r>
      <w:r w:rsidR="0023412A" w:rsidRPr="00000947">
        <w:rPr>
          <w:noProof/>
          <w:lang w:val="en-IE"/>
        </w:rPr>
        <w:t xml:space="preserve">identified or identifiable natural person (the data subject). Processing of such data is subject to the </w:t>
      </w:r>
      <w:r w:rsidR="0023412A" w:rsidRPr="009167DA">
        <w:rPr>
          <w:noProof/>
          <w:lang w:val="en-IE"/>
        </w:rPr>
        <w:t>rules established under Regulation (EU) 2016/679, including where personal and non-personal data in a data set are inextricably linked</w:t>
      </w:r>
      <w:r w:rsidR="0023412A" w:rsidRPr="00B356D4">
        <w:rPr>
          <w:rStyle w:val="FootnoteReference"/>
          <w:rFonts w:eastAsiaTheme="minorEastAsia"/>
          <w:noProof/>
          <w:lang w:val="en-IE"/>
        </w:rPr>
        <w:footnoteReference w:id="64"/>
      </w:r>
      <w:r w:rsidR="0023412A" w:rsidRPr="00C80A11">
        <w:rPr>
          <w:noProof/>
          <w:lang w:val="en-IE"/>
        </w:rPr>
        <w:t xml:space="preserve">. The data subject may be the user or another natural person. Personal data may only be requested by a controller or a data subject. </w:t>
      </w:r>
      <w:r w:rsidR="0023412A" w:rsidRPr="009167DA">
        <w:rPr>
          <w:noProof/>
          <w:lang w:val="en-IE"/>
        </w:rPr>
        <w:t xml:space="preserve">A user </w:t>
      </w:r>
      <w:r w:rsidR="0023412A">
        <w:rPr>
          <w:noProof/>
          <w:lang w:val="en-IE"/>
        </w:rPr>
        <w:t xml:space="preserve">who is the data subject </w:t>
      </w:r>
      <w:r w:rsidR="0023412A" w:rsidRPr="44137436">
        <w:rPr>
          <w:noProof/>
          <w:lang w:val="en-IE"/>
        </w:rPr>
        <w:t xml:space="preserve">is </w:t>
      </w:r>
      <w:r w:rsidR="00315B36">
        <w:rPr>
          <w:noProof/>
          <w:lang w:val="en-IE"/>
        </w:rPr>
        <w:t>under certain circumstances</w:t>
      </w:r>
      <w:r w:rsidR="00B9277E">
        <w:rPr>
          <w:noProof/>
          <w:lang w:val="en-IE"/>
        </w:rPr>
        <w:t xml:space="preserve"> </w:t>
      </w:r>
      <w:r w:rsidR="0023412A" w:rsidRPr="44137436">
        <w:rPr>
          <w:noProof/>
          <w:lang w:val="en-IE"/>
        </w:rPr>
        <w:t xml:space="preserve">entitled under Regulation (EU) 2016/679 to access personal data concerning </w:t>
      </w:r>
      <w:r w:rsidR="0023412A">
        <w:rPr>
          <w:noProof/>
          <w:lang w:val="en-IE"/>
        </w:rPr>
        <w:t xml:space="preserve">them, </w:t>
      </w:r>
      <w:r w:rsidR="0023412A" w:rsidRPr="44137436">
        <w:rPr>
          <w:noProof/>
          <w:lang w:val="en-IE"/>
        </w:rPr>
        <w:t>and such rights are unaffected by this Regulation</w:t>
      </w:r>
      <w:r w:rsidR="0023412A">
        <w:rPr>
          <w:noProof/>
          <w:lang w:val="en-IE"/>
        </w:rPr>
        <w:t>. U</w:t>
      </w:r>
      <w:r w:rsidR="0023412A" w:rsidRPr="009167DA">
        <w:rPr>
          <w:noProof/>
          <w:lang w:val="en-IE"/>
        </w:rPr>
        <w:t>nder this Regulation</w:t>
      </w:r>
      <w:r w:rsidR="0023412A">
        <w:rPr>
          <w:noProof/>
          <w:lang w:val="en-IE"/>
        </w:rPr>
        <w:t>, the user</w:t>
      </w:r>
      <w:r w:rsidR="0023412A" w:rsidRPr="009167DA">
        <w:rPr>
          <w:noProof/>
          <w:lang w:val="en-IE"/>
        </w:rPr>
        <w:t xml:space="preserve"> who is a natural person is </w:t>
      </w:r>
      <w:r w:rsidR="0023412A">
        <w:rPr>
          <w:noProof/>
          <w:lang w:val="en-IE"/>
        </w:rPr>
        <w:t xml:space="preserve">further </w:t>
      </w:r>
      <w:r w:rsidR="0023412A" w:rsidRPr="009167DA">
        <w:rPr>
          <w:noProof/>
          <w:lang w:val="en-IE"/>
        </w:rPr>
        <w:t>entitled to access all data generated by the product, personal and non-personal. Where the user is not the data subject</w:t>
      </w:r>
      <w:r w:rsidR="0023412A" w:rsidRPr="009167DA">
        <w:rPr>
          <w:noProof/>
        </w:rPr>
        <w:t xml:space="preserve"> </w:t>
      </w:r>
      <w:r w:rsidR="0023412A">
        <w:rPr>
          <w:noProof/>
        </w:rPr>
        <w:t xml:space="preserve">but an </w:t>
      </w:r>
      <w:r w:rsidR="0023412A" w:rsidRPr="004F1F6B">
        <w:rPr>
          <w:noProof/>
        </w:rPr>
        <w:t>enterprise, including a sole trader</w:t>
      </w:r>
      <w:r w:rsidR="0023412A">
        <w:rPr>
          <w:noProof/>
        </w:rPr>
        <w:t xml:space="preserve">, and not in </w:t>
      </w:r>
      <w:r w:rsidR="0023412A" w:rsidRPr="009167DA">
        <w:rPr>
          <w:noProof/>
          <w:lang w:val="en-IE"/>
        </w:rPr>
        <w:t xml:space="preserve">cases of shared household use of the product, the user </w:t>
      </w:r>
      <w:r w:rsidR="009B648A">
        <w:rPr>
          <w:noProof/>
          <w:lang w:val="en-IE"/>
        </w:rPr>
        <w:t>will</w:t>
      </w:r>
      <w:r w:rsidR="009B648A" w:rsidRPr="009167DA">
        <w:rPr>
          <w:noProof/>
          <w:lang w:val="en-IE"/>
        </w:rPr>
        <w:t xml:space="preserve"> </w:t>
      </w:r>
      <w:r w:rsidR="0023412A" w:rsidRPr="009167DA">
        <w:rPr>
          <w:noProof/>
          <w:lang w:val="en-IE"/>
        </w:rPr>
        <w:t>be a controller</w:t>
      </w:r>
      <w:r w:rsidR="0023412A">
        <w:rPr>
          <w:noProof/>
          <w:lang w:val="en-IE"/>
        </w:rPr>
        <w:t xml:space="preserve"> within the meaning of Regulation </w:t>
      </w:r>
      <w:r w:rsidR="00315B36">
        <w:rPr>
          <w:noProof/>
          <w:lang w:val="en-IE"/>
        </w:rPr>
        <w:t xml:space="preserve">(EU) </w:t>
      </w:r>
      <w:r w:rsidR="0023412A">
        <w:rPr>
          <w:noProof/>
          <w:lang w:val="en-IE"/>
        </w:rPr>
        <w:t>2016/679.</w:t>
      </w:r>
      <w:r w:rsidR="0023412A" w:rsidRPr="009167DA">
        <w:rPr>
          <w:noProof/>
          <w:lang w:val="en-IE"/>
        </w:rPr>
        <w:t xml:space="preserve"> Accordingly, </w:t>
      </w:r>
      <w:r w:rsidR="0023412A">
        <w:rPr>
          <w:noProof/>
          <w:lang w:val="en-IE"/>
        </w:rPr>
        <w:t xml:space="preserve">such a </w:t>
      </w:r>
      <w:r w:rsidR="0023412A" w:rsidRPr="009167DA">
        <w:rPr>
          <w:noProof/>
        </w:rPr>
        <w:t xml:space="preserve">user </w:t>
      </w:r>
      <w:r w:rsidR="0023412A">
        <w:rPr>
          <w:noProof/>
        </w:rPr>
        <w:t xml:space="preserve">as controller </w:t>
      </w:r>
      <w:r w:rsidR="0023412A" w:rsidRPr="009167DA">
        <w:rPr>
          <w:noProof/>
        </w:rPr>
        <w:t xml:space="preserve">intending to request personal data generated by the use of a product </w:t>
      </w:r>
      <w:r w:rsidR="009B648A">
        <w:rPr>
          <w:noProof/>
        </w:rPr>
        <w:t>or</w:t>
      </w:r>
      <w:r w:rsidR="009B648A" w:rsidRPr="009167DA">
        <w:rPr>
          <w:noProof/>
        </w:rPr>
        <w:t xml:space="preserve"> </w:t>
      </w:r>
      <w:r w:rsidR="0023412A" w:rsidRPr="009167DA">
        <w:rPr>
          <w:noProof/>
        </w:rPr>
        <w:t>related service</w:t>
      </w:r>
      <w:r w:rsidR="0023412A">
        <w:rPr>
          <w:noProof/>
        </w:rPr>
        <w:t xml:space="preserve"> </w:t>
      </w:r>
      <w:r w:rsidR="0023412A" w:rsidRPr="009167DA">
        <w:rPr>
          <w:noProof/>
        </w:rPr>
        <w:t xml:space="preserve">is required to have a </w:t>
      </w:r>
      <w:r w:rsidR="0023412A" w:rsidRPr="009167DA">
        <w:rPr>
          <w:noProof/>
          <w:lang w:val="en-IE"/>
        </w:rPr>
        <w:t>legal basis for processing the</w:t>
      </w:r>
      <w:r w:rsidR="0023412A">
        <w:rPr>
          <w:noProof/>
          <w:lang w:val="en-IE"/>
        </w:rPr>
        <w:t xml:space="preserve"> data under Article 6(1) of</w:t>
      </w:r>
      <w:r w:rsidR="0023412A" w:rsidRPr="009167DA">
        <w:rPr>
          <w:noProof/>
          <w:lang w:val="en-IE"/>
        </w:rPr>
        <w:t xml:space="preserve"> Regulation</w:t>
      </w:r>
      <w:r w:rsidR="0023412A">
        <w:rPr>
          <w:noProof/>
          <w:lang w:val="en-IE"/>
        </w:rPr>
        <w:t xml:space="preserve"> </w:t>
      </w:r>
      <w:r w:rsidR="00315B36">
        <w:rPr>
          <w:noProof/>
          <w:lang w:val="en-IE"/>
        </w:rPr>
        <w:t xml:space="preserve">(EU) </w:t>
      </w:r>
      <w:r w:rsidR="0023412A">
        <w:rPr>
          <w:noProof/>
          <w:lang w:val="en-IE"/>
        </w:rPr>
        <w:t>2016/679</w:t>
      </w:r>
      <w:r w:rsidR="0023412A" w:rsidRPr="009167DA">
        <w:rPr>
          <w:noProof/>
          <w:lang w:val="en-IE"/>
        </w:rPr>
        <w:t xml:space="preserve">, such as the consent of the data subject or legitimate interest. </w:t>
      </w:r>
      <w:r w:rsidR="0023412A">
        <w:rPr>
          <w:noProof/>
          <w:lang w:val="en-IE"/>
        </w:rPr>
        <w:t xml:space="preserve">This user </w:t>
      </w:r>
      <w:r w:rsidR="0023412A" w:rsidRPr="009167DA">
        <w:rPr>
          <w:noProof/>
          <w:lang w:val="en-IE"/>
        </w:rPr>
        <w:t xml:space="preserve">should ensure that the data subject is appropriately informed of the specified, explicit and legitimate purposes for processing those data, and how the data subject may effectively exercise their rights. Where the data holder and the user are joint controllers within the meaning of Article 26 of Regulation (EU) 2016/679, they are required to determine, in a transparent manner by means of an arrangement between them, their respective responsibilities for compliance with that Regulation. </w:t>
      </w:r>
      <w:r w:rsidR="0023412A" w:rsidRPr="002A1C3C">
        <w:rPr>
          <w:noProof/>
          <w:lang w:val="en-IE"/>
        </w:rPr>
        <w:t xml:space="preserve"> </w:t>
      </w:r>
      <w:r w:rsidR="0023412A" w:rsidRPr="44137436">
        <w:rPr>
          <w:noProof/>
          <w:lang w:val="en-IE"/>
        </w:rPr>
        <w:t xml:space="preserve">It should be understood that </w:t>
      </w:r>
      <w:r w:rsidR="006F17B6">
        <w:rPr>
          <w:noProof/>
          <w:lang w:val="en-IE"/>
        </w:rPr>
        <w:t>such a</w:t>
      </w:r>
      <w:r w:rsidR="0023412A" w:rsidRPr="44137436">
        <w:rPr>
          <w:noProof/>
          <w:lang w:val="en-IE"/>
        </w:rPr>
        <w:t xml:space="preserve"> user, once data has been made available, may in turn become a data holder</w:t>
      </w:r>
      <w:r w:rsidR="006F17B6">
        <w:rPr>
          <w:noProof/>
          <w:lang w:val="en-IE"/>
        </w:rPr>
        <w:t>, if they meet the criteria under this Regulation and thus</w:t>
      </w:r>
      <w:r w:rsidR="0023412A">
        <w:rPr>
          <w:noProof/>
          <w:lang w:val="en-IE"/>
        </w:rPr>
        <w:t xml:space="preserve"> become subject to the obligations to make data available under this Regulation</w:t>
      </w:r>
      <w:r w:rsidR="0023412A" w:rsidRPr="44137436">
        <w:rPr>
          <w:noProof/>
          <w:lang w:val="en-IE"/>
        </w:rPr>
        <w:t xml:space="preserve">. </w:t>
      </w:r>
    </w:p>
    <w:p w14:paraId="15111BBE" w14:textId="28B621DD" w:rsidR="0023412A" w:rsidRPr="00E83DC7" w:rsidRDefault="000856CE" w:rsidP="000856CE">
      <w:pPr>
        <w:pStyle w:val="ManualConsidrant"/>
        <w:rPr>
          <w:rFonts w:asciiTheme="minorHAnsi" w:eastAsiaTheme="minorEastAsia" w:hAnsiTheme="minorHAnsi" w:cstheme="minorBidi"/>
          <w:noProof/>
          <w:lang w:val="en-IE"/>
        </w:rPr>
      </w:pPr>
      <w:r w:rsidRPr="000856CE">
        <w:t>(31)</w:t>
      </w:r>
      <w:r w:rsidRPr="000856CE">
        <w:tab/>
      </w:r>
      <w:r w:rsidR="0023412A" w:rsidRPr="44137436">
        <w:rPr>
          <w:noProof/>
          <w:lang w:val="en-IE"/>
        </w:rPr>
        <w:t xml:space="preserve">Data generated by the use of a product </w:t>
      </w:r>
      <w:r w:rsidR="009B648A">
        <w:rPr>
          <w:noProof/>
          <w:lang w:val="en-IE"/>
        </w:rPr>
        <w:t>or</w:t>
      </w:r>
      <w:r w:rsidR="009B648A" w:rsidRPr="44137436">
        <w:rPr>
          <w:noProof/>
          <w:lang w:val="en-IE"/>
        </w:rPr>
        <w:t xml:space="preserve"> </w:t>
      </w:r>
      <w:r w:rsidR="0023412A" w:rsidRPr="44137436">
        <w:rPr>
          <w:noProof/>
          <w:lang w:val="en-IE"/>
        </w:rPr>
        <w:t xml:space="preserve">related service should only be made available to a third party at the request of the user. </w:t>
      </w:r>
      <w:r w:rsidR="0023412A" w:rsidRPr="00FA67FF">
        <w:rPr>
          <w:noProof/>
          <w:lang w:val="en-IE"/>
        </w:rPr>
        <w:t xml:space="preserve">This Regulation accordingly </w:t>
      </w:r>
      <w:r w:rsidR="009B648A">
        <w:rPr>
          <w:noProof/>
          <w:lang w:val="en-IE"/>
        </w:rPr>
        <w:t>complements</w:t>
      </w:r>
      <w:r w:rsidR="0023412A" w:rsidRPr="00FA67FF">
        <w:rPr>
          <w:noProof/>
          <w:lang w:val="en-IE"/>
        </w:rPr>
        <w:t xml:space="preserve"> the right provided under Article 20 of Regulation (EU) 2016/679. </w:t>
      </w:r>
      <w:r w:rsidR="009B648A">
        <w:rPr>
          <w:noProof/>
          <w:lang w:val="en-IE"/>
        </w:rPr>
        <w:t>That Article</w:t>
      </w:r>
      <w:r w:rsidR="009B648A" w:rsidRPr="00FA67FF">
        <w:rPr>
          <w:noProof/>
          <w:lang w:val="en-IE"/>
        </w:rPr>
        <w:t xml:space="preserve"> </w:t>
      </w:r>
      <w:r w:rsidR="0023412A" w:rsidRPr="00FA67FF">
        <w:rPr>
          <w:noProof/>
          <w:lang w:val="en-IE"/>
        </w:rPr>
        <w:t>provides for a right of data subjects to receive personal data concerning them</w:t>
      </w:r>
      <w:r w:rsidR="0023412A" w:rsidRPr="0003556C">
        <w:rPr>
          <w:noProof/>
          <w:lang w:val="en-IE"/>
        </w:rPr>
        <w:t xml:space="preserve"> in a structured, commonly used and machine-readable format, and to port those data to other controllers, where those data are processed on the basis of Article 6(1), point (a), or Article 9(2)</w:t>
      </w:r>
      <w:r w:rsidR="004978E1">
        <w:rPr>
          <w:noProof/>
          <w:lang w:val="en-IE"/>
        </w:rPr>
        <w:t>,</w:t>
      </w:r>
      <w:r w:rsidR="0023412A" w:rsidRPr="0003556C">
        <w:rPr>
          <w:noProof/>
          <w:lang w:val="en-IE"/>
        </w:rPr>
        <w:t xml:space="preserve"> point (a), or o</w:t>
      </w:r>
      <w:r w:rsidR="0076393D">
        <w:rPr>
          <w:noProof/>
          <w:lang w:val="en-IE"/>
        </w:rPr>
        <w:t>f</w:t>
      </w:r>
      <w:r w:rsidR="0023412A" w:rsidRPr="0003556C">
        <w:rPr>
          <w:noProof/>
          <w:lang w:val="en-IE"/>
        </w:rPr>
        <w:t xml:space="preserve"> a contract pursuant to Article 6(1), point (b). Data subjects also have the right to have the per</w:t>
      </w:r>
      <w:r w:rsidR="0023412A" w:rsidRPr="00BD4877">
        <w:rPr>
          <w:noProof/>
          <w:lang w:val="en-IE"/>
        </w:rPr>
        <w:t xml:space="preserve">sonal data transmitted directly from one controller to another, but only where technically feasible. Article 20 specifies that it pertains to data provided by the data subject but does not specify whether this necessitates active behaviour on the side of the data subject or whether it also applies to situations where a product or related service by its design observes the behaviour of a data subject or other information in relation to a data subject in a passive manner. The right under this Regulation complements the right to receive and port personal data under Article 20 of Regulation (EU) 2016/679 in several ways. It </w:t>
      </w:r>
      <w:r w:rsidR="009B648A">
        <w:rPr>
          <w:noProof/>
          <w:lang w:val="en-IE"/>
        </w:rPr>
        <w:t>grants users the right to access and make available to a third party</w:t>
      </w:r>
      <w:r w:rsidR="009B648A" w:rsidRPr="00BD4877">
        <w:rPr>
          <w:noProof/>
          <w:lang w:val="en-IE"/>
        </w:rPr>
        <w:t xml:space="preserve"> </w:t>
      </w:r>
      <w:r w:rsidR="0023412A" w:rsidRPr="00BD4877">
        <w:rPr>
          <w:noProof/>
          <w:lang w:val="en-IE"/>
        </w:rPr>
        <w:t xml:space="preserve">to any data generated by the use of a product </w:t>
      </w:r>
      <w:r w:rsidR="009B648A">
        <w:rPr>
          <w:noProof/>
          <w:lang w:val="en-IE"/>
        </w:rPr>
        <w:t>or</w:t>
      </w:r>
      <w:r w:rsidR="009B648A" w:rsidRPr="00BD4877">
        <w:rPr>
          <w:noProof/>
          <w:lang w:val="en-IE"/>
        </w:rPr>
        <w:t xml:space="preserve"> </w:t>
      </w:r>
      <w:r w:rsidR="0023412A" w:rsidRPr="00BD4877">
        <w:rPr>
          <w:noProof/>
          <w:lang w:val="en-IE"/>
        </w:rPr>
        <w:t xml:space="preserve">related service, irrespective of its nature as personal data, of the distinction between actively provided or passively observed data, and irrespective of the legal basis of processing. </w:t>
      </w:r>
      <w:r w:rsidR="009B648A">
        <w:rPr>
          <w:noProof/>
          <w:lang w:val="en-IE"/>
        </w:rPr>
        <w:t>Unlike</w:t>
      </w:r>
      <w:r w:rsidR="0023412A" w:rsidRPr="00BD4877">
        <w:rPr>
          <w:noProof/>
          <w:lang w:val="en-IE"/>
        </w:rPr>
        <w:t xml:space="preserve"> the technical obligations provided for in Article 20 of Regulation (EU) 2016/679</w:t>
      </w:r>
      <w:r w:rsidR="009B648A">
        <w:rPr>
          <w:noProof/>
          <w:lang w:val="en-IE"/>
        </w:rPr>
        <w:t>,</w:t>
      </w:r>
      <w:r w:rsidR="0023412A" w:rsidRPr="00BD4877">
        <w:rPr>
          <w:noProof/>
          <w:lang w:val="en-IE"/>
        </w:rPr>
        <w:t xml:space="preserve"> </w:t>
      </w:r>
      <w:r w:rsidR="009B648A">
        <w:rPr>
          <w:noProof/>
          <w:lang w:val="en-IE"/>
        </w:rPr>
        <w:t>this Regulation mandates</w:t>
      </w:r>
      <w:r w:rsidR="0023412A" w:rsidRPr="00BD4877">
        <w:rPr>
          <w:noProof/>
          <w:lang w:val="en-IE"/>
        </w:rPr>
        <w:t xml:space="preserve"> and ensur</w:t>
      </w:r>
      <w:r w:rsidR="009B648A">
        <w:rPr>
          <w:noProof/>
          <w:lang w:val="en-IE"/>
        </w:rPr>
        <w:t>es</w:t>
      </w:r>
      <w:r w:rsidR="0023412A" w:rsidRPr="00BD4877">
        <w:rPr>
          <w:noProof/>
          <w:lang w:val="en-IE"/>
        </w:rPr>
        <w:t xml:space="preserve"> the technical feasibility of third party access</w:t>
      </w:r>
      <w:r w:rsidR="00744BDE">
        <w:rPr>
          <w:noProof/>
          <w:lang w:val="en-IE"/>
        </w:rPr>
        <w:t xml:space="preserve"> for all types of data coming within its scope, whether personal or non-personal</w:t>
      </w:r>
      <w:r w:rsidR="0023412A" w:rsidRPr="00BD4877">
        <w:rPr>
          <w:noProof/>
          <w:lang w:val="en-IE"/>
        </w:rPr>
        <w:t xml:space="preserve">. </w:t>
      </w:r>
      <w:r w:rsidR="0023412A" w:rsidRPr="00FA67FF">
        <w:rPr>
          <w:noProof/>
          <w:lang w:val="en-IE"/>
        </w:rPr>
        <w:t>It also allows the data holder to set reasonable compensation to be met by third parties, but not by the user, for any cost incurred in providing direct access to the data generated by the user’s product. If a data holder and third party are unable to agree terms for such direct access, the data subject should be in no way prevented from exercising the rights contained in Regulation (EU) 2016/679, including the right to data portability, by seeking remedies in accordance with that Regulation. It is to be understood in this context that</w:t>
      </w:r>
      <w:r w:rsidR="00495E8F">
        <w:rPr>
          <w:noProof/>
          <w:lang w:val="en-IE"/>
        </w:rPr>
        <w:t>, in accordance with Regulation (EU) 2016/679,</w:t>
      </w:r>
      <w:r w:rsidR="0023412A" w:rsidRPr="00FA67FF">
        <w:rPr>
          <w:noProof/>
          <w:lang w:val="en-IE"/>
        </w:rPr>
        <w:t xml:space="preserve"> a contractual agreement does not </w:t>
      </w:r>
      <w:r w:rsidR="00122354">
        <w:rPr>
          <w:noProof/>
          <w:lang w:val="en-IE"/>
        </w:rPr>
        <w:t xml:space="preserve">allow </w:t>
      </w:r>
      <w:r w:rsidR="0023412A" w:rsidRPr="00FA67FF">
        <w:rPr>
          <w:noProof/>
          <w:lang w:val="en-IE"/>
        </w:rPr>
        <w:t xml:space="preserve">for the processing of special categories of </w:t>
      </w:r>
      <w:r w:rsidR="00253AE2">
        <w:rPr>
          <w:noProof/>
          <w:lang w:val="en-IE"/>
        </w:rPr>
        <w:t xml:space="preserve">personal </w:t>
      </w:r>
      <w:r w:rsidR="0023412A" w:rsidRPr="00FA67FF">
        <w:rPr>
          <w:noProof/>
          <w:lang w:val="en-IE"/>
        </w:rPr>
        <w:t xml:space="preserve">data by the data holder or the third party. </w:t>
      </w:r>
    </w:p>
    <w:p w14:paraId="4C621786" w14:textId="48CE2D8C" w:rsidR="0023412A" w:rsidRPr="0003556C" w:rsidRDefault="000856CE" w:rsidP="000856CE">
      <w:pPr>
        <w:pStyle w:val="ManualConsidrant"/>
        <w:rPr>
          <w:rFonts w:asciiTheme="minorHAnsi" w:hAnsiTheme="minorHAnsi" w:cstheme="minorBidi"/>
          <w:noProof/>
          <w:lang w:val="en-IE"/>
        </w:rPr>
      </w:pPr>
      <w:r w:rsidRPr="000856CE">
        <w:t>(32)</w:t>
      </w:r>
      <w:r w:rsidRPr="000856CE">
        <w:tab/>
      </w:r>
      <w:r w:rsidR="0023412A" w:rsidRPr="009167DA">
        <w:rPr>
          <w:noProof/>
          <w:lang w:val="en-IE"/>
        </w:rPr>
        <w:t xml:space="preserve">Access to any data stored in and accessed from terminal equipment is subject to Directive 2002/58/EC and requires the consent of the subscriber or user within the meaning of that Directive unless it is strictly necessary </w:t>
      </w:r>
      <w:r w:rsidR="0076393D">
        <w:rPr>
          <w:noProof/>
          <w:lang w:val="en-IE"/>
        </w:rPr>
        <w:t xml:space="preserve">for </w:t>
      </w:r>
      <w:r w:rsidR="0023412A" w:rsidRPr="009167DA">
        <w:rPr>
          <w:noProof/>
          <w:lang w:val="en-IE"/>
        </w:rPr>
        <w:t>the provision of an information society service explicitly requested by the user or subscriber (or for the sole purpose of the transmission of a communication).</w:t>
      </w:r>
      <w:r w:rsidR="0023412A">
        <w:rPr>
          <w:rFonts w:asciiTheme="minorHAnsi" w:hAnsiTheme="minorHAnsi" w:cstheme="minorBidi"/>
          <w:noProof/>
          <w:lang w:val="en-IE"/>
        </w:rPr>
        <w:t xml:space="preserve"> </w:t>
      </w:r>
      <w:r w:rsidR="0023412A" w:rsidRPr="0003556C">
        <w:rPr>
          <w:noProof/>
          <w:lang w:val="en-IE"/>
        </w:rPr>
        <w:t xml:space="preserve">Directive 2002/58/EC (‘ePrivacy Directive’) (and the proposed ePrivacy Regulation) protect the integrity of the user's terminal equipment as regards the use of processing and storage capabilities and the collection of information. </w:t>
      </w:r>
      <w:r w:rsidR="007005B0">
        <w:rPr>
          <w:noProof/>
          <w:lang w:val="en-IE"/>
        </w:rPr>
        <w:t>Internet of Things</w:t>
      </w:r>
      <w:r w:rsidR="0023412A" w:rsidRPr="0003556C">
        <w:rPr>
          <w:noProof/>
          <w:lang w:val="en-IE"/>
        </w:rPr>
        <w:t xml:space="preserve"> equipment is considered terminal equipment if it is directly or indirectly connected to a public communications network. </w:t>
      </w:r>
    </w:p>
    <w:p w14:paraId="6A2D3ECD" w14:textId="35563F7B" w:rsidR="0023412A" w:rsidRDefault="000856CE" w:rsidP="000856CE">
      <w:pPr>
        <w:pStyle w:val="ManualConsidrant"/>
        <w:rPr>
          <w:noProof/>
          <w:lang w:val="en-IE"/>
        </w:rPr>
      </w:pPr>
      <w:r w:rsidRPr="000856CE">
        <w:t>(33)</w:t>
      </w:r>
      <w:r w:rsidRPr="000856CE">
        <w:tab/>
      </w:r>
      <w:r w:rsidR="0023412A" w:rsidRPr="00AD62D4">
        <w:rPr>
          <w:noProof/>
          <w:lang w:val="en-IE"/>
        </w:rPr>
        <w:t xml:space="preserve">In order to prevent the exploitation of users, third parties to whom data has been made available upon request of the user should only process the data for the purposes agreed with the user and share it with another third party only if this is necessary to provide the service requested by the user. </w:t>
      </w:r>
    </w:p>
    <w:p w14:paraId="64CF377B" w14:textId="3468D8E9" w:rsidR="0023412A" w:rsidRDefault="000856CE" w:rsidP="000856CE">
      <w:pPr>
        <w:pStyle w:val="ManualConsidrant"/>
        <w:rPr>
          <w:rFonts w:asciiTheme="minorHAnsi" w:eastAsiaTheme="minorEastAsia" w:hAnsiTheme="minorHAnsi" w:cstheme="minorBidi"/>
          <w:noProof/>
          <w:lang w:val="en-IE"/>
        </w:rPr>
      </w:pPr>
      <w:r w:rsidRPr="000856CE">
        <w:t>(34)</w:t>
      </w:r>
      <w:r w:rsidRPr="000856CE">
        <w:tab/>
      </w:r>
      <w:r w:rsidR="009430F7">
        <w:rPr>
          <w:noProof/>
          <w:lang w:val="en-IE"/>
        </w:rPr>
        <w:t>In line with the data minimisation principle,</w:t>
      </w:r>
      <w:r w:rsidR="0023412A" w:rsidRPr="00344436">
        <w:rPr>
          <w:noProof/>
          <w:lang w:val="en-IE"/>
        </w:rPr>
        <w:t xml:space="preserve"> the </w:t>
      </w:r>
      <w:r w:rsidR="0023412A">
        <w:rPr>
          <w:noProof/>
          <w:lang w:val="en-IE"/>
        </w:rPr>
        <w:t xml:space="preserve">third party </w:t>
      </w:r>
      <w:r w:rsidR="009430F7">
        <w:rPr>
          <w:noProof/>
          <w:lang w:val="en-IE"/>
        </w:rPr>
        <w:t xml:space="preserve">should only </w:t>
      </w:r>
      <w:r w:rsidR="0023412A" w:rsidRPr="00344436">
        <w:rPr>
          <w:noProof/>
          <w:lang w:val="en-IE"/>
        </w:rPr>
        <w:t xml:space="preserve">access additional information that is necessary for the provision of the </w:t>
      </w:r>
      <w:r w:rsidR="0023412A">
        <w:rPr>
          <w:noProof/>
          <w:lang w:val="en-IE"/>
        </w:rPr>
        <w:t>service r</w:t>
      </w:r>
      <w:r w:rsidR="0023412A" w:rsidRPr="00344436">
        <w:rPr>
          <w:noProof/>
          <w:lang w:val="en-IE"/>
        </w:rPr>
        <w:t xml:space="preserve">equested </w:t>
      </w:r>
      <w:r w:rsidR="0023412A">
        <w:rPr>
          <w:noProof/>
          <w:lang w:val="en-IE"/>
        </w:rPr>
        <w:t>by the user</w:t>
      </w:r>
      <w:r w:rsidR="0023412A" w:rsidRPr="00344436">
        <w:rPr>
          <w:noProof/>
          <w:lang w:val="en-IE"/>
        </w:rPr>
        <w:t>. Having received access to data, the third party should process it exclusively for the purposes agreed with the user, without interference from the data holder.</w:t>
      </w:r>
      <w:r w:rsidR="0023412A" w:rsidRPr="44137436">
        <w:rPr>
          <w:noProof/>
          <w:lang w:val="en-IE"/>
        </w:rPr>
        <w:t xml:space="preserve"> It should be as easy for the user to refuse or discontinue access by the third party to the data as it is for the user to authorise access. </w:t>
      </w:r>
      <w:r w:rsidR="00543D29">
        <w:rPr>
          <w:noProof/>
          <w:lang w:val="en-IE"/>
        </w:rPr>
        <w:t xml:space="preserve">The </w:t>
      </w:r>
      <w:r w:rsidR="00543D29">
        <w:rPr>
          <w:noProof/>
          <w:lang w:val="en-US"/>
        </w:rPr>
        <w:t xml:space="preserve">third party should not </w:t>
      </w:r>
      <w:r w:rsidR="00543D29">
        <w:rPr>
          <w:noProof/>
          <w:lang w:val="en-IE"/>
        </w:rPr>
        <w:t>coerce, deceive or manipulate the user in any way, by subverting or impairing the autonomy, decision-making or choices of the user, including by means of a digital interface with the user. in this context, t</w:t>
      </w:r>
      <w:r w:rsidR="0023412A" w:rsidRPr="44137436">
        <w:rPr>
          <w:noProof/>
          <w:lang w:val="en-IE"/>
        </w:rPr>
        <w:t xml:space="preserve">hird parties should not rely on so-called dark patterns in designing their digital interfaces. Dark patterns are design techniques that push or deceive consumers into decisions </w:t>
      </w:r>
      <w:r w:rsidR="0023412A">
        <w:rPr>
          <w:noProof/>
          <w:lang w:val="en-IE"/>
        </w:rPr>
        <w:t>that</w:t>
      </w:r>
      <w:r w:rsidR="0023412A" w:rsidRPr="44137436">
        <w:rPr>
          <w:noProof/>
          <w:lang w:val="en-IE"/>
        </w:rPr>
        <w:t xml:space="preserve"> have negative consequences for them. These manipulative techniques can be used to persuade users, particularly vulnerable consumers, to engage in unwanted behaviours, and to deceive users by nudging them into decisions on data disclosure transactions or to unreasonably bias the decision</w:t>
      </w:r>
      <w:r w:rsidR="00170A97">
        <w:rPr>
          <w:noProof/>
          <w:lang w:val="en-IE"/>
        </w:rPr>
        <w:t>-</w:t>
      </w:r>
      <w:r w:rsidR="0023412A" w:rsidRPr="44137436">
        <w:rPr>
          <w:noProof/>
          <w:lang w:val="en-IE"/>
        </w:rPr>
        <w:t xml:space="preserve">making of the users of the service, in a way that subverts and impairs their autonomy, decision-making and choice. Common and legitimate commercial practices that are in compliance with Union law should not in themselves be regarded as constituting dark patterns. Third parties should comply with their obligations under relevant Union law, in particular the requirements set out in Directive 2005/29/EC, Directive 2011/83/EU, Directive 2000/31/EC and Directive 98/6/EC. </w:t>
      </w:r>
    </w:p>
    <w:p w14:paraId="7C9050EE" w14:textId="2C78E152" w:rsidR="0023412A" w:rsidRPr="00364B67" w:rsidRDefault="000856CE" w:rsidP="000856CE">
      <w:pPr>
        <w:pStyle w:val="ManualConsidrant"/>
        <w:rPr>
          <w:noProof/>
          <w:lang w:val="en-IE"/>
        </w:rPr>
      </w:pPr>
      <w:r w:rsidRPr="000856CE">
        <w:t>(35)</w:t>
      </w:r>
      <w:r w:rsidRPr="000856CE">
        <w:tab/>
      </w:r>
      <w:r w:rsidR="0023412A" w:rsidRPr="00364B67">
        <w:rPr>
          <w:noProof/>
          <w:lang w:val="en-IE"/>
        </w:rPr>
        <w:t xml:space="preserve">The third party should also refrain from using the data to profile individuals unless these processing activities are strictly necessary to provide the service requested by the user. The requirement to delete data when no longer required for the purpose agreed with the user complements the right to erasure of the data subject pursuant to Article 17 of Regulation 2016/679. Where the third party is a provider of a data intermediation service within the meaning of [Data Governance Act], the safeguards for the data subject provided for by that Regulation apply. The third party may use the data to develop a new and innovative product or related service but not to develop a </w:t>
      </w:r>
      <w:r w:rsidR="00FE3A77">
        <w:rPr>
          <w:noProof/>
          <w:lang w:val="en-IE"/>
        </w:rPr>
        <w:t xml:space="preserve">competing </w:t>
      </w:r>
      <w:r w:rsidR="0023412A" w:rsidRPr="00364B67">
        <w:rPr>
          <w:noProof/>
          <w:lang w:val="en-IE"/>
        </w:rPr>
        <w:t>product.</w:t>
      </w:r>
    </w:p>
    <w:p w14:paraId="477DC634" w14:textId="35EEFD51" w:rsidR="0023412A" w:rsidRDefault="000856CE" w:rsidP="000856CE">
      <w:pPr>
        <w:pStyle w:val="ManualConsidrant"/>
        <w:rPr>
          <w:rFonts w:asciiTheme="minorHAnsi" w:eastAsiaTheme="minorEastAsia" w:hAnsiTheme="minorHAnsi" w:cstheme="minorBidi"/>
          <w:noProof/>
          <w:lang w:val="en-IE"/>
        </w:rPr>
      </w:pPr>
      <w:r w:rsidRPr="000856CE">
        <w:t>(36)</w:t>
      </w:r>
      <w:r w:rsidRPr="000856CE">
        <w:tab/>
      </w:r>
      <w:r w:rsidR="00543D29">
        <w:rPr>
          <w:noProof/>
        </w:rPr>
        <w:t>Start-ups, small and medium-sized enterprises and companies from traditional sectors with less-developed digital capabilities struggle to obtain access to relevant data. This Regulation aims to facilitate access to data for these entities</w:t>
      </w:r>
      <w:r w:rsidR="00543D29" w:rsidRPr="004E14F4">
        <w:rPr>
          <w:noProof/>
        </w:rPr>
        <w:t>, while ensuring that the corresponding obligations are scoped as proportionately as possible to avoid overreach</w:t>
      </w:r>
      <w:r w:rsidR="00543D29">
        <w:rPr>
          <w:noProof/>
        </w:rPr>
        <w:t>. At the same time, a</w:t>
      </w:r>
      <w:r w:rsidR="0023412A">
        <w:rPr>
          <w:noProof/>
        </w:rPr>
        <w:t xml:space="preserve"> small number of very large companies have emerged with considerable economic power in the digital economy through the accumulation and aggregation of vast volumes of data and the technological infrastructure for monetising them. These companies include undertakings that provide core platform services controlling whole platform ecosystems in the digital economy and whom existing or new market operators are unable to challenge or contest. The [Regulation on contestable and fair markets in the digital sector (Digital Markets Act)] aims to redress these inefficiencies and imbalances by allowing the Commission to designate a provider as a “gatekeeper”, and imposes a number of obligations on such designated gatekeepers, including a prohibition to combine certain data without consent, and an obligation to ensure effective rights to data portability under Article 20 of Regulation (EU) 2016/679. Consistent with the [Regulation on contestable and fair markets in the digital sector (Digital Markets Act)], and given the unrivalled ability of these companies to acquire data, it would </w:t>
      </w:r>
      <w:r w:rsidR="00543D29">
        <w:rPr>
          <w:noProof/>
        </w:rPr>
        <w:t xml:space="preserve">not </w:t>
      </w:r>
      <w:r w:rsidR="0023412A">
        <w:rPr>
          <w:noProof/>
        </w:rPr>
        <w:t xml:space="preserve">be </w:t>
      </w:r>
      <w:r w:rsidR="00543D29">
        <w:rPr>
          <w:noProof/>
        </w:rPr>
        <w:t xml:space="preserve">necessary </w:t>
      </w:r>
      <w:r w:rsidR="0023412A">
        <w:rPr>
          <w:noProof/>
        </w:rPr>
        <w:t xml:space="preserve">to </w:t>
      </w:r>
      <w:r w:rsidR="00543D29">
        <w:rPr>
          <w:noProof/>
        </w:rPr>
        <w:t xml:space="preserve">achieve </w:t>
      </w:r>
      <w:r w:rsidR="0023412A">
        <w:rPr>
          <w:noProof/>
        </w:rPr>
        <w:t>the objective of this Regulation</w:t>
      </w:r>
      <w:r w:rsidR="00543D29">
        <w:rPr>
          <w:noProof/>
        </w:rPr>
        <w:t>,</w:t>
      </w:r>
      <w:r w:rsidR="00543D29" w:rsidRPr="00543D29">
        <w:rPr>
          <w:noProof/>
        </w:rPr>
        <w:t xml:space="preserve"> </w:t>
      </w:r>
      <w:r w:rsidR="00543D29">
        <w:rPr>
          <w:noProof/>
        </w:rPr>
        <w:t>and would thus be disproportionate in relation to data holders made subject to such obligations,</w:t>
      </w:r>
      <w:r w:rsidR="0023412A">
        <w:rPr>
          <w:noProof/>
        </w:rPr>
        <w:t xml:space="preserve"> to include </w:t>
      </w:r>
      <w:r w:rsidR="00543D29">
        <w:rPr>
          <w:noProof/>
        </w:rPr>
        <w:t>such gatekeeper undertakings as beneficiaries</w:t>
      </w:r>
      <w:r w:rsidR="0023412A">
        <w:rPr>
          <w:noProof/>
        </w:rPr>
        <w:t xml:space="preserve"> of the</w:t>
      </w:r>
      <w:r w:rsidR="00543D29">
        <w:rPr>
          <w:noProof/>
        </w:rPr>
        <w:t xml:space="preserve"> data access right</w:t>
      </w:r>
      <w:r w:rsidR="0023412A">
        <w:rPr>
          <w:noProof/>
        </w:rPr>
        <w:t xml:space="preserve">. This means that an undertaking providing core platform services that has been designated as a gatekeeper cannot request or be granted access to users’ data generated by the use of a product </w:t>
      </w:r>
      <w:r w:rsidR="00543D29">
        <w:rPr>
          <w:noProof/>
        </w:rPr>
        <w:t xml:space="preserve">or </w:t>
      </w:r>
      <w:r w:rsidR="0023412A">
        <w:rPr>
          <w:noProof/>
        </w:rPr>
        <w:t xml:space="preserve">related service or by a virtual assistant based on the provisions of Chapter II of this Regulation. </w:t>
      </w:r>
      <w:r w:rsidR="0023412A" w:rsidRPr="44137436">
        <w:rPr>
          <w:noProof/>
          <w:lang w:val="en-IE"/>
        </w:rPr>
        <w:t xml:space="preserve">An undertaking providing core platform services designated as a gatekeeper pursuant to Digital Markets Act should be understood to include all legal entities of a group of companies where one legal entity provides a core platform service. </w:t>
      </w:r>
      <w:r w:rsidR="0023412A">
        <w:rPr>
          <w:noProof/>
        </w:rPr>
        <w:t xml:space="preserve">Furthermore, third parties to whom data are made available at the request of the user may not make the data available to a designated gatekeeper. For instance, the third party may not sub-contract the service provision to a gatekeeper. However, this does not prevent third parties from using data processing services offered by a designated gatekeeper. This exclusion of designated gatekeepers from the scope of the access right under this Regulation does not prevent these companies from obtaining data through other lawful means. </w:t>
      </w:r>
    </w:p>
    <w:p w14:paraId="3F298997" w14:textId="1751BDE7" w:rsidR="0023412A" w:rsidRDefault="000856CE" w:rsidP="000856CE">
      <w:pPr>
        <w:pStyle w:val="ManualConsidrant"/>
        <w:rPr>
          <w:rFonts w:asciiTheme="minorHAnsi" w:eastAsiaTheme="minorEastAsia" w:hAnsiTheme="minorHAnsi" w:cstheme="minorBidi"/>
          <w:noProof/>
          <w:lang w:val="en-IE"/>
        </w:rPr>
      </w:pPr>
      <w:r w:rsidRPr="000856CE">
        <w:t>(37)</w:t>
      </w:r>
      <w:r w:rsidRPr="000856CE">
        <w:tab/>
      </w:r>
      <w:r w:rsidR="0023412A" w:rsidRPr="44137436">
        <w:rPr>
          <w:noProof/>
          <w:lang w:val="en-IE"/>
        </w:rPr>
        <w:t>Given the current state of technology</w:t>
      </w:r>
      <w:r w:rsidR="0023412A">
        <w:rPr>
          <w:noProof/>
          <w:lang w:val="en-IE"/>
        </w:rPr>
        <w:t>,</w:t>
      </w:r>
      <w:r w:rsidR="0023412A" w:rsidRPr="44137436">
        <w:rPr>
          <w:noProof/>
          <w:lang w:val="en-IE"/>
        </w:rPr>
        <w:t xml:space="preserve"> it is overly burdensome to impose further design obligations in relation to products manufactured or designed and related services provided by micro and small enterprises. That is not the case, however, where a micro or small enterprise is sub-contracted to manufacture or design a product. In such situations, the enterprise, which has sub-contracted to the micro or small enterprise, is able to compensate the sub-contractor appropriately. A micro or small enterprise may nevertheless be subject to the requirements laid down </w:t>
      </w:r>
      <w:r w:rsidR="0023412A">
        <w:rPr>
          <w:noProof/>
          <w:lang w:val="en-IE"/>
        </w:rPr>
        <w:t>b</w:t>
      </w:r>
      <w:r w:rsidR="0023412A" w:rsidRPr="44137436">
        <w:rPr>
          <w:noProof/>
          <w:lang w:val="en-IE"/>
        </w:rPr>
        <w:t>y this Regulation as data holder, where it is not the manufacturer of the product or a provider of related services.</w:t>
      </w:r>
    </w:p>
    <w:p w14:paraId="37903162" w14:textId="093D7F85" w:rsidR="0023412A" w:rsidRDefault="000856CE" w:rsidP="000856CE">
      <w:pPr>
        <w:pStyle w:val="ManualConsidrant"/>
        <w:rPr>
          <w:rFonts w:asciiTheme="minorHAnsi" w:eastAsiaTheme="minorEastAsia" w:hAnsiTheme="minorHAnsi" w:cstheme="minorBidi"/>
          <w:noProof/>
          <w:lang w:val="en-IE"/>
        </w:rPr>
      </w:pPr>
      <w:r w:rsidRPr="000856CE">
        <w:t>(38)</w:t>
      </w:r>
      <w:r w:rsidRPr="000856CE">
        <w:tab/>
      </w:r>
      <w:r w:rsidR="0023412A">
        <w:rPr>
          <w:noProof/>
        </w:rPr>
        <w:t>This Regulation contains general access rules, whenever a data holder is obliged by law to make data available to a data recipient</w:t>
      </w:r>
      <w:r w:rsidR="00543D29">
        <w:rPr>
          <w:noProof/>
        </w:rPr>
        <w:t>. Such access should be</w:t>
      </w:r>
      <w:r w:rsidR="0023412A">
        <w:rPr>
          <w:noProof/>
        </w:rPr>
        <w:t xml:space="preserve"> based on fair, reasonable, non-discriminatory and transparent conditions to ensure consistency of data sharing practices in the internal market, including across sectors, and to encourage and promote fair data sharing practices even in areas where no such right to data access is provided. </w:t>
      </w:r>
      <w:r w:rsidR="00543D29">
        <w:rPr>
          <w:noProof/>
        </w:rPr>
        <w:t xml:space="preserve">These general access rules </w:t>
      </w:r>
      <w:r w:rsidR="0023412A">
        <w:rPr>
          <w:noProof/>
        </w:rPr>
        <w:t xml:space="preserve">do not apply to obligations to make data available under Regulation (EU) 2016/679. Voluntary data sharing remains unaffected by these rules. </w:t>
      </w:r>
    </w:p>
    <w:p w14:paraId="31C35A0A" w14:textId="7D6AE76F" w:rsidR="0023412A" w:rsidRDefault="000856CE" w:rsidP="000856CE">
      <w:pPr>
        <w:pStyle w:val="ManualConsidrant"/>
        <w:rPr>
          <w:rFonts w:asciiTheme="minorHAnsi" w:eastAsiaTheme="minorEastAsia" w:hAnsiTheme="minorHAnsi" w:cstheme="minorBidi"/>
          <w:noProof/>
          <w:lang w:val="en-IE"/>
        </w:rPr>
      </w:pPr>
      <w:r w:rsidRPr="000856CE">
        <w:t>(39)</w:t>
      </w:r>
      <w:r w:rsidRPr="000856CE">
        <w:tab/>
      </w:r>
      <w:r w:rsidR="0023412A">
        <w:rPr>
          <w:noProof/>
        </w:rPr>
        <w:t xml:space="preserve">Based on the principle of contractual freedom, the parties should remain free to negotiate the precise conditions for making data available in their contracts, within the framework of the general </w:t>
      </w:r>
      <w:r w:rsidR="00543D29">
        <w:rPr>
          <w:noProof/>
        </w:rPr>
        <w:t xml:space="preserve">access </w:t>
      </w:r>
      <w:r w:rsidR="0023412A">
        <w:rPr>
          <w:noProof/>
        </w:rPr>
        <w:t xml:space="preserve">rules for making data available. </w:t>
      </w:r>
    </w:p>
    <w:p w14:paraId="2E61F884" w14:textId="2D71AF9D" w:rsidR="0023412A" w:rsidRDefault="000856CE" w:rsidP="000856CE">
      <w:pPr>
        <w:pStyle w:val="ManualConsidrant"/>
        <w:rPr>
          <w:rFonts w:asciiTheme="minorHAnsi" w:eastAsiaTheme="minorEastAsia" w:hAnsiTheme="minorHAnsi" w:cstheme="minorBidi"/>
          <w:noProof/>
          <w:lang w:val="en-IE"/>
        </w:rPr>
      </w:pPr>
      <w:r w:rsidRPr="000856CE">
        <w:t>(40)</w:t>
      </w:r>
      <w:r w:rsidRPr="000856CE">
        <w:tab/>
      </w:r>
      <w:r w:rsidR="0023412A">
        <w:rPr>
          <w:noProof/>
        </w:rPr>
        <w:t xml:space="preserve">In order to ensure that the conditions for mandatory data access are fair for both parties, the general rules on data access rights should refer to the rule on avoiding unfair contract terms. </w:t>
      </w:r>
    </w:p>
    <w:p w14:paraId="7F87B358" w14:textId="67BBDF48" w:rsidR="0023412A" w:rsidRDefault="000856CE" w:rsidP="000856CE">
      <w:pPr>
        <w:pStyle w:val="ManualConsidrant"/>
        <w:rPr>
          <w:rFonts w:asciiTheme="minorHAnsi" w:eastAsiaTheme="minorEastAsia" w:hAnsiTheme="minorHAnsi" w:cstheme="minorBidi"/>
          <w:noProof/>
          <w:lang w:val="en-IE"/>
        </w:rPr>
      </w:pPr>
      <w:r w:rsidRPr="000856CE">
        <w:t>(41)</w:t>
      </w:r>
      <w:r w:rsidRPr="000856CE">
        <w:tab/>
      </w:r>
      <w:r w:rsidR="0023412A">
        <w:rPr>
          <w:noProof/>
        </w:rPr>
        <w:t>In order to compensate for the lack of information on the conditions of different contracts, which make</w:t>
      </w:r>
      <w:r w:rsidR="00E15997">
        <w:rPr>
          <w:noProof/>
        </w:rPr>
        <w:t>s</w:t>
      </w:r>
      <w:r w:rsidR="0023412A">
        <w:rPr>
          <w:noProof/>
        </w:rPr>
        <w:t xml:space="preserve"> it difficult for the data recipient to assess if the terms for making the data available are non-discriminatory, it should be on the data holder to demonstrate that a contract</w:t>
      </w:r>
      <w:r w:rsidR="00A75097">
        <w:rPr>
          <w:noProof/>
        </w:rPr>
        <w:t>ual</w:t>
      </w:r>
      <w:r w:rsidR="0023412A">
        <w:rPr>
          <w:noProof/>
        </w:rPr>
        <w:t xml:space="preserve"> term is not discriminatory. It </w:t>
      </w:r>
      <w:r w:rsidR="00E15997">
        <w:rPr>
          <w:noProof/>
        </w:rPr>
        <w:t xml:space="preserve">is </w:t>
      </w:r>
      <w:r w:rsidR="0023412A">
        <w:rPr>
          <w:noProof/>
        </w:rPr>
        <w:t xml:space="preserve">not unlawful discrimination, </w:t>
      </w:r>
      <w:r w:rsidR="00E15997">
        <w:rPr>
          <w:noProof/>
        </w:rPr>
        <w:t>where a</w:t>
      </w:r>
      <w:r w:rsidR="0023412A">
        <w:rPr>
          <w:noProof/>
        </w:rPr>
        <w:t xml:space="preserve"> data holder uses different contract</w:t>
      </w:r>
      <w:r w:rsidR="00A75097">
        <w:rPr>
          <w:noProof/>
        </w:rPr>
        <w:t>ual</w:t>
      </w:r>
      <w:r w:rsidR="0023412A">
        <w:rPr>
          <w:noProof/>
        </w:rPr>
        <w:t xml:space="preserve"> terms for making data available or different compensation, if those</w:t>
      </w:r>
      <w:r w:rsidR="00E15997">
        <w:rPr>
          <w:noProof/>
        </w:rPr>
        <w:t xml:space="preserve"> differences are justified by objective reasons</w:t>
      </w:r>
      <w:r w:rsidR="0023412A" w:rsidRPr="001E6511">
        <w:rPr>
          <w:noProof/>
          <w:lang w:val="en-IE"/>
        </w:rPr>
        <w:t>.</w:t>
      </w:r>
      <w:r w:rsidR="0023412A">
        <w:rPr>
          <w:noProof/>
        </w:rPr>
        <w:t xml:space="preserve"> These obligations are without prejudice to Regulation </w:t>
      </w:r>
      <w:r w:rsidR="00D33A94">
        <w:rPr>
          <w:noProof/>
        </w:rPr>
        <w:t xml:space="preserve">(EU) </w:t>
      </w:r>
      <w:r w:rsidR="0023412A">
        <w:rPr>
          <w:noProof/>
        </w:rPr>
        <w:t>2016/679.</w:t>
      </w:r>
    </w:p>
    <w:p w14:paraId="13F83D8B" w14:textId="2B369341" w:rsidR="0023412A" w:rsidRPr="00364B67" w:rsidRDefault="000856CE" w:rsidP="000856CE">
      <w:pPr>
        <w:pStyle w:val="ManualConsidrant"/>
        <w:rPr>
          <w:rFonts w:asciiTheme="minorHAnsi" w:eastAsiaTheme="minorEastAsia" w:hAnsiTheme="minorHAnsi" w:cstheme="minorBidi"/>
          <w:noProof/>
        </w:rPr>
      </w:pPr>
      <w:r w:rsidRPr="000856CE">
        <w:t>(42)</w:t>
      </w:r>
      <w:r w:rsidRPr="000856CE">
        <w:tab/>
      </w:r>
      <w:r w:rsidR="0023412A">
        <w:rPr>
          <w:noProof/>
        </w:rPr>
        <w:t xml:space="preserve">In order to incentivise the continued investment in generating valuable data, including investments in relevant technical tools, this Regulation contains the principle that the data holder may request reasonable compensation when legally obliged to make data available to the data recipient. These provisions should not be understood as paying for the data itself, but </w:t>
      </w:r>
      <w:r w:rsidR="00936C96">
        <w:rPr>
          <w:noProof/>
        </w:rPr>
        <w:t xml:space="preserve">in the case of micro, small or medium-sized enterprises, </w:t>
      </w:r>
      <w:r w:rsidR="0023412A">
        <w:rPr>
          <w:noProof/>
        </w:rPr>
        <w:t xml:space="preserve">for the costs incurred and investment required for making the data available. </w:t>
      </w:r>
    </w:p>
    <w:p w14:paraId="355DB9AA" w14:textId="25DD05DC" w:rsidR="0023412A" w:rsidRPr="00364B67" w:rsidRDefault="000856CE" w:rsidP="000856CE">
      <w:pPr>
        <w:pStyle w:val="ManualConsidrant"/>
        <w:rPr>
          <w:rFonts w:asciiTheme="minorHAnsi" w:eastAsiaTheme="minorEastAsia" w:hAnsiTheme="minorHAnsi" w:cstheme="minorBidi"/>
          <w:noProof/>
        </w:rPr>
      </w:pPr>
      <w:r w:rsidRPr="000856CE">
        <w:t>(43)</w:t>
      </w:r>
      <w:r w:rsidRPr="000856CE">
        <w:tab/>
      </w:r>
      <w:r w:rsidR="0023412A">
        <w:rPr>
          <w:noProof/>
        </w:rPr>
        <w:t xml:space="preserve">In justified cases, including the need to safeguard consumer participation and competition or to promote innovation in certain markets, </w:t>
      </w:r>
      <w:r w:rsidR="0023412A" w:rsidRPr="00417A65">
        <w:rPr>
          <w:noProof/>
        </w:rPr>
        <w:t xml:space="preserve">Union </w:t>
      </w:r>
      <w:r w:rsidR="00E15997">
        <w:rPr>
          <w:noProof/>
        </w:rPr>
        <w:t>law</w:t>
      </w:r>
      <w:r w:rsidR="0023412A" w:rsidRPr="00417A65">
        <w:rPr>
          <w:noProof/>
        </w:rPr>
        <w:t xml:space="preserve"> or national legislation implementing Union </w:t>
      </w:r>
      <w:r w:rsidR="00E15997">
        <w:rPr>
          <w:noProof/>
        </w:rPr>
        <w:t xml:space="preserve">law </w:t>
      </w:r>
      <w:r w:rsidR="0023412A">
        <w:rPr>
          <w:noProof/>
        </w:rPr>
        <w:t xml:space="preserve">may impose regulated compensation for making available specific data types. </w:t>
      </w:r>
    </w:p>
    <w:p w14:paraId="67A88320" w14:textId="6891364D" w:rsidR="0023412A" w:rsidRDefault="000856CE" w:rsidP="000856CE">
      <w:pPr>
        <w:pStyle w:val="ManualConsidrant"/>
        <w:rPr>
          <w:rFonts w:asciiTheme="minorHAnsi" w:eastAsiaTheme="minorEastAsia" w:hAnsiTheme="minorHAnsi" w:cstheme="minorBidi"/>
          <w:noProof/>
          <w:lang w:val="en-IE"/>
        </w:rPr>
      </w:pPr>
      <w:r w:rsidRPr="000856CE">
        <w:t>(44)</w:t>
      </w:r>
      <w:r w:rsidRPr="000856CE">
        <w:tab/>
      </w:r>
      <w:r w:rsidR="0023412A">
        <w:rPr>
          <w:noProof/>
        </w:rPr>
        <w:t>To protect micro, small or medium-sized enterprises from excessive economic burdens which would make it commercially too difficult for them to develop and run innovative business models, the compensation for making data available to be paid by them should not exceed the direct cost of making the data available and be non-discriminatory.</w:t>
      </w:r>
    </w:p>
    <w:p w14:paraId="46BB50B2" w14:textId="5CE8C317" w:rsidR="0023412A" w:rsidRDefault="000856CE" w:rsidP="000856CE">
      <w:pPr>
        <w:pStyle w:val="ManualConsidrant"/>
        <w:rPr>
          <w:rFonts w:asciiTheme="minorHAnsi" w:eastAsiaTheme="minorEastAsia" w:hAnsiTheme="minorHAnsi" w:cstheme="minorBidi"/>
          <w:noProof/>
          <w:lang w:val="en-IE"/>
        </w:rPr>
      </w:pPr>
      <w:r w:rsidRPr="000856CE">
        <w:t>(45)</w:t>
      </w:r>
      <w:r w:rsidRPr="000856CE">
        <w:tab/>
      </w:r>
      <w:r w:rsidR="0023412A">
        <w:rPr>
          <w:noProof/>
        </w:rPr>
        <w:t>Direct costs for making data available are the costs necessary for data reproduction, dissemination via electronic means and storage but not of data collection or production. Direct costs for making data available should be limited to the share attributable to the individual requests, taking into account that the necessary technical interfaces or related software and connectivity will have to be set up permanently by the data holder. Long-term arrangements between data holders and data recipients, for instance via a subscription model, could reduce the costs linked to making the data available in regular or repetitive transactions in a business relationship.</w:t>
      </w:r>
    </w:p>
    <w:p w14:paraId="1B138FFD" w14:textId="20B50E0D" w:rsidR="0023412A" w:rsidRDefault="000856CE" w:rsidP="000856CE">
      <w:pPr>
        <w:pStyle w:val="ManualConsidrant"/>
        <w:rPr>
          <w:rFonts w:asciiTheme="minorHAnsi" w:eastAsiaTheme="minorEastAsia" w:hAnsiTheme="minorHAnsi" w:cstheme="minorBidi"/>
          <w:noProof/>
          <w:lang w:val="en-IE"/>
        </w:rPr>
      </w:pPr>
      <w:r w:rsidRPr="000856CE">
        <w:t>(46)</w:t>
      </w:r>
      <w:r w:rsidRPr="000856CE">
        <w:tab/>
      </w:r>
      <w:r w:rsidR="0023412A">
        <w:rPr>
          <w:noProof/>
        </w:rPr>
        <w:t>It is not necessary to intervene in the case of data sharing between large companies, or when the data holder is a</w:t>
      </w:r>
      <w:r w:rsidR="005B1F53">
        <w:rPr>
          <w:noProof/>
        </w:rPr>
        <w:t xml:space="preserve"> small or medium-sized enterprise</w:t>
      </w:r>
      <w:r w:rsidR="0023412A">
        <w:rPr>
          <w:noProof/>
        </w:rPr>
        <w:t xml:space="preserve"> and the data recipient is a large company. In such cases, the companies are considered capable of negotiating any compensation if it is reasonable, taking into account factors such as the volume, format, nature, or supply of and demand for the data as well as the costs for</w:t>
      </w:r>
      <w:r w:rsidR="002D0A34">
        <w:rPr>
          <w:noProof/>
        </w:rPr>
        <w:t xml:space="preserve"> collecting and</w:t>
      </w:r>
      <w:r w:rsidR="0023412A">
        <w:rPr>
          <w:noProof/>
        </w:rPr>
        <w:t xml:space="preserve"> making the data available to the data recipient. </w:t>
      </w:r>
    </w:p>
    <w:p w14:paraId="58878FC9" w14:textId="4C8EE35C" w:rsidR="0023412A" w:rsidRDefault="000856CE" w:rsidP="000856CE">
      <w:pPr>
        <w:pStyle w:val="ManualConsidrant"/>
        <w:rPr>
          <w:rFonts w:asciiTheme="minorHAnsi" w:eastAsiaTheme="minorEastAsia" w:hAnsiTheme="minorHAnsi" w:cstheme="minorBidi"/>
          <w:noProof/>
          <w:lang w:val="en-IE"/>
        </w:rPr>
      </w:pPr>
      <w:r w:rsidRPr="000856CE">
        <w:t>(47)</w:t>
      </w:r>
      <w:r w:rsidRPr="000856CE">
        <w:tab/>
      </w:r>
      <w:r w:rsidR="0023412A">
        <w:rPr>
          <w:noProof/>
        </w:rPr>
        <w:t>Transparency is an important principle to ensure that the compensation requested by the data holder is reasonable, or, in case the data recipient is a</w:t>
      </w:r>
      <w:r w:rsidR="0023412A" w:rsidRPr="44137436">
        <w:rPr>
          <w:noProof/>
          <w:lang w:val="en-IE"/>
        </w:rPr>
        <w:t xml:space="preserve"> micro, small or medium</w:t>
      </w:r>
      <w:r w:rsidR="00A75097">
        <w:rPr>
          <w:noProof/>
          <w:lang w:val="en-IE"/>
        </w:rPr>
        <w:t>-sized</w:t>
      </w:r>
      <w:r w:rsidR="0023412A" w:rsidRPr="44137436">
        <w:rPr>
          <w:noProof/>
          <w:lang w:val="en-IE"/>
        </w:rPr>
        <w:t xml:space="preserve"> enterprise, that the compensation does not exceed the costs directly related to making the data available to the data recipient and is attributable to the individual request</w:t>
      </w:r>
      <w:r w:rsidR="0023412A">
        <w:rPr>
          <w:noProof/>
        </w:rPr>
        <w:t xml:space="preserve">. In order to put the data recipient in the position to assess and verify that the compensation complies with the requirements under this Regulation, the data holder should provide to the data recipient the information for the calculation of the compensation with a sufficient degree of detail. </w:t>
      </w:r>
    </w:p>
    <w:p w14:paraId="63A3F8AB" w14:textId="35B71AE0" w:rsidR="0023412A" w:rsidRDefault="000856CE" w:rsidP="000856CE">
      <w:pPr>
        <w:pStyle w:val="ManualConsidrant"/>
        <w:rPr>
          <w:rFonts w:asciiTheme="minorHAnsi" w:eastAsiaTheme="minorEastAsia" w:hAnsiTheme="minorHAnsi" w:cstheme="minorBidi"/>
          <w:noProof/>
          <w:lang w:val="en-IE"/>
        </w:rPr>
      </w:pPr>
      <w:r w:rsidRPr="000856CE">
        <w:t>(48)</w:t>
      </w:r>
      <w:r w:rsidRPr="000856CE">
        <w:tab/>
      </w:r>
      <w:r w:rsidR="0023412A" w:rsidRPr="44137436">
        <w:rPr>
          <w:noProof/>
          <w:lang w:val="en-IE"/>
        </w:rPr>
        <w:t xml:space="preserve">Ensuring access to </w:t>
      </w:r>
      <w:r w:rsidR="0023412A">
        <w:rPr>
          <w:noProof/>
        </w:rPr>
        <w:t>alternative</w:t>
      </w:r>
      <w:r w:rsidR="0023412A" w:rsidRPr="44137436">
        <w:rPr>
          <w:noProof/>
          <w:lang w:val="en-IE"/>
        </w:rPr>
        <w:t xml:space="preserve"> ways of resolving domestic and cross-border disputes </w:t>
      </w:r>
      <w:r w:rsidR="0023412A">
        <w:rPr>
          <w:noProof/>
          <w:lang w:val="en-IE"/>
        </w:rPr>
        <w:t>that</w:t>
      </w:r>
      <w:r w:rsidR="0023412A" w:rsidRPr="44137436">
        <w:rPr>
          <w:noProof/>
          <w:lang w:val="en-IE"/>
        </w:rPr>
        <w:t xml:space="preserve"> arise in connection with making data available should benefit data holders and data recipients and therefore strengthen trust in data sharing. In cases where parties cannot agree on fair, reasonable and non-discriminatory terms of making data available</w:t>
      </w:r>
      <w:r w:rsidR="00A75097">
        <w:rPr>
          <w:noProof/>
          <w:lang w:val="en-IE"/>
        </w:rPr>
        <w:t>,</w:t>
      </w:r>
      <w:r w:rsidR="0023412A" w:rsidRPr="44137436">
        <w:rPr>
          <w:noProof/>
          <w:lang w:val="en-IE"/>
        </w:rPr>
        <w:t xml:space="preserve"> dispute settlement bodies should offer a simple, fast and low-cost solution to the parties.</w:t>
      </w:r>
      <w:r w:rsidR="0023412A">
        <w:rPr>
          <w:noProof/>
        </w:rPr>
        <w:t xml:space="preserve"> </w:t>
      </w:r>
    </w:p>
    <w:p w14:paraId="2487B27B" w14:textId="4F48C4EA" w:rsidR="0023412A" w:rsidRDefault="000856CE" w:rsidP="000856CE">
      <w:pPr>
        <w:pStyle w:val="ManualConsidrant"/>
        <w:rPr>
          <w:rFonts w:asciiTheme="minorHAnsi" w:eastAsiaTheme="minorEastAsia" w:hAnsiTheme="minorHAnsi" w:cstheme="minorBidi"/>
          <w:noProof/>
          <w:lang w:val="en-IE"/>
        </w:rPr>
      </w:pPr>
      <w:r w:rsidRPr="000856CE">
        <w:t>(49)</w:t>
      </w:r>
      <w:r w:rsidRPr="000856CE">
        <w:tab/>
      </w:r>
      <w:r w:rsidR="0023412A" w:rsidRPr="44137436">
        <w:rPr>
          <w:noProof/>
          <w:lang w:val="en-IE"/>
        </w:rPr>
        <w:t xml:space="preserve">To avoid that two or more dispute settlement bodies are seized </w:t>
      </w:r>
      <w:r w:rsidR="00A75097">
        <w:rPr>
          <w:noProof/>
          <w:lang w:val="en-IE"/>
        </w:rPr>
        <w:t>for</w:t>
      </w:r>
      <w:r w:rsidR="00A75097" w:rsidRPr="44137436">
        <w:rPr>
          <w:noProof/>
          <w:lang w:val="en-IE"/>
        </w:rPr>
        <w:t xml:space="preserve"> </w:t>
      </w:r>
      <w:r w:rsidR="0023412A" w:rsidRPr="44137436">
        <w:rPr>
          <w:noProof/>
          <w:lang w:val="en-IE"/>
        </w:rPr>
        <w:t>the same dispute, particularly in a cross-border setting, a dispute settlement body should be able to reject a request to resolve a dispute that has already been brought before another dispute settlement body or before a court or a tribunal of a Member State.</w:t>
      </w:r>
    </w:p>
    <w:p w14:paraId="04D6E3EA" w14:textId="2D271476" w:rsidR="0023412A" w:rsidRDefault="000856CE" w:rsidP="000856CE">
      <w:pPr>
        <w:pStyle w:val="ManualConsidrant"/>
        <w:rPr>
          <w:rFonts w:asciiTheme="minorHAnsi" w:eastAsiaTheme="minorEastAsia" w:hAnsiTheme="minorHAnsi" w:cstheme="minorBidi"/>
          <w:noProof/>
          <w:lang w:val="en-IE"/>
        </w:rPr>
      </w:pPr>
      <w:r w:rsidRPr="000856CE">
        <w:t>(50)</w:t>
      </w:r>
      <w:r w:rsidRPr="000856CE">
        <w:tab/>
      </w:r>
      <w:r w:rsidR="0023412A" w:rsidRPr="44137436">
        <w:rPr>
          <w:noProof/>
          <w:lang w:val="en-IE"/>
        </w:rPr>
        <w:t xml:space="preserve">Parties to dispute settlement proceedings should not be </w:t>
      </w:r>
      <w:r w:rsidR="0023412A" w:rsidRPr="007228CF">
        <w:rPr>
          <w:noProof/>
          <w:lang w:val="en-IE"/>
        </w:rPr>
        <w:t>prevent</w:t>
      </w:r>
      <w:r w:rsidR="0023412A" w:rsidRPr="44137436">
        <w:rPr>
          <w:noProof/>
          <w:lang w:val="en-IE"/>
        </w:rPr>
        <w:t>ed</w:t>
      </w:r>
      <w:r w:rsidR="0023412A" w:rsidRPr="007228CF">
        <w:rPr>
          <w:noProof/>
          <w:lang w:val="en-IE"/>
        </w:rPr>
        <w:t xml:space="preserve"> from exercising their</w:t>
      </w:r>
      <w:r w:rsidR="0023412A" w:rsidRPr="44137436">
        <w:rPr>
          <w:noProof/>
          <w:lang w:val="en-IE"/>
        </w:rPr>
        <w:t xml:space="preserve"> fundamental</w:t>
      </w:r>
      <w:r w:rsidR="0023412A" w:rsidRPr="007228CF">
        <w:rPr>
          <w:noProof/>
          <w:lang w:val="en-IE"/>
        </w:rPr>
        <w:t xml:space="preserve"> right</w:t>
      </w:r>
      <w:r w:rsidR="0023412A" w:rsidRPr="44137436">
        <w:rPr>
          <w:noProof/>
          <w:lang w:val="en-IE"/>
        </w:rPr>
        <w:t>s</w:t>
      </w:r>
      <w:r w:rsidR="0023412A" w:rsidRPr="007228CF">
        <w:rPr>
          <w:noProof/>
          <w:lang w:val="en-IE"/>
        </w:rPr>
        <w:t xml:space="preserve"> </w:t>
      </w:r>
      <w:r w:rsidR="0023412A" w:rsidRPr="44137436">
        <w:rPr>
          <w:noProof/>
          <w:lang w:val="en-IE"/>
        </w:rPr>
        <w:t>to an effective remedy and to a fair trial</w:t>
      </w:r>
      <w:r w:rsidR="0023412A" w:rsidRPr="007228CF">
        <w:rPr>
          <w:noProof/>
          <w:lang w:val="en-IE"/>
        </w:rPr>
        <w:t xml:space="preserve">. Therefore, </w:t>
      </w:r>
      <w:r w:rsidR="0023412A" w:rsidRPr="44137436">
        <w:rPr>
          <w:noProof/>
          <w:lang w:val="en-IE"/>
        </w:rPr>
        <w:t xml:space="preserve">the decision to submit a </w:t>
      </w:r>
      <w:r w:rsidR="0023412A" w:rsidRPr="007228CF">
        <w:rPr>
          <w:noProof/>
          <w:lang w:val="en-IE"/>
        </w:rPr>
        <w:t xml:space="preserve">dispute to </w:t>
      </w:r>
      <w:r w:rsidR="0023412A" w:rsidRPr="44137436">
        <w:rPr>
          <w:noProof/>
          <w:lang w:val="en-IE"/>
        </w:rPr>
        <w:t xml:space="preserve">a </w:t>
      </w:r>
      <w:r w:rsidR="0023412A" w:rsidRPr="007228CF">
        <w:rPr>
          <w:noProof/>
          <w:lang w:val="en-IE"/>
        </w:rPr>
        <w:t>dispute settlement body should not deprive th</w:t>
      </w:r>
      <w:r w:rsidR="0023412A" w:rsidRPr="44137436">
        <w:rPr>
          <w:noProof/>
          <w:lang w:val="en-IE"/>
        </w:rPr>
        <w:t>ose</w:t>
      </w:r>
      <w:r w:rsidR="0023412A" w:rsidRPr="007228CF">
        <w:rPr>
          <w:noProof/>
          <w:lang w:val="en-IE"/>
        </w:rPr>
        <w:t xml:space="preserve"> parties of their right to seek redress before </w:t>
      </w:r>
      <w:r w:rsidR="0023412A" w:rsidRPr="44137436">
        <w:rPr>
          <w:noProof/>
          <w:lang w:val="en-IE"/>
        </w:rPr>
        <w:t xml:space="preserve">a </w:t>
      </w:r>
      <w:r w:rsidR="0023412A" w:rsidRPr="007228CF">
        <w:rPr>
          <w:noProof/>
          <w:lang w:val="en-IE"/>
        </w:rPr>
        <w:t>court</w:t>
      </w:r>
      <w:r w:rsidR="0023412A" w:rsidRPr="44137436">
        <w:rPr>
          <w:noProof/>
          <w:lang w:val="en-IE"/>
        </w:rPr>
        <w:t xml:space="preserve"> or a tribunal of a Member State.</w:t>
      </w:r>
      <w:r w:rsidR="0023412A" w:rsidRPr="007228CF">
        <w:rPr>
          <w:noProof/>
          <w:lang w:val="en-IE"/>
        </w:rPr>
        <w:t xml:space="preserve"> </w:t>
      </w:r>
    </w:p>
    <w:p w14:paraId="42F24992" w14:textId="3A4611D6" w:rsidR="0023412A" w:rsidRDefault="000856CE" w:rsidP="000856CE">
      <w:pPr>
        <w:pStyle w:val="ManualConsidrant"/>
        <w:rPr>
          <w:rFonts w:asciiTheme="minorHAnsi" w:eastAsiaTheme="minorEastAsia" w:hAnsiTheme="minorHAnsi" w:cstheme="minorBidi"/>
          <w:noProof/>
          <w:lang w:val="en-IE"/>
        </w:rPr>
      </w:pPr>
      <w:r w:rsidRPr="000856CE">
        <w:t>(51)</w:t>
      </w:r>
      <w:r w:rsidRPr="000856CE">
        <w:tab/>
      </w:r>
      <w:r w:rsidR="0023412A">
        <w:rPr>
          <w:noProof/>
        </w:rPr>
        <w:t xml:space="preserve">Where one party is in a stronger bargaining position, there is a risk that that party could leverage such position to the detriment of the other contracting party when negotiating access to data and make access to data commercially less viable and sometimes economically prohibitive. Such contractual imbalances particularly harm micro, small and medium-sized </w:t>
      </w:r>
      <w:r w:rsidR="00A75097">
        <w:rPr>
          <w:noProof/>
        </w:rPr>
        <w:t xml:space="preserve">enterprises </w:t>
      </w:r>
      <w:r w:rsidR="0023412A">
        <w:rPr>
          <w:noProof/>
        </w:rPr>
        <w:t xml:space="preserve">without a meaningful ability to negotiate the conditions for access to data, who may have no other choice than to accept ‘take-it-or-leave-it’ contractual terms. Therefore, unfair contract terms </w:t>
      </w:r>
      <w:r w:rsidR="0023412A" w:rsidRPr="44137436">
        <w:rPr>
          <w:noProof/>
          <w:lang w:val="en-IE"/>
        </w:rPr>
        <w:t xml:space="preserve">regulating the access to and use of data or the liability and remedies for the breach or the termination of data related obligations should not be binding on </w:t>
      </w:r>
      <w:r w:rsidR="0023412A" w:rsidRPr="44137436">
        <w:rPr>
          <w:noProof/>
        </w:rPr>
        <w:t>micro, small or medium-sized enterprises when they have been unilaterally imposed on them.</w:t>
      </w:r>
      <w:r w:rsidR="0023412A">
        <w:rPr>
          <w:noProof/>
        </w:rPr>
        <w:t xml:space="preserve"> </w:t>
      </w:r>
    </w:p>
    <w:p w14:paraId="63FD3D67" w14:textId="16118C75" w:rsidR="0023412A" w:rsidRDefault="000856CE" w:rsidP="000856CE">
      <w:pPr>
        <w:pStyle w:val="ManualConsidrant"/>
        <w:rPr>
          <w:rFonts w:asciiTheme="minorHAnsi" w:eastAsiaTheme="minorEastAsia" w:hAnsiTheme="minorHAnsi" w:cstheme="minorBidi"/>
          <w:noProof/>
          <w:lang w:val="en-IE"/>
        </w:rPr>
      </w:pPr>
      <w:r w:rsidRPr="000856CE">
        <w:t>(52)</w:t>
      </w:r>
      <w:r w:rsidRPr="000856CE">
        <w:tab/>
      </w:r>
      <w:r w:rsidR="0023412A" w:rsidRPr="44137436">
        <w:rPr>
          <w:noProof/>
        </w:rPr>
        <w:t xml:space="preserve">Rules on contractual terms should take into account the principle of contractual freedom as an essential concept in business-to-business relationships. Therefore, not all contractual terms should be subject to an unfairness test, but only to those terms </w:t>
      </w:r>
      <w:r w:rsidR="0023412A">
        <w:rPr>
          <w:noProof/>
        </w:rPr>
        <w:t>that</w:t>
      </w:r>
      <w:r w:rsidR="0023412A" w:rsidRPr="44137436">
        <w:rPr>
          <w:noProof/>
        </w:rPr>
        <w:t xml:space="preserve"> are unilaterally imposed on micro, small and medium</w:t>
      </w:r>
      <w:r w:rsidR="003C30E8">
        <w:rPr>
          <w:noProof/>
        </w:rPr>
        <w:t>-</w:t>
      </w:r>
      <w:r w:rsidR="0023412A" w:rsidRPr="44137436">
        <w:rPr>
          <w:noProof/>
        </w:rPr>
        <w:t xml:space="preserve">sized enterprises. This concerns ‘take-it-or-leave-it’ situations where one party supplies a certain contractual term and the micro, small </w:t>
      </w:r>
      <w:r w:rsidR="00113BC9">
        <w:rPr>
          <w:noProof/>
        </w:rPr>
        <w:t>or</w:t>
      </w:r>
      <w:r w:rsidR="00113BC9" w:rsidRPr="44137436">
        <w:rPr>
          <w:noProof/>
        </w:rPr>
        <w:t xml:space="preserve"> </w:t>
      </w:r>
      <w:r w:rsidR="0023412A" w:rsidRPr="44137436">
        <w:rPr>
          <w:noProof/>
        </w:rPr>
        <w:t>medium</w:t>
      </w:r>
      <w:r w:rsidR="003C30E8">
        <w:rPr>
          <w:noProof/>
        </w:rPr>
        <w:t>-</w:t>
      </w:r>
      <w:r w:rsidR="0023412A" w:rsidRPr="44137436">
        <w:rPr>
          <w:noProof/>
        </w:rPr>
        <w:t>sized enterprise cannot influence the content of that term despite an attempt to negotiate it. A contractual term that is simply provided by one party and accepted by the micro, small or medium</w:t>
      </w:r>
      <w:r w:rsidR="00113BC9">
        <w:rPr>
          <w:noProof/>
        </w:rPr>
        <w:t>-</w:t>
      </w:r>
      <w:r w:rsidR="0023412A" w:rsidRPr="44137436">
        <w:rPr>
          <w:noProof/>
        </w:rPr>
        <w:t xml:space="preserve">sized enterprise or a term </w:t>
      </w:r>
      <w:r w:rsidR="0023412A">
        <w:rPr>
          <w:noProof/>
        </w:rPr>
        <w:t>that</w:t>
      </w:r>
      <w:r w:rsidR="0023412A" w:rsidRPr="44137436">
        <w:rPr>
          <w:noProof/>
        </w:rPr>
        <w:t xml:space="preserve"> is negotiated and subsequently agreed in an amended way between contracting parties should not be considered as unilaterally imposed. </w:t>
      </w:r>
    </w:p>
    <w:p w14:paraId="052990AF" w14:textId="6219E275" w:rsidR="0023412A" w:rsidRDefault="000856CE" w:rsidP="000856CE">
      <w:pPr>
        <w:pStyle w:val="ManualConsidrant"/>
        <w:rPr>
          <w:rFonts w:asciiTheme="minorHAnsi" w:eastAsiaTheme="minorEastAsia" w:hAnsiTheme="minorHAnsi" w:cstheme="minorBidi"/>
          <w:noProof/>
          <w:lang w:val="en-IE"/>
        </w:rPr>
      </w:pPr>
      <w:r w:rsidRPr="000856CE">
        <w:t>(53)</w:t>
      </w:r>
      <w:r w:rsidRPr="000856CE">
        <w:tab/>
      </w:r>
      <w:r w:rsidR="0023412A" w:rsidRPr="44137436">
        <w:rPr>
          <w:noProof/>
        </w:rPr>
        <w:t>Furthermore, the rules on unfair contractual terms should only apply</w:t>
      </w:r>
      <w:r w:rsidR="0023412A">
        <w:rPr>
          <w:noProof/>
        </w:rPr>
        <w:t xml:space="preserve"> </w:t>
      </w:r>
      <w:r w:rsidR="0023412A" w:rsidRPr="44137436">
        <w:rPr>
          <w:noProof/>
        </w:rPr>
        <w:t xml:space="preserve">to those elements of a contract </w:t>
      </w:r>
      <w:r w:rsidR="0023412A">
        <w:rPr>
          <w:noProof/>
        </w:rPr>
        <w:t>that</w:t>
      </w:r>
      <w:r w:rsidR="0023412A" w:rsidRPr="44137436">
        <w:rPr>
          <w:noProof/>
        </w:rPr>
        <w:t xml:space="preserve"> are related to making data available, </w:t>
      </w:r>
      <w:r w:rsidR="0023412A">
        <w:rPr>
          <w:noProof/>
        </w:rPr>
        <w:t>that is</w:t>
      </w:r>
      <w:r w:rsidR="0023412A" w:rsidRPr="44137436">
        <w:rPr>
          <w:noProof/>
        </w:rPr>
        <w:t xml:space="preserve"> contractual terms concerning the access to and use of data as well as liability or remedies for breach and termination of data related obligations. Other parts of the same contract, unrelated to making data available, should not be subject to the unfairness test laid down in this Regulation. </w:t>
      </w:r>
    </w:p>
    <w:p w14:paraId="26A02B25" w14:textId="0DDC93AC" w:rsidR="0023412A" w:rsidRDefault="000856CE" w:rsidP="000856CE">
      <w:pPr>
        <w:pStyle w:val="ManualConsidrant"/>
        <w:rPr>
          <w:rFonts w:asciiTheme="minorHAnsi" w:eastAsiaTheme="minorEastAsia" w:hAnsiTheme="minorHAnsi" w:cstheme="minorBidi"/>
          <w:noProof/>
          <w:lang w:val="en-IE"/>
        </w:rPr>
      </w:pPr>
      <w:r w:rsidRPr="000856CE">
        <w:t>(54)</w:t>
      </w:r>
      <w:r w:rsidRPr="000856CE">
        <w:tab/>
      </w:r>
      <w:r w:rsidR="0023412A" w:rsidRPr="44137436">
        <w:rPr>
          <w:rFonts w:eastAsia="Times New Roman"/>
          <w:noProof/>
        </w:rPr>
        <w:t xml:space="preserve">Criteria to identify unfair contractual terms should be applied only to excessive contractual terms, where </w:t>
      </w:r>
      <w:r w:rsidR="0023412A">
        <w:rPr>
          <w:noProof/>
        </w:rPr>
        <w:t>a stronger bargaining position is abused. The vast majority of contractual terms that are commercially more favourable to one party than to the other, including those that are normal in business-to-business contracts, are a normal expression of the principle of contractual freedom and shall continue to apply.</w:t>
      </w:r>
      <w:r w:rsidR="0023412A" w:rsidRPr="44137436">
        <w:rPr>
          <w:rFonts w:eastAsia="Times New Roman"/>
          <w:noProof/>
        </w:rPr>
        <w:t xml:space="preserve"> </w:t>
      </w:r>
    </w:p>
    <w:p w14:paraId="69A3EC4D" w14:textId="7BAF444F" w:rsidR="0023412A" w:rsidRDefault="000856CE" w:rsidP="000856CE">
      <w:pPr>
        <w:pStyle w:val="ManualConsidrant"/>
        <w:rPr>
          <w:rFonts w:asciiTheme="minorHAnsi" w:eastAsiaTheme="minorEastAsia" w:hAnsiTheme="minorHAnsi" w:cstheme="minorBidi"/>
          <w:noProof/>
          <w:lang w:val="en-IE"/>
        </w:rPr>
      </w:pPr>
      <w:r w:rsidRPr="000856CE">
        <w:t>(55)</w:t>
      </w:r>
      <w:r w:rsidRPr="000856CE">
        <w:tab/>
      </w:r>
      <w:r w:rsidR="0023412A" w:rsidRPr="44137436">
        <w:rPr>
          <w:noProof/>
        </w:rPr>
        <w:t>If a contractual term is not included in the list of terms that are always considered unfair or that are presumed to be unfair, the general unfairness provision applies</w:t>
      </w:r>
      <w:r w:rsidR="0023412A">
        <w:rPr>
          <w:noProof/>
        </w:rPr>
        <w:t>.</w:t>
      </w:r>
      <w:r w:rsidR="0023412A" w:rsidRPr="44137436">
        <w:rPr>
          <w:noProof/>
        </w:rPr>
        <w:t xml:space="preserve"> In this regard, the terms listed as unfair terms should serve as a yardstick to interpret the general unfairness provision. Finally, model contractual terms for business-to-business data sharing contracts to be developed and recommended by the Commission may also be helpful to commercial parties when negotiating contracts.</w:t>
      </w:r>
      <w:r w:rsidR="0023412A">
        <w:rPr>
          <w:noProof/>
        </w:rPr>
        <w:t xml:space="preserve"> </w:t>
      </w:r>
    </w:p>
    <w:p w14:paraId="50AD3936" w14:textId="0BBA0DC7" w:rsidR="0023412A" w:rsidRDefault="000856CE" w:rsidP="000856CE">
      <w:pPr>
        <w:pStyle w:val="ManualConsidrant"/>
        <w:rPr>
          <w:rFonts w:asciiTheme="minorHAnsi" w:eastAsiaTheme="minorEastAsia" w:hAnsiTheme="minorHAnsi" w:cstheme="minorBidi"/>
          <w:noProof/>
          <w:lang w:val="en-IE"/>
        </w:rPr>
      </w:pPr>
      <w:r w:rsidRPr="000856CE">
        <w:t>(56)</w:t>
      </w:r>
      <w:r w:rsidRPr="000856CE">
        <w:tab/>
      </w:r>
      <w:r w:rsidR="0023412A" w:rsidRPr="1D7DF308">
        <w:rPr>
          <w:noProof/>
          <w:lang w:val="en-IE"/>
        </w:rPr>
        <w:t>In situations of exceptional need, it may be necessary for public sector bodies</w:t>
      </w:r>
      <w:r w:rsidR="0023412A">
        <w:rPr>
          <w:noProof/>
          <w:lang w:val="en-IE"/>
        </w:rPr>
        <w:t xml:space="preserve"> or</w:t>
      </w:r>
      <w:r w:rsidR="0023412A" w:rsidRPr="1D7DF308">
        <w:rPr>
          <w:noProof/>
          <w:lang w:val="en-IE"/>
        </w:rPr>
        <w:t xml:space="preserve"> Union institutions, agencies or bodies to use data held by an enterprise to respond to public emergencies </w:t>
      </w:r>
      <w:r w:rsidR="0023412A">
        <w:rPr>
          <w:noProof/>
          <w:lang w:val="en-IE"/>
        </w:rPr>
        <w:t>or in other exceptional cases</w:t>
      </w:r>
      <w:r w:rsidR="0023412A" w:rsidRPr="1D7DF308">
        <w:rPr>
          <w:noProof/>
          <w:lang w:val="en-IE"/>
        </w:rPr>
        <w:t xml:space="preserve">. </w:t>
      </w:r>
      <w:r w:rsidR="00E15997">
        <w:rPr>
          <w:noProof/>
          <w:lang w:val="en-IE"/>
        </w:rPr>
        <w:t xml:space="preserve">Research-performing organisations and research-funding organisations could also be organised as public sector bodies or bodies governed by public law. </w:t>
      </w:r>
      <w:r w:rsidR="0023412A">
        <w:rPr>
          <w:noProof/>
          <w:lang w:val="en-IE"/>
        </w:rPr>
        <w:t>To limit the</w:t>
      </w:r>
      <w:r w:rsidR="0023412A" w:rsidRPr="009B0E04">
        <w:rPr>
          <w:noProof/>
          <w:lang w:val="en-IE"/>
        </w:rPr>
        <w:t xml:space="preserve"> burden on businesses, micro and </w:t>
      </w:r>
      <w:r w:rsidR="0023412A">
        <w:rPr>
          <w:noProof/>
          <w:lang w:val="en-IE"/>
        </w:rPr>
        <w:t xml:space="preserve">small </w:t>
      </w:r>
      <w:r w:rsidR="0023412A" w:rsidRPr="009B0E04">
        <w:rPr>
          <w:noProof/>
          <w:lang w:val="en-IE"/>
        </w:rPr>
        <w:t>enterprises</w:t>
      </w:r>
      <w:r w:rsidR="0023412A">
        <w:rPr>
          <w:noProof/>
          <w:lang w:val="en-IE"/>
        </w:rPr>
        <w:t xml:space="preserve"> should be</w:t>
      </w:r>
      <w:r w:rsidR="0023412A" w:rsidRPr="009B0E04">
        <w:rPr>
          <w:noProof/>
          <w:lang w:val="en-IE"/>
        </w:rPr>
        <w:t xml:space="preserve"> exempt</w:t>
      </w:r>
      <w:r w:rsidR="0023412A">
        <w:rPr>
          <w:noProof/>
          <w:lang w:val="en-IE"/>
        </w:rPr>
        <w:t>ed</w:t>
      </w:r>
      <w:r w:rsidR="0023412A" w:rsidRPr="009B0E04">
        <w:rPr>
          <w:noProof/>
          <w:lang w:val="en-IE"/>
        </w:rPr>
        <w:t xml:space="preserve"> from</w:t>
      </w:r>
      <w:r w:rsidR="0023412A">
        <w:rPr>
          <w:noProof/>
          <w:lang w:val="en-IE"/>
        </w:rPr>
        <w:t xml:space="preserve"> the</w:t>
      </w:r>
      <w:r w:rsidR="0023412A" w:rsidRPr="009B0E04">
        <w:rPr>
          <w:noProof/>
          <w:lang w:val="en-IE"/>
        </w:rPr>
        <w:t xml:space="preserve"> obligation</w:t>
      </w:r>
      <w:r w:rsidR="0023412A">
        <w:rPr>
          <w:noProof/>
          <w:lang w:val="en-IE"/>
        </w:rPr>
        <w:t xml:space="preserve"> to provide </w:t>
      </w:r>
      <w:r w:rsidR="0023412A" w:rsidRPr="009B0E04">
        <w:rPr>
          <w:noProof/>
          <w:lang w:val="en-IE"/>
        </w:rPr>
        <w:t>public sector bodies</w:t>
      </w:r>
      <w:r w:rsidR="0023412A">
        <w:rPr>
          <w:noProof/>
          <w:lang w:val="en-IE"/>
        </w:rPr>
        <w:t xml:space="preserve"> and</w:t>
      </w:r>
      <w:r w:rsidR="0023412A" w:rsidRPr="009B0E04">
        <w:rPr>
          <w:noProof/>
          <w:lang w:val="en-IE"/>
        </w:rPr>
        <w:t xml:space="preserve"> Union institutions, agencies or bodies</w:t>
      </w:r>
      <w:r w:rsidR="0023412A">
        <w:rPr>
          <w:noProof/>
          <w:lang w:val="en-IE"/>
        </w:rPr>
        <w:t xml:space="preserve"> data in situations of exceptional need</w:t>
      </w:r>
      <w:r w:rsidR="0023412A" w:rsidRPr="6AC727DB">
        <w:rPr>
          <w:noProof/>
          <w:lang w:val="en-IE"/>
        </w:rPr>
        <w:t>.</w:t>
      </w:r>
    </w:p>
    <w:p w14:paraId="2078B465" w14:textId="7D7850A0" w:rsidR="0023412A" w:rsidRDefault="000856CE" w:rsidP="000856CE">
      <w:pPr>
        <w:pStyle w:val="ManualConsidrant"/>
        <w:rPr>
          <w:rFonts w:asciiTheme="minorHAnsi" w:eastAsiaTheme="minorEastAsia" w:hAnsiTheme="minorHAnsi" w:cstheme="minorBidi"/>
          <w:noProof/>
          <w:lang w:val="en-IE"/>
        </w:rPr>
      </w:pPr>
      <w:r w:rsidRPr="000856CE">
        <w:t>(57)</w:t>
      </w:r>
      <w:r w:rsidRPr="000856CE">
        <w:tab/>
      </w:r>
      <w:r w:rsidR="0023412A">
        <w:rPr>
          <w:noProof/>
          <w:lang w:val="en-IE"/>
        </w:rPr>
        <w:t>In case of</w:t>
      </w:r>
      <w:r w:rsidR="0023412A" w:rsidRPr="44137436">
        <w:rPr>
          <w:noProof/>
          <w:lang w:val="en-IE"/>
        </w:rPr>
        <w:t xml:space="preserve"> public emergenc</w:t>
      </w:r>
      <w:r w:rsidR="0023412A">
        <w:rPr>
          <w:noProof/>
          <w:lang w:val="en-IE"/>
        </w:rPr>
        <w:t>ies</w:t>
      </w:r>
      <w:r w:rsidR="0023412A" w:rsidRPr="44137436">
        <w:rPr>
          <w:noProof/>
          <w:lang w:val="en-IE"/>
        </w:rPr>
        <w:t xml:space="preserve">, such as </w:t>
      </w:r>
      <w:r w:rsidR="00E15997">
        <w:rPr>
          <w:noProof/>
          <w:lang w:val="en-IE"/>
        </w:rPr>
        <w:t>public health emergencies, emergencies</w:t>
      </w:r>
      <w:r w:rsidR="00E15997" w:rsidRPr="44137436">
        <w:rPr>
          <w:noProof/>
          <w:lang w:val="en-IE"/>
        </w:rPr>
        <w:t xml:space="preserve"> </w:t>
      </w:r>
      <w:r w:rsidR="0023412A" w:rsidRPr="44137436">
        <w:rPr>
          <w:noProof/>
          <w:lang w:val="en-IE"/>
        </w:rPr>
        <w:t xml:space="preserve">resulting from </w:t>
      </w:r>
      <w:r w:rsidR="00E15997">
        <w:rPr>
          <w:noProof/>
          <w:lang w:val="en-IE"/>
        </w:rPr>
        <w:t xml:space="preserve">environmental degradation and </w:t>
      </w:r>
      <w:r w:rsidR="0023412A" w:rsidRPr="44137436">
        <w:rPr>
          <w:noProof/>
          <w:lang w:val="en-IE"/>
        </w:rPr>
        <w:t xml:space="preserve">major </w:t>
      </w:r>
      <w:r w:rsidR="00E15997">
        <w:rPr>
          <w:noProof/>
          <w:lang w:val="en-IE"/>
        </w:rPr>
        <w:t xml:space="preserve">natural </w:t>
      </w:r>
      <w:r w:rsidR="0023412A" w:rsidRPr="44137436">
        <w:rPr>
          <w:noProof/>
          <w:lang w:val="en-IE"/>
        </w:rPr>
        <w:t>disasters</w:t>
      </w:r>
      <w:r w:rsidR="00E15997">
        <w:rPr>
          <w:noProof/>
          <w:lang w:val="en-IE"/>
        </w:rPr>
        <w:t xml:space="preserve"> including those aggravated by climate change</w:t>
      </w:r>
      <w:r w:rsidR="0023412A" w:rsidRPr="44137436">
        <w:rPr>
          <w:noProof/>
          <w:lang w:val="en-IE"/>
        </w:rPr>
        <w:t xml:space="preserve">, as well as human-induced major disasters, </w:t>
      </w:r>
      <w:r w:rsidR="00E15997">
        <w:rPr>
          <w:noProof/>
          <w:lang w:val="en-IE"/>
        </w:rPr>
        <w:t xml:space="preserve">such as major cybersecurity incidents, </w:t>
      </w:r>
      <w:r w:rsidR="0023412A" w:rsidRPr="44137436">
        <w:rPr>
          <w:noProof/>
          <w:lang w:val="en-IE"/>
        </w:rPr>
        <w:t>the public interest resulting from the use of the data will outweigh the interests of the data holders to dispose freely of the data they hold. In such a case, data holders should be placed under an obligation to make the data available to public sector bodies or to Union institutions, agencies or bodies upon their request.</w:t>
      </w:r>
      <w:r w:rsidR="0023412A">
        <w:rPr>
          <w:noProof/>
        </w:rPr>
        <w:t xml:space="preserve"> </w:t>
      </w:r>
      <w:r w:rsidR="0023412A">
        <w:rPr>
          <w:noProof/>
          <w:lang w:val="en-IE"/>
        </w:rPr>
        <w:t>The existence of a public emergency is determined according to the respective procedures in the Member States or of relevant international organisations.</w:t>
      </w:r>
    </w:p>
    <w:p w14:paraId="51AD501F" w14:textId="2653F204" w:rsidR="0023412A" w:rsidRDefault="000856CE" w:rsidP="000856CE">
      <w:pPr>
        <w:pStyle w:val="ManualConsidrant"/>
        <w:rPr>
          <w:rFonts w:asciiTheme="minorHAnsi" w:eastAsiaTheme="minorEastAsia" w:hAnsiTheme="minorHAnsi" w:cstheme="minorBidi"/>
          <w:noProof/>
          <w:lang w:val="en-IE"/>
        </w:rPr>
      </w:pPr>
      <w:r w:rsidRPr="000856CE">
        <w:t>(58)</w:t>
      </w:r>
      <w:r w:rsidRPr="000856CE">
        <w:tab/>
      </w:r>
      <w:r w:rsidR="00FE523F">
        <w:rPr>
          <w:noProof/>
          <w:lang w:val="en-IE"/>
        </w:rPr>
        <w:t>An exceptional need may also arise when a public sector body can demonstrate that the data are necessary either to prevent a public emergency, or to assist recovery from a public emergency, in circumstances that are reasonably proximat</w:t>
      </w:r>
      <w:r w:rsidR="00E212C5">
        <w:rPr>
          <w:noProof/>
          <w:lang w:val="en-IE"/>
        </w:rPr>
        <w:t>e to</w:t>
      </w:r>
      <w:r w:rsidR="00FE523F">
        <w:rPr>
          <w:noProof/>
          <w:lang w:val="en-IE"/>
        </w:rPr>
        <w:t xml:space="preserve"> the public emergency in question. </w:t>
      </w:r>
      <w:r w:rsidR="0023412A" w:rsidRPr="44137436">
        <w:rPr>
          <w:noProof/>
          <w:lang w:val="en-IE"/>
        </w:rPr>
        <w:t>Where the exceptional need is not justified by the need to respond to</w:t>
      </w:r>
      <w:r w:rsidR="00FE523F">
        <w:rPr>
          <w:noProof/>
          <w:lang w:val="en-IE"/>
        </w:rPr>
        <w:t>, prevent or assist recovery from</w:t>
      </w:r>
      <w:r w:rsidR="0023412A" w:rsidRPr="44137436">
        <w:rPr>
          <w:noProof/>
          <w:lang w:val="en-IE"/>
        </w:rPr>
        <w:t xml:space="preserve"> a public emergency, the public sector body or the Union institution, agency or body should demonstrate that the lack of timely access to and the use of the data requested prevents it from effectively fulfilling a specific task in the public interest that has been explicitly provided in law</w:t>
      </w:r>
      <w:r w:rsidR="00E97431">
        <w:rPr>
          <w:noProof/>
          <w:lang w:val="en-IE"/>
        </w:rPr>
        <w:t>.</w:t>
      </w:r>
      <w:r w:rsidR="00E97431" w:rsidRPr="00E97431">
        <w:rPr>
          <w:noProof/>
          <w:lang w:val="en-IE"/>
        </w:rPr>
        <w:t xml:space="preserve"> </w:t>
      </w:r>
      <w:r w:rsidR="00E97431">
        <w:rPr>
          <w:noProof/>
          <w:lang w:val="en-IE"/>
        </w:rPr>
        <w:t xml:space="preserve">Such exceptional need may also occur </w:t>
      </w:r>
      <w:r w:rsidR="001B5B92">
        <w:rPr>
          <w:noProof/>
          <w:lang w:val="en-IE"/>
        </w:rPr>
        <w:t xml:space="preserve">in other situations, for example </w:t>
      </w:r>
      <w:r w:rsidR="00E97431">
        <w:rPr>
          <w:noProof/>
          <w:lang w:val="en-IE"/>
        </w:rPr>
        <w:t xml:space="preserve">in </w:t>
      </w:r>
      <w:r w:rsidR="00E97431" w:rsidRPr="00E97431">
        <w:rPr>
          <w:noProof/>
          <w:lang w:val="en-IE"/>
        </w:rPr>
        <w:t>relation to the timely compilation of official statistics when data is not otherwise available or when the burden on statistical respondents will be considerably reduced</w:t>
      </w:r>
      <w:r w:rsidR="0023412A" w:rsidRPr="44137436">
        <w:rPr>
          <w:noProof/>
          <w:lang w:val="en-IE"/>
        </w:rPr>
        <w:t xml:space="preserve">. At the same time, </w:t>
      </w:r>
      <w:r w:rsidR="00FE523F">
        <w:rPr>
          <w:noProof/>
          <w:lang w:val="en-IE"/>
        </w:rPr>
        <w:t xml:space="preserve">the public </w:t>
      </w:r>
      <w:r w:rsidR="00E15997">
        <w:rPr>
          <w:noProof/>
          <w:lang w:val="en-IE"/>
        </w:rPr>
        <w:t>sector body or the Union institution, agency or body</w:t>
      </w:r>
      <w:r w:rsidR="00E15997" w:rsidRPr="44137436">
        <w:rPr>
          <w:noProof/>
          <w:lang w:val="en-IE"/>
        </w:rPr>
        <w:t xml:space="preserve"> </w:t>
      </w:r>
      <w:r w:rsidR="0023412A" w:rsidRPr="44137436">
        <w:rPr>
          <w:noProof/>
          <w:lang w:val="en-IE"/>
        </w:rPr>
        <w:t>should</w:t>
      </w:r>
      <w:r w:rsidR="00397CDE">
        <w:rPr>
          <w:noProof/>
          <w:lang w:val="en-IE"/>
        </w:rPr>
        <w:t xml:space="preserve">, </w:t>
      </w:r>
      <w:r w:rsidR="00FE523F">
        <w:rPr>
          <w:noProof/>
          <w:lang w:val="en-IE"/>
        </w:rPr>
        <w:t xml:space="preserve">outside the case of responding to, preventing or assisting recovery from a public emergency, </w:t>
      </w:r>
      <w:r w:rsidR="0023412A" w:rsidRPr="44137436">
        <w:rPr>
          <w:noProof/>
          <w:lang w:val="en-IE"/>
        </w:rPr>
        <w:t xml:space="preserve">demonstrate that no alternative means for obtaining the data requested exists and that the data cannot be obtained in a timely manner through the laying down of the necessary data provision obligations in new legislation. </w:t>
      </w:r>
    </w:p>
    <w:p w14:paraId="00E78F68" w14:textId="43A1840E" w:rsidR="0023412A" w:rsidRDefault="000856CE" w:rsidP="000856CE">
      <w:pPr>
        <w:pStyle w:val="ManualConsidrant"/>
        <w:rPr>
          <w:rFonts w:asciiTheme="minorHAnsi" w:eastAsiaTheme="minorEastAsia" w:hAnsiTheme="minorHAnsi" w:cstheme="minorBidi"/>
          <w:noProof/>
          <w:lang w:val="en-IE"/>
        </w:rPr>
      </w:pPr>
      <w:r w:rsidRPr="000856CE">
        <w:t>(59)</w:t>
      </w:r>
      <w:r w:rsidRPr="000856CE">
        <w:tab/>
      </w:r>
      <w:r w:rsidR="0023412A" w:rsidRPr="44137436">
        <w:rPr>
          <w:noProof/>
          <w:lang w:val="en-IE"/>
        </w:rPr>
        <w:t>This Regulation should not apply</w:t>
      </w:r>
      <w:r w:rsidR="00E15997">
        <w:rPr>
          <w:noProof/>
          <w:lang w:val="en-IE"/>
        </w:rPr>
        <w:t xml:space="preserve"> to</w:t>
      </w:r>
      <w:r w:rsidR="0023412A" w:rsidRPr="44137436">
        <w:rPr>
          <w:noProof/>
          <w:lang w:val="en-IE"/>
        </w:rPr>
        <w:t>, nor pre-empt, voluntary arrangements for the exchange of data between private and public entities. Obligations placed on data holders to provide data that are motivated by needs of a non-exceptional nature, notably where the range of data and of data holders is known and where data use can take place on a regular basis, as in the case of reporting obligations and internal market obligations, should not be affected by this Regulation. Requirements to access data to verify compliance with applicable rules</w:t>
      </w:r>
      <w:r w:rsidR="0023412A" w:rsidRPr="44137436">
        <w:rPr>
          <w:rFonts w:eastAsia="Times New Roman"/>
          <w:noProof/>
        </w:rPr>
        <w:t xml:space="preserve">, including in cases where public sector bodies assign the task of the verification of compliance to entities other than public sector bodies, </w:t>
      </w:r>
      <w:r w:rsidR="0023412A" w:rsidRPr="44137436">
        <w:rPr>
          <w:noProof/>
          <w:lang w:val="en-IE"/>
        </w:rPr>
        <w:t>should also not be affected by this Regulation</w:t>
      </w:r>
      <w:r w:rsidR="0023412A">
        <w:rPr>
          <w:noProof/>
          <w:lang w:val="en-IE"/>
        </w:rPr>
        <w:t>.</w:t>
      </w:r>
    </w:p>
    <w:p w14:paraId="4E752999" w14:textId="69AA418C" w:rsidR="0023412A" w:rsidRDefault="000856CE" w:rsidP="000856CE">
      <w:pPr>
        <w:pStyle w:val="ManualConsidrant"/>
        <w:rPr>
          <w:rFonts w:asciiTheme="minorHAnsi" w:eastAsiaTheme="minorEastAsia" w:hAnsiTheme="minorHAnsi" w:cstheme="minorBidi"/>
          <w:noProof/>
          <w:lang w:val="en-IE"/>
        </w:rPr>
      </w:pPr>
      <w:r w:rsidRPr="000856CE">
        <w:t>(60)</w:t>
      </w:r>
      <w:r w:rsidRPr="000856CE">
        <w:tab/>
      </w:r>
      <w:r w:rsidR="0023412A" w:rsidRPr="44137436">
        <w:rPr>
          <w:noProof/>
          <w:lang w:val="en-IE"/>
        </w:rPr>
        <w:t xml:space="preserve">For the exercise of their tasks in the areas of prevention, investigation, detection or prosecution of criminal and administrative offences, the execution of criminal and administrative penalties, as well as the collection of data for taxation or customs purposes, public sector bodies </w:t>
      </w:r>
      <w:r w:rsidR="0023412A">
        <w:rPr>
          <w:noProof/>
        </w:rPr>
        <w:t>and Union institutions, agencies and bodies</w:t>
      </w:r>
      <w:r w:rsidR="0023412A" w:rsidRPr="44137436">
        <w:rPr>
          <w:noProof/>
          <w:lang w:val="en-IE"/>
        </w:rPr>
        <w:t xml:space="preserve"> should rely on their powers under sectoral legislation. This Regulation accordingly does not affect instruments for the sharing, access and use of data in those areas.</w:t>
      </w:r>
    </w:p>
    <w:p w14:paraId="7FC9C1D9" w14:textId="143FABB0" w:rsidR="0023412A" w:rsidRPr="00364B67" w:rsidRDefault="000856CE" w:rsidP="000856CE">
      <w:pPr>
        <w:pStyle w:val="ManualConsidrant"/>
        <w:rPr>
          <w:rFonts w:asciiTheme="minorHAnsi" w:eastAsiaTheme="minorEastAsia" w:hAnsiTheme="minorHAnsi" w:cstheme="minorBidi"/>
          <w:noProof/>
          <w:lang w:val="en-IE"/>
        </w:rPr>
      </w:pPr>
      <w:r w:rsidRPr="000856CE">
        <w:t>(61)</w:t>
      </w:r>
      <w:r w:rsidRPr="000856CE">
        <w:tab/>
      </w:r>
      <w:r w:rsidR="0023412A" w:rsidRPr="44137436">
        <w:rPr>
          <w:noProof/>
          <w:lang w:val="en-IE"/>
        </w:rPr>
        <w:t xml:space="preserve">A proportionate, limited and predictable framework at </w:t>
      </w:r>
      <w:r w:rsidR="00170A97">
        <w:rPr>
          <w:noProof/>
          <w:lang w:val="en-IE"/>
        </w:rPr>
        <w:t>Union</w:t>
      </w:r>
      <w:r w:rsidR="00170A97" w:rsidRPr="44137436">
        <w:rPr>
          <w:noProof/>
          <w:lang w:val="en-IE"/>
        </w:rPr>
        <w:t xml:space="preserve"> </w:t>
      </w:r>
      <w:r w:rsidR="0023412A" w:rsidRPr="44137436">
        <w:rPr>
          <w:noProof/>
          <w:lang w:val="en-IE"/>
        </w:rPr>
        <w:t xml:space="preserve">level is necessary for the making available of data by data holders, in cases of exceptional needs, to </w:t>
      </w:r>
      <w:r w:rsidR="0023412A" w:rsidRPr="44137436">
        <w:rPr>
          <w:rFonts w:eastAsia="Times New Roman"/>
          <w:noProof/>
          <w:lang w:val="en-IE"/>
        </w:rPr>
        <w:t>public sector bodies and to Union institution, agencies or bodies</w:t>
      </w:r>
      <w:r w:rsidR="0023412A" w:rsidRPr="44137436">
        <w:rPr>
          <w:noProof/>
          <w:lang w:val="en-IE"/>
        </w:rPr>
        <w:t xml:space="preserve"> both to ensure legal certainty </w:t>
      </w:r>
      <w:r w:rsidR="0023412A" w:rsidRPr="44137436">
        <w:rPr>
          <w:rFonts w:eastAsia="Times New Roman"/>
          <w:noProof/>
          <w:lang w:val="en-IE"/>
        </w:rPr>
        <w:t>and to minimise</w:t>
      </w:r>
      <w:r w:rsidR="0023412A" w:rsidRPr="44137436">
        <w:rPr>
          <w:noProof/>
          <w:lang w:val="en-IE"/>
        </w:rPr>
        <w:t xml:space="preserve"> the administrative burdens placed on businesses. To this end, data requests by </w:t>
      </w:r>
      <w:r w:rsidR="0023412A" w:rsidRPr="44137436">
        <w:rPr>
          <w:rFonts w:eastAsia="Times New Roman"/>
          <w:noProof/>
          <w:lang w:val="en-IE"/>
        </w:rPr>
        <w:t>public sector bodies and by Union institution, agencies and bodies</w:t>
      </w:r>
      <w:r w:rsidR="0023412A" w:rsidRPr="44137436">
        <w:rPr>
          <w:noProof/>
          <w:lang w:val="en-IE"/>
        </w:rPr>
        <w:t xml:space="preserve"> to data holders should be transparent and proportionate in terms of their scope of content and their granularity. The purpose of the request and the intended use of the data requested should be specific and clearly explained, while allowing appropriate flexibility for the requesting entity to perform its tasks in the public interest. The request should also respect the legitimate interests of the businesses to whom the request is made. The burden on data holders should be minimised by obliging requesting entities to respect the once-only principle, which prevents the same data from being requested more than once by more than one public sector body or Union institution, agency or body where those data are needed to respond to a public emergency. To ensure transparency, data requests made by public sector bodies and by Union institutions, agencies or bodies should be made public without undue delay by the entity requesting the data and online public availability of all requests justified by a public emergency should be ensured. </w:t>
      </w:r>
    </w:p>
    <w:p w14:paraId="7A1EA361" w14:textId="0B95FE0B" w:rsidR="0023412A" w:rsidRDefault="000856CE" w:rsidP="000856CE">
      <w:pPr>
        <w:pStyle w:val="ManualConsidrant"/>
        <w:rPr>
          <w:rFonts w:asciiTheme="minorHAnsi" w:eastAsiaTheme="minorEastAsia" w:hAnsiTheme="minorHAnsi" w:cstheme="minorBidi"/>
          <w:noProof/>
          <w:lang w:val="en-IE"/>
        </w:rPr>
      </w:pPr>
      <w:r w:rsidRPr="000856CE">
        <w:t>(62)</w:t>
      </w:r>
      <w:r w:rsidRPr="000856CE">
        <w:tab/>
      </w:r>
      <w:r w:rsidR="0023412A" w:rsidRPr="1D7DF308">
        <w:rPr>
          <w:noProof/>
          <w:lang w:val="en-IE"/>
        </w:rPr>
        <w:t xml:space="preserve">The objective of the obligation to provide the data is to ensure that public sector bodies </w:t>
      </w:r>
      <w:r w:rsidR="0023412A" w:rsidRPr="44137436">
        <w:rPr>
          <w:noProof/>
          <w:lang w:val="en-IE"/>
        </w:rPr>
        <w:t xml:space="preserve">and Union institutions, agencies or bodies </w:t>
      </w:r>
      <w:r w:rsidR="0023412A" w:rsidRPr="1D7DF308">
        <w:rPr>
          <w:noProof/>
          <w:lang w:val="en-IE"/>
        </w:rPr>
        <w:t>have the</w:t>
      </w:r>
      <w:r w:rsidR="0023412A" w:rsidRPr="44137436">
        <w:rPr>
          <w:noProof/>
          <w:lang w:val="en-IE"/>
        </w:rPr>
        <w:t xml:space="preserve"> necessary</w:t>
      </w:r>
      <w:r w:rsidR="0023412A" w:rsidRPr="1D7DF308">
        <w:rPr>
          <w:noProof/>
          <w:lang w:val="en-IE"/>
        </w:rPr>
        <w:t xml:space="preserve"> knowledge to respond to</w:t>
      </w:r>
      <w:r w:rsidR="00397CDE">
        <w:rPr>
          <w:noProof/>
          <w:lang w:val="en-IE"/>
        </w:rPr>
        <w:t>, prevent or recover from</w:t>
      </w:r>
      <w:r w:rsidR="0023412A" w:rsidRPr="1D7DF308">
        <w:rPr>
          <w:noProof/>
          <w:lang w:val="en-IE"/>
        </w:rPr>
        <w:t xml:space="preserve"> public emergencies or to maintain the capacity to fulfil </w:t>
      </w:r>
      <w:r w:rsidR="0023412A" w:rsidRPr="44137436">
        <w:rPr>
          <w:noProof/>
          <w:lang w:val="en-IE"/>
        </w:rPr>
        <w:t>specific tasks explicitly provided by law</w:t>
      </w:r>
      <w:r w:rsidR="0023412A" w:rsidRPr="1D7DF308">
        <w:rPr>
          <w:noProof/>
          <w:lang w:val="en-IE"/>
        </w:rPr>
        <w:t xml:space="preserve">. </w:t>
      </w:r>
      <w:r w:rsidR="0023412A" w:rsidRPr="44137436">
        <w:rPr>
          <w:noProof/>
          <w:lang w:val="en-IE"/>
        </w:rPr>
        <w:t>T</w:t>
      </w:r>
      <w:r w:rsidR="0023412A" w:rsidRPr="1D7DF308">
        <w:rPr>
          <w:noProof/>
          <w:lang w:val="en-IE"/>
        </w:rPr>
        <w:t xml:space="preserve">he data obtained by </w:t>
      </w:r>
      <w:r w:rsidR="0023412A" w:rsidRPr="44137436">
        <w:rPr>
          <w:noProof/>
          <w:lang w:val="en-IE"/>
        </w:rPr>
        <w:t xml:space="preserve">those entities </w:t>
      </w:r>
      <w:r w:rsidR="0023412A" w:rsidRPr="1D7DF308">
        <w:rPr>
          <w:noProof/>
          <w:lang w:val="en-IE"/>
        </w:rPr>
        <w:t xml:space="preserve">may be commercially sensitive. Therefore, Directive (EU) 2019/1024 </w:t>
      </w:r>
      <w:r w:rsidR="0023412A">
        <w:rPr>
          <w:noProof/>
        </w:rPr>
        <w:t>of the European Parliament and of the Council</w:t>
      </w:r>
      <w:r w:rsidR="0023412A">
        <w:rPr>
          <w:rStyle w:val="FootnoteReference"/>
          <w:noProof/>
        </w:rPr>
        <w:footnoteReference w:id="65"/>
      </w:r>
      <w:r w:rsidR="0023412A" w:rsidRPr="1D7DF308">
        <w:rPr>
          <w:noProof/>
          <w:lang w:val="en-IE"/>
        </w:rPr>
        <w:t xml:space="preserve"> should not apply to data made available under </w:t>
      </w:r>
      <w:r w:rsidR="0023412A" w:rsidRPr="44137436">
        <w:rPr>
          <w:noProof/>
          <w:lang w:val="en-IE"/>
        </w:rPr>
        <w:t xml:space="preserve">this Regulation </w:t>
      </w:r>
      <w:r w:rsidR="0023412A" w:rsidRPr="1D7DF308">
        <w:rPr>
          <w:noProof/>
          <w:lang w:val="en-IE"/>
        </w:rPr>
        <w:t xml:space="preserve">and should not be considered as open data available for reuse by third parties. This however should not affect the applicability </w:t>
      </w:r>
      <w:r w:rsidR="00397CDE">
        <w:rPr>
          <w:noProof/>
          <w:lang w:val="en-IE"/>
        </w:rPr>
        <w:t xml:space="preserve">of </w:t>
      </w:r>
      <w:r w:rsidR="0023412A" w:rsidRPr="1D7DF308">
        <w:rPr>
          <w:noProof/>
          <w:lang w:val="en-IE"/>
        </w:rPr>
        <w:t>Directive</w:t>
      </w:r>
      <w:r w:rsidR="0023412A" w:rsidRPr="44137436">
        <w:rPr>
          <w:noProof/>
          <w:lang w:val="en-IE"/>
        </w:rPr>
        <w:t xml:space="preserve"> (EU) 2019/1024</w:t>
      </w:r>
      <w:r w:rsidR="0023412A" w:rsidRPr="1D7DF308">
        <w:rPr>
          <w:noProof/>
          <w:lang w:val="en-IE"/>
        </w:rPr>
        <w:t xml:space="preserve"> to the reuse of official statistics for the production of which data obtained pursuant to </w:t>
      </w:r>
      <w:r w:rsidR="0023412A" w:rsidRPr="44137436">
        <w:rPr>
          <w:noProof/>
          <w:lang w:val="en-IE"/>
        </w:rPr>
        <w:t>this Regulation</w:t>
      </w:r>
      <w:r w:rsidR="0023412A" w:rsidRPr="1D7DF308">
        <w:rPr>
          <w:noProof/>
          <w:lang w:val="en-IE"/>
        </w:rPr>
        <w:t xml:space="preserve"> was used, provided the reuse does not include the underlying data. In addition, it should not affect the possibility of sharing the data for conducting research</w:t>
      </w:r>
      <w:r w:rsidR="0023412A" w:rsidRPr="44137436">
        <w:rPr>
          <w:noProof/>
          <w:lang w:val="en-IE"/>
        </w:rPr>
        <w:t xml:space="preserve"> or for the compilation of official statistics</w:t>
      </w:r>
      <w:r w:rsidR="0023412A" w:rsidRPr="1D7DF308">
        <w:rPr>
          <w:noProof/>
          <w:lang w:val="en-IE"/>
        </w:rPr>
        <w:t xml:space="preserve">, provided the conditions laid down in this </w:t>
      </w:r>
      <w:r w:rsidR="0023412A" w:rsidRPr="44137436">
        <w:rPr>
          <w:noProof/>
          <w:lang w:val="en-IE"/>
        </w:rPr>
        <w:t xml:space="preserve">Regulation </w:t>
      </w:r>
      <w:r w:rsidR="0023412A" w:rsidRPr="1D7DF308">
        <w:rPr>
          <w:noProof/>
          <w:lang w:val="en-IE"/>
        </w:rPr>
        <w:t xml:space="preserve">are met. </w:t>
      </w:r>
      <w:r w:rsidR="0023412A" w:rsidRPr="44137436">
        <w:rPr>
          <w:noProof/>
          <w:lang w:val="en-IE"/>
        </w:rPr>
        <w:t xml:space="preserve">Public sector bodies should also be allowed to exchange data obtained pursuant to this Regulation </w:t>
      </w:r>
      <w:r w:rsidR="00E15997">
        <w:rPr>
          <w:noProof/>
          <w:lang w:val="en-IE"/>
        </w:rPr>
        <w:t xml:space="preserve">with other </w:t>
      </w:r>
      <w:r w:rsidR="0023412A" w:rsidRPr="44137436">
        <w:rPr>
          <w:noProof/>
          <w:lang w:val="en-IE"/>
        </w:rPr>
        <w:t xml:space="preserve">public sector </w:t>
      </w:r>
      <w:r w:rsidR="00E15997">
        <w:rPr>
          <w:noProof/>
          <w:lang w:val="en-IE"/>
        </w:rPr>
        <w:t>bodies to address the exceptional needs for which the data has been requested</w:t>
      </w:r>
      <w:r w:rsidR="0023412A" w:rsidRPr="44137436">
        <w:rPr>
          <w:noProof/>
          <w:lang w:val="en-IE"/>
        </w:rPr>
        <w:t>.</w:t>
      </w:r>
    </w:p>
    <w:p w14:paraId="046EC2B1" w14:textId="4DE2A9B9" w:rsidR="0023412A" w:rsidRPr="00364B67" w:rsidRDefault="000856CE" w:rsidP="000856CE">
      <w:pPr>
        <w:pStyle w:val="ManualConsidrant"/>
        <w:rPr>
          <w:rFonts w:asciiTheme="minorHAnsi" w:eastAsiaTheme="minorEastAsia" w:hAnsiTheme="minorHAnsi" w:cstheme="minorBidi"/>
          <w:noProof/>
          <w:lang w:val="en-IE"/>
        </w:rPr>
      </w:pPr>
      <w:r w:rsidRPr="000856CE">
        <w:t>(63)</w:t>
      </w:r>
      <w:r w:rsidRPr="000856CE">
        <w:tab/>
      </w:r>
      <w:r w:rsidR="0023412A" w:rsidRPr="44137436">
        <w:rPr>
          <w:noProof/>
          <w:lang w:val="en-IE"/>
        </w:rPr>
        <w:t xml:space="preserve">Data holders should have the possibility to either ask for a modification of the request made by a public sector body or Union institution, agency and body or its cancellation in a period of 5 or 15 </w:t>
      </w:r>
      <w:r w:rsidR="00E15997">
        <w:rPr>
          <w:noProof/>
          <w:lang w:val="en-IE"/>
        </w:rPr>
        <w:t xml:space="preserve">working </w:t>
      </w:r>
      <w:r w:rsidR="0023412A" w:rsidRPr="44137436">
        <w:rPr>
          <w:noProof/>
          <w:lang w:val="en-IE"/>
        </w:rPr>
        <w:t>days depending on the nature of the exceptional need invoked in the request. In case of requests motivated by a public emergency, justified reason not to make the data available should exist if it can be shown that the request is similar or identical to a previously submitted request for the same purpose by another public sector body or by another Union institution, agency or body. A data holder rejecting the request or seeking its modification should communicate the underlying justification for refusing the request to the public sector body or to the Union institution, agency or body requesting the data.</w:t>
      </w:r>
      <w:r w:rsidR="00E15997">
        <w:rPr>
          <w:noProof/>
          <w:lang w:val="en-IE"/>
        </w:rPr>
        <w:t xml:space="preserve"> In </w:t>
      </w:r>
      <w:r w:rsidR="00E15997">
        <w:rPr>
          <w:noProof/>
        </w:rPr>
        <w:t xml:space="preserve">case the </w:t>
      </w:r>
      <w:r w:rsidR="00E15997" w:rsidRPr="00875B3B">
        <w:rPr>
          <w:i/>
          <w:noProof/>
        </w:rPr>
        <w:t>sui generis</w:t>
      </w:r>
      <w:r w:rsidR="00E15997">
        <w:rPr>
          <w:noProof/>
        </w:rPr>
        <w:t xml:space="preserve"> database rights under Directive 96/6/EC of the European Parliament and of the Council</w:t>
      </w:r>
      <w:r w:rsidR="00E15997">
        <w:rPr>
          <w:rStyle w:val="FootnoteReference"/>
          <w:noProof/>
          <w:lang w:val="en-IE"/>
        </w:rPr>
        <w:footnoteReference w:id="66"/>
      </w:r>
      <w:r w:rsidR="00E15997">
        <w:rPr>
          <w:noProof/>
        </w:rPr>
        <w:t xml:space="preserve"> apply in relation to the requested datasets, data holders should exercise their rights in a way that does not prevent the public sector body</w:t>
      </w:r>
      <w:r w:rsidR="009538E4">
        <w:rPr>
          <w:noProof/>
        </w:rPr>
        <w:t xml:space="preserve"> and Union institutions, agencies or bodies</w:t>
      </w:r>
      <w:r w:rsidR="00E15997">
        <w:rPr>
          <w:noProof/>
        </w:rPr>
        <w:t xml:space="preserve"> from obtaining the data</w:t>
      </w:r>
      <w:r w:rsidR="00D20267">
        <w:rPr>
          <w:noProof/>
        </w:rPr>
        <w:t>, or from sharing it, in accordance with this Regulation</w:t>
      </w:r>
      <w:r w:rsidR="009538E4">
        <w:rPr>
          <w:noProof/>
        </w:rPr>
        <w:t>.</w:t>
      </w:r>
    </w:p>
    <w:p w14:paraId="282FBCEB" w14:textId="2CAEEDB9" w:rsidR="0023412A" w:rsidRDefault="000856CE" w:rsidP="000856CE">
      <w:pPr>
        <w:pStyle w:val="ManualConsidrant"/>
        <w:rPr>
          <w:rFonts w:asciiTheme="minorHAnsi" w:eastAsiaTheme="minorEastAsia" w:hAnsiTheme="minorHAnsi" w:cstheme="minorBidi"/>
          <w:noProof/>
          <w:lang w:val="en-IE"/>
        </w:rPr>
      </w:pPr>
      <w:r w:rsidRPr="000856CE">
        <w:t>(64)</w:t>
      </w:r>
      <w:r w:rsidRPr="000856CE">
        <w:tab/>
      </w:r>
      <w:r w:rsidR="0023412A" w:rsidRPr="44137436">
        <w:rPr>
          <w:noProof/>
          <w:lang w:val="en-IE"/>
        </w:rPr>
        <w:t xml:space="preserve">Where it is strictly necessary to include personal data in the data made available to a public sector body or to a Union institution, agency </w:t>
      </w:r>
      <w:r w:rsidR="0023412A">
        <w:rPr>
          <w:noProof/>
          <w:lang w:val="en-IE"/>
        </w:rPr>
        <w:t>or</w:t>
      </w:r>
      <w:r w:rsidR="0023412A" w:rsidRPr="44137436">
        <w:rPr>
          <w:noProof/>
          <w:lang w:val="en-IE"/>
        </w:rPr>
        <w:t xml:space="preserve"> body the applicable rules on personal data protection should be complied with and the making available of the data and their subsequent use should and be accompanied by safeguards for the rights and interests of individuals concerned by those data. The body requesting the data should demonstrate the strict necessity and the specific and limited purposes for processing. The data holder should take reasonable efforts to anonymise the data or, where such anonymisation proves impossible, the data holder should apply technological means such as pseudonymisation and aggregation, prior to making the data available. </w:t>
      </w:r>
    </w:p>
    <w:p w14:paraId="4A6F5B30" w14:textId="41B08A1A" w:rsidR="0023412A" w:rsidRDefault="000856CE" w:rsidP="000856CE">
      <w:pPr>
        <w:pStyle w:val="ManualConsidrant"/>
        <w:rPr>
          <w:rFonts w:asciiTheme="minorHAnsi" w:eastAsiaTheme="minorEastAsia" w:hAnsiTheme="minorHAnsi" w:cstheme="minorBidi"/>
          <w:noProof/>
          <w:lang w:val="en-IE"/>
        </w:rPr>
      </w:pPr>
      <w:r w:rsidRPr="000856CE">
        <w:t>(65)</w:t>
      </w:r>
      <w:r w:rsidRPr="000856CE">
        <w:tab/>
      </w:r>
      <w:r w:rsidR="0023412A" w:rsidRPr="44137436">
        <w:rPr>
          <w:noProof/>
          <w:lang w:val="en-IE"/>
        </w:rPr>
        <w:t xml:space="preserve">Data made available to public sector bodies and to Union institutions, agencies and bodies on the basis of exceptional need should only be used for the purpose for which they were requested, unless the data holder that made the data available has expressly agreed for the data to be used for other purposes. The data should be destroyed once it is no longer necessary for the purpose stated in the request, unless agreed otherwise, and the data holder should be informed thereof. </w:t>
      </w:r>
    </w:p>
    <w:p w14:paraId="2D0A15C8" w14:textId="33C257D6" w:rsidR="0023412A" w:rsidRDefault="000856CE" w:rsidP="000856CE">
      <w:pPr>
        <w:pStyle w:val="ManualConsidrant"/>
        <w:rPr>
          <w:rFonts w:asciiTheme="minorHAnsi" w:eastAsiaTheme="minorEastAsia" w:hAnsiTheme="minorHAnsi" w:cstheme="minorBidi"/>
          <w:noProof/>
          <w:lang w:val="en-IE"/>
        </w:rPr>
      </w:pPr>
      <w:r w:rsidRPr="000856CE">
        <w:t>(66)</w:t>
      </w:r>
      <w:r w:rsidRPr="000856CE">
        <w:tab/>
      </w:r>
      <w:r w:rsidR="0023412A" w:rsidRPr="44137436">
        <w:rPr>
          <w:noProof/>
          <w:lang w:val="en-IE"/>
        </w:rPr>
        <w:t xml:space="preserve">When reusing data provided by data holders, public sector bodies and Union institutions, agencies or bodies should respect both existing applicable legislation and contractual obligations to which the data holder is subject. Where the disclosure of trade secrets of the data holder to public sector bodies or to Union institutions, agencies or bodies is strictly necessary to fulfil the purpose for which the data has been requested, confidentiality of such disclosure should be ensured to the data holder. </w:t>
      </w:r>
    </w:p>
    <w:p w14:paraId="76F26F39" w14:textId="2B2489AC" w:rsidR="0023412A" w:rsidRDefault="000856CE" w:rsidP="000856CE">
      <w:pPr>
        <w:pStyle w:val="ManualConsidrant"/>
        <w:rPr>
          <w:rFonts w:asciiTheme="minorHAnsi" w:eastAsiaTheme="minorEastAsia" w:hAnsiTheme="minorHAnsi" w:cstheme="minorBidi"/>
          <w:noProof/>
          <w:lang w:val="en-IE"/>
        </w:rPr>
      </w:pPr>
      <w:r w:rsidRPr="000856CE">
        <w:t>(67)</w:t>
      </w:r>
      <w:r w:rsidRPr="000856CE">
        <w:tab/>
      </w:r>
      <w:r w:rsidR="0023412A" w:rsidRPr="44137436">
        <w:rPr>
          <w:noProof/>
          <w:lang w:val="en-IE"/>
        </w:rPr>
        <w:t xml:space="preserve">When the safeguarding of a significant public good is at stake, such as is the case of responding to public emergencies, the public sector body or the Union institution, agency or body should not be expected to compensate enterprises for the data obtained. Public emergencies are rare events and not all such emergencies require the use of data held by enterprises. The business activities of the data holders are therefore not likely to be negatively affected as a consequence of the public sector bodies or Union institutions, agencies or bodies having recourse to this Regulation. However, as cases of an exceptional need other than </w:t>
      </w:r>
      <w:r w:rsidR="00397CDE">
        <w:rPr>
          <w:noProof/>
          <w:lang w:val="en-IE"/>
        </w:rPr>
        <w:t xml:space="preserve">responding to </w:t>
      </w:r>
      <w:r w:rsidR="0023412A" w:rsidRPr="44137436">
        <w:rPr>
          <w:noProof/>
          <w:lang w:val="en-IE"/>
        </w:rPr>
        <w:t xml:space="preserve">a public emergency might be more frequent, </w:t>
      </w:r>
      <w:r w:rsidR="00397CDE">
        <w:rPr>
          <w:noProof/>
          <w:lang w:val="en-IE"/>
        </w:rPr>
        <w:t xml:space="preserve">including cases of prevention of or recovery from a public emergency, </w:t>
      </w:r>
      <w:r w:rsidR="0023412A" w:rsidRPr="44137436">
        <w:rPr>
          <w:noProof/>
          <w:lang w:val="en-IE"/>
        </w:rPr>
        <w:t xml:space="preserve">data holders should </w:t>
      </w:r>
      <w:r w:rsidR="00397CDE">
        <w:rPr>
          <w:noProof/>
          <w:lang w:val="en-IE"/>
        </w:rPr>
        <w:t xml:space="preserve">in such cases </w:t>
      </w:r>
      <w:r w:rsidR="0023412A" w:rsidRPr="44137436">
        <w:rPr>
          <w:noProof/>
          <w:lang w:val="en-IE"/>
        </w:rPr>
        <w:t xml:space="preserve">be entitled to a reasonable compensation which should not exceed the technical and organisational costs incurred in complying with the request and the reasonable margin required for making the data available to the public sector body or to the Union institution, agency or body. The compensation should not be understood as constituting </w:t>
      </w:r>
      <w:r w:rsidR="0023412A">
        <w:rPr>
          <w:noProof/>
          <w:lang w:val="en-IE"/>
        </w:rPr>
        <w:t>payment for the data itself and</w:t>
      </w:r>
      <w:r w:rsidR="0023412A" w:rsidRPr="44137436">
        <w:rPr>
          <w:noProof/>
          <w:lang w:val="en-IE"/>
        </w:rPr>
        <w:t xml:space="preserve"> as being compulsory. </w:t>
      </w:r>
    </w:p>
    <w:p w14:paraId="4DA1C82E" w14:textId="6BB573B3" w:rsidR="0023412A" w:rsidRDefault="000856CE" w:rsidP="000856CE">
      <w:pPr>
        <w:pStyle w:val="ManualConsidrant"/>
        <w:rPr>
          <w:rFonts w:asciiTheme="minorHAnsi" w:hAnsiTheme="minorHAnsi" w:cstheme="minorBidi"/>
          <w:noProof/>
          <w:lang w:val="en-IE"/>
        </w:rPr>
      </w:pPr>
      <w:r w:rsidRPr="000856CE">
        <w:t>(68)</w:t>
      </w:r>
      <w:r w:rsidRPr="000856CE">
        <w:tab/>
      </w:r>
      <w:r w:rsidR="0023412A" w:rsidRPr="44137436">
        <w:rPr>
          <w:noProof/>
          <w:lang w:val="en-IE"/>
        </w:rPr>
        <w:t>The public sector body or Union institution, agency or body may share the data it has obtained pursuant to the request with other entities or persons when this is needed to carry out scientific research activities</w:t>
      </w:r>
      <w:r w:rsidR="0023412A">
        <w:rPr>
          <w:noProof/>
          <w:lang w:val="en-IE"/>
        </w:rPr>
        <w:t xml:space="preserve"> </w:t>
      </w:r>
      <w:r w:rsidR="00E15997">
        <w:rPr>
          <w:noProof/>
          <w:lang w:val="en-IE"/>
        </w:rPr>
        <w:t xml:space="preserve">or analytical activities </w:t>
      </w:r>
      <w:r w:rsidR="0023412A" w:rsidRPr="44137436">
        <w:rPr>
          <w:noProof/>
          <w:lang w:val="en-IE"/>
        </w:rPr>
        <w:t>it cannot perform itself. Such data may also be shared under the same circumstances with the national statistical institutes and Eurostat for the compilation of official statistics. Such research activities should however be compatible with the purpose for which the data was requested and the data holder should be informed about the further sharing of the data it had provided. Individuals conducting research or research organi</w:t>
      </w:r>
      <w:r w:rsidR="00083FCB">
        <w:rPr>
          <w:noProof/>
          <w:lang w:val="en-IE"/>
        </w:rPr>
        <w:t>s</w:t>
      </w:r>
      <w:r w:rsidR="0023412A" w:rsidRPr="44137436">
        <w:rPr>
          <w:noProof/>
          <w:lang w:val="en-IE"/>
        </w:rPr>
        <w:t>ations with whom these data may be shared should act either on a not-for-profit basis or in the context of a public-interest mission recognised by the State. Organisations upon which commercial undertakings have a decisive influence allowing such undertakings to exercise control because of structural situations, which could result in preferential access to the results of the research, should not be considered research organisations for the purposes of this Regulation.</w:t>
      </w:r>
    </w:p>
    <w:p w14:paraId="52896AE5" w14:textId="3E12A0F4" w:rsidR="0023412A" w:rsidRDefault="000856CE" w:rsidP="000856CE">
      <w:pPr>
        <w:pStyle w:val="ManualConsidrant"/>
        <w:rPr>
          <w:rFonts w:asciiTheme="minorHAnsi" w:eastAsiaTheme="minorEastAsia" w:hAnsiTheme="minorHAnsi" w:cstheme="minorBidi"/>
          <w:noProof/>
          <w:lang w:val="en-IE"/>
        </w:rPr>
      </w:pPr>
      <w:r w:rsidRPr="000856CE">
        <w:t>(69)</w:t>
      </w:r>
      <w:r w:rsidRPr="000856CE">
        <w:tab/>
      </w:r>
      <w:r w:rsidR="0023412A" w:rsidRPr="44137436">
        <w:rPr>
          <w:noProof/>
          <w:lang w:val="en-IE"/>
        </w:rPr>
        <w:t>The ability for customers of data processing services, inc</w:t>
      </w:r>
      <w:r w:rsidR="0023412A">
        <w:rPr>
          <w:noProof/>
          <w:lang w:val="en-IE"/>
        </w:rPr>
        <w:t>luding cloud and edge services,</w:t>
      </w:r>
      <w:r w:rsidR="0023412A" w:rsidRPr="44137436">
        <w:rPr>
          <w:noProof/>
          <w:lang w:val="en-IE"/>
        </w:rPr>
        <w:t xml:space="preserve"> to switch from one data processing service to another, while maintaining a minimum functionality of service, is a key condition for a more competitive market with lower entry barriers for new service providers.</w:t>
      </w:r>
    </w:p>
    <w:p w14:paraId="7CD6B964" w14:textId="7CCC20C8" w:rsidR="0023412A" w:rsidRDefault="000856CE" w:rsidP="000856CE">
      <w:pPr>
        <w:pStyle w:val="ManualConsidrant"/>
        <w:rPr>
          <w:rFonts w:asciiTheme="minorHAnsi" w:eastAsiaTheme="minorEastAsia" w:hAnsiTheme="minorHAnsi" w:cstheme="minorBidi"/>
          <w:noProof/>
          <w:lang w:val="en-IE"/>
        </w:rPr>
      </w:pPr>
      <w:r w:rsidRPr="000856CE">
        <w:t>(70)</w:t>
      </w:r>
      <w:r w:rsidRPr="000856CE">
        <w:tab/>
      </w:r>
      <w:r w:rsidR="0023412A" w:rsidRPr="44137436">
        <w:rPr>
          <w:noProof/>
          <w:lang w:val="en-IE"/>
        </w:rPr>
        <w:t>Regulation (EU) 2018/1807 of the European Parliament and of the Council encourages service providers to effectively develop and implement</w:t>
      </w:r>
      <w:r w:rsidR="0023412A">
        <w:rPr>
          <w:noProof/>
          <w:lang w:val="en-IE"/>
        </w:rPr>
        <w:t xml:space="preserve"> </w:t>
      </w:r>
      <w:r w:rsidR="0023412A" w:rsidRPr="44137436">
        <w:rPr>
          <w:noProof/>
          <w:lang w:val="en-IE"/>
        </w:rPr>
        <w:t xml:space="preserve">self-regulatory codes of conduct covering best practices for, </w:t>
      </w:r>
      <w:r w:rsidR="0023412A" w:rsidRPr="44137436">
        <w:rPr>
          <w:i/>
          <w:iCs/>
          <w:noProof/>
          <w:lang w:val="en-IE"/>
        </w:rPr>
        <w:t>inter alia</w:t>
      </w:r>
      <w:r w:rsidR="0023412A" w:rsidRPr="44137436">
        <w:rPr>
          <w:noProof/>
          <w:lang w:val="en-IE"/>
        </w:rPr>
        <w:t>, facilitating the switching of data processing service providers and the porting of data. Given the limited efficacy of the self-regulatory frameworks developed in response, and the general unavailability of open standards and interfaces, it is necessary to adopt a set of minimum regulatory obligations on providers of data processing services to eliminate contractual, economic and technical barriers to effective switching between data processing services.</w:t>
      </w:r>
    </w:p>
    <w:p w14:paraId="5493283D" w14:textId="4B8D0A2C" w:rsidR="0023412A" w:rsidRPr="00364B67" w:rsidRDefault="000856CE" w:rsidP="000856CE">
      <w:pPr>
        <w:pStyle w:val="ManualConsidrant"/>
        <w:rPr>
          <w:rFonts w:asciiTheme="minorHAnsi" w:hAnsiTheme="minorHAnsi" w:cstheme="minorBidi"/>
          <w:noProof/>
          <w:lang w:val="en-IE"/>
        </w:rPr>
      </w:pPr>
      <w:r w:rsidRPr="000856CE">
        <w:t>(71)</w:t>
      </w:r>
      <w:r w:rsidRPr="000856CE">
        <w:tab/>
      </w:r>
      <w:r w:rsidR="0023412A" w:rsidRPr="00364B67">
        <w:rPr>
          <w:rFonts w:eastAsia="Times New Roman"/>
          <w:noProof/>
          <w:lang w:val="en-IE"/>
        </w:rPr>
        <w:t xml:space="preserve">Data processing services should cover services that allow on-demand </w:t>
      </w:r>
      <w:r w:rsidR="0023412A" w:rsidRPr="00364B67">
        <w:rPr>
          <w:noProof/>
          <w:lang w:val="en-IE"/>
        </w:rPr>
        <w:t xml:space="preserve">and broad remote access to a scalable and elastic pool of shareable and distributed computing resources. Those computing resources include resources such as networks, servers or other virtual or physical infrastructure, operating systems, software, including software development tools, storage, applications and services. The capability of the customer of the data processing service to unilaterally self-provision computing capabilities, such as server time or network storage, without any human interaction by the service provider could be described as on-demand administration. The term ‘broad remote access’ is used to describe that the computing capabilities are provided over the network and accessed through mechanisms promoting the use of heterogeneous thin or thick client platforms (from web browsers to mobile devices and workstations). The term ‘scalable’ refers to computing resources that are flexibly allocated by the data processing service provider, irrespective of the geographical location of the resources, in order to handle fluctuations in demand. The term ‘elastic pool’ is used to describe those computing resources that are provisioned and released according to demand in order to rapidly increase or decrease resources available depending on workload. The term ‘shareable’ is used to describe those computing resources that are provided to multiple users who share a common access to the service, but where the processing is carried out separately for each user, although the service is provided from the same electronic equipment. The term ‘distributed’ is used to describe those computing resources that are located on different networked computers or devices and which communicate and coordinate among themselves by message passing. </w:t>
      </w:r>
      <w:r w:rsidR="0023412A" w:rsidRPr="67A76221">
        <w:rPr>
          <w:noProof/>
          <w:lang w:val="en-IE"/>
        </w:rPr>
        <w:t>The term ‘highly distributed’ is used to describe data processing services that involve data processing closer to where data are being generated or collected, for instance in a connected data processing device. Edge computing, which is a form of such highly distributed data processing, is expected to generate new business models and cloud service delivery models, which should be open and interoperable from the outset.</w:t>
      </w:r>
    </w:p>
    <w:p w14:paraId="2C7B9031" w14:textId="5A500999" w:rsidR="0023412A" w:rsidRPr="00A95DB2" w:rsidRDefault="000856CE" w:rsidP="000856CE">
      <w:pPr>
        <w:pStyle w:val="ManualConsidrant"/>
        <w:rPr>
          <w:rFonts w:asciiTheme="minorHAnsi" w:eastAsiaTheme="minorEastAsia" w:hAnsiTheme="minorHAnsi" w:cstheme="minorBidi"/>
          <w:noProof/>
          <w:lang w:val="en-IE"/>
        </w:rPr>
      </w:pPr>
      <w:r w:rsidRPr="000856CE">
        <w:t>(72)</w:t>
      </w:r>
      <w:r w:rsidRPr="000856CE">
        <w:tab/>
      </w:r>
      <w:r w:rsidR="0023412A" w:rsidRPr="67A76221">
        <w:rPr>
          <w:noProof/>
          <w:lang w:val="en-IE"/>
        </w:rPr>
        <w:t>This</w:t>
      </w:r>
      <w:r w:rsidR="0023412A" w:rsidRPr="44137436">
        <w:rPr>
          <w:noProof/>
          <w:lang w:val="en-IE"/>
        </w:rPr>
        <w:t xml:space="preserve"> Regulation aims to facilitate switching between d</w:t>
      </w:r>
      <w:r w:rsidR="0023412A">
        <w:rPr>
          <w:noProof/>
          <w:lang w:val="en-IE"/>
        </w:rPr>
        <w:t xml:space="preserve">ata processing services, which </w:t>
      </w:r>
      <w:r w:rsidR="0023412A" w:rsidRPr="44137436">
        <w:rPr>
          <w:noProof/>
          <w:lang w:val="en-IE"/>
        </w:rPr>
        <w:t xml:space="preserve">encompasses all conditions and actions that are necessary for a customer to terminate a contractual </w:t>
      </w:r>
      <w:r w:rsidR="0023412A" w:rsidRPr="1C631B66">
        <w:rPr>
          <w:noProof/>
          <w:lang w:val="en-IE"/>
        </w:rPr>
        <w:t>agreement</w:t>
      </w:r>
      <w:r w:rsidR="0023412A">
        <w:rPr>
          <w:noProof/>
          <w:lang w:val="en-IE"/>
        </w:rPr>
        <w:t xml:space="preserve"> </w:t>
      </w:r>
      <w:r w:rsidR="0023412A" w:rsidRPr="1C631B66">
        <w:rPr>
          <w:noProof/>
          <w:lang w:val="en-IE"/>
        </w:rPr>
        <w:t>of</w:t>
      </w:r>
      <w:r w:rsidR="0023412A" w:rsidRPr="44137436">
        <w:rPr>
          <w:noProof/>
          <w:lang w:val="en-IE"/>
        </w:rPr>
        <w:t xml:space="preserve"> a data processing service, to conclude one or multiple new contracts with </w:t>
      </w:r>
      <w:r w:rsidR="0023412A" w:rsidRPr="1C631B66">
        <w:rPr>
          <w:noProof/>
          <w:lang w:val="en-IE"/>
        </w:rPr>
        <w:t>different</w:t>
      </w:r>
      <w:r w:rsidR="0023412A" w:rsidRPr="44137436">
        <w:rPr>
          <w:noProof/>
          <w:lang w:val="en-IE"/>
        </w:rPr>
        <w:t xml:space="preserve"> providers of data processing services, to port all its digital assets, including data, to the concerned other providers and to continue to use them in the new environment while benefitting from functional equivalence. </w:t>
      </w:r>
      <w:r w:rsidR="00083FCB">
        <w:rPr>
          <w:noProof/>
          <w:lang w:val="en-IE"/>
        </w:rPr>
        <w:t>Digital assets refer to elements in digital format for</w:t>
      </w:r>
      <w:r w:rsidR="00083FCB" w:rsidRPr="771A6D6E">
        <w:rPr>
          <w:noProof/>
          <w:lang w:val="en-IE"/>
        </w:rPr>
        <w:t xml:space="preserve"> which the customer has the right of use, including data, applications, virtual machines and other manifestations of virtuali</w:t>
      </w:r>
      <w:r w:rsidR="00083FCB">
        <w:rPr>
          <w:noProof/>
          <w:lang w:val="en-IE"/>
        </w:rPr>
        <w:t>s</w:t>
      </w:r>
      <w:r w:rsidR="00083FCB" w:rsidRPr="771A6D6E">
        <w:rPr>
          <w:noProof/>
          <w:lang w:val="en-IE"/>
        </w:rPr>
        <w:t>ation technologies</w:t>
      </w:r>
      <w:r w:rsidR="00083FCB" w:rsidRPr="50C85625">
        <w:rPr>
          <w:noProof/>
          <w:lang w:val="en-IE"/>
        </w:rPr>
        <w:t>, such as containers</w:t>
      </w:r>
      <w:r w:rsidR="00083FCB">
        <w:rPr>
          <w:noProof/>
          <w:lang w:val="en-IE"/>
        </w:rPr>
        <w:t>.</w:t>
      </w:r>
      <w:r w:rsidR="00083FCB" w:rsidRPr="44137436">
        <w:rPr>
          <w:noProof/>
          <w:lang w:val="en-IE"/>
        </w:rPr>
        <w:t xml:space="preserve"> </w:t>
      </w:r>
      <w:r w:rsidR="0023412A" w:rsidRPr="44137436">
        <w:rPr>
          <w:noProof/>
          <w:lang w:val="en-IE"/>
        </w:rPr>
        <w:t xml:space="preserve">Functional equivalence means the maintenance of a minimum level of functionality of a service after switching, and should be </w:t>
      </w:r>
      <w:r w:rsidR="0023412A" w:rsidRPr="44137436">
        <w:rPr>
          <w:rFonts w:eastAsia="Times New Roman"/>
          <w:noProof/>
          <w:lang w:val="en-IE"/>
        </w:rPr>
        <w:t>deemed technically feasible whenever both the originating and the destination data processing services cover (in part or in whole) the same service type.</w:t>
      </w:r>
      <w:r w:rsidR="0023412A" w:rsidRPr="44137436">
        <w:rPr>
          <w:noProof/>
          <w:lang w:val="en-IE"/>
        </w:rPr>
        <w:t xml:space="preserve"> Meta-data, generated by the customer’s use of a service, should also be portable pursuant to this Regulation’s provisions on switching. </w:t>
      </w:r>
    </w:p>
    <w:p w14:paraId="1B576E16" w14:textId="44FA8869" w:rsidR="0023412A" w:rsidRDefault="000856CE" w:rsidP="000856CE">
      <w:pPr>
        <w:pStyle w:val="ManualConsidrant"/>
        <w:rPr>
          <w:rFonts w:asciiTheme="minorHAnsi" w:eastAsiaTheme="minorEastAsia" w:hAnsiTheme="minorHAnsi" w:cstheme="minorBidi"/>
          <w:noProof/>
          <w:lang w:val="en-IE"/>
        </w:rPr>
      </w:pPr>
      <w:r w:rsidRPr="000856CE">
        <w:t>(73)</w:t>
      </w:r>
      <w:r w:rsidRPr="000856CE">
        <w:tab/>
      </w:r>
      <w:r w:rsidR="0023412A" w:rsidRPr="44137436">
        <w:rPr>
          <w:noProof/>
          <w:lang w:val="en-IE"/>
        </w:rPr>
        <w:t>Where providers of data processing services are in turn customers of data processing services provided by a third party provider, they will benefit from more effective switching themselves, while simultaneously invariably bound by this Regulation’s obligations for what pertains to their own service offerings.</w:t>
      </w:r>
    </w:p>
    <w:p w14:paraId="04270402" w14:textId="57BE922C" w:rsidR="0023412A" w:rsidRPr="00A95DB2" w:rsidRDefault="000856CE" w:rsidP="000856CE">
      <w:pPr>
        <w:pStyle w:val="ManualConsidrant"/>
        <w:rPr>
          <w:rFonts w:asciiTheme="minorHAnsi" w:eastAsiaTheme="minorEastAsia" w:hAnsiTheme="minorHAnsi" w:cstheme="minorBidi"/>
          <w:noProof/>
          <w:lang w:val="en-IE"/>
        </w:rPr>
      </w:pPr>
      <w:r w:rsidRPr="000856CE">
        <w:t>(74)</w:t>
      </w:r>
      <w:r w:rsidRPr="000856CE">
        <w:tab/>
      </w:r>
      <w:r w:rsidR="0023412A" w:rsidRPr="00A95DB2">
        <w:rPr>
          <w:noProof/>
          <w:lang w:val="en-IE"/>
        </w:rPr>
        <w:t>Data processing service providers should be required to offer all assistance and support that is required to make the switching process successful and effective without requiring those data processing service providers to develop new categories of services within or on the basis of the IT-infrastructure of different data processing service providers to guarantee functional equivalence in an environment other than their own systems. Nevertheless, service providers are required to offer all assistance and support that is required to make the switching process effective.</w:t>
      </w:r>
      <w:r w:rsidR="0023412A" w:rsidRPr="00A95DB2">
        <w:rPr>
          <w:rFonts w:eastAsia="Times New Roman"/>
          <w:noProof/>
          <w:szCs w:val="24"/>
          <w:lang w:val="en-IE"/>
        </w:rPr>
        <w:t xml:space="preserve"> Existing rights relating to the termination of contracts, including those introduced by Regulation (EU) 2016/679 and Directive (EU) 2019/770 of the European Parliament and of the Council</w:t>
      </w:r>
      <w:r w:rsidR="0023412A">
        <w:rPr>
          <w:rStyle w:val="FootnoteReference"/>
          <w:rFonts w:eastAsia="Times New Roman"/>
          <w:noProof/>
          <w:szCs w:val="24"/>
          <w:lang w:val="en-IE"/>
        </w:rPr>
        <w:footnoteReference w:id="67"/>
      </w:r>
      <w:r w:rsidR="0023412A" w:rsidRPr="00A95DB2">
        <w:rPr>
          <w:rFonts w:eastAsia="Times New Roman"/>
          <w:noProof/>
          <w:szCs w:val="24"/>
          <w:vertAlign w:val="superscript"/>
          <w:lang w:val="en-IE"/>
        </w:rPr>
        <w:t xml:space="preserve"> </w:t>
      </w:r>
      <w:r w:rsidR="0023412A" w:rsidRPr="00A95DB2">
        <w:rPr>
          <w:rFonts w:eastAsia="Times New Roman"/>
          <w:noProof/>
          <w:szCs w:val="24"/>
          <w:lang w:val="en-IE"/>
        </w:rPr>
        <w:t>should not be affected.</w:t>
      </w:r>
    </w:p>
    <w:p w14:paraId="67D1752D" w14:textId="7D238BFE" w:rsidR="0023412A" w:rsidRDefault="000856CE" w:rsidP="000856CE">
      <w:pPr>
        <w:pStyle w:val="ManualConsidrant"/>
        <w:rPr>
          <w:rFonts w:asciiTheme="minorHAnsi" w:eastAsiaTheme="minorEastAsia" w:hAnsiTheme="minorHAnsi" w:cstheme="minorBidi"/>
          <w:noProof/>
          <w:lang w:val="en-IE"/>
        </w:rPr>
      </w:pPr>
      <w:r w:rsidRPr="000856CE">
        <w:t>(75)</w:t>
      </w:r>
      <w:r w:rsidRPr="000856CE">
        <w:tab/>
      </w:r>
      <w:r w:rsidR="0023412A" w:rsidRPr="67A76221">
        <w:rPr>
          <w:noProof/>
        </w:rPr>
        <w:t>To facilitate switching between data</w:t>
      </w:r>
      <w:r w:rsidR="0023412A" w:rsidRPr="44137436">
        <w:rPr>
          <w:noProof/>
        </w:rPr>
        <w:t xml:space="preserve"> processing </w:t>
      </w:r>
      <w:r w:rsidR="0023412A" w:rsidRPr="67A76221">
        <w:rPr>
          <w:noProof/>
        </w:rPr>
        <w:t>services, providers of data processing services</w:t>
      </w:r>
      <w:r w:rsidR="0023412A" w:rsidRPr="44137436">
        <w:rPr>
          <w:noProof/>
        </w:rPr>
        <w:t xml:space="preserve"> should consider the use of implementation and/or compliance tools, notably those published by the Commission in the </w:t>
      </w:r>
      <w:r w:rsidR="0023412A" w:rsidRPr="3BCABE00">
        <w:rPr>
          <w:noProof/>
        </w:rPr>
        <w:t xml:space="preserve">form of a </w:t>
      </w:r>
      <w:r w:rsidR="0023412A" w:rsidRPr="44137436">
        <w:rPr>
          <w:noProof/>
        </w:rPr>
        <w:t>Rulebook</w:t>
      </w:r>
      <w:r w:rsidR="0023412A" w:rsidRPr="3BCABE00">
        <w:rPr>
          <w:noProof/>
        </w:rPr>
        <w:t xml:space="preserve"> </w:t>
      </w:r>
      <w:r w:rsidR="0023412A" w:rsidRPr="312F814F">
        <w:rPr>
          <w:noProof/>
        </w:rPr>
        <w:t>relating to cloud services</w:t>
      </w:r>
      <w:r w:rsidR="0023412A" w:rsidRPr="023A64A9">
        <w:rPr>
          <w:noProof/>
        </w:rPr>
        <w:t>.</w:t>
      </w:r>
      <w:r w:rsidR="0023412A" w:rsidRPr="44137436">
        <w:rPr>
          <w:noProof/>
        </w:rPr>
        <w:t xml:space="preserve"> In particular, standard contractual clauses are beneficial to increase confidence in data processing services, to create a more balanced relationship between users and service providers and to improve legal certainty on the conditions that apply for switching to other data processing services. In this light, users and service providers should consider the use of standard contractual clauses developed by relevant bodies or expert groups established under Union law. </w:t>
      </w:r>
    </w:p>
    <w:p w14:paraId="69891EE1" w14:textId="6F6E7FA3" w:rsidR="0023412A" w:rsidRDefault="000856CE" w:rsidP="000856CE">
      <w:pPr>
        <w:pStyle w:val="ManualConsidrant"/>
        <w:rPr>
          <w:rFonts w:asciiTheme="minorHAnsi" w:eastAsiaTheme="minorEastAsia" w:hAnsiTheme="minorHAnsi" w:cstheme="minorBidi"/>
          <w:noProof/>
          <w:lang w:val="en-IE"/>
        </w:rPr>
      </w:pPr>
      <w:r w:rsidRPr="000856CE">
        <w:t>(76)</w:t>
      </w:r>
      <w:r w:rsidRPr="000856CE">
        <w:tab/>
      </w:r>
      <w:r w:rsidR="0023412A" w:rsidRPr="44137436">
        <w:rPr>
          <w:noProof/>
          <w:lang w:val="en-IE"/>
        </w:rPr>
        <w:t>Open interoperability specifications and standards developed in accordance with paragraph 3 and 4 of Annex II of Regulation (EU)</w:t>
      </w:r>
      <w:r w:rsidR="0023412A">
        <w:rPr>
          <w:noProof/>
          <w:lang w:val="en-IE"/>
        </w:rPr>
        <w:t xml:space="preserve"> </w:t>
      </w:r>
      <w:r w:rsidR="0023412A" w:rsidRPr="44137436">
        <w:rPr>
          <w:noProof/>
          <w:lang w:val="en-IE"/>
        </w:rPr>
        <w:t xml:space="preserve">1025/2021 in the field of interoperability and portability enable a seamless multi-vendor cloud environment, which is a key requirement for open innovation in the European data economy. As market-driven processes have not demonstrated the capacity to establish technical specifications or standards that facilitate effective cloud interoperability at the PaaS </w:t>
      </w:r>
      <w:r w:rsidR="00083FCB">
        <w:rPr>
          <w:noProof/>
          <w:lang w:val="en-IE"/>
        </w:rPr>
        <w:t xml:space="preserve">(platform-as-a-service) </w:t>
      </w:r>
      <w:r w:rsidR="0023412A" w:rsidRPr="44137436">
        <w:rPr>
          <w:noProof/>
          <w:lang w:val="en-IE"/>
        </w:rPr>
        <w:t xml:space="preserve">and SaaS </w:t>
      </w:r>
      <w:r w:rsidR="00083FCB">
        <w:rPr>
          <w:noProof/>
          <w:lang w:val="en-IE"/>
        </w:rPr>
        <w:t xml:space="preserve">(software-as-a-service) </w:t>
      </w:r>
      <w:r w:rsidR="0023412A" w:rsidRPr="44137436">
        <w:rPr>
          <w:noProof/>
          <w:lang w:val="en-IE"/>
        </w:rPr>
        <w:t xml:space="preserve">levels, the Commission </w:t>
      </w:r>
      <w:r w:rsidR="00083FCB">
        <w:rPr>
          <w:noProof/>
          <w:lang w:val="en-IE"/>
        </w:rPr>
        <w:t xml:space="preserve">should be able, on </w:t>
      </w:r>
      <w:r w:rsidR="0023412A" w:rsidRPr="44137436">
        <w:rPr>
          <w:noProof/>
          <w:lang w:val="en-IE"/>
        </w:rPr>
        <w:t xml:space="preserve">the </w:t>
      </w:r>
      <w:r w:rsidR="00083FCB">
        <w:rPr>
          <w:noProof/>
          <w:lang w:val="en-IE"/>
        </w:rPr>
        <w:t>basis</w:t>
      </w:r>
      <w:r w:rsidR="00083FCB" w:rsidRPr="44137436">
        <w:rPr>
          <w:noProof/>
          <w:lang w:val="en-IE"/>
        </w:rPr>
        <w:t xml:space="preserve"> </w:t>
      </w:r>
      <w:r w:rsidR="0023412A" w:rsidRPr="44137436">
        <w:rPr>
          <w:noProof/>
          <w:lang w:val="en-IE"/>
        </w:rPr>
        <w:t xml:space="preserve">of </w:t>
      </w:r>
      <w:r w:rsidR="00083FCB">
        <w:rPr>
          <w:noProof/>
          <w:lang w:val="en-IE"/>
        </w:rPr>
        <w:t>this Regulation and</w:t>
      </w:r>
      <w:r w:rsidR="00083FCB" w:rsidRPr="44137436">
        <w:rPr>
          <w:noProof/>
          <w:lang w:val="en-IE"/>
        </w:rPr>
        <w:t xml:space="preserve"> </w:t>
      </w:r>
      <w:r w:rsidR="0023412A" w:rsidRPr="44137436">
        <w:rPr>
          <w:noProof/>
          <w:lang w:val="en-IE"/>
        </w:rPr>
        <w:t xml:space="preserve">in accordance with Regulation (EU) No 1025/2012, </w:t>
      </w:r>
      <w:r w:rsidR="00083FCB">
        <w:rPr>
          <w:noProof/>
          <w:lang w:val="en-IE"/>
        </w:rPr>
        <w:t>to request European standardisation bodies to develop such standards, particularly for service types where such standards do not yet exist. I</w:t>
      </w:r>
      <w:r w:rsidR="0023412A" w:rsidRPr="44137436">
        <w:rPr>
          <w:noProof/>
          <w:lang w:val="en-IE"/>
        </w:rPr>
        <w:t xml:space="preserve">n addition to </w:t>
      </w:r>
      <w:r w:rsidR="00083FCB">
        <w:rPr>
          <w:noProof/>
          <w:lang w:val="en-IE"/>
        </w:rPr>
        <w:t>this, the Commission will encourage</w:t>
      </w:r>
      <w:r w:rsidR="00083FCB" w:rsidRPr="44137436">
        <w:rPr>
          <w:noProof/>
          <w:lang w:val="en-IE"/>
        </w:rPr>
        <w:t xml:space="preserve"> </w:t>
      </w:r>
      <w:r w:rsidR="0023412A" w:rsidRPr="44137436">
        <w:rPr>
          <w:noProof/>
          <w:lang w:val="en-IE"/>
        </w:rPr>
        <w:t xml:space="preserve">parties in the market to develop relevant open interoperability specifications. </w:t>
      </w:r>
      <w:r w:rsidR="00083FCB">
        <w:rPr>
          <w:noProof/>
          <w:lang w:val="en-IE"/>
        </w:rPr>
        <w:t>The Commission, by way of delegated acts, can mandate the use of European</w:t>
      </w:r>
      <w:r w:rsidR="00083FCB" w:rsidRPr="44137436">
        <w:rPr>
          <w:noProof/>
          <w:lang w:val="en-IE"/>
        </w:rPr>
        <w:t xml:space="preserve"> </w:t>
      </w:r>
      <w:r w:rsidR="0023412A" w:rsidRPr="44137436">
        <w:rPr>
          <w:noProof/>
          <w:lang w:val="en-IE"/>
        </w:rPr>
        <w:t xml:space="preserve">standards for interoperability or open interoperability specifications </w:t>
      </w:r>
      <w:r w:rsidR="00083FCB">
        <w:rPr>
          <w:noProof/>
          <w:lang w:val="en-IE"/>
        </w:rPr>
        <w:t>for</w:t>
      </w:r>
      <w:r w:rsidR="00083FCB" w:rsidRPr="44137436">
        <w:rPr>
          <w:noProof/>
          <w:lang w:val="en-IE"/>
        </w:rPr>
        <w:t xml:space="preserve"> </w:t>
      </w:r>
      <w:r w:rsidR="00083FCB" w:rsidRPr="2182D92D">
        <w:rPr>
          <w:noProof/>
          <w:lang w:val="en-IE"/>
        </w:rPr>
        <w:t xml:space="preserve">specific service types through a reference in a central Union standards repository for the interoperability of data processing services. European standards and open interoperability specifications will only </w:t>
      </w:r>
      <w:r w:rsidR="0023412A" w:rsidRPr="44137436">
        <w:rPr>
          <w:noProof/>
          <w:lang w:val="en-IE"/>
        </w:rPr>
        <w:t xml:space="preserve">be referenced if in compliance with the </w:t>
      </w:r>
      <w:r w:rsidR="00083FCB">
        <w:rPr>
          <w:noProof/>
          <w:lang w:val="en-IE"/>
        </w:rPr>
        <w:t>criteria</w:t>
      </w:r>
      <w:r w:rsidR="0023412A" w:rsidRPr="44E05D55">
        <w:rPr>
          <w:noProof/>
          <w:lang w:val="en-IE"/>
        </w:rPr>
        <w:t xml:space="preserve"> specified in this Regulation, which have the same meaning as </w:t>
      </w:r>
      <w:r w:rsidR="00083FCB">
        <w:rPr>
          <w:noProof/>
          <w:lang w:val="en-IE"/>
        </w:rPr>
        <w:t xml:space="preserve">the requirements in paragraphs 3 and 4 of Annex II of Regulation (EU) No 1025/2021 and </w:t>
      </w:r>
      <w:r w:rsidR="0023412A" w:rsidRPr="44E05D55">
        <w:rPr>
          <w:noProof/>
          <w:lang w:val="en-IE"/>
        </w:rPr>
        <w:t>the interoperability facets defined under the ISO/IEC 19941:2017.</w:t>
      </w:r>
    </w:p>
    <w:p w14:paraId="4C728E48" w14:textId="1BF3B4DF" w:rsidR="0023412A" w:rsidRDefault="000856CE" w:rsidP="000856CE">
      <w:pPr>
        <w:pStyle w:val="ManualConsidrant"/>
        <w:rPr>
          <w:rFonts w:asciiTheme="minorHAnsi" w:eastAsiaTheme="minorEastAsia" w:hAnsiTheme="minorHAnsi" w:cstheme="minorBidi"/>
          <w:noProof/>
          <w:lang w:val="en-IE"/>
        </w:rPr>
      </w:pPr>
      <w:r w:rsidRPr="000856CE">
        <w:t>(77)</w:t>
      </w:r>
      <w:r w:rsidRPr="000856CE">
        <w:tab/>
      </w:r>
      <w:r w:rsidR="0023412A" w:rsidRPr="44137436">
        <w:rPr>
          <w:noProof/>
        </w:rPr>
        <w:t>Third countries may adopt laws, regulations and other legal acts that aim at directly transferring or providing governmental access to non-personal data located outside their borders, including in the Union. Judgments of courts or tribunals or decisions of other judicial or administrative authorities, including law enforcement authorities in third countries requiring such transfer or access to non-personal data should be enforceable when based on an international agreement, such as a mutual legal assistance treaty, in force between the requesting third country and the Union or a Member State. In other cases, situations may arise where a request to transfer or provide access to non-personal data arising from a third country law conflicts with an obligation to protect such data under Union law or national law, in particular as regards the protection of fundamental rights of the individual, such as the right to security and the right to effective remedy, or the fundamental interests of a Member State related to national security or defence, as well as the protection of commercially sensitive data</w:t>
      </w:r>
      <w:r w:rsidR="001A3C8F">
        <w:rPr>
          <w:noProof/>
        </w:rPr>
        <w:t>, including the protection of trade secrets,</w:t>
      </w:r>
      <w:r w:rsidR="0023412A" w:rsidRPr="44137436">
        <w:rPr>
          <w:noProof/>
        </w:rPr>
        <w:t xml:space="preserve"> and the protection of intellectual property rights, and including its contractual undertakings regarding confidentiality in accordance with such law. In the absence of international agreements regulating such matters, transfer or access should only be allowed if it has been verified that the third country’s legal system requires the reasons and proportionality of the decision to be set out, that the court order or the decision is specific in character, and that the reasoned objection of the addressee is subject to a review by a competent court in the third country, which is empowered to take duly into account the relevant legal interests of the provider of such data. </w:t>
      </w:r>
      <w:r w:rsidR="00083FCB">
        <w:rPr>
          <w:noProof/>
        </w:rPr>
        <w:t>Wherever possible under the terms of the data access request of the third country’s authority, the provider of data processing services should be able to inform the customer whose data are being requested in order to verify the presence of a potential conflict of such access with Union or national rules, such as those on the protection of commercially sensitive data, including the protection of trade secrets and intellectual property rights and the contractual undertakings regarding confidentiality.</w:t>
      </w:r>
    </w:p>
    <w:p w14:paraId="61C93340" w14:textId="2ECD7AFB" w:rsidR="0023412A" w:rsidRDefault="000856CE" w:rsidP="000856CE">
      <w:pPr>
        <w:pStyle w:val="ManualConsidrant"/>
        <w:rPr>
          <w:rFonts w:asciiTheme="minorHAnsi" w:eastAsiaTheme="minorEastAsia" w:hAnsiTheme="minorHAnsi" w:cstheme="minorBidi"/>
          <w:noProof/>
          <w:lang w:val="en-IE"/>
        </w:rPr>
      </w:pPr>
      <w:r w:rsidRPr="000856CE">
        <w:t>(78)</w:t>
      </w:r>
      <w:r w:rsidRPr="000856CE">
        <w:tab/>
      </w:r>
      <w:r w:rsidR="0023412A" w:rsidRPr="44137436">
        <w:rPr>
          <w:noProof/>
        </w:rPr>
        <w:t xml:space="preserve">To foster further trust in the data, it is </w:t>
      </w:r>
      <w:r w:rsidR="0023412A">
        <w:rPr>
          <w:noProof/>
        </w:rPr>
        <w:t>important</w:t>
      </w:r>
      <w:r w:rsidR="0023412A" w:rsidRPr="44137436">
        <w:rPr>
          <w:noProof/>
        </w:rPr>
        <w:t xml:space="preserve"> that safeguards in relation to Union citizens, the public sector and businesses are implemented to the extent possible to ensure control over their data. In addition, Union law, values and standards should be upheld in terms of (but not limited to) security, data protection and privacy, and consumer protection. In order to prevent unlawful access to non-personal data, providers of data processing services subject to this instrument, such as cloud and edge services, should take all reasonable measures to prevent access to the systems where non-personal data is stored, including, where relevant, through the encryption of data, </w:t>
      </w:r>
      <w:r w:rsidR="0023412A" w:rsidRPr="44137436">
        <w:rPr>
          <w:rFonts w:eastAsia="Times New Roman"/>
          <w:noProof/>
        </w:rPr>
        <w:t>the frequent submission to audits, the verified adherence to relevant security reassurance certification schemes, and the modification of corporate policies</w:t>
      </w:r>
      <w:r w:rsidR="0023412A" w:rsidRPr="44137436">
        <w:rPr>
          <w:noProof/>
        </w:rPr>
        <w:t xml:space="preserve">. </w:t>
      </w:r>
    </w:p>
    <w:p w14:paraId="7EC008F2" w14:textId="04E3B618" w:rsidR="0023412A" w:rsidRDefault="000856CE" w:rsidP="000856CE">
      <w:pPr>
        <w:pStyle w:val="ManualConsidrant"/>
        <w:rPr>
          <w:rFonts w:asciiTheme="minorHAnsi" w:eastAsiaTheme="minorEastAsia" w:hAnsiTheme="minorHAnsi" w:cstheme="minorBidi"/>
          <w:noProof/>
          <w:lang w:val="en-IE"/>
        </w:rPr>
      </w:pPr>
      <w:r w:rsidRPr="000856CE">
        <w:t>(79)</w:t>
      </w:r>
      <w:r w:rsidRPr="000856CE">
        <w:tab/>
      </w:r>
      <w:r w:rsidR="0023412A" w:rsidRPr="44137436">
        <w:rPr>
          <w:noProof/>
          <w:lang w:val="en-IE"/>
        </w:rPr>
        <w:t xml:space="preserve">Standardisation and semantic interoperability should play a key role to provide technical solutions to ensure interoperability. </w:t>
      </w:r>
      <w:r w:rsidR="0023412A" w:rsidRPr="44137436">
        <w:rPr>
          <w:noProof/>
          <w:lang w:val="en-US"/>
        </w:rPr>
        <w:t>In order to facilitate the conformity with the requirements for interoperability, it is necessary to provide for a presumption of conformity for interoperability solutions that meet harmoni</w:t>
      </w:r>
      <w:r w:rsidR="005D0158">
        <w:rPr>
          <w:noProof/>
          <w:lang w:val="en-US"/>
        </w:rPr>
        <w:t>s</w:t>
      </w:r>
      <w:r w:rsidR="0023412A" w:rsidRPr="44137436">
        <w:rPr>
          <w:noProof/>
          <w:lang w:val="en-US"/>
        </w:rPr>
        <w:t>ed standards or parts thereof in accordance with Regulation (EU) No 1025/2012 of the European Parliament and of the Council</w:t>
      </w:r>
      <w:r w:rsidR="0023412A">
        <w:rPr>
          <w:noProof/>
        </w:rPr>
        <w:t xml:space="preserve">. </w:t>
      </w:r>
      <w:r w:rsidR="0023412A" w:rsidRPr="44137436">
        <w:rPr>
          <w:noProof/>
          <w:lang w:val="en-IE"/>
        </w:rPr>
        <w:t xml:space="preserve">The Commission should adopt common specifications in areas where no harmonised standards exist or where they are insufficient in order to further enhance interoperability for the common European data spaces, application programming interfaces, cloud switching as well as smart contracts. Additionally, common specifications in the different sectors could remain to be adopted, in accordance with Union or national sectoral law, based on the specific needs of those sectors. Reusable data structures and models (in form of core vocabularies), </w:t>
      </w:r>
      <w:r w:rsidR="0023412A" w:rsidRPr="44137436">
        <w:rPr>
          <w:noProof/>
        </w:rPr>
        <w:t>ontologies, metadata application profile, reference data in the form of core vocabulary, taxonomies, code lists, authority tables, thesauri should</w:t>
      </w:r>
      <w:r w:rsidR="0023412A" w:rsidRPr="44137436">
        <w:rPr>
          <w:noProof/>
          <w:lang w:val="en-IE"/>
        </w:rPr>
        <w:t xml:space="preserve"> also be part of the technical specifications for semantic interoperability. Furthermore, the Commission should be enabled </w:t>
      </w:r>
      <w:r w:rsidR="0023412A" w:rsidRPr="001424D9">
        <w:rPr>
          <w:noProof/>
          <w:lang w:val="en-IE"/>
        </w:rPr>
        <w:t>to mandate the development of harmonised standards for the interoperability of data processing services.</w:t>
      </w:r>
    </w:p>
    <w:p w14:paraId="28241EEE" w14:textId="5892701C" w:rsidR="0023412A" w:rsidRDefault="000856CE" w:rsidP="000856CE">
      <w:pPr>
        <w:pStyle w:val="ManualConsidrant"/>
        <w:rPr>
          <w:rFonts w:asciiTheme="minorHAnsi" w:eastAsiaTheme="minorEastAsia" w:hAnsiTheme="minorHAnsi" w:cstheme="minorBidi"/>
          <w:noProof/>
          <w:lang w:val="en-IE"/>
        </w:rPr>
      </w:pPr>
      <w:r w:rsidRPr="000856CE">
        <w:t>(80)</w:t>
      </w:r>
      <w:r w:rsidRPr="000856CE">
        <w:tab/>
      </w:r>
      <w:r w:rsidR="0023412A" w:rsidRPr="44137436">
        <w:rPr>
          <w:noProof/>
          <w:lang w:val="en-US"/>
        </w:rPr>
        <w:t xml:space="preserve">To promote the interoperability of smart contracts in data sharing applications, it is necessary to lay down </w:t>
      </w:r>
      <w:r w:rsidR="00331FF7">
        <w:rPr>
          <w:noProof/>
          <w:lang w:val="en-US"/>
        </w:rPr>
        <w:t>essential</w:t>
      </w:r>
      <w:r w:rsidR="0023412A" w:rsidRPr="44137436">
        <w:rPr>
          <w:noProof/>
          <w:lang w:val="en-US"/>
        </w:rPr>
        <w:t xml:space="preserve"> requirements for smart contracts for </w:t>
      </w:r>
      <w:r w:rsidR="0023412A" w:rsidRPr="44137436">
        <w:rPr>
          <w:noProof/>
          <w:lang w:val="en-IE"/>
        </w:rPr>
        <w:t xml:space="preserve">professionals who create smart contracts for others or integrate such smart contracts in applications that support the implementation of agreements for sharing data. </w:t>
      </w:r>
      <w:r w:rsidR="0023412A" w:rsidRPr="44137436">
        <w:rPr>
          <w:noProof/>
          <w:lang w:val="en-US"/>
        </w:rPr>
        <w:t xml:space="preserve">In order to facilitate the conformity of such smart contracts with those </w:t>
      </w:r>
      <w:r w:rsidR="00331FF7">
        <w:rPr>
          <w:noProof/>
          <w:lang w:val="en-US"/>
        </w:rPr>
        <w:t>essential</w:t>
      </w:r>
      <w:r w:rsidR="00331FF7" w:rsidRPr="44137436">
        <w:rPr>
          <w:noProof/>
          <w:lang w:val="en-US"/>
        </w:rPr>
        <w:t xml:space="preserve"> </w:t>
      </w:r>
      <w:r w:rsidR="0023412A" w:rsidRPr="44137436">
        <w:rPr>
          <w:noProof/>
          <w:lang w:val="en-US"/>
        </w:rPr>
        <w:t xml:space="preserve">requirements, it is necessary to provide for a presumption of conformity for smart contracts that meet harmonised standards or parts thereof in accordance with Regulation (EU) No 1025/2012 of the European Parliament and of the Council. </w:t>
      </w:r>
    </w:p>
    <w:p w14:paraId="0CC36369" w14:textId="44219D0A" w:rsidR="0023412A" w:rsidRDefault="000856CE" w:rsidP="000856CE">
      <w:pPr>
        <w:pStyle w:val="ManualConsidrant"/>
        <w:rPr>
          <w:rFonts w:asciiTheme="minorHAnsi" w:eastAsiaTheme="minorEastAsia" w:hAnsiTheme="minorHAnsi" w:cstheme="minorBidi"/>
          <w:noProof/>
          <w:lang w:val="en-IE"/>
        </w:rPr>
      </w:pPr>
      <w:r w:rsidRPr="000856CE">
        <w:t>(81)</w:t>
      </w:r>
      <w:r w:rsidRPr="000856CE">
        <w:tab/>
      </w:r>
      <w:r w:rsidR="0023412A">
        <w:rPr>
          <w:noProof/>
        </w:rPr>
        <w:t>In order to ensure the efficient implementation of this Regulation, Member States should designate one or more competent authorities. If a Member State designates more than one competent authority, it should also designate a coordinating competent authority. Competent authorities should cooperate with each other. The authorities responsible for the supervision of compliance with data protection and competent authorities designated under sectoral legislation should have the responsibility for application of this Regulation in their areas of competence.</w:t>
      </w:r>
    </w:p>
    <w:p w14:paraId="3EC9698B" w14:textId="4EE1B676" w:rsidR="0023412A" w:rsidRDefault="000856CE" w:rsidP="000856CE">
      <w:pPr>
        <w:pStyle w:val="ManualConsidrant"/>
        <w:rPr>
          <w:rFonts w:asciiTheme="minorHAnsi" w:eastAsiaTheme="minorEastAsia" w:hAnsiTheme="minorHAnsi" w:cstheme="minorBidi"/>
          <w:noProof/>
          <w:lang w:val="en-IE"/>
        </w:rPr>
      </w:pPr>
      <w:r w:rsidRPr="000856CE">
        <w:t>(82)</w:t>
      </w:r>
      <w:r w:rsidRPr="000856CE">
        <w:tab/>
      </w:r>
      <w:r w:rsidR="0023412A">
        <w:rPr>
          <w:noProof/>
        </w:rPr>
        <w:t>In order to enforce their rights under this Regulation, natural and legal persons should be entitled to seek redress for the infringements of their rights under this Regulation by lodging complaints with competent authorities. Those authorities should be obliged to cooperate to ensure the complaint is appropriately handled and resolved.</w:t>
      </w:r>
      <w:r w:rsidR="005D0158">
        <w:rPr>
          <w:noProof/>
        </w:rPr>
        <w:t xml:space="preserve"> In order to </w:t>
      </w:r>
      <w:r w:rsidR="005D0158">
        <w:rPr>
          <w:noProof/>
          <w:lang w:val="en-IE"/>
        </w:rPr>
        <w:t xml:space="preserve">make use of the consumer protection cooperation network mechanism </w:t>
      </w:r>
      <w:r w:rsidR="005D0158">
        <w:rPr>
          <w:noProof/>
        </w:rPr>
        <w:t>and to enable representative actions</w:t>
      </w:r>
      <w:r w:rsidR="005D0158">
        <w:rPr>
          <w:noProof/>
          <w:lang w:val="en-IE"/>
        </w:rPr>
        <w:t xml:space="preserve">, this Regulation amends the Annexes to the </w:t>
      </w:r>
      <w:r w:rsidR="005D0158" w:rsidRPr="00E13329">
        <w:rPr>
          <w:noProof/>
        </w:rPr>
        <w:t>Regulation (EU) 2017/2394 of the European Parliament and of the Council</w:t>
      </w:r>
      <w:r w:rsidR="005D0158">
        <w:rPr>
          <w:rStyle w:val="FootnoteReference"/>
          <w:noProof/>
        </w:rPr>
        <w:footnoteReference w:id="68"/>
      </w:r>
      <w:r w:rsidR="005D0158">
        <w:rPr>
          <w:noProof/>
        </w:rPr>
        <w:t xml:space="preserve"> and </w:t>
      </w:r>
      <w:r w:rsidR="005D0158" w:rsidRPr="009E7432">
        <w:rPr>
          <w:noProof/>
          <w:lang w:val="en-US"/>
        </w:rPr>
        <w:t>Directive (EU) 2020/1828</w:t>
      </w:r>
      <w:r w:rsidR="005D0158">
        <w:rPr>
          <w:noProof/>
          <w:lang w:val="en-US"/>
        </w:rPr>
        <w:t xml:space="preserve"> </w:t>
      </w:r>
      <w:r w:rsidR="005D0158">
        <w:rPr>
          <w:noProof/>
          <w:lang w:val="en-IE"/>
        </w:rPr>
        <w:t>of the European Parliament and of the Council</w:t>
      </w:r>
      <w:r w:rsidR="005D0158">
        <w:rPr>
          <w:rStyle w:val="FootnoteReference"/>
          <w:noProof/>
          <w:lang w:val="en-IE"/>
        </w:rPr>
        <w:footnoteReference w:id="69"/>
      </w:r>
      <w:r w:rsidR="005D0158">
        <w:rPr>
          <w:noProof/>
          <w:lang w:val="en-IE"/>
        </w:rPr>
        <w:t>.</w:t>
      </w:r>
      <w:r w:rsidR="0023412A">
        <w:rPr>
          <w:noProof/>
        </w:rPr>
        <w:t xml:space="preserve"> </w:t>
      </w:r>
    </w:p>
    <w:p w14:paraId="4FE2CE64" w14:textId="12A49480" w:rsidR="0023412A" w:rsidRDefault="000856CE" w:rsidP="000856CE">
      <w:pPr>
        <w:pStyle w:val="ManualConsidrant"/>
        <w:rPr>
          <w:rFonts w:asciiTheme="minorHAnsi" w:eastAsiaTheme="minorEastAsia" w:hAnsiTheme="minorHAnsi" w:cstheme="minorBidi"/>
          <w:noProof/>
          <w:lang w:val="en-IE"/>
        </w:rPr>
      </w:pPr>
      <w:r w:rsidRPr="000856CE">
        <w:t>(83)</w:t>
      </w:r>
      <w:r w:rsidRPr="000856CE">
        <w:tab/>
      </w:r>
      <w:r w:rsidR="0023412A">
        <w:rPr>
          <w:noProof/>
        </w:rPr>
        <w:t xml:space="preserve">Member States competent authorities should ensure that infringements of the obligations laid down in this Regulation are sanctioned by penalties. When doing so, they should take into account the nature, gravity, recurrence and duration of the infringement in view of the public interest at stake, the scope and kind of activities carried out, as well as the economic capacity of the infringer. They should take into account whether the infringer systematically or recurrently fails to comply with its obligations stemming from this Regulation. </w:t>
      </w:r>
      <w:r w:rsidR="0023412A" w:rsidRPr="44137436">
        <w:rPr>
          <w:noProof/>
          <w:lang w:val="en-IE"/>
        </w:rPr>
        <w:t xml:space="preserve">In order to help enterprises to draft and negotiate contracts, the Commission should develop and recommend non-mandatory model contractual terms for business-to-business data sharing contracts, where necessary taking into account the conditions in specific sectors and the existing practices with voluntary data sharing mechanisms. These model contractual terms should be primarily a practical tool to help in particular smaller enterprises to conclude a contract. When used widely and integrally, these model contractual terms should also have the beneficial effect of influencing the design of contracts about access to and use of data and therefore lead more broadly towards fairer contractual relations </w:t>
      </w:r>
      <w:r w:rsidR="0023412A">
        <w:rPr>
          <w:noProof/>
          <w:lang w:val="en-IE"/>
        </w:rPr>
        <w:t>when accessing and sharing data</w:t>
      </w:r>
      <w:r w:rsidR="0023412A" w:rsidRPr="44137436">
        <w:rPr>
          <w:noProof/>
          <w:lang w:val="en-IE"/>
        </w:rPr>
        <w:t>.</w:t>
      </w:r>
    </w:p>
    <w:p w14:paraId="71F5AC9C" w14:textId="72286481" w:rsidR="0023412A" w:rsidRDefault="000856CE" w:rsidP="000856CE">
      <w:pPr>
        <w:pStyle w:val="ManualConsidrant"/>
        <w:rPr>
          <w:rFonts w:asciiTheme="minorHAnsi" w:eastAsiaTheme="minorEastAsia" w:hAnsiTheme="minorHAnsi" w:cstheme="minorBidi"/>
          <w:noProof/>
          <w:lang w:val="en-IE"/>
        </w:rPr>
      </w:pPr>
      <w:r w:rsidRPr="000856CE">
        <w:t>(84)</w:t>
      </w:r>
      <w:r w:rsidRPr="000856CE">
        <w:tab/>
      </w:r>
      <w:r w:rsidR="0023412A" w:rsidRPr="44137436">
        <w:rPr>
          <w:noProof/>
          <w:lang w:val="en-IE"/>
        </w:rPr>
        <w:t xml:space="preserve">In order to eliminate the risk that holders of data in databases obtained or generated by means of physical components, such as sensors, of a connected product </w:t>
      </w:r>
      <w:r w:rsidR="00B64643">
        <w:rPr>
          <w:noProof/>
          <w:lang w:val="en-IE"/>
        </w:rPr>
        <w:t>and</w:t>
      </w:r>
      <w:r w:rsidR="00B64643" w:rsidRPr="44137436">
        <w:rPr>
          <w:noProof/>
          <w:lang w:val="en-IE"/>
        </w:rPr>
        <w:t xml:space="preserve"> </w:t>
      </w:r>
      <w:r w:rsidR="0023412A" w:rsidRPr="44137436">
        <w:rPr>
          <w:noProof/>
          <w:lang w:val="en-IE"/>
        </w:rPr>
        <w:t xml:space="preserve">a related service claim the </w:t>
      </w:r>
      <w:r w:rsidR="0023412A" w:rsidRPr="44137436">
        <w:rPr>
          <w:i/>
          <w:iCs/>
          <w:noProof/>
          <w:lang w:val="en-IE"/>
        </w:rPr>
        <w:t>sui generis</w:t>
      </w:r>
      <w:r w:rsidR="0023412A" w:rsidRPr="44137436">
        <w:rPr>
          <w:noProof/>
          <w:lang w:val="en-IE"/>
        </w:rPr>
        <w:t xml:space="preserve"> right under Article 7 of Directive 96/9/EC where such databases do not qualify for the </w:t>
      </w:r>
      <w:r w:rsidR="0023412A" w:rsidRPr="009D68D8">
        <w:rPr>
          <w:i/>
          <w:noProof/>
          <w:lang w:val="en-IE"/>
        </w:rPr>
        <w:t>sui generis</w:t>
      </w:r>
      <w:r w:rsidR="0023412A" w:rsidRPr="44137436">
        <w:rPr>
          <w:noProof/>
          <w:lang w:val="en-IE"/>
        </w:rPr>
        <w:t xml:space="preserve"> right, and in so doing hinder the effective exercise of the right of users to access and use data and the right to share data with third parties under this Regulation, this Regulation should clarify that the </w:t>
      </w:r>
      <w:r w:rsidR="0023412A" w:rsidRPr="009D68D8">
        <w:rPr>
          <w:i/>
          <w:noProof/>
          <w:lang w:val="en-IE"/>
        </w:rPr>
        <w:t>sui generis</w:t>
      </w:r>
      <w:r w:rsidR="0023412A" w:rsidRPr="44137436">
        <w:rPr>
          <w:noProof/>
          <w:lang w:val="en-IE"/>
        </w:rPr>
        <w:t xml:space="preserve"> right does not apply to such databases as the requirements for pr</w:t>
      </w:r>
      <w:r w:rsidR="0023412A">
        <w:rPr>
          <w:noProof/>
          <w:lang w:val="en-IE"/>
        </w:rPr>
        <w:t>otection would not be fulfilled.</w:t>
      </w:r>
      <w:r w:rsidR="0023412A" w:rsidRPr="44137436">
        <w:rPr>
          <w:noProof/>
          <w:lang w:val="en-IE"/>
        </w:rPr>
        <w:t xml:space="preserve"> </w:t>
      </w:r>
    </w:p>
    <w:p w14:paraId="78EBDEE5" w14:textId="24191ADD" w:rsidR="0023412A" w:rsidRDefault="000856CE" w:rsidP="000856CE">
      <w:pPr>
        <w:pStyle w:val="ManualConsidrant"/>
        <w:rPr>
          <w:rFonts w:asciiTheme="minorHAnsi" w:eastAsiaTheme="minorEastAsia" w:hAnsiTheme="minorHAnsi" w:cstheme="minorBidi"/>
          <w:noProof/>
          <w:lang w:val="en-IE"/>
        </w:rPr>
      </w:pPr>
      <w:r w:rsidRPr="000856CE">
        <w:t>(85)</w:t>
      </w:r>
      <w:r w:rsidRPr="000856CE">
        <w:tab/>
      </w:r>
      <w:r w:rsidR="0023412A" w:rsidRPr="5F71A290">
        <w:rPr>
          <w:noProof/>
          <w:lang w:val="en-IE"/>
        </w:rPr>
        <w:t>In order to take account of technical aspects of data processing services, the power to adopt acts in accordance with Article 290 TFEU should be delegated to the Commission</w:t>
      </w:r>
      <w:r w:rsidR="0023412A" w:rsidRPr="44137436">
        <w:rPr>
          <w:noProof/>
          <w:lang w:val="en-IE"/>
        </w:rPr>
        <w:t xml:space="preserve"> in respect of supplementing this Regulation</w:t>
      </w:r>
      <w:r w:rsidR="0023412A" w:rsidRPr="5F71A290">
        <w:rPr>
          <w:noProof/>
          <w:lang w:val="en-IE"/>
        </w:rPr>
        <w:t xml:space="preserve"> to introduce a monitoring mechanism on switching charges imposed by data processing service providers on the market</w:t>
      </w:r>
      <w:r w:rsidR="005D0158">
        <w:rPr>
          <w:noProof/>
          <w:lang w:val="en-IE"/>
        </w:rPr>
        <w:t>, to further specify the essential requirements for operators of data spaces and data processing service providers on interoperability and to publish the reference of open interoperability specifications and European standards for the interoperability of data processing services</w:t>
      </w:r>
      <w:r w:rsidR="0023412A" w:rsidRPr="5F71A290">
        <w:rPr>
          <w:noProof/>
          <w:lang w:val="en-IE"/>
        </w:rPr>
        <w:t>.</w:t>
      </w:r>
      <w:r w:rsidR="0023412A">
        <w:rPr>
          <w:noProof/>
        </w:rPr>
        <w:t xml:space="preserve">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w:t>
      </w:r>
      <w:r w:rsidR="0023412A">
        <w:rPr>
          <w:rStyle w:val="FootnoteReference"/>
          <w:noProof/>
        </w:rPr>
        <w:footnoteReference w:id="70"/>
      </w:r>
      <w:r w:rsidR="0023412A">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0BD2EBB5" w14:textId="00B4687C" w:rsidR="0023412A" w:rsidRDefault="000856CE" w:rsidP="000856CE">
      <w:pPr>
        <w:pStyle w:val="ManualConsidrant"/>
        <w:rPr>
          <w:rFonts w:asciiTheme="minorHAnsi" w:eastAsiaTheme="minorEastAsia" w:hAnsiTheme="minorHAnsi" w:cstheme="minorBidi"/>
          <w:noProof/>
          <w:lang w:val="en-IE"/>
        </w:rPr>
      </w:pPr>
      <w:r w:rsidRPr="000856CE">
        <w:t>(86)</w:t>
      </w:r>
      <w:r w:rsidRPr="000856CE">
        <w:tab/>
      </w:r>
      <w:r w:rsidR="0023412A" w:rsidRPr="00F53DAE">
        <w:rPr>
          <w:noProof/>
        </w:rPr>
        <w:t xml:space="preserve">In order to ensure uniform conditions for the implementation of this Regulation, implementing powers should be conferred on the Commission </w:t>
      </w:r>
      <w:r w:rsidR="0023412A" w:rsidRPr="44137436">
        <w:rPr>
          <w:noProof/>
          <w:lang w:val="en-IE"/>
        </w:rPr>
        <w:t>in respect of supplementing this Regulation</w:t>
      </w:r>
      <w:r w:rsidR="0023412A">
        <w:rPr>
          <w:noProof/>
        </w:rPr>
        <w:t xml:space="preserve"> </w:t>
      </w:r>
      <w:r w:rsidR="0023412A" w:rsidRPr="00F53DAE">
        <w:rPr>
          <w:noProof/>
        </w:rPr>
        <w:t>to adopt common specifications to ensure the interoperability of common European data spaces and data sharing, the switching between data processing services, the interoperability of smart contracts as well as for technical means, such as application programming interfaces, for enabling transmission of data between parties including continuous or real-time and for core vocabularies of semantic interoperability, and to adopt common specifications for smart contracts. Those powers should be exercised in accordance with Regulation (EU) No 182/2011 of the European Parliament and of the Council</w:t>
      </w:r>
      <w:r w:rsidR="0023412A" w:rsidRPr="006C49B6">
        <w:rPr>
          <w:rStyle w:val="FootnoteReference"/>
          <w:noProof/>
        </w:rPr>
        <w:footnoteReference w:id="71"/>
      </w:r>
      <w:r w:rsidR="0023412A" w:rsidRPr="00F53DAE">
        <w:rPr>
          <w:noProof/>
        </w:rPr>
        <w:t>.</w:t>
      </w:r>
    </w:p>
    <w:p w14:paraId="35A9439D" w14:textId="671A8D87" w:rsidR="0023412A" w:rsidRDefault="000856CE" w:rsidP="000856CE">
      <w:pPr>
        <w:pStyle w:val="ManualConsidrant"/>
        <w:rPr>
          <w:rFonts w:asciiTheme="minorHAnsi" w:eastAsiaTheme="minorEastAsia" w:hAnsiTheme="minorHAnsi" w:cstheme="minorBidi"/>
          <w:noProof/>
          <w:lang w:val="en-IE"/>
        </w:rPr>
      </w:pPr>
      <w:r w:rsidRPr="000856CE">
        <w:t>(87)</w:t>
      </w:r>
      <w:r w:rsidRPr="000856CE">
        <w:tab/>
      </w:r>
      <w:r w:rsidR="0023412A" w:rsidRPr="44137436">
        <w:rPr>
          <w:noProof/>
          <w:lang w:val="en-IE"/>
        </w:rPr>
        <w:t xml:space="preserve">This Regulation should not affect specific provisions of acts of the Union adopted in the field of data sharing between businesses, between businesses and consumers and between businesses and public sector bodies that were adopted prior to the date of the adoption of this Regulation. To ensure consistency and the smooth functioning of the internal market, the Commission should, where relevant, evaluate the situation with regard to the relationship between this Regulation and the acts adopted prior to the date of adoption of this Regulation regulating data sharing, in order to assess the need for alignment of those specific provisions with this Regulation. </w:t>
      </w:r>
      <w:r w:rsidR="005D0158">
        <w:rPr>
          <w:noProof/>
          <w:lang w:val="en-IE"/>
        </w:rPr>
        <w:t>T</w:t>
      </w:r>
      <w:r w:rsidR="0023412A" w:rsidRPr="44137436">
        <w:rPr>
          <w:noProof/>
          <w:lang w:val="en-IE"/>
        </w:rPr>
        <w:t xml:space="preserve">his Regulation </w:t>
      </w:r>
      <w:r w:rsidR="005D0158">
        <w:rPr>
          <w:noProof/>
          <w:lang w:val="en-IE"/>
        </w:rPr>
        <w:t>should</w:t>
      </w:r>
      <w:r w:rsidR="005D0158" w:rsidRPr="44137436">
        <w:rPr>
          <w:noProof/>
          <w:lang w:val="en-IE"/>
        </w:rPr>
        <w:t xml:space="preserve"> </w:t>
      </w:r>
      <w:r w:rsidR="0023412A" w:rsidRPr="44137436">
        <w:rPr>
          <w:noProof/>
          <w:lang w:val="en-IE"/>
        </w:rPr>
        <w:t xml:space="preserve">be </w:t>
      </w:r>
      <w:r w:rsidR="005D0158">
        <w:rPr>
          <w:noProof/>
          <w:lang w:val="en-IE"/>
        </w:rPr>
        <w:t>without prejudice</w:t>
      </w:r>
      <w:r w:rsidR="0023412A" w:rsidRPr="44137436">
        <w:rPr>
          <w:noProof/>
          <w:lang w:val="en-IE"/>
        </w:rPr>
        <w:t xml:space="preserve"> to</w:t>
      </w:r>
      <w:r w:rsidR="005D0158">
        <w:rPr>
          <w:noProof/>
          <w:lang w:val="en-IE"/>
        </w:rPr>
        <w:t xml:space="preserve"> rules addressing needs specific to individual sectors or areas of public interest</w:t>
      </w:r>
      <w:r w:rsidR="0023412A" w:rsidRPr="44137436">
        <w:rPr>
          <w:noProof/>
          <w:lang w:val="en-IE"/>
        </w:rPr>
        <w:t xml:space="preserve">. </w:t>
      </w:r>
      <w:r w:rsidR="005D0158">
        <w:rPr>
          <w:noProof/>
          <w:lang w:val="en-IE"/>
        </w:rPr>
        <w:t>Such rules may include</w:t>
      </w:r>
      <w:r w:rsidR="0023412A" w:rsidRPr="44137436">
        <w:rPr>
          <w:noProof/>
          <w:lang w:val="en-IE"/>
        </w:rPr>
        <w:t xml:space="preserve"> additional requirements </w:t>
      </w:r>
      <w:r w:rsidR="005D0158">
        <w:rPr>
          <w:noProof/>
          <w:lang w:val="en-IE"/>
        </w:rPr>
        <w:t xml:space="preserve">on </w:t>
      </w:r>
      <w:r w:rsidR="0023412A" w:rsidRPr="44137436">
        <w:rPr>
          <w:noProof/>
          <w:lang w:val="en-IE"/>
        </w:rPr>
        <w:t>technical aspects of the data access</w:t>
      </w:r>
      <w:r w:rsidR="005D0158">
        <w:rPr>
          <w:noProof/>
          <w:lang w:val="en-IE"/>
        </w:rPr>
        <w:t xml:space="preserve">, such as interfaces for data access, or how data access could be provided, for example directly from the product or via data intermediation services. Such rules may also include limits on </w:t>
      </w:r>
      <w:r w:rsidR="00EB389E" w:rsidRPr="00EB389E">
        <w:rPr>
          <w:noProof/>
          <w:lang w:val="en-IE"/>
        </w:rPr>
        <w:t xml:space="preserve">the rights of data holders to access or use user data, </w:t>
      </w:r>
      <w:r w:rsidR="00AA3C2F">
        <w:rPr>
          <w:noProof/>
          <w:lang w:val="en-IE"/>
        </w:rPr>
        <w:t xml:space="preserve">or other aspects </w:t>
      </w:r>
      <w:r w:rsidR="0023412A" w:rsidRPr="44137436">
        <w:rPr>
          <w:noProof/>
          <w:lang w:val="en-IE"/>
        </w:rPr>
        <w:t xml:space="preserve">beyond data access and use, such as </w:t>
      </w:r>
      <w:r w:rsidR="00AA3C2F">
        <w:rPr>
          <w:noProof/>
          <w:lang w:val="en-IE"/>
        </w:rPr>
        <w:t>governance aspects. This Regulation also should be without prejudice to more specific rules in the context of the development of common European data spaces</w:t>
      </w:r>
      <w:r w:rsidR="0023412A" w:rsidRPr="44137436">
        <w:rPr>
          <w:noProof/>
          <w:lang w:val="en-IE"/>
        </w:rPr>
        <w:t>.</w:t>
      </w:r>
    </w:p>
    <w:p w14:paraId="3993B51A" w14:textId="56F09896" w:rsidR="0023412A" w:rsidRPr="001E21CC" w:rsidRDefault="000856CE" w:rsidP="000856CE">
      <w:pPr>
        <w:pStyle w:val="ManualConsidrant"/>
        <w:rPr>
          <w:rFonts w:asciiTheme="minorHAnsi" w:eastAsiaTheme="minorEastAsia" w:hAnsiTheme="minorHAnsi" w:cstheme="minorBidi"/>
          <w:noProof/>
          <w:lang w:val="en-IE"/>
        </w:rPr>
      </w:pPr>
      <w:r w:rsidRPr="000856CE">
        <w:t>(88)</w:t>
      </w:r>
      <w:r w:rsidRPr="000856CE">
        <w:tab/>
      </w:r>
      <w:r w:rsidR="0023412A">
        <w:rPr>
          <w:noProof/>
        </w:rPr>
        <w:t>This Regulation should not affect the application of the rules of competition, and in particular Articles 101 and 102 of the Treaty. The measures provided for in this Regulation should not be used to restrict competition in a manner contrary to the Treaty.</w:t>
      </w:r>
    </w:p>
    <w:p w14:paraId="0284CC33" w14:textId="2AFA147C" w:rsidR="00AA3C2F" w:rsidRDefault="000856CE" w:rsidP="000856CE">
      <w:pPr>
        <w:pStyle w:val="ManualConsidrant"/>
        <w:rPr>
          <w:rFonts w:asciiTheme="minorHAnsi" w:eastAsiaTheme="minorEastAsia" w:hAnsiTheme="minorHAnsi" w:cstheme="minorBidi"/>
          <w:noProof/>
          <w:lang w:val="en-IE"/>
        </w:rPr>
      </w:pPr>
      <w:r w:rsidRPr="000856CE">
        <w:t>(89)</w:t>
      </w:r>
      <w:r w:rsidRPr="000856CE">
        <w:tab/>
      </w:r>
      <w:r w:rsidR="00AA3C2F">
        <w:rPr>
          <w:noProof/>
        </w:rPr>
        <w:t xml:space="preserve">In order to allow the </w:t>
      </w:r>
      <w:r w:rsidR="00AA3C2F">
        <w:rPr>
          <w:noProof/>
          <w:lang w:val="en-IE"/>
        </w:rPr>
        <w:t>economic actors to adapt to the new rules laid out in this Regulation, they should apply from a year after entry into force of the Regulation.</w:t>
      </w:r>
    </w:p>
    <w:p w14:paraId="27C2ED58" w14:textId="5608CF00" w:rsidR="002826AA" w:rsidRPr="009B0E04" w:rsidRDefault="000856CE" w:rsidP="000856CE">
      <w:pPr>
        <w:pStyle w:val="ManualConsidrant"/>
        <w:rPr>
          <w:rFonts w:asciiTheme="minorHAnsi" w:eastAsiaTheme="minorEastAsia" w:hAnsiTheme="minorHAnsi" w:cstheme="minorBidi"/>
          <w:noProof/>
          <w:lang w:val="en-IE"/>
        </w:rPr>
      </w:pPr>
      <w:r w:rsidRPr="000856CE">
        <w:t>(90)</w:t>
      </w:r>
      <w:r w:rsidRPr="000856CE">
        <w:tab/>
      </w:r>
      <w:r w:rsidR="0023412A" w:rsidRPr="44137436">
        <w:rPr>
          <w:noProof/>
          <w:lang w:val="en-IE"/>
        </w:rPr>
        <w:t>The European Data Protection Supervisor and the European Data Protection Board were consulted in accordance with Article 42 of Regulation (EU) 2018/1725 and delivered a joint opinion on [XX XX 2022].</w:t>
      </w:r>
    </w:p>
    <w:p w14:paraId="548EB033" w14:textId="61FD88D6" w:rsidR="00512754" w:rsidRPr="001F2314" w:rsidRDefault="00512754" w:rsidP="00A23CE2">
      <w:pPr>
        <w:rPr>
          <w:noProof/>
          <w:lang w:val="en-IE"/>
        </w:rPr>
      </w:pPr>
    </w:p>
    <w:p w14:paraId="12289428" w14:textId="77777777" w:rsidR="00A0188F" w:rsidRDefault="00A0188F" w:rsidP="00A05AF1">
      <w:pPr>
        <w:pStyle w:val="Formuledadoption"/>
        <w:rPr>
          <w:noProof/>
        </w:rPr>
      </w:pPr>
      <w:r w:rsidRPr="00F96E01">
        <w:rPr>
          <w:noProof/>
        </w:rPr>
        <w:t>HAVE ADOPTED THIS REGULATION:</w:t>
      </w:r>
    </w:p>
    <w:p w14:paraId="5C7204BB" w14:textId="19ED112C" w:rsidR="00DF5172" w:rsidRPr="00DF5172" w:rsidRDefault="000336E4" w:rsidP="000C36C5">
      <w:pPr>
        <w:pStyle w:val="ChapterTitle"/>
        <w:rPr>
          <w:noProof/>
          <w:lang w:val="en-US"/>
        </w:rPr>
      </w:pPr>
      <w:r>
        <w:rPr>
          <w:noProof/>
          <w:lang w:val="en-US"/>
        </w:rPr>
        <w:t>CHAPTER I</w:t>
      </w:r>
      <w:r w:rsidR="000C36C5">
        <w:rPr>
          <w:noProof/>
          <w:lang w:val="en-US"/>
        </w:rPr>
        <w:br/>
      </w:r>
      <w:r w:rsidR="00DF5172" w:rsidRPr="00B356D4">
        <w:rPr>
          <w:noProof/>
          <w:lang w:val="en-US"/>
        </w:rPr>
        <w:t>GENERAL PROVISIONS</w:t>
      </w:r>
    </w:p>
    <w:p w14:paraId="2CB78D15" w14:textId="04F3BEA3" w:rsidR="0077149E" w:rsidRPr="0077149E" w:rsidRDefault="00CC2D52" w:rsidP="0077149E">
      <w:pPr>
        <w:pStyle w:val="Titrearticle0"/>
        <w:rPr>
          <w:noProof/>
        </w:rPr>
      </w:pPr>
      <w:r>
        <w:rPr>
          <w:noProof/>
        </w:rPr>
        <w:t>Article 1</w:t>
      </w:r>
      <w:r w:rsidR="0077149E">
        <w:rPr>
          <w:noProof/>
        </w:rPr>
        <w:br/>
        <w:t>Subject matter and scope</w:t>
      </w:r>
    </w:p>
    <w:p w14:paraId="47D1AF81" w14:textId="35609A36" w:rsidR="00884BC7" w:rsidRPr="00B356D4" w:rsidRDefault="000856CE" w:rsidP="000856CE">
      <w:pPr>
        <w:pStyle w:val="ManualNumPar1"/>
        <w:rPr>
          <w:noProof/>
          <w:lang w:val="en-IE"/>
        </w:rPr>
      </w:pPr>
      <w:r w:rsidRPr="000856CE">
        <w:t>1.</w:t>
      </w:r>
      <w:r w:rsidRPr="000856CE">
        <w:tab/>
      </w:r>
      <w:r w:rsidR="00884BC7" w:rsidRPr="00B356D4">
        <w:rPr>
          <w:noProof/>
          <w:lang w:val="en-IE"/>
        </w:rPr>
        <w:t xml:space="preserve">This Regulation lays down harmonised rules </w:t>
      </w:r>
      <w:r w:rsidR="002E2088" w:rsidRPr="002E2088">
        <w:rPr>
          <w:noProof/>
          <w:lang w:val="en-IE"/>
        </w:rPr>
        <w:t xml:space="preserve">on making data generated by the use of a product </w:t>
      </w:r>
      <w:r w:rsidR="00C0141F">
        <w:rPr>
          <w:noProof/>
          <w:lang w:val="en-IE"/>
        </w:rPr>
        <w:t>or</w:t>
      </w:r>
      <w:r w:rsidR="00C0141F" w:rsidRPr="002E2088">
        <w:rPr>
          <w:noProof/>
          <w:lang w:val="en-IE"/>
        </w:rPr>
        <w:t xml:space="preserve"> </w:t>
      </w:r>
      <w:r w:rsidR="002E2088" w:rsidRPr="002E2088">
        <w:rPr>
          <w:noProof/>
          <w:lang w:val="en-IE"/>
        </w:rPr>
        <w:t>related service available to the user of that product or service, on the making data available by data holders to data recipients, and on the making data available by data holders to public sector bodies or Union institutions, agencies or bodies, where there is an exceptional need, for the performance of a task carried out in the public interest</w:t>
      </w:r>
      <w:r w:rsidR="00884BC7" w:rsidRPr="00B356D4">
        <w:rPr>
          <w:noProof/>
          <w:lang w:val="en-IE"/>
        </w:rPr>
        <w:t xml:space="preserve">: </w:t>
      </w:r>
    </w:p>
    <w:p w14:paraId="179C581B" w14:textId="58D9C4D2" w:rsidR="00884BC7" w:rsidRDefault="000856CE" w:rsidP="000856CE">
      <w:pPr>
        <w:pStyle w:val="ManualNumPar1"/>
        <w:rPr>
          <w:noProof/>
          <w:lang w:val="en-IE"/>
        </w:rPr>
      </w:pPr>
      <w:r w:rsidRPr="000856CE">
        <w:t>2.</w:t>
      </w:r>
      <w:r w:rsidRPr="000856CE">
        <w:tab/>
      </w:r>
      <w:r w:rsidR="00884BC7">
        <w:rPr>
          <w:noProof/>
          <w:lang w:val="en-IE"/>
        </w:rPr>
        <w:t>This Regulation applies to:</w:t>
      </w:r>
    </w:p>
    <w:p w14:paraId="63ECC179" w14:textId="76027F47" w:rsidR="00884BC7" w:rsidRPr="00A23CE2" w:rsidRDefault="000856CE" w:rsidP="000856CE">
      <w:pPr>
        <w:pStyle w:val="Point1"/>
        <w:rPr>
          <w:noProof/>
          <w:sz w:val="16"/>
          <w:lang w:val="en-IE"/>
        </w:rPr>
      </w:pPr>
      <w:r w:rsidRPr="000856CE">
        <w:t>(a)</w:t>
      </w:r>
      <w:r w:rsidRPr="000856CE">
        <w:tab/>
      </w:r>
      <w:r w:rsidR="00867B92">
        <w:rPr>
          <w:noProof/>
          <w:lang w:val="en-IE"/>
        </w:rPr>
        <w:t>m</w:t>
      </w:r>
      <w:r w:rsidR="00884BC7" w:rsidRPr="00A23CE2">
        <w:rPr>
          <w:noProof/>
          <w:lang w:val="en-IE"/>
        </w:rPr>
        <w:t xml:space="preserve">anufacturers of </w:t>
      </w:r>
      <w:r w:rsidR="002E2088" w:rsidRPr="00A23CE2">
        <w:rPr>
          <w:noProof/>
          <w:lang w:val="en-IE"/>
        </w:rPr>
        <w:t xml:space="preserve">products and </w:t>
      </w:r>
      <w:r w:rsidR="002E2088">
        <w:rPr>
          <w:noProof/>
          <w:lang w:val="en-IE"/>
        </w:rPr>
        <w:t>suppliers</w:t>
      </w:r>
      <w:r w:rsidR="002E2088" w:rsidRPr="00A23CE2">
        <w:rPr>
          <w:noProof/>
          <w:lang w:val="en-IE"/>
        </w:rPr>
        <w:t xml:space="preserve"> of related services placed on the market in the Union and the users of such products </w:t>
      </w:r>
      <w:r w:rsidR="00C0141F">
        <w:rPr>
          <w:noProof/>
          <w:lang w:val="en-IE"/>
        </w:rPr>
        <w:t>or</w:t>
      </w:r>
      <w:r w:rsidR="00C0141F" w:rsidRPr="00A23CE2">
        <w:rPr>
          <w:noProof/>
          <w:lang w:val="en-IE"/>
        </w:rPr>
        <w:t xml:space="preserve"> </w:t>
      </w:r>
      <w:r w:rsidR="002E2088" w:rsidRPr="00A23CE2">
        <w:rPr>
          <w:noProof/>
          <w:lang w:val="en-IE"/>
        </w:rPr>
        <w:t>services</w:t>
      </w:r>
      <w:r w:rsidR="00884BC7" w:rsidRPr="00A23CE2">
        <w:rPr>
          <w:noProof/>
          <w:lang w:val="en-IE"/>
        </w:rPr>
        <w:t>;</w:t>
      </w:r>
    </w:p>
    <w:p w14:paraId="0CC72B9B" w14:textId="25562CD4" w:rsidR="00884BC7" w:rsidRDefault="000856CE" w:rsidP="000856CE">
      <w:pPr>
        <w:pStyle w:val="Point1"/>
        <w:rPr>
          <w:noProof/>
          <w:lang w:val="en-IE"/>
        </w:rPr>
      </w:pPr>
      <w:r w:rsidRPr="000856CE">
        <w:t>(b)</w:t>
      </w:r>
      <w:r w:rsidRPr="000856CE">
        <w:tab/>
      </w:r>
      <w:r w:rsidR="002E2088">
        <w:rPr>
          <w:noProof/>
          <w:lang w:val="en-IE"/>
        </w:rPr>
        <w:t>data</w:t>
      </w:r>
      <w:r w:rsidR="00884BC7">
        <w:rPr>
          <w:noProof/>
          <w:lang w:val="en-IE"/>
        </w:rPr>
        <w:t xml:space="preserve"> </w:t>
      </w:r>
      <w:r w:rsidR="002E2088">
        <w:rPr>
          <w:noProof/>
          <w:lang w:val="en-IE"/>
        </w:rPr>
        <w:t xml:space="preserve">holders that </w:t>
      </w:r>
      <w:r w:rsidR="002E2088" w:rsidRPr="002234D3">
        <w:rPr>
          <w:noProof/>
          <w:lang w:val="en-IE"/>
        </w:rPr>
        <w:t xml:space="preserve">make data available to data recipients in the </w:t>
      </w:r>
      <w:r w:rsidR="002E2088" w:rsidRPr="002234D3" w:rsidDel="00725E5C">
        <w:rPr>
          <w:noProof/>
          <w:lang w:val="en-IE"/>
        </w:rPr>
        <w:t>Union</w:t>
      </w:r>
      <w:r w:rsidR="00884BC7">
        <w:rPr>
          <w:noProof/>
          <w:lang w:val="en-IE"/>
        </w:rPr>
        <w:t>;</w:t>
      </w:r>
    </w:p>
    <w:p w14:paraId="4FE09B52" w14:textId="08BF135B" w:rsidR="00884BC7" w:rsidRDefault="000856CE" w:rsidP="000856CE">
      <w:pPr>
        <w:pStyle w:val="Point1"/>
        <w:rPr>
          <w:noProof/>
          <w:lang w:val="en-IE"/>
        </w:rPr>
      </w:pPr>
      <w:r w:rsidRPr="000856CE">
        <w:t>(c)</w:t>
      </w:r>
      <w:r w:rsidRPr="000856CE">
        <w:tab/>
      </w:r>
      <w:r w:rsidR="00884BC7">
        <w:rPr>
          <w:noProof/>
          <w:lang w:val="en-IE"/>
        </w:rPr>
        <w:t>data recipients in the Union to whom data are made available;</w:t>
      </w:r>
    </w:p>
    <w:p w14:paraId="76B37399" w14:textId="33ACD6F4" w:rsidR="00884BC7" w:rsidRDefault="000856CE" w:rsidP="000856CE">
      <w:pPr>
        <w:pStyle w:val="Point1"/>
        <w:rPr>
          <w:noProof/>
          <w:lang w:val="en-IE"/>
        </w:rPr>
      </w:pPr>
      <w:r w:rsidRPr="000856CE">
        <w:t>(d)</w:t>
      </w:r>
      <w:r w:rsidRPr="000856CE">
        <w:tab/>
      </w:r>
      <w:r w:rsidR="002E2088">
        <w:rPr>
          <w:noProof/>
          <w:lang w:val="en-IE"/>
        </w:rPr>
        <w:t>public</w:t>
      </w:r>
      <w:r w:rsidR="00884BC7">
        <w:rPr>
          <w:noProof/>
          <w:lang w:val="en-IE"/>
        </w:rPr>
        <w:t xml:space="preserve"> </w:t>
      </w:r>
      <w:r w:rsidR="002E2088" w:rsidRPr="002234D3">
        <w:rPr>
          <w:noProof/>
          <w:lang w:val="en-IE"/>
        </w:rPr>
        <w:t>sector bodies and Union institutions, agencies or bodies that request data holders to make data available where there is an exceptional need</w:t>
      </w:r>
      <w:r w:rsidR="002E2088">
        <w:rPr>
          <w:noProof/>
          <w:lang w:val="en-IE"/>
        </w:rPr>
        <w:t xml:space="preserve"> to that data for the performance of a task carried out in the public interest and the data holders that provide those data in response to such request</w:t>
      </w:r>
      <w:r w:rsidR="00884BC7">
        <w:rPr>
          <w:noProof/>
          <w:lang w:val="en-IE"/>
        </w:rPr>
        <w:t>;</w:t>
      </w:r>
    </w:p>
    <w:p w14:paraId="5D66BA7A" w14:textId="48C47442" w:rsidR="00884BC7" w:rsidRPr="004B6697" w:rsidRDefault="000856CE" w:rsidP="000856CE">
      <w:pPr>
        <w:pStyle w:val="Point1"/>
        <w:rPr>
          <w:noProof/>
          <w:lang w:val="en-IE"/>
        </w:rPr>
      </w:pPr>
      <w:r w:rsidRPr="000856CE">
        <w:t>(e)</w:t>
      </w:r>
      <w:r w:rsidRPr="000856CE">
        <w:tab/>
      </w:r>
      <w:r w:rsidR="00884BC7">
        <w:rPr>
          <w:noProof/>
          <w:lang w:val="en-IE"/>
        </w:rPr>
        <w:t>providers of data processing services offering such services to customers in the Union.</w:t>
      </w:r>
    </w:p>
    <w:p w14:paraId="490CCAF0" w14:textId="382A45CC" w:rsidR="00884BC7" w:rsidRPr="00B356D4" w:rsidRDefault="000856CE" w:rsidP="000856CE">
      <w:pPr>
        <w:pStyle w:val="ManualNumPar1"/>
        <w:rPr>
          <w:noProof/>
          <w:lang w:val="en-IE"/>
        </w:rPr>
      </w:pPr>
      <w:r w:rsidRPr="000856CE">
        <w:t>3.</w:t>
      </w:r>
      <w:r w:rsidRPr="000856CE">
        <w:tab/>
      </w:r>
      <w:r w:rsidR="00884BC7" w:rsidRPr="00B356D4">
        <w:rPr>
          <w:noProof/>
          <w:lang w:val="en-IE"/>
        </w:rPr>
        <w:t xml:space="preserve">Union law on the protection of </w:t>
      </w:r>
      <w:r w:rsidR="002E2088" w:rsidRPr="00B356D4">
        <w:rPr>
          <w:noProof/>
          <w:lang w:val="en-IE"/>
        </w:rPr>
        <w:t>personal data</w:t>
      </w:r>
      <w:r w:rsidR="002E2088">
        <w:rPr>
          <w:noProof/>
          <w:lang w:val="en-IE"/>
        </w:rPr>
        <w:t xml:space="preserve">, privacy and </w:t>
      </w:r>
      <w:r w:rsidR="002E2088" w:rsidRPr="00B323F3">
        <w:rPr>
          <w:noProof/>
          <w:lang w:val="en-IE"/>
        </w:rPr>
        <w:t>confidentiality of communications and integrity of terminal equipment</w:t>
      </w:r>
      <w:r w:rsidR="002E2088" w:rsidRPr="00B356D4">
        <w:rPr>
          <w:noProof/>
          <w:lang w:val="en-IE"/>
        </w:rPr>
        <w:t xml:space="preserve"> shall apply to personal data processed in connection with the rights and obligations laid down in this Regulation. This Regulation </w:t>
      </w:r>
      <w:r w:rsidR="002E2088">
        <w:rPr>
          <w:noProof/>
        </w:rPr>
        <w:t>shall not affect the applicability of Union law on the protection of personal data, in particular</w:t>
      </w:r>
      <w:r w:rsidR="002E2088" w:rsidRPr="00B356D4" w:rsidDel="00A51C9F">
        <w:rPr>
          <w:noProof/>
          <w:lang w:val="en-IE"/>
        </w:rPr>
        <w:t xml:space="preserve"> </w:t>
      </w:r>
      <w:r w:rsidR="002E2088" w:rsidRPr="00B356D4">
        <w:rPr>
          <w:noProof/>
          <w:lang w:val="en-IE"/>
        </w:rPr>
        <w:t xml:space="preserve">Regulation (EU) 2016/679 and Directive 2002/58/EC, including </w:t>
      </w:r>
      <w:r w:rsidR="002E2088" w:rsidRPr="00B356D4">
        <w:rPr>
          <w:noProof/>
        </w:rPr>
        <w:t>the powers and competences of supervisory authorities</w:t>
      </w:r>
      <w:r w:rsidR="002E2088" w:rsidRPr="00B356D4">
        <w:rPr>
          <w:noProof/>
          <w:lang w:val="en-IE"/>
        </w:rPr>
        <w:t xml:space="preserve">. Insofar as the rights laid down in </w:t>
      </w:r>
      <w:r w:rsidR="002E2088">
        <w:rPr>
          <w:noProof/>
          <w:lang w:val="en-IE"/>
        </w:rPr>
        <w:t>Chapter II</w:t>
      </w:r>
      <w:r w:rsidR="002E2088" w:rsidRPr="00B356D4">
        <w:rPr>
          <w:noProof/>
          <w:lang w:val="en-IE"/>
        </w:rPr>
        <w:t xml:space="preserve"> </w:t>
      </w:r>
      <w:r w:rsidR="002E2088">
        <w:rPr>
          <w:noProof/>
          <w:lang w:val="en-IE"/>
        </w:rPr>
        <w:t>of this Regulation</w:t>
      </w:r>
      <w:r w:rsidR="002E2088" w:rsidRPr="00B356D4">
        <w:rPr>
          <w:noProof/>
          <w:lang w:val="en-IE"/>
        </w:rPr>
        <w:t xml:space="preserve"> are concerned</w:t>
      </w:r>
      <w:r w:rsidR="002E2088">
        <w:rPr>
          <w:noProof/>
          <w:lang w:val="en-IE"/>
        </w:rPr>
        <w:t>,</w:t>
      </w:r>
      <w:r w:rsidR="002E2088" w:rsidRPr="00B356D4">
        <w:rPr>
          <w:noProof/>
          <w:lang w:val="en-IE"/>
        </w:rPr>
        <w:t xml:space="preserve"> and where users are the data subjects of personal data subject to the rights and obligations under </w:t>
      </w:r>
      <w:r w:rsidR="002E2088">
        <w:rPr>
          <w:noProof/>
          <w:lang w:val="en-IE"/>
        </w:rPr>
        <w:t>that Chapter,</w:t>
      </w:r>
      <w:r w:rsidR="002E2088" w:rsidRPr="00B356D4">
        <w:rPr>
          <w:noProof/>
          <w:lang w:val="en-IE"/>
        </w:rPr>
        <w:t xml:space="preserve"> the provisions of </w:t>
      </w:r>
      <w:r w:rsidR="002E2088" w:rsidRPr="00B356D4" w:rsidDel="000C681F">
        <w:rPr>
          <w:noProof/>
          <w:lang w:val="en-IE"/>
        </w:rPr>
        <w:t xml:space="preserve">this Regulation </w:t>
      </w:r>
      <w:r w:rsidR="002E2088">
        <w:rPr>
          <w:noProof/>
          <w:lang w:val="en-IE"/>
        </w:rPr>
        <w:t xml:space="preserve">shall </w:t>
      </w:r>
      <w:r w:rsidR="002E2088" w:rsidRPr="00B356D4">
        <w:rPr>
          <w:noProof/>
          <w:lang w:val="en-IE"/>
        </w:rPr>
        <w:t xml:space="preserve">complement the right </w:t>
      </w:r>
      <w:r w:rsidR="002E2088">
        <w:rPr>
          <w:noProof/>
          <w:lang w:val="en-IE"/>
        </w:rPr>
        <w:t xml:space="preserve">of data portability </w:t>
      </w:r>
      <w:r w:rsidR="002E2088" w:rsidRPr="00B356D4">
        <w:rPr>
          <w:noProof/>
          <w:lang w:val="en-IE"/>
        </w:rPr>
        <w:t>under Article 20 of Regulation (EU) 2016/679</w:t>
      </w:r>
      <w:r w:rsidR="00884BC7" w:rsidRPr="00B356D4">
        <w:rPr>
          <w:noProof/>
          <w:lang w:val="en-IE"/>
        </w:rPr>
        <w:t>.</w:t>
      </w:r>
    </w:p>
    <w:p w14:paraId="0AD23341" w14:textId="7B604B00" w:rsidR="00884BC7" w:rsidRPr="00B356D4" w:rsidRDefault="000856CE" w:rsidP="000856CE">
      <w:pPr>
        <w:pStyle w:val="ManualNumPar1"/>
        <w:rPr>
          <w:noProof/>
          <w:lang w:val="en-IE"/>
        </w:rPr>
      </w:pPr>
      <w:r w:rsidRPr="000856CE">
        <w:t>4.</w:t>
      </w:r>
      <w:r w:rsidRPr="000856CE">
        <w:tab/>
      </w:r>
      <w:r w:rsidR="00884BC7" w:rsidRPr="00B356D4">
        <w:rPr>
          <w:noProof/>
          <w:lang w:val="en-IE"/>
        </w:rPr>
        <w:t xml:space="preserve">This Regulation </w:t>
      </w:r>
      <w:r w:rsidR="002E2088">
        <w:rPr>
          <w:noProof/>
          <w:lang w:val="en-IE"/>
        </w:rPr>
        <w:t>shall not affect</w:t>
      </w:r>
      <w:r w:rsidR="002E2088" w:rsidRPr="009E0407">
        <w:rPr>
          <w:noProof/>
          <w:lang w:val="en-IE"/>
        </w:rPr>
        <w:t xml:space="preserve"> Union and national legal acts providing for the sharing, access and use of data for the purpose of the prevention, investigation, detection or prosecution of criminal offences or the execution of criminal penalties, including Regulation (EU) 2021/784 of the European Parliament and of the Council</w:t>
      </w:r>
      <w:r w:rsidR="002E2088">
        <w:rPr>
          <w:rStyle w:val="FootnoteReference"/>
          <w:noProof/>
          <w:lang w:val="en-IE"/>
        </w:rPr>
        <w:footnoteReference w:id="72"/>
      </w:r>
      <w:r w:rsidR="00C0141F">
        <w:rPr>
          <w:noProof/>
          <w:lang w:val="en-IE"/>
        </w:rPr>
        <w:t xml:space="preserve"> </w:t>
      </w:r>
      <w:r w:rsidR="002E2088" w:rsidRPr="009E0407">
        <w:rPr>
          <w:noProof/>
          <w:lang w:val="en-IE"/>
        </w:rPr>
        <w:t xml:space="preserve">and the [e-evidence proposals [COM(2018) 225 and 226] once adopted, and international cooperation </w:t>
      </w:r>
      <w:r w:rsidR="002E2088">
        <w:rPr>
          <w:noProof/>
          <w:lang w:val="en-IE"/>
        </w:rPr>
        <w:t>in that area.</w:t>
      </w:r>
      <w:r w:rsidR="00C0141F">
        <w:rPr>
          <w:noProof/>
          <w:lang w:val="en-IE"/>
        </w:rPr>
        <w:t xml:space="preserve"> </w:t>
      </w:r>
      <w:r w:rsidR="00C0141F" w:rsidRPr="003B1BD6">
        <w:rPr>
          <w:noProof/>
          <w:lang w:val="en-IE"/>
        </w:rPr>
        <w:t xml:space="preserve">This Regulation shall not affect the collection, sharing, access </w:t>
      </w:r>
      <w:r w:rsidR="00C0141F">
        <w:rPr>
          <w:noProof/>
          <w:lang w:val="en-IE"/>
        </w:rPr>
        <w:t xml:space="preserve">to </w:t>
      </w:r>
      <w:r w:rsidR="00C0141F" w:rsidRPr="003B1BD6">
        <w:rPr>
          <w:noProof/>
          <w:lang w:val="en-IE"/>
        </w:rPr>
        <w:t>and use of data under Directive (EU) 2015/849 of the European Parliament and of the Council on the prevention of the use of the financial system for the purposes of money laundering and terrorist financing and Regulation (EU) 2015/847 of the European Parliament and of the Council on information accompanying the transfer of funds.</w:t>
      </w:r>
      <w:r w:rsidR="002E2088">
        <w:rPr>
          <w:noProof/>
          <w:lang w:val="en-IE"/>
        </w:rPr>
        <w:t xml:space="preserve"> </w:t>
      </w:r>
      <w:r w:rsidR="002E2088">
        <w:rPr>
          <w:noProof/>
        </w:rPr>
        <w:t>This Regulation shall not affect</w:t>
      </w:r>
      <w:r w:rsidR="002E2088" w:rsidRPr="006D12BC">
        <w:rPr>
          <w:noProof/>
        </w:rPr>
        <w:t xml:space="preserve"> the competences of the Member States regarding activities concerning public security, defence, national security</w:t>
      </w:r>
      <w:r w:rsidR="002E2088">
        <w:rPr>
          <w:noProof/>
        </w:rPr>
        <w:t>, customs and tax</w:t>
      </w:r>
      <w:r w:rsidR="002E2088" w:rsidRPr="006D12BC">
        <w:rPr>
          <w:noProof/>
        </w:rPr>
        <w:t xml:space="preserve"> </w:t>
      </w:r>
      <w:r w:rsidR="002E2088">
        <w:rPr>
          <w:noProof/>
        </w:rPr>
        <w:t>administration and the health and safety of citizens</w:t>
      </w:r>
      <w:r w:rsidR="002E2088" w:rsidRPr="006D12BC">
        <w:rPr>
          <w:noProof/>
        </w:rPr>
        <w:t xml:space="preserve"> in accordance with Union law</w:t>
      </w:r>
      <w:r w:rsidR="00884BC7" w:rsidRPr="00B356D4">
        <w:rPr>
          <w:noProof/>
          <w:lang w:val="en-IE"/>
        </w:rPr>
        <w:t>.</w:t>
      </w:r>
    </w:p>
    <w:p w14:paraId="3B10DE53" w14:textId="764C54B3" w:rsidR="004D0703" w:rsidRPr="0077149E" w:rsidRDefault="00CC2D52" w:rsidP="0077149E">
      <w:pPr>
        <w:pStyle w:val="Titrearticleb"/>
        <w:rPr>
          <w:noProof/>
        </w:rPr>
      </w:pPr>
      <w:r>
        <w:rPr>
          <w:noProof/>
        </w:rPr>
        <w:t>Article 2</w:t>
      </w:r>
      <w:r w:rsidR="0077149E">
        <w:rPr>
          <w:noProof/>
        </w:rPr>
        <w:br/>
      </w:r>
      <w:r w:rsidR="004D0703" w:rsidRPr="00B356D4">
        <w:rPr>
          <w:noProof/>
          <w:lang w:val="en-IE"/>
        </w:rPr>
        <w:t>Definitions</w:t>
      </w:r>
    </w:p>
    <w:p w14:paraId="112DEFEB" w14:textId="77777777" w:rsidR="004D0703" w:rsidRPr="00B356D4" w:rsidRDefault="004D0703" w:rsidP="004D0703">
      <w:pPr>
        <w:widowControl w:val="0"/>
        <w:spacing w:before="0" w:after="200"/>
        <w:rPr>
          <w:rFonts w:eastAsia="Times New Roman"/>
          <w:noProof/>
          <w:lang w:val="en-IE"/>
        </w:rPr>
      </w:pPr>
      <w:r w:rsidRPr="00B356D4">
        <w:rPr>
          <w:rFonts w:eastAsia="Times New Roman"/>
          <w:noProof/>
          <w:lang w:val="en-IE"/>
        </w:rPr>
        <w:t xml:space="preserve">For the purposes of this Regulation, the following definitions apply: </w:t>
      </w:r>
    </w:p>
    <w:p w14:paraId="13963880" w14:textId="5BBCF718" w:rsidR="00884BC7" w:rsidRPr="00E80604" w:rsidRDefault="000856CE" w:rsidP="000856CE">
      <w:pPr>
        <w:pStyle w:val="Point0"/>
        <w:rPr>
          <w:noProof/>
          <w:lang w:val="en-IE"/>
        </w:rPr>
      </w:pPr>
      <w:r w:rsidRPr="000856CE">
        <w:t>(1)</w:t>
      </w:r>
      <w:r w:rsidRPr="000856CE">
        <w:tab/>
      </w:r>
      <w:r w:rsidR="00884BC7" w:rsidRPr="00E80604">
        <w:rPr>
          <w:noProof/>
          <w:lang w:val="en-IE"/>
        </w:rPr>
        <w:t xml:space="preserve">‘data’ </w:t>
      </w:r>
      <w:r w:rsidR="002E2088" w:rsidRPr="00E80604">
        <w:rPr>
          <w:noProof/>
          <w:lang w:val="en-IE"/>
        </w:rPr>
        <w:t>means any digital representation of acts, facts or information and any compilation of such acts, facts or information, including in the form of sound, visual or audio-visual recording</w:t>
      </w:r>
      <w:r w:rsidR="00884BC7" w:rsidRPr="00E80604">
        <w:rPr>
          <w:noProof/>
          <w:lang w:val="en-IE"/>
        </w:rPr>
        <w:t>;</w:t>
      </w:r>
    </w:p>
    <w:p w14:paraId="05024A9D" w14:textId="2F2C90D5" w:rsidR="00884BC7" w:rsidRPr="00B356D4" w:rsidRDefault="000856CE" w:rsidP="000856CE">
      <w:pPr>
        <w:pStyle w:val="Point0"/>
        <w:rPr>
          <w:noProof/>
          <w:lang w:val="en-US"/>
        </w:rPr>
      </w:pPr>
      <w:r w:rsidRPr="000856CE">
        <w:t>(2)</w:t>
      </w:r>
      <w:r w:rsidRPr="000856CE">
        <w:tab/>
      </w:r>
      <w:r w:rsidR="00884BC7" w:rsidRPr="00B356D4">
        <w:rPr>
          <w:noProof/>
        </w:rPr>
        <w:t xml:space="preserve">‘product’ </w:t>
      </w:r>
      <w:r w:rsidR="002E2088" w:rsidRPr="00B356D4">
        <w:rPr>
          <w:noProof/>
        </w:rPr>
        <w:t>means a tangible</w:t>
      </w:r>
      <w:r w:rsidR="002E2088">
        <w:rPr>
          <w:noProof/>
        </w:rPr>
        <w:t>, movable</w:t>
      </w:r>
      <w:r w:rsidR="002E2088" w:rsidRPr="00B356D4">
        <w:rPr>
          <w:noProof/>
        </w:rPr>
        <w:t xml:space="preserve"> item</w:t>
      </w:r>
      <w:r w:rsidR="002E2088">
        <w:rPr>
          <w:noProof/>
        </w:rPr>
        <w:t xml:space="preserve">, including where incorporated in an immovable item, </w:t>
      </w:r>
      <w:r w:rsidR="002E2088" w:rsidRPr="00B356D4">
        <w:rPr>
          <w:noProof/>
        </w:rPr>
        <w:t>that obtains, generates or collects, data concerning its use or environment</w:t>
      </w:r>
      <w:r w:rsidR="002E2088">
        <w:rPr>
          <w:noProof/>
        </w:rPr>
        <w:t xml:space="preserve">, and that is </w:t>
      </w:r>
      <w:r w:rsidR="002E2088" w:rsidRPr="00B356D4">
        <w:rPr>
          <w:noProof/>
        </w:rPr>
        <w:t>able to communicate data via a publicly available electronic communications service</w:t>
      </w:r>
      <w:r w:rsidR="002E2088">
        <w:rPr>
          <w:noProof/>
        </w:rPr>
        <w:t xml:space="preserve"> and</w:t>
      </w:r>
      <w:r w:rsidR="002E2088" w:rsidRPr="00B356D4">
        <w:rPr>
          <w:noProof/>
        </w:rPr>
        <w:t xml:space="preserve"> whose primary function is not the storing and processing of data</w:t>
      </w:r>
      <w:r w:rsidR="00884BC7">
        <w:rPr>
          <w:noProof/>
        </w:rPr>
        <w:t>;</w:t>
      </w:r>
    </w:p>
    <w:p w14:paraId="43F520C8" w14:textId="7066B4A2" w:rsidR="00884BC7" w:rsidRPr="002D7C8A" w:rsidRDefault="000856CE" w:rsidP="000856CE">
      <w:pPr>
        <w:pStyle w:val="Point0"/>
        <w:rPr>
          <w:noProof/>
          <w:lang w:val="en-US"/>
        </w:rPr>
      </w:pPr>
      <w:r w:rsidRPr="000856CE">
        <w:t>(3)</w:t>
      </w:r>
      <w:r w:rsidRPr="000856CE">
        <w:tab/>
      </w:r>
      <w:r w:rsidR="00884BC7" w:rsidRPr="00B356D4">
        <w:rPr>
          <w:noProof/>
        </w:rPr>
        <w:t xml:space="preserve">‘related service’ means </w:t>
      </w:r>
      <w:r w:rsidR="002E2088" w:rsidRPr="00B356D4">
        <w:rPr>
          <w:noProof/>
        </w:rPr>
        <w:t xml:space="preserve">a digital service, </w:t>
      </w:r>
      <w:r w:rsidR="00022DA4" w:rsidRPr="00B356D4">
        <w:rPr>
          <w:noProof/>
        </w:rPr>
        <w:t>including software</w:t>
      </w:r>
      <w:r w:rsidR="00022DA4">
        <w:rPr>
          <w:noProof/>
        </w:rPr>
        <w:t>,</w:t>
      </w:r>
      <w:r w:rsidR="00022DA4" w:rsidRPr="00B356D4">
        <w:rPr>
          <w:noProof/>
        </w:rPr>
        <w:t xml:space="preserve"> </w:t>
      </w:r>
      <w:r w:rsidR="002E2088" w:rsidRPr="00B356D4">
        <w:rPr>
          <w:noProof/>
        </w:rPr>
        <w:t>which is incorporated in or inter-connected with a product in such a way that its absence would prevent the product from performing one of its functions</w:t>
      </w:r>
      <w:r w:rsidR="00884BC7" w:rsidRPr="00B356D4">
        <w:rPr>
          <w:noProof/>
        </w:rPr>
        <w:t>;</w:t>
      </w:r>
    </w:p>
    <w:p w14:paraId="5F3A3D40" w14:textId="7486BF52" w:rsidR="00090DDB" w:rsidRPr="002D7C8A" w:rsidRDefault="000856CE" w:rsidP="000856CE">
      <w:pPr>
        <w:pStyle w:val="Point0"/>
        <w:rPr>
          <w:noProof/>
          <w:lang w:val="en-IE"/>
        </w:rPr>
      </w:pPr>
      <w:r w:rsidRPr="000856CE">
        <w:t>(4)</w:t>
      </w:r>
      <w:r w:rsidRPr="000856CE">
        <w:tab/>
      </w:r>
      <w:r w:rsidR="00090DDB">
        <w:rPr>
          <w:rStyle w:val="italic"/>
          <w:noProof/>
        </w:rPr>
        <w:t xml:space="preserve">‘virtual assistants’ means </w:t>
      </w:r>
      <w:r w:rsidR="00022DA4" w:rsidRPr="00022DA4">
        <w:rPr>
          <w:rStyle w:val="italic"/>
          <w:noProof/>
        </w:rPr>
        <w:t>software that can process demands, tasks or questions including based on audio, written input, gestures or motions, and based on those demands, tasks or questions provides access their own and third party services or control their own and third party devices</w:t>
      </w:r>
      <w:r w:rsidR="00022DA4">
        <w:rPr>
          <w:rStyle w:val="italic"/>
          <w:noProof/>
        </w:rPr>
        <w:t>;</w:t>
      </w:r>
    </w:p>
    <w:p w14:paraId="2DF777E4" w14:textId="3E5240A5" w:rsidR="00884BC7" w:rsidRPr="00D54ACF" w:rsidRDefault="000856CE" w:rsidP="000856CE">
      <w:pPr>
        <w:pStyle w:val="Point0"/>
        <w:rPr>
          <w:rFonts w:eastAsiaTheme="minorEastAsia"/>
          <w:noProof/>
        </w:rPr>
      </w:pPr>
      <w:r w:rsidRPr="000856CE">
        <w:t>(5)</w:t>
      </w:r>
      <w:r w:rsidRPr="000856CE">
        <w:tab/>
      </w:r>
      <w:r w:rsidR="00884BC7">
        <w:rPr>
          <w:noProof/>
        </w:rPr>
        <w:t xml:space="preserve">‘user’ </w:t>
      </w:r>
      <w:r w:rsidR="002E2088" w:rsidRPr="00B356D4">
        <w:rPr>
          <w:noProof/>
        </w:rPr>
        <w:t xml:space="preserve">means </w:t>
      </w:r>
      <w:r w:rsidR="002E2088" w:rsidRPr="00B356D4" w:rsidDel="003D5CBB">
        <w:rPr>
          <w:noProof/>
        </w:rPr>
        <w:t xml:space="preserve">a natural or </w:t>
      </w:r>
      <w:r w:rsidR="002E2088" w:rsidRPr="00B356D4">
        <w:rPr>
          <w:noProof/>
        </w:rPr>
        <w:t xml:space="preserve">legal person </w:t>
      </w:r>
      <w:r w:rsidR="002E2088" w:rsidRPr="00434C76">
        <w:rPr>
          <w:noProof/>
        </w:rPr>
        <w:t xml:space="preserve">that </w:t>
      </w:r>
      <w:r w:rsidR="002E2088" w:rsidRPr="00DD25E2">
        <w:rPr>
          <w:noProof/>
        </w:rPr>
        <w:t>owns</w:t>
      </w:r>
      <w:r w:rsidR="002E2088">
        <w:rPr>
          <w:noProof/>
        </w:rPr>
        <w:t>, rents or leases</w:t>
      </w:r>
      <w:r w:rsidR="002E2088" w:rsidRPr="00434C76">
        <w:rPr>
          <w:noProof/>
        </w:rPr>
        <w:t xml:space="preserve"> a product</w:t>
      </w:r>
      <w:r w:rsidR="002E2088">
        <w:rPr>
          <w:noProof/>
        </w:rPr>
        <w:t xml:space="preserve"> or receives a services</w:t>
      </w:r>
      <w:r w:rsidR="00884BC7">
        <w:rPr>
          <w:noProof/>
        </w:rPr>
        <w:t>;</w:t>
      </w:r>
      <w:r w:rsidR="00884BC7" w:rsidRPr="00B356D4">
        <w:rPr>
          <w:noProof/>
        </w:rPr>
        <w:t xml:space="preserve"> </w:t>
      </w:r>
    </w:p>
    <w:p w14:paraId="09BF3A80" w14:textId="495AE00D" w:rsidR="00884BC7" w:rsidRPr="00B356D4" w:rsidRDefault="000856CE" w:rsidP="000856CE">
      <w:pPr>
        <w:pStyle w:val="Point0"/>
        <w:rPr>
          <w:noProof/>
        </w:rPr>
      </w:pPr>
      <w:r w:rsidRPr="000856CE">
        <w:t>(6)</w:t>
      </w:r>
      <w:r w:rsidRPr="000856CE">
        <w:tab/>
      </w:r>
      <w:r w:rsidR="00884BC7" w:rsidRPr="00B356D4">
        <w:rPr>
          <w:noProof/>
        </w:rPr>
        <w:t xml:space="preserve">‘data holder’ </w:t>
      </w:r>
      <w:r w:rsidR="002E2088" w:rsidRPr="00B356D4">
        <w:rPr>
          <w:noProof/>
        </w:rPr>
        <w:t>means a</w:t>
      </w:r>
      <w:r w:rsidR="002E2088">
        <w:rPr>
          <w:noProof/>
        </w:rPr>
        <w:t xml:space="preserve"> </w:t>
      </w:r>
      <w:r w:rsidR="002E2088" w:rsidRPr="00E35484">
        <w:rPr>
          <w:noProof/>
        </w:rPr>
        <w:t>legal or natural person</w:t>
      </w:r>
      <w:r w:rsidR="002E2088" w:rsidRPr="00B356D4">
        <w:rPr>
          <w:noProof/>
        </w:rPr>
        <w:t xml:space="preserve"> wh</w:t>
      </w:r>
      <w:r w:rsidR="002E2088">
        <w:rPr>
          <w:noProof/>
        </w:rPr>
        <w:t>o</w:t>
      </w:r>
      <w:r w:rsidR="002E2088" w:rsidRPr="00B356D4">
        <w:rPr>
          <w:noProof/>
        </w:rPr>
        <w:t xml:space="preserve"> has the right or obligation, in accordance with</w:t>
      </w:r>
      <w:r w:rsidR="00C0141F">
        <w:rPr>
          <w:noProof/>
        </w:rPr>
        <w:t xml:space="preserve"> this Regulation,</w:t>
      </w:r>
      <w:r w:rsidR="002E2088" w:rsidRPr="00B356D4">
        <w:rPr>
          <w:noProof/>
        </w:rPr>
        <w:t xml:space="preserve"> applicable Union</w:t>
      </w:r>
      <w:r w:rsidR="00C0141F">
        <w:rPr>
          <w:noProof/>
        </w:rPr>
        <w:t xml:space="preserve"> law</w:t>
      </w:r>
      <w:r w:rsidR="002E2088" w:rsidRPr="00B356D4">
        <w:rPr>
          <w:noProof/>
        </w:rPr>
        <w:t xml:space="preserve"> or national </w:t>
      </w:r>
      <w:r w:rsidR="002E2088">
        <w:rPr>
          <w:noProof/>
        </w:rPr>
        <w:t>legislation implementing Union law</w:t>
      </w:r>
      <w:r w:rsidR="002E2088" w:rsidRPr="00B356D4">
        <w:rPr>
          <w:noProof/>
        </w:rPr>
        <w:t xml:space="preserve">, </w:t>
      </w:r>
      <w:r w:rsidR="00E528D7">
        <w:rPr>
          <w:noProof/>
        </w:rPr>
        <w:t xml:space="preserve">or </w:t>
      </w:r>
      <w:r w:rsidR="002E2088">
        <w:rPr>
          <w:noProof/>
        </w:rPr>
        <w:t xml:space="preserve">in the case of non-personal data </w:t>
      </w:r>
      <w:r w:rsidR="002E2088" w:rsidRPr="001E0F71">
        <w:rPr>
          <w:noProof/>
        </w:rPr>
        <w:t>and through control of the technical design of the product and related services</w:t>
      </w:r>
      <w:r w:rsidR="002E2088">
        <w:rPr>
          <w:noProof/>
        </w:rPr>
        <w:t xml:space="preserve">, </w:t>
      </w:r>
      <w:r w:rsidR="002E2088" w:rsidRPr="00B356D4">
        <w:rPr>
          <w:noProof/>
        </w:rPr>
        <w:t>the ability, to make available certain data</w:t>
      </w:r>
      <w:r w:rsidR="00884BC7" w:rsidRPr="00B356D4">
        <w:rPr>
          <w:noProof/>
        </w:rPr>
        <w:t xml:space="preserve">; </w:t>
      </w:r>
    </w:p>
    <w:p w14:paraId="0BDB5EE5" w14:textId="6C425F9C" w:rsidR="002E2088" w:rsidRPr="00B356D4" w:rsidRDefault="000856CE" w:rsidP="000856CE">
      <w:pPr>
        <w:pStyle w:val="Point0"/>
        <w:rPr>
          <w:noProof/>
        </w:rPr>
      </w:pPr>
      <w:r w:rsidRPr="000856CE">
        <w:t>(7)</w:t>
      </w:r>
      <w:r w:rsidRPr="000856CE">
        <w:tab/>
      </w:r>
      <w:r w:rsidR="00884BC7" w:rsidRPr="00F8766D">
        <w:rPr>
          <w:noProof/>
          <w:lang w:val="en-IE"/>
        </w:rPr>
        <w:t xml:space="preserve">‘data recipient’ </w:t>
      </w:r>
      <w:r w:rsidR="002E2088" w:rsidRPr="00F8766D">
        <w:rPr>
          <w:noProof/>
          <w:lang w:val="en-IE"/>
        </w:rPr>
        <w:t xml:space="preserve">means a legal </w:t>
      </w:r>
      <w:r w:rsidR="002E2088">
        <w:rPr>
          <w:noProof/>
          <w:lang w:val="en-IE"/>
        </w:rPr>
        <w:t xml:space="preserve">or natural </w:t>
      </w:r>
      <w:r w:rsidR="002E2088" w:rsidRPr="00F8766D">
        <w:rPr>
          <w:noProof/>
          <w:lang w:val="en-IE"/>
        </w:rPr>
        <w:t xml:space="preserve">person, </w:t>
      </w:r>
      <w:r w:rsidR="002E2088">
        <w:rPr>
          <w:noProof/>
          <w:lang w:val="en-IE"/>
        </w:rPr>
        <w:t xml:space="preserve">acting for purposes which are related to that person’s trade, business, craft or profession, </w:t>
      </w:r>
      <w:r w:rsidR="00C0141F">
        <w:rPr>
          <w:noProof/>
          <w:lang w:val="en-IE"/>
        </w:rPr>
        <w:t xml:space="preserve">other than the user of a product or related service, </w:t>
      </w:r>
      <w:r w:rsidR="002E2088" w:rsidRPr="00F8766D">
        <w:rPr>
          <w:noProof/>
          <w:lang w:val="en-IE"/>
        </w:rPr>
        <w:t>to whom the data holder makes data available</w:t>
      </w:r>
      <w:r w:rsidR="002E2088">
        <w:rPr>
          <w:noProof/>
          <w:lang w:val="en-IE"/>
        </w:rPr>
        <w:t>,</w:t>
      </w:r>
      <w:r w:rsidR="002E2088" w:rsidRPr="00E560FC">
        <w:rPr>
          <w:noProof/>
          <w:lang w:val="en-IE"/>
        </w:rPr>
        <w:t xml:space="preserve"> </w:t>
      </w:r>
      <w:r w:rsidR="002E2088">
        <w:rPr>
          <w:noProof/>
          <w:lang w:val="en-IE"/>
        </w:rPr>
        <w:t xml:space="preserve">including a third party </w:t>
      </w:r>
      <w:r w:rsidR="002E2088" w:rsidRPr="00F8766D">
        <w:rPr>
          <w:noProof/>
          <w:lang w:val="en-IE"/>
        </w:rPr>
        <w:t>following a request by the user</w:t>
      </w:r>
      <w:r w:rsidR="002E2088">
        <w:rPr>
          <w:noProof/>
          <w:lang w:val="en-IE"/>
        </w:rPr>
        <w:t xml:space="preserve"> to the data holder or</w:t>
      </w:r>
      <w:r w:rsidR="002E2088" w:rsidRPr="00E4125F">
        <w:rPr>
          <w:noProof/>
          <w:lang w:val="en-IE"/>
        </w:rPr>
        <w:t xml:space="preserve"> </w:t>
      </w:r>
      <w:r w:rsidR="002E2088" w:rsidRPr="00F8766D">
        <w:rPr>
          <w:noProof/>
          <w:lang w:val="en-IE"/>
        </w:rPr>
        <w:t>in accordance with a legal obligation</w:t>
      </w:r>
      <w:r w:rsidR="002E2088">
        <w:rPr>
          <w:noProof/>
          <w:lang w:val="en-IE"/>
        </w:rPr>
        <w:t xml:space="preserve"> under Union </w:t>
      </w:r>
      <w:r w:rsidR="00C0141F">
        <w:rPr>
          <w:noProof/>
          <w:lang w:val="en-IE"/>
        </w:rPr>
        <w:t xml:space="preserve">law </w:t>
      </w:r>
      <w:r w:rsidR="002E2088">
        <w:rPr>
          <w:noProof/>
          <w:lang w:val="en-IE"/>
        </w:rPr>
        <w:t>or national legislation implementing Union law</w:t>
      </w:r>
      <w:r w:rsidR="00884BC7" w:rsidRPr="00F8766D">
        <w:rPr>
          <w:noProof/>
          <w:lang w:val="en-IE"/>
        </w:rPr>
        <w:t>;</w:t>
      </w:r>
    </w:p>
    <w:p w14:paraId="79D41F20" w14:textId="293B8AA3" w:rsidR="002E2088" w:rsidRPr="00B356D4" w:rsidRDefault="000856CE" w:rsidP="000856CE">
      <w:pPr>
        <w:pStyle w:val="Point0"/>
        <w:rPr>
          <w:noProof/>
        </w:rPr>
      </w:pPr>
      <w:r w:rsidRPr="000856CE">
        <w:t>(8)</w:t>
      </w:r>
      <w:r w:rsidRPr="000856CE">
        <w:tab/>
      </w:r>
      <w:r w:rsidR="002E2088" w:rsidRPr="400E3052">
        <w:rPr>
          <w:noProof/>
          <w:lang w:val="en-IE"/>
        </w:rPr>
        <w:t xml:space="preserve">‘enterprise’ means </w:t>
      </w:r>
      <w:r w:rsidR="002E2088">
        <w:rPr>
          <w:noProof/>
        </w:rPr>
        <w:t xml:space="preserve">a natural or legal person which </w:t>
      </w:r>
      <w:r w:rsidR="002E2088" w:rsidRPr="400E3052">
        <w:rPr>
          <w:noProof/>
          <w:lang w:val="en-IE"/>
        </w:rPr>
        <w:t>in relation to contracts and practices covered by this Regulation is acting for purposes which are related to that person’s trade, business, craft or profession</w:t>
      </w:r>
      <w:r w:rsidR="002E2088">
        <w:rPr>
          <w:noProof/>
        </w:rPr>
        <w:t>;</w:t>
      </w:r>
    </w:p>
    <w:p w14:paraId="2BB069B7" w14:textId="6FA85E6E" w:rsidR="002E2088" w:rsidRPr="00B356D4" w:rsidRDefault="000856CE" w:rsidP="000856CE">
      <w:pPr>
        <w:pStyle w:val="Point0"/>
        <w:rPr>
          <w:noProof/>
        </w:rPr>
      </w:pPr>
      <w:r w:rsidRPr="000856CE">
        <w:t>(9)</w:t>
      </w:r>
      <w:r w:rsidRPr="000856CE">
        <w:tab/>
      </w:r>
      <w:r w:rsidR="00C0141F" w:rsidDel="00C0141F">
        <w:rPr>
          <w:rStyle w:val="italic"/>
          <w:noProof/>
        </w:rPr>
        <w:t xml:space="preserve"> </w:t>
      </w:r>
      <w:r w:rsidR="002E2088" w:rsidRPr="00B356D4">
        <w:rPr>
          <w:noProof/>
          <w:lang w:val="en-IE"/>
        </w:rPr>
        <w:t>‘public sector body’ means</w:t>
      </w:r>
      <w:r w:rsidR="002E2088">
        <w:rPr>
          <w:noProof/>
          <w:lang w:val="en-IE"/>
        </w:rPr>
        <w:t xml:space="preserve"> national</w:t>
      </w:r>
      <w:r w:rsidR="002E2088" w:rsidRPr="00B356D4">
        <w:rPr>
          <w:noProof/>
          <w:lang w:val="en-IE"/>
        </w:rPr>
        <w:t>, regional or local authorities</w:t>
      </w:r>
      <w:r w:rsidR="002E2088" w:rsidRPr="00260211">
        <w:rPr>
          <w:noProof/>
          <w:lang w:val="en-IE"/>
        </w:rPr>
        <w:t xml:space="preserve"> </w:t>
      </w:r>
      <w:r w:rsidR="002E2088">
        <w:rPr>
          <w:noProof/>
          <w:lang w:val="en-IE"/>
        </w:rPr>
        <w:t>of the Member</w:t>
      </w:r>
      <w:r w:rsidR="002E2088" w:rsidRPr="00B356D4">
        <w:rPr>
          <w:noProof/>
          <w:lang w:val="en-IE"/>
        </w:rPr>
        <w:t xml:space="preserve"> State</w:t>
      </w:r>
      <w:r w:rsidR="002E2088">
        <w:rPr>
          <w:noProof/>
          <w:lang w:val="en-IE"/>
        </w:rPr>
        <w:t>s and</w:t>
      </w:r>
      <w:r w:rsidR="002E2088" w:rsidRPr="00B356D4">
        <w:rPr>
          <w:noProof/>
          <w:lang w:val="en-IE"/>
        </w:rPr>
        <w:t xml:space="preserve"> bodies governed by public law </w:t>
      </w:r>
      <w:r w:rsidR="002E2088">
        <w:rPr>
          <w:noProof/>
          <w:lang w:val="en-IE"/>
        </w:rPr>
        <w:t>of the Member States,</w:t>
      </w:r>
      <w:r w:rsidR="002E2088" w:rsidRPr="00B356D4">
        <w:rPr>
          <w:noProof/>
          <w:lang w:val="en-IE"/>
        </w:rPr>
        <w:t xml:space="preserve"> or associations formed by one or more such authorities or one or more such bodies;</w:t>
      </w:r>
    </w:p>
    <w:p w14:paraId="29D462A1" w14:textId="634F2E19" w:rsidR="002E2088" w:rsidRPr="00B356D4" w:rsidRDefault="000856CE" w:rsidP="000856CE">
      <w:pPr>
        <w:pStyle w:val="Point0"/>
        <w:rPr>
          <w:noProof/>
          <w:lang w:val="en-IE"/>
        </w:rPr>
      </w:pPr>
      <w:r w:rsidRPr="000856CE">
        <w:t>(10)</w:t>
      </w:r>
      <w:r w:rsidRPr="000856CE">
        <w:tab/>
      </w:r>
      <w:r w:rsidR="002E2088" w:rsidRPr="00B356D4">
        <w:rPr>
          <w:noProof/>
          <w:lang w:val="en-IE"/>
        </w:rPr>
        <w:t xml:space="preserve">‘public emergency’ </w:t>
      </w:r>
      <w:r w:rsidR="002E2088">
        <w:rPr>
          <w:noProof/>
          <w:lang w:val="en-IE"/>
        </w:rPr>
        <w:t>means an</w:t>
      </w:r>
      <w:r w:rsidR="002E2088" w:rsidRPr="00B356D4">
        <w:rPr>
          <w:noProof/>
          <w:lang w:val="en-IE"/>
        </w:rPr>
        <w:t xml:space="preserve"> exceptional situation negatively affecting </w:t>
      </w:r>
      <w:r w:rsidR="002E2088">
        <w:rPr>
          <w:noProof/>
          <w:lang w:val="en-IE"/>
        </w:rPr>
        <w:t>the</w:t>
      </w:r>
      <w:r w:rsidR="002E2088" w:rsidRPr="00B356D4">
        <w:rPr>
          <w:noProof/>
          <w:lang w:val="en-IE"/>
        </w:rPr>
        <w:t xml:space="preserve"> population</w:t>
      </w:r>
      <w:r w:rsidR="002E2088">
        <w:rPr>
          <w:noProof/>
          <w:lang w:val="en-IE"/>
        </w:rPr>
        <w:t xml:space="preserve"> of </w:t>
      </w:r>
      <w:r w:rsidR="00C0141F">
        <w:rPr>
          <w:noProof/>
          <w:lang w:val="en-IE"/>
        </w:rPr>
        <w:t xml:space="preserve">the Union, </w:t>
      </w:r>
      <w:r w:rsidR="002E2088">
        <w:rPr>
          <w:noProof/>
          <w:lang w:val="en-IE"/>
        </w:rPr>
        <w:t xml:space="preserve">a </w:t>
      </w:r>
      <w:r w:rsidR="002E2088" w:rsidRPr="00B356D4">
        <w:rPr>
          <w:noProof/>
          <w:lang w:val="en-IE"/>
        </w:rPr>
        <w:t>Member State</w:t>
      </w:r>
      <w:r w:rsidR="002E2088" w:rsidRPr="00360DF2">
        <w:rPr>
          <w:noProof/>
          <w:lang w:val="en-IE"/>
        </w:rPr>
        <w:t xml:space="preserve"> </w:t>
      </w:r>
      <w:r w:rsidR="002E2088">
        <w:rPr>
          <w:noProof/>
          <w:lang w:val="en-IE"/>
        </w:rPr>
        <w:t xml:space="preserve">or part of it, </w:t>
      </w:r>
      <w:r w:rsidR="002E2088" w:rsidRPr="00B356D4">
        <w:rPr>
          <w:noProof/>
          <w:lang w:val="en-IE"/>
        </w:rPr>
        <w:t xml:space="preserve">with a risk of serious and lasting repercussions on living conditions </w:t>
      </w:r>
      <w:r w:rsidR="00397CDE">
        <w:rPr>
          <w:noProof/>
          <w:lang w:val="en-IE"/>
        </w:rPr>
        <w:t>or</w:t>
      </w:r>
      <w:r w:rsidR="00397CDE" w:rsidRPr="00B356D4">
        <w:rPr>
          <w:noProof/>
          <w:lang w:val="en-IE"/>
        </w:rPr>
        <w:t xml:space="preserve"> </w:t>
      </w:r>
      <w:r w:rsidR="002E2088" w:rsidRPr="00B356D4">
        <w:rPr>
          <w:noProof/>
          <w:lang w:val="en-IE"/>
        </w:rPr>
        <w:t>economic stability</w:t>
      </w:r>
      <w:r w:rsidR="00C0141F">
        <w:rPr>
          <w:noProof/>
          <w:lang w:val="en-IE"/>
        </w:rPr>
        <w:t>, or the substantial degradation of economic assets</w:t>
      </w:r>
      <w:r w:rsidR="002E2088" w:rsidRPr="00B356D4">
        <w:rPr>
          <w:noProof/>
          <w:lang w:val="en-IE"/>
        </w:rPr>
        <w:t xml:space="preserve"> </w:t>
      </w:r>
      <w:r w:rsidR="002E2088">
        <w:rPr>
          <w:noProof/>
          <w:lang w:val="en-IE"/>
        </w:rPr>
        <w:t>in</w:t>
      </w:r>
      <w:r w:rsidR="002E2088" w:rsidRPr="00B356D4">
        <w:rPr>
          <w:noProof/>
          <w:lang w:val="en-IE"/>
        </w:rPr>
        <w:t xml:space="preserve"> the</w:t>
      </w:r>
      <w:r w:rsidR="00C0141F">
        <w:rPr>
          <w:noProof/>
          <w:lang w:val="en-IE"/>
        </w:rPr>
        <w:t xml:space="preserve"> Union or the</w:t>
      </w:r>
      <w:r w:rsidR="002E2088" w:rsidRPr="00B356D4">
        <w:rPr>
          <w:noProof/>
          <w:lang w:val="en-IE"/>
        </w:rPr>
        <w:t xml:space="preserve"> </w:t>
      </w:r>
      <w:r w:rsidR="002E2088">
        <w:rPr>
          <w:noProof/>
          <w:lang w:val="en-IE"/>
        </w:rPr>
        <w:t xml:space="preserve">relevant </w:t>
      </w:r>
      <w:r w:rsidR="002E2088" w:rsidRPr="00B356D4">
        <w:rPr>
          <w:noProof/>
          <w:lang w:val="en-IE"/>
        </w:rPr>
        <w:t xml:space="preserve">Member State(s); </w:t>
      </w:r>
    </w:p>
    <w:p w14:paraId="53D88976" w14:textId="45FF0427" w:rsidR="002E2088" w:rsidRPr="00B356D4" w:rsidRDefault="000856CE" w:rsidP="000856CE">
      <w:pPr>
        <w:pStyle w:val="Point0"/>
        <w:rPr>
          <w:noProof/>
          <w:lang w:val="en-IE"/>
        </w:rPr>
      </w:pPr>
      <w:r w:rsidRPr="000856CE">
        <w:t>(11)</w:t>
      </w:r>
      <w:r w:rsidRPr="000856CE">
        <w:tab/>
      </w:r>
      <w:r w:rsidR="002E2088" w:rsidRPr="00B356D4">
        <w:rPr>
          <w:rFonts w:eastAsia="Calibri"/>
          <w:noProof/>
          <w:lang w:val="en-IE"/>
        </w:rPr>
        <w:t xml:space="preserve">‘processing’ means </w:t>
      </w:r>
      <w:r w:rsidR="002E2088" w:rsidRPr="64EE6A32">
        <w:rPr>
          <w:noProof/>
          <w:lang w:val="en-IE"/>
        </w:rPr>
        <w:t>any operation or set of operations which is performed on data or on sets of data in electronic format,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351E5EF1" w14:textId="73FCD833" w:rsidR="002E2088" w:rsidRPr="00B356D4" w:rsidRDefault="000856CE" w:rsidP="000856CE">
      <w:pPr>
        <w:pStyle w:val="Point0"/>
        <w:rPr>
          <w:rFonts w:eastAsia="Times New Roman"/>
          <w:noProof/>
          <w:color w:val="000000" w:themeColor="text1"/>
          <w:lang w:val="en-IE"/>
        </w:rPr>
      </w:pPr>
      <w:r w:rsidRPr="000856CE">
        <w:t>(12)</w:t>
      </w:r>
      <w:r w:rsidRPr="000856CE">
        <w:tab/>
      </w:r>
      <w:r w:rsidR="002E2088" w:rsidRPr="00B356D4">
        <w:rPr>
          <w:rFonts w:eastAsiaTheme="minorEastAsia"/>
          <w:noProof/>
          <w:lang w:val="en-IE"/>
        </w:rPr>
        <w:t xml:space="preserve">‘data processing service’ </w:t>
      </w:r>
      <w:r w:rsidR="002E2088" w:rsidRPr="00B356D4">
        <w:rPr>
          <w:noProof/>
          <w:lang w:val="en-IE"/>
        </w:rPr>
        <w:t>means a digital service</w:t>
      </w:r>
      <w:r w:rsidR="002E2088" w:rsidRPr="0BC621F4">
        <w:rPr>
          <w:noProof/>
          <w:lang w:val="en-IE"/>
        </w:rPr>
        <w:t xml:space="preserve"> other than an online content service as defined in </w:t>
      </w:r>
      <w:r w:rsidR="00C0141F">
        <w:rPr>
          <w:noProof/>
          <w:lang w:val="en-IE"/>
        </w:rPr>
        <w:t>A</w:t>
      </w:r>
      <w:r w:rsidR="002E2088" w:rsidRPr="0BC621F4">
        <w:rPr>
          <w:noProof/>
          <w:lang w:val="en-IE"/>
        </w:rPr>
        <w:t>rticle 2</w:t>
      </w:r>
      <w:r w:rsidR="00C0141F">
        <w:rPr>
          <w:noProof/>
          <w:lang w:val="en-IE"/>
        </w:rPr>
        <w:t>(5)</w:t>
      </w:r>
      <w:r w:rsidR="002E2088" w:rsidRPr="0BC621F4">
        <w:rPr>
          <w:noProof/>
          <w:lang w:val="en-IE"/>
        </w:rPr>
        <w:t xml:space="preserve"> of Regulation (EU) 2017/1128</w:t>
      </w:r>
      <w:r w:rsidR="002E2088" w:rsidRPr="2A07366E">
        <w:rPr>
          <w:noProof/>
          <w:lang w:val="en-IE"/>
        </w:rPr>
        <w:t>, provided</w:t>
      </w:r>
      <w:r w:rsidR="002E2088">
        <w:rPr>
          <w:noProof/>
          <w:lang w:val="en-IE"/>
        </w:rPr>
        <w:t xml:space="preserve"> </w:t>
      </w:r>
      <w:r w:rsidR="002E2088" w:rsidRPr="2A07366E">
        <w:rPr>
          <w:noProof/>
          <w:lang w:val="en-IE"/>
        </w:rPr>
        <w:t>to a customer, which</w:t>
      </w:r>
      <w:r w:rsidR="002E2088">
        <w:rPr>
          <w:noProof/>
          <w:lang w:val="en-IE"/>
        </w:rPr>
        <w:t xml:space="preserve"> </w:t>
      </w:r>
      <w:r w:rsidR="002E2088" w:rsidRPr="00B356D4">
        <w:rPr>
          <w:noProof/>
          <w:lang w:val="en-IE"/>
        </w:rPr>
        <w:t>enables</w:t>
      </w:r>
      <w:r w:rsidR="002E2088">
        <w:rPr>
          <w:noProof/>
          <w:lang w:val="en-IE"/>
        </w:rPr>
        <w:t xml:space="preserve"> </w:t>
      </w:r>
      <w:r w:rsidR="002E2088" w:rsidRPr="00B356D4">
        <w:rPr>
          <w:noProof/>
          <w:lang w:val="en-IE"/>
        </w:rPr>
        <w:t>on-demand administration and broad remote access to a scalable and elastic pool of shareable computing resources of a centralised, distributed or highly distributed nature;</w:t>
      </w:r>
    </w:p>
    <w:p w14:paraId="692D0CAE" w14:textId="6E209B90" w:rsidR="002E2088" w:rsidRPr="00B356D4" w:rsidRDefault="000856CE" w:rsidP="000856CE">
      <w:pPr>
        <w:pStyle w:val="Point0"/>
        <w:rPr>
          <w:rFonts w:eastAsia="Times New Roman"/>
          <w:noProof/>
          <w:lang w:val="en-IE"/>
        </w:rPr>
      </w:pPr>
      <w:r w:rsidRPr="000856CE">
        <w:t>(13)</w:t>
      </w:r>
      <w:r w:rsidRPr="000856CE">
        <w:tab/>
      </w:r>
      <w:r w:rsidR="002E2088" w:rsidRPr="00B356D4">
        <w:rPr>
          <w:noProof/>
          <w:lang w:val="en-IE"/>
        </w:rPr>
        <w:t>‘service type’ means a set of data processing services that share the same primary objective and basic data processing service model;</w:t>
      </w:r>
    </w:p>
    <w:p w14:paraId="004C53D8" w14:textId="5DBE71CD" w:rsidR="002E2088" w:rsidRPr="00B356D4" w:rsidRDefault="000856CE" w:rsidP="000856CE">
      <w:pPr>
        <w:pStyle w:val="Point0"/>
        <w:rPr>
          <w:rFonts w:asciiTheme="minorHAnsi" w:eastAsiaTheme="minorEastAsia" w:hAnsiTheme="minorHAnsi" w:cstheme="minorBidi"/>
          <w:noProof/>
          <w:lang w:val="en-IE"/>
        </w:rPr>
      </w:pPr>
      <w:r w:rsidRPr="000856CE">
        <w:t>(14)</w:t>
      </w:r>
      <w:r w:rsidRPr="000856CE">
        <w:tab/>
      </w:r>
      <w:r w:rsidR="002E2088" w:rsidRPr="00B356D4">
        <w:rPr>
          <w:noProof/>
          <w:lang w:val="en-IE"/>
        </w:rPr>
        <w:t xml:space="preserve">‘functional equivalence’ means the maintenance of a minimum level of functionality in the environment of a new data processing service after the switching process, to such an extent that, in response to an input action by the user on core elements of the service, the destination service will deliver the same output at the same performance and with the same level of security, operational resilience and quality of service as the originating service at the time of termination of the contract; </w:t>
      </w:r>
    </w:p>
    <w:p w14:paraId="0B3936C6" w14:textId="6CDC6292" w:rsidR="002E2088" w:rsidRPr="005F32E6" w:rsidRDefault="000856CE" w:rsidP="000856CE">
      <w:pPr>
        <w:pStyle w:val="Point0"/>
        <w:rPr>
          <w:rFonts w:asciiTheme="minorHAnsi" w:eastAsiaTheme="minorEastAsia" w:hAnsiTheme="minorHAnsi" w:cstheme="minorBidi"/>
          <w:noProof/>
          <w:lang w:val="en-IE"/>
        </w:rPr>
      </w:pPr>
      <w:r w:rsidRPr="000856CE">
        <w:t>(15)</w:t>
      </w:r>
      <w:r w:rsidRPr="000856CE">
        <w:tab/>
      </w:r>
      <w:r w:rsidR="002E2088" w:rsidRPr="00B356D4">
        <w:rPr>
          <w:noProof/>
          <w:lang w:val="en-IE"/>
        </w:rPr>
        <w:t xml:space="preserve">‘open </w:t>
      </w:r>
      <w:r w:rsidR="002E2088" w:rsidRPr="15062A9C">
        <w:rPr>
          <w:noProof/>
          <w:lang w:val="en-IE"/>
        </w:rPr>
        <w:t>interoperability specifications</w:t>
      </w:r>
      <w:r w:rsidR="002E2088">
        <w:rPr>
          <w:noProof/>
          <w:lang w:val="en-IE"/>
        </w:rPr>
        <w:t xml:space="preserve">’ </w:t>
      </w:r>
      <w:r w:rsidR="002E2088" w:rsidRPr="00B356D4">
        <w:rPr>
          <w:noProof/>
          <w:lang w:val="en-IE"/>
        </w:rPr>
        <w:t xml:space="preserve">mean </w:t>
      </w:r>
      <w:r w:rsidR="002E2088" w:rsidRPr="15062A9C">
        <w:rPr>
          <w:noProof/>
          <w:lang w:val="en-IE"/>
        </w:rPr>
        <w:t>ICT technical specifications,</w:t>
      </w:r>
      <w:r w:rsidR="00C0141F">
        <w:rPr>
          <w:noProof/>
          <w:lang w:val="en-IE"/>
        </w:rPr>
        <w:t xml:space="preserve"> as defined</w:t>
      </w:r>
      <w:r w:rsidR="002E2088" w:rsidRPr="15062A9C">
        <w:rPr>
          <w:noProof/>
          <w:lang w:val="en-IE"/>
        </w:rPr>
        <w:t xml:space="preserve"> in Regulation (EU) No 1025/2012, which are performance oriented towards achieving interoperability between data processing services</w:t>
      </w:r>
      <w:r w:rsidR="002E2088" w:rsidRPr="200EE3E2">
        <w:rPr>
          <w:noProof/>
          <w:lang w:val="en-IE"/>
        </w:rPr>
        <w:t>;</w:t>
      </w:r>
    </w:p>
    <w:p w14:paraId="2CF71157" w14:textId="109F7D38" w:rsidR="002E2088" w:rsidRPr="00B356D4" w:rsidRDefault="000856CE" w:rsidP="000856CE">
      <w:pPr>
        <w:pStyle w:val="Point0"/>
        <w:rPr>
          <w:rFonts w:asciiTheme="minorHAnsi" w:eastAsiaTheme="minorEastAsia" w:hAnsiTheme="minorHAnsi" w:cstheme="minorBidi"/>
          <w:noProof/>
          <w:lang w:val="en-IE"/>
        </w:rPr>
      </w:pPr>
      <w:r w:rsidRPr="000856CE">
        <w:t>(16)</w:t>
      </w:r>
      <w:r w:rsidRPr="000856CE">
        <w:tab/>
      </w:r>
      <w:r w:rsidR="002E2088" w:rsidRPr="00B356D4">
        <w:rPr>
          <w:rFonts w:eastAsia="Calibri"/>
          <w:noProof/>
          <w:lang w:val="en-IE"/>
        </w:rPr>
        <w:t xml:space="preserve">‘smart contract’ </w:t>
      </w:r>
      <w:bookmarkStart w:id="1" w:name="_Hlk90998725"/>
      <w:r w:rsidR="002E2088" w:rsidRPr="00B356D4">
        <w:rPr>
          <w:noProof/>
          <w:lang w:val="en-IE"/>
        </w:rPr>
        <w:t>means a computer program stored in an electronic ledger system wherein the outcome of the execution of the program is recorded on the electronic ledger;</w:t>
      </w:r>
    </w:p>
    <w:p w14:paraId="1D60FC6F" w14:textId="22361A66" w:rsidR="002E2088" w:rsidRPr="00B356D4" w:rsidRDefault="000856CE" w:rsidP="000856CE">
      <w:pPr>
        <w:pStyle w:val="Point0"/>
        <w:rPr>
          <w:rFonts w:asciiTheme="minorHAnsi" w:eastAsiaTheme="minorEastAsia" w:hAnsiTheme="minorHAnsi" w:cstheme="minorBidi"/>
          <w:noProof/>
          <w:color w:val="000000" w:themeColor="text1"/>
          <w:lang w:val="en-IE"/>
        </w:rPr>
      </w:pPr>
      <w:r w:rsidRPr="000856CE">
        <w:t>(17)</w:t>
      </w:r>
      <w:r w:rsidRPr="000856CE">
        <w:tab/>
      </w:r>
      <w:r w:rsidR="002E2088" w:rsidRPr="00B356D4">
        <w:rPr>
          <w:noProof/>
          <w:lang w:val="en-IE"/>
        </w:rPr>
        <w:t>‘electronic ledger’</w:t>
      </w:r>
      <w:r w:rsidR="002E2088" w:rsidRPr="00B356D4">
        <w:rPr>
          <w:i/>
          <w:noProof/>
          <w:color w:val="FF0000"/>
          <w:lang w:val="en-IE"/>
        </w:rPr>
        <w:t xml:space="preserve"> </w:t>
      </w:r>
      <w:r w:rsidR="002E2088" w:rsidRPr="00B356D4">
        <w:rPr>
          <w:noProof/>
          <w:lang w:val="en-IE"/>
        </w:rPr>
        <w:t>means an electronic ledger</w:t>
      </w:r>
      <w:bookmarkEnd w:id="1"/>
      <w:r w:rsidR="002E2088" w:rsidRPr="00B356D4">
        <w:rPr>
          <w:noProof/>
          <w:lang w:val="en-IE"/>
        </w:rPr>
        <w:t xml:space="preserve"> within the meaning of Article 3</w:t>
      </w:r>
      <w:r w:rsidR="002E2088">
        <w:rPr>
          <w:noProof/>
          <w:lang w:val="en-IE"/>
        </w:rPr>
        <w:t>, point (53),</w:t>
      </w:r>
      <w:r w:rsidR="002E2088" w:rsidRPr="00B356D4">
        <w:rPr>
          <w:noProof/>
          <w:lang w:val="en-IE"/>
        </w:rPr>
        <w:t xml:space="preserve"> of Regulation (EU) No 910/2014; </w:t>
      </w:r>
    </w:p>
    <w:p w14:paraId="2CC0DDA5" w14:textId="22FB6A9F" w:rsidR="002E2088" w:rsidRPr="00B356D4" w:rsidRDefault="000856CE" w:rsidP="000856CE">
      <w:pPr>
        <w:pStyle w:val="Point0"/>
        <w:rPr>
          <w:noProof/>
          <w:lang w:val="en-IE"/>
        </w:rPr>
      </w:pPr>
      <w:r w:rsidRPr="000856CE">
        <w:t>(18)</w:t>
      </w:r>
      <w:r w:rsidRPr="000856CE">
        <w:tab/>
      </w:r>
      <w:r w:rsidR="002E2088" w:rsidRPr="00B356D4">
        <w:rPr>
          <w:noProof/>
          <w:lang w:val="en-IE"/>
        </w:rPr>
        <w:t xml:space="preserve">‘common specifications’ means a document, other than a standard, containing technical solutions </w:t>
      </w:r>
      <w:r w:rsidR="002E2088">
        <w:rPr>
          <w:noProof/>
          <w:lang w:val="en-IE"/>
        </w:rPr>
        <w:t xml:space="preserve">providing a means </w:t>
      </w:r>
      <w:r w:rsidR="002E2088" w:rsidRPr="00B356D4">
        <w:rPr>
          <w:noProof/>
          <w:lang w:val="en-IE"/>
        </w:rPr>
        <w:t xml:space="preserve">to comply with certain requirements and obligations established under this Regulation; </w:t>
      </w:r>
    </w:p>
    <w:p w14:paraId="7E03BE52" w14:textId="3B9374FA" w:rsidR="002E2088" w:rsidRPr="00B356D4" w:rsidRDefault="000856CE" w:rsidP="000856CE">
      <w:pPr>
        <w:pStyle w:val="Point0"/>
        <w:rPr>
          <w:noProof/>
          <w:lang w:val="en-IE"/>
        </w:rPr>
      </w:pPr>
      <w:r w:rsidRPr="000856CE">
        <w:t>(19)</w:t>
      </w:r>
      <w:r w:rsidRPr="000856CE">
        <w:tab/>
      </w:r>
      <w:r w:rsidR="002E2088" w:rsidRPr="00B356D4">
        <w:rPr>
          <w:noProof/>
          <w:lang w:val="en-IE"/>
        </w:rPr>
        <w:t xml:space="preserve">‘interoperability’ means the ability of two or more data spaces or communication networks, systems, </w:t>
      </w:r>
      <w:r w:rsidR="002E2088">
        <w:rPr>
          <w:noProof/>
          <w:lang w:val="en-IE"/>
        </w:rPr>
        <w:t>products</w:t>
      </w:r>
      <w:r w:rsidR="002E2088" w:rsidRPr="00B356D4">
        <w:rPr>
          <w:noProof/>
          <w:lang w:val="en-IE"/>
        </w:rPr>
        <w:t xml:space="preserve">, applications or components to exchange and use </w:t>
      </w:r>
      <w:r w:rsidR="002E2088">
        <w:rPr>
          <w:noProof/>
          <w:lang w:val="en-IE"/>
        </w:rPr>
        <w:t>data</w:t>
      </w:r>
      <w:r w:rsidR="002E2088" w:rsidRPr="00B356D4">
        <w:rPr>
          <w:noProof/>
          <w:lang w:val="en-IE"/>
        </w:rPr>
        <w:t xml:space="preserve"> in order to perform </w:t>
      </w:r>
      <w:r w:rsidR="002E2088">
        <w:rPr>
          <w:noProof/>
          <w:lang w:val="en-IE"/>
        </w:rPr>
        <w:t xml:space="preserve">their </w:t>
      </w:r>
      <w:r w:rsidR="002E2088" w:rsidRPr="00B356D4">
        <w:rPr>
          <w:noProof/>
          <w:lang w:val="en-IE"/>
        </w:rPr>
        <w:t>functions;</w:t>
      </w:r>
    </w:p>
    <w:p w14:paraId="4E18A912" w14:textId="186A2829" w:rsidR="002E2088" w:rsidRPr="002E2088" w:rsidRDefault="000856CE" w:rsidP="000856CE">
      <w:pPr>
        <w:pStyle w:val="Point0"/>
        <w:rPr>
          <w:noProof/>
        </w:rPr>
      </w:pPr>
      <w:r w:rsidRPr="000856CE">
        <w:t>(20)</w:t>
      </w:r>
      <w:r w:rsidRPr="000856CE">
        <w:tab/>
      </w:r>
      <w:r w:rsidR="002E2088" w:rsidRPr="00B356D4">
        <w:rPr>
          <w:noProof/>
          <w:lang w:val="en-US"/>
        </w:rPr>
        <w:t>‘harmonised standard’ means a harmonised standard as defined in Article 2</w:t>
      </w:r>
      <w:r w:rsidR="002E2088">
        <w:rPr>
          <w:noProof/>
          <w:lang w:val="en-US"/>
        </w:rPr>
        <w:t>, point (1)(c),</w:t>
      </w:r>
      <w:r w:rsidR="002E2088" w:rsidRPr="00B356D4">
        <w:rPr>
          <w:noProof/>
          <w:lang w:val="en-US"/>
        </w:rPr>
        <w:t xml:space="preserve"> of Regulation (EU) No 1025/2012.</w:t>
      </w:r>
    </w:p>
    <w:p w14:paraId="287C1E3B" w14:textId="5CB0AD47" w:rsidR="00DF5172" w:rsidRPr="00DF5172" w:rsidRDefault="00DF5172" w:rsidP="00CF57DB">
      <w:pPr>
        <w:pStyle w:val="ChapterTitle"/>
        <w:rPr>
          <w:noProof/>
          <w:lang w:val="en-US"/>
        </w:rPr>
      </w:pPr>
      <w:r w:rsidRPr="00B356D4">
        <w:rPr>
          <w:noProof/>
          <w:lang w:val="en-US"/>
        </w:rPr>
        <w:t>CHAPTER II</w:t>
      </w:r>
      <w:r w:rsidR="009B0FA3">
        <w:rPr>
          <w:noProof/>
          <w:lang w:val="en-US"/>
        </w:rPr>
        <w:br/>
        <w:t xml:space="preserve">BUSINESS TO </w:t>
      </w:r>
      <w:r w:rsidR="00D21F22">
        <w:rPr>
          <w:noProof/>
          <w:lang w:val="en-US"/>
        </w:rPr>
        <w:t>CONSUMER</w:t>
      </w:r>
      <w:r w:rsidR="009B0FA3">
        <w:rPr>
          <w:noProof/>
          <w:lang w:val="en-US"/>
        </w:rPr>
        <w:t xml:space="preserve"> AND BUSINESS TO </w:t>
      </w:r>
      <w:r w:rsidR="00D21F22">
        <w:rPr>
          <w:noProof/>
          <w:lang w:val="en-US"/>
        </w:rPr>
        <w:t>BUSINESS</w:t>
      </w:r>
      <w:r w:rsidR="009B0FA3">
        <w:rPr>
          <w:noProof/>
          <w:lang w:val="en-US"/>
        </w:rPr>
        <w:t xml:space="preserve"> DATA SHARING</w:t>
      </w:r>
    </w:p>
    <w:p w14:paraId="75966418" w14:textId="30D0E15E" w:rsidR="00280967" w:rsidRPr="0077149E" w:rsidRDefault="00CC2D52" w:rsidP="0077149E">
      <w:pPr>
        <w:pStyle w:val="Titrearticleb"/>
        <w:rPr>
          <w:noProof/>
        </w:rPr>
      </w:pPr>
      <w:r>
        <w:rPr>
          <w:noProof/>
        </w:rPr>
        <w:t>Article 3</w:t>
      </w:r>
      <w:r w:rsidR="0077149E">
        <w:rPr>
          <w:noProof/>
        </w:rPr>
        <w:br/>
      </w:r>
      <w:r w:rsidR="00280967" w:rsidRPr="00884BC7">
        <w:rPr>
          <w:noProof/>
          <w:lang w:val="en-IE"/>
        </w:rPr>
        <w:t xml:space="preserve">Obligation to make data generated by </w:t>
      </w:r>
      <w:r w:rsidR="00884BC7" w:rsidRPr="00884BC7">
        <w:rPr>
          <w:noProof/>
          <w:lang w:val="en-IE"/>
        </w:rPr>
        <w:t xml:space="preserve">the use of </w:t>
      </w:r>
      <w:r w:rsidR="00280967" w:rsidRPr="00884BC7">
        <w:rPr>
          <w:noProof/>
          <w:lang w:val="en-IE"/>
        </w:rPr>
        <w:t xml:space="preserve">products </w:t>
      </w:r>
      <w:r w:rsidR="00C0141F">
        <w:rPr>
          <w:noProof/>
          <w:lang w:val="en-IE"/>
        </w:rPr>
        <w:t>or</w:t>
      </w:r>
      <w:r w:rsidR="00C0141F" w:rsidRPr="00884BC7">
        <w:rPr>
          <w:noProof/>
          <w:lang w:val="en-IE"/>
        </w:rPr>
        <w:t xml:space="preserve"> </w:t>
      </w:r>
      <w:r w:rsidR="00280967" w:rsidRPr="00884BC7">
        <w:rPr>
          <w:noProof/>
          <w:lang w:val="en-IE"/>
        </w:rPr>
        <w:t>related services accessible</w:t>
      </w:r>
    </w:p>
    <w:p w14:paraId="16E282DB" w14:textId="5E0246FC" w:rsidR="00884BC7" w:rsidRPr="00E80604" w:rsidRDefault="000856CE" w:rsidP="000856CE">
      <w:pPr>
        <w:pStyle w:val="ManualNumPar1"/>
        <w:rPr>
          <w:rFonts w:eastAsiaTheme="minorEastAsia"/>
          <w:noProof/>
          <w:sz w:val="16"/>
          <w:szCs w:val="24"/>
          <w:lang w:val="en-IE"/>
        </w:rPr>
      </w:pPr>
      <w:r w:rsidRPr="000856CE">
        <w:t>1.</w:t>
      </w:r>
      <w:r w:rsidRPr="000856CE">
        <w:tab/>
      </w:r>
      <w:r w:rsidR="00884BC7" w:rsidRPr="00E80604">
        <w:rPr>
          <w:noProof/>
          <w:lang w:val="en-IE"/>
        </w:rPr>
        <w:t xml:space="preserve">Products </w:t>
      </w:r>
      <w:r w:rsidR="00D21F22" w:rsidRPr="00E80604">
        <w:rPr>
          <w:noProof/>
          <w:lang w:val="en-IE"/>
        </w:rPr>
        <w:t>shall be designed and manufactured, and related services shall be provided, in such a manner that data generated by their use are, by default, easily</w:t>
      </w:r>
      <w:r w:rsidR="00D21F22">
        <w:rPr>
          <w:noProof/>
          <w:lang w:val="en-IE"/>
        </w:rPr>
        <w:t>,</w:t>
      </w:r>
      <w:r w:rsidR="00D21F22" w:rsidRPr="00E80604">
        <w:rPr>
          <w:noProof/>
          <w:lang w:val="en-IE"/>
        </w:rPr>
        <w:t xml:space="preserve"> </w:t>
      </w:r>
      <w:r w:rsidR="00D21F22">
        <w:rPr>
          <w:noProof/>
          <w:lang w:val="en-IE"/>
        </w:rPr>
        <w:t xml:space="preserve">securely and, where relevant and appropriate, directly </w:t>
      </w:r>
      <w:r w:rsidR="00D21F22" w:rsidRPr="00E80604">
        <w:rPr>
          <w:noProof/>
          <w:lang w:val="en-IE"/>
        </w:rPr>
        <w:t>accessible to the user</w:t>
      </w:r>
      <w:r w:rsidR="00884BC7" w:rsidRPr="00E80604">
        <w:rPr>
          <w:noProof/>
          <w:lang w:val="en-IE"/>
        </w:rPr>
        <w:t xml:space="preserve">. </w:t>
      </w:r>
    </w:p>
    <w:p w14:paraId="6C4FCC21" w14:textId="753A70B2" w:rsidR="00884BC7" w:rsidRPr="00B356D4" w:rsidRDefault="000856CE" w:rsidP="000856CE">
      <w:pPr>
        <w:pStyle w:val="ManualNumPar1"/>
        <w:rPr>
          <w:noProof/>
          <w:lang w:val="en-IE"/>
        </w:rPr>
      </w:pPr>
      <w:r w:rsidRPr="000856CE">
        <w:t>2.</w:t>
      </w:r>
      <w:r w:rsidRPr="000856CE">
        <w:tab/>
      </w:r>
      <w:r w:rsidR="00884BC7">
        <w:rPr>
          <w:noProof/>
          <w:lang w:val="en-IE"/>
        </w:rPr>
        <w:t>B</w:t>
      </w:r>
      <w:r w:rsidR="00884BC7" w:rsidRPr="00B356D4">
        <w:rPr>
          <w:noProof/>
          <w:lang w:val="en-IE"/>
        </w:rPr>
        <w:t xml:space="preserve">efore </w:t>
      </w:r>
      <w:r w:rsidR="00D21F22">
        <w:rPr>
          <w:noProof/>
          <w:lang w:val="en-IE"/>
        </w:rPr>
        <w:t xml:space="preserve">concluding </w:t>
      </w:r>
      <w:r w:rsidR="00D21F22" w:rsidRPr="00DE240C">
        <w:rPr>
          <w:noProof/>
          <w:lang w:val="en-IE"/>
        </w:rPr>
        <w:t xml:space="preserve">a contract for the purchase, rent or lease of a product </w:t>
      </w:r>
      <w:r w:rsidR="00F106A3">
        <w:rPr>
          <w:noProof/>
          <w:lang w:val="en-IE"/>
        </w:rPr>
        <w:t>or</w:t>
      </w:r>
      <w:r w:rsidR="00F106A3" w:rsidRPr="00DE240C">
        <w:rPr>
          <w:noProof/>
          <w:lang w:val="en-IE"/>
        </w:rPr>
        <w:t xml:space="preserve"> </w:t>
      </w:r>
      <w:r w:rsidR="00D21F22" w:rsidRPr="00DE240C">
        <w:rPr>
          <w:noProof/>
          <w:lang w:val="en-IE"/>
        </w:rPr>
        <w:t>a related service</w:t>
      </w:r>
      <w:r w:rsidR="00D21F22">
        <w:rPr>
          <w:noProof/>
          <w:lang w:val="en-IE"/>
        </w:rPr>
        <w:t xml:space="preserve">, </w:t>
      </w:r>
      <w:r w:rsidR="00D21F22" w:rsidRPr="00DE240C">
        <w:rPr>
          <w:noProof/>
          <w:lang w:val="en-IE"/>
        </w:rPr>
        <w:t>at least the following information shall be provided to the user, in a clear and comprehensible format</w:t>
      </w:r>
      <w:r w:rsidR="00884BC7" w:rsidRPr="00B356D4">
        <w:rPr>
          <w:noProof/>
          <w:lang w:val="en-IE"/>
        </w:rPr>
        <w:t xml:space="preserve">: </w:t>
      </w:r>
    </w:p>
    <w:p w14:paraId="4C56FA69" w14:textId="713E11B6" w:rsidR="00884BC7" w:rsidRDefault="000856CE" w:rsidP="000856CE">
      <w:pPr>
        <w:pStyle w:val="Point1"/>
        <w:rPr>
          <w:noProof/>
          <w:lang w:val="en-IE"/>
        </w:rPr>
      </w:pPr>
      <w:r w:rsidRPr="000856CE">
        <w:t>(a)</w:t>
      </w:r>
      <w:r w:rsidRPr="000856CE">
        <w:tab/>
      </w:r>
      <w:r w:rsidR="00884BC7" w:rsidRPr="00A23CE2">
        <w:rPr>
          <w:noProof/>
          <w:lang w:val="en-IE"/>
        </w:rPr>
        <w:t xml:space="preserve">the </w:t>
      </w:r>
      <w:r w:rsidR="00D21F22" w:rsidRPr="00A23CE2">
        <w:rPr>
          <w:noProof/>
          <w:lang w:val="en-IE"/>
        </w:rPr>
        <w:t xml:space="preserve">nature and volume of the data likely to be generated </w:t>
      </w:r>
      <w:r w:rsidR="00D21F22">
        <w:rPr>
          <w:noProof/>
          <w:lang w:val="en-IE"/>
        </w:rPr>
        <w:t>by</w:t>
      </w:r>
      <w:r w:rsidR="00D21F22" w:rsidRPr="00A23CE2">
        <w:rPr>
          <w:noProof/>
          <w:lang w:val="en-IE"/>
        </w:rPr>
        <w:t xml:space="preserve"> the use of the product </w:t>
      </w:r>
      <w:r w:rsidR="00F106A3">
        <w:rPr>
          <w:noProof/>
          <w:lang w:val="en-IE"/>
        </w:rPr>
        <w:t>or</w:t>
      </w:r>
      <w:r w:rsidR="00F106A3" w:rsidRPr="00A23CE2">
        <w:rPr>
          <w:noProof/>
          <w:lang w:val="en-IE"/>
        </w:rPr>
        <w:t xml:space="preserve"> </w:t>
      </w:r>
      <w:r w:rsidR="00D21F22" w:rsidRPr="00A23CE2">
        <w:rPr>
          <w:noProof/>
          <w:lang w:val="en-IE"/>
        </w:rPr>
        <w:t>related service</w:t>
      </w:r>
      <w:r w:rsidR="00884BC7" w:rsidRPr="00A23CE2">
        <w:rPr>
          <w:noProof/>
          <w:lang w:val="en-IE"/>
        </w:rPr>
        <w:t>;</w:t>
      </w:r>
    </w:p>
    <w:p w14:paraId="4D7A18E3" w14:textId="60567E74" w:rsidR="00D21F22" w:rsidRPr="00D21F22" w:rsidRDefault="000856CE" w:rsidP="000856CE">
      <w:pPr>
        <w:pStyle w:val="Point1"/>
        <w:rPr>
          <w:noProof/>
          <w:lang w:val="en-IE"/>
        </w:rPr>
      </w:pPr>
      <w:r w:rsidRPr="000856CE">
        <w:t>(b)</w:t>
      </w:r>
      <w:r w:rsidRPr="000856CE">
        <w:tab/>
      </w:r>
      <w:r w:rsidR="00D21F22" w:rsidRPr="00D21F22">
        <w:rPr>
          <w:noProof/>
          <w:lang w:val="en-IE"/>
        </w:rPr>
        <w:t>whether the data is likely to be generated continuously and in real-time;</w:t>
      </w:r>
    </w:p>
    <w:p w14:paraId="601997CD" w14:textId="48D64D0B" w:rsidR="00D21F22" w:rsidRPr="00D21F22" w:rsidRDefault="000856CE" w:rsidP="000856CE">
      <w:pPr>
        <w:pStyle w:val="Point1"/>
        <w:rPr>
          <w:noProof/>
          <w:lang w:val="en-IE"/>
        </w:rPr>
      </w:pPr>
      <w:r w:rsidRPr="000856CE">
        <w:t>(c)</w:t>
      </w:r>
      <w:r w:rsidRPr="000856CE">
        <w:tab/>
      </w:r>
      <w:r w:rsidR="00D21F22" w:rsidRPr="00D21F22">
        <w:rPr>
          <w:noProof/>
          <w:lang w:val="en-IE"/>
        </w:rPr>
        <w:t xml:space="preserve">how the user may access those data; </w:t>
      </w:r>
    </w:p>
    <w:p w14:paraId="50E17D6C" w14:textId="1D185089" w:rsidR="00D21F22" w:rsidRPr="00D21F22" w:rsidRDefault="000856CE" w:rsidP="000856CE">
      <w:pPr>
        <w:pStyle w:val="Point1"/>
        <w:rPr>
          <w:noProof/>
          <w:lang w:val="en-IE"/>
        </w:rPr>
      </w:pPr>
      <w:r w:rsidRPr="000856CE">
        <w:t>(d)</w:t>
      </w:r>
      <w:r w:rsidRPr="000856CE">
        <w:tab/>
      </w:r>
      <w:r w:rsidR="00D21F22" w:rsidRPr="00D21F22" w:rsidDel="00674C4E">
        <w:rPr>
          <w:noProof/>
          <w:lang w:val="en-IE"/>
        </w:rPr>
        <w:t xml:space="preserve">whether </w:t>
      </w:r>
      <w:r w:rsidR="00D21F22" w:rsidRPr="00D21F22">
        <w:rPr>
          <w:noProof/>
          <w:lang w:val="en-IE"/>
        </w:rPr>
        <w:t>the manufacturer supplying the product or the service provider providing the related service</w:t>
      </w:r>
      <w:r w:rsidR="00D21F22" w:rsidRPr="00D21F22" w:rsidDel="00674C4E">
        <w:rPr>
          <w:noProof/>
          <w:lang w:val="en-IE"/>
        </w:rPr>
        <w:t xml:space="preserve"> intends to use the data itself or allow a third party to use the data and, if so, the purposes for which th</w:t>
      </w:r>
      <w:r w:rsidR="00D21F22" w:rsidRPr="00D21F22">
        <w:rPr>
          <w:noProof/>
          <w:lang w:val="en-IE"/>
        </w:rPr>
        <w:t>ose</w:t>
      </w:r>
      <w:r w:rsidR="00D21F22" w:rsidRPr="00D21F22" w:rsidDel="00674C4E">
        <w:rPr>
          <w:noProof/>
          <w:lang w:val="en-IE"/>
        </w:rPr>
        <w:t xml:space="preserve"> data will be used;</w:t>
      </w:r>
    </w:p>
    <w:p w14:paraId="75956BED" w14:textId="53CA908D" w:rsidR="00D21F22" w:rsidRPr="00D21F22" w:rsidRDefault="000856CE" w:rsidP="000856CE">
      <w:pPr>
        <w:pStyle w:val="Point1"/>
        <w:rPr>
          <w:noProof/>
          <w:lang w:val="en-IE"/>
        </w:rPr>
      </w:pPr>
      <w:r w:rsidRPr="000856CE">
        <w:t>(e)</w:t>
      </w:r>
      <w:r w:rsidRPr="000856CE">
        <w:tab/>
      </w:r>
      <w:r w:rsidR="00D21F22" w:rsidRPr="00D21F22" w:rsidDel="00DC4560">
        <w:rPr>
          <w:noProof/>
          <w:lang w:val="en-IE"/>
        </w:rPr>
        <w:t>whether the seller, renter or lessor is the data holder and, if not, the identity of the data holder,</w:t>
      </w:r>
      <w:r w:rsidR="00D21F22" w:rsidRPr="00B356D4" w:rsidDel="00DC4560">
        <w:rPr>
          <w:noProof/>
        </w:rPr>
        <w:t xml:space="preserve"> </w:t>
      </w:r>
      <w:r w:rsidR="00D21F22" w:rsidRPr="00D21F22" w:rsidDel="00DC4560">
        <w:rPr>
          <w:noProof/>
          <w:lang w:val="en-IE"/>
        </w:rPr>
        <w:t xml:space="preserve">such as its trading name and the geographical address at which it is established; </w:t>
      </w:r>
    </w:p>
    <w:p w14:paraId="005A5F2F" w14:textId="2C124414" w:rsidR="00D21F22" w:rsidRPr="00D21F22" w:rsidRDefault="000856CE" w:rsidP="000856CE">
      <w:pPr>
        <w:pStyle w:val="Point1"/>
        <w:rPr>
          <w:noProof/>
          <w:lang w:val="en-IE"/>
        </w:rPr>
      </w:pPr>
      <w:r w:rsidRPr="000856CE">
        <w:t>(f)</w:t>
      </w:r>
      <w:r w:rsidRPr="000856CE">
        <w:tab/>
      </w:r>
      <w:r w:rsidR="00D21F22" w:rsidRPr="00D21F22">
        <w:rPr>
          <w:noProof/>
          <w:lang w:val="en-IE"/>
        </w:rPr>
        <w:t xml:space="preserve">the means of communication which enable the user to contact the data holder quickly and communicate with that data holder efficiently; </w:t>
      </w:r>
    </w:p>
    <w:p w14:paraId="260239C2" w14:textId="67E73612" w:rsidR="00D21F22" w:rsidRPr="00D21F22" w:rsidRDefault="000856CE" w:rsidP="000856CE">
      <w:pPr>
        <w:pStyle w:val="Point1"/>
        <w:rPr>
          <w:noProof/>
          <w:lang w:val="en-IE"/>
        </w:rPr>
      </w:pPr>
      <w:r w:rsidRPr="000856CE">
        <w:t>(g)</w:t>
      </w:r>
      <w:r w:rsidRPr="000856CE">
        <w:tab/>
      </w:r>
      <w:r w:rsidR="00D21F22" w:rsidRPr="00D21F22">
        <w:rPr>
          <w:noProof/>
          <w:lang w:val="en-IE"/>
        </w:rPr>
        <w:t>how the user may request that the data are shared with a third-party;</w:t>
      </w:r>
    </w:p>
    <w:p w14:paraId="4CA3EF00" w14:textId="55819969" w:rsidR="00D21F22" w:rsidRPr="00D21F22" w:rsidRDefault="000856CE" w:rsidP="000856CE">
      <w:pPr>
        <w:pStyle w:val="Point1"/>
        <w:rPr>
          <w:noProof/>
          <w:lang w:val="en-IE"/>
        </w:rPr>
      </w:pPr>
      <w:r w:rsidRPr="000856CE">
        <w:t>(h)</w:t>
      </w:r>
      <w:r w:rsidRPr="000856CE">
        <w:tab/>
      </w:r>
      <w:r w:rsidR="00D21F22" w:rsidRPr="00D21F22">
        <w:rPr>
          <w:noProof/>
          <w:lang w:val="en-IE"/>
        </w:rPr>
        <w:t>the user’s right to lodge a complaint alleging a violation of the provisions of this Chapter with the competent authority referred to in Article 3</w:t>
      </w:r>
      <w:r w:rsidR="00F10513">
        <w:rPr>
          <w:noProof/>
          <w:lang w:val="en-IE"/>
        </w:rPr>
        <w:t>1</w:t>
      </w:r>
      <w:r w:rsidR="00D21F22" w:rsidRPr="00D21F22">
        <w:rPr>
          <w:noProof/>
          <w:lang w:val="en-IE"/>
        </w:rPr>
        <w:t xml:space="preserve">. </w:t>
      </w:r>
    </w:p>
    <w:p w14:paraId="16F49076" w14:textId="35823EF6" w:rsidR="00280967" w:rsidRPr="0077149E" w:rsidRDefault="00CC2D52" w:rsidP="0077149E">
      <w:pPr>
        <w:pStyle w:val="Titrearticleb"/>
        <w:rPr>
          <w:noProof/>
          <w:lang w:val="en-IE"/>
        </w:rPr>
      </w:pPr>
      <w:r>
        <w:rPr>
          <w:noProof/>
        </w:rPr>
        <w:t>Article 4</w:t>
      </w:r>
      <w:r w:rsidR="0077149E">
        <w:rPr>
          <w:noProof/>
        </w:rPr>
        <w:br/>
      </w:r>
      <w:r w:rsidR="00280967" w:rsidRPr="00884BC7">
        <w:rPr>
          <w:noProof/>
          <w:lang w:val="en-IE"/>
        </w:rPr>
        <w:t xml:space="preserve">The right of users to access and use data generated by </w:t>
      </w:r>
      <w:r w:rsidR="00B52A61">
        <w:rPr>
          <w:noProof/>
          <w:lang w:val="en-IE"/>
        </w:rPr>
        <w:t xml:space="preserve">the use of </w:t>
      </w:r>
      <w:r w:rsidR="00B52A61" w:rsidRPr="00884BC7">
        <w:rPr>
          <w:noProof/>
          <w:lang w:val="en-IE"/>
        </w:rPr>
        <w:t>products</w:t>
      </w:r>
      <w:r w:rsidR="00206858">
        <w:rPr>
          <w:noProof/>
          <w:lang w:val="en-IE"/>
        </w:rPr>
        <w:t xml:space="preserve"> </w:t>
      </w:r>
      <w:r w:rsidR="00F10513">
        <w:rPr>
          <w:noProof/>
          <w:lang w:val="en-IE"/>
        </w:rPr>
        <w:t>or</w:t>
      </w:r>
      <w:r w:rsidR="00F10513" w:rsidRPr="00884BC7">
        <w:rPr>
          <w:noProof/>
          <w:lang w:val="en-IE"/>
        </w:rPr>
        <w:t xml:space="preserve"> </w:t>
      </w:r>
      <w:r w:rsidR="00B52A61" w:rsidRPr="00884BC7">
        <w:rPr>
          <w:noProof/>
          <w:lang w:val="en-IE"/>
        </w:rPr>
        <w:t>related service</w:t>
      </w:r>
      <w:r w:rsidR="00206858">
        <w:rPr>
          <w:noProof/>
          <w:lang w:val="en-IE"/>
        </w:rPr>
        <w:t>s</w:t>
      </w:r>
    </w:p>
    <w:p w14:paraId="717218A7" w14:textId="77355EC5" w:rsidR="00884BC7" w:rsidRPr="00E80604" w:rsidRDefault="000856CE" w:rsidP="000856CE">
      <w:pPr>
        <w:pStyle w:val="ManualNumPar1"/>
        <w:rPr>
          <w:noProof/>
          <w:sz w:val="16"/>
          <w:lang w:val="en-IE"/>
        </w:rPr>
      </w:pPr>
      <w:r w:rsidRPr="000856CE">
        <w:t>1.</w:t>
      </w:r>
      <w:r w:rsidRPr="000856CE">
        <w:tab/>
      </w:r>
      <w:r w:rsidR="00F10513">
        <w:rPr>
          <w:noProof/>
          <w:lang w:val="en-IE"/>
        </w:rPr>
        <w:t>Where data cannot be directly accessed</w:t>
      </w:r>
      <w:r w:rsidR="000D7185" w:rsidRPr="00E80604">
        <w:rPr>
          <w:noProof/>
          <w:lang w:val="en-IE"/>
        </w:rPr>
        <w:t xml:space="preserve"> by </w:t>
      </w:r>
      <w:r w:rsidR="00F10513">
        <w:rPr>
          <w:noProof/>
          <w:lang w:val="en-IE"/>
        </w:rPr>
        <w:t>the</w:t>
      </w:r>
      <w:r w:rsidR="00F10513" w:rsidRPr="00E80604">
        <w:rPr>
          <w:noProof/>
          <w:lang w:val="en-IE"/>
        </w:rPr>
        <w:t xml:space="preserve"> </w:t>
      </w:r>
      <w:r w:rsidR="000D7185" w:rsidRPr="00E80604">
        <w:rPr>
          <w:noProof/>
          <w:lang w:val="en-IE"/>
        </w:rPr>
        <w:t>user</w:t>
      </w:r>
      <w:r w:rsidR="00F10513">
        <w:rPr>
          <w:noProof/>
          <w:lang w:val="en-IE"/>
        </w:rPr>
        <w:t xml:space="preserve"> from the product</w:t>
      </w:r>
      <w:r w:rsidR="000D7185" w:rsidRPr="00E80604">
        <w:rPr>
          <w:noProof/>
          <w:lang w:val="en-IE"/>
        </w:rPr>
        <w:t xml:space="preserve">, the data holder shall make available to the user the data generated by </w:t>
      </w:r>
      <w:r w:rsidR="000D7185">
        <w:rPr>
          <w:noProof/>
          <w:lang w:val="en-IE"/>
        </w:rPr>
        <w:t>its</w:t>
      </w:r>
      <w:r w:rsidR="000D7185" w:rsidRPr="00E80604">
        <w:rPr>
          <w:noProof/>
          <w:lang w:val="en-IE"/>
        </w:rPr>
        <w:t xml:space="preserve"> use of a product </w:t>
      </w:r>
      <w:r w:rsidR="00F10513">
        <w:rPr>
          <w:noProof/>
          <w:lang w:val="en-IE"/>
        </w:rPr>
        <w:t>or</w:t>
      </w:r>
      <w:r w:rsidR="00F10513" w:rsidRPr="00E80604">
        <w:rPr>
          <w:noProof/>
          <w:lang w:val="en-IE"/>
        </w:rPr>
        <w:t xml:space="preserve"> </w:t>
      </w:r>
      <w:r w:rsidR="000D7185" w:rsidRPr="00E80604">
        <w:rPr>
          <w:noProof/>
          <w:lang w:val="en-IE"/>
        </w:rPr>
        <w:t>related service without undue delay, free of charge and, where applicable, continuously and in real-time</w:t>
      </w:r>
      <w:r w:rsidR="00884BC7" w:rsidRPr="00E80604">
        <w:rPr>
          <w:noProof/>
          <w:lang w:val="en-IE"/>
        </w:rPr>
        <w:t>.</w:t>
      </w:r>
      <w:r w:rsidR="00884BC7" w:rsidRPr="00E80604" w:rsidDel="003E0650">
        <w:rPr>
          <w:noProof/>
          <w:lang w:val="en-IE"/>
        </w:rPr>
        <w:t xml:space="preserve"> </w:t>
      </w:r>
      <w:r w:rsidR="00F10513">
        <w:rPr>
          <w:noProof/>
          <w:lang w:val="en-IE"/>
        </w:rPr>
        <w:t>This shall be done on the basis of a simple request through electronic means where technically feasible.</w:t>
      </w:r>
    </w:p>
    <w:p w14:paraId="4128B235" w14:textId="52508CC6" w:rsidR="00884BC7" w:rsidRDefault="000856CE" w:rsidP="000856CE">
      <w:pPr>
        <w:pStyle w:val="ManualNumPar1"/>
        <w:rPr>
          <w:noProof/>
          <w:lang w:val="en-IE"/>
        </w:rPr>
      </w:pPr>
      <w:r w:rsidRPr="000856CE">
        <w:t>2.</w:t>
      </w:r>
      <w:r w:rsidRPr="000856CE">
        <w:tab/>
      </w:r>
      <w:r w:rsidR="00884BC7" w:rsidRPr="00B356D4">
        <w:rPr>
          <w:noProof/>
          <w:lang w:val="en-IE"/>
        </w:rPr>
        <w:t xml:space="preserve">The </w:t>
      </w:r>
      <w:r w:rsidR="000D7185" w:rsidRPr="00DE240C">
        <w:rPr>
          <w:noProof/>
          <w:lang w:val="en-IE"/>
        </w:rPr>
        <w:t xml:space="preserve">data holder shall not require the user to provide any information beyond what is necessary to verify </w:t>
      </w:r>
      <w:r w:rsidR="000D7185">
        <w:rPr>
          <w:noProof/>
          <w:lang w:val="en-IE"/>
        </w:rPr>
        <w:t xml:space="preserve">the quality as a user </w:t>
      </w:r>
      <w:r w:rsidR="000D7185" w:rsidRPr="00DE240C">
        <w:rPr>
          <w:noProof/>
          <w:lang w:val="en-IE"/>
        </w:rPr>
        <w:t xml:space="preserve">pursuant to paragraph 1. </w:t>
      </w:r>
      <w:r w:rsidR="000D7185">
        <w:rPr>
          <w:noProof/>
          <w:lang w:val="en-IE"/>
        </w:rPr>
        <w:t xml:space="preserve">The data holder shall not keep any information on the user’s access to the data </w:t>
      </w:r>
      <w:r w:rsidR="00F10513">
        <w:rPr>
          <w:noProof/>
          <w:lang w:val="en-IE"/>
        </w:rPr>
        <w:t xml:space="preserve">requested </w:t>
      </w:r>
      <w:r w:rsidR="000D7185">
        <w:rPr>
          <w:noProof/>
          <w:lang w:val="en-IE"/>
        </w:rPr>
        <w:t>beyond what is necessary for the sound execution of the user’s access request and for the security and the maintenance of the data infrastructure</w:t>
      </w:r>
      <w:r w:rsidR="00884BC7" w:rsidRPr="00B356D4">
        <w:rPr>
          <w:noProof/>
          <w:lang w:val="en-IE"/>
        </w:rPr>
        <w:t xml:space="preserve">. </w:t>
      </w:r>
    </w:p>
    <w:p w14:paraId="514978B0" w14:textId="109F8225" w:rsidR="00884BC7" w:rsidRPr="006D12BC" w:rsidRDefault="000856CE" w:rsidP="000856CE">
      <w:pPr>
        <w:pStyle w:val="ManualNumPar1"/>
        <w:rPr>
          <w:rFonts w:eastAsiaTheme="minorEastAsia"/>
          <w:noProof/>
          <w:lang w:val="en-IE"/>
        </w:rPr>
      </w:pPr>
      <w:r w:rsidRPr="000856CE">
        <w:t>3.</w:t>
      </w:r>
      <w:r w:rsidRPr="000856CE">
        <w:tab/>
      </w:r>
      <w:r w:rsidR="00884BC7" w:rsidRPr="00B356D4">
        <w:rPr>
          <w:noProof/>
          <w:lang w:val="en-IE"/>
        </w:rPr>
        <w:t xml:space="preserve">Trade </w:t>
      </w:r>
      <w:r w:rsidR="000D7185" w:rsidRPr="00DE240C">
        <w:rPr>
          <w:noProof/>
          <w:lang w:val="en-IE"/>
        </w:rPr>
        <w:t>secrets shall only be disclosed provided that all specific necessary measures are taken to preserve the confidentiality of trade secret</w:t>
      </w:r>
      <w:r w:rsidR="00F10513">
        <w:rPr>
          <w:noProof/>
          <w:lang w:val="en-IE"/>
        </w:rPr>
        <w:t>s</w:t>
      </w:r>
      <w:r w:rsidR="000D7185" w:rsidRPr="00DE240C">
        <w:rPr>
          <w:noProof/>
          <w:lang w:val="en-IE"/>
        </w:rPr>
        <w:t xml:space="preserve"> </w:t>
      </w:r>
      <w:r w:rsidR="000D7185" w:rsidRPr="00B356D4">
        <w:rPr>
          <w:noProof/>
          <w:lang w:val="en-IE"/>
        </w:rPr>
        <w:t xml:space="preserve">in </w:t>
      </w:r>
      <w:r w:rsidR="000D7185">
        <w:rPr>
          <w:noProof/>
          <w:lang w:val="en-IE"/>
        </w:rPr>
        <w:t>particular</w:t>
      </w:r>
      <w:r w:rsidR="000D7185" w:rsidRPr="00B356D4">
        <w:rPr>
          <w:noProof/>
          <w:lang w:val="en-IE"/>
        </w:rPr>
        <w:t xml:space="preserve"> </w:t>
      </w:r>
      <w:r w:rsidR="000D7185">
        <w:rPr>
          <w:noProof/>
          <w:lang w:val="en-IE"/>
        </w:rPr>
        <w:t xml:space="preserve">with respect </w:t>
      </w:r>
      <w:r w:rsidR="000D7185" w:rsidRPr="00DE240C">
        <w:rPr>
          <w:noProof/>
          <w:lang w:val="en-IE"/>
        </w:rPr>
        <w:t xml:space="preserve">to third parties. The data holder </w:t>
      </w:r>
      <w:r w:rsidR="000D7185">
        <w:rPr>
          <w:noProof/>
          <w:lang w:val="en-IE"/>
        </w:rPr>
        <w:t xml:space="preserve">and the </w:t>
      </w:r>
      <w:r w:rsidR="000D7185" w:rsidRPr="00DE240C">
        <w:rPr>
          <w:noProof/>
          <w:lang w:val="en-IE"/>
        </w:rPr>
        <w:t xml:space="preserve">user </w:t>
      </w:r>
      <w:r w:rsidR="000D7185">
        <w:rPr>
          <w:noProof/>
          <w:lang w:val="en-IE"/>
        </w:rPr>
        <w:t xml:space="preserve">can agree </w:t>
      </w:r>
      <w:r w:rsidR="000D7185" w:rsidRPr="00DE240C">
        <w:rPr>
          <w:noProof/>
          <w:lang w:val="en-IE"/>
        </w:rPr>
        <w:t>measures to preserve the confidentiality of the shared data, in particular in relation to third parties</w:t>
      </w:r>
      <w:r w:rsidR="00884BC7" w:rsidRPr="00B356D4">
        <w:rPr>
          <w:noProof/>
          <w:lang w:val="en-IE"/>
        </w:rPr>
        <w:t xml:space="preserve">. </w:t>
      </w:r>
    </w:p>
    <w:p w14:paraId="0AA7E530" w14:textId="629887D3" w:rsidR="00884BC7" w:rsidRPr="006D12BC" w:rsidRDefault="000856CE" w:rsidP="000856CE">
      <w:pPr>
        <w:pStyle w:val="ManualNumPar1"/>
        <w:rPr>
          <w:rFonts w:eastAsiaTheme="minorEastAsia"/>
          <w:noProof/>
          <w:lang w:val="en-IE"/>
        </w:rPr>
      </w:pPr>
      <w:r w:rsidRPr="000856CE">
        <w:t>4.</w:t>
      </w:r>
      <w:r w:rsidRPr="000856CE">
        <w:tab/>
      </w:r>
      <w:r w:rsidR="00884BC7" w:rsidRPr="0CA8BF00">
        <w:rPr>
          <w:noProof/>
          <w:lang w:val="en-IE"/>
        </w:rPr>
        <w:t xml:space="preserve">The </w:t>
      </w:r>
      <w:r w:rsidR="000D7185" w:rsidRPr="00DE240C">
        <w:rPr>
          <w:noProof/>
          <w:lang w:val="en-IE"/>
        </w:rPr>
        <w:t>user shall not use the data</w:t>
      </w:r>
      <w:r w:rsidR="000D7185" w:rsidRPr="00DA7C3B">
        <w:rPr>
          <w:noProof/>
          <w:lang w:val="en-IE"/>
        </w:rPr>
        <w:t xml:space="preserve"> </w:t>
      </w:r>
      <w:r w:rsidR="000D7185">
        <w:rPr>
          <w:noProof/>
          <w:lang w:val="en-IE"/>
        </w:rPr>
        <w:t>obtained pursuant to a request referred to in paragraph 1</w:t>
      </w:r>
      <w:r w:rsidR="000D7185" w:rsidRPr="00DE240C">
        <w:rPr>
          <w:noProof/>
          <w:lang w:val="en-IE"/>
        </w:rPr>
        <w:t xml:space="preserve"> to develop </w:t>
      </w:r>
      <w:r w:rsidR="000D7185">
        <w:rPr>
          <w:noProof/>
          <w:lang w:val="en-IE"/>
        </w:rPr>
        <w:t xml:space="preserve">a </w:t>
      </w:r>
      <w:r w:rsidR="000D7185" w:rsidRPr="00DE240C">
        <w:rPr>
          <w:noProof/>
          <w:lang w:val="en-IE"/>
        </w:rPr>
        <w:t xml:space="preserve">product that competes with </w:t>
      </w:r>
      <w:r w:rsidR="000D7185">
        <w:rPr>
          <w:noProof/>
          <w:lang w:val="en-IE"/>
        </w:rPr>
        <w:t xml:space="preserve">the product from which the data </w:t>
      </w:r>
      <w:r w:rsidR="000D7185" w:rsidRPr="00DE240C">
        <w:rPr>
          <w:noProof/>
          <w:lang w:val="en-IE"/>
        </w:rPr>
        <w:t>originate</w:t>
      </w:r>
      <w:r w:rsidR="00884BC7">
        <w:rPr>
          <w:noProof/>
          <w:lang w:val="en-IE"/>
        </w:rPr>
        <w:t xml:space="preserve">. </w:t>
      </w:r>
    </w:p>
    <w:p w14:paraId="20DA8D60" w14:textId="2C44B31F" w:rsidR="00884BC7" w:rsidRDefault="000856CE" w:rsidP="000856CE">
      <w:pPr>
        <w:pStyle w:val="ManualNumPar1"/>
        <w:rPr>
          <w:noProof/>
          <w:lang w:val="en-IE"/>
        </w:rPr>
      </w:pPr>
      <w:r w:rsidRPr="000856CE">
        <w:t>5.</w:t>
      </w:r>
      <w:r w:rsidRPr="000856CE">
        <w:tab/>
      </w:r>
      <w:r w:rsidR="000D7185">
        <w:rPr>
          <w:noProof/>
          <w:lang w:val="en-IE"/>
        </w:rPr>
        <w:t>Where</w:t>
      </w:r>
      <w:r w:rsidR="00884BC7">
        <w:rPr>
          <w:noProof/>
          <w:lang w:val="en-IE"/>
        </w:rPr>
        <w:t xml:space="preserve"> </w:t>
      </w:r>
      <w:r w:rsidR="000D7185" w:rsidRPr="00DE240C">
        <w:rPr>
          <w:noProof/>
          <w:lang w:val="en-IE"/>
        </w:rPr>
        <w:t>the user is not a data subject, any personal data generated by the use of a product</w:t>
      </w:r>
      <w:r w:rsidR="008B6EC4">
        <w:rPr>
          <w:noProof/>
          <w:lang w:val="en-IE"/>
        </w:rPr>
        <w:t xml:space="preserve"> </w:t>
      </w:r>
      <w:r w:rsidR="00F10513">
        <w:rPr>
          <w:noProof/>
          <w:lang w:val="en-IE"/>
        </w:rPr>
        <w:t xml:space="preserve">or </w:t>
      </w:r>
      <w:r w:rsidR="000D7185" w:rsidRPr="00DE240C">
        <w:rPr>
          <w:noProof/>
          <w:lang w:val="en-IE"/>
        </w:rPr>
        <w:t xml:space="preserve">related service shall only be made available </w:t>
      </w:r>
      <w:r w:rsidR="000D7185">
        <w:rPr>
          <w:noProof/>
          <w:lang w:val="en-IE"/>
        </w:rPr>
        <w:t xml:space="preserve">by the data holder to the user </w:t>
      </w:r>
      <w:r w:rsidR="000D7185" w:rsidRPr="00DE240C">
        <w:rPr>
          <w:noProof/>
          <w:lang w:val="en-IE"/>
        </w:rPr>
        <w:t xml:space="preserve">where there is a valid legal basis under Article 6(1) </w:t>
      </w:r>
      <w:r w:rsidR="00F10513">
        <w:rPr>
          <w:noProof/>
          <w:lang w:val="en-IE"/>
        </w:rPr>
        <w:t xml:space="preserve">of Regulation (EU) 2016/679 </w:t>
      </w:r>
      <w:r w:rsidR="000D7185">
        <w:rPr>
          <w:noProof/>
          <w:lang w:val="en-IE"/>
        </w:rPr>
        <w:t xml:space="preserve">and, where relevant, </w:t>
      </w:r>
      <w:r w:rsidR="00F10513">
        <w:rPr>
          <w:noProof/>
          <w:lang w:val="en-IE"/>
        </w:rPr>
        <w:t xml:space="preserve">the conditions of </w:t>
      </w:r>
      <w:r w:rsidR="000D7185">
        <w:rPr>
          <w:noProof/>
          <w:lang w:val="en-IE"/>
        </w:rPr>
        <w:t xml:space="preserve">Article 9 </w:t>
      </w:r>
      <w:r w:rsidR="000D7185" w:rsidRPr="00DE240C">
        <w:rPr>
          <w:noProof/>
          <w:lang w:val="en-IE"/>
        </w:rPr>
        <w:t>of Regulation (EU) 2016/679</w:t>
      </w:r>
      <w:r w:rsidR="00F10513">
        <w:rPr>
          <w:noProof/>
          <w:lang w:val="en-IE"/>
        </w:rPr>
        <w:t xml:space="preserve"> are fulfilled</w:t>
      </w:r>
      <w:r w:rsidR="00884BC7" w:rsidRPr="0CA8BF00">
        <w:rPr>
          <w:noProof/>
          <w:lang w:val="en-IE"/>
        </w:rPr>
        <w:t xml:space="preserve">. </w:t>
      </w:r>
    </w:p>
    <w:p w14:paraId="19D5EFF0" w14:textId="22EE5522" w:rsidR="00884BC7" w:rsidRPr="00884BC7" w:rsidRDefault="000856CE" w:rsidP="000856CE">
      <w:pPr>
        <w:pStyle w:val="ManualNumPar1"/>
        <w:rPr>
          <w:noProof/>
          <w:lang w:val="en-IE"/>
        </w:rPr>
      </w:pPr>
      <w:r w:rsidRPr="000856CE">
        <w:t>6.</w:t>
      </w:r>
      <w:r w:rsidRPr="000856CE">
        <w:tab/>
      </w:r>
      <w:r w:rsidR="00884BC7" w:rsidRPr="00884BC7">
        <w:rPr>
          <w:noProof/>
          <w:lang w:val="en-IE"/>
        </w:rPr>
        <w:t xml:space="preserve">The </w:t>
      </w:r>
      <w:r w:rsidR="000D7185" w:rsidRPr="00DE240C">
        <w:rPr>
          <w:noProof/>
          <w:lang w:val="en-IE"/>
        </w:rPr>
        <w:t xml:space="preserve">data holder </w:t>
      </w:r>
      <w:r w:rsidR="000D7185">
        <w:rPr>
          <w:noProof/>
          <w:lang w:val="en-IE"/>
        </w:rPr>
        <w:t>shall only</w:t>
      </w:r>
      <w:r w:rsidR="000D7185" w:rsidRPr="00DE240C">
        <w:rPr>
          <w:noProof/>
          <w:lang w:val="en-IE"/>
        </w:rPr>
        <w:t xml:space="preserve"> use any non-personal data generated by the use of a product </w:t>
      </w:r>
      <w:r w:rsidR="00F10513">
        <w:rPr>
          <w:noProof/>
          <w:lang w:val="en-IE"/>
        </w:rPr>
        <w:t>or</w:t>
      </w:r>
      <w:r w:rsidR="00F10513" w:rsidRPr="00DE240C">
        <w:rPr>
          <w:noProof/>
          <w:lang w:val="en-IE"/>
        </w:rPr>
        <w:t xml:space="preserve"> </w:t>
      </w:r>
      <w:r w:rsidR="000D7185" w:rsidRPr="00DE240C">
        <w:rPr>
          <w:noProof/>
          <w:lang w:val="en-IE"/>
        </w:rPr>
        <w:t>related service on the basis of a contractual agreement with the user.</w:t>
      </w:r>
      <w:r w:rsidR="000D7185">
        <w:rPr>
          <w:noProof/>
          <w:lang w:val="en-IE"/>
        </w:rPr>
        <w:t xml:space="preserve"> </w:t>
      </w:r>
      <w:r w:rsidR="000D7185" w:rsidRPr="00F40862">
        <w:rPr>
          <w:noProof/>
          <w:lang w:val="en-IE"/>
        </w:rPr>
        <w:t xml:space="preserve">The data holder shall not use </w:t>
      </w:r>
      <w:r w:rsidR="00F10513">
        <w:rPr>
          <w:noProof/>
          <w:lang w:val="en-IE"/>
        </w:rPr>
        <w:t>such</w:t>
      </w:r>
      <w:r w:rsidR="00F10513" w:rsidRPr="00F40862">
        <w:rPr>
          <w:noProof/>
          <w:lang w:val="en-IE"/>
        </w:rPr>
        <w:t xml:space="preserve"> </w:t>
      </w:r>
      <w:r w:rsidR="000D7185" w:rsidRPr="00F40862">
        <w:rPr>
          <w:noProof/>
          <w:lang w:val="en-IE"/>
        </w:rPr>
        <w:t xml:space="preserve">data generated by the use of the product </w:t>
      </w:r>
      <w:r w:rsidR="00F10513">
        <w:rPr>
          <w:noProof/>
          <w:lang w:val="en-IE"/>
        </w:rPr>
        <w:t>or</w:t>
      </w:r>
      <w:r w:rsidR="0013192C" w:rsidRPr="00F40862">
        <w:rPr>
          <w:noProof/>
          <w:lang w:val="en-IE"/>
        </w:rPr>
        <w:t xml:space="preserve"> </w:t>
      </w:r>
      <w:r w:rsidR="000D7185" w:rsidRPr="00F40862">
        <w:rPr>
          <w:noProof/>
          <w:lang w:val="en-IE"/>
        </w:rPr>
        <w:t>related service to derive insights about the economic situation</w:t>
      </w:r>
      <w:r w:rsidR="00F10513">
        <w:rPr>
          <w:noProof/>
          <w:lang w:val="en-IE"/>
        </w:rPr>
        <w:t>,</w:t>
      </w:r>
      <w:r w:rsidR="000D7185" w:rsidRPr="00F40862">
        <w:rPr>
          <w:noProof/>
          <w:lang w:val="en-IE"/>
        </w:rPr>
        <w:t xml:space="preserve"> </w:t>
      </w:r>
      <w:r w:rsidR="000D7185">
        <w:rPr>
          <w:noProof/>
          <w:lang w:val="en-IE"/>
        </w:rPr>
        <w:t>assets</w:t>
      </w:r>
      <w:r w:rsidR="00F10513">
        <w:rPr>
          <w:noProof/>
          <w:lang w:val="en-IE"/>
        </w:rPr>
        <w:t xml:space="preserve"> and</w:t>
      </w:r>
      <w:r w:rsidR="000D7185" w:rsidRPr="00F40862" w:rsidDel="00444C38">
        <w:rPr>
          <w:noProof/>
          <w:lang w:val="en-IE"/>
        </w:rPr>
        <w:t xml:space="preserve"> </w:t>
      </w:r>
      <w:r w:rsidR="000D7185" w:rsidRPr="00F40862">
        <w:rPr>
          <w:noProof/>
          <w:lang w:val="en-IE"/>
        </w:rPr>
        <w:t xml:space="preserve">production methods </w:t>
      </w:r>
      <w:r w:rsidR="00F10513">
        <w:rPr>
          <w:noProof/>
          <w:lang w:val="en-IE"/>
        </w:rPr>
        <w:t xml:space="preserve">of </w:t>
      </w:r>
      <w:r w:rsidR="000D7185" w:rsidRPr="00F40862">
        <w:rPr>
          <w:noProof/>
          <w:lang w:val="en-IE"/>
        </w:rPr>
        <w:t xml:space="preserve">or the use </w:t>
      </w:r>
      <w:r w:rsidR="00F10513">
        <w:rPr>
          <w:noProof/>
          <w:lang w:val="en-IE"/>
        </w:rPr>
        <w:t xml:space="preserve">by the user </w:t>
      </w:r>
      <w:r w:rsidR="000D7185" w:rsidRPr="00F40862">
        <w:rPr>
          <w:noProof/>
          <w:lang w:val="en-IE"/>
        </w:rPr>
        <w:t xml:space="preserve">that could undermine the commercial position of the user </w:t>
      </w:r>
      <w:r w:rsidR="000D7185">
        <w:rPr>
          <w:noProof/>
          <w:lang w:val="en-IE"/>
        </w:rPr>
        <w:t>in</w:t>
      </w:r>
      <w:r w:rsidR="000D7185" w:rsidRPr="00F40862">
        <w:rPr>
          <w:noProof/>
          <w:lang w:val="en-IE"/>
        </w:rPr>
        <w:t xml:space="preserve"> the markets </w:t>
      </w:r>
      <w:r w:rsidR="00F10513">
        <w:rPr>
          <w:noProof/>
          <w:lang w:val="en-IE"/>
        </w:rPr>
        <w:t>in which the user is</w:t>
      </w:r>
      <w:r w:rsidR="000D7185" w:rsidRPr="00F40862">
        <w:rPr>
          <w:noProof/>
          <w:lang w:val="en-IE"/>
        </w:rPr>
        <w:t xml:space="preserve"> active</w:t>
      </w:r>
      <w:r w:rsidR="00884BC7" w:rsidRPr="00884BC7">
        <w:rPr>
          <w:noProof/>
          <w:lang w:val="en-IE"/>
        </w:rPr>
        <w:t>.</w:t>
      </w:r>
    </w:p>
    <w:p w14:paraId="4042F9AC" w14:textId="69E47758" w:rsidR="00280967" w:rsidRPr="0077149E" w:rsidRDefault="00CC2D52" w:rsidP="0077149E">
      <w:pPr>
        <w:pStyle w:val="Titrearticleb"/>
        <w:rPr>
          <w:noProof/>
        </w:rPr>
      </w:pPr>
      <w:r>
        <w:rPr>
          <w:noProof/>
        </w:rPr>
        <w:t>Article 5</w:t>
      </w:r>
      <w:r w:rsidR="0077149E">
        <w:rPr>
          <w:noProof/>
        </w:rPr>
        <w:br/>
      </w:r>
      <w:r w:rsidR="00280967" w:rsidRPr="00CF57DB">
        <w:rPr>
          <w:noProof/>
          <w:lang w:val="en-IE"/>
        </w:rPr>
        <w:t>Right to share data with third parties</w:t>
      </w:r>
    </w:p>
    <w:p w14:paraId="24275EBC" w14:textId="6BB8930D" w:rsidR="008107FE" w:rsidRPr="00E80604" w:rsidRDefault="000856CE" w:rsidP="000856CE">
      <w:pPr>
        <w:pStyle w:val="ManualNumPar1"/>
        <w:rPr>
          <w:noProof/>
          <w:sz w:val="16"/>
          <w:lang w:val="en-IE"/>
        </w:rPr>
      </w:pPr>
      <w:r w:rsidRPr="000856CE">
        <w:t>1.</w:t>
      </w:r>
      <w:r w:rsidRPr="000856CE">
        <w:tab/>
      </w:r>
      <w:r w:rsidR="000D7185">
        <w:rPr>
          <w:noProof/>
          <w:lang w:val="en-IE"/>
        </w:rPr>
        <w:t>Upon</w:t>
      </w:r>
      <w:r w:rsidR="008107FE" w:rsidRPr="00E80604">
        <w:rPr>
          <w:noProof/>
          <w:lang w:val="en-IE"/>
        </w:rPr>
        <w:t xml:space="preserve"> </w:t>
      </w:r>
      <w:r w:rsidR="000D7185" w:rsidRPr="00E80604">
        <w:rPr>
          <w:noProof/>
          <w:lang w:val="en-IE"/>
        </w:rPr>
        <w:t xml:space="preserve">request by a user, or by a party </w:t>
      </w:r>
      <w:r w:rsidR="000D7185">
        <w:rPr>
          <w:noProof/>
          <w:lang w:val="en-IE"/>
        </w:rPr>
        <w:t>acting on behalf of</w:t>
      </w:r>
      <w:r w:rsidR="000D7185" w:rsidRPr="00E80604">
        <w:rPr>
          <w:noProof/>
          <w:lang w:val="en-IE"/>
        </w:rPr>
        <w:t xml:space="preserve"> </w:t>
      </w:r>
      <w:r w:rsidR="000D7185">
        <w:rPr>
          <w:noProof/>
          <w:lang w:val="en-IE"/>
        </w:rPr>
        <w:t>a</w:t>
      </w:r>
      <w:r w:rsidR="000D7185" w:rsidRPr="00E80604">
        <w:rPr>
          <w:noProof/>
          <w:lang w:val="en-IE"/>
        </w:rPr>
        <w:t xml:space="preserve"> user, </w:t>
      </w:r>
      <w:r w:rsidR="000D7185">
        <w:rPr>
          <w:noProof/>
          <w:lang w:val="en-IE"/>
        </w:rPr>
        <w:t>the data holder shall</w:t>
      </w:r>
      <w:r w:rsidR="000D7185" w:rsidRPr="00E80604">
        <w:rPr>
          <w:noProof/>
          <w:lang w:val="en-IE"/>
        </w:rPr>
        <w:t xml:space="preserve"> make available the data</w:t>
      </w:r>
      <w:r w:rsidR="000D7185" w:rsidRPr="00B356D4">
        <w:rPr>
          <w:noProof/>
        </w:rPr>
        <w:t xml:space="preserve"> </w:t>
      </w:r>
      <w:r w:rsidR="000D7185">
        <w:rPr>
          <w:noProof/>
        </w:rPr>
        <w:t xml:space="preserve">generated by the use of a product </w:t>
      </w:r>
      <w:r w:rsidR="00F10513">
        <w:rPr>
          <w:noProof/>
        </w:rPr>
        <w:t xml:space="preserve">or </w:t>
      </w:r>
      <w:r w:rsidR="000D7185">
        <w:rPr>
          <w:noProof/>
        </w:rPr>
        <w:t>related service</w:t>
      </w:r>
      <w:r w:rsidR="000D7185" w:rsidRPr="00B356D4">
        <w:rPr>
          <w:noProof/>
        </w:rPr>
        <w:t xml:space="preserve"> </w:t>
      </w:r>
      <w:r w:rsidR="000D7185" w:rsidRPr="00E80604">
        <w:rPr>
          <w:noProof/>
          <w:lang w:val="en-IE"/>
        </w:rPr>
        <w:t xml:space="preserve">to a third party, without undue delay, free of charge to the user, </w:t>
      </w:r>
      <w:r w:rsidR="00BF5CE0">
        <w:rPr>
          <w:noProof/>
          <w:lang w:val="en-IE"/>
        </w:rPr>
        <w:t>of</w:t>
      </w:r>
      <w:r w:rsidR="000D7185">
        <w:rPr>
          <w:noProof/>
          <w:lang w:val="en-IE"/>
        </w:rPr>
        <w:t xml:space="preserve"> the same quality as </w:t>
      </w:r>
      <w:r w:rsidR="00BF5CE0">
        <w:rPr>
          <w:noProof/>
          <w:lang w:val="en-IE"/>
        </w:rPr>
        <w:t xml:space="preserve">is </w:t>
      </w:r>
      <w:r w:rsidR="000D7185">
        <w:rPr>
          <w:noProof/>
          <w:lang w:val="en-IE"/>
        </w:rPr>
        <w:t>available to the data holder</w:t>
      </w:r>
      <w:r w:rsidR="000D7185" w:rsidRPr="00E80604">
        <w:rPr>
          <w:noProof/>
          <w:lang w:val="en-IE"/>
        </w:rPr>
        <w:t xml:space="preserve"> and, where applicable, continuously and in real-time</w:t>
      </w:r>
      <w:r w:rsidR="008107FE" w:rsidRPr="00E80604">
        <w:rPr>
          <w:noProof/>
          <w:lang w:val="en-IE"/>
        </w:rPr>
        <w:t xml:space="preserve">. </w:t>
      </w:r>
    </w:p>
    <w:p w14:paraId="156A2266" w14:textId="3FF316A5" w:rsidR="008107FE" w:rsidRDefault="000856CE" w:rsidP="000856CE">
      <w:pPr>
        <w:pStyle w:val="ManualNumPar1"/>
        <w:rPr>
          <w:noProof/>
          <w:lang w:val="en-IE"/>
        </w:rPr>
      </w:pPr>
      <w:r w:rsidRPr="000856CE">
        <w:t>2.</w:t>
      </w:r>
      <w:r w:rsidRPr="000856CE">
        <w:tab/>
      </w:r>
      <w:r w:rsidR="008107FE" w:rsidRPr="00900537">
        <w:rPr>
          <w:noProof/>
          <w:lang w:val="en-IE"/>
        </w:rPr>
        <w:t>An</w:t>
      </w:r>
      <w:r w:rsidR="008107FE">
        <w:rPr>
          <w:noProof/>
          <w:lang w:val="en-IE"/>
        </w:rPr>
        <w:t>y</w:t>
      </w:r>
      <w:r w:rsidR="008107FE" w:rsidRPr="00900537">
        <w:rPr>
          <w:noProof/>
          <w:lang w:val="en-IE"/>
        </w:rPr>
        <w:t xml:space="preserve"> </w:t>
      </w:r>
      <w:r w:rsidR="000D7185" w:rsidRPr="0007385B">
        <w:rPr>
          <w:noProof/>
          <w:lang w:val="en-IE"/>
        </w:rPr>
        <w:t>undertaking providing core platform services for which one or more of such services have been</w:t>
      </w:r>
      <w:r w:rsidR="000D7185" w:rsidRPr="00BF4C6D">
        <w:rPr>
          <w:noProof/>
          <w:lang w:val="en-IE"/>
        </w:rPr>
        <w:t xml:space="preserve"> </w:t>
      </w:r>
      <w:r w:rsidR="000D7185" w:rsidRPr="00900537">
        <w:rPr>
          <w:noProof/>
          <w:lang w:val="en-IE"/>
        </w:rPr>
        <w:t>designated as a gatekeeper</w:t>
      </w:r>
      <w:r w:rsidR="000D7185">
        <w:rPr>
          <w:noProof/>
          <w:lang w:val="en-IE"/>
        </w:rPr>
        <w:t xml:space="preserve">, </w:t>
      </w:r>
      <w:r w:rsidR="000D7185" w:rsidRPr="00900537">
        <w:rPr>
          <w:noProof/>
          <w:lang w:val="en-IE"/>
        </w:rPr>
        <w:t>pursuant to</w:t>
      </w:r>
      <w:r w:rsidR="000D7185">
        <w:rPr>
          <w:noProof/>
          <w:lang w:val="en-IE"/>
        </w:rPr>
        <w:t xml:space="preserve"> Article […] </w:t>
      </w:r>
      <w:r w:rsidR="000D7185" w:rsidRPr="00A10CB8">
        <w:rPr>
          <w:noProof/>
          <w:lang w:val="en-IE"/>
        </w:rPr>
        <w:t xml:space="preserve">of </w:t>
      </w:r>
      <w:r w:rsidR="000D7185" w:rsidRPr="00AC5B10">
        <w:rPr>
          <w:noProof/>
          <w:lang w:val="en-IE"/>
        </w:rPr>
        <w:t>[</w:t>
      </w:r>
      <w:r w:rsidR="000D7185" w:rsidRPr="00A10CB8">
        <w:rPr>
          <w:noProof/>
          <w:lang w:val="en-IE"/>
        </w:rPr>
        <w:t xml:space="preserve">Regulation </w:t>
      </w:r>
      <w:r w:rsidR="000D7185">
        <w:rPr>
          <w:noProof/>
          <w:lang w:val="en-IE"/>
        </w:rPr>
        <w:t>XXX</w:t>
      </w:r>
      <w:r w:rsidR="000D7185" w:rsidRPr="00FA61CC">
        <w:rPr>
          <w:noProof/>
          <w:lang w:val="en-IE"/>
        </w:rPr>
        <w:t xml:space="preserve"> </w:t>
      </w:r>
      <w:r w:rsidR="000D7185" w:rsidRPr="00AC65B2">
        <w:rPr>
          <w:noProof/>
        </w:rPr>
        <w:t>on contestable and fair markets in the digital sector (Digital Markets Act)</w:t>
      </w:r>
      <w:r w:rsidR="000D7185" w:rsidRPr="00AC65B2">
        <w:rPr>
          <w:rStyle w:val="FootnoteReference"/>
          <w:noProof/>
        </w:rPr>
        <w:footnoteReference w:id="73"/>
      </w:r>
      <w:r w:rsidR="000D7185" w:rsidRPr="009458CF">
        <w:rPr>
          <w:noProof/>
        </w:rPr>
        <w:t>]</w:t>
      </w:r>
      <w:r w:rsidR="000D7185" w:rsidRPr="00A10CB8">
        <w:rPr>
          <w:noProof/>
          <w:lang w:val="en-IE"/>
        </w:rPr>
        <w:t>,</w:t>
      </w:r>
      <w:r w:rsidR="000D7185" w:rsidRPr="00900537">
        <w:rPr>
          <w:noProof/>
          <w:lang w:val="en-IE"/>
        </w:rPr>
        <w:t xml:space="preserve"> shall not</w:t>
      </w:r>
      <w:r w:rsidR="000D7185">
        <w:rPr>
          <w:noProof/>
          <w:lang w:val="en-IE"/>
        </w:rPr>
        <w:t xml:space="preserve"> be an eligible third party under this Article</w:t>
      </w:r>
      <w:r w:rsidR="008B6EC4">
        <w:rPr>
          <w:noProof/>
          <w:lang w:val="en-IE"/>
        </w:rPr>
        <w:t xml:space="preserve"> and</w:t>
      </w:r>
      <w:r w:rsidR="000D7185">
        <w:rPr>
          <w:noProof/>
          <w:lang w:val="en-IE"/>
        </w:rPr>
        <w:t xml:space="preserve"> </w:t>
      </w:r>
      <w:r w:rsidR="000D7185" w:rsidRPr="0007385B">
        <w:rPr>
          <w:noProof/>
          <w:lang w:val="en-IE"/>
        </w:rPr>
        <w:t>therefore shall not</w:t>
      </w:r>
      <w:r w:rsidR="008107FE">
        <w:rPr>
          <w:noProof/>
          <w:lang w:val="en-IE"/>
        </w:rPr>
        <w:t>:</w:t>
      </w:r>
    </w:p>
    <w:p w14:paraId="23B65D33" w14:textId="1C889CC6" w:rsidR="008107FE" w:rsidRPr="00E80604" w:rsidRDefault="000856CE" w:rsidP="000856CE">
      <w:pPr>
        <w:pStyle w:val="Point1"/>
        <w:rPr>
          <w:noProof/>
          <w:lang w:val="en-IE"/>
        </w:rPr>
      </w:pPr>
      <w:r w:rsidRPr="000856CE">
        <w:t>(a)</w:t>
      </w:r>
      <w:r w:rsidRPr="000856CE">
        <w:tab/>
      </w:r>
      <w:r w:rsidR="008107FE" w:rsidRPr="00E80604">
        <w:rPr>
          <w:noProof/>
          <w:lang w:val="en-IE"/>
        </w:rPr>
        <w:t xml:space="preserve">solicit </w:t>
      </w:r>
      <w:r w:rsidR="000D7185" w:rsidRPr="00DB4FEB">
        <w:rPr>
          <w:noProof/>
          <w:lang w:val="en-IE"/>
        </w:rPr>
        <w:t>or commercially incentivise a user in any manner, including by providing monetary or any other compensation, to make data available to one of its services that the user has obtained pursuant to a request under Article 4(1)</w:t>
      </w:r>
      <w:r w:rsidR="008107FE" w:rsidRPr="00E80604">
        <w:rPr>
          <w:noProof/>
          <w:lang w:val="en-IE"/>
        </w:rPr>
        <w:t xml:space="preserve">; </w:t>
      </w:r>
    </w:p>
    <w:p w14:paraId="59036AC0" w14:textId="5355C58D" w:rsidR="000D7185" w:rsidRPr="000D7185" w:rsidRDefault="000856CE" w:rsidP="000856CE">
      <w:pPr>
        <w:pStyle w:val="Point1"/>
        <w:rPr>
          <w:noProof/>
          <w:lang w:val="en-IE"/>
        </w:rPr>
      </w:pPr>
      <w:r w:rsidRPr="000856CE">
        <w:t>(b)</w:t>
      </w:r>
      <w:r w:rsidRPr="000856CE">
        <w:tab/>
      </w:r>
      <w:r w:rsidR="000D7185" w:rsidRPr="000D7185">
        <w:rPr>
          <w:noProof/>
          <w:lang w:val="en-IE"/>
        </w:rPr>
        <w:t xml:space="preserve">solicit or commercially incentivise a user to request the data holder to make data available to one of its services pursuant to paragraph 1 of this Article; </w:t>
      </w:r>
    </w:p>
    <w:p w14:paraId="26224592" w14:textId="18A0291C" w:rsidR="008107FE" w:rsidRPr="000D7185" w:rsidRDefault="000856CE" w:rsidP="000856CE">
      <w:pPr>
        <w:pStyle w:val="Point1"/>
        <w:rPr>
          <w:noProof/>
          <w:lang w:val="en-IE"/>
        </w:rPr>
      </w:pPr>
      <w:r w:rsidRPr="000856CE">
        <w:t>(c)</w:t>
      </w:r>
      <w:r w:rsidRPr="000856CE">
        <w:tab/>
      </w:r>
      <w:r w:rsidR="000D7185" w:rsidRPr="000D7185">
        <w:rPr>
          <w:noProof/>
          <w:lang w:val="en-IE"/>
        </w:rPr>
        <w:t>receive data from a user that the user has obtained pursuant to a request under Article 4(1)</w:t>
      </w:r>
      <w:r w:rsidR="008107FE" w:rsidRPr="000D7185">
        <w:rPr>
          <w:noProof/>
          <w:lang w:val="en-IE"/>
        </w:rPr>
        <w:t xml:space="preserve">. </w:t>
      </w:r>
    </w:p>
    <w:p w14:paraId="0BD3B5ED" w14:textId="31E4265A" w:rsidR="008107FE" w:rsidRDefault="000856CE" w:rsidP="000856CE">
      <w:pPr>
        <w:pStyle w:val="ManualNumPar1"/>
        <w:rPr>
          <w:noProof/>
          <w:lang w:val="en-IE"/>
        </w:rPr>
      </w:pPr>
      <w:r w:rsidRPr="000856CE">
        <w:t>3.</w:t>
      </w:r>
      <w:r w:rsidRPr="000856CE">
        <w:tab/>
      </w:r>
      <w:r w:rsidR="008107FE" w:rsidRPr="00B356D4">
        <w:rPr>
          <w:noProof/>
          <w:lang w:val="en-IE"/>
        </w:rPr>
        <w:t xml:space="preserve">The </w:t>
      </w:r>
      <w:r w:rsidR="000D7185" w:rsidRPr="00B356D4">
        <w:rPr>
          <w:noProof/>
          <w:lang w:val="en-IE"/>
        </w:rPr>
        <w:t>user or third party shall not be required to provide any information beyond what i</w:t>
      </w:r>
      <w:r w:rsidR="000D7185">
        <w:rPr>
          <w:noProof/>
          <w:lang w:val="en-IE"/>
        </w:rPr>
        <w:t>s</w:t>
      </w:r>
      <w:r w:rsidR="000D7185" w:rsidRPr="00B356D4">
        <w:rPr>
          <w:noProof/>
          <w:lang w:val="en-IE"/>
        </w:rPr>
        <w:t xml:space="preserve"> necessary to verify the </w:t>
      </w:r>
      <w:r w:rsidR="000D7185">
        <w:rPr>
          <w:noProof/>
          <w:lang w:val="en-IE"/>
        </w:rPr>
        <w:t>quality as user or as third party</w:t>
      </w:r>
      <w:r w:rsidR="000D7185" w:rsidRPr="007B7671">
        <w:rPr>
          <w:noProof/>
          <w:lang w:val="en-IE"/>
        </w:rPr>
        <w:t xml:space="preserve"> pursuant to paragraph 1</w:t>
      </w:r>
      <w:r w:rsidR="000D7185" w:rsidRPr="00B356D4">
        <w:rPr>
          <w:noProof/>
          <w:lang w:val="en-IE"/>
        </w:rPr>
        <w:t xml:space="preserve">. </w:t>
      </w:r>
      <w:r w:rsidR="000D7185">
        <w:rPr>
          <w:noProof/>
          <w:lang w:val="en-IE"/>
        </w:rPr>
        <w:t xml:space="preserve">The data holder shall not keep any information on the third party’s access to the data </w:t>
      </w:r>
      <w:r w:rsidR="00F10513">
        <w:rPr>
          <w:noProof/>
          <w:lang w:val="en-IE"/>
        </w:rPr>
        <w:t xml:space="preserve">requested </w:t>
      </w:r>
      <w:r w:rsidR="000D7185">
        <w:rPr>
          <w:noProof/>
          <w:lang w:val="en-IE"/>
        </w:rPr>
        <w:t>beyond what is necessary for the sound execution of the third party’s access request and for the security and the maintenance of the data infrastructure</w:t>
      </w:r>
      <w:r w:rsidR="008107FE" w:rsidRPr="00B356D4">
        <w:rPr>
          <w:noProof/>
          <w:lang w:val="en-IE"/>
        </w:rPr>
        <w:t xml:space="preserve">. </w:t>
      </w:r>
    </w:p>
    <w:p w14:paraId="53F70E4D" w14:textId="4B164F11" w:rsidR="008107FE" w:rsidRDefault="000856CE" w:rsidP="000856CE">
      <w:pPr>
        <w:pStyle w:val="ManualNumPar1"/>
        <w:rPr>
          <w:noProof/>
          <w:lang w:val="en-IE"/>
        </w:rPr>
      </w:pPr>
      <w:r w:rsidRPr="000856CE">
        <w:t>4.</w:t>
      </w:r>
      <w:r w:rsidRPr="000856CE">
        <w:tab/>
      </w:r>
      <w:r w:rsidR="008107FE" w:rsidRPr="00B356D4">
        <w:rPr>
          <w:noProof/>
          <w:lang w:val="en-IE"/>
        </w:rPr>
        <w:t xml:space="preserve">The </w:t>
      </w:r>
      <w:r w:rsidR="000D7185" w:rsidRPr="004B79BA">
        <w:rPr>
          <w:noProof/>
          <w:lang w:val="en-IE"/>
        </w:rPr>
        <w:t>third party shall not deploy coercive means or abuse evident gaps in the technical infrastructure of the data holder designed to protect the data in order to obtain access to data</w:t>
      </w:r>
      <w:r w:rsidR="008107FE" w:rsidRPr="00B356D4">
        <w:rPr>
          <w:noProof/>
          <w:lang w:val="en-IE"/>
        </w:rPr>
        <w:t>.</w:t>
      </w:r>
      <w:r w:rsidR="008107FE">
        <w:rPr>
          <w:noProof/>
          <w:lang w:val="en-IE"/>
        </w:rPr>
        <w:t xml:space="preserve"> </w:t>
      </w:r>
    </w:p>
    <w:p w14:paraId="6F66E360" w14:textId="612E5F99" w:rsidR="000D7185" w:rsidRPr="00884BC7" w:rsidRDefault="000856CE" w:rsidP="000856CE">
      <w:pPr>
        <w:pStyle w:val="ManualNumPar1"/>
        <w:rPr>
          <w:noProof/>
          <w:lang w:val="en-IE"/>
        </w:rPr>
      </w:pPr>
      <w:r w:rsidRPr="000856CE">
        <w:t>5.</w:t>
      </w:r>
      <w:r w:rsidRPr="000856CE">
        <w:tab/>
      </w:r>
      <w:r w:rsidR="000D7185" w:rsidRPr="44137436">
        <w:rPr>
          <w:noProof/>
          <w:lang w:val="en-IE"/>
        </w:rPr>
        <w:t xml:space="preserve">The data holder shall not use any </w:t>
      </w:r>
      <w:r w:rsidR="000D7185" w:rsidRPr="44137436" w:rsidDel="00AA44D8">
        <w:rPr>
          <w:noProof/>
          <w:lang w:val="en-IE"/>
        </w:rPr>
        <w:t xml:space="preserve">non-personal </w:t>
      </w:r>
      <w:r w:rsidR="000D7185" w:rsidRPr="44137436">
        <w:rPr>
          <w:noProof/>
          <w:lang w:val="en-IE"/>
        </w:rPr>
        <w:t xml:space="preserve">data generated by the use of the product </w:t>
      </w:r>
      <w:r w:rsidR="00F10513">
        <w:rPr>
          <w:noProof/>
          <w:lang w:val="en-IE"/>
        </w:rPr>
        <w:t>or</w:t>
      </w:r>
      <w:r w:rsidR="0013192C" w:rsidRPr="44137436">
        <w:rPr>
          <w:noProof/>
          <w:lang w:val="en-IE"/>
        </w:rPr>
        <w:t xml:space="preserve"> </w:t>
      </w:r>
      <w:r w:rsidR="000D7185" w:rsidRPr="44137436">
        <w:rPr>
          <w:noProof/>
          <w:lang w:val="en-IE"/>
        </w:rPr>
        <w:t>related service to derive insights about the economic situation</w:t>
      </w:r>
      <w:r w:rsidR="00F10513">
        <w:rPr>
          <w:noProof/>
          <w:lang w:val="en-IE"/>
        </w:rPr>
        <w:t>,</w:t>
      </w:r>
      <w:r w:rsidR="000D7185" w:rsidRPr="44137436">
        <w:rPr>
          <w:noProof/>
          <w:lang w:val="en-IE"/>
        </w:rPr>
        <w:t xml:space="preserve"> assets</w:t>
      </w:r>
      <w:r w:rsidR="00F10513">
        <w:rPr>
          <w:noProof/>
          <w:lang w:val="en-IE"/>
        </w:rPr>
        <w:t xml:space="preserve"> and</w:t>
      </w:r>
      <w:r w:rsidR="00F10513" w:rsidRPr="44137436">
        <w:rPr>
          <w:noProof/>
          <w:lang w:val="en-IE"/>
        </w:rPr>
        <w:t xml:space="preserve"> </w:t>
      </w:r>
      <w:r w:rsidR="000D7185" w:rsidRPr="44137436">
        <w:rPr>
          <w:noProof/>
          <w:lang w:val="en-IE"/>
        </w:rPr>
        <w:t xml:space="preserve">production methods </w:t>
      </w:r>
      <w:r w:rsidR="00F10513">
        <w:rPr>
          <w:noProof/>
          <w:lang w:val="en-IE"/>
        </w:rPr>
        <w:t xml:space="preserve">of </w:t>
      </w:r>
      <w:r w:rsidR="000D7185" w:rsidRPr="44137436">
        <w:rPr>
          <w:noProof/>
          <w:lang w:val="en-IE"/>
        </w:rPr>
        <w:t xml:space="preserve">or use </w:t>
      </w:r>
      <w:r w:rsidR="00F10513">
        <w:rPr>
          <w:noProof/>
          <w:lang w:val="en-IE"/>
        </w:rPr>
        <w:t>by the third party</w:t>
      </w:r>
      <w:r w:rsidR="000D7185" w:rsidRPr="44137436">
        <w:rPr>
          <w:noProof/>
          <w:lang w:val="en-IE"/>
        </w:rPr>
        <w:t xml:space="preserve"> that could undermine the commercial position of the third party </w:t>
      </w:r>
      <w:r w:rsidR="000D7185" w:rsidRPr="44137436" w:rsidDel="00066394">
        <w:rPr>
          <w:noProof/>
          <w:lang w:val="en-IE"/>
        </w:rPr>
        <w:t xml:space="preserve">on </w:t>
      </w:r>
      <w:r w:rsidR="000D7185" w:rsidRPr="44137436">
        <w:rPr>
          <w:noProof/>
          <w:lang w:val="en-IE"/>
        </w:rPr>
        <w:t xml:space="preserve">the markets </w:t>
      </w:r>
      <w:r w:rsidR="000D7185" w:rsidRPr="44137436" w:rsidDel="00066394">
        <w:rPr>
          <w:noProof/>
          <w:lang w:val="en-IE"/>
        </w:rPr>
        <w:t>in which</w:t>
      </w:r>
      <w:r w:rsidR="000D7185" w:rsidRPr="44137436">
        <w:rPr>
          <w:noProof/>
          <w:lang w:val="en-IE"/>
        </w:rPr>
        <w:t xml:space="preserve"> the third party is active, unless the third party has </w:t>
      </w:r>
      <w:r w:rsidR="00F10513">
        <w:rPr>
          <w:noProof/>
          <w:lang w:val="en-IE"/>
        </w:rPr>
        <w:t>consented</w:t>
      </w:r>
      <w:r w:rsidR="000D7185" w:rsidRPr="44137436">
        <w:rPr>
          <w:noProof/>
          <w:lang w:val="en-IE"/>
        </w:rPr>
        <w:t xml:space="preserve"> to such use and has the technical possibility to withdraw that </w:t>
      </w:r>
      <w:r w:rsidR="00F10513">
        <w:rPr>
          <w:noProof/>
          <w:lang w:val="en-IE"/>
        </w:rPr>
        <w:t>consent</w:t>
      </w:r>
      <w:r w:rsidR="00F10513" w:rsidRPr="44137436">
        <w:rPr>
          <w:noProof/>
          <w:lang w:val="en-IE"/>
        </w:rPr>
        <w:t xml:space="preserve"> </w:t>
      </w:r>
      <w:r w:rsidR="000D7185" w:rsidRPr="44137436">
        <w:rPr>
          <w:noProof/>
          <w:lang w:val="en-IE"/>
        </w:rPr>
        <w:t>at any time.</w:t>
      </w:r>
    </w:p>
    <w:p w14:paraId="592DD355" w14:textId="01136C4C" w:rsidR="000D7185" w:rsidRDefault="000856CE" w:rsidP="000856CE">
      <w:pPr>
        <w:pStyle w:val="ManualNumPar1"/>
        <w:rPr>
          <w:noProof/>
          <w:lang w:val="en-IE"/>
        </w:rPr>
      </w:pPr>
      <w:r w:rsidRPr="000856CE">
        <w:t>6.</w:t>
      </w:r>
      <w:r w:rsidRPr="000856CE">
        <w:tab/>
      </w:r>
      <w:r w:rsidR="00F10513">
        <w:rPr>
          <w:noProof/>
          <w:lang w:val="en-IE"/>
        </w:rPr>
        <w:t>Where the user is not a data subject, a</w:t>
      </w:r>
      <w:r w:rsidR="00F10513" w:rsidRPr="44137436">
        <w:rPr>
          <w:noProof/>
          <w:lang w:val="en-IE"/>
        </w:rPr>
        <w:t xml:space="preserve">ny </w:t>
      </w:r>
      <w:r w:rsidR="000D7185" w:rsidRPr="44137436">
        <w:rPr>
          <w:noProof/>
          <w:lang w:val="en-IE"/>
        </w:rPr>
        <w:t xml:space="preserve">personal data generated by the use of a product </w:t>
      </w:r>
      <w:r w:rsidR="00F10513">
        <w:rPr>
          <w:noProof/>
          <w:lang w:val="en-IE"/>
        </w:rPr>
        <w:t>or</w:t>
      </w:r>
      <w:r w:rsidR="00F10513" w:rsidRPr="44137436">
        <w:rPr>
          <w:noProof/>
          <w:lang w:val="en-IE"/>
        </w:rPr>
        <w:t xml:space="preserve"> </w:t>
      </w:r>
      <w:r w:rsidR="000D7185" w:rsidRPr="44137436">
        <w:rPr>
          <w:noProof/>
          <w:lang w:val="en-IE"/>
        </w:rPr>
        <w:t>related service shall only be made available where there is a valid legal basis under Article 6(1) of Regulation (EU) 2016/679</w:t>
      </w:r>
      <w:r w:rsidR="00F10513">
        <w:rPr>
          <w:noProof/>
          <w:lang w:val="en-IE"/>
        </w:rPr>
        <w:t xml:space="preserve"> and where relevant, the conditions of Article 9 of Regulation (EU) 2016/679 are fulfilled</w:t>
      </w:r>
      <w:r w:rsidR="000D7185" w:rsidRPr="44137436">
        <w:rPr>
          <w:noProof/>
          <w:lang w:val="en-IE"/>
        </w:rPr>
        <w:t>.</w:t>
      </w:r>
    </w:p>
    <w:p w14:paraId="4E114EA7" w14:textId="0DE40EAB" w:rsidR="000D7185" w:rsidRDefault="000856CE" w:rsidP="000856CE">
      <w:pPr>
        <w:pStyle w:val="ManualNumPar1"/>
        <w:rPr>
          <w:noProof/>
          <w:lang w:val="en-IE"/>
        </w:rPr>
      </w:pPr>
      <w:r w:rsidRPr="000856CE">
        <w:t>7.</w:t>
      </w:r>
      <w:r w:rsidRPr="000856CE">
        <w:tab/>
      </w:r>
      <w:r w:rsidR="000D7185" w:rsidRPr="44137436">
        <w:rPr>
          <w:noProof/>
          <w:lang w:val="en-IE"/>
        </w:rPr>
        <w:t xml:space="preserve">Any failure on the part of the data holder and the third party to agree on arrangements for transmitting the data shall not hinder, prevent or interfere with the exercise of the rights of the data subject under Regulation (EU) 2016/679 and, in particular, with the right to data portability under Article 20 of that Regulation. </w:t>
      </w:r>
    </w:p>
    <w:p w14:paraId="0903304B" w14:textId="71C42C4A" w:rsidR="000D7185" w:rsidRDefault="000856CE" w:rsidP="000856CE">
      <w:pPr>
        <w:pStyle w:val="ManualNumPar1"/>
        <w:rPr>
          <w:noProof/>
          <w:lang w:val="en-IE"/>
        </w:rPr>
      </w:pPr>
      <w:r w:rsidRPr="000856CE">
        <w:t>8.</w:t>
      </w:r>
      <w:r w:rsidRPr="000856CE">
        <w:tab/>
      </w:r>
      <w:r w:rsidR="000D7185" w:rsidRPr="0007385B">
        <w:rPr>
          <w:noProof/>
          <w:lang w:val="en-IE"/>
        </w:rPr>
        <w:t>Trade secrets shall only be disclosed to third parties to the extent that they are strictly necessary to fulfil the purpose agreed between the user and the third party and all specific necessary measures agreed between the data holder and the third party are taken by the third party to preserve the confidentiality of the trade secret. In such a case, the nature of the data as trade secrets and the measures for preserving the confidentiality shall be specified in the agreement between the data holder and the third party.</w:t>
      </w:r>
    </w:p>
    <w:p w14:paraId="60C4FDC8" w14:textId="31C51BB1" w:rsidR="000D7185" w:rsidRPr="000D7185" w:rsidRDefault="000856CE" w:rsidP="000856CE">
      <w:pPr>
        <w:pStyle w:val="ManualNumPar1"/>
        <w:rPr>
          <w:noProof/>
          <w:lang w:val="en-IE"/>
        </w:rPr>
      </w:pPr>
      <w:r w:rsidRPr="000856CE">
        <w:t>9.</w:t>
      </w:r>
      <w:r w:rsidRPr="000856CE">
        <w:tab/>
      </w:r>
      <w:r w:rsidR="000D7185" w:rsidRPr="44137436">
        <w:rPr>
          <w:noProof/>
          <w:lang w:val="en-IE"/>
        </w:rPr>
        <w:t xml:space="preserve">The right referred to in paragraph 1 shall not adversely affect </w:t>
      </w:r>
      <w:r w:rsidR="000D7185">
        <w:rPr>
          <w:noProof/>
          <w:lang w:val="en-IE"/>
        </w:rPr>
        <w:t>data protection</w:t>
      </w:r>
      <w:r w:rsidR="000D7185" w:rsidRPr="44137436">
        <w:rPr>
          <w:noProof/>
          <w:lang w:val="en-IE"/>
        </w:rPr>
        <w:t xml:space="preserve"> rights</w:t>
      </w:r>
      <w:r w:rsidR="003C30E8">
        <w:rPr>
          <w:noProof/>
          <w:lang w:val="en-IE"/>
        </w:rPr>
        <w:t xml:space="preserve"> of others</w:t>
      </w:r>
      <w:r w:rsidR="000D7185" w:rsidRPr="44137436">
        <w:rPr>
          <w:noProof/>
          <w:lang w:val="en-IE"/>
        </w:rPr>
        <w:t>.</w:t>
      </w:r>
    </w:p>
    <w:p w14:paraId="26978A44" w14:textId="17C5A098" w:rsidR="00280967" w:rsidRPr="0077149E" w:rsidRDefault="00CC2D52" w:rsidP="0077149E">
      <w:pPr>
        <w:pStyle w:val="Titrearticleb"/>
        <w:rPr>
          <w:noProof/>
        </w:rPr>
      </w:pPr>
      <w:r>
        <w:rPr>
          <w:noProof/>
          <w:lang w:val="en-US"/>
        </w:rPr>
        <w:t>Article 6</w:t>
      </w:r>
      <w:r w:rsidR="0077149E">
        <w:rPr>
          <w:noProof/>
        </w:rPr>
        <w:br/>
      </w:r>
      <w:r w:rsidR="00280967" w:rsidRPr="00CF57DB">
        <w:rPr>
          <w:noProof/>
          <w:lang w:val="en-IE"/>
        </w:rPr>
        <w:t>Obligations of third parties receiving data at the request of the user</w:t>
      </w:r>
    </w:p>
    <w:p w14:paraId="20E2B46F" w14:textId="1E6C09EA" w:rsidR="00044BC9" w:rsidRPr="00E80604" w:rsidRDefault="000856CE" w:rsidP="000856CE">
      <w:pPr>
        <w:pStyle w:val="ManualNumPar1"/>
        <w:rPr>
          <w:noProof/>
          <w:lang w:val="en-US"/>
        </w:rPr>
      </w:pPr>
      <w:r w:rsidRPr="000856CE">
        <w:t>1.</w:t>
      </w:r>
      <w:r w:rsidRPr="000856CE">
        <w:tab/>
      </w:r>
      <w:r w:rsidR="00044BC9" w:rsidRPr="00E80604">
        <w:rPr>
          <w:noProof/>
          <w:lang w:val="en-IE"/>
        </w:rPr>
        <w:t xml:space="preserve">A </w:t>
      </w:r>
      <w:r w:rsidR="000D7185" w:rsidRPr="00E80604">
        <w:rPr>
          <w:noProof/>
          <w:lang w:val="en-US"/>
        </w:rPr>
        <w:t xml:space="preserve">third party shall process the data made available </w:t>
      </w:r>
      <w:r w:rsidR="000D7185">
        <w:rPr>
          <w:noProof/>
          <w:lang w:val="en-US"/>
        </w:rPr>
        <w:t>to it</w:t>
      </w:r>
      <w:r w:rsidR="000D7185" w:rsidRPr="00E80604">
        <w:rPr>
          <w:noProof/>
          <w:lang w:val="en-US"/>
        </w:rPr>
        <w:t xml:space="preserve"> pursuant to Article 5 only for the purposes and under the conditions agreed with the user, </w:t>
      </w:r>
      <w:r w:rsidR="000D7185">
        <w:rPr>
          <w:noProof/>
          <w:lang w:val="en-US"/>
        </w:rPr>
        <w:t xml:space="preserve">and subject to the rights of the data subject insofar as personal data are concerned, </w:t>
      </w:r>
      <w:r w:rsidR="000D7185" w:rsidRPr="00E80604">
        <w:rPr>
          <w:noProof/>
          <w:lang w:val="en-US"/>
        </w:rPr>
        <w:t>and shall delete the data when they are no longer necessary for the agreed purpose</w:t>
      </w:r>
      <w:r w:rsidR="00044BC9" w:rsidRPr="00E80604">
        <w:rPr>
          <w:noProof/>
          <w:lang w:val="en-US"/>
        </w:rPr>
        <w:t xml:space="preserve">. </w:t>
      </w:r>
    </w:p>
    <w:p w14:paraId="3430D1B4" w14:textId="5615D3D2" w:rsidR="00044BC9" w:rsidRPr="00B356D4" w:rsidRDefault="000856CE" w:rsidP="000856CE">
      <w:pPr>
        <w:pStyle w:val="ManualNumPar1"/>
        <w:rPr>
          <w:noProof/>
          <w:lang w:val="en-US"/>
        </w:rPr>
      </w:pPr>
      <w:r w:rsidRPr="000856CE">
        <w:t>2.</w:t>
      </w:r>
      <w:r w:rsidRPr="000856CE">
        <w:tab/>
      </w:r>
      <w:r w:rsidR="00044BC9" w:rsidRPr="00B356D4">
        <w:rPr>
          <w:noProof/>
          <w:lang w:val="en-US"/>
        </w:rPr>
        <w:t>The third party shall not:</w:t>
      </w:r>
    </w:p>
    <w:p w14:paraId="4FE9B5E4" w14:textId="70646223" w:rsidR="00044BC9" w:rsidRDefault="000856CE" w:rsidP="000856CE">
      <w:pPr>
        <w:pStyle w:val="Point1"/>
        <w:rPr>
          <w:noProof/>
          <w:lang w:val="en-IE"/>
        </w:rPr>
      </w:pPr>
      <w:r w:rsidRPr="000856CE">
        <w:t>(a)</w:t>
      </w:r>
      <w:r w:rsidRPr="000856CE">
        <w:tab/>
      </w:r>
      <w:r w:rsidR="000D7185" w:rsidRPr="2FA46F90">
        <w:rPr>
          <w:noProof/>
          <w:lang w:val="en-IE"/>
        </w:rPr>
        <w:t>coerce, deceive or manipulate the user in any way, by subverting or impairing the autonomy, decision-making or choices of the user, including by means of a digital interface with the user</w:t>
      </w:r>
      <w:r w:rsidR="00044BC9" w:rsidRPr="00E80604">
        <w:rPr>
          <w:noProof/>
          <w:lang w:val="en-IE"/>
        </w:rPr>
        <w:t xml:space="preserve">; </w:t>
      </w:r>
    </w:p>
    <w:p w14:paraId="76EA1CA9" w14:textId="7EAA9007" w:rsidR="000D7185" w:rsidRPr="000D7185" w:rsidRDefault="000856CE" w:rsidP="000856CE">
      <w:pPr>
        <w:pStyle w:val="Point1"/>
        <w:rPr>
          <w:noProof/>
          <w:lang w:val="en-IE"/>
        </w:rPr>
      </w:pPr>
      <w:r w:rsidRPr="000856CE">
        <w:t>(b)</w:t>
      </w:r>
      <w:r w:rsidRPr="000856CE">
        <w:tab/>
      </w:r>
      <w:r w:rsidR="000D7185" w:rsidRPr="000D7185">
        <w:rPr>
          <w:noProof/>
          <w:lang w:val="en-IE"/>
        </w:rPr>
        <w:t xml:space="preserve">use the data it receives for the profiling of natural persons within the meaning of Article 4(4) of Regulation (EU) 2016/679, unless it is necessary to provide the service requested by the user; </w:t>
      </w:r>
    </w:p>
    <w:p w14:paraId="0E5A89CA" w14:textId="5CF002DC" w:rsidR="000D7185" w:rsidRPr="000D7185" w:rsidRDefault="000856CE" w:rsidP="000856CE">
      <w:pPr>
        <w:pStyle w:val="Point1"/>
        <w:rPr>
          <w:noProof/>
          <w:lang w:val="en-IE"/>
        </w:rPr>
      </w:pPr>
      <w:r w:rsidRPr="000856CE">
        <w:t>(c)</w:t>
      </w:r>
      <w:r w:rsidRPr="000856CE">
        <w:tab/>
      </w:r>
      <w:r w:rsidR="000D7185" w:rsidRPr="000D7185">
        <w:rPr>
          <w:noProof/>
          <w:lang w:val="en-IE"/>
        </w:rPr>
        <w:t xml:space="preserve">make the data available it receives to another third party, in raw, aggregated or derived form, unless this is necessary to provide the service requested by the user; </w:t>
      </w:r>
    </w:p>
    <w:p w14:paraId="4264D0BE" w14:textId="2266CDC0" w:rsidR="000D7185" w:rsidRPr="000D7185" w:rsidRDefault="000856CE" w:rsidP="000856CE">
      <w:pPr>
        <w:pStyle w:val="Point1"/>
        <w:rPr>
          <w:noProof/>
          <w:lang w:val="en-IE"/>
        </w:rPr>
      </w:pPr>
      <w:r w:rsidRPr="000856CE">
        <w:t>(d)</w:t>
      </w:r>
      <w:r w:rsidRPr="000856CE">
        <w:tab/>
      </w:r>
      <w:r w:rsidR="000D7185" w:rsidRPr="000D7185">
        <w:rPr>
          <w:noProof/>
          <w:lang w:val="en-IE"/>
        </w:rPr>
        <w:t xml:space="preserve">make the data available it receives to an undertaking providing core platform services for which one or more of such services have been designated as a gatekeeper pursuant to Article […] of [Regulation </w:t>
      </w:r>
      <w:r w:rsidR="000D7185">
        <w:rPr>
          <w:noProof/>
        </w:rPr>
        <w:t>on contestable and fair markets in the digital sector (Digital Markets Act)]</w:t>
      </w:r>
      <w:r w:rsidR="000D7185" w:rsidRPr="000D7185">
        <w:rPr>
          <w:noProof/>
          <w:lang w:val="en-IE"/>
        </w:rPr>
        <w:t xml:space="preserve">; </w:t>
      </w:r>
    </w:p>
    <w:p w14:paraId="30A8D201" w14:textId="3EC83A06" w:rsidR="000D7185" w:rsidRPr="000D7185" w:rsidRDefault="000856CE" w:rsidP="000856CE">
      <w:pPr>
        <w:pStyle w:val="Point1"/>
        <w:rPr>
          <w:noProof/>
          <w:lang w:val="en-IE"/>
        </w:rPr>
      </w:pPr>
      <w:r w:rsidRPr="000856CE">
        <w:t>(e)</w:t>
      </w:r>
      <w:r w:rsidRPr="000856CE">
        <w:tab/>
      </w:r>
      <w:r w:rsidR="000D7185" w:rsidRPr="000D7185">
        <w:rPr>
          <w:noProof/>
          <w:lang w:val="en-IE"/>
        </w:rPr>
        <w:t xml:space="preserve">use the data it receives to develop </w:t>
      </w:r>
      <w:r w:rsidR="00090DDB">
        <w:rPr>
          <w:noProof/>
          <w:lang w:val="en-IE"/>
        </w:rPr>
        <w:t>a</w:t>
      </w:r>
      <w:r w:rsidR="000D7185" w:rsidRPr="000D7185">
        <w:rPr>
          <w:noProof/>
          <w:lang w:val="en-IE"/>
        </w:rPr>
        <w:t xml:space="preserve"> product that competes with the product from which the accessed </w:t>
      </w:r>
      <w:r w:rsidR="00090DDB" w:rsidRPr="000D7185">
        <w:rPr>
          <w:noProof/>
          <w:lang w:val="en-IE"/>
        </w:rPr>
        <w:t xml:space="preserve">data </w:t>
      </w:r>
      <w:r w:rsidR="000D7185" w:rsidRPr="000D7185">
        <w:rPr>
          <w:noProof/>
          <w:lang w:val="en-IE"/>
        </w:rPr>
        <w:t>originate or share the</w:t>
      </w:r>
      <w:r w:rsidR="000D7185" w:rsidRPr="000D7185">
        <w:rPr>
          <w:noProof/>
          <w:lang w:val="en-US"/>
        </w:rPr>
        <w:t xml:space="preserve"> data with another third party for that purpose; </w:t>
      </w:r>
    </w:p>
    <w:p w14:paraId="2AE605D1" w14:textId="5F2F9085" w:rsidR="000D7185" w:rsidRPr="000D7185" w:rsidRDefault="000856CE" w:rsidP="000856CE">
      <w:pPr>
        <w:pStyle w:val="Point1"/>
        <w:rPr>
          <w:noProof/>
          <w:lang w:val="en-IE"/>
        </w:rPr>
      </w:pPr>
      <w:r w:rsidRPr="000856CE">
        <w:t>(f)</w:t>
      </w:r>
      <w:r w:rsidRPr="000856CE">
        <w:tab/>
      </w:r>
      <w:r w:rsidR="000D7185" w:rsidRPr="000D7185">
        <w:rPr>
          <w:noProof/>
          <w:lang w:val="en-IE"/>
        </w:rPr>
        <w:t>prevent the user, including through contractual commitments, from making the data it receives available to other parties.</w:t>
      </w:r>
    </w:p>
    <w:p w14:paraId="73F2AF35" w14:textId="2B240EF0" w:rsidR="00280967" w:rsidRPr="0077149E" w:rsidRDefault="00CC2D52" w:rsidP="0077149E">
      <w:pPr>
        <w:pStyle w:val="Titrearticleb"/>
        <w:rPr>
          <w:noProof/>
        </w:rPr>
      </w:pPr>
      <w:r>
        <w:rPr>
          <w:noProof/>
          <w:lang w:val="en-US"/>
        </w:rPr>
        <w:t>Article 7</w:t>
      </w:r>
      <w:r w:rsidR="0077149E">
        <w:rPr>
          <w:noProof/>
        </w:rPr>
        <w:br/>
      </w:r>
      <w:r w:rsidR="00022DA4">
        <w:rPr>
          <w:noProof/>
          <w:lang w:val="en-IE"/>
        </w:rPr>
        <w:t>Scope of business to consumer and business to business data sharing</w:t>
      </w:r>
      <w:r w:rsidR="00280967" w:rsidRPr="00B356D4">
        <w:rPr>
          <w:noProof/>
          <w:lang w:val="en-IE"/>
        </w:rPr>
        <w:t xml:space="preserve"> </w:t>
      </w:r>
      <w:r w:rsidR="00646028">
        <w:rPr>
          <w:noProof/>
          <w:lang w:val="en-IE"/>
        </w:rPr>
        <w:t>obligations</w:t>
      </w:r>
    </w:p>
    <w:p w14:paraId="4D3FF18E" w14:textId="6E70245A" w:rsidR="005A56E7" w:rsidRDefault="000856CE" w:rsidP="000856CE">
      <w:pPr>
        <w:pStyle w:val="ManualNumPar1"/>
        <w:rPr>
          <w:noProof/>
          <w:lang w:val="en-IE"/>
        </w:rPr>
      </w:pPr>
      <w:r w:rsidRPr="000856CE">
        <w:t>1.</w:t>
      </w:r>
      <w:r w:rsidRPr="000856CE">
        <w:tab/>
      </w:r>
      <w:r w:rsidR="003F32C1" w:rsidRPr="005A56E7">
        <w:rPr>
          <w:noProof/>
          <w:lang w:val="en-IE"/>
        </w:rPr>
        <w:t xml:space="preserve">The </w:t>
      </w:r>
      <w:r w:rsidR="000D7185" w:rsidRPr="005A56E7">
        <w:rPr>
          <w:noProof/>
          <w:lang w:val="en-IE"/>
        </w:rPr>
        <w:t xml:space="preserve">obligations of this Chapter shall not apply to data generated by the use of products manufactured or related services provided by enterprises </w:t>
      </w:r>
      <w:r w:rsidR="000D7185" w:rsidRPr="006F4ED5">
        <w:rPr>
          <w:noProof/>
          <w:lang w:val="en-IE"/>
        </w:rPr>
        <w:t>that qualify as micro or small enterprises, as defined in</w:t>
      </w:r>
      <w:r w:rsidR="000D7185" w:rsidRPr="007F2CE3">
        <w:rPr>
          <w:noProof/>
          <w:lang w:val="en-IE"/>
        </w:rPr>
        <w:t xml:space="preserve"> Article 2 of the Annex to Recommendation 2003/361/EC</w:t>
      </w:r>
      <w:r w:rsidR="000D7185" w:rsidRPr="00B9277E">
        <w:rPr>
          <w:noProof/>
          <w:lang w:val="en-IE"/>
        </w:rPr>
        <w:t>, provided those enterprises do not have partner enterprises or linked ent</w:t>
      </w:r>
      <w:r w:rsidR="0090244D">
        <w:rPr>
          <w:noProof/>
          <w:lang w:val="en-IE"/>
        </w:rPr>
        <w:t>erprises as defined in Article 3</w:t>
      </w:r>
      <w:r w:rsidR="000D7185" w:rsidRPr="00B9277E">
        <w:rPr>
          <w:noProof/>
          <w:lang w:val="en-IE"/>
        </w:rPr>
        <w:t xml:space="preserve"> of the Annex to Recommendation 2003/361/EC</w:t>
      </w:r>
      <w:r w:rsidR="000D7185" w:rsidRPr="005F46AF" w:rsidDel="000C4E97">
        <w:rPr>
          <w:noProof/>
          <w:lang w:val="en-IE"/>
        </w:rPr>
        <w:t xml:space="preserve"> </w:t>
      </w:r>
      <w:r w:rsidR="000D7185" w:rsidRPr="005A56E7">
        <w:rPr>
          <w:noProof/>
          <w:lang w:val="en-IE"/>
        </w:rPr>
        <w:t>which do not qualify as a micro or small enterprise</w:t>
      </w:r>
      <w:r w:rsidR="00C83280" w:rsidRPr="005A56E7">
        <w:rPr>
          <w:noProof/>
          <w:lang w:val="en-IE"/>
        </w:rPr>
        <w:t>.</w:t>
      </w:r>
    </w:p>
    <w:p w14:paraId="40386FA0" w14:textId="1868256A" w:rsidR="00280967" w:rsidRPr="005A56E7" w:rsidRDefault="000856CE" w:rsidP="000856CE">
      <w:pPr>
        <w:pStyle w:val="ManualNumPar1"/>
        <w:rPr>
          <w:noProof/>
          <w:lang w:val="en-IE"/>
        </w:rPr>
      </w:pPr>
      <w:r w:rsidRPr="000856CE">
        <w:t>2.</w:t>
      </w:r>
      <w:r w:rsidRPr="000856CE">
        <w:tab/>
      </w:r>
      <w:r w:rsidR="00B517CC" w:rsidRPr="005A56E7">
        <w:rPr>
          <w:noProof/>
          <w:lang w:val="en-IE"/>
        </w:rPr>
        <w:t xml:space="preserve">Where this Regulation refers to products </w:t>
      </w:r>
      <w:r w:rsidR="00646028">
        <w:rPr>
          <w:noProof/>
          <w:lang w:val="en-IE"/>
        </w:rPr>
        <w:t>or</w:t>
      </w:r>
      <w:r w:rsidR="00646028" w:rsidRPr="005A56E7">
        <w:rPr>
          <w:noProof/>
          <w:lang w:val="en-IE"/>
        </w:rPr>
        <w:t xml:space="preserve"> </w:t>
      </w:r>
      <w:r w:rsidR="00B517CC" w:rsidRPr="005A56E7">
        <w:rPr>
          <w:noProof/>
          <w:lang w:val="en-IE"/>
        </w:rPr>
        <w:t>related services</w:t>
      </w:r>
      <w:r w:rsidR="00646028">
        <w:rPr>
          <w:noProof/>
          <w:lang w:val="en-IE"/>
        </w:rPr>
        <w:t>, such reference shall</w:t>
      </w:r>
      <w:r w:rsidR="00B517CC" w:rsidRPr="005A56E7">
        <w:rPr>
          <w:noProof/>
          <w:lang w:val="en-IE"/>
        </w:rPr>
        <w:t xml:space="preserve"> also </w:t>
      </w:r>
      <w:r w:rsidR="00646028">
        <w:rPr>
          <w:noProof/>
          <w:lang w:val="en-IE"/>
        </w:rPr>
        <w:t>be understood to include</w:t>
      </w:r>
      <w:r w:rsidR="00646028" w:rsidRPr="005A56E7">
        <w:rPr>
          <w:noProof/>
          <w:lang w:val="en-IE"/>
        </w:rPr>
        <w:t xml:space="preserve"> </w:t>
      </w:r>
      <w:r w:rsidR="00B517CC" w:rsidRPr="005A56E7">
        <w:rPr>
          <w:noProof/>
          <w:lang w:val="en-IE"/>
        </w:rPr>
        <w:t xml:space="preserve">virtual assistants, insofar as they are used to access or control a product </w:t>
      </w:r>
      <w:r w:rsidR="005F46AF">
        <w:rPr>
          <w:noProof/>
          <w:lang w:val="en-IE"/>
        </w:rPr>
        <w:t>or</w:t>
      </w:r>
      <w:r w:rsidR="00B517CC" w:rsidRPr="005A56E7">
        <w:rPr>
          <w:noProof/>
          <w:lang w:val="en-IE"/>
        </w:rPr>
        <w:t xml:space="preserve"> related service.</w:t>
      </w:r>
      <w:r w:rsidR="00C83280" w:rsidRPr="005A56E7">
        <w:rPr>
          <w:noProof/>
          <w:lang w:val="en-IE"/>
        </w:rPr>
        <w:t xml:space="preserve"> </w:t>
      </w:r>
    </w:p>
    <w:p w14:paraId="57D5D001" w14:textId="0EBC43FD" w:rsidR="00DF5172" w:rsidRPr="00DF5172" w:rsidRDefault="00DF5172" w:rsidP="000C36C5">
      <w:pPr>
        <w:pStyle w:val="ChapterTitle"/>
        <w:rPr>
          <w:noProof/>
          <w:lang w:val="en-US"/>
        </w:rPr>
      </w:pPr>
      <w:r w:rsidRPr="00DF5172">
        <w:rPr>
          <w:noProof/>
          <w:lang w:val="en-US"/>
        </w:rPr>
        <w:t>CHAPTER III</w:t>
      </w:r>
      <w:r w:rsidR="000C36C5">
        <w:rPr>
          <w:noProof/>
          <w:lang w:val="en-US"/>
        </w:rPr>
        <w:br/>
      </w:r>
      <w:r w:rsidR="003F32C1">
        <w:rPr>
          <w:noProof/>
          <w:lang w:val="en-IE"/>
        </w:rPr>
        <w:t>OBLIGATIONS</w:t>
      </w:r>
      <w:r w:rsidRPr="00DF5172">
        <w:rPr>
          <w:noProof/>
          <w:lang w:val="en-IE"/>
        </w:rPr>
        <w:t xml:space="preserve"> </w:t>
      </w:r>
      <w:r w:rsidR="003F32C1">
        <w:rPr>
          <w:noProof/>
          <w:lang w:val="en-IE"/>
        </w:rPr>
        <w:t>FOR DATA HOLDERS</w:t>
      </w:r>
      <w:r w:rsidRPr="00DF5172">
        <w:rPr>
          <w:noProof/>
          <w:lang w:val="en-IE"/>
        </w:rPr>
        <w:t xml:space="preserve"> LEGALLY OBLIGED TO MAKE DATA AVAILABLE</w:t>
      </w:r>
    </w:p>
    <w:p w14:paraId="0F33EB23" w14:textId="63DD3D3B" w:rsidR="00280967" w:rsidRPr="0077149E" w:rsidRDefault="00CC2D52" w:rsidP="0077149E">
      <w:pPr>
        <w:pStyle w:val="Titrearticleb"/>
        <w:rPr>
          <w:noProof/>
        </w:rPr>
      </w:pPr>
      <w:r>
        <w:rPr>
          <w:noProof/>
          <w:lang w:val="en-US"/>
        </w:rPr>
        <w:t>Article 8</w:t>
      </w:r>
      <w:r w:rsidR="0077149E">
        <w:rPr>
          <w:noProof/>
        </w:rPr>
        <w:br/>
      </w:r>
      <w:r w:rsidR="00280967" w:rsidRPr="00B356D4">
        <w:rPr>
          <w:noProof/>
          <w:lang w:val="en-IE"/>
        </w:rPr>
        <w:t xml:space="preserve">Conditions </w:t>
      </w:r>
      <w:r w:rsidR="003F32C1">
        <w:rPr>
          <w:noProof/>
          <w:lang w:val="en-IE"/>
        </w:rPr>
        <w:t xml:space="preserve">under </w:t>
      </w:r>
      <w:r w:rsidR="00280967" w:rsidRPr="00B356D4">
        <w:rPr>
          <w:noProof/>
          <w:lang w:val="en-IE"/>
        </w:rPr>
        <w:t xml:space="preserve">which data holders make data available to </w:t>
      </w:r>
      <w:r w:rsidR="003F32C1">
        <w:rPr>
          <w:noProof/>
          <w:lang w:val="en-IE"/>
        </w:rPr>
        <w:t>data recipients</w:t>
      </w:r>
      <w:r w:rsidR="00280967" w:rsidRPr="00B356D4">
        <w:rPr>
          <w:noProof/>
          <w:lang w:val="en-IE"/>
        </w:rPr>
        <w:t xml:space="preserve"> </w:t>
      </w:r>
    </w:p>
    <w:p w14:paraId="4AF0777A" w14:textId="5B02E06A" w:rsidR="008107FE" w:rsidRDefault="000856CE" w:rsidP="000856CE">
      <w:pPr>
        <w:pStyle w:val="ManualNumPar1"/>
        <w:rPr>
          <w:noProof/>
          <w:lang w:val="en-IE"/>
        </w:rPr>
      </w:pPr>
      <w:r w:rsidRPr="000856CE">
        <w:t>1.</w:t>
      </w:r>
      <w:r w:rsidRPr="000856CE">
        <w:tab/>
      </w:r>
      <w:r w:rsidR="008107FE" w:rsidRPr="00E80604">
        <w:rPr>
          <w:noProof/>
          <w:lang w:val="en-IE"/>
        </w:rPr>
        <w:t xml:space="preserve">Where </w:t>
      </w:r>
      <w:r w:rsidR="000D7185" w:rsidRPr="00E80604">
        <w:rPr>
          <w:noProof/>
          <w:lang w:val="en-IE"/>
        </w:rPr>
        <w:t xml:space="preserve">a data holder is obliged to make data available to a data recipient </w:t>
      </w:r>
      <w:r w:rsidR="000D7185" w:rsidRPr="00E80604" w:rsidDel="00ED7846">
        <w:rPr>
          <w:noProof/>
          <w:lang w:val="en-IE"/>
        </w:rPr>
        <w:t xml:space="preserve">under Article </w:t>
      </w:r>
      <w:r w:rsidR="000D7185" w:rsidRPr="00E80604">
        <w:rPr>
          <w:noProof/>
          <w:lang w:val="en-IE"/>
        </w:rPr>
        <w:t xml:space="preserve">5 </w:t>
      </w:r>
      <w:r w:rsidR="000D7185" w:rsidRPr="00E80604" w:rsidDel="00ED7846">
        <w:rPr>
          <w:noProof/>
          <w:lang w:val="en-IE"/>
        </w:rPr>
        <w:t xml:space="preserve">or under other Union </w:t>
      </w:r>
      <w:r w:rsidR="006A064B">
        <w:rPr>
          <w:noProof/>
          <w:lang w:val="en-IE"/>
        </w:rPr>
        <w:t xml:space="preserve">law </w:t>
      </w:r>
      <w:r w:rsidR="000D7185" w:rsidRPr="00E80604" w:rsidDel="00ED7846">
        <w:rPr>
          <w:noProof/>
          <w:lang w:val="en-IE"/>
        </w:rPr>
        <w:t>or national legislation implementing Union law</w:t>
      </w:r>
      <w:r w:rsidR="000D7185" w:rsidRPr="00E80604">
        <w:rPr>
          <w:noProof/>
          <w:lang w:val="en-IE"/>
        </w:rPr>
        <w:t>, it shall do so under fair, reasonable and non-discriminatory terms and in a transparent manner in accordance with the provisions of this Chapter</w:t>
      </w:r>
      <w:r w:rsidR="000D7185">
        <w:rPr>
          <w:noProof/>
          <w:lang w:val="en-IE"/>
        </w:rPr>
        <w:t xml:space="preserve"> and Chapter IV</w:t>
      </w:r>
      <w:r w:rsidR="008107FE" w:rsidRPr="00E80604">
        <w:rPr>
          <w:noProof/>
          <w:lang w:val="en-IE"/>
        </w:rPr>
        <w:t xml:space="preserve">. </w:t>
      </w:r>
    </w:p>
    <w:p w14:paraId="2ED57DEE" w14:textId="2202A865" w:rsidR="000D7185" w:rsidRPr="000D7185" w:rsidRDefault="000856CE" w:rsidP="000856CE">
      <w:pPr>
        <w:pStyle w:val="ManualNumPar1"/>
        <w:rPr>
          <w:rFonts w:asciiTheme="minorHAnsi" w:eastAsiaTheme="minorEastAsia" w:hAnsiTheme="minorHAnsi" w:cstheme="minorBidi"/>
          <w:noProof/>
          <w:szCs w:val="24"/>
          <w:lang w:val="en-IE"/>
        </w:rPr>
      </w:pPr>
      <w:r w:rsidRPr="000856CE">
        <w:t>2.</w:t>
      </w:r>
      <w:r w:rsidRPr="000856CE">
        <w:tab/>
      </w:r>
      <w:r w:rsidR="000D7185" w:rsidRPr="000D7185">
        <w:rPr>
          <w:noProof/>
          <w:lang w:val="en-IE"/>
        </w:rPr>
        <w:t>A data holder shall agree with a data recipient the terms for making the data available. A contractual term concerning the access to and use of the data or the liability and remedies for the breach or the termination of data related obligations shall not be binding if it fulfils the conditions of Article 13 or if it excludes the applicati</w:t>
      </w:r>
      <w:r w:rsidR="0090244D">
        <w:rPr>
          <w:noProof/>
          <w:lang w:val="en-IE"/>
        </w:rPr>
        <w:t>on of, derogates from or varies</w:t>
      </w:r>
      <w:r w:rsidR="000D7185" w:rsidRPr="000D7185">
        <w:rPr>
          <w:noProof/>
          <w:lang w:val="en-IE"/>
        </w:rPr>
        <w:t xml:space="preserve"> the effect of the user’s rights under Chapter II.</w:t>
      </w:r>
    </w:p>
    <w:p w14:paraId="4F4CEF3F" w14:textId="354137B3" w:rsidR="000D7185" w:rsidRPr="000D7185" w:rsidRDefault="000856CE" w:rsidP="000856CE">
      <w:pPr>
        <w:pStyle w:val="ManualNumPar1"/>
        <w:rPr>
          <w:noProof/>
          <w:lang w:val="en-IE"/>
        </w:rPr>
      </w:pPr>
      <w:r w:rsidRPr="000856CE">
        <w:t>3.</w:t>
      </w:r>
      <w:r w:rsidRPr="000856CE">
        <w:tab/>
      </w:r>
      <w:r w:rsidR="000D7185" w:rsidRPr="000D7185">
        <w:rPr>
          <w:noProof/>
          <w:lang w:val="en-IE"/>
        </w:rPr>
        <w:t>A data holder shall not discriminate between comparable categories of data recipients, including partner enterprises or linked ente</w:t>
      </w:r>
      <w:r w:rsidR="0090244D">
        <w:rPr>
          <w:noProof/>
          <w:lang w:val="en-IE"/>
        </w:rPr>
        <w:t>rprises, as defined in Article 3</w:t>
      </w:r>
      <w:r w:rsidR="000D7185" w:rsidRPr="000D7185">
        <w:rPr>
          <w:noProof/>
          <w:lang w:val="en-IE"/>
        </w:rPr>
        <w:t xml:space="preserve"> of the Annex to Recommendation 2003/361/EC, of the data holder, when making data available. Where a data recipient considers the conditions under which data has been made available to it to be discriminatory, it shall be for the data holder to demonstrate that there has been no discrimination.</w:t>
      </w:r>
    </w:p>
    <w:p w14:paraId="55833148" w14:textId="0A81EBD6" w:rsidR="000D7185" w:rsidRPr="000D7185" w:rsidRDefault="000856CE" w:rsidP="000856CE">
      <w:pPr>
        <w:pStyle w:val="ManualNumPar1"/>
        <w:rPr>
          <w:noProof/>
          <w:lang w:val="en-IE"/>
        </w:rPr>
      </w:pPr>
      <w:r w:rsidRPr="000856CE">
        <w:t>4.</w:t>
      </w:r>
      <w:r w:rsidRPr="000856CE">
        <w:tab/>
      </w:r>
      <w:r w:rsidR="006A064B">
        <w:rPr>
          <w:noProof/>
          <w:lang w:val="en-IE"/>
        </w:rPr>
        <w:t>A d</w:t>
      </w:r>
      <w:r w:rsidR="000D7185" w:rsidRPr="000D7185">
        <w:rPr>
          <w:noProof/>
          <w:lang w:val="en-IE"/>
        </w:rPr>
        <w:t>ata holder shall not make data available to a data recipient on an exclusive basis unless requested by the user under Chapter II.</w:t>
      </w:r>
    </w:p>
    <w:p w14:paraId="2506787D" w14:textId="721AD59D" w:rsidR="000D7185" w:rsidRPr="000D7185" w:rsidRDefault="000856CE" w:rsidP="000856CE">
      <w:pPr>
        <w:pStyle w:val="ManualNumPar1"/>
        <w:rPr>
          <w:noProof/>
          <w:lang w:val="en-IE"/>
        </w:rPr>
      </w:pPr>
      <w:r w:rsidRPr="000856CE">
        <w:t>5.</w:t>
      </w:r>
      <w:r w:rsidRPr="000856CE">
        <w:tab/>
      </w:r>
      <w:r w:rsidR="000D7185" w:rsidRPr="000D7185">
        <w:rPr>
          <w:noProof/>
          <w:lang w:val="en-IE"/>
        </w:rPr>
        <w:t xml:space="preserve">Data holders and data recipients shall not be required to provide any information beyond what is necessary to verify compliance with the contractual terms agreed for making data available or their obligations under this Regulation or other applicable Union </w:t>
      </w:r>
      <w:r w:rsidR="006A064B">
        <w:rPr>
          <w:noProof/>
          <w:lang w:val="en-IE"/>
        </w:rPr>
        <w:t xml:space="preserve">law </w:t>
      </w:r>
      <w:r w:rsidR="000D7185" w:rsidRPr="000D7185">
        <w:rPr>
          <w:noProof/>
          <w:lang w:val="en-IE"/>
        </w:rPr>
        <w:t xml:space="preserve">or national legislation implementing Union law. </w:t>
      </w:r>
    </w:p>
    <w:p w14:paraId="02AA62F6" w14:textId="7C08A124" w:rsidR="000D7185" w:rsidRPr="000D7185" w:rsidRDefault="000856CE" w:rsidP="000856CE">
      <w:pPr>
        <w:pStyle w:val="ManualNumPar1"/>
        <w:rPr>
          <w:noProof/>
          <w:lang w:val="en-IE"/>
        </w:rPr>
      </w:pPr>
      <w:r w:rsidRPr="000856CE">
        <w:t>6.</w:t>
      </w:r>
      <w:r w:rsidRPr="000856CE">
        <w:tab/>
      </w:r>
      <w:r w:rsidR="000D7185" w:rsidRPr="000D7185">
        <w:rPr>
          <w:noProof/>
          <w:lang w:val="en-IE"/>
        </w:rPr>
        <w:t>Unless otherwise provided by Union law, including Article 6 of this Regulation, or by national legislation implementing Union law, an obligation to make data available to a data recipient shall not oblige the disclosure of trade secrets within the meaning of Directive (EU) 2016/943.</w:t>
      </w:r>
    </w:p>
    <w:p w14:paraId="5F37C5B7" w14:textId="1C670167" w:rsidR="00280967" w:rsidRPr="0077149E" w:rsidRDefault="00CC2D52" w:rsidP="0077149E">
      <w:pPr>
        <w:pStyle w:val="Titrearticleb"/>
        <w:rPr>
          <w:noProof/>
        </w:rPr>
      </w:pPr>
      <w:r>
        <w:rPr>
          <w:noProof/>
          <w:lang w:val="en-US"/>
        </w:rPr>
        <w:t>Article 9</w:t>
      </w:r>
      <w:r w:rsidR="0077149E">
        <w:rPr>
          <w:noProof/>
        </w:rPr>
        <w:br/>
      </w:r>
      <w:r w:rsidR="000662E1">
        <w:rPr>
          <w:noProof/>
          <w:lang w:val="en-IE"/>
        </w:rPr>
        <w:t>C</w:t>
      </w:r>
      <w:r w:rsidR="00280967" w:rsidRPr="00B356D4">
        <w:rPr>
          <w:noProof/>
          <w:lang w:val="en-IE"/>
        </w:rPr>
        <w:t xml:space="preserve">ompensation for making data available </w:t>
      </w:r>
    </w:p>
    <w:p w14:paraId="621EC921" w14:textId="63BD9BA3" w:rsidR="000662E1" w:rsidRDefault="000856CE" w:rsidP="000856CE">
      <w:pPr>
        <w:pStyle w:val="ManualNumPar1"/>
        <w:rPr>
          <w:noProof/>
          <w:lang w:val="en-IE"/>
        </w:rPr>
      </w:pPr>
      <w:r w:rsidRPr="000856CE">
        <w:t>1.</w:t>
      </w:r>
      <w:r w:rsidRPr="000856CE">
        <w:tab/>
      </w:r>
      <w:r w:rsidR="000662E1" w:rsidRPr="00E80604">
        <w:rPr>
          <w:noProof/>
          <w:lang w:val="en-IE"/>
        </w:rPr>
        <w:t xml:space="preserve">Any </w:t>
      </w:r>
      <w:r w:rsidR="000D7185" w:rsidRPr="00E80604">
        <w:rPr>
          <w:noProof/>
          <w:lang w:val="en-IE"/>
        </w:rPr>
        <w:t xml:space="preserve">compensation agreed between a data holder and </w:t>
      </w:r>
      <w:r w:rsidR="000D7185">
        <w:rPr>
          <w:noProof/>
          <w:lang w:val="en-IE"/>
        </w:rPr>
        <w:t>a</w:t>
      </w:r>
      <w:r w:rsidR="000D7185" w:rsidRPr="00E80604">
        <w:rPr>
          <w:noProof/>
          <w:lang w:val="en-IE"/>
        </w:rPr>
        <w:t xml:space="preserve"> data recipient for making data available shall be reasonable</w:t>
      </w:r>
      <w:r w:rsidR="000662E1" w:rsidRPr="00E80604">
        <w:rPr>
          <w:noProof/>
          <w:lang w:val="en-IE"/>
        </w:rPr>
        <w:t xml:space="preserve">. </w:t>
      </w:r>
    </w:p>
    <w:p w14:paraId="19F1F000" w14:textId="6DDD7425" w:rsidR="000D7185" w:rsidRPr="000D7185" w:rsidRDefault="000856CE" w:rsidP="000856CE">
      <w:pPr>
        <w:pStyle w:val="ManualNumPar1"/>
        <w:rPr>
          <w:noProof/>
          <w:lang w:val="en-IE"/>
        </w:rPr>
      </w:pPr>
      <w:r w:rsidRPr="000856CE">
        <w:t>2.</w:t>
      </w:r>
      <w:r w:rsidRPr="000856CE">
        <w:tab/>
      </w:r>
      <w:r w:rsidR="000D7185" w:rsidRPr="000D7185">
        <w:rPr>
          <w:noProof/>
          <w:lang w:val="en-IE"/>
        </w:rPr>
        <w:t>Where the data recipient is a micro, small or medium enterprise, as defined in Article 2 of the Annex to Recommendation 2003/361/EC, any compensation agreed shall not exceed the costs directly related to making the data available to the data recipient and which are attributable to the request. Article 8</w:t>
      </w:r>
      <w:r w:rsidR="006A064B">
        <w:rPr>
          <w:noProof/>
          <w:lang w:val="en-IE"/>
        </w:rPr>
        <w:t>(3)</w:t>
      </w:r>
      <w:r w:rsidR="000D7185" w:rsidRPr="000D7185">
        <w:rPr>
          <w:noProof/>
          <w:lang w:val="en-IE"/>
        </w:rPr>
        <w:t xml:space="preserve"> shall apply accordingly. </w:t>
      </w:r>
    </w:p>
    <w:p w14:paraId="7190FCA6" w14:textId="5F662D1C" w:rsidR="000D7185" w:rsidRPr="000D7185" w:rsidRDefault="000856CE" w:rsidP="000856CE">
      <w:pPr>
        <w:pStyle w:val="ManualNumPar1"/>
        <w:rPr>
          <w:noProof/>
          <w:lang w:val="en-IE"/>
        </w:rPr>
      </w:pPr>
      <w:r w:rsidRPr="000856CE">
        <w:t>3.</w:t>
      </w:r>
      <w:r w:rsidRPr="000856CE">
        <w:tab/>
      </w:r>
      <w:r w:rsidR="000D7185" w:rsidRPr="000D7185">
        <w:rPr>
          <w:noProof/>
          <w:lang w:val="en-IE"/>
        </w:rPr>
        <w:t xml:space="preserve">This Article shall not preclude other Union </w:t>
      </w:r>
      <w:r w:rsidR="006A064B">
        <w:rPr>
          <w:noProof/>
          <w:lang w:val="en-IE"/>
        </w:rPr>
        <w:t xml:space="preserve">law </w:t>
      </w:r>
      <w:r w:rsidR="000D7185" w:rsidRPr="000D7185">
        <w:rPr>
          <w:noProof/>
          <w:lang w:val="en-IE"/>
        </w:rPr>
        <w:t xml:space="preserve">or national legislation implementing Union law from excluding compensation for making data available or providing for lower compensation. </w:t>
      </w:r>
    </w:p>
    <w:p w14:paraId="1D566F17" w14:textId="4CF7F45B" w:rsidR="000D7185" w:rsidRPr="000D7185" w:rsidRDefault="000856CE" w:rsidP="000856CE">
      <w:pPr>
        <w:pStyle w:val="ManualNumPar1"/>
        <w:rPr>
          <w:noProof/>
          <w:lang w:val="en-IE"/>
        </w:rPr>
      </w:pPr>
      <w:r w:rsidRPr="000856CE">
        <w:t>4.</w:t>
      </w:r>
      <w:r w:rsidRPr="000856CE">
        <w:tab/>
      </w:r>
      <w:r w:rsidR="000D7185" w:rsidRPr="000D7185">
        <w:rPr>
          <w:noProof/>
          <w:lang w:val="en-IE"/>
        </w:rPr>
        <w:t xml:space="preserve">The data holder shall provide the data recipient with information setting out the basis for the calculation of the compensation in sufficient detail so that the data recipient can verify that the requirements of paragraph 1 and, where applicable, </w:t>
      </w:r>
      <w:r w:rsidR="006A064B">
        <w:rPr>
          <w:noProof/>
          <w:lang w:val="en-IE"/>
        </w:rPr>
        <w:t xml:space="preserve">paragraph </w:t>
      </w:r>
      <w:r w:rsidR="000D7185" w:rsidRPr="000D7185">
        <w:rPr>
          <w:noProof/>
          <w:lang w:val="en-IE"/>
        </w:rPr>
        <w:t>2 are met.</w:t>
      </w:r>
    </w:p>
    <w:p w14:paraId="3D098118" w14:textId="006CEABD" w:rsidR="00546F57" w:rsidRPr="0077149E" w:rsidRDefault="00CC2D52" w:rsidP="0077149E">
      <w:pPr>
        <w:pStyle w:val="Titrearticleb"/>
        <w:rPr>
          <w:noProof/>
        </w:rPr>
      </w:pPr>
      <w:r>
        <w:rPr>
          <w:noProof/>
          <w:lang w:val="en-US"/>
        </w:rPr>
        <w:t>Article 10</w:t>
      </w:r>
      <w:r w:rsidR="0077149E">
        <w:rPr>
          <w:noProof/>
        </w:rPr>
        <w:br/>
      </w:r>
      <w:r w:rsidR="00546F57" w:rsidRPr="00B356D4">
        <w:rPr>
          <w:noProof/>
          <w:lang w:val="en-IE"/>
        </w:rPr>
        <w:t>Dispute settlement</w:t>
      </w:r>
    </w:p>
    <w:p w14:paraId="0FCE1E4A" w14:textId="3278523E" w:rsidR="000662E1" w:rsidRPr="00E80604" w:rsidRDefault="000856CE" w:rsidP="000856CE">
      <w:pPr>
        <w:pStyle w:val="ManualNumPar1"/>
        <w:rPr>
          <w:noProof/>
          <w:lang w:val="en-IE"/>
        </w:rPr>
      </w:pPr>
      <w:r w:rsidRPr="000856CE">
        <w:t>1.</w:t>
      </w:r>
      <w:r w:rsidRPr="000856CE">
        <w:tab/>
      </w:r>
      <w:r w:rsidR="000662E1" w:rsidRPr="00E80604">
        <w:rPr>
          <w:noProof/>
          <w:lang w:val="en-IE"/>
        </w:rPr>
        <w:t xml:space="preserve">Data </w:t>
      </w:r>
      <w:r w:rsidR="000D7185" w:rsidRPr="00E80604">
        <w:rPr>
          <w:noProof/>
          <w:lang w:val="en-IE"/>
        </w:rPr>
        <w:t>holders and data recipients shall have access to dispute settlement bodies, certified in accordance with paragraph 2</w:t>
      </w:r>
      <w:r w:rsidR="000D7185" w:rsidRPr="00741886">
        <w:rPr>
          <w:noProof/>
          <w:lang w:val="en-IE"/>
        </w:rPr>
        <w:t xml:space="preserve"> </w:t>
      </w:r>
      <w:r w:rsidR="000D7185">
        <w:rPr>
          <w:noProof/>
          <w:lang w:val="en-IE"/>
        </w:rPr>
        <w:t>of this Article</w:t>
      </w:r>
      <w:r w:rsidR="000D7185" w:rsidRPr="00E80604">
        <w:rPr>
          <w:noProof/>
          <w:lang w:val="en-IE"/>
        </w:rPr>
        <w:t>, to settle disputes in relation to the determination of fair, reasonable and non-discriminatory terms for and the transparent manner of making data available in accordance with Articles 8 and 9</w:t>
      </w:r>
      <w:r w:rsidR="000662E1" w:rsidRPr="00E80604">
        <w:rPr>
          <w:noProof/>
          <w:lang w:val="en-IE"/>
        </w:rPr>
        <w:t>.</w:t>
      </w:r>
      <w:r w:rsidR="000662E1" w:rsidRPr="00E80604" w:rsidDel="00480FDE">
        <w:rPr>
          <w:noProof/>
          <w:lang w:val="en-IE"/>
        </w:rPr>
        <w:t xml:space="preserve"> </w:t>
      </w:r>
    </w:p>
    <w:p w14:paraId="716CAF02" w14:textId="5E490602" w:rsidR="000662E1" w:rsidRPr="00B356D4" w:rsidRDefault="000856CE" w:rsidP="000856CE">
      <w:pPr>
        <w:pStyle w:val="ManualNumPar1"/>
        <w:rPr>
          <w:noProof/>
          <w:lang w:val="en-IE"/>
        </w:rPr>
      </w:pPr>
      <w:r w:rsidRPr="000856CE">
        <w:t>2.</w:t>
      </w:r>
      <w:r w:rsidRPr="000856CE">
        <w:tab/>
      </w:r>
      <w:r w:rsidR="000662E1" w:rsidRPr="00B356D4">
        <w:rPr>
          <w:noProof/>
          <w:lang w:val="en-IE"/>
        </w:rPr>
        <w:t xml:space="preserve">The </w:t>
      </w:r>
      <w:r w:rsidR="000D7185" w:rsidRPr="009535C7">
        <w:rPr>
          <w:noProof/>
          <w:lang w:val="en-IE"/>
        </w:rPr>
        <w:t>Member State where the dispute settlement body is established shall, at the request of that body, certify the body, where the body has demonstrated that it meets all of the following conditions</w:t>
      </w:r>
      <w:r w:rsidR="000D7185">
        <w:rPr>
          <w:noProof/>
          <w:lang w:val="en-IE"/>
        </w:rPr>
        <w:t>:</w:t>
      </w:r>
    </w:p>
    <w:p w14:paraId="7182CD6B" w14:textId="4449CCF7" w:rsidR="000662E1" w:rsidRDefault="000856CE" w:rsidP="000856CE">
      <w:pPr>
        <w:pStyle w:val="Point1"/>
        <w:rPr>
          <w:noProof/>
          <w:lang w:val="en-IE"/>
        </w:rPr>
      </w:pPr>
      <w:r w:rsidRPr="000856CE">
        <w:t>(a)</w:t>
      </w:r>
      <w:r w:rsidRPr="000856CE">
        <w:tab/>
      </w:r>
      <w:r w:rsidR="000662E1" w:rsidRPr="00E80604">
        <w:rPr>
          <w:noProof/>
          <w:lang w:val="en-IE"/>
        </w:rPr>
        <w:t xml:space="preserve">it </w:t>
      </w:r>
      <w:r w:rsidR="000D7185" w:rsidRPr="2FA46F90">
        <w:rPr>
          <w:noProof/>
          <w:lang w:val="en-IE"/>
        </w:rPr>
        <w:t>is impartial and independent,</w:t>
      </w:r>
      <w:r w:rsidR="000D7185">
        <w:rPr>
          <w:noProof/>
        </w:rPr>
        <w:t xml:space="preserve"> and it will issue its decisions in accordance with clear and fair rules of procedure</w:t>
      </w:r>
      <w:r w:rsidR="000662E1" w:rsidRPr="00E80604">
        <w:rPr>
          <w:noProof/>
          <w:lang w:val="en-IE"/>
        </w:rPr>
        <w:t>;</w:t>
      </w:r>
    </w:p>
    <w:p w14:paraId="41EE097A" w14:textId="6A651E57" w:rsidR="000D7185" w:rsidRPr="000D7185" w:rsidRDefault="000856CE" w:rsidP="000856CE">
      <w:pPr>
        <w:pStyle w:val="Point1"/>
        <w:rPr>
          <w:noProof/>
          <w:lang w:val="en-IE"/>
        </w:rPr>
      </w:pPr>
      <w:r w:rsidRPr="000856CE">
        <w:t>(b)</w:t>
      </w:r>
      <w:r w:rsidRPr="000856CE">
        <w:tab/>
      </w:r>
      <w:r w:rsidR="000D7185" w:rsidRPr="000D7185">
        <w:rPr>
          <w:noProof/>
          <w:lang w:val="en-IE"/>
        </w:rPr>
        <w:t>it has the necessary expertise in relation to the determination of fair, reasonable and non-discriminatory terms for and the transparent manner of making data available, allowing the body to effectively determine those terms;</w:t>
      </w:r>
    </w:p>
    <w:p w14:paraId="63EE5E2B" w14:textId="44AAE021" w:rsidR="000D7185" w:rsidRPr="000D7185" w:rsidRDefault="000856CE" w:rsidP="000856CE">
      <w:pPr>
        <w:pStyle w:val="Point1"/>
        <w:rPr>
          <w:noProof/>
          <w:lang w:val="en-IE"/>
        </w:rPr>
      </w:pPr>
      <w:r w:rsidRPr="000856CE">
        <w:t>(c)</w:t>
      </w:r>
      <w:r w:rsidRPr="000856CE">
        <w:tab/>
      </w:r>
      <w:r w:rsidR="000D7185" w:rsidRPr="000D7185">
        <w:rPr>
          <w:noProof/>
          <w:lang w:val="en-IE"/>
        </w:rPr>
        <w:t>it is easily accessible through electronic communication technology;</w:t>
      </w:r>
    </w:p>
    <w:p w14:paraId="45A2A322" w14:textId="0412148C" w:rsidR="000D7185" w:rsidRPr="000D7185" w:rsidRDefault="000856CE" w:rsidP="000856CE">
      <w:pPr>
        <w:pStyle w:val="Point1"/>
        <w:rPr>
          <w:noProof/>
          <w:lang w:val="en-IE"/>
        </w:rPr>
      </w:pPr>
      <w:r w:rsidRPr="000856CE">
        <w:t>(d)</w:t>
      </w:r>
      <w:r w:rsidRPr="000856CE">
        <w:tab/>
      </w:r>
      <w:r w:rsidR="000D7185" w:rsidRPr="000D7185">
        <w:rPr>
          <w:noProof/>
          <w:lang w:val="en-IE"/>
        </w:rPr>
        <w:t>it is capable of issuing its decisions in a swift, efficient and cost-effective manner and in at least one official language of the Union.</w:t>
      </w:r>
    </w:p>
    <w:p w14:paraId="421C7FC0" w14:textId="1C949BE5" w:rsidR="000662E1" w:rsidRPr="000168E3" w:rsidRDefault="000662E1" w:rsidP="00CC2D52">
      <w:pPr>
        <w:pStyle w:val="Point1"/>
        <w:ind w:left="851" w:hanging="1"/>
        <w:rPr>
          <w:noProof/>
          <w:lang w:val="en-IE"/>
        </w:rPr>
      </w:pPr>
      <w:r w:rsidRPr="000168E3">
        <w:rPr>
          <w:noProof/>
          <w:lang w:val="en-IE"/>
        </w:rPr>
        <w:t xml:space="preserve">If no </w:t>
      </w:r>
      <w:r w:rsidR="00AB08BE" w:rsidRPr="000168E3">
        <w:rPr>
          <w:noProof/>
          <w:lang w:val="en-IE"/>
        </w:rPr>
        <w:t xml:space="preserve">dispute settlement body is certified in a Member State </w:t>
      </w:r>
      <w:r w:rsidR="00AB08BE">
        <w:rPr>
          <w:noProof/>
          <w:lang w:val="en-IE"/>
        </w:rPr>
        <w:t xml:space="preserve">by </w:t>
      </w:r>
      <w:r w:rsidR="00AB08BE" w:rsidRPr="000168E3">
        <w:rPr>
          <w:noProof/>
          <w:lang w:val="en-IE"/>
        </w:rPr>
        <w:t>[</w:t>
      </w:r>
      <w:r w:rsidR="00AB08BE" w:rsidRPr="2FA46F90">
        <w:rPr>
          <w:noProof/>
          <w:lang w:val="en-IE"/>
        </w:rPr>
        <w:t>date of application of the Regulation</w:t>
      </w:r>
      <w:r w:rsidR="00AB08BE" w:rsidRPr="000168E3">
        <w:rPr>
          <w:noProof/>
          <w:lang w:val="en-IE"/>
        </w:rPr>
        <w:t xml:space="preserve">], that Member State shall establish and certify a dispute settlement body </w:t>
      </w:r>
      <w:r w:rsidR="00AB08BE">
        <w:rPr>
          <w:noProof/>
          <w:lang w:val="en-IE"/>
        </w:rPr>
        <w:t xml:space="preserve">that fulfils </w:t>
      </w:r>
      <w:r w:rsidR="00AB08BE" w:rsidRPr="000168E3">
        <w:rPr>
          <w:noProof/>
          <w:lang w:val="en-IE"/>
        </w:rPr>
        <w:t>the conditions set out in points (a) to (d) of this paragraph</w:t>
      </w:r>
      <w:r w:rsidRPr="000168E3">
        <w:rPr>
          <w:noProof/>
          <w:lang w:val="en-IE"/>
        </w:rPr>
        <w:t xml:space="preserve">. </w:t>
      </w:r>
    </w:p>
    <w:p w14:paraId="5A5DCEA7" w14:textId="11EE752E" w:rsidR="000662E1" w:rsidRDefault="000856CE" w:rsidP="000856CE">
      <w:pPr>
        <w:pStyle w:val="ManualNumPar1"/>
        <w:rPr>
          <w:noProof/>
          <w:lang w:val="en-IE"/>
        </w:rPr>
      </w:pPr>
      <w:r w:rsidRPr="000856CE">
        <w:t>3.</w:t>
      </w:r>
      <w:r w:rsidRPr="000856CE">
        <w:tab/>
      </w:r>
      <w:r w:rsidR="000662E1" w:rsidRPr="00B356D4">
        <w:rPr>
          <w:noProof/>
          <w:lang w:val="en-IE"/>
        </w:rPr>
        <w:t xml:space="preserve">Member </w:t>
      </w:r>
      <w:r w:rsidR="00AB08BE" w:rsidRPr="00B356D4">
        <w:rPr>
          <w:noProof/>
          <w:lang w:val="en-IE"/>
        </w:rPr>
        <w:t>States shall notify to the Commission the dispute settlement bodies certified in accordance with paragraph</w:t>
      </w:r>
      <w:r w:rsidR="00AB08BE">
        <w:rPr>
          <w:noProof/>
          <w:lang w:val="en-IE"/>
        </w:rPr>
        <w:t xml:space="preserve"> 2</w:t>
      </w:r>
      <w:r w:rsidR="00AB08BE" w:rsidRPr="00B356D4">
        <w:rPr>
          <w:noProof/>
          <w:lang w:val="en-IE"/>
        </w:rPr>
        <w:t>. The Commission shall publish a list of those bodies on a dedicated website and keep it updated</w:t>
      </w:r>
      <w:r w:rsidR="000662E1" w:rsidRPr="00B356D4">
        <w:rPr>
          <w:noProof/>
          <w:lang w:val="en-IE"/>
        </w:rPr>
        <w:t>.</w:t>
      </w:r>
    </w:p>
    <w:p w14:paraId="44274BF9" w14:textId="664C232D" w:rsidR="00AB08BE" w:rsidRDefault="000856CE" w:rsidP="000856CE">
      <w:pPr>
        <w:pStyle w:val="ManualNumPar1"/>
        <w:rPr>
          <w:noProof/>
          <w:lang w:val="en-IE"/>
        </w:rPr>
      </w:pPr>
      <w:r w:rsidRPr="000856CE">
        <w:t>4.</w:t>
      </w:r>
      <w:r w:rsidRPr="000856CE">
        <w:tab/>
      </w:r>
      <w:r w:rsidR="00AB08BE" w:rsidRPr="009535C7">
        <w:rPr>
          <w:noProof/>
          <w:lang w:val="en-IE"/>
        </w:rPr>
        <w:t>Dispute settlement bodies shall make the fees, or the mechanisms used to determine the fees, known to the parties concerned before those parties request a decision.</w:t>
      </w:r>
    </w:p>
    <w:p w14:paraId="329A7330" w14:textId="19622C59" w:rsidR="00AB08BE" w:rsidRDefault="000856CE" w:rsidP="000856CE">
      <w:pPr>
        <w:pStyle w:val="ManualNumPar1"/>
        <w:rPr>
          <w:noProof/>
          <w:lang w:val="en-IE"/>
        </w:rPr>
      </w:pPr>
      <w:r w:rsidRPr="000856CE">
        <w:t>5.</w:t>
      </w:r>
      <w:r w:rsidRPr="000856CE">
        <w:tab/>
      </w:r>
      <w:r w:rsidR="00AB08BE" w:rsidRPr="009535C7">
        <w:rPr>
          <w:noProof/>
          <w:lang w:val="en-US"/>
        </w:rPr>
        <w:t>Dispute settlement bodies shall refuse to deal with a request to resolve a dispute that has already been brought before another dispute settlement body</w:t>
      </w:r>
      <w:r w:rsidR="00AB08BE" w:rsidRPr="00D33756">
        <w:rPr>
          <w:noProof/>
        </w:rPr>
        <w:t xml:space="preserve"> </w:t>
      </w:r>
      <w:r w:rsidR="00AB08BE" w:rsidRPr="009535C7">
        <w:rPr>
          <w:noProof/>
          <w:lang w:val="en-US"/>
        </w:rPr>
        <w:t xml:space="preserve">or before a court or a tribunal of a Member State. </w:t>
      </w:r>
    </w:p>
    <w:p w14:paraId="6A41C935" w14:textId="7102F447" w:rsidR="00AB08BE" w:rsidRDefault="000856CE" w:rsidP="000856CE">
      <w:pPr>
        <w:pStyle w:val="ManualNumPar1"/>
        <w:rPr>
          <w:noProof/>
          <w:lang w:val="en-IE"/>
        </w:rPr>
      </w:pPr>
      <w:r w:rsidRPr="000856CE">
        <w:t>6.</w:t>
      </w:r>
      <w:r w:rsidRPr="000856CE">
        <w:tab/>
      </w:r>
      <w:r w:rsidR="00AB08BE" w:rsidRPr="009535C7">
        <w:rPr>
          <w:noProof/>
          <w:lang w:val="en-IE"/>
        </w:rPr>
        <w:t xml:space="preserve">Dispute settlement bodies shall grant the parties the possibility, within a reasonable period of time, to express their point of view on matters those parties have brought before those bodies. In that context, </w:t>
      </w:r>
      <w:r w:rsidR="00AB08BE">
        <w:rPr>
          <w:noProof/>
          <w:lang w:val="en-IE"/>
        </w:rPr>
        <w:t xml:space="preserve">dispute settlement </w:t>
      </w:r>
      <w:r w:rsidR="00AB08BE" w:rsidRPr="009535C7">
        <w:rPr>
          <w:noProof/>
          <w:lang w:val="en-IE"/>
        </w:rPr>
        <w:t>bodies shall provide those parties with the submissions of the other party and any statements made by experts</w:t>
      </w:r>
      <w:r w:rsidR="00AB08BE">
        <w:rPr>
          <w:noProof/>
          <w:lang w:val="en-IE"/>
        </w:rPr>
        <w:t>.</w:t>
      </w:r>
      <w:r w:rsidR="00AB08BE" w:rsidRPr="00B356D4">
        <w:rPr>
          <w:noProof/>
          <w:lang w:val="en-IE"/>
        </w:rPr>
        <w:t xml:space="preserve"> </w:t>
      </w:r>
      <w:r w:rsidR="00AB08BE">
        <w:rPr>
          <w:noProof/>
          <w:lang w:val="en-IE"/>
        </w:rPr>
        <w:t>T</w:t>
      </w:r>
      <w:r w:rsidR="00AB08BE" w:rsidRPr="00B356D4">
        <w:rPr>
          <w:noProof/>
          <w:lang w:val="en-IE"/>
        </w:rPr>
        <w:t xml:space="preserve">hose </w:t>
      </w:r>
      <w:r w:rsidR="00AB08BE" w:rsidRPr="009535C7">
        <w:rPr>
          <w:noProof/>
          <w:lang w:val="en-IE"/>
        </w:rPr>
        <w:t xml:space="preserve">bodies shall grant </w:t>
      </w:r>
      <w:r w:rsidR="00AB08BE">
        <w:rPr>
          <w:noProof/>
          <w:lang w:val="en-IE"/>
        </w:rPr>
        <w:t>the parties</w:t>
      </w:r>
      <w:r w:rsidR="00AB08BE" w:rsidRPr="00B356D4">
        <w:rPr>
          <w:noProof/>
          <w:lang w:val="en-IE"/>
        </w:rPr>
        <w:t xml:space="preserve"> </w:t>
      </w:r>
      <w:r w:rsidR="00AB08BE" w:rsidRPr="009535C7">
        <w:rPr>
          <w:noProof/>
          <w:lang w:val="en-IE"/>
        </w:rPr>
        <w:t xml:space="preserve">the possibility to comment on those submissions and statements. </w:t>
      </w:r>
    </w:p>
    <w:p w14:paraId="78D0EF1C" w14:textId="6313286E" w:rsidR="00AB08BE" w:rsidRDefault="000856CE" w:rsidP="000856CE">
      <w:pPr>
        <w:pStyle w:val="ManualNumPar1"/>
        <w:rPr>
          <w:noProof/>
          <w:lang w:val="en-IE"/>
        </w:rPr>
      </w:pPr>
      <w:r w:rsidRPr="000856CE">
        <w:t>7.</w:t>
      </w:r>
      <w:r w:rsidRPr="000856CE">
        <w:tab/>
      </w:r>
      <w:r w:rsidR="00AB08BE" w:rsidRPr="009535C7">
        <w:rPr>
          <w:noProof/>
          <w:lang w:val="en-IE"/>
        </w:rPr>
        <w:t xml:space="preserve">Dispute settlement bodies shall issue their decision on matters referred to them no later than 90 days after the request for a decision has been made. Those decisions shall be in writing or on a durable </w:t>
      </w:r>
      <w:r w:rsidR="00AB08BE" w:rsidRPr="009535C7">
        <w:rPr>
          <w:iCs/>
          <w:noProof/>
          <w:lang w:val="en-US"/>
        </w:rPr>
        <w:t xml:space="preserve">medium and shall be supported by a statement of reasons supporting the decision. </w:t>
      </w:r>
    </w:p>
    <w:p w14:paraId="027204DB" w14:textId="72708E62" w:rsidR="00AB08BE" w:rsidRDefault="000856CE" w:rsidP="000856CE">
      <w:pPr>
        <w:pStyle w:val="ManualNumPar1"/>
        <w:rPr>
          <w:noProof/>
          <w:lang w:val="en-IE"/>
        </w:rPr>
      </w:pPr>
      <w:r w:rsidRPr="000856CE">
        <w:t>8.</w:t>
      </w:r>
      <w:r w:rsidRPr="000856CE">
        <w:tab/>
      </w:r>
      <w:r w:rsidR="00AB08BE" w:rsidRPr="009535C7">
        <w:rPr>
          <w:noProof/>
          <w:lang w:val="en-US"/>
        </w:rPr>
        <w:t>The decision of the dispute settlement body shall only be binding on the parties if the parties have explicitly consented to its binding nature prior to the start of the dispute settlement proceedings.</w:t>
      </w:r>
    </w:p>
    <w:p w14:paraId="43ED8F58" w14:textId="68F74DCD" w:rsidR="00AB08BE" w:rsidRPr="00AB08BE" w:rsidRDefault="000856CE" w:rsidP="000856CE">
      <w:pPr>
        <w:pStyle w:val="ManualNumPar1"/>
        <w:rPr>
          <w:noProof/>
          <w:lang w:val="en-IE"/>
        </w:rPr>
      </w:pPr>
      <w:r w:rsidRPr="000856CE">
        <w:t>9.</w:t>
      </w:r>
      <w:r w:rsidRPr="000856CE">
        <w:tab/>
      </w:r>
      <w:r w:rsidR="00AB08BE" w:rsidRPr="009535C7">
        <w:rPr>
          <w:noProof/>
          <w:lang w:val="en-US"/>
        </w:rPr>
        <w:t xml:space="preserve">This Article does not affect the right of the parties to seek an effective remedy before a </w:t>
      </w:r>
      <w:r w:rsidR="00AB08BE" w:rsidRPr="00D33756">
        <w:rPr>
          <w:noProof/>
          <w:lang w:val="en-US"/>
        </w:rPr>
        <w:t>court or tribunal</w:t>
      </w:r>
      <w:r w:rsidR="00AB08BE">
        <w:rPr>
          <w:noProof/>
          <w:lang w:val="en-US"/>
        </w:rPr>
        <w:t xml:space="preserve"> of a Member State</w:t>
      </w:r>
      <w:r w:rsidR="00AB08BE" w:rsidRPr="009535C7">
        <w:rPr>
          <w:noProof/>
          <w:lang w:val="en-US"/>
        </w:rPr>
        <w:t>.</w:t>
      </w:r>
    </w:p>
    <w:p w14:paraId="1BD28AB2" w14:textId="134F6742" w:rsidR="00546F57" w:rsidRPr="0077149E" w:rsidRDefault="00CC2D52" w:rsidP="0077149E">
      <w:pPr>
        <w:pStyle w:val="Titrearticleb"/>
        <w:rPr>
          <w:noProof/>
        </w:rPr>
      </w:pPr>
      <w:r>
        <w:rPr>
          <w:noProof/>
        </w:rPr>
        <w:t>Article 11</w:t>
      </w:r>
      <w:r w:rsidR="0077149E">
        <w:rPr>
          <w:noProof/>
        </w:rPr>
        <w:br/>
      </w:r>
      <w:r w:rsidR="00546F57" w:rsidRPr="00B356D4">
        <w:rPr>
          <w:noProof/>
          <w:lang w:val="en-IE"/>
        </w:rPr>
        <w:t>Technical protection measures and provisions on unauthorised use or disclosure of data</w:t>
      </w:r>
    </w:p>
    <w:p w14:paraId="2E561CCB" w14:textId="3B3485A1" w:rsidR="000662E1" w:rsidRPr="00E80604" w:rsidRDefault="000856CE" w:rsidP="000856CE">
      <w:pPr>
        <w:pStyle w:val="ManualNumPar1"/>
        <w:rPr>
          <w:noProof/>
          <w:lang w:val="en-IE"/>
        </w:rPr>
      </w:pPr>
      <w:r w:rsidRPr="000856CE">
        <w:t>1.</w:t>
      </w:r>
      <w:r w:rsidRPr="000856CE">
        <w:tab/>
      </w:r>
      <w:r w:rsidR="000662E1" w:rsidRPr="00E80604">
        <w:rPr>
          <w:noProof/>
          <w:lang w:val="en-IE"/>
        </w:rPr>
        <w:t xml:space="preserve">The </w:t>
      </w:r>
      <w:r w:rsidR="00AB08BE" w:rsidRPr="00E80604">
        <w:rPr>
          <w:noProof/>
          <w:lang w:val="en-IE"/>
        </w:rPr>
        <w:t>data holder may apply appropriate technical protection measures, including smart contracts, to prevent unauthorised access to the data and to ensure compliance with Articles 5, 6, 9 and 10</w:t>
      </w:r>
      <w:r w:rsidR="006A064B">
        <w:rPr>
          <w:noProof/>
          <w:lang w:val="en-IE"/>
        </w:rPr>
        <w:t>,</w:t>
      </w:r>
      <w:r w:rsidR="00AB08BE" w:rsidRPr="00E80604">
        <w:rPr>
          <w:noProof/>
          <w:lang w:val="en-IE"/>
        </w:rPr>
        <w:t xml:space="preserve"> as well as with the agreed contractual terms for making data available</w:t>
      </w:r>
      <w:r w:rsidR="000662E1" w:rsidRPr="00E80604">
        <w:rPr>
          <w:noProof/>
          <w:lang w:val="en-IE"/>
        </w:rPr>
        <w:t>.</w:t>
      </w:r>
      <w:r w:rsidR="006A064B">
        <w:rPr>
          <w:noProof/>
          <w:lang w:val="en-IE"/>
        </w:rPr>
        <w:t xml:space="preserve"> Such technical protection measures shall not be used as a means to hinder the user’s right to effectively provide data to third parties pursuant to Article 5 or any right of a third party under Union law or national legislation implementing Union law as referred to in Article 8(1).</w:t>
      </w:r>
    </w:p>
    <w:p w14:paraId="389B6D3D" w14:textId="01126EE2" w:rsidR="000662E1" w:rsidRPr="00B356D4" w:rsidRDefault="000856CE" w:rsidP="000856CE">
      <w:pPr>
        <w:pStyle w:val="ManualNumPar1"/>
        <w:rPr>
          <w:noProof/>
          <w:lang w:val="en-IE"/>
        </w:rPr>
      </w:pPr>
      <w:r w:rsidRPr="000856CE">
        <w:t>2.</w:t>
      </w:r>
      <w:r w:rsidRPr="000856CE">
        <w:tab/>
      </w:r>
      <w:r w:rsidR="000662E1">
        <w:rPr>
          <w:noProof/>
          <w:lang w:val="en-IE"/>
        </w:rPr>
        <w:t xml:space="preserve">A </w:t>
      </w:r>
      <w:r w:rsidR="00AB08BE" w:rsidRPr="00472603">
        <w:rPr>
          <w:noProof/>
          <w:lang w:val="en-IE"/>
        </w:rPr>
        <w:t>data recipient</w:t>
      </w:r>
      <w:r w:rsidR="00AB08BE" w:rsidRPr="00472603">
        <w:rPr>
          <w:i/>
          <w:noProof/>
          <w:lang w:val="en-IE"/>
        </w:rPr>
        <w:t xml:space="preserve"> </w:t>
      </w:r>
      <w:r w:rsidR="00AB08BE" w:rsidRPr="00472603">
        <w:rPr>
          <w:noProof/>
          <w:lang w:val="en-IE"/>
        </w:rPr>
        <w:t>that has</w:t>
      </w:r>
      <w:r w:rsidR="00AB08BE">
        <w:rPr>
          <w:noProof/>
          <w:lang w:val="en-IE"/>
        </w:rPr>
        <w:t>,</w:t>
      </w:r>
      <w:r w:rsidR="00AB08BE" w:rsidRPr="00B356D4">
        <w:rPr>
          <w:noProof/>
          <w:lang w:val="en-IE"/>
        </w:rPr>
        <w:t xml:space="preserve"> </w:t>
      </w:r>
      <w:r w:rsidR="00AB08BE">
        <w:rPr>
          <w:noProof/>
          <w:lang w:val="en-IE"/>
        </w:rPr>
        <w:t>for the purposes of obtaining data</w:t>
      </w:r>
      <w:r w:rsidR="00AB08BE" w:rsidRPr="00B356D4">
        <w:rPr>
          <w:noProof/>
          <w:lang w:val="en-IE"/>
        </w:rPr>
        <w:t>,</w:t>
      </w:r>
      <w:r w:rsidR="00AB08BE" w:rsidRPr="00472603">
        <w:rPr>
          <w:noProof/>
          <w:lang w:val="en-IE"/>
        </w:rPr>
        <w:t xml:space="preserve"> provided inaccurate or </w:t>
      </w:r>
      <w:r w:rsidR="00AB08BE">
        <w:rPr>
          <w:noProof/>
          <w:lang w:val="en-IE"/>
        </w:rPr>
        <w:t>false</w:t>
      </w:r>
      <w:r w:rsidR="00AB08BE" w:rsidRPr="00472603">
        <w:rPr>
          <w:noProof/>
          <w:lang w:val="en-IE"/>
        </w:rPr>
        <w:t xml:space="preserve"> information to the data holder, deployed </w:t>
      </w:r>
      <w:r w:rsidR="00AB08BE">
        <w:rPr>
          <w:noProof/>
          <w:lang w:val="en-IE"/>
        </w:rPr>
        <w:t xml:space="preserve">deceptive or </w:t>
      </w:r>
      <w:r w:rsidR="00AB08BE" w:rsidRPr="00472603">
        <w:rPr>
          <w:noProof/>
          <w:lang w:val="en-IE"/>
        </w:rPr>
        <w:t>coercive means or</w:t>
      </w:r>
      <w:r w:rsidR="006A064B">
        <w:rPr>
          <w:noProof/>
          <w:lang w:val="en-IE"/>
        </w:rPr>
        <w:t xml:space="preserve"> </w:t>
      </w:r>
      <w:r w:rsidR="00AB08BE" w:rsidRPr="00472603">
        <w:rPr>
          <w:noProof/>
          <w:lang w:val="en-IE"/>
        </w:rPr>
        <w:t>abused evident gaps in the technical infrastructure of the data holder designed to protect the data</w:t>
      </w:r>
      <w:r w:rsidR="006A064B">
        <w:rPr>
          <w:noProof/>
          <w:lang w:val="en-IE"/>
        </w:rPr>
        <w:t>,</w:t>
      </w:r>
      <w:r w:rsidR="00AB08BE" w:rsidRPr="00472603">
        <w:rPr>
          <w:noProof/>
          <w:lang w:val="en-IE"/>
        </w:rPr>
        <w:t xml:space="preserve"> has used th</w:t>
      </w:r>
      <w:r w:rsidR="006A064B">
        <w:rPr>
          <w:noProof/>
          <w:lang w:val="en-IE"/>
        </w:rPr>
        <w:t>e</w:t>
      </w:r>
      <w:r w:rsidR="00AB08BE" w:rsidRPr="00472603">
        <w:rPr>
          <w:noProof/>
          <w:lang w:val="en-IE"/>
        </w:rPr>
        <w:t xml:space="preserve"> data</w:t>
      </w:r>
      <w:r w:rsidR="006A064B">
        <w:rPr>
          <w:noProof/>
          <w:lang w:val="en-IE"/>
        </w:rPr>
        <w:t xml:space="preserve"> made available</w:t>
      </w:r>
      <w:r w:rsidR="00AB08BE" w:rsidRPr="00472603">
        <w:rPr>
          <w:noProof/>
          <w:lang w:val="en-IE"/>
        </w:rPr>
        <w:t xml:space="preserve"> for unauthorised purposes or has disclosed those data to another party without the data holder’s authorisation, shall without undue delay, unless the data holder or </w:t>
      </w:r>
      <w:r w:rsidR="00AB08BE">
        <w:rPr>
          <w:noProof/>
          <w:lang w:val="en-IE"/>
        </w:rPr>
        <w:t xml:space="preserve">the </w:t>
      </w:r>
      <w:r w:rsidR="00AB08BE" w:rsidRPr="00472603">
        <w:rPr>
          <w:noProof/>
          <w:lang w:val="en-IE"/>
        </w:rPr>
        <w:t xml:space="preserve">user </w:t>
      </w:r>
      <w:r w:rsidR="00AB08BE">
        <w:rPr>
          <w:noProof/>
          <w:lang w:val="en-IE"/>
        </w:rPr>
        <w:t>instruct</w:t>
      </w:r>
      <w:r w:rsidR="00AB08BE" w:rsidRPr="00B356D4">
        <w:rPr>
          <w:noProof/>
          <w:lang w:val="en-IE"/>
        </w:rPr>
        <w:t xml:space="preserve"> </w:t>
      </w:r>
      <w:r w:rsidR="00AB08BE">
        <w:rPr>
          <w:noProof/>
          <w:lang w:val="en-IE"/>
        </w:rPr>
        <w:t>otherwise:</w:t>
      </w:r>
    </w:p>
    <w:p w14:paraId="23779944" w14:textId="743A711E" w:rsidR="00AB08BE" w:rsidRDefault="000856CE" w:rsidP="000856CE">
      <w:pPr>
        <w:pStyle w:val="Point1"/>
        <w:rPr>
          <w:noProof/>
          <w:lang w:val="en-IE"/>
        </w:rPr>
      </w:pPr>
      <w:r w:rsidRPr="000856CE">
        <w:t>(a)</w:t>
      </w:r>
      <w:r w:rsidRPr="000856CE">
        <w:tab/>
      </w:r>
      <w:r w:rsidR="000662E1" w:rsidRPr="00AB08BE">
        <w:rPr>
          <w:noProof/>
          <w:lang w:val="en-IE"/>
        </w:rPr>
        <w:t xml:space="preserve">destroy </w:t>
      </w:r>
      <w:r w:rsidR="00AB08BE" w:rsidRPr="2FA46F90">
        <w:rPr>
          <w:noProof/>
          <w:lang w:val="en-IE"/>
        </w:rPr>
        <w:t>the data made available by the data holder and any copies thereof</w:t>
      </w:r>
      <w:r w:rsidR="00AB08BE">
        <w:rPr>
          <w:noProof/>
          <w:lang w:val="en-IE"/>
        </w:rPr>
        <w:t>;</w:t>
      </w:r>
    </w:p>
    <w:p w14:paraId="3BB27BFD" w14:textId="69797996" w:rsidR="000662E1" w:rsidRPr="00AB08BE" w:rsidRDefault="000856CE" w:rsidP="000856CE">
      <w:pPr>
        <w:pStyle w:val="Point1"/>
        <w:rPr>
          <w:noProof/>
          <w:lang w:val="en-IE"/>
        </w:rPr>
      </w:pPr>
      <w:r w:rsidRPr="000856CE">
        <w:t>(b)</w:t>
      </w:r>
      <w:r w:rsidRPr="000856CE">
        <w:tab/>
      </w:r>
      <w:r w:rsidR="000662E1" w:rsidRPr="00AB08BE">
        <w:rPr>
          <w:noProof/>
          <w:lang w:val="en-IE"/>
        </w:rPr>
        <w:t xml:space="preserve">end </w:t>
      </w:r>
      <w:r w:rsidR="00AB08BE" w:rsidRPr="2FA46F90">
        <w:rPr>
          <w:noProof/>
          <w:lang w:val="en-IE"/>
        </w:rPr>
        <w:t>the production, offering, placing on the market or use of goods, derivative data or services produced on the basis of knowledge obtained through such data, or the importation, export or storage of infringing goods for those purposes, and destroy any infringing goods</w:t>
      </w:r>
      <w:r w:rsidR="000662E1" w:rsidRPr="00AB08BE">
        <w:rPr>
          <w:noProof/>
          <w:lang w:val="en-IE"/>
        </w:rPr>
        <w:t>.</w:t>
      </w:r>
    </w:p>
    <w:p w14:paraId="494B77C5" w14:textId="10961A3E" w:rsidR="000662E1" w:rsidRPr="00B356D4" w:rsidRDefault="000856CE" w:rsidP="000856CE">
      <w:pPr>
        <w:pStyle w:val="ManualNumPar1"/>
        <w:rPr>
          <w:noProof/>
          <w:lang w:val="en-IE"/>
        </w:rPr>
      </w:pPr>
      <w:r w:rsidRPr="000856CE">
        <w:t>3.</w:t>
      </w:r>
      <w:r w:rsidRPr="000856CE">
        <w:tab/>
      </w:r>
      <w:r w:rsidR="000662E1" w:rsidRPr="00B356D4">
        <w:rPr>
          <w:noProof/>
          <w:lang w:val="en-IE"/>
        </w:rPr>
        <w:t xml:space="preserve">Paragraph </w:t>
      </w:r>
      <w:r w:rsidR="00AB08BE" w:rsidRPr="00B356D4">
        <w:rPr>
          <w:noProof/>
          <w:lang w:val="en-IE"/>
        </w:rPr>
        <w:t>2</w:t>
      </w:r>
      <w:r w:rsidR="00AB08BE">
        <w:rPr>
          <w:noProof/>
          <w:lang w:val="en-IE"/>
        </w:rPr>
        <w:t>, point</w:t>
      </w:r>
      <w:r w:rsidR="00AB08BE" w:rsidRPr="00B356D4">
        <w:rPr>
          <w:noProof/>
          <w:lang w:val="en-IE"/>
        </w:rPr>
        <w:t xml:space="preserve"> (b)</w:t>
      </w:r>
      <w:r w:rsidR="00AB08BE">
        <w:rPr>
          <w:noProof/>
          <w:lang w:val="en-IE"/>
        </w:rPr>
        <w:t>,</w:t>
      </w:r>
      <w:r w:rsidR="00AB08BE" w:rsidRPr="00B356D4">
        <w:rPr>
          <w:noProof/>
          <w:lang w:val="en-IE"/>
        </w:rPr>
        <w:t xml:space="preserve"> shall not apply in either of the following cases</w:t>
      </w:r>
      <w:r w:rsidR="000662E1" w:rsidRPr="00B356D4">
        <w:rPr>
          <w:noProof/>
          <w:lang w:val="en-IE"/>
        </w:rPr>
        <w:t xml:space="preserve">: </w:t>
      </w:r>
    </w:p>
    <w:p w14:paraId="6F3E98C1" w14:textId="326CBCDC" w:rsidR="000662E1" w:rsidRPr="009770D5" w:rsidRDefault="000856CE" w:rsidP="000856CE">
      <w:pPr>
        <w:pStyle w:val="Point1"/>
        <w:rPr>
          <w:noProof/>
          <w:lang w:val="en-IE"/>
        </w:rPr>
      </w:pPr>
      <w:r w:rsidRPr="000856CE">
        <w:t>(a)</w:t>
      </w:r>
      <w:r w:rsidRPr="000856CE">
        <w:tab/>
      </w:r>
      <w:r w:rsidR="00AB08BE" w:rsidRPr="2FA46F90">
        <w:rPr>
          <w:noProof/>
          <w:lang w:val="en-IE"/>
        </w:rPr>
        <w:t>use of the data has not caused significant harm to the data holder</w:t>
      </w:r>
      <w:r w:rsidR="000662E1" w:rsidRPr="009770D5">
        <w:rPr>
          <w:noProof/>
          <w:lang w:val="en-IE"/>
        </w:rPr>
        <w:t xml:space="preserve">; </w:t>
      </w:r>
    </w:p>
    <w:p w14:paraId="4F771C4C" w14:textId="504CEEA9" w:rsidR="000662E1" w:rsidRDefault="000856CE" w:rsidP="000856CE">
      <w:pPr>
        <w:pStyle w:val="Point1"/>
        <w:rPr>
          <w:noProof/>
          <w:lang w:val="en-IE"/>
        </w:rPr>
      </w:pPr>
      <w:r w:rsidRPr="000856CE">
        <w:t>(b)</w:t>
      </w:r>
      <w:r w:rsidRPr="000856CE">
        <w:tab/>
      </w:r>
      <w:r w:rsidR="000662E1" w:rsidRPr="00B356D4">
        <w:rPr>
          <w:noProof/>
          <w:lang w:val="en-IE"/>
        </w:rPr>
        <w:t xml:space="preserve">it </w:t>
      </w:r>
      <w:r w:rsidR="00AB08BE" w:rsidRPr="2FA46F90">
        <w:rPr>
          <w:noProof/>
          <w:lang w:val="en-IE"/>
        </w:rPr>
        <w:t>would be disproportionate in light of the interests of the data holder</w:t>
      </w:r>
      <w:r w:rsidR="000662E1" w:rsidRPr="00B356D4">
        <w:rPr>
          <w:noProof/>
          <w:lang w:val="en-IE"/>
        </w:rPr>
        <w:t>.</w:t>
      </w:r>
      <w:r w:rsidR="000662E1" w:rsidRPr="003D1C68" w:rsidDel="003D1C68">
        <w:rPr>
          <w:noProof/>
          <w:lang w:val="en-IE"/>
        </w:rPr>
        <w:t xml:space="preserve"> </w:t>
      </w:r>
    </w:p>
    <w:p w14:paraId="540F75BE" w14:textId="6F2F4CB7" w:rsidR="000662E1" w:rsidRPr="0077149E" w:rsidRDefault="00CC2D52" w:rsidP="0077149E">
      <w:pPr>
        <w:pStyle w:val="Titrearticleb"/>
        <w:rPr>
          <w:noProof/>
          <w:lang w:val="en-IE"/>
        </w:rPr>
      </w:pPr>
      <w:r>
        <w:rPr>
          <w:noProof/>
          <w:lang w:val="en-IE"/>
        </w:rPr>
        <w:t>Article 12</w:t>
      </w:r>
      <w:r w:rsidR="0077149E">
        <w:rPr>
          <w:noProof/>
          <w:lang w:val="en-IE"/>
        </w:rPr>
        <w:br/>
      </w:r>
      <w:r w:rsidR="000662E1" w:rsidRPr="00B356D4">
        <w:rPr>
          <w:noProof/>
          <w:lang w:val="en-IE"/>
        </w:rPr>
        <w:t xml:space="preserve">Scope </w:t>
      </w:r>
      <w:r w:rsidR="00DC210E">
        <w:rPr>
          <w:noProof/>
          <w:lang w:val="en-IE"/>
        </w:rPr>
        <w:t>of obligations for data holders legally obliged to make data available</w:t>
      </w:r>
    </w:p>
    <w:p w14:paraId="7024CAF2" w14:textId="7A98BB0E" w:rsidR="000662E1" w:rsidRPr="00E80604" w:rsidRDefault="000856CE" w:rsidP="000856CE">
      <w:pPr>
        <w:pStyle w:val="ManualNumPar1"/>
        <w:rPr>
          <w:noProof/>
          <w:lang w:val="en-IE"/>
        </w:rPr>
      </w:pPr>
      <w:r w:rsidRPr="000856CE">
        <w:t>1.</w:t>
      </w:r>
      <w:r w:rsidRPr="000856CE">
        <w:tab/>
      </w:r>
      <w:r w:rsidR="00AB08BE">
        <w:rPr>
          <w:noProof/>
          <w:lang w:val="en-IE"/>
        </w:rPr>
        <w:t>This</w:t>
      </w:r>
      <w:r w:rsidR="000662E1" w:rsidRPr="00E80604">
        <w:rPr>
          <w:noProof/>
          <w:lang w:val="en-IE"/>
        </w:rPr>
        <w:t xml:space="preserve"> </w:t>
      </w:r>
      <w:r w:rsidR="00AB08BE" w:rsidRPr="00E80604">
        <w:rPr>
          <w:noProof/>
          <w:lang w:val="en-IE"/>
        </w:rPr>
        <w:t xml:space="preserve">Chapter shall apply where a data holder is obliged under Article 5, or under Union </w:t>
      </w:r>
      <w:r w:rsidR="006A064B">
        <w:rPr>
          <w:noProof/>
          <w:lang w:val="en-IE"/>
        </w:rPr>
        <w:t xml:space="preserve">law </w:t>
      </w:r>
      <w:r w:rsidR="00AB08BE" w:rsidRPr="00E80604">
        <w:rPr>
          <w:noProof/>
          <w:lang w:val="en-IE"/>
        </w:rPr>
        <w:t xml:space="preserve">or national legislation implementing Union </w:t>
      </w:r>
      <w:r w:rsidR="00AB08BE">
        <w:rPr>
          <w:noProof/>
          <w:lang w:val="en-IE"/>
        </w:rPr>
        <w:t>law</w:t>
      </w:r>
      <w:r w:rsidR="00AB08BE" w:rsidRPr="00E80604">
        <w:rPr>
          <w:noProof/>
          <w:lang w:val="en-IE"/>
        </w:rPr>
        <w:t>, to make data available to a data recipient</w:t>
      </w:r>
      <w:r w:rsidR="000662E1" w:rsidRPr="00E80604">
        <w:rPr>
          <w:noProof/>
          <w:lang w:val="en-IE"/>
        </w:rPr>
        <w:t xml:space="preserve">. </w:t>
      </w:r>
    </w:p>
    <w:p w14:paraId="4E8A8659" w14:textId="4B579916" w:rsidR="000662E1" w:rsidRPr="006D12BC" w:rsidRDefault="000856CE" w:rsidP="000856CE">
      <w:pPr>
        <w:pStyle w:val="ManualNumPar1"/>
        <w:rPr>
          <w:i/>
          <w:noProof/>
          <w:lang w:val="en-IE"/>
        </w:rPr>
      </w:pPr>
      <w:r w:rsidRPr="000856CE">
        <w:t>2.</w:t>
      </w:r>
      <w:r w:rsidRPr="000856CE">
        <w:tab/>
      </w:r>
      <w:r w:rsidR="000662E1" w:rsidRPr="00B356D4">
        <w:rPr>
          <w:noProof/>
          <w:lang w:val="en-IE"/>
        </w:rPr>
        <w:t xml:space="preserve">Any </w:t>
      </w:r>
      <w:r w:rsidR="00AB08BE" w:rsidRPr="00472603">
        <w:rPr>
          <w:noProof/>
          <w:lang w:val="en-IE"/>
        </w:rPr>
        <w:t>contractual term</w:t>
      </w:r>
      <w:r w:rsidR="00AB08BE" w:rsidRPr="00B356D4">
        <w:rPr>
          <w:noProof/>
          <w:lang w:val="en-IE"/>
        </w:rPr>
        <w:t xml:space="preserve"> </w:t>
      </w:r>
      <w:r w:rsidR="006A064B">
        <w:rPr>
          <w:noProof/>
          <w:lang w:val="en-IE"/>
        </w:rPr>
        <w:t xml:space="preserve">in a data sharing agreement </w:t>
      </w:r>
      <w:r w:rsidR="00AB08BE" w:rsidRPr="00472603">
        <w:rPr>
          <w:noProof/>
          <w:lang w:val="en-IE"/>
        </w:rPr>
        <w:t>which, to the detriment of one party, or, where applicable, to the detriment of the user, excludes the application of this Chapter, derogates from it, or varies its effect, shall not be binding on that party</w:t>
      </w:r>
      <w:r w:rsidR="000662E1" w:rsidRPr="00B356D4">
        <w:rPr>
          <w:noProof/>
          <w:lang w:val="en-IE"/>
        </w:rPr>
        <w:t>.</w:t>
      </w:r>
      <w:r w:rsidR="000662E1">
        <w:rPr>
          <w:noProof/>
          <w:lang w:val="en-IE"/>
        </w:rPr>
        <w:t xml:space="preserve"> </w:t>
      </w:r>
    </w:p>
    <w:p w14:paraId="3EB76193" w14:textId="245AD2D9" w:rsidR="000662E1" w:rsidRPr="000662E1" w:rsidRDefault="000856CE" w:rsidP="000856CE">
      <w:pPr>
        <w:pStyle w:val="ManualNumPar1"/>
        <w:rPr>
          <w:i/>
          <w:noProof/>
          <w:lang w:val="en-IE"/>
        </w:rPr>
      </w:pPr>
      <w:r w:rsidRPr="000856CE">
        <w:t>3.</w:t>
      </w:r>
      <w:r w:rsidRPr="000856CE">
        <w:tab/>
      </w:r>
      <w:r w:rsidR="000662E1">
        <w:rPr>
          <w:noProof/>
          <w:lang w:val="en-IE"/>
        </w:rPr>
        <w:t>This</w:t>
      </w:r>
      <w:r w:rsidR="000662E1" w:rsidRPr="00B356D4">
        <w:rPr>
          <w:noProof/>
          <w:lang w:val="en-IE"/>
        </w:rPr>
        <w:t xml:space="preserve"> </w:t>
      </w:r>
      <w:r w:rsidR="00AB08BE" w:rsidRPr="00472603">
        <w:rPr>
          <w:noProof/>
          <w:lang w:val="en-IE"/>
        </w:rPr>
        <w:t xml:space="preserve">Chapter shall only apply in relation to </w:t>
      </w:r>
      <w:r w:rsidR="00AB08BE">
        <w:rPr>
          <w:noProof/>
          <w:lang w:val="en-IE"/>
        </w:rPr>
        <w:t>obligations to make data available</w:t>
      </w:r>
      <w:r w:rsidR="00AB08BE" w:rsidRPr="00472603">
        <w:rPr>
          <w:noProof/>
          <w:lang w:val="en-IE"/>
        </w:rPr>
        <w:t xml:space="preserve"> </w:t>
      </w:r>
      <w:r w:rsidR="00AB08BE">
        <w:rPr>
          <w:noProof/>
        </w:rPr>
        <w:t>under</w:t>
      </w:r>
      <w:r w:rsidR="00AB08BE" w:rsidRPr="00472603">
        <w:rPr>
          <w:noProof/>
          <w:lang w:val="en-IE"/>
        </w:rPr>
        <w:t xml:space="preserve"> Union </w:t>
      </w:r>
      <w:r w:rsidR="006A064B">
        <w:rPr>
          <w:noProof/>
          <w:lang w:val="en-IE"/>
        </w:rPr>
        <w:t xml:space="preserve">law </w:t>
      </w:r>
      <w:r w:rsidR="00AB08BE" w:rsidRPr="00472603">
        <w:rPr>
          <w:noProof/>
          <w:lang w:val="en-IE"/>
        </w:rPr>
        <w:t xml:space="preserve">or national </w:t>
      </w:r>
      <w:r w:rsidR="00AB08BE">
        <w:rPr>
          <w:noProof/>
          <w:lang w:val="en-IE"/>
        </w:rPr>
        <w:t>legislation</w:t>
      </w:r>
      <w:r w:rsidR="00AB08BE" w:rsidRPr="00472603">
        <w:rPr>
          <w:noProof/>
          <w:lang w:val="en-IE"/>
        </w:rPr>
        <w:t xml:space="preserve"> implementing Union law</w:t>
      </w:r>
      <w:r w:rsidR="00AB08BE">
        <w:rPr>
          <w:noProof/>
          <w:lang w:val="en-IE"/>
        </w:rPr>
        <w:t>,</w:t>
      </w:r>
      <w:r w:rsidR="00AB08BE" w:rsidRPr="00472603">
        <w:rPr>
          <w:noProof/>
          <w:lang w:val="en-IE"/>
        </w:rPr>
        <w:t xml:space="preserve"> which enter into force after [</w:t>
      </w:r>
      <w:r w:rsidR="00AB08BE" w:rsidRPr="2FA46F90">
        <w:rPr>
          <w:noProof/>
          <w:lang w:val="en-IE"/>
        </w:rPr>
        <w:t>date of application of the Regulation</w:t>
      </w:r>
      <w:r w:rsidR="00AB08BE" w:rsidRPr="00472603">
        <w:rPr>
          <w:noProof/>
          <w:lang w:val="en-IE"/>
        </w:rPr>
        <w:t>].</w:t>
      </w:r>
    </w:p>
    <w:p w14:paraId="3C2C47D4" w14:textId="094FFA12" w:rsidR="00DF5172" w:rsidRPr="00740C23" w:rsidRDefault="00B40685" w:rsidP="000C36C5">
      <w:pPr>
        <w:pStyle w:val="ChapterTitle"/>
        <w:rPr>
          <w:noProof/>
          <w:lang w:val="en-US"/>
        </w:rPr>
      </w:pPr>
      <w:r>
        <w:rPr>
          <w:noProof/>
          <w:lang w:val="en-US"/>
        </w:rPr>
        <w:t>CHAPTER IV</w:t>
      </w:r>
      <w:r w:rsidR="000C36C5">
        <w:rPr>
          <w:noProof/>
          <w:lang w:val="en-US"/>
        </w:rPr>
        <w:br/>
      </w:r>
      <w:r w:rsidR="00DF5172" w:rsidRPr="00740C23">
        <w:rPr>
          <w:noProof/>
          <w:lang w:val="en-US"/>
        </w:rPr>
        <w:t>UNFAIR TERMS RELATED TO DATA ACCESS AND USE BETWEEN ENTERPRISES</w:t>
      </w:r>
    </w:p>
    <w:p w14:paraId="00313D51" w14:textId="51D3F9EE" w:rsidR="00546F57" w:rsidRPr="0077149E" w:rsidRDefault="00CC2D52" w:rsidP="0077149E">
      <w:pPr>
        <w:pStyle w:val="Titrearticle0"/>
        <w:rPr>
          <w:noProof/>
        </w:rPr>
      </w:pPr>
      <w:r>
        <w:rPr>
          <w:noProof/>
        </w:rPr>
        <w:t>Article 13</w:t>
      </w:r>
      <w:r w:rsidR="0077149E">
        <w:rPr>
          <w:noProof/>
        </w:rPr>
        <w:br/>
      </w:r>
      <w:r w:rsidR="00546F57" w:rsidRPr="0077149E">
        <w:rPr>
          <w:noProof/>
          <w:lang w:val="en-IE"/>
        </w:rPr>
        <w:t xml:space="preserve">Unfair contractual terms unilaterally imposed on </w:t>
      </w:r>
      <w:r w:rsidR="00740C23" w:rsidRPr="0077149E">
        <w:rPr>
          <w:noProof/>
          <w:lang w:val="en-IE"/>
        </w:rPr>
        <w:t>a micro, small or medium-sized enterprise</w:t>
      </w:r>
    </w:p>
    <w:p w14:paraId="10DAF526" w14:textId="1F1FDC80" w:rsidR="00740C23" w:rsidRPr="00B356D4" w:rsidRDefault="000856CE" w:rsidP="000856CE">
      <w:pPr>
        <w:pStyle w:val="ManualNumPar1"/>
        <w:rPr>
          <w:noProof/>
        </w:rPr>
      </w:pPr>
      <w:r w:rsidRPr="000856CE">
        <w:t>1.</w:t>
      </w:r>
      <w:r w:rsidRPr="000856CE">
        <w:tab/>
      </w:r>
      <w:r w:rsidR="00740C23" w:rsidRPr="00B356D4">
        <w:rPr>
          <w:noProof/>
        </w:rPr>
        <w:t xml:space="preserve">A </w:t>
      </w:r>
      <w:r w:rsidR="00DA1958" w:rsidRPr="00B356D4">
        <w:rPr>
          <w:noProof/>
        </w:rPr>
        <w:t xml:space="preserve">contractual term, </w:t>
      </w:r>
      <w:r w:rsidR="00DA1958" w:rsidRPr="00E80604">
        <w:rPr>
          <w:noProof/>
          <w:lang w:val="en-IE"/>
        </w:rPr>
        <w:t xml:space="preserve">concerning the access to and use of data or the liability and remedies for the breach or the termination of data related obligations </w:t>
      </w:r>
      <w:r w:rsidR="00DA1958" w:rsidRPr="00B356D4">
        <w:rPr>
          <w:noProof/>
        </w:rPr>
        <w:t xml:space="preserve">which has been unilaterally imposed </w:t>
      </w:r>
      <w:r w:rsidR="00DA1958" w:rsidRPr="4749DABA">
        <w:rPr>
          <w:noProof/>
        </w:rPr>
        <w:t xml:space="preserve">by an enterprise </w:t>
      </w:r>
      <w:r w:rsidR="00DA1958" w:rsidRPr="00B356D4">
        <w:rPr>
          <w:noProof/>
        </w:rPr>
        <w:t xml:space="preserve">on a micro, small or medium-sized enterprise </w:t>
      </w:r>
      <w:r w:rsidR="00DA1958" w:rsidRPr="005D3A6D">
        <w:rPr>
          <w:noProof/>
        </w:rPr>
        <w:t xml:space="preserve">as defined in Article 2 of the Annex </w:t>
      </w:r>
      <w:r w:rsidR="00DA1958">
        <w:rPr>
          <w:noProof/>
        </w:rPr>
        <w:t xml:space="preserve">to </w:t>
      </w:r>
      <w:r w:rsidR="00DA1958" w:rsidRPr="00B356D4">
        <w:rPr>
          <w:noProof/>
        </w:rPr>
        <w:t>Recommendation 2003/361/EC shall not be binding on th</w:t>
      </w:r>
      <w:r w:rsidR="00DA1958">
        <w:rPr>
          <w:noProof/>
        </w:rPr>
        <w:t>e latter</w:t>
      </w:r>
      <w:r w:rsidR="00DA1958" w:rsidRPr="00B356D4">
        <w:rPr>
          <w:noProof/>
        </w:rPr>
        <w:t xml:space="preserve"> enterprise if it is unfair</w:t>
      </w:r>
      <w:r w:rsidR="00740C23" w:rsidRPr="00B356D4">
        <w:rPr>
          <w:noProof/>
        </w:rPr>
        <w:t>.</w:t>
      </w:r>
    </w:p>
    <w:p w14:paraId="3AFB71E5" w14:textId="03A65537" w:rsidR="00740C23" w:rsidRPr="00B356D4" w:rsidRDefault="000856CE" w:rsidP="000856CE">
      <w:pPr>
        <w:pStyle w:val="ManualNumPar1"/>
        <w:rPr>
          <w:noProof/>
        </w:rPr>
      </w:pPr>
      <w:r w:rsidRPr="000856CE">
        <w:t>2.</w:t>
      </w:r>
      <w:r w:rsidRPr="000856CE">
        <w:tab/>
      </w:r>
      <w:r w:rsidR="00740C23" w:rsidRPr="00B356D4">
        <w:rPr>
          <w:noProof/>
          <w:lang w:val="en-IE"/>
        </w:rPr>
        <w:t xml:space="preserve">A </w:t>
      </w:r>
      <w:r w:rsidR="00DA1958" w:rsidRPr="00D23685">
        <w:rPr>
          <w:noProof/>
          <w:lang w:val="en-IE"/>
        </w:rPr>
        <w:t xml:space="preserve">contractual term is unfair if it </w:t>
      </w:r>
      <w:r w:rsidR="00DA1958" w:rsidRPr="00B356D4">
        <w:rPr>
          <w:noProof/>
        </w:rPr>
        <w:t>is of such a nature that its use grossly deviates from good commercial practice in data access and use, contrary to good faith and fair dealing</w:t>
      </w:r>
      <w:r w:rsidR="00740C23" w:rsidRPr="00B356D4">
        <w:rPr>
          <w:rFonts w:eastAsia="Arial Unicode MS"/>
          <w:noProof/>
          <w:color w:val="444444"/>
        </w:rPr>
        <w:t>.</w:t>
      </w:r>
      <w:r w:rsidR="00740C23" w:rsidRPr="00B356D4">
        <w:rPr>
          <w:noProof/>
          <w:lang w:val="en-IE"/>
        </w:rPr>
        <w:t xml:space="preserve"> </w:t>
      </w:r>
    </w:p>
    <w:p w14:paraId="5B4D35C8" w14:textId="36B2C7C3" w:rsidR="00740C23" w:rsidRPr="00B356D4" w:rsidRDefault="000856CE" w:rsidP="000856CE">
      <w:pPr>
        <w:pStyle w:val="ManualNumPar1"/>
        <w:rPr>
          <w:noProof/>
        </w:rPr>
      </w:pPr>
      <w:r w:rsidRPr="000856CE">
        <w:t>3.</w:t>
      </w:r>
      <w:r w:rsidRPr="000856CE">
        <w:tab/>
      </w:r>
      <w:r w:rsidR="00740C23" w:rsidRPr="00B356D4">
        <w:rPr>
          <w:noProof/>
        </w:rPr>
        <w:t xml:space="preserve">A </w:t>
      </w:r>
      <w:r w:rsidR="00DA1958" w:rsidRPr="00B356D4">
        <w:rPr>
          <w:noProof/>
        </w:rPr>
        <w:t>contractual term is unfair for the purposes of this Article if its object or effect is to</w:t>
      </w:r>
      <w:r w:rsidR="00DA1958">
        <w:rPr>
          <w:noProof/>
        </w:rPr>
        <w:t>:</w:t>
      </w:r>
    </w:p>
    <w:p w14:paraId="3C152075" w14:textId="47F5AB20" w:rsidR="00740C23" w:rsidRDefault="000856CE" w:rsidP="000856CE">
      <w:pPr>
        <w:pStyle w:val="Point1"/>
        <w:rPr>
          <w:noProof/>
          <w:lang w:val="en-IE"/>
        </w:rPr>
      </w:pPr>
      <w:r w:rsidRPr="000856CE">
        <w:t>(a)</w:t>
      </w:r>
      <w:r w:rsidRPr="000856CE">
        <w:tab/>
      </w:r>
      <w:r w:rsidR="00740C23" w:rsidRPr="00E80604">
        <w:rPr>
          <w:noProof/>
          <w:lang w:val="en-IE"/>
        </w:rPr>
        <w:t xml:space="preserve">exclude </w:t>
      </w:r>
      <w:r w:rsidR="00DA1958" w:rsidRPr="2FA46F90">
        <w:rPr>
          <w:noProof/>
          <w:lang w:val="en-IE"/>
        </w:rPr>
        <w:t>or limit the liability of the party that unilaterally imposed the term for intentional acts or gross negligence</w:t>
      </w:r>
      <w:r w:rsidR="00740C23" w:rsidRPr="00E80604">
        <w:rPr>
          <w:noProof/>
          <w:lang w:val="en-IE"/>
        </w:rPr>
        <w:t>;</w:t>
      </w:r>
    </w:p>
    <w:p w14:paraId="67165F6A" w14:textId="6C6A601A" w:rsidR="00DA1958" w:rsidRPr="00DA1958" w:rsidRDefault="000856CE" w:rsidP="000856CE">
      <w:pPr>
        <w:pStyle w:val="Point1"/>
        <w:rPr>
          <w:noProof/>
          <w:lang w:val="en-IE"/>
        </w:rPr>
      </w:pPr>
      <w:r w:rsidRPr="000856CE">
        <w:t>(b)</w:t>
      </w:r>
      <w:r w:rsidRPr="000856CE">
        <w:tab/>
      </w:r>
      <w:r w:rsidR="00DA1958" w:rsidRPr="00DA1958">
        <w:rPr>
          <w:noProof/>
          <w:lang w:val="en-IE"/>
        </w:rPr>
        <w:t xml:space="preserve">exclude the remedies available to the party upon whom the term has been unilaterally imposed in case of non-performance of contractual obligations or the liability of the party that unilaterally imposed the term in case of breach of those obligations; </w:t>
      </w:r>
    </w:p>
    <w:p w14:paraId="31335ACC" w14:textId="020A9E5F" w:rsidR="00DA1958" w:rsidRPr="00DA1958" w:rsidRDefault="000856CE" w:rsidP="000856CE">
      <w:pPr>
        <w:pStyle w:val="Point1"/>
        <w:rPr>
          <w:noProof/>
          <w:lang w:val="en-IE"/>
        </w:rPr>
      </w:pPr>
      <w:r w:rsidRPr="000856CE">
        <w:t>(c)</w:t>
      </w:r>
      <w:r w:rsidRPr="000856CE">
        <w:tab/>
      </w:r>
      <w:r w:rsidR="00DA1958" w:rsidRPr="00DA1958">
        <w:rPr>
          <w:noProof/>
          <w:lang w:val="en-IE"/>
        </w:rPr>
        <w:t>give the party that unilaterally imposed the term the exclusive right to determine whether the data supplied are in conformity with the contract or to interpret any term of the contract.</w:t>
      </w:r>
    </w:p>
    <w:p w14:paraId="3A110829" w14:textId="272643FA" w:rsidR="00740C23" w:rsidRPr="00B356D4" w:rsidRDefault="000856CE" w:rsidP="000856CE">
      <w:pPr>
        <w:pStyle w:val="ManualNumPar1"/>
        <w:rPr>
          <w:noProof/>
          <w:lang w:val="en-IE"/>
        </w:rPr>
      </w:pPr>
      <w:r w:rsidRPr="000856CE">
        <w:t>4.</w:t>
      </w:r>
      <w:r w:rsidRPr="000856CE">
        <w:tab/>
      </w:r>
      <w:r w:rsidR="00740C23" w:rsidRPr="00B356D4">
        <w:rPr>
          <w:noProof/>
        </w:rPr>
        <w:t xml:space="preserve">A </w:t>
      </w:r>
      <w:r w:rsidR="00DA1958" w:rsidRPr="00B356D4">
        <w:rPr>
          <w:noProof/>
        </w:rPr>
        <w:t>contractual term is presumed unfair for the purposes of this Article if its object or effect is to</w:t>
      </w:r>
      <w:r w:rsidR="00DA1958">
        <w:rPr>
          <w:noProof/>
        </w:rPr>
        <w:t>:</w:t>
      </w:r>
    </w:p>
    <w:p w14:paraId="3A72DD38" w14:textId="1740AC7F" w:rsidR="00740C23" w:rsidRDefault="000856CE" w:rsidP="000856CE">
      <w:pPr>
        <w:pStyle w:val="Point1"/>
        <w:rPr>
          <w:noProof/>
          <w:lang w:val="en-IE"/>
        </w:rPr>
      </w:pPr>
      <w:r w:rsidRPr="000856CE">
        <w:t>(a)</w:t>
      </w:r>
      <w:r w:rsidRPr="000856CE">
        <w:tab/>
      </w:r>
      <w:r w:rsidR="00740C23" w:rsidRPr="003727E5">
        <w:rPr>
          <w:noProof/>
          <w:lang w:val="en-IE"/>
        </w:rPr>
        <w:t xml:space="preserve">inappropriately </w:t>
      </w:r>
      <w:r w:rsidR="00DA1958" w:rsidRPr="2FA46F90">
        <w:rPr>
          <w:noProof/>
          <w:lang w:val="en-IE"/>
        </w:rPr>
        <w:t>limit the remedies in case of non-performance of contractual obligations or the liability in case of breach of those obligations</w:t>
      </w:r>
      <w:r w:rsidR="00740C23" w:rsidRPr="003727E5">
        <w:rPr>
          <w:noProof/>
          <w:lang w:val="en-IE"/>
        </w:rPr>
        <w:t>;</w:t>
      </w:r>
    </w:p>
    <w:p w14:paraId="2CB6141D" w14:textId="071DA49C" w:rsidR="00DA1958" w:rsidRPr="00DA1958" w:rsidRDefault="000856CE" w:rsidP="000856CE">
      <w:pPr>
        <w:pStyle w:val="Point1"/>
        <w:rPr>
          <w:noProof/>
          <w:lang w:val="en-IE"/>
        </w:rPr>
      </w:pPr>
      <w:r w:rsidRPr="000856CE">
        <w:t>(b)</w:t>
      </w:r>
      <w:r w:rsidRPr="000856CE">
        <w:tab/>
      </w:r>
      <w:r w:rsidR="00DA1958" w:rsidRPr="00DA1958">
        <w:rPr>
          <w:noProof/>
          <w:lang w:val="en-IE"/>
        </w:rPr>
        <w:t>allow the party that unilaterally imposed the term to access and use data of the other contracting party in a manner that is significantly detrimental to the legitimate interests of the other contracting party;</w:t>
      </w:r>
    </w:p>
    <w:p w14:paraId="602E58C7" w14:textId="7A937C8A" w:rsidR="00DA1958" w:rsidRPr="00DA1958" w:rsidRDefault="000856CE" w:rsidP="000856CE">
      <w:pPr>
        <w:pStyle w:val="Point1"/>
        <w:rPr>
          <w:noProof/>
          <w:lang w:val="en-IE"/>
        </w:rPr>
      </w:pPr>
      <w:r w:rsidRPr="000856CE">
        <w:t>(c)</w:t>
      </w:r>
      <w:r w:rsidRPr="000856CE">
        <w:tab/>
      </w:r>
      <w:r w:rsidR="00DA1958">
        <w:rPr>
          <w:noProof/>
        </w:rPr>
        <w:t>prevent the party upon whom the term has been unilaterally imposed from using the data contributed or generated by that party during the period of the contract, or to limit the use of such data to the extent that that party is not entitled to use, capture, access or control such data or exploit the value of such data in a proportionate manner;</w:t>
      </w:r>
      <w:r w:rsidR="00DA1958" w:rsidRPr="00DA1958">
        <w:rPr>
          <w:noProof/>
          <w:lang w:val="en-IE"/>
        </w:rPr>
        <w:t xml:space="preserve"> </w:t>
      </w:r>
    </w:p>
    <w:p w14:paraId="6D10A5A1" w14:textId="25DBC14D" w:rsidR="00DA1958" w:rsidRPr="00DA1958" w:rsidRDefault="000856CE" w:rsidP="000856CE">
      <w:pPr>
        <w:pStyle w:val="Point1"/>
        <w:rPr>
          <w:noProof/>
          <w:lang w:val="en-IE"/>
        </w:rPr>
      </w:pPr>
      <w:r w:rsidRPr="000856CE">
        <w:t>(d)</w:t>
      </w:r>
      <w:r w:rsidRPr="000856CE">
        <w:tab/>
      </w:r>
      <w:r w:rsidR="00DA1958" w:rsidRPr="00DA1958">
        <w:rPr>
          <w:noProof/>
          <w:lang w:val="en-IE"/>
        </w:rPr>
        <w:t xml:space="preserve">prevent the party upon whom the term has been unilaterally imposed from obtaining a copy of the data contributed or generated by that party during the period of the contract or within a reasonable period after the termination thereof; </w:t>
      </w:r>
    </w:p>
    <w:p w14:paraId="249D176E" w14:textId="4B0F5279" w:rsidR="00DA1958" w:rsidRPr="00DA1958" w:rsidRDefault="000856CE" w:rsidP="000856CE">
      <w:pPr>
        <w:pStyle w:val="Point1"/>
        <w:rPr>
          <w:noProof/>
          <w:lang w:val="en-IE"/>
        </w:rPr>
      </w:pPr>
      <w:r w:rsidRPr="000856CE">
        <w:t>(e)</w:t>
      </w:r>
      <w:r w:rsidRPr="000856CE">
        <w:tab/>
      </w:r>
      <w:r w:rsidR="00DA1958">
        <w:rPr>
          <w:noProof/>
        </w:rPr>
        <w:t>enable the party that unilaterally imposed the term to terminate the contract with an unreasonably short notice, taking into consideration the reasonable possibilities of the other contracting party to switch to an alternative and comparable service and the financial detriment caused by such termination, except where there are serious grounds for doing so.</w:t>
      </w:r>
    </w:p>
    <w:p w14:paraId="003A6FF0" w14:textId="5BEA6AC8" w:rsidR="00740C23" w:rsidRDefault="000856CE" w:rsidP="000856CE">
      <w:pPr>
        <w:pStyle w:val="ManualNumPar1"/>
        <w:rPr>
          <w:noProof/>
        </w:rPr>
      </w:pPr>
      <w:r w:rsidRPr="000856CE">
        <w:t>5.</w:t>
      </w:r>
      <w:r w:rsidRPr="000856CE">
        <w:tab/>
      </w:r>
      <w:r w:rsidR="00740C23" w:rsidRPr="00B356D4">
        <w:rPr>
          <w:noProof/>
        </w:rPr>
        <w:t xml:space="preserve">A contractual term </w:t>
      </w:r>
      <w:r w:rsidR="00C64252">
        <w:rPr>
          <w:noProof/>
        </w:rPr>
        <w:t>shall</w:t>
      </w:r>
      <w:r w:rsidR="00C64252" w:rsidRPr="00B356D4">
        <w:rPr>
          <w:noProof/>
        </w:rPr>
        <w:t xml:space="preserve"> be considered to be unilaterally imposed within the meaning of this Article if it has been supplied by one contracting party and the other contracting party has not been able to influence its content despite an attempt to negotiate it. The contracting party </w:t>
      </w:r>
      <w:r w:rsidR="00C64252">
        <w:rPr>
          <w:noProof/>
        </w:rPr>
        <w:t>that</w:t>
      </w:r>
      <w:r w:rsidR="00C64252" w:rsidRPr="00B356D4">
        <w:rPr>
          <w:noProof/>
        </w:rPr>
        <w:t xml:space="preserve"> supplied a contractual term bears the burden of proving that that term has not been unilaterally imposed</w:t>
      </w:r>
      <w:r w:rsidR="00740C23" w:rsidRPr="00B356D4">
        <w:rPr>
          <w:noProof/>
        </w:rPr>
        <w:t>.</w:t>
      </w:r>
    </w:p>
    <w:p w14:paraId="7C046B75" w14:textId="246BF032" w:rsidR="00C64252" w:rsidRDefault="000856CE" w:rsidP="000856CE">
      <w:pPr>
        <w:pStyle w:val="ManualNumPar1"/>
        <w:rPr>
          <w:noProof/>
        </w:rPr>
      </w:pPr>
      <w:r w:rsidRPr="000856CE">
        <w:t>6.</w:t>
      </w:r>
      <w:r w:rsidRPr="000856CE">
        <w:tab/>
      </w:r>
      <w:r w:rsidR="00C64252" w:rsidRPr="00B356D4">
        <w:rPr>
          <w:noProof/>
        </w:rPr>
        <w:t xml:space="preserve">Where the unfair contractual term is severable from the remaining terms of the contract, those remaining terms shall remain binding. </w:t>
      </w:r>
    </w:p>
    <w:p w14:paraId="509B5400" w14:textId="1C3E7DC7" w:rsidR="00C64252" w:rsidRDefault="000856CE" w:rsidP="000856CE">
      <w:pPr>
        <w:pStyle w:val="ManualNumPar1"/>
        <w:rPr>
          <w:noProof/>
        </w:rPr>
      </w:pPr>
      <w:r w:rsidRPr="000856CE">
        <w:t>7.</w:t>
      </w:r>
      <w:r w:rsidRPr="000856CE">
        <w:tab/>
      </w:r>
      <w:r w:rsidR="00C64252" w:rsidRPr="00D23685">
        <w:rPr>
          <w:noProof/>
          <w:lang w:val="en-IE"/>
        </w:rPr>
        <w:t>This Article does not apply to contractual terms defining the main subject matter of the contract or to contractual terms determining the price to be paid.</w:t>
      </w:r>
    </w:p>
    <w:p w14:paraId="7359DE0F" w14:textId="260EAE39" w:rsidR="00C64252" w:rsidRPr="00C64252" w:rsidRDefault="000856CE" w:rsidP="000856CE">
      <w:pPr>
        <w:pStyle w:val="ManualNumPar1"/>
        <w:rPr>
          <w:noProof/>
        </w:rPr>
      </w:pPr>
      <w:r w:rsidRPr="000856CE">
        <w:t>8.</w:t>
      </w:r>
      <w:r w:rsidRPr="000856CE">
        <w:tab/>
      </w:r>
      <w:r w:rsidR="00C64252" w:rsidRPr="00D23685">
        <w:rPr>
          <w:noProof/>
          <w:lang w:val="en-IE"/>
        </w:rPr>
        <w:t>T</w:t>
      </w:r>
      <w:r w:rsidR="00C64252" w:rsidRPr="00B356D4">
        <w:rPr>
          <w:noProof/>
        </w:rPr>
        <w:t>he parties to a contract covered by paragraph 1 may not exclude the application of this Article, derogate from it, or vary its effects.</w:t>
      </w:r>
    </w:p>
    <w:p w14:paraId="20DC9877" w14:textId="310F002A" w:rsidR="00DF5172" w:rsidRPr="00DF5172" w:rsidRDefault="00DF5172" w:rsidP="000C36C5">
      <w:pPr>
        <w:pStyle w:val="ChapterTitle"/>
        <w:rPr>
          <w:noProof/>
          <w:lang w:val="en-IE"/>
        </w:rPr>
      </w:pPr>
      <w:r w:rsidRPr="00B356D4">
        <w:rPr>
          <w:noProof/>
          <w:lang w:val="en-IE"/>
        </w:rPr>
        <w:t>CHAPTER V</w:t>
      </w:r>
      <w:r w:rsidR="000C36C5">
        <w:rPr>
          <w:noProof/>
          <w:lang w:val="en-IE"/>
        </w:rPr>
        <w:br/>
      </w:r>
      <w:r w:rsidRPr="00B356D4">
        <w:rPr>
          <w:noProof/>
          <w:lang w:val="en-IE"/>
        </w:rPr>
        <w:t xml:space="preserve">MAKING DATA AVAILABLE TO PUBLIC SECTOR BODIES </w:t>
      </w:r>
      <w:r w:rsidR="007A0C36">
        <w:rPr>
          <w:noProof/>
          <w:lang w:val="en-IE"/>
        </w:rPr>
        <w:t>AND UNION INSTITUTIONS, AGENCIES OR BODIES</w:t>
      </w:r>
      <w:r w:rsidR="007A0C36" w:rsidRPr="00B356D4">
        <w:rPr>
          <w:noProof/>
          <w:lang w:val="en-IE"/>
        </w:rPr>
        <w:t xml:space="preserve"> </w:t>
      </w:r>
      <w:r w:rsidR="007A0C36">
        <w:rPr>
          <w:noProof/>
          <w:lang w:val="en-IE"/>
        </w:rPr>
        <w:t>BASED ON</w:t>
      </w:r>
      <w:r w:rsidR="007A0C36" w:rsidRPr="00B356D4" w:rsidDel="004179CA">
        <w:rPr>
          <w:noProof/>
          <w:lang w:val="en-IE"/>
        </w:rPr>
        <w:t xml:space="preserve"> </w:t>
      </w:r>
      <w:r w:rsidR="007A0C36" w:rsidRPr="00B356D4">
        <w:rPr>
          <w:noProof/>
          <w:lang w:val="en-IE"/>
        </w:rPr>
        <w:t xml:space="preserve">EXCEPTIONAL </w:t>
      </w:r>
      <w:r w:rsidR="007A0C36" w:rsidRPr="009954BA">
        <w:rPr>
          <w:noProof/>
          <w:lang w:val="en-IE"/>
        </w:rPr>
        <w:t>NEE</w:t>
      </w:r>
      <w:r w:rsidR="007A0C36" w:rsidRPr="009954BA">
        <w:rPr>
          <w:rFonts w:eastAsia="Times New Roman"/>
          <w:bCs/>
          <w:noProof/>
          <w:lang w:val="en-IE"/>
        </w:rPr>
        <w:t>D</w:t>
      </w:r>
    </w:p>
    <w:p w14:paraId="1269FF6F" w14:textId="796D5C47" w:rsidR="00546F57" w:rsidRPr="0077149E" w:rsidRDefault="00CC2D52" w:rsidP="0077149E">
      <w:pPr>
        <w:pStyle w:val="Titrearticleb"/>
        <w:rPr>
          <w:noProof/>
        </w:rPr>
      </w:pPr>
      <w:r>
        <w:rPr>
          <w:noProof/>
          <w:lang w:val="en-US"/>
        </w:rPr>
        <w:t>Article 14</w:t>
      </w:r>
      <w:r w:rsidR="0077149E">
        <w:rPr>
          <w:noProof/>
        </w:rPr>
        <w:br/>
      </w:r>
      <w:r w:rsidR="00546F57" w:rsidRPr="00B356D4">
        <w:rPr>
          <w:noProof/>
        </w:rPr>
        <w:t xml:space="preserve">Obligation to </w:t>
      </w:r>
      <w:r w:rsidR="00C64252">
        <w:rPr>
          <w:noProof/>
        </w:rPr>
        <w:t>make data available</w:t>
      </w:r>
      <w:r w:rsidR="00C64252" w:rsidRPr="00B356D4">
        <w:rPr>
          <w:noProof/>
        </w:rPr>
        <w:t xml:space="preserve"> </w:t>
      </w:r>
      <w:r w:rsidR="00C64252">
        <w:rPr>
          <w:noProof/>
        </w:rPr>
        <w:t>based on exceptional need</w:t>
      </w:r>
    </w:p>
    <w:p w14:paraId="4426C2B1" w14:textId="472D0B13" w:rsidR="007A0C36" w:rsidRPr="00B356D4" w:rsidRDefault="000856CE" w:rsidP="000856CE">
      <w:pPr>
        <w:pStyle w:val="ManualNumPar1"/>
        <w:rPr>
          <w:noProof/>
        </w:rPr>
      </w:pPr>
      <w:r w:rsidRPr="000856CE">
        <w:t>1.</w:t>
      </w:r>
      <w:r w:rsidRPr="000856CE">
        <w:tab/>
      </w:r>
      <w:r w:rsidR="007A0C36" w:rsidRPr="00E80604">
        <w:rPr>
          <w:noProof/>
          <w:lang w:val="en-IE"/>
        </w:rPr>
        <w:t xml:space="preserve">Upon </w:t>
      </w:r>
      <w:r w:rsidR="00C64252" w:rsidRPr="00E80604">
        <w:rPr>
          <w:noProof/>
          <w:lang w:val="en-IE"/>
        </w:rPr>
        <w:t>request, a data holder shall make data available to a public sector body or to a Union institution, agency or body demonstrating an exceptional need to use the data requested</w:t>
      </w:r>
      <w:r w:rsidR="007A0C36" w:rsidRPr="00E80604">
        <w:rPr>
          <w:noProof/>
          <w:lang w:val="en-IE"/>
        </w:rPr>
        <w:t>.</w:t>
      </w:r>
    </w:p>
    <w:p w14:paraId="4AF2B3D8" w14:textId="4334444D" w:rsidR="00546F57" w:rsidRPr="00546F57" w:rsidRDefault="000856CE" w:rsidP="000856CE">
      <w:pPr>
        <w:pStyle w:val="ManualNumPar1"/>
        <w:rPr>
          <w:noProof/>
        </w:rPr>
      </w:pPr>
      <w:r w:rsidRPr="000856CE">
        <w:t>2.</w:t>
      </w:r>
      <w:r w:rsidRPr="000856CE">
        <w:tab/>
      </w:r>
      <w:r w:rsidR="007A0C36" w:rsidRPr="00B356D4">
        <w:rPr>
          <w:noProof/>
        </w:rPr>
        <w:t xml:space="preserve">This </w:t>
      </w:r>
      <w:r w:rsidR="00C64252">
        <w:rPr>
          <w:noProof/>
        </w:rPr>
        <w:t>Chapter shall not apply to small and micro enterprises as defined in Article 2 of the Annex to Recommendation 2003/361/EC</w:t>
      </w:r>
      <w:r w:rsidR="00546F57" w:rsidRPr="00B356D4">
        <w:rPr>
          <w:noProof/>
        </w:rPr>
        <w:t>.</w:t>
      </w:r>
    </w:p>
    <w:p w14:paraId="47996832" w14:textId="309EC784" w:rsidR="00546F57" w:rsidRPr="0077149E" w:rsidRDefault="00CC2D52" w:rsidP="0077149E">
      <w:pPr>
        <w:pStyle w:val="Titrearticleb"/>
        <w:rPr>
          <w:noProof/>
        </w:rPr>
      </w:pPr>
      <w:r>
        <w:rPr>
          <w:noProof/>
          <w:lang w:val="en-US"/>
        </w:rPr>
        <w:t>Article 15</w:t>
      </w:r>
      <w:r w:rsidR="0077149E">
        <w:rPr>
          <w:noProof/>
        </w:rPr>
        <w:br/>
      </w:r>
      <w:r w:rsidR="007A0C36">
        <w:rPr>
          <w:noProof/>
          <w:lang w:val="en-IE"/>
        </w:rPr>
        <w:t>E</w:t>
      </w:r>
      <w:r w:rsidR="00546F57" w:rsidRPr="00B356D4">
        <w:rPr>
          <w:noProof/>
          <w:lang w:val="en-IE"/>
        </w:rPr>
        <w:t xml:space="preserve">xceptional need </w:t>
      </w:r>
      <w:r w:rsidR="00993723">
        <w:rPr>
          <w:noProof/>
          <w:lang w:val="en-IE"/>
        </w:rPr>
        <w:t>to use</w:t>
      </w:r>
      <w:r w:rsidR="00546F57" w:rsidRPr="00B356D4">
        <w:rPr>
          <w:noProof/>
          <w:lang w:val="en-IE"/>
        </w:rPr>
        <w:t xml:space="preserve"> data </w:t>
      </w:r>
    </w:p>
    <w:p w14:paraId="53150AA9" w14:textId="3D0EFC41" w:rsidR="00993723" w:rsidRPr="00B356D4" w:rsidRDefault="00993723" w:rsidP="00993723">
      <w:pPr>
        <w:widowControl w:val="0"/>
        <w:spacing w:before="0" w:after="200"/>
        <w:rPr>
          <w:noProof/>
        </w:rPr>
      </w:pPr>
      <w:r w:rsidRPr="00B356D4">
        <w:rPr>
          <w:noProof/>
        </w:rPr>
        <w:t xml:space="preserve">An exceptional need </w:t>
      </w:r>
      <w:r>
        <w:rPr>
          <w:noProof/>
        </w:rPr>
        <w:t xml:space="preserve">to use data within the meaning of this Chapter </w:t>
      </w:r>
      <w:r w:rsidRPr="00B356D4">
        <w:rPr>
          <w:noProof/>
        </w:rPr>
        <w:t xml:space="preserve">shall be deemed to exist </w:t>
      </w:r>
      <w:r w:rsidR="00D76A32">
        <w:rPr>
          <w:noProof/>
        </w:rPr>
        <w:t>in any of the following circumstances</w:t>
      </w:r>
      <w:r w:rsidRPr="00B356D4">
        <w:rPr>
          <w:noProof/>
        </w:rPr>
        <w:t>:</w:t>
      </w:r>
    </w:p>
    <w:p w14:paraId="6946D5D3" w14:textId="675857FC" w:rsidR="00993723" w:rsidRPr="00B356D4" w:rsidRDefault="000856CE" w:rsidP="000856CE">
      <w:pPr>
        <w:pStyle w:val="Point1"/>
        <w:rPr>
          <w:noProof/>
        </w:rPr>
      </w:pPr>
      <w:r w:rsidRPr="000856CE">
        <w:t>(a)</w:t>
      </w:r>
      <w:r w:rsidRPr="000856CE">
        <w:tab/>
      </w:r>
      <w:r w:rsidR="00D76A32">
        <w:rPr>
          <w:noProof/>
        </w:rPr>
        <w:t xml:space="preserve">where </w:t>
      </w:r>
      <w:r w:rsidR="00993723">
        <w:rPr>
          <w:noProof/>
        </w:rPr>
        <w:t xml:space="preserve">the </w:t>
      </w:r>
      <w:r w:rsidR="00C64252">
        <w:rPr>
          <w:noProof/>
        </w:rPr>
        <w:t xml:space="preserve">data requested is necessary </w:t>
      </w:r>
      <w:r w:rsidR="00D76A32">
        <w:rPr>
          <w:noProof/>
        </w:rPr>
        <w:t xml:space="preserve">to </w:t>
      </w:r>
      <w:r w:rsidR="00C64252">
        <w:rPr>
          <w:noProof/>
        </w:rPr>
        <w:t>respond to a public emergency</w:t>
      </w:r>
      <w:r w:rsidR="00D76A32">
        <w:rPr>
          <w:noProof/>
        </w:rPr>
        <w:t>;</w:t>
      </w:r>
      <w:r w:rsidR="00993723" w:rsidRPr="00B356D4">
        <w:rPr>
          <w:noProof/>
        </w:rPr>
        <w:t xml:space="preserve"> </w:t>
      </w:r>
    </w:p>
    <w:p w14:paraId="477EA5F4" w14:textId="5D92E497" w:rsidR="008D7853" w:rsidRDefault="000856CE" w:rsidP="000856CE">
      <w:pPr>
        <w:pStyle w:val="Point1"/>
        <w:rPr>
          <w:noProof/>
        </w:rPr>
      </w:pPr>
      <w:r w:rsidRPr="000856CE">
        <w:t>(b)</w:t>
      </w:r>
      <w:r w:rsidRPr="000856CE">
        <w:tab/>
      </w:r>
      <w:r w:rsidR="00D76A32">
        <w:rPr>
          <w:noProof/>
        </w:rPr>
        <w:t xml:space="preserve">where </w:t>
      </w:r>
      <w:r w:rsidR="00C64252">
        <w:rPr>
          <w:noProof/>
        </w:rPr>
        <w:t>the</w:t>
      </w:r>
      <w:r w:rsidR="00993723" w:rsidRPr="00B8694B">
        <w:rPr>
          <w:noProof/>
        </w:rPr>
        <w:t xml:space="preserve"> </w:t>
      </w:r>
      <w:r w:rsidR="00C64252">
        <w:rPr>
          <w:noProof/>
        </w:rPr>
        <w:t xml:space="preserve">data request is limited in time and </w:t>
      </w:r>
      <w:r w:rsidR="00D86682">
        <w:rPr>
          <w:noProof/>
        </w:rPr>
        <w:t>scope</w:t>
      </w:r>
      <w:r w:rsidR="00D76A32">
        <w:rPr>
          <w:noProof/>
        </w:rPr>
        <w:t xml:space="preserve"> and necessary to prevent a public emergency or to assist the </w:t>
      </w:r>
      <w:r w:rsidR="00397CDE">
        <w:rPr>
          <w:noProof/>
        </w:rPr>
        <w:t>recovery from</w:t>
      </w:r>
      <w:r w:rsidR="00D76A32">
        <w:rPr>
          <w:noProof/>
        </w:rPr>
        <w:t xml:space="preserve"> a</w:t>
      </w:r>
      <w:r w:rsidR="00397CDE">
        <w:rPr>
          <w:noProof/>
        </w:rPr>
        <w:t xml:space="preserve"> </w:t>
      </w:r>
      <w:r w:rsidR="00C64252">
        <w:rPr>
          <w:noProof/>
        </w:rPr>
        <w:t>public emergenc</w:t>
      </w:r>
      <w:r w:rsidR="00D76A32">
        <w:rPr>
          <w:noProof/>
        </w:rPr>
        <w:t>y</w:t>
      </w:r>
      <w:r w:rsidR="008D7853">
        <w:rPr>
          <w:noProof/>
        </w:rPr>
        <w:t xml:space="preserve">; </w:t>
      </w:r>
    </w:p>
    <w:p w14:paraId="44AD7BD3" w14:textId="157C5343" w:rsidR="00B81C7F" w:rsidRPr="00B356D4" w:rsidRDefault="000856CE" w:rsidP="000856CE">
      <w:pPr>
        <w:pStyle w:val="Point1"/>
        <w:rPr>
          <w:noProof/>
        </w:rPr>
      </w:pPr>
      <w:r w:rsidRPr="000856CE">
        <w:t>(c)</w:t>
      </w:r>
      <w:r w:rsidRPr="000856CE">
        <w:tab/>
      </w:r>
      <w:r w:rsidR="008D7853">
        <w:rPr>
          <w:noProof/>
        </w:rPr>
        <w:t xml:space="preserve">where the lack of available data prevents the public sector body or Union institution, agency or body from fulfilling a specific task in the public interest that has been explicitly provided by law; </w:t>
      </w:r>
      <w:r w:rsidR="00993723" w:rsidRPr="00B8694B">
        <w:rPr>
          <w:noProof/>
        </w:rPr>
        <w:t>and</w:t>
      </w:r>
    </w:p>
    <w:p w14:paraId="10EB72CA" w14:textId="5FE9555A" w:rsidR="00B81C7F" w:rsidRDefault="000856CE" w:rsidP="000856CE">
      <w:pPr>
        <w:pStyle w:val="Point2"/>
        <w:rPr>
          <w:noProof/>
        </w:rPr>
      </w:pPr>
      <w:r w:rsidRPr="000856CE">
        <w:t>(1)</w:t>
      </w:r>
      <w:r w:rsidRPr="000856CE">
        <w:tab/>
      </w:r>
      <w:r w:rsidR="00993723" w:rsidRPr="00B8694B">
        <w:rPr>
          <w:noProof/>
        </w:rPr>
        <w:t xml:space="preserve">the </w:t>
      </w:r>
      <w:r w:rsidR="00C64252">
        <w:rPr>
          <w:noProof/>
        </w:rPr>
        <w:t xml:space="preserve">public sector body or Union institution, agency or body </w:t>
      </w:r>
      <w:r w:rsidR="00D76A32">
        <w:rPr>
          <w:noProof/>
        </w:rPr>
        <w:t xml:space="preserve">has </w:t>
      </w:r>
      <w:r w:rsidR="00C64252">
        <w:rPr>
          <w:noProof/>
        </w:rPr>
        <w:t>been unable to obtain such data by alternative means, including by purchasing the data on the market at market rates or by relying on existing obligations to make data available, and the adoption of new legislative measures cannot ensure the timely availability of the data</w:t>
      </w:r>
      <w:r w:rsidR="00993723" w:rsidRPr="00B8694B">
        <w:rPr>
          <w:noProof/>
        </w:rPr>
        <w:t>;</w:t>
      </w:r>
      <w:r w:rsidR="00993723" w:rsidRPr="00B356D4">
        <w:rPr>
          <w:noProof/>
        </w:rPr>
        <w:t xml:space="preserve"> or</w:t>
      </w:r>
    </w:p>
    <w:p w14:paraId="5BCD81EA" w14:textId="590996C1" w:rsidR="00AC525B" w:rsidRPr="00AC525B" w:rsidRDefault="000856CE" w:rsidP="000856CE">
      <w:pPr>
        <w:pStyle w:val="Point2"/>
        <w:rPr>
          <w:noProof/>
        </w:rPr>
      </w:pPr>
      <w:r w:rsidRPr="000856CE">
        <w:t>(2)</w:t>
      </w:r>
      <w:r w:rsidRPr="000856CE">
        <w:tab/>
      </w:r>
      <w:r w:rsidR="00B81C7F" w:rsidRPr="001B2D7E">
        <w:rPr>
          <w:noProof/>
        </w:rPr>
        <w:t xml:space="preserve">obtaining </w:t>
      </w:r>
      <w:r w:rsidR="00C64252">
        <w:rPr>
          <w:noProof/>
        </w:rPr>
        <w:t>the data in line with the procedure laid down in this Chapter would substantively reduce the administrative burden for data holders</w:t>
      </w:r>
      <w:r w:rsidR="00D76A32">
        <w:rPr>
          <w:noProof/>
        </w:rPr>
        <w:t xml:space="preserve"> or other enterprises</w:t>
      </w:r>
      <w:r w:rsidR="00B81C7F" w:rsidRPr="00B356D4">
        <w:rPr>
          <w:noProof/>
        </w:rPr>
        <w:t>.</w:t>
      </w:r>
    </w:p>
    <w:p w14:paraId="348219C5" w14:textId="58F6658A" w:rsidR="00943863" w:rsidRPr="00B356D4" w:rsidRDefault="00CC2D52" w:rsidP="0077149E">
      <w:pPr>
        <w:pStyle w:val="Titrearticleb"/>
        <w:rPr>
          <w:noProof/>
        </w:rPr>
      </w:pPr>
      <w:r>
        <w:rPr>
          <w:noProof/>
        </w:rPr>
        <w:t>Article 16</w:t>
      </w:r>
      <w:r w:rsidR="0077149E">
        <w:rPr>
          <w:noProof/>
        </w:rPr>
        <w:br/>
      </w:r>
      <w:r w:rsidR="00745100" w:rsidRPr="0077149E">
        <w:rPr>
          <w:noProof/>
        </w:rPr>
        <w:t>Relationship with other</w:t>
      </w:r>
      <w:r w:rsidR="00943863" w:rsidRPr="0077149E">
        <w:rPr>
          <w:noProof/>
        </w:rPr>
        <w:t xml:space="preserve"> obligations to </w:t>
      </w:r>
      <w:r w:rsidR="00943863" w:rsidRPr="0077149E">
        <w:rPr>
          <w:bCs/>
          <w:iCs/>
          <w:noProof/>
        </w:rPr>
        <w:t>make</w:t>
      </w:r>
      <w:r w:rsidR="00943863" w:rsidRPr="0077149E">
        <w:rPr>
          <w:noProof/>
        </w:rPr>
        <w:t xml:space="preserve"> data available</w:t>
      </w:r>
      <w:r w:rsidR="00C64252">
        <w:rPr>
          <w:noProof/>
        </w:rPr>
        <w:t xml:space="preserve"> to public sector bodies and Union institutions, agencies and bodies</w:t>
      </w:r>
      <w:r w:rsidR="00943863" w:rsidRPr="0077149E">
        <w:rPr>
          <w:noProof/>
        </w:rPr>
        <w:t xml:space="preserve"> </w:t>
      </w:r>
    </w:p>
    <w:p w14:paraId="56D00CD1" w14:textId="09493882" w:rsidR="00745100" w:rsidRPr="00AC525B" w:rsidRDefault="000856CE" w:rsidP="000856CE">
      <w:pPr>
        <w:pStyle w:val="ManualNumPar1"/>
        <w:rPr>
          <w:rFonts w:asciiTheme="minorHAnsi" w:eastAsiaTheme="minorEastAsia" w:hAnsiTheme="minorHAnsi" w:cstheme="minorBidi"/>
          <w:noProof/>
        </w:rPr>
      </w:pPr>
      <w:r w:rsidRPr="000856CE">
        <w:t>1.</w:t>
      </w:r>
      <w:r w:rsidRPr="000856CE">
        <w:tab/>
      </w:r>
      <w:r w:rsidR="00745100" w:rsidRPr="00B356D4">
        <w:rPr>
          <w:noProof/>
        </w:rPr>
        <w:t>Th</w:t>
      </w:r>
      <w:r w:rsidR="00745100">
        <w:rPr>
          <w:noProof/>
        </w:rPr>
        <w:t xml:space="preserve">is </w:t>
      </w:r>
      <w:r w:rsidR="00C64252">
        <w:rPr>
          <w:noProof/>
        </w:rPr>
        <w:t xml:space="preserve">Chapter shall not affect </w:t>
      </w:r>
      <w:r w:rsidR="00C64252" w:rsidRPr="001F3C00">
        <w:rPr>
          <w:noProof/>
        </w:rPr>
        <w:t>obligations</w:t>
      </w:r>
      <w:r w:rsidR="00C64252">
        <w:rPr>
          <w:noProof/>
        </w:rPr>
        <w:t xml:space="preserve"> laid down in Union or national law for the purposes of </w:t>
      </w:r>
      <w:r w:rsidR="00C64252" w:rsidRPr="00B356D4">
        <w:rPr>
          <w:noProof/>
        </w:rPr>
        <w:t>reporting</w:t>
      </w:r>
      <w:r w:rsidR="00C64252">
        <w:rPr>
          <w:noProof/>
        </w:rPr>
        <w:t>,</w:t>
      </w:r>
      <w:r w:rsidR="00C64252" w:rsidRPr="00B356D4">
        <w:rPr>
          <w:noProof/>
        </w:rPr>
        <w:t xml:space="preserve"> </w:t>
      </w:r>
      <w:r w:rsidR="00C64252">
        <w:rPr>
          <w:noProof/>
        </w:rPr>
        <w:t>complying with</w:t>
      </w:r>
      <w:r w:rsidR="00C64252" w:rsidRPr="00B356D4">
        <w:rPr>
          <w:noProof/>
        </w:rPr>
        <w:t xml:space="preserve"> information requests </w:t>
      </w:r>
      <w:r w:rsidR="00C64252">
        <w:rPr>
          <w:noProof/>
        </w:rPr>
        <w:t>or demonstrating or verifying compliance with legal obligations</w:t>
      </w:r>
      <w:r w:rsidR="00745100" w:rsidRPr="00B356D4">
        <w:rPr>
          <w:noProof/>
        </w:rPr>
        <w:t>.</w:t>
      </w:r>
    </w:p>
    <w:p w14:paraId="0688866C" w14:textId="159ED475" w:rsidR="00745100" w:rsidRPr="00B356D4" w:rsidRDefault="000856CE" w:rsidP="000856CE">
      <w:pPr>
        <w:pStyle w:val="ManualNumPar1"/>
        <w:rPr>
          <w:noProof/>
        </w:rPr>
      </w:pPr>
      <w:r w:rsidRPr="000856CE">
        <w:t>2.</w:t>
      </w:r>
      <w:r w:rsidRPr="000856CE">
        <w:tab/>
      </w:r>
      <w:r w:rsidR="00745100" w:rsidRPr="00B356D4">
        <w:rPr>
          <w:noProof/>
        </w:rPr>
        <w:t>T</w:t>
      </w:r>
      <w:r w:rsidR="00745100">
        <w:rPr>
          <w:noProof/>
        </w:rPr>
        <w:t xml:space="preserve">he </w:t>
      </w:r>
      <w:r w:rsidR="00C64252">
        <w:rPr>
          <w:noProof/>
        </w:rPr>
        <w:t xml:space="preserve">rights </w:t>
      </w:r>
      <w:r w:rsidR="00D76A32">
        <w:rPr>
          <w:noProof/>
        </w:rPr>
        <w:t xml:space="preserve">from </w:t>
      </w:r>
      <w:r w:rsidR="00C64252">
        <w:rPr>
          <w:noProof/>
        </w:rPr>
        <w:t>this</w:t>
      </w:r>
      <w:r w:rsidR="00C64252" w:rsidRPr="00B356D4">
        <w:rPr>
          <w:noProof/>
        </w:rPr>
        <w:t xml:space="preserve"> Chapter </w:t>
      </w:r>
      <w:r w:rsidR="00C64252">
        <w:rPr>
          <w:noProof/>
        </w:rPr>
        <w:t>shall not be exercised by</w:t>
      </w:r>
      <w:r w:rsidR="00C64252" w:rsidRPr="00B356D4">
        <w:rPr>
          <w:noProof/>
        </w:rPr>
        <w:t xml:space="preserve"> public sector bodies </w:t>
      </w:r>
      <w:r w:rsidR="00C64252">
        <w:rPr>
          <w:noProof/>
        </w:rPr>
        <w:t xml:space="preserve">and Union institutions, agencies and bodies in order to </w:t>
      </w:r>
      <w:r w:rsidR="00C64252" w:rsidRPr="00B356D4">
        <w:rPr>
          <w:noProof/>
        </w:rPr>
        <w:t xml:space="preserve">carry out activities for the prevention, investigation, detection or prosecution of criminal </w:t>
      </w:r>
      <w:r w:rsidR="00C64252">
        <w:rPr>
          <w:noProof/>
        </w:rPr>
        <w:t>or administrative</w:t>
      </w:r>
      <w:r w:rsidR="00C64252" w:rsidRPr="00B356D4">
        <w:rPr>
          <w:noProof/>
        </w:rPr>
        <w:t xml:space="preserve"> offences or the execution of criminal penalties, or for </w:t>
      </w:r>
      <w:r w:rsidR="00C64252">
        <w:rPr>
          <w:noProof/>
        </w:rPr>
        <w:t xml:space="preserve">customs or </w:t>
      </w:r>
      <w:r w:rsidR="00C64252" w:rsidRPr="00B356D4">
        <w:rPr>
          <w:noProof/>
        </w:rPr>
        <w:t xml:space="preserve">taxation </w:t>
      </w:r>
      <w:r w:rsidR="00C64252">
        <w:rPr>
          <w:noProof/>
        </w:rPr>
        <w:t>administration.</w:t>
      </w:r>
      <w:r w:rsidR="00C64252" w:rsidRPr="00B356D4">
        <w:rPr>
          <w:noProof/>
        </w:rPr>
        <w:t xml:space="preserve"> </w:t>
      </w:r>
      <w:r w:rsidR="00C64252">
        <w:rPr>
          <w:noProof/>
        </w:rPr>
        <w:t>This Chapter</w:t>
      </w:r>
      <w:r w:rsidR="00C64252" w:rsidRPr="00B356D4">
        <w:rPr>
          <w:noProof/>
        </w:rPr>
        <w:t xml:space="preserve"> </w:t>
      </w:r>
      <w:r w:rsidR="00C64252">
        <w:rPr>
          <w:noProof/>
        </w:rPr>
        <w:t>does not affect</w:t>
      </w:r>
      <w:r w:rsidR="00C64252" w:rsidRPr="00B356D4">
        <w:rPr>
          <w:noProof/>
        </w:rPr>
        <w:t xml:space="preserve"> </w:t>
      </w:r>
      <w:r w:rsidR="00C64252">
        <w:rPr>
          <w:noProof/>
        </w:rPr>
        <w:t xml:space="preserve">the </w:t>
      </w:r>
      <w:r w:rsidR="00C64252" w:rsidRPr="00B356D4">
        <w:rPr>
          <w:noProof/>
        </w:rPr>
        <w:t xml:space="preserve">applicable Union and national law on </w:t>
      </w:r>
      <w:r w:rsidR="00C64252">
        <w:rPr>
          <w:noProof/>
        </w:rPr>
        <w:t xml:space="preserve">the </w:t>
      </w:r>
      <w:r w:rsidR="00C64252" w:rsidRPr="00B356D4">
        <w:rPr>
          <w:noProof/>
        </w:rPr>
        <w:t xml:space="preserve">prevention, investigation, detection or prosecution of criminal </w:t>
      </w:r>
      <w:r w:rsidR="00C64252">
        <w:rPr>
          <w:noProof/>
        </w:rPr>
        <w:t xml:space="preserve">or administrative </w:t>
      </w:r>
      <w:r w:rsidR="00C64252" w:rsidRPr="00B356D4">
        <w:rPr>
          <w:noProof/>
        </w:rPr>
        <w:t xml:space="preserve">offences or the execution of criminal </w:t>
      </w:r>
      <w:r w:rsidR="00C64252">
        <w:rPr>
          <w:noProof/>
        </w:rPr>
        <w:t>or administrative penalties, or for customs or taxation administration</w:t>
      </w:r>
      <w:r w:rsidR="00745100" w:rsidRPr="00B356D4">
        <w:rPr>
          <w:noProof/>
        </w:rPr>
        <w:t>.</w:t>
      </w:r>
    </w:p>
    <w:p w14:paraId="7EBF950E" w14:textId="67ABDFB0" w:rsidR="00943863" w:rsidRPr="0077149E" w:rsidRDefault="00CC2D52" w:rsidP="0077149E">
      <w:pPr>
        <w:pStyle w:val="Titrearticleb"/>
        <w:rPr>
          <w:noProof/>
        </w:rPr>
      </w:pPr>
      <w:r>
        <w:rPr>
          <w:noProof/>
          <w:lang w:val="en-US"/>
        </w:rPr>
        <w:t>Article 17</w:t>
      </w:r>
      <w:r w:rsidR="0077149E">
        <w:rPr>
          <w:noProof/>
        </w:rPr>
        <w:br/>
      </w:r>
      <w:r w:rsidR="00943863" w:rsidRPr="00B356D4">
        <w:rPr>
          <w:noProof/>
        </w:rPr>
        <w:t xml:space="preserve">Requests for data to be made available </w:t>
      </w:r>
    </w:p>
    <w:p w14:paraId="2206C366" w14:textId="111CB6D5" w:rsidR="00745100" w:rsidRPr="00B356D4" w:rsidRDefault="000856CE" w:rsidP="000856CE">
      <w:pPr>
        <w:pStyle w:val="ManualNumPar1"/>
        <w:rPr>
          <w:noProof/>
        </w:rPr>
      </w:pPr>
      <w:r w:rsidRPr="000856CE">
        <w:t>1.</w:t>
      </w:r>
      <w:r w:rsidRPr="000856CE">
        <w:tab/>
      </w:r>
      <w:r w:rsidR="00C64252">
        <w:rPr>
          <w:noProof/>
        </w:rPr>
        <w:t>Where</w:t>
      </w:r>
      <w:r w:rsidR="00745100">
        <w:rPr>
          <w:noProof/>
        </w:rPr>
        <w:t xml:space="preserve"> </w:t>
      </w:r>
      <w:r w:rsidR="00C64252">
        <w:rPr>
          <w:noProof/>
        </w:rPr>
        <w:t xml:space="preserve">requesting data pursuant to Article 14(1), a public sector </w:t>
      </w:r>
      <w:r w:rsidR="00C64252" w:rsidRPr="00B356D4">
        <w:rPr>
          <w:noProof/>
        </w:rPr>
        <w:t>body or a Union institution, agency or body</w:t>
      </w:r>
      <w:r w:rsidR="00C64252">
        <w:rPr>
          <w:noProof/>
        </w:rPr>
        <w:t xml:space="preserve"> shall</w:t>
      </w:r>
      <w:r w:rsidR="00745100" w:rsidRPr="00B356D4">
        <w:rPr>
          <w:noProof/>
        </w:rPr>
        <w:t xml:space="preserve">: </w:t>
      </w:r>
    </w:p>
    <w:p w14:paraId="7882EA28" w14:textId="027D045B" w:rsidR="00745100" w:rsidRPr="00C64252" w:rsidRDefault="000856CE" w:rsidP="000856CE">
      <w:pPr>
        <w:pStyle w:val="Point1"/>
        <w:rPr>
          <w:noProof/>
        </w:rPr>
      </w:pPr>
      <w:r w:rsidRPr="000856CE">
        <w:t>(a)</w:t>
      </w:r>
      <w:r w:rsidRPr="000856CE">
        <w:tab/>
      </w:r>
      <w:r w:rsidR="00745100" w:rsidRPr="00AC525B">
        <w:rPr>
          <w:noProof/>
          <w:lang w:val="en-IE"/>
        </w:rPr>
        <w:t>specify what data are required;</w:t>
      </w:r>
    </w:p>
    <w:p w14:paraId="5BBDC00B" w14:textId="01F3D69D" w:rsidR="00C64252" w:rsidRPr="003D0829" w:rsidRDefault="000856CE" w:rsidP="000856CE">
      <w:pPr>
        <w:pStyle w:val="Point1"/>
        <w:rPr>
          <w:noProof/>
        </w:rPr>
      </w:pPr>
      <w:r w:rsidRPr="000856CE">
        <w:t>(b)</w:t>
      </w:r>
      <w:r w:rsidRPr="000856CE">
        <w:tab/>
      </w:r>
      <w:r w:rsidR="00C64252">
        <w:rPr>
          <w:noProof/>
        </w:rPr>
        <w:t xml:space="preserve">demonstrate the exceptional need for which the data </w:t>
      </w:r>
      <w:r w:rsidR="00D76A32">
        <w:rPr>
          <w:noProof/>
        </w:rPr>
        <w:t xml:space="preserve">are </w:t>
      </w:r>
      <w:r w:rsidR="00C64252">
        <w:rPr>
          <w:noProof/>
        </w:rPr>
        <w:t>requested;</w:t>
      </w:r>
      <w:r w:rsidR="00C64252" w:rsidRPr="003D0829">
        <w:rPr>
          <w:noProof/>
        </w:rPr>
        <w:t xml:space="preserve"> </w:t>
      </w:r>
    </w:p>
    <w:p w14:paraId="197D53B2" w14:textId="182942C9" w:rsidR="00C64252" w:rsidRPr="003D0829" w:rsidRDefault="000856CE" w:rsidP="000856CE">
      <w:pPr>
        <w:pStyle w:val="Point1"/>
        <w:rPr>
          <w:noProof/>
        </w:rPr>
      </w:pPr>
      <w:r w:rsidRPr="000856CE">
        <w:t>(c)</w:t>
      </w:r>
      <w:r w:rsidRPr="000856CE">
        <w:tab/>
      </w:r>
      <w:r w:rsidR="00C64252">
        <w:rPr>
          <w:noProof/>
        </w:rPr>
        <w:t>explain the purpose of the request, the intended use of the data requested, and the duration of that use;</w:t>
      </w:r>
    </w:p>
    <w:p w14:paraId="78008424" w14:textId="25931F6C" w:rsidR="00C64252" w:rsidRPr="003D0829" w:rsidRDefault="000856CE" w:rsidP="000856CE">
      <w:pPr>
        <w:pStyle w:val="Point1"/>
        <w:rPr>
          <w:noProof/>
        </w:rPr>
      </w:pPr>
      <w:r w:rsidRPr="000856CE">
        <w:t>(d)</w:t>
      </w:r>
      <w:r w:rsidRPr="000856CE">
        <w:tab/>
      </w:r>
      <w:r w:rsidR="00C64252" w:rsidRPr="003D0829">
        <w:rPr>
          <w:noProof/>
        </w:rPr>
        <w:t>state the legal basis for requesting the data;</w:t>
      </w:r>
    </w:p>
    <w:p w14:paraId="64FB3D98" w14:textId="64121A98" w:rsidR="00C64252" w:rsidRPr="003B56EB" w:rsidRDefault="000856CE" w:rsidP="000856CE">
      <w:pPr>
        <w:pStyle w:val="Point1"/>
        <w:rPr>
          <w:noProof/>
        </w:rPr>
      </w:pPr>
      <w:r w:rsidRPr="000856CE">
        <w:t>(e)</w:t>
      </w:r>
      <w:r w:rsidRPr="000856CE">
        <w:tab/>
      </w:r>
      <w:r w:rsidR="00C64252" w:rsidRPr="003D0829">
        <w:rPr>
          <w:noProof/>
        </w:rPr>
        <w:t>specify the deadline by which the data are to be made available or within which the data holder may request the</w:t>
      </w:r>
      <w:r w:rsidR="00C64252" w:rsidRPr="009D5446">
        <w:rPr>
          <w:noProof/>
        </w:rPr>
        <w:t xml:space="preserve"> </w:t>
      </w:r>
      <w:r w:rsidR="00C64252">
        <w:rPr>
          <w:noProof/>
        </w:rPr>
        <w:t xml:space="preserve">public sector body, </w:t>
      </w:r>
      <w:r w:rsidR="00C64252" w:rsidRPr="003D0829">
        <w:rPr>
          <w:noProof/>
        </w:rPr>
        <w:t xml:space="preserve">Union institution, agency or body to modify or withdraw the request. </w:t>
      </w:r>
    </w:p>
    <w:p w14:paraId="0202F4FF" w14:textId="0A72757E" w:rsidR="00C64252" w:rsidRDefault="000856CE" w:rsidP="000856CE">
      <w:pPr>
        <w:pStyle w:val="ManualNumPar1"/>
        <w:rPr>
          <w:noProof/>
          <w:lang w:val="en-IE"/>
        </w:rPr>
      </w:pPr>
      <w:r w:rsidRPr="000856CE">
        <w:t>2.</w:t>
      </w:r>
      <w:r w:rsidRPr="000856CE">
        <w:tab/>
      </w:r>
      <w:r w:rsidR="00C64252">
        <w:rPr>
          <w:noProof/>
          <w:sz w:val="22"/>
          <w:lang w:val="en-US"/>
        </w:rPr>
        <w:t xml:space="preserve">A request </w:t>
      </w:r>
      <w:r w:rsidR="00C64252" w:rsidRPr="2D0A2D2A">
        <w:rPr>
          <w:noProof/>
          <w:lang w:val="en-IE"/>
        </w:rPr>
        <w:t>for data made pursuant to paragraph 1 of this Article shall</w:t>
      </w:r>
      <w:r w:rsidR="00C64252">
        <w:rPr>
          <w:noProof/>
          <w:lang w:val="en-IE"/>
        </w:rPr>
        <w:t>:</w:t>
      </w:r>
    </w:p>
    <w:p w14:paraId="39804FCF" w14:textId="62DE6FC3" w:rsidR="00C64252" w:rsidRPr="00C64252" w:rsidRDefault="000856CE" w:rsidP="000856CE">
      <w:pPr>
        <w:pStyle w:val="Point1"/>
        <w:rPr>
          <w:noProof/>
          <w:lang w:val="en-IE"/>
        </w:rPr>
      </w:pPr>
      <w:r w:rsidRPr="000856CE">
        <w:t>(a)</w:t>
      </w:r>
      <w:r w:rsidRPr="000856CE">
        <w:tab/>
      </w:r>
      <w:r w:rsidR="00C64252">
        <w:rPr>
          <w:noProof/>
          <w:lang w:val="en-IE"/>
        </w:rPr>
        <w:t xml:space="preserve">be </w:t>
      </w:r>
      <w:r w:rsidR="00C64252">
        <w:rPr>
          <w:noProof/>
        </w:rPr>
        <w:t xml:space="preserve">expressed in clear, concise and plain language understandable to the data holder; </w:t>
      </w:r>
    </w:p>
    <w:p w14:paraId="3E321924" w14:textId="66DA6195" w:rsidR="00C64252" w:rsidRDefault="000856CE" w:rsidP="000856CE">
      <w:pPr>
        <w:pStyle w:val="Point1"/>
        <w:rPr>
          <w:noProof/>
        </w:rPr>
      </w:pPr>
      <w:r w:rsidRPr="000856CE">
        <w:t>(b)</w:t>
      </w:r>
      <w:r w:rsidRPr="000856CE">
        <w:tab/>
      </w:r>
      <w:r w:rsidR="00C64252">
        <w:rPr>
          <w:noProof/>
        </w:rPr>
        <w:t xml:space="preserve">be proportionate to the exceptional need, in terms of the granularity and volume of the data requested and frequency of access of the data requested; </w:t>
      </w:r>
    </w:p>
    <w:p w14:paraId="22FB43A9" w14:textId="2537C056" w:rsidR="00C64252" w:rsidRDefault="000856CE" w:rsidP="000856CE">
      <w:pPr>
        <w:pStyle w:val="Point1"/>
        <w:rPr>
          <w:noProof/>
        </w:rPr>
      </w:pPr>
      <w:r w:rsidRPr="000856CE">
        <w:t>(c)</w:t>
      </w:r>
      <w:r w:rsidRPr="000856CE">
        <w:tab/>
      </w:r>
      <w:r w:rsidR="00C64252">
        <w:rPr>
          <w:noProof/>
        </w:rPr>
        <w:t>respect the legitimate aims of the data holder, taking into account the protection of trade secrets and the cost and effort required to make the data available;</w:t>
      </w:r>
    </w:p>
    <w:p w14:paraId="1C5F6C1C" w14:textId="166469B3" w:rsidR="00C64252" w:rsidRDefault="000856CE" w:rsidP="000856CE">
      <w:pPr>
        <w:pStyle w:val="Point1"/>
        <w:rPr>
          <w:noProof/>
        </w:rPr>
      </w:pPr>
      <w:r w:rsidRPr="000856CE">
        <w:t>(d)</w:t>
      </w:r>
      <w:r w:rsidRPr="000856CE">
        <w:tab/>
      </w:r>
      <w:r w:rsidR="00C64252">
        <w:rPr>
          <w:noProof/>
        </w:rPr>
        <w:t>concern, insofar as possible, non-personal data;</w:t>
      </w:r>
    </w:p>
    <w:p w14:paraId="13C32D1D" w14:textId="3ADEF4DC" w:rsidR="00C64252" w:rsidRPr="00684601" w:rsidRDefault="000856CE" w:rsidP="000856CE">
      <w:pPr>
        <w:pStyle w:val="Point1"/>
        <w:rPr>
          <w:noProof/>
        </w:rPr>
      </w:pPr>
      <w:r w:rsidRPr="000856CE">
        <w:t>(e)</w:t>
      </w:r>
      <w:r w:rsidRPr="000856CE">
        <w:tab/>
      </w:r>
      <w:r w:rsidR="00C64252" w:rsidRPr="00684601">
        <w:rPr>
          <w:noProof/>
        </w:rPr>
        <w:t>inform the data holder of the penalties that shall be imposed pursuant to Article</w:t>
      </w:r>
      <w:r w:rsidR="004035EB">
        <w:rPr>
          <w:noProof/>
        </w:rPr>
        <w:t xml:space="preserve"> </w:t>
      </w:r>
      <w:r w:rsidR="00D76A32" w:rsidRPr="00684601">
        <w:rPr>
          <w:noProof/>
        </w:rPr>
        <w:t>3</w:t>
      </w:r>
      <w:r w:rsidR="00D76A32">
        <w:rPr>
          <w:noProof/>
        </w:rPr>
        <w:t>3</w:t>
      </w:r>
      <w:r w:rsidR="00D76A32" w:rsidRPr="00684601">
        <w:rPr>
          <w:noProof/>
        </w:rPr>
        <w:t xml:space="preserve"> </w:t>
      </w:r>
      <w:r w:rsidR="00C64252" w:rsidRPr="00684601">
        <w:rPr>
          <w:noProof/>
        </w:rPr>
        <w:t>by a competent authority referred to in Article 3</w:t>
      </w:r>
      <w:r w:rsidR="00D76A32">
        <w:rPr>
          <w:noProof/>
        </w:rPr>
        <w:t>1</w:t>
      </w:r>
      <w:r w:rsidR="00C64252" w:rsidRPr="00684601">
        <w:rPr>
          <w:noProof/>
        </w:rPr>
        <w:t xml:space="preserve"> in the event of </w:t>
      </w:r>
      <w:r w:rsidR="00C64252">
        <w:rPr>
          <w:noProof/>
        </w:rPr>
        <w:t xml:space="preserve">non-compliance with the request; </w:t>
      </w:r>
    </w:p>
    <w:p w14:paraId="5758CF2C" w14:textId="0F473C3F" w:rsidR="00C64252" w:rsidRPr="00C64252" w:rsidRDefault="000856CE" w:rsidP="000856CE">
      <w:pPr>
        <w:pStyle w:val="Point1"/>
        <w:rPr>
          <w:noProof/>
        </w:rPr>
      </w:pPr>
      <w:r w:rsidRPr="000856CE">
        <w:t>(f)</w:t>
      </w:r>
      <w:r w:rsidRPr="000856CE">
        <w:tab/>
      </w:r>
      <w:r w:rsidR="00C64252">
        <w:rPr>
          <w:noProof/>
        </w:rPr>
        <w:t>be made publicly available online without undue delay.</w:t>
      </w:r>
    </w:p>
    <w:p w14:paraId="33BF6D16" w14:textId="74B64378" w:rsidR="00D76A32" w:rsidRPr="001E21CC" w:rsidRDefault="000856CE" w:rsidP="000856CE">
      <w:pPr>
        <w:pStyle w:val="ManualNumPar1"/>
        <w:rPr>
          <w:i/>
          <w:noProof/>
          <w:sz w:val="22"/>
          <w:lang w:val="en-US"/>
        </w:rPr>
      </w:pPr>
      <w:r w:rsidRPr="000856CE">
        <w:t>3.</w:t>
      </w:r>
      <w:r w:rsidRPr="000856CE">
        <w:tab/>
      </w:r>
      <w:r w:rsidR="00745100" w:rsidRPr="00C64252">
        <w:rPr>
          <w:noProof/>
          <w:lang w:val="en-IE"/>
        </w:rPr>
        <w:t xml:space="preserve">A </w:t>
      </w:r>
      <w:r w:rsidR="00C64252" w:rsidRPr="00B356D4">
        <w:rPr>
          <w:noProof/>
          <w:lang w:val="en-IE"/>
        </w:rPr>
        <w:t>p</w:t>
      </w:r>
      <w:r w:rsidR="00C64252" w:rsidRPr="00B356D4">
        <w:rPr>
          <w:noProof/>
        </w:rPr>
        <w:t xml:space="preserve">ublic sector body or a Union institution, agency or body shall not make data </w:t>
      </w:r>
      <w:r w:rsidR="00C64252" w:rsidRPr="00B356D4">
        <w:rPr>
          <w:noProof/>
          <w:lang w:val="en-IE"/>
        </w:rPr>
        <w:t>obtained pursuant to this Chapter</w:t>
      </w:r>
      <w:r w:rsidR="00C64252" w:rsidRPr="00B356D4">
        <w:rPr>
          <w:noProof/>
        </w:rPr>
        <w:t xml:space="preserve"> available for reuse</w:t>
      </w:r>
      <w:r w:rsidR="00C64252">
        <w:rPr>
          <w:noProof/>
        </w:rPr>
        <w:t xml:space="preserve"> within the meaning of Directive (EU) 2019/1024. </w:t>
      </w:r>
      <w:r w:rsidR="00C64252" w:rsidRPr="00B356D4">
        <w:rPr>
          <w:noProof/>
          <w:lang w:val="en-IE"/>
        </w:rPr>
        <w:t xml:space="preserve">Directive (EU) 2019/1024 shall not apply to the data held by public sector bodies obtained pursuant to this Chapter. </w:t>
      </w:r>
    </w:p>
    <w:p w14:paraId="5FD7EB14" w14:textId="0D403ECF" w:rsidR="00745100" w:rsidRDefault="000856CE" w:rsidP="000856CE">
      <w:pPr>
        <w:pStyle w:val="ManualNumPar1"/>
        <w:rPr>
          <w:noProof/>
        </w:rPr>
      </w:pPr>
      <w:r w:rsidRPr="000856CE">
        <w:t>4.</w:t>
      </w:r>
      <w:r w:rsidRPr="000856CE">
        <w:tab/>
      </w:r>
      <w:r w:rsidR="00D76A32">
        <w:rPr>
          <w:noProof/>
          <w:lang w:val="en-IE"/>
        </w:rPr>
        <w:t xml:space="preserve">Paragraph 3 </w:t>
      </w:r>
      <w:r w:rsidR="00C64252">
        <w:rPr>
          <w:noProof/>
          <w:lang w:val="en-IE"/>
        </w:rPr>
        <w:t>does not preclude</w:t>
      </w:r>
      <w:r w:rsidR="00C64252" w:rsidRPr="0013175E">
        <w:rPr>
          <w:noProof/>
          <w:lang w:val="en-IE"/>
        </w:rPr>
        <w:t xml:space="preserve"> a public sector body</w:t>
      </w:r>
      <w:r w:rsidR="00C64252">
        <w:rPr>
          <w:noProof/>
          <w:lang w:val="en-IE"/>
        </w:rPr>
        <w:t xml:space="preserve"> or a Union institution, agency or body</w:t>
      </w:r>
      <w:r w:rsidR="00C64252" w:rsidRPr="0013175E">
        <w:rPr>
          <w:noProof/>
          <w:lang w:val="en-IE"/>
        </w:rPr>
        <w:t xml:space="preserve"> </w:t>
      </w:r>
      <w:r w:rsidR="00D76A32">
        <w:rPr>
          <w:noProof/>
        </w:rPr>
        <w:t xml:space="preserve">to exchange data </w:t>
      </w:r>
      <w:r w:rsidR="00D76A32" w:rsidRPr="00B10B1A">
        <w:rPr>
          <w:noProof/>
          <w:lang w:val="en-IE"/>
        </w:rPr>
        <w:t xml:space="preserve">obtained pursuant to this Chapter with another public sector body, Union institution, agency or body, in view of completing the tasks in Article 15 or </w:t>
      </w:r>
      <w:r w:rsidR="00D76A32">
        <w:rPr>
          <w:noProof/>
        </w:rPr>
        <w:t>to make the data</w:t>
      </w:r>
      <w:r w:rsidR="00C64252">
        <w:rPr>
          <w:noProof/>
        </w:rPr>
        <w:t xml:space="preserve"> available to a third party in cases where it has outsourced, by means of a publicly available agreement, technical inspections or other functions to this third party</w:t>
      </w:r>
      <w:r w:rsidR="00745100" w:rsidRPr="00B356D4">
        <w:rPr>
          <w:noProof/>
        </w:rPr>
        <w:t>.</w:t>
      </w:r>
      <w:r w:rsidR="00D76A32">
        <w:rPr>
          <w:noProof/>
        </w:rPr>
        <w:t xml:space="preserve"> The obligations on public sector bodies, Union institutions, agencies or bodies pursuant to Article 19 apply.</w:t>
      </w:r>
    </w:p>
    <w:p w14:paraId="4F76BFDC" w14:textId="6D224526" w:rsidR="00D76A32" w:rsidRPr="001E21CC" w:rsidRDefault="00D76A32" w:rsidP="001E21CC">
      <w:pPr>
        <w:pStyle w:val="Point0"/>
        <w:rPr>
          <w:noProof/>
        </w:rPr>
      </w:pPr>
      <w:r>
        <w:rPr>
          <w:noProof/>
          <w:lang w:val="en-IE"/>
        </w:rPr>
        <w:t xml:space="preserve">Where </w:t>
      </w:r>
      <w:r w:rsidRPr="00312846">
        <w:rPr>
          <w:noProof/>
          <w:lang w:val="en-IE" w:eastAsia="fr-BE"/>
        </w:rPr>
        <w:t>a public sector body or a Union institution, agency or body</w:t>
      </w:r>
      <w:r w:rsidRPr="00312846">
        <w:rPr>
          <w:rFonts w:eastAsiaTheme="minorEastAsia"/>
          <w:noProof/>
          <w:lang w:val="en-IE" w:eastAsia="fr-BE"/>
        </w:rPr>
        <w:t xml:space="preserve"> </w:t>
      </w:r>
      <w:r w:rsidRPr="00312846">
        <w:rPr>
          <w:noProof/>
          <w:lang w:val="en-IE" w:eastAsia="fr-BE"/>
        </w:rPr>
        <w:t xml:space="preserve">transmits or makes </w:t>
      </w:r>
      <w:r>
        <w:rPr>
          <w:noProof/>
          <w:lang w:val="en-IE" w:eastAsia="fr-BE"/>
        </w:rPr>
        <w:t>data available under this paragraph</w:t>
      </w:r>
      <w:r w:rsidRPr="00312846">
        <w:rPr>
          <w:noProof/>
          <w:lang w:val="en-IE" w:eastAsia="fr-BE"/>
        </w:rPr>
        <w:t>, it shall notify the data holder from whom the data was received</w:t>
      </w:r>
      <w:r w:rsidR="001F1DD9">
        <w:rPr>
          <w:noProof/>
          <w:lang w:val="en-IE" w:eastAsia="fr-BE"/>
        </w:rPr>
        <w:t>.</w:t>
      </w:r>
    </w:p>
    <w:p w14:paraId="71FC9F57" w14:textId="02BD1F63" w:rsidR="00943863" w:rsidRPr="00B356D4" w:rsidRDefault="00CC2D52" w:rsidP="0077149E">
      <w:pPr>
        <w:pStyle w:val="Titrearticleb"/>
        <w:rPr>
          <w:noProof/>
        </w:rPr>
      </w:pPr>
      <w:r>
        <w:rPr>
          <w:noProof/>
          <w:lang w:val="en-US"/>
        </w:rPr>
        <w:t>Article 18</w:t>
      </w:r>
      <w:r w:rsidR="0077149E">
        <w:rPr>
          <w:noProof/>
        </w:rPr>
        <w:br/>
      </w:r>
      <w:r w:rsidR="00943863" w:rsidRPr="00B356D4">
        <w:rPr>
          <w:noProof/>
        </w:rPr>
        <w:t xml:space="preserve">Compliance with requests for data </w:t>
      </w:r>
    </w:p>
    <w:p w14:paraId="055B4B31" w14:textId="7873CB04" w:rsidR="00745100" w:rsidRPr="00B356D4" w:rsidRDefault="000856CE" w:rsidP="000856CE">
      <w:pPr>
        <w:pStyle w:val="ManualNumPar1"/>
        <w:rPr>
          <w:noProof/>
        </w:rPr>
      </w:pPr>
      <w:r w:rsidRPr="000856CE">
        <w:t>1.</w:t>
      </w:r>
      <w:r w:rsidRPr="000856CE">
        <w:tab/>
      </w:r>
      <w:r w:rsidR="00745100" w:rsidRPr="00B356D4">
        <w:rPr>
          <w:noProof/>
        </w:rPr>
        <w:t xml:space="preserve">A </w:t>
      </w:r>
      <w:r w:rsidR="000F4A4E" w:rsidRPr="00B356D4">
        <w:rPr>
          <w:noProof/>
        </w:rPr>
        <w:t xml:space="preserve">data holder receiving a request </w:t>
      </w:r>
      <w:r w:rsidR="000F4A4E">
        <w:rPr>
          <w:noProof/>
        </w:rPr>
        <w:t>for access to data</w:t>
      </w:r>
      <w:r w:rsidR="000F4A4E" w:rsidRPr="001F3C00">
        <w:rPr>
          <w:noProof/>
        </w:rPr>
        <w:t xml:space="preserve"> </w:t>
      </w:r>
      <w:r w:rsidR="000F4A4E" w:rsidRPr="00B356D4">
        <w:rPr>
          <w:noProof/>
        </w:rPr>
        <w:t xml:space="preserve">under this Chapter shall make the data available </w:t>
      </w:r>
      <w:r w:rsidR="000F4A4E" w:rsidRPr="001A62AA">
        <w:rPr>
          <w:noProof/>
        </w:rPr>
        <w:t>to the requesting public sector body or a Union</w:t>
      </w:r>
      <w:r w:rsidR="00D76A32">
        <w:rPr>
          <w:noProof/>
        </w:rPr>
        <w:t xml:space="preserve"> institution</w:t>
      </w:r>
      <w:r w:rsidR="000F4A4E" w:rsidRPr="001A62AA">
        <w:rPr>
          <w:noProof/>
        </w:rPr>
        <w:t xml:space="preserve">, agency or body </w:t>
      </w:r>
      <w:r w:rsidR="000F4A4E" w:rsidRPr="00B356D4">
        <w:rPr>
          <w:noProof/>
        </w:rPr>
        <w:t>without undue delay</w:t>
      </w:r>
      <w:r w:rsidR="00745100" w:rsidRPr="00B356D4">
        <w:rPr>
          <w:noProof/>
        </w:rPr>
        <w:t xml:space="preserve">. </w:t>
      </w:r>
    </w:p>
    <w:p w14:paraId="1A603BAB" w14:textId="3A7D6AB7" w:rsidR="00745100" w:rsidRPr="00B356D4" w:rsidRDefault="000856CE" w:rsidP="000856CE">
      <w:pPr>
        <w:pStyle w:val="ManualNumPar1"/>
        <w:rPr>
          <w:noProof/>
        </w:rPr>
      </w:pPr>
      <w:r w:rsidRPr="000856CE">
        <w:t>2.</w:t>
      </w:r>
      <w:r w:rsidRPr="000856CE">
        <w:tab/>
      </w:r>
      <w:r w:rsidR="00745100">
        <w:rPr>
          <w:noProof/>
        </w:rPr>
        <w:t xml:space="preserve">Without </w:t>
      </w:r>
      <w:r w:rsidR="000F4A4E">
        <w:rPr>
          <w:noProof/>
        </w:rPr>
        <w:t>prejudice to specific needs regarding the availability of data defined in sectoral legislation, the data holder may decline or seek the modification of the request within</w:t>
      </w:r>
      <w:r w:rsidR="000F4A4E" w:rsidRPr="00B356D4">
        <w:rPr>
          <w:noProof/>
        </w:rPr>
        <w:t xml:space="preserve"> 5 working days following the receipt of </w:t>
      </w:r>
      <w:r w:rsidR="000F4A4E">
        <w:rPr>
          <w:noProof/>
        </w:rPr>
        <w:t>a</w:t>
      </w:r>
      <w:r w:rsidR="000F4A4E" w:rsidRPr="001F3C00">
        <w:rPr>
          <w:noProof/>
        </w:rPr>
        <w:t xml:space="preserve"> </w:t>
      </w:r>
      <w:r w:rsidR="000F4A4E" w:rsidRPr="00B356D4">
        <w:rPr>
          <w:noProof/>
        </w:rPr>
        <w:t xml:space="preserve">request for </w:t>
      </w:r>
      <w:r w:rsidR="000F4A4E">
        <w:rPr>
          <w:noProof/>
        </w:rPr>
        <w:t>the</w:t>
      </w:r>
      <w:r w:rsidR="000F4A4E" w:rsidRPr="001F3C00">
        <w:rPr>
          <w:noProof/>
        </w:rPr>
        <w:t xml:space="preserve"> </w:t>
      </w:r>
      <w:r w:rsidR="000F4A4E" w:rsidRPr="00B356D4">
        <w:rPr>
          <w:noProof/>
        </w:rPr>
        <w:t xml:space="preserve">data necessary </w:t>
      </w:r>
      <w:r w:rsidR="000F4A4E">
        <w:rPr>
          <w:noProof/>
        </w:rPr>
        <w:t>to</w:t>
      </w:r>
      <w:r w:rsidR="000F4A4E" w:rsidRPr="001F3C00">
        <w:rPr>
          <w:noProof/>
        </w:rPr>
        <w:t xml:space="preserve"> </w:t>
      </w:r>
      <w:r w:rsidR="000F4A4E" w:rsidRPr="00B356D4">
        <w:rPr>
          <w:noProof/>
        </w:rPr>
        <w:t xml:space="preserve">respond to a public emergency and </w:t>
      </w:r>
      <w:r w:rsidR="000F4A4E">
        <w:rPr>
          <w:noProof/>
        </w:rPr>
        <w:t>within</w:t>
      </w:r>
      <w:r w:rsidR="000F4A4E" w:rsidRPr="00B356D4">
        <w:rPr>
          <w:noProof/>
        </w:rPr>
        <w:t xml:space="preserve"> 15 </w:t>
      </w:r>
      <w:r w:rsidR="00D76A32">
        <w:rPr>
          <w:noProof/>
        </w:rPr>
        <w:t xml:space="preserve">working </w:t>
      </w:r>
      <w:r w:rsidR="000F4A4E" w:rsidRPr="00B356D4">
        <w:rPr>
          <w:noProof/>
        </w:rPr>
        <w:t xml:space="preserve">days in other </w:t>
      </w:r>
      <w:r w:rsidR="000F4A4E">
        <w:rPr>
          <w:noProof/>
        </w:rPr>
        <w:t>cases of</w:t>
      </w:r>
      <w:r w:rsidR="000F4A4E" w:rsidRPr="001F3C00" w:rsidDel="00F6143B">
        <w:rPr>
          <w:noProof/>
        </w:rPr>
        <w:t xml:space="preserve"> </w:t>
      </w:r>
      <w:r w:rsidR="000F4A4E" w:rsidRPr="00B356D4" w:rsidDel="00F6143B">
        <w:rPr>
          <w:noProof/>
        </w:rPr>
        <w:t>exceptional</w:t>
      </w:r>
      <w:r w:rsidR="000F4A4E" w:rsidRPr="00B356D4">
        <w:rPr>
          <w:noProof/>
        </w:rPr>
        <w:t xml:space="preserve"> </w:t>
      </w:r>
      <w:r w:rsidR="000F4A4E">
        <w:rPr>
          <w:noProof/>
        </w:rPr>
        <w:t>need</w:t>
      </w:r>
      <w:r w:rsidR="000F4A4E" w:rsidRPr="00B356D4">
        <w:rPr>
          <w:noProof/>
        </w:rPr>
        <w:t xml:space="preserve">, on </w:t>
      </w:r>
      <w:r w:rsidR="00D76A32">
        <w:rPr>
          <w:noProof/>
        </w:rPr>
        <w:t>either</w:t>
      </w:r>
      <w:r w:rsidR="00D76A32" w:rsidRPr="00B356D4">
        <w:rPr>
          <w:noProof/>
        </w:rPr>
        <w:t xml:space="preserve"> </w:t>
      </w:r>
      <w:r w:rsidR="000F4A4E" w:rsidRPr="00B356D4">
        <w:rPr>
          <w:noProof/>
        </w:rPr>
        <w:t>of the following grounds</w:t>
      </w:r>
      <w:r w:rsidR="00745100" w:rsidRPr="00B356D4">
        <w:rPr>
          <w:noProof/>
        </w:rPr>
        <w:t>:</w:t>
      </w:r>
    </w:p>
    <w:p w14:paraId="78DDD0AE" w14:textId="236D7DBC" w:rsidR="00745100" w:rsidRPr="00B356D4" w:rsidRDefault="000856CE" w:rsidP="000856CE">
      <w:pPr>
        <w:pStyle w:val="Point1"/>
        <w:rPr>
          <w:noProof/>
        </w:rPr>
      </w:pPr>
      <w:r w:rsidRPr="000856CE">
        <w:t>(a)</w:t>
      </w:r>
      <w:r w:rsidRPr="000856CE">
        <w:tab/>
      </w:r>
      <w:r w:rsidR="00745100" w:rsidRPr="00B356D4">
        <w:rPr>
          <w:noProof/>
        </w:rPr>
        <w:t xml:space="preserve">the data is unavailable; </w:t>
      </w:r>
    </w:p>
    <w:p w14:paraId="709BA0F0" w14:textId="3BFAE69A" w:rsidR="00745100" w:rsidRPr="00B356D4" w:rsidRDefault="000856CE" w:rsidP="000856CE">
      <w:pPr>
        <w:pStyle w:val="Point1"/>
        <w:rPr>
          <w:noProof/>
        </w:rPr>
      </w:pPr>
      <w:r w:rsidRPr="000856CE">
        <w:t>(b)</w:t>
      </w:r>
      <w:r w:rsidRPr="000856CE">
        <w:tab/>
      </w:r>
      <w:r w:rsidR="00745100" w:rsidRPr="00B356D4">
        <w:rPr>
          <w:noProof/>
        </w:rPr>
        <w:t xml:space="preserve">the </w:t>
      </w:r>
      <w:r w:rsidR="000F4A4E">
        <w:rPr>
          <w:noProof/>
        </w:rPr>
        <w:t>request does not meet the conditions laid down in Article 17(1) and (2</w:t>
      </w:r>
      <w:r w:rsidR="00745100" w:rsidRPr="00B356D4">
        <w:rPr>
          <w:noProof/>
        </w:rPr>
        <w:t>).</w:t>
      </w:r>
    </w:p>
    <w:p w14:paraId="1D7A0F9A" w14:textId="00579BA6" w:rsidR="00745100" w:rsidRDefault="000856CE" w:rsidP="000856CE">
      <w:pPr>
        <w:pStyle w:val="ManualNumPar1"/>
        <w:rPr>
          <w:noProof/>
        </w:rPr>
      </w:pPr>
      <w:r w:rsidRPr="000856CE">
        <w:t>3.</w:t>
      </w:r>
      <w:r w:rsidRPr="000856CE">
        <w:tab/>
      </w:r>
      <w:r w:rsidR="00745100" w:rsidRPr="00B356D4">
        <w:rPr>
          <w:noProof/>
        </w:rPr>
        <w:t xml:space="preserve">In </w:t>
      </w:r>
      <w:r w:rsidR="000F4A4E" w:rsidRPr="00B356D4">
        <w:rPr>
          <w:noProof/>
        </w:rPr>
        <w:t xml:space="preserve">case of </w:t>
      </w:r>
      <w:r w:rsidR="000F4A4E">
        <w:rPr>
          <w:noProof/>
        </w:rPr>
        <w:t>a</w:t>
      </w:r>
      <w:r w:rsidR="000F4A4E" w:rsidRPr="00B356D4">
        <w:rPr>
          <w:noProof/>
        </w:rPr>
        <w:t xml:space="preserve"> request for data necessary </w:t>
      </w:r>
      <w:r w:rsidR="000F4A4E">
        <w:rPr>
          <w:noProof/>
        </w:rPr>
        <w:t>to</w:t>
      </w:r>
      <w:r w:rsidR="000F4A4E" w:rsidRPr="00B356D4">
        <w:rPr>
          <w:noProof/>
        </w:rPr>
        <w:t xml:space="preserve"> respond to a public emergency, the data holder may also decline or seek modification of the request if </w:t>
      </w:r>
      <w:r w:rsidR="000F4A4E">
        <w:rPr>
          <w:noProof/>
        </w:rPr>
        <w:t>the data holder</w:t>
      </w:r>
      <w:r w:rsidR="000F4A4E" w:rsidRPr="00B356D4">
        <w:rPr>
          <w:noProof/>
        </w:rPr>
        <w:t xml:space="preserve"> </w:t>
      </w:r>
      <w:r w:rsidR="000F4A4E">
        <w:rPr>
          <w:noProof/>
        </w:rPr>
        <w:t xml:space="preserve">already provided the requested data in response to </w:t>
      </w:r>
      <w:r w:rsidR="000F4A4E" w:rsidRPr="00B356D4">
        <w:rPr>
          <w:noProof/>
        </w:rPr>
        <w:t>previously submitted request for the same purpose by another public sector body or U</w:t>
      </w:r>
      <w:r w:rsidR="000F4A4E">
        <w:rPr>
          <w:noProof/>
        </w:rPr>
        <w:t>nion</w:t>
      </w:r>
      <w:r w:rsidR="000F4A4E" w:rsidRPr="00B356D4">
        <w:rPr>
          <w:noProof/>
        </w:rPr>
        <w:t xml:space="preserve"> institution agency or body</w:t>
      </w:r>
      <w:r w:rsidR="000F4A4E">
        <w:rPr>
          <w:noProof/>
        </w:rPr>
        <w:t xml:space="preserve"> and the data holder has not been notified of the destruction of the data pursuant to Article 19(1), point (</w:t>
      </w:r>
      <w:r w:rsidR="00D76A32">
        <w:rPr>
          <w:noProof/>
        </w:rPr>
        <w:t>c</w:t>
      </w:r>
      <w:r w:rsidR="000F4A4E">
        <w:rPr>
          <w:noProof/>
        </w:rPr>
        <w:t>)</w:t>
      </w:r>
      <w:r w:rsidR="000F4A4E" w:rsidRPr="00B356D4">
        <w:rPr>
          <w:noProof/>
        </w:rPr>
        <w:t>.</w:t>
      </w:r>
    </w:p>
    <w:p w14:paraId="0A5640A5" w14:textId="141EE583" w:rsidR="00AC3077" w:rsidRPr="00B356D4" w:rsidRDefault="000856CE" w:rsidP="000856CE">
      <w:pPr>
        <w:pStyle w:val="ManualNumPar1"/>
        <w:rPr>
          <w:noProof/>
        </w:rPr>
      </w:pPr>
      <w:r w:rsidRPr="000856CE">
        <w:t>4.</w:t>
      </w:r>
      <w:r w:rsidRPr="000856CE">
        <w:tab/>
      </w:r>
      <w:r w:rsidR="00AC3077">
        <w:rPr>
          <w:noProof/>
        </w:rPr>
        <w:t>If the data holder decides to</w:t>
      </w:r>
      <w:r w:rsidR="00AC3077" w:rsidRPr="00B356D4">
        <w:rPr>
          <w:noProof/>
        </w:rPr>
        <w:t xml:space="preserve"> declin</w:t>
      </w:r>
      <w:r w:rsidR="00AC3077">
        <w:rPr>
          <w:noProof/>
        </w:rPr>
        <w:t>e</w:t>
      </w:r>
      <w:r w:rsidR="00AC3077" w:rsidRPr="00B356D4">
        <w:rPr>
          <w:noProof/>
        </w:rPr>
        <w:t xml:space="preserve"> the request or </w:t>
      </w:r>
      <w:r w:rsidR="00AC3077">
        <w:rPr>
          <w:noProof/>
        </w:rPr>
        <w:t>to</w:t>
      </w:r>
      <w:r w:rsidR="00AC3077" w:rsidRPr="00B356D4">
        <w:rPr>
          <w:noProof/>
        </w:rPr>
        <w:t xml:space="preserve"> seek </w:t>
      </w:r>
      <w:r w:rsidR="00AC3077">
        <w:rPr>
          <w:noProof/>
        </w:rPr>
        <w:t xml:space="preserve">its </w:t>
      </w:r>
      <w:r w:rsidR="00AC3077" w:rsidRPr="00B356D4">
        <w:rPr>
          <w:noProof/>
        </w:rPr>
        <w:t>modification in accordance with paragraph</w:t>
      </w:r>
      <w:r w:rsidR="001F1DD9">
        <w:rPr>
          <w:noProof/>
        </w:rPr>
        <w:t xml:space="preserve"> </w:t>
      </w:r>
      <w:r w:rsidR="00AC3077" w:rsidRPr="00B356D4">
        <w:rPr>
          <w:noProof/>
        </w:rPr>
        <w:t xml:space="preserve">3, </w:t>
      </w:r>
      <w:r w:rsidR="00AC3077">
        <w:rPr>
          <w:noProof/>
        </w:rPr>
        <w:t>it</w:t>
      </w:r>
      <w:r w:rsidR="00AC3077" w:rsidRPr="00B356D4">
        <w:rPr>
          <w:noProof/>
        </w:rPr>
        <w:t xml:space="preserve"> shall indicate the identity of t</w:t>
      </w:r>
      <w:r w:rsidR="00AC3077" w:rsidRPr="00B356D4">
        <w:rPr>
          <w:noProof/>
          <w:lang w:val="en-IE"/>
        </w:rPr>
        <w:t xml:space="preserve">he </w:t>
      </w:r>
      <w:r w:rsidR="00AC3077" w:rsidRPr="00B356D4">
        <w:rPr>
          <w:noProof/>
        </w:rPr>
        <w:t>public sector body or U</w:t>
      </w:r>
      <w:r w:rsidR="00AC3077">
        <w:rPr>
          <w:noProof/>
        </w:rPr>
        <w:t>nion</w:t>
      </w:r>
      <w:r w:rsidR="00AC3077" w:rsidRPr="00B356D4">
        <w:rPr>
          <w:noProof/>
        </w:rPr>
        <w:t xml:space="preserve"> institution agency or body that previously submitted </w:t>
      </w:r>
      <w:r w:rsidR="00AC3077">
        <w:rPr>
          <w:noProof/>
        </w:rPr>
        <w:t>a</w:t>
      </w:r>
      <w:r w:rsidR="00AC3077" w:rsidRPr="00B356D4">
        <w:rPr>
          <w:noProof/>
        </w:rPr>
        <w:t xml:space="preserve"> request</w:t>
      </w:r>
      <w:r w:rsidR="00AC3077" w:rsidRPr="00175E9B">
        <w:rPr>
          <w:noProof/>
        </w:rPr>
        <w:t xml:space="preserve"> </w:t>
      </w:r>
      <w:r w:rsidR="00AC3077">
        <w:rPr>
          <w:noProof/>
        </w:rPr>
        <w:t>for the same purpose</w:t>
      </w:r>
      <w:r w:rsidR="00AC3077" w:rsidRPr="00B356D4">
        <w:rPr>
          <w:noProof/>
        </w:rPr>
        <w:t>.</w:t>
      </w:r>
    </w:p>
    <w:p w14:paraId="29FAB8BC" w14:textId="2CAD6C42" w:rsidR="00AC3077" w:rsidRPr="00B356D4" w:rsidRDefault="000856CE" w:rsidP="000856CE">
      <w:pPr>
        <w:pStyle w:val="ManualNumPar1"/>
        <w:rPr>
          <w:noProof/>
        </w:rPr>
      </w:pPr>
      <w:r w:rsidRPr="000856CE">
        <w:t>5.</w:t>
      </w:r>
      <w:r w:rsidRPr="000856CE">
        <w:tab/>
      </w:r>
      <w:r w:rsidR="00AC3077" w:rsidRPr="00B356D4">
        <w:rPr>
          <w:noProof/>
        </w:rPr>
        <w:t xml:space="preserve">Where compliance with the request to make data available to a public sector body or a Union institution, agency or body requires the </w:t>
      </w:r>
      <w:r w:rsidR="00AC3077">
        <w:rPr>
          <w:noProof/>
        </w:rPr>
        <w:t xml:space="preserve">disclosure </w:t>
      </w:r>
      <w:r w:rsidR="00AC3077" w:rsidRPr="00B356D4">
        <w:rPr>
          <w:noProof/>
        </w:rPr>
        <w:t xml:space="preserve">of personal data, the data holder shall take reasonable efforts to </w:t>
      </w:r>
      <w:r w:rsidR="00AC3077">
        <w:rPr>
          <w:noProof/>
        </w:rPr>
        <w:t>pseudonymise</w:t>
      </w:r>
      <w:r w:rsidR="00AC3077" w:rsidRPr="00B356D4">
        <w:rPr>
          <w:noProof/>
        </w:rPr>
        <w:t xml:space="preserve"> the data</w:t>
      </w:r>
      <w:r w:rsidR="00AC3077">
        <w:rPr>
          <w:noProof/>
        </w:rPr>
        <w:t>, insofar as the request can be fulfilled with pseudonymised data</w:t>
      </w:r>
      <w:r w:rsidR="00AC3077" w:rsidRPr="00B356D4">
        <w:rPr>
          <w:noProof/>
        </w:rPr>
        <w:t>.</w:t>
      </w:r>
    </w:p>
    <w:p w14:paraId="214BDB61" w14:textId="1D93082D" w:rsidR="00AC3077" w:rsidRPr="00AC3077" w:rsidRDefault="000856CE" w:rsidP="000856CE">
      <w:pPr>
        <w:pStyle w:val="ManualNumPar1"/>
        <w:rPr>
          <w:noProof/>
        </w:rPr>
      </w:pPr>
      <w:r w:rsidRPr="000856CE">
        <w:t>6.</w:t>
      </w:r>
      <w:r w:rsidRPr="000856CE">
        <w:tab/>
      </w:r>
      <w:r w:rsidR="00AC3077">
        <w:rPr>
          <w:noProof/>
        </w:rPr>
        <w:t>Where the public sector body or the Union institution, agency or body wishes to challenge a data holder’s refusal to provide the data requested, or to seek modification of the request, or where the data holder wishes to challenge the request, the matter shall be brought to the competent authority referred to in Article 3</w:t>
      </w:r>
      <w:r w:rsidR="00D76A32">
        <w:rPr>
          <w:noProof/>
        </w:rPr>
        <w:t>1</w:t>
      </w:r>
      <w:r w:rsidR="00AC3077">
        <w:rPr>
          <w:noProof/>
        </w:rPr>
        <w:t>.</w:t>
      </w:r>
    </w:p>
    <w:p w14:paraId="104A542D" w14:textId="67D54F02" w:rsidR="00943863" w:rsidRPr="0077149E" w:rsidRDefault="00CC2D52" w:rsidP="0077149E">
      <w:pPr>
        <w:pStyle w:val="Titrearticleb"/>
        <w:rPr>
          <w:noProof/>
        </w:rPr>
      </w:pPr>
      <w:r>
        <w:rPr>
          <w:noProof/>
          <w:lang w:val="en-US"/>
        </w:rPr>
        <w:t>Article 19</w:t>
      </w:r>
      <w:r w:rsidR="0077149E">
        <w:rPr>
          <w:noProof/>
        </w:rPr>
        <w:br/>
      </w:r>
      <w:r w:rsidR="00943863" w:rsidRPr="0077149E">
        <w:rPr>
          <w:noProof/>
        </w:rPr>
        <w:t>Obli</w:t>
      </w:r>
      <w:r w:rsidR="00745100" w:rsidRPr="0077149E">
        <w:rPr>
          <w:noProof/>
        </w:rPr>
        <w:t>gations of public sector bodies and Union</w:t>
      </w:r>
      <w:r w:rsidR="00943863" w:rsidRPr="0077149E">
        <w:rPr>
          <w:noProof/>
        </w:rPr>
        <w:t xml:space="preserve"> institutions, agencies and bodies</w:t>
      </w:r>
    </w:p>
    <w:p w14:paraId="75AC8DC7" w14:textId="4B47D3BE" w:rsidR="00745100" w:rsidRPr="00B356D4" w:rsidRDefault="000856CE" w:rsidP="000856CE">
      <w:pPr>
        <w:pStyle w:val="ManualNumPar1"/>
        <w:rPr>
          <w:noProof/>
        </w:rPr>
      </w:pPr>
      <w:r w:rsidRPr="000856CE">
        <w:t>1.</w:t>
      </w:r>
      <w:r w:rsidRPr="000856CE">
        <w:tab/>
      </w:r>
      <w:r w:rsidR="00745100" w:rsidRPr="00B356D4">
        <w:rPr>
          <w:noProof/>
        </w:rPr>
        <w:t xml:space="preserve">A </w:t>
      </w:r>
      <w:r w:rsidR="004035EB">
        <w:rPr>
          <w:noProof/>
        </w:rPr>
        <w:t xml:space="preserve">public </w:t>
      </w:r>
      <w:r w:rsidR="00AC3077" w:rsidRPr="00B356D4">
        <w:rPr>
          <w:noProof/>
        </w:rPr>
        <w:t xml:space="preserve">sector body or </w:t>
      </w:r>
      <w:r w:rsidR="00AC3077">
        <w:rPr>
          <w:noProof/>
        </w:rPr>
        <w:t xml:space="preserve">a </w:t>
      </w:r>
      <w:r w:rsidR="00AC3077" w:rsidRPr="00B356D4">
        <w:rPr>
          <w:noProof/>
        </w:rPr>
        <w:t xml:space="preserve">Union institution, agency or body </w:t>
      </w:r>
      <w:r w:rsidR="00AC3077">
        <w:rPr>
          <w:noProof/>
        </w:rPr>
        <w:t xml:space="preserve">having received </w:t>
      </w:r>
      <w:r w:rsidR="00AC3077" w:rsidRPr="00B356D4">
        <w:rPr>
          <w:noProof/>
        </w:rPr>
        <w:t xml:space="preserve">data </w:t>
      </w:r>
      <w:r w:rsidR="00AC3077">
        <w:rPr>
          <w:noProof/>
        </w:rPr>
        <w:t>pursuant to a request made under Article 14</w:t>
      </w:r>
      <w:r w:rsidR="00AC3077" w:rsidRPr="00B356D4">
        <w:rPr>
          <w:noProof/>
        </w:rPr>
        <w:t xml:space="preserve"> shall</w:t>
      </w:r>
      <w:r w:rsidR="00745100" w:rsidRPr="00B356D4">
        <w:rPr>
          <w:noProof/>
        </w:rPr>
        <w:t>:</w:t>
      </w:r>
    </w:p>
    <w:p w14:paraId="77C7F35E" w14:textId="505AED20" w:rsidR="00745100" w:rsidRDefault="000856CE" w:rsidP="000856CE">
      <w:pPr>
        <w:pStyle w:val="Point1"/>
        <w:rPr>
          <w:noProof/>
        </w:rPr>
      </w:pPr>
      <w:r w:rsidRPr="000856CE">
        <w:t>(a)</w:t>
      </w:r>
      <w:r w:rsidRPr="000856CE">
        <w:tab/>
      </w:r>
      <w:r w:rsidR="00745100">
        <w:rPr>
          <w:noProof/>
        </w:rPr>
        <w:t xml:space="preserve">not </w:t>
      </w:r>
      <w:r w:rsidR="00AC3077">
        <w:rPr>
          <w:noProof/>
        </w:rPr>
        <w:t>use the data in a manner incompatible with the purpose for which they were requested</w:t>
      </w:r>
      <w:r w:rsidR="00745100" w:rsidRPr="00B356D4">
        <w:rPr>
          <w:noProof/>
        </w:rPr>
        <w:t>;</w:t>
      </w:r>
    </w:p>
    <w:p w14:paraId="19197858" w14:textId="03EA58BD" w:rsidR="00AC3077" w:rsidRDefault="000856CE" w:rsidP="000856CE">
      <w:pPr>
        <w:pStyle w:val="Point1"/>
        <w:rPr>
          <w:noProof/>
        </w:rPr>
      </w:pPr>
      <w:r w:rsidRPr="000856CE">
        <w:t>(b)</w:t>
      </w:r>
      <w:r w:rsidRPr="000856CE">
        <w:tab/>
      </w:r>
      <w:r w:rsidR="00AC3077">
        <w:rPr>
          <w:noProof/>
        </w:rPr>
        <w:t xml:space="preserve">implement, insofar as the processing of personal data is necessary, technical and organisational measures that safeguard the rights and freedoms of data subjects; </w:t>
      </w:r>
    </w:p>
    <w:p w14:paraId="207D17EB" w14:textId="23761402" w:rsidR="00AC3077" w:rsidRPr="00B356D4" w:rsidRDefault="000856CE" w:rsidP="000856CE">
      <w:pPr>
        <w:pStyle w:val="Point1"/>
        <w:rPr>
          <w:noProof/>
        </w:rPr>
      </w:pPr>
      <w:r w:rsidRPr="000856CE">
        <w:t>(c)</w:t>
      </w:r>
      <w:r w:rsidRPr="000856CE">
        <w:tab/>
      </w:r>
      <w:r w:rsidR="00AC3077">
        <w:rPr>
          <w:noProof/>
        </w:rPr>
        <w:t xml:space="preserve">destroy the data as soon as they are no longer necessary for the stated purpose and inform the data holder that the data have been destroyed. </w:t>
      </w:r>
    </w:p>
    <w:p w14:paraId="2C0A158D" w14:textId="3C9461BB" w:rsidR="00745100" w:rsidRPr="00B356D4" w:rsidRDefault="000856CE" w:rsidP="000856CE">
      <w:pPr>
        <w:pStyle w:val="ManualNumPar1"/>
        <w:rPr>
          <w:rFonts w:asciiTheme="minorHAnsi" w:eastAsiaTheme="minorEastAsia" w:hAnsiTheme="minorHAnsi" w:cstheme="minorBidi"/>
          <w:noProof/>
        </w:rPr>
      </w:pPr>
      <w:r w:rsidRPr="000856CE">
        <w:t>2.</w:t>
      </w:r>
      <w:r w:rsidRPr="000856CE">
        <w:tab/>
      </w:r>
      <w:r w:rsidR="00745100" w:rsidRPr="00B356D4">
        <w:rPr>
          <w:noProof/>
        </w:rPr>
        <w:t xml:space="preserve">Disclosure </w:t>
      </w:r>
      <w:r w:rsidR="00312846" w:rsidRPr="009B44C2">
        <w:rPr>
          <w:noProof/>
        </w:rPr>
        <w:t>of trade secrets or alleged trade secrets to a public sector body or to a Union institution, agency or body shall only be required to the extent that it is strictly necessary to achieve the purpose of the request. In such a case, the public sector body or the Union institution, agency or body shall take appropriate measures to preserve the confidentiality of those trade secrets</w:t>
      </w:r>
      <w:r w:rsidR="00745100" w:rsidRPr="00B356D4">
        <w:rPr>
          <w:noProof/>
        </w:rPr>
        <w:t>.</w:t>
      </w:r>
    </w:p>
    <w:p w14:paraId="698E7069" w14:textId="06461906" w:rsidR="00943863" w:rsidRPr="0077149E" w:rsidRDefault="00CC2D52" w:rsidP="0077149E">
      <w:pPr>
        <w:pStyle w:val="Titrearticleb"/>
        <w:rPr>
          <w:noProof/>
        </w:rPr>
      </w:pPr>
      <w:r>
        <w:rPr>
          <w:noProof/>
          <w:lang w:val="en-US"/>
        </w:rPr>
        <w:t>Article 20</w:t>
      </w:r>
      <w:r w:rsidR="0077149E">
        <w:rPr>
          <w:noProof/>
        </w:rPr>
        <w:br/>
      </w:r>
      <w:r w:rsidR="00943863" w:rsidRPr="0077149E">
        <w:rPr>
          <w:noProof/>
        </w:rPr>
        <w:t>Compensation</w:t>
      </w:r>
      <w:r w:rsidR="00312846">
        <w:rPr>
          <w:noProof/>
        </w:rPr>
        <w:t xml:space="preserve"> in cases of exceptional need</w:t>
      </w:r>
      <w:r w:rsidR="00943863" w:rsidRPr="0077149E">
        <w:rPr>
          <w:noProof/>
        </w:rPr>
        <w:t xml:space="preserve"> </w:t>
      </w:r>
    </w:p>
    <w:p w14:paraId="7A5E7189" w14:textId="591959BC" w:rsidR="00745100" w:rsidRDefault="000856CE" w:rsidP="000856CE">
      <w:pPr>
        <w:pStyle w:val="ManualNumPar1"/>
        <w:rPr>
          <w:noProof/>
        </w:rPr>
      </w:pPr>
      <w:r w:rsidRPr="000856CE">
        <w:t>1.</w:t>
      </w:r>
      <w:r w:rsidRPr="000856CE">
        <w:tab/>
      </w:r>
      <w:r w:rsidR="00745100">
        <w:rPr>
          <w:noProof/>
        </w:rPr>
        <w:t>D</w:t>
      </w:r>
      <w:r w:rsidR="00745100" w:rsidRPr="00B356D4">
        <w:rPr>
          <w:noProof/>
        </w:rPr>
        <w:t>ata</w:t>
      </w:r>
      <w:r w:rsidR="00745100">
        <w:rPr>
          <w:noProof/>
        </w:rPr>
        <w:t xml:space="preserve"> </w:t>
      </w:r>
      <w:r w:rsidR="00312846">
        <w:rPr>
          <w:noProof/>
        </w:rPr>
        <w:t>made</w:t>
      </w:r>
      <w:r w:rsidR="00312846" w:rsidRPr="00B356D4">
        <w:rPr>
          <w:noProof/>
        </w:rPr>
        <w:t xml:space="preserve"> available </w:t>
      </w:r>
      <w:r w:rsidR="00312846">
        <w:rPr>
          <w:noProof/>
        </w:rPr>
        <w:t>to respond to</w:t>
      </w:r>
      <w:r w:rsidR="00312846" w:rsidRPr="00B356D4">
        <w:rPr>
          <w:noProof/>
        </w:rPr>
        <w:t xml:space="preserve"> a public emergency pursuant to Article 15</w:t>
      </w:r>
      <w:r w:rsidR="00312846">
        <w:rPr>
          <w:noProof/>
        </w:rPr>
        <w:t xml:space="preserve">, point </w:t>
      </w:r>
      <w:r w:rsidR="00312846" w:rsidRPr="00B356D4">
        <w:rPr>
          <w:noProof/>
        </w:rPr>
        <w:t>(a)</w:t>
      </w:r>
      <w:r w:rsidR="00312846">
        <w:rPr>
          <w:noProof/>
        </w:rPr>
        <w:t>,</w:t>
      </w:r>
      <w:r w:rsidR="00312846" w:rsidRPr="00B356D4" w:rsidDel="00207C1E">
        <w:rPr>
          <w:noProof/>
        </w:rPr>
        <w:t xml:space="preserve"> </w:t>
      </w:r>
      <w:r w:rsidR="00312846" w:rsidRPr="00B356D4">
        <w:rPr>
          <w:noProof/>
        </w:rPr>
        <w:t xml:space="preserve">shall be </w:t>
      </w:r>
      <w:r w:rsidR="00312846">
        <w:rPr>
          <w:noProof/>
        </w:rPr>
        <w:t>provided</w:t>
      </w:r>
      <w:r w:rsidR="00312846" w:rsidRPr="00B356D4">
        <w:rPr>
          <w:noProof/>
        </w:rPr>
        <w:t xml:space="preserve"> free of charge</w:t>
      </w:r>
      <w:r w:rsidR="00745100" w:rsidRPr="00B356D4">
        <w:rPr>
          <w:noProof/>
        </w:rPr>
        <w:t xml:space="preserve">. </w:t>
      </w:r>
    </w:p>
    <w:p w14:paraId="7A80D301" w14:textId="62EA7F0F" w:rsidR="00312846" w:rsidRPr="00312846" w:rsidRDefault="000856CE" w:rsidP="000856CE">
      <w:pPr>
        <w:pStyle w:val="ManualNumPar1"/>
        <w:rPr>
          <w:noProof/>
        </w:rPr>
      </w:pPr>
      <w:r w:rsidRPr="000856CE">
        <w:t>2.</w:t>
      </w:r>
      <w:r w:rsidRPr="000856CE">
        <w:tab/>
      </w:r>
      <w:r w:rsidR="00312846">
        <w:rPr>
          <w:noProof/>
        </w:rPr>
        <w:t>Where the data holder claims compensation for making data available in compliance with a request made pursuant</w:t>
      </w:r>
      <w:r w:rsidR="00312846" w:rsidRPr="00B356D4">
        <w:rPr>
          <w:noProof/>
        </w:rPr>
        <w:t xml:space="preserve"> </w:t>
      </w:r>
      <w:r w:rsidR="00312846">
        <w:rPr>
          <w:noProof/>
        </w:rPr>
        <w:t xml:space="preserve">to </w:t>
      </w:r>
      <w:r w:rsidR="00312846" w:rsidRPr="00B356D4">
        <w:rPr>
          <w:noProof/>
        </w:rPr>
        <w:t>Article 15</w:t>
      </w:r>
      <w:r w:rsidR="00312846">
        <w:rPr>
          <w:noProof/>
        </w:rPr>
        <w:t>, point</w:t>
      </w:r>
      <w:r w:rsidR="00397CDE">
        <w:rPr>
          <w:noProof/>
        </w:rPr>
        <w:t>s (b) or</w:t>
      </w:r>
      <w:r w:rsidR="00312846">
        <w:rPr>
          <w:noProof/>
        </w:rPr>
        <w:t xml:space="preserve"> </w:t>
      </w:r>
      <w:r w:rsidR="00312846" w:rsidRPr="00B356D4">
        <w:rPr>
          <w:noProof/>
        </w:rPr>
        <w:t>(</w:t>
      </w:r>
      <w:r w:rsidR="00312846">
        <w:rPr>
          <w:noProof/>
        </w:rPr>
        <w:t>c</w:t>
      </w:r>
      <w:r w:rsidR="00312846" w:rsidRPr="00B356D4">
        <w:rPr>
          <w:noProof/>
        </w:rPr>
        <w:t>)</w:t>
      </w:r>
      <w:r w:rsidR="00312846">
        <w:rPr>
          <w:noProof/>
        </w:rPr>
        <w:t>, s</w:t>
      </w:r>
      <w:r w:rsidR="00312846" w:rsidRPr="00B356D4">
        <w:rPr>
          <w:noProof/>
        </w:rPr>
        <w:t xml:space="preserve">uch compensation </w:t>
      </w:r>
      <w:r w:rsidR="00312846">
        <w:rPr>
          <w:noProof/>
        </w:rPr>
        <w:t>shall not exceed</w:t>
      </w:r>
      <w:r w:rsidR="00312846" w:rsidRPr="00B96A37">
        <w:rPr>
          <w:noProof/>
        </w:rPr>
        <w:t xml:space="preserve"> </w:t>
      </w:r>
      <w:r w:rsidR="00312846" w:rsidRPr="00B356D4">
        <w:rPr>
          <w:noProof/>
        </w:rPr>
        <w:t xml:space="preserve">the </w:t>
      </w:r>
      <w:r w:rsidR="00D76A32">
        <w:rPr>
          <w:noProof/>
        </w:rPr>
        <w:t xml:space="preserve">technical and organisational </w:t>
      </w:r>
      <w:r w:rsidR="00312846" w:rsidRPr="00B356D4">
        <w:rPr>
          <w:noProof/>
        </w:rPr>
        <w:t xml:space="preserve">costs incurred </w:t>
      </w:r>
      <w:r w:rsidR="00312846">
        <w:rPr>
          <w:noProof/>
        </w:rPr>
        <w:t>to comply with</w:t>
      </w:r>
      <w:r w:rsidR="00312846" w:rsidRPr="00B356D4">
        <w:rPr>
          <w:noProof/>
        </w:rPr>
        <w:t xml:space="preserve"> </w:t>
      </w:r>
      <w:r w:rsidR="00312846">
        <w:rPr>
          <w:noProof/>
        </w:rPr>
        <w:t>the</w:t>
      </w:r>
      <w:r w:rsidR="00312846" w:rsidRPr="00B356D4">
        <w:rPr>
          <w:noProof/>
        </w:rPr>
        <w:t xml:space="preserve"> request includ</w:t>
      </w:r>
      <w:r w:rsidR="00312846">
        <w:rPr>
          <w:noProof/>
        </w:rPr>
        <w:t>ing, where necessary,</w:t>
      </w:r>
      <w:r w:rsidR="00312846" w:rsidRPr="00B356D4">
        <w:rPr>
          <w:noProof/>
        </w:rPr>
        <w:t xml:space="preserve"> the costs of anonymi</w:t>
      </w:r>
      <w:r w:rsidR="005F46AF">
        <w:rPr>
          <w:noProof/>
        </w:rPr>
        <w:t>s</w:t>
      </w:r>
      <w:r w:rsidR="00312846" w:rsidRPr="00B356D4">
        <w:rPr>
          <w:noProof/>
        </w:rPr>
        <w:t>ation and of technical adaptation</w:t>
      </w:r>
      <w:r w:rsidR="00312846">
        <w:rPr>
          <w:noProof/>
        </w:rPr>
        <w:t>, plus a reasonable margin.</w:t>
      </w:r>
      <w:r w:rsidR="00312846" w:rsidDel="00850D42">
        <w:rPr>
          <w:noProof/>
        </w:rPr>
        <w:t xml:space="preserve"> </w:t>
      </w:r>
      <w:r w:rsidR="00312846">
        <w:rPr>
          <w:noProof/>
        </w:rPr>
        <w:t xml:space="preserve">Upon request of the public sector body or the Union institution, agency or body requesting the data, the data holder shall provide information </w:t>
      </w:r>
      <w:r w:rsidR="00D76A32">
        <w:rPr>
          <w:noProof/>
        </w:rPr>
        <w:t xml:space="preserve">on </w:t>
      </w:r>
      <w:r w:rsidR="00312846">
        <w:rPr>
          <w:noProof/>
        </w:rPr>
        <w:t>the basis for the calculation of the costs and the reasonable margin.</w:t>
      </w:r>
    </w:p>
    <w:p w14:paraId="18559DE9" w14:textId="0CE328FD" w:rsidR="00943863" w:rsidRPr="0077149E" w:rsidRDefault="00CC2D52" w:rsidP="0077149E">
      <w:pPr>
        <w:pStyle w:val="Titrearticleb"/>
        <w:rPr>
          <w:noProof/>
        </w:rPr>
      </w:pPr>
      <w:r>
        <w:rPr>
          <w:noProof/>
          <w:lang w:val="en-US"/>
        </w:rPr>
        <w:t>Article 21</w:t>
      </w:r>
      <w:r w:rsidR="0077149E">
        <w:rPr>
          <w:noProof/>
        </w:rPr>
        <w:br/>
      </w:r>
      <w:r w:rsidR="00943863" w:rsidRPr="00B356D4">
        <w:rPr>
          <w:noProof/>
          <w:lang w:val="en-IE"/>
        </w:rPr>
        <w:t xml:space="preserve">Contribution of </w:t>
      </w:r>
      <w:r w:rsidR="00312846" w:rsidRPr="00B356D4">
        <w:rPr>
          <w:noProof/>
          <w:lang w:val="en-IE"/>
        </w:rPr>
        <w:t>research</w:t>
      </w:r>
      <w:r w:rsidR="00312846">
        <w:rPr>
          <w:noProof/>
          <w:lang w:val="en-IE"/>
        </w:rPr>
        <w:t xml:space="preserve"> organisations or statistical bodies in the </w:t>
      </w:r>
      <w:r w:rsidR="00D76A32">
        <w:rPr>
          <w:noProof/>
          <w:lang w:val="en-IE"/>
        </w:rPr>
        <w:t xml:space="preserve">context of </w:t>
      </w:r>
      <w:r w:rsidR="00312846">
        <w:rPr>
          <w:noProof/>
          <w:lang w:val="en-IE"/>
        </w:rPr>
        <w:t xml:space="preserve">exceptional </w:t>
      </w:r>
      <w:r w:rsidR="00D76A32">
        <w:rPr>
          <w:noProof/>
          <w:lang w:val="en-IE"/>
        </w:rPr>
        <w:t>needs</w:t>
      </w:r>
    </w:p>
    <w:p w14:paraId="30A6CE18" w14:textId="45EAFCA1" w:rsidR="00745100" w:rsidRDefault="000856CE" w:rsidP="000856CE">
      <w:pPr>
        <w:pStyle w:val="ManualNumPar1"/>
        <w:rPr>
          <w:noProof/>
          <w:lang w:val="en-IE" w:eastAsia="fr-BE"/>
        </w:rPr>
      </w:pPr>
      <w:r w:rsidRPr="000856CE">
        <w:t>1.</w:t>
      </w:r>
      <w:r w:rsidRPr="000856CE">
        <w:tab/>
      </w:r>
      <w:r w:rsidR="00D76A32">
        <w:rPr>
          <w:noProof/>
          <w:lang w:val="en-IE" w:eastAsia="fr-BE"/>
        </w:rPr>
        <w:t>A</w:t>
      </w:r>
      <w:r w:rsidR="00D76A32" w:rsidRPr="00AC525B">
        <w:rPr>
          <w:noProof/>
          <w:lang w:val="en-IE" w:eastAsia="fr-BE"/>
        </w:rPr>
        <w:t xml:space="preserve"> </w:t>
      </w:r>
      <w:r w:rsidR="00312846" w:rsidRPr="00AC525B">
        <w:rPr>
          <w:noProof/>
          <w:lang w:val="en-IE" w:eastAsia="fr-BE"/>
        </w:rPr>
        <w:t xml:space="preserve">public sector body or a Union institution, agency or body shall be entitled to </w:t>
      </w:r>
      <w:r w:rsidR="00312846">
        <w:rPr>
          <w:noProof/>
          <w:lang w:val="en-IE" w:eastAsia="fr-BE"/>
        </w:rPr>
        <w:t>share</w:t>
      </w:r>
      <w:r w:rsidR="00312846" w:rsidRPr="00AC525B">
        <w:rPr>
          <w:noProof/>
          <w:lang w:val="en-IE" w:eastAsia="fr-BE"/>
        </w:rPr>
        <w:t xml:space="preserve"> data received under this Chapter </w:t>
      </w:r>
      <w:r w:rsidR="00D76A32">
        <w:rPr>
          <w:noProof/>
          <w:lang w:val="en-IE" w:eastAsia="fr-BE"/>
        </w:rPr>
        <w:t>with</w:t>
      </w:r>
      <w:r w:rsidR="00D76A32" w:rsidRPr="00AC525B">
        <w:rPr>
          <w:noProof/>
          <w:lang w:val="en-IE" w:eastAsia="fr-BE"/>
        </w:rPr>
        <w:t xml:space="preserve"> </w:t>
      </w:r>
      <w:r w:rsidR="00312846" w:rsidRPr="00AC525B">
        <w:rPr>
          <w:noProof/>
          <w:lang w:val="en-IE" w:eastAsia="fr-BE"/>
        </w:rPr>
        <w:t xml:space="preserve">individuals or organisations in view of carrying out scientific research </w:t>
      </w:r>
      <w:r w:rsidR="00D76A32">
        <w:rPr>
          <w:noProof/>
          <w:lang w:val="en-IE" w:eastAsia="fr-BE"/>
        </w:rPr>
        <w:t xml:space="preserve">or analytics </w:t>
      </w:r>
      <w:r w:rsidR="00312846">
        <w:rPr>
          <w:noProof/>
          <w:lang w:val="en-IE" w:eastAsia="fr-BE"/>
        </w:rPr>
        <w:t>compatible with</w:t>
      </w:r>
      <w:r w:rsidR="00312846" w:rsidRPr="00AC525B">
        <w:rPr>
          <w:noProof/>
          <w:lang w:val="en-IE" w:eastAsia="fr-BE"/>
        </w:rPr>
        <w:t xml:space="preserve"> the purpose for which the data was requested, or to national statistical institutes and Eurostat for the compilation of official statistics</w:t>
      </w:r>
      <w:r w:rsidR="00745100" w:rsidRPr="00AC525B">
        <w:rPr>
          <w:noProof/>
          <w:lang w:val="en-IE" w:eastAsia="fr-BE"/>
        </w:rPr>
        <w:t xml:space="preserve">. </w:t>
      </w:r>
    </w:p>
    <w:p w14:paraId="765E6FE8" w14:textId="0220F887" w:rsidR="00312846" w:rsidRPr="00312846" w:rsidRDefault="000856CE" w:rsidP="000856CE">
      <w:pPr>
        <w:pStyle w:val="ManualNumPar1"/>
        <w:rPr>
          <w:noProof/>
          <w:lang w:val="en-IE" w:eastAsia="fr-BE"/>
        </w:rPr>
      </w:pPr>
      <w:r w:rsidRPr="000856CE">
        <w:t>2.</w:t>
      </w:r>
      <w:r w:rsidRPr="000856CE">
        <w:tab/>
      </w:r>
      <w:r w:rsidR="00312846" w:rsidRPr="00312846">
        <w:rPr>
          <w:noProof/>
          <w:lang w:val="en-IE" w:eastAsia="fr-BE"/>
        </w:rPr>
        <w:t xml:space="preserve">Individuals or organisations </w:t>
      </w:r>
      <w:r w:rsidR="00312846" w:rsidRPr="00312846" w:rsidDel="00C33AD5">
        <w:rPr>
          <w:noProof/>
          <w:lang w:val="en-IE" w:eastAsia="fr-BE"/>
        </w:rPr>
        <w:t xml:space="preserve">receiving the </w:t>
      </w:r>
      <w:r w:rsidR="00312846" w:rsidRPr="00312846">
        <w:rPr>
          <w:noProof/>
          <w:lang w:val="en-IE" w:eastAsia="fr-BE"/>
        </w:rPr>
        <w:t xml:space="preserve">data pursuant to paragraph 1 shall act on a not-for-profit basis or in the context of a public-interest mission recognised in Union or Member State law. They shall not include organisations upon which commercial undertakings have a decisive influence or which could result in preferential access to the results of the research. </w:t>
      </w:r>
    </w:p>
    <w:p w14:paraId="1FF8159D" w14:textId="6D9EDA13" w:rsidR="00312846" w:rsidRPr="00312846" w:rsidRDefault="000856CE" w:rsidP="000856CE">
      <w:pPr>
        <w:pStyle w:val="ManualNumPar1"/>
        <w:rPr>
          <w:noProof/>
          <w:lang w:val="en-IE" w:eastAsia="fr-BE"/>
        </w:rPr>
      </w:pPr>
      <w:r w:rsidRPr="000856CE">
        <w:t>3.</w:t>
      </w:r>
      <w:r w:rsidRPr="000856CE">
        <w:tab/>
      </w:r>
      <w:r w:rsidR="00312846" w:rsidRPr="00312846">
        <w:rPr>
          <w:noProof/>
          <w:lang w:val="en-IE" w:eastAsia="fr-BE"/>
        </w:rPr>
        <w:t xml:space="preserve">Individuals or organisations receiving the data pursuant </w:t>
      </w:r>
      <w:r w:rsidR="00D93729">
        <w:rPr>
          <w:noProof/>
          <w:lang w:val="en-IE" w:eastAsia="fr-BE"/>
        </w:rPr>
        <w:t xml:space="preserve">to </w:t>
      </w:r>
      <w:r w:rsidR="00312846" w:rsidRPr="00312846">
        <w:rPr>
          <w:noProof/>
          <w:lang w:val="en-IE" w:eastAsia="fr-BE"/>
        </w:rPr>
        <w:t xml:space="preserve">paragraph 1 shall </w:t>
      </w:r>
      <w:r w:rsidR="00D76A32">
        <w:rPr>
          <w:noProof/>
          <w:lang w:val="en-IE" w:eastAsia="fr-BE"/>
        </w:rPr>
        <w:t>comply with the provisions of</w:t>
      </w:r>
      <w:r w:rsidR="00D76A32" w:rsidRPr="00312846">
        <w:rPr>
          <w:noProof/>
          <w:lang w:val="en-IE" w:eastAsia="fr-BE"/>
        </w:rPr>
        <w:t xml:space="preserve"> </w:t>
      </w:r>
      <w:r w:rsidR="00312846" w:rsidRPr="00312846">
        <w:rPr>
          <w:noProof/>
          <w:lang w:val="en-IE" w:eastAsia="fr-BE"/>
        </w:rPr>
        <w:t>Article 17(</w:t>
      </w:r>
      <w:r w:rsidR="00D76A32">
        <w:rPr>
          <w:noProof/>
          <w:lang w:val="en-IE" w:eastAsia="fr-BE"/>
        </w:rPr>
        <w:t>3</w:t>
      </w:r>
      <w:r w:rsidR="00312846" w:rsidRPr="00312846">
        <w:rPr>
          <w:noProof/>
          <w:lang w:val="en-IE" w:eastAsia="fr-BE"/>
        </w:rPr>
        <w:t xml:space="preserve">) and </w:t>
      </w:r>
      <w:r w:rsidR="00D76A32">
        <w:rPr>
          <w:noProof/>
          <w:lang w:val="en-IE" w:eastAsia="fr-BE"/>
        </w:rPr>
        <w:t>Article 19</w:t>
      </w:r>
      <w:r w:rsidR="00312846" w:rsidRPr="00312846">
        <w:rPr>
          <w:noProof/>
          <w:lang w:val="en-IE" w:eastAsia="fr-BE"/>
        </w:rPr>
        <w:t xml:space="preserve">. </w:t>
      </w:r>
    </w:p>
    <w:p w14:paraId="7AA39E37" w14:textId="74C6119E" w:rsidR="00312846" w:rsidRPr="00312846" w:rsidRDefault="000856CE" w:rsidP="000856CE">
      <w:pPr>
        <w:pStyle w:val="ManualNumPar1"/>
        <w:rPr>
          <w:noProof/>
          <w:lang w:val="en-IE" w:eastAsia="fr-BE"/>
        </w:rPr>
      </w:pPr>
      <w:r w:rsidRPr="000856CE">
        <w:t>4.</w:t>
      </w:r>
      <w:r w:rsidRPr="000856CE">
        <w:tab/>
      </w:r>
      <w:r w:rsidR="00312846" w:rsidRPr="00312846">
        <w:rPr>
          <w:noProof/>
          <w:lang w:val="en-IE" w:eastAsia="fr-BE"/>
        </w:rPr>
        <w:t>Where a public sector body or a Union institution, agency or body</w:t>
      </w:r>
      <w:r w:rsidR="00312846" w:rsidRPr="00312846">
        <w:rPr>
          <w:rFonts w:eastAsiaTheme="minorEastAsia"/>
          <w:noProof/>
          <w:lang w:val="en-IE" w:eastAsia="fr-BE"/>
        </w:rPr>
        <w:t xml:space="preserve"> </w:t>
      </w:r>
      <w:r w:rsidR="00312846" w:rsidRPr="00312846">
        <w:rPr>
          <w:noProof/>
          <w:lang w:val="en-IE" w:eastAsia="fr-BE"/>
        </w:rPr>
        <w:t xml:space="preserve">transmits or makes data available under paragraph 1, it shall notify the data holder from whom the data was received. </w:t>
      </w:r>
    </w:p>
    <w:p w14:paraId="053E92C5" w14:textId="01C964E0" w:rsidR="0032799A" w:rsidRPr="0077149E" w:rsidRDefault="00CC2D52" w:rsidP="0077149E">
      <w:pPr>
        <w:pStyle w:val="Titrearticleb"/>
        <w:rPr>
          <w:noProof/>
        </w:rPr>
      </w:pPr>
      <w:r>
        <w:rPr>
          <w:noProof/>
          <w:lang w:val="en-US"/>
        </w:rPr>
        <w:t>Article 22</w:t>
      </w:r>
      <w:r w:rsidR="0077149E">
        <w:rPr>
          <w:noProof/>
        </w:rPr>
        <w:br/>
      </w:r>
      <w:r w:rsidR="0032799A" w:rsidRPr="00B356D4">
        <w:rPr>
          <w:noProof/>
        </w:rPr>
        <w:t xml:space="preserve">Mutual assistance and cross-border cooperation </w:t>
      </w:r>
    </w:p>
    <w:p w14:paraId="0830A67F" w14:textId="24E809A0" w:rsidR="00745100" w:rsidRDefault="000856CE" w:rsidP="000856CE">
      <w:pPr>
        <w:pStyle w:val="ManualNumPar1"/>
        <w:rPr>
          <w:noProof/>
        </w:rPr>
      </w:pPr>
      <w:r w:rsidRPr="000856CE">
        <w:t>1.</w:t>
      </w:r>
      <w:r w:rsidRPr="000856CE">
        <w:tab/>
      </w:r>
      <w:r w:rsidR="00745100" w:rsidRPr="00B356D4">
        <w:rPr>
          <w:noProof/>
        </w:rPr>
        <w:t xml:space="preserve">Public sector </w:t>
      </w:r>
      <w:r w:rsidR="00312846" w:rsidRPr="00B356D4">
        <w:rPr>
          <w:noProof/>
        </w:rPr>
        <w:t>bodies and Union institutions, agencies and bodies shall cooperate and assist one another, to implement this Chapter in a consistent manner</w:t>
      </w:r>
      <w:r w:rsidR="00745100" w:rsidRPr="00B356D4">
        <w:rPr>
          <w:noProof/>
        </w:rPr>
        <w:t xml:space="preserve">. </w:t>
      </w:r>
    </w:p>
    <w:p w14:paraId="73A15502" w14:textId="547B9AA2" w:rsidR="00312846" w:rsidRPr="00312846" w:rsidRDefault="000856CE" w:rsidP="000856CE">
      <w:pPr>
        <w:pStyle w:val="ManualNumPar1"/>
        <w:rPr>
          <w:noProof/>
        </w:rPr>
      </w:pPr>
      <w:r w:rsidRPr="000856CE">
        <w:t>2.</w:t>
      </w:r>
      <w:r w:rsidRPr="000856CE">
        <w:tab/>
      </w:r>
      <w:r w:rsidR="00312846" w:rsidRPr="00312846">
        <w:rPr>
          <w:noProof/>
        </w:rPr>
        <w:t xml:space="preserve">Any data exchanged in the context of assistance requested and provided pursuant to paragraph 1 shall </w:t>
      </w:r>
      <w:r w:rsidR="00312846">
        <w:rPr>
          <w:noProof/>
        </w:rPr>
        <w:t>not be used in a manner incompatible with the purpose for which they were requested</w:t>
      </w:r>
      <w:r w:rsidR="00312846" w:rsidRPr="00312846">
        <w:rPr>
          <w:noProof/>
        </w:rPr>
        <w:t>.</w:t>
      </w:r>
    </w:p>
    <w:p w14:paraId="0F4717E7" w14:textId="30E17614" w:rsidR="00312846" w:rsidRDefault="000856CE" w:rsidP="000856CE">
      <w:pPr>
        <w:pStyle w:val="ManualNumPar1"/>
        <w:rPr>
          <w:noProof/>
        </w:rPr>
      </w:pPr>
      <w:r w:rsidRPr="000856CE">
        <w:t>3.</w:t>
      </w:r>
      <w:r w:rsidRPr="000856CE">
        <w:tab/>
      </w:r>
      <w:r w:rsidR="00312846">
        <w:rPr>
          <w:noProof/>
        </w:rPr>
        <w:t>Where a public sector body intends to request data from a data holder established in another Member State, it shall first notify</w:t>
      </w:r>
      <w:r w:rsidR="00312846" w:rsidRPr="00833337">
        <w:rPr>
          <w:noProof/>
        </w:rPr>
        <w:t xml:space="preserve"> </w:t>
      </w:r>
      <w:r w:rsidR="00312846">
        <w:rPr>
          <w:noProof/>
        </w:rPr>
        <w:t>the competent authority of that Member State</w:t>
      </w:r>
      <w:r w:rsidR="00312846" w:rsidRPr="00843377">
        <w:rPr>
          <w:noProof/>
        </w:rPr>
        <w:t xml:space="preserve"> </w:t>
      </w:r>
      <w:r w:rsidR="00312846">
        <w:rPr>
          <w:noProof/>
        </w:rPr>
        <w:t>as referred to in Article 3</w:t>
      </w:r>
      <w:r w:rsidR="00A01983">
        <w:rPr>
          <w:noProof/>
        </w:rPr>
        <w:t>1</w:t>
      </w:r>
      <w:r w:rsidR="00312846">
        <w:rPr>
          <w:noProof/>
        </w:rPr>
        <w:t>, of that intention. This requirement shall also apply to requests by Union institutions, agencies and bodies.</w:t>
      </w:r>
    </w:p>
    <w:p w14:paraId="15BF9006" w14:textId="4E912266" w:rsidR="00312846" w:rsidRPr="00312846" w:rsidRDefault="000856CE" w:rsidP="000856CE">
      <w:pPr>
        <w:pStyle w:val="ManualNumPar1"/>
        <w:rPr>
          <w:noProof/>
        </w:rPr>
      </w:pPr>
      <w:r w:rsidRPr="000856CE">
        <w:t>4.</w:t>
      </w:r>
      <w:r w:rsidRPr="000856CE">
        <w:tab/>
      </w:r>
      <w:r w:rsidR="00312846">
        <w:rPr>
          <w:noProof/>
        </w:rPr>
        <w:t>After having been</w:t>
      </w:r>
      <w:r w:rsidR="00312846" w:rsidRPr="00B356D4">
        <w:rPr>
          <w:noProof/>
        </w:rPr>
        <w:t xml:space="preserve"> notified</w:t>
      </w:r>
      <w:r w:rsidR="00312846">
        <w:rPr>
          <w:noProof/>
        </w:rPr>
        <w:t xml:space="preserve"> in accordance with paragraph 3</w:t>
      </w:r>
      <w:r w:rsidR="00312846" w:rsidRPr="00B356D4">
        <w:rPr>
          <w:noProof/>
        </w:rPr>
        <w:t xml:space="preserve">, the </w:t>
      </w:r>
      <w:r w:rsidR="00312846" w:rsidRPr="000268BC">
        <w:rPr>
          <w:noProof/>
        </w:rPr>
        <w:t xml:space="preserve">relevant </w:t>
      </w:r>
      <w:r w:rsidR="00312846" w:rsidRPr="00B356D4">
        <w:rPr>
          <w:noProof/>
        </w:rPr>
        <w:t xml:space="preserve">competent authority shall advise the </w:t>
      </w:r>
      <w:r w:rsidR="00312846">
        <w:rPr>
          <w:noProof/>
        </w:rPr>
        <w:t>requesting</w:t>
      </w:r>
      <w:r w:rsidR="00312846" w:rsidRPr="00B356D4">
        <w:rPr>
          <w:noProof/>
        </w:rPr>
        <w:t xml:space="preserve"> public sector body o</w:t>
      </w:r>
      <w:r w:rsidR="00312846">
        <w:rPr>
          <w:noProof/>
        </w:rPr>
        <w:t>f</w:t>
      </w:r>
      <w:r w:rsidR="00312846" w:rsidRPr="00B356D4">
        <w:rPr>
          <w:noProof/>
        </w:rPr>
        <w:t xml:space="preserve"> the need, if any, to cooperate with public sector bod</w:t>
      </w:r>
      <w:r w:rsidR="00312846">
        <w:rPr>
          <w:noProof/>
        </w:rPr>
        <w:t>ies</w:t>
      </w:r>
      <w:r w:rsidR="00312846" w:rsidRPr="00B356D4">
        <w:rPr>
          <w:noProof/>
        </w:rPr>
        <w:t xml:space="preserve"> </w:t>
      </w:r>
      <w:r w:rsidR="00312846">
        <w:rPr>
          <w:noProof/>
        </w:rPr>
        <w:t>of the</w:t>
      </w:r>
      <w:r w:rsidR="00312846" w:rsidRPr="00B356D4">
        <w:rPr>
          <w:noProof/>
        </w:rPr>
        <w:t xml:space="preserve"> Member State </w:t>
      </w:r>
      <w:r w:rsidR="00312846">
        <w:rPr>
          <w:noProof/>
        </w:rPr>
        <w:t>in which the data holder is established,</w:t>
      </w:r>
      <w:r w:rsidR="00312846" w:rsidRPr="00B356D4">
        <w:rPr>
          <w:noProof/>
        </w:rPr>
        <w:t xml:space="preserve"> with the aim o</w:t>
      </w:r>
      <w:r w:rsidR="00312846">
        <w:rPr>
          <w:noProof/>
        </w:rPr>
        <w:t>f</w:t>
      </w:r>
      <w:r w:rsidR="00312846" w:rsidRPr="00B356D4">
        <w:rPr>
          <w:noProof/>
        </w:rPr>
        <w:t xml:space="preserve"> reduc</w:t>
      </w:r>
      <w:r w:rsidR="00312846">
        <w:rPr>
          <w:noProof/>
        </w:rPr>
        <w:t>ing</w:t>
      </w:r>
      <w:r w:rsidR="00312846" w:rsidRPr="00B356D4">
        <w:rPr>
          <w:noProof/>
        </w:rPr>
        <w:t xml:space="preserve"> the administrative burden on the data holder</w:t>
      </w:r>
      <w:r w:rsidR="00312846" w:rsidRPr="000268BC">
        <w:rPr>
          <w:noProof/>
        </w:rPr>
        <w:t xml:space="preserve"> </w:t>
      </w:r>
      <w:r w:rsidR="00312846">
        <w:rPr>
          <w:noProof/>
        </w:rPr>
        <w:t>in complying with the request</w:t>
      </w:r>
      <w:r w:rsidR="00312846" w:rsidRPr="00B356D4">
        <w:rPr>
          <w:noProof/>
        </w:rPr>
        <w:t xml:space="preserve">. The </w:t>
      </w:r>
      <w:r w:rsidR="00312846">
        <w:rPr>
          <w:noProof/>
        </w:rPr>
        <w:t>requesting</w:t>
      </w:r>
      <w:r w:rsidR="00312846" w:rsidRPr="00B356D4">
        <w:rPr>
          <w:noProof/>
        </w:rPr>
        <w:t xml:space="preserve"> public sector body shall take the advice of the </w:t>
      </w:r>
      <w:r w:rsidR="00312846">
        <w:rPr>
          <w:noProof/>
        </w:rPr>
        <w:t xml:space="preserve">relevant </w:t>
      </w:r>
      <w:r w:rsidR="00312846" w:rsidRPr="00B356D4">
        <w:rPr>
          <w:noProof/>
        </w:rPr>
        <w:t>competent authority into account.</w:t>
      </w:r>
    </w:p>
    <w:p w14:paraId="2A4F447D" w14:textId="77777777" w:rsidR="0032799A" w:rsidRPr="00B356D4" w:rsidRDefault="0032799A" w:rsidP="00CF57DB">
      <w:pPr>
        <w:pStyle w:val="ChapterTitle"/>
        <w:rPr>
          <w:noProof/>
          <w:lang w:val="en-IE"/>
        </w:rPr>
      </w:pPr>
      <w:r w:rsidRPr="00B356D4">
        <w:rPr>
          <w:noProof/>
          <w:lang w:val="en-IE"/>
        </w:rPr>
        <w:t>CHAPTER VI</w:t>
      </w:r>
    </w:p>
    <w:p w14:paraId="3E033CBD" w14:textId="77777777" w:rsidR="0032799A" w:rsidRPr="0032799A" w:rsidRDefault="0032799A" w:rsidP="00CF57DB">
      <w:pPr>
        <w:pStyle w:val="ChapterTitle"/>
        <w:rPr>
          <w:noProof/>
          <w:lang w:val="en-IE"/>
        </w:rPr>
      </w:pPr>
      <w:r w:rsidRPr="00B356D4">
        <w:rPr>
          <w:noProof/>
          <w:lang w:val="en-IE"/>
        </w:rPr>
        <w:t xml:space="preserve">SWITCHING BETWEEN DATA PROCESSING SERVICES </w:t>
      </w:r>
    </w:p>
    <w:p w14:paraId="24776AF0" w14:textId="6E1A770E" w:rsidR="00097E5A" w:rsidRPr="009E7432" w:rsidRDefault="00CC2D52" w:rsidP="009E7432">
      <w:pPr>
        <w:pStyle w:val="Titrearticleb"/>
        <w:rPr>
          <w:noProof/>
        </w:rPr>
      </w:pPr>
      <w:r>
        <w:rPr>
          <w:noProof/>
          <w:lang w:val="en-US"/>
        </w:rPr>
        <w:t>Article 23</w:t>
      </w:r>
      <w:r w:rsidR="009E7432">
        <w:rPr>
          <w:noProof/>
        </w:rPr>
        <w:br/>
      </w:r>
      <w:r w:rsidR="00097E5A" w:rsidRPr="009E7432">
        <w:rPr>
          <w:noProof/>
        </w:rPr>
        <w:t xml:space="preserve">Removing obstacles to effective switching between providers of data processing services </w:t>
      </w:r>
    </w:p>
    <w:p w14:paraId="144E4F5C" w14:textId="1BDED4A9" w:rsidR="00097E5A" w:rsidRPr="00AC525B" w:rsidRDefault="000856CE" w:rsidP="000856CE">
      <w:pPr>
        <w:pStyle w:val="ManualNumPar1"/>
        <w:rPr>
          <w:rFonts w:eastAsia="Calibri"/>
          <w:noProof/>
          <w:szCs w:val="24"/>
          <w:lang w:val="en-IE"/>
        </w:rPr>
      </w:pPr>
      <w:r w:rsidRPr="000856CE">
        <w:t>1.</w:t>
      </w:r>
      <w:r w:rsidRPr="000856CE">
        <w:tab/>
      </w:r>
      <w:r w:rsidR="00097E5A" w:rsidRPr="00AC525B">
        <w:rPr>
          <w:noProof/>
          <w:lang w:val="en-IE"/>
        </w:rPr>
        <w:t xml:space="preserve">Providers </w:t>
      </w:r>
      <w:r w:rsidR="0032432C" w:rsidRPr="00AC525B">
        <w:rPr>
          <w:noProof/>
          <w:lang w:val="en-IE"/>
        </w:rPr>
        <w:t xml:space="preserve">of a data processing service shall take the measures </w:t>
      </w:r>
      <w:r w:rsidR="0032432C">
        <w:rPr>
          <w:noProof/>
          <w:lang w:val="en-IE"/>
        </w:rPr>
        <w:t xml:space="preserve">provided for </w:t>
      </w:r>
      <w:r w:rsidR="0032432C" w:rsidRPr="00AC525B">
        <w:rPr>
          <w:noProof/>
          <w:lang w:val="en-IE"/>
        </w:rPr>
        <w:t>in Articles 24, 25 and 26 to ensure that customers of the</w:t>
      </w:r>
      <w:r w:rsidR="0032432C">
        <w:rPr>
          <w:noProof/>
          <w:lang w:val="en-IE"/>
        </w:rPr>
        <w:t>ir</w:t>
      </w:r>
      <w:r w:rsidR="0032432C" w:rsidRPr="00AC525B">
        <w:rPr>
          <w:noProof/>
          <w:lang w:val="en-IE"/>
        </w:rPr>
        <w:t xml:space="preserve"> service can switch to a</w:t>
      </w:r>
      <w:r w:rsidR="0032432C">
        <w:rPr>
          <w:noProof/>
          <w:lang w:val="en-IE"/>
        </w:rPr>
        <w:t>nother</w:t>
      </w:r>
      <w:r w:rsidR="0032432C" w:rsidRPr="00AC525B">
        <w:rPr>
          <w:noProof/>
          <w:lang w:val="en-IE"/>
        </w:rPr>
        <w:t xml:space="preserve"> data processing service, covering the same </w:t>
      </w:r>
      <w:r w:rsidR="0032432C">
        <w:rPr>
          <w:noProof/>
          <w:lang w:val="en-IE"/>
        </w:rPr>
        <w:t>service type</w:t>
      </w:r>
      <w:r w:rsidR="0032432C" w:rsidRPr="00AC525B">
        <w:rPr>
          <w:noProof/>
          <w:lang w:val="en-IE"/>
        </w:rPr>
        <w:t xml:space="preserve">, which is provided by </w:t>
      </w:r>
      <w:r w:rsidR="0032432C" w:rsidRPr="03E5F275">
        <w:rPr>
          <w:noProof/>
          <w:lang w:val="en-IE"/>
        </w:rPr>
        <w:t>a different</w:t>
      </w:r>
      <w:r w:rsidR="0032432C" w:rsidRPr="00AC525B">
        <w:rPr>
          <w:noProof/>
          <w:lang w:val="en-IE"/>
        </w:rPr>
        <w:t xml:space="preserve"> service provider. In particular, </w:t>
      </w:r>
      <w:r w:rsidR="0032432C">
        <w:rPr>
          <w:noProof/>
          <w:lang w:val="en-IE"/>
        </w:rPr>
        <w:t xml:space="preserve">providers of </w:t>
      </w:r>
      <w:r w:rsidR="0032432C" w:rsidRPr="00AC525B">
        <w:rPr>
          <w:noProof/>
          <w:lang w:val="en-IE"/>
        </w:rPr>
        <w:t xml:space="preserve">data processing service shall remove commercial, technical, contractual and organisational </w:t>
      </w:r>
      <w:r w:rsidR="0032432C">
        <w:rPr>
          <w:noProof/>
          <w:lang w:val="en-IE"/>
        </w:rPr>
        <w:t>obstacles</w:t>
      </w:r>
      <w:r w:rsidR="0032432C" w:rsidRPr="00AC525B">
        <w:rPr>
          <w:noProof/>
          <w:lang w:val="en-IE"/>
        </w:rPr>
        <w:t xml:space="preserve">, which inhibit </w:t>
      </w:r>
      <w:r w:rsidR="0032432C">
        <w:rPr>
          <w:noProof/>
          <w:lang w:val="en-IE"/>
        </w:rPr>
        <w:t>customers</w:t>
      </w:r>
      <w:r w:rsidR="0032432C" w:rsidRPr="00AC525B">
        <w:rPr>
          <w:noProof/>
          <w:lang w:val="en-IE"/>
        </w:rPr>
        <w:t xml:space="preserve"> from</w:t>
      </w:r>
      <w:r w:rsidR="00097E5A" w:rsidRPr="00AC525B">
        <w:rPr>
          <w:noProof/>
          <w:lang w:val="en-IE"/>
        </w:rPr>
        <w:t>:</w:t>
      </w:r>
    </w:p>
    <w:p w14:paraId="1B472B8E" w14:textId="5D7991E5" w:rsidR="00097E5A" w:rsidRPr="0032432C" w:rsidRDefault="000856CE" w:rsidP="000856CE">
      <w:pPr>
        <w:pStyle w:val="Point1"/>
        <w:rPr>
          <w:noProof/>
        </w:rPr>
      </w:pPr>
      <w:r w:rsidRPr="000856CE">
        <w:t>(a)</w:t>
      </w:r>
      <w:r w:rsidRPr="000856CE">
        <w:tab/>
      </w:r>
      <w:r w:rsidR="00097E5A" w:rsidRPr="00AC525B">
        <w:rPr>
          <w:noProof/>
          <w:lang w:val="en-IE"/>
        </w:rPr>
        <w:t xml:space="preserve">terminating, </w:t>
      </w:r>
      <w:r w:rsidR="0032432C" w:rsidRPr="2FA46F90">
        <w:rPr>
          <w:noProof/>
          <w:lang w:val="en-IE"/>
        </w:rPr>
        <w:t xml:space="preserve">after a maximum notice period of 30 </w:t>
      </w:r>
      <w:r w:rsidR="0090194C">
        <w:rPr>
          <w:noProof/>
          <w:lang w:val="en-IE"/>
        </w:rPr>
        <w:t xml:space="preserve">calendar </w:t>
      </w:r>
      <w:r w:rsidR="0032432C" w:rsidRPr="2FA46F90">
        <w:rPr>
          <w:noProof/>
          <w:lang w:val="en-IE"/>
        </w:rPr>
        <w:t xml:space="preserve">days, the </w:t>
      </w:r>
      <w:r w:rsidR="0032432C" w:rsidRPr="2FA46F90" w:rsidDel="00B917AA">
        <w:rPr>
          <w:noProof/>
          <w:lang w:val="en-IE"/>
        </w:rPr>
        <w:t xml:space="preserve">contractual </w:t>
      </w:r>
      <w:r w:rsidR="0032432C" w:rsidRPr="061DD6F9">
        <w:rPr>
          <w:noProof/>
          <w:lang w:val="en-IE"/>
        </w:rPr>
        <w:t>agreement</w:t>
      </w:r>
      <w:r w:rsidR="0032432C" w:rsidRPr="2FA46F90" w:rsidDel="00B917AA">
        <w:rPr>
          <w:noProof/>
          <w:lang w:val="en-IE"/>
        </w:rPr>
        <w:t xml:space="preserve"> of</w:t>
      </w:r>
      <w:r w:rsidR="0032432C" w:rsidRPr="03E5F275">
        <w:rPr>
          <w:noProof/>
          <w:lang w:val="en-IE"/>
        </w:rPr>
        <w:t xml:space="preserve"> </w:t>
      </w:r>
      <w:r w:rsidR="0032432C" w:rsidRPr="2FA46F90">
        <w:rPr>
          <w:noProof/>
          <w:lang w:val="en-IE"/>
        </w:rPr>
        <w:t>the service</w:t>
      </w:r>
      <w:r w:rsidR="00097E5A" w:rsidRPr="00AC525B">
        <w:rPr>
          <w:noProof/>
          <w:lang w:val="en-IE"/>
        </w:rPr>
        <w:t>;</w:t>
      </w:r>
    </w:p>
    <w:p w14:paraId="6514F33C" w14:textId="05BA7726" w:rsidR="0032432C" w:rsidRPr="0032432C" w:rsidRDefault="000856CE" w:rsidP="000856CE">
      <w:pPr>
        <w:pStyle w:val="Point1"/>
        <w:rPr>
          <w:noProof/>
          <w:lang w:val="en-IE"/>
        </w:rPr>
      </w:pPr>
      <w:r w:rsidRPr="000856CE">
        <w:t>(b)</w:t>
      </w:r>
      <w:r w:rsidRPr="000856CE">
        <w:tab/>
      </w:r>
      <w:r w:rsidR="0032432C" w:rsidRPr="0032432C">
        <w:rPr>
          <w:noProof/>
          <w:lang w:val="en-IE"/>
        </w:rPr>
        <w:t>concluding new contractual agreements with a different provider of data processing services covering the same service type;</w:t>
      </w:r>
    </w:p>
    <w:p w14:paraId="6FC4284D" w14:textId="7ABED33B" w:rsidR="0032432C" w:rsidRPr="00D40753" w:rsidRDefault="000856CE" w:rsidP="000856CE">
      <w:pPr>
        <w:pStyle w:val="Point1"/>
        <w:rPr>
          <w:noProof/>
        </w:rPr>
      </w:pPr>
      <w:r w:rsidRPr="000856CE">
        <w:t>(c)</w:t>
      </w:r>
      <w:r w:rsidRPr="000856CE">
        <w:tab/>
      </w:r>
      <w:r w:rsidR="0032432C" w:rsidRPr="0032432C">
        <w:rPr>
          <w:noProof/>
          <w:lang w:val="en-IE"/>
        </w:rPr>
        <w:t xml:space="preserve">porting its data, applications and other digital assets to another provider of data processing services; </w:t>
      </w:r>
    </w:p>
    <w:p w14:paraId="351347A4" w14:textId="66DE570F" w:rsidR="0032432C" w:rsidRPr="00B356D4" w:rsidRDefault="000856CE" w:rsidP="000856CE">
      <w:pPr>
        <w:pStyle w:val="Point1"/>
        <w:rPr>
          <w:noProof/>
        </w:rPr>
      </w:pPr>
      <w:r w:rsidRPr="000856CE">
        <w:t>(d)</w:t>
      </w:r>
      <w:r w:rsidRPr="000856CE">
        <w:tab/>
      </w:r>
      <w:r w:rsidR="0032432C" w:rsidRPr="0032432C">
        <w:rPr>
          <w:noProof/>
          <w:lang w:val="en-IE"/>
        </w:rPr>
        <w:t>maintaining functional equivalence of the service in the IT-environment of the different provider or providers of data processing services covering the same service type, in accordance with Article 26.</w:t>
      </w:r>
    </w:p>
    <w:p w14:paraId="09072813" w14:textId="2707874D" w:rsidR="00097E5A" w:rsidRPr="00B356D4" w:rsidRDefault="000856CE" w:rsidP="000856CE">
      <w:pPr>
        <w:pStyle w:val="ManualNumPar1"/>
        <w:rPr>
          <w:rFonts w:asciiTheme="minorHAnsi" w:hAnsiTheme="minorHAnsi" w:cstheme="minorBidi"/>
          <w:noProof/>
          <w:lang w:val="en-IE"/>
        </w:rPr>
      </w:pPr>
      <w:r w:rsidRPr="000856CE">
        <w:t>2.</w:t>
      </w:r>
      <w:r w:rsidRPr="000856CE">
        <w:tab/>
      </w:r>
      <w:r w:rsidR="00097E5A" w:rsidRPr="00B356D4">
        <w:rPr>
          <w:noProof/>
          <w:lang w:val="en-IE"/>
        </w:rPr>
        <w:t xml:space="preserve">Paragraph </w:t>
      </w:r>
      <w:r w:rsidR="0032432C" w:rsidRPr="00B356D4">
        <w:rPr>
          <w:noProof/>
          <w:lang w:val="en-IE"/>
        </w:rPr>
        <w:t xml:space="preserve">1 shall </w:t>
      </w:r>
      <w:r w:rsidR="0032432C">
        <w:rPr>
          <w:noProof/>
          <w:lang w:val="en-IE"/>
        </w:rPr>
        <w:t>only</w:t>
      </w:r>
      <w:r w:rsidR="0032432C" w:rsidRPr="00B356D4">
        <w:rPr>
          <w:noProof/>
          <w:lang w:val="en-IE"/>
        </w:rPr>
        <w:t xml:space="preserve"> apply to obstacles that are related to </w:t>
      </w:r>
      <w:r w:rsidR="0032432C">
        <w:rPr>
          <w:noProof/>
          <w:lang w:val="en-IE"/>
        </w:rPr>
        <w:t xml:space="preserve">the </w:t>
      </w:r>
      <w:r w:rsidR="0032432C" w:rsidRPr="00B356D4">
        <w:rPr>
          <w:noProof/>
          <w:lang w:val="en-IE"/>
        </w:rPr>
        <w:t xml:space="preserve">services, contractual agreements or commercial practices </w:t>
      </w:r>
      <w:r w:rsidR="0032432C" w:rsidRPr="551C3EBE">
        <w:rPr>
          <w:noProof/>
          <w:lang w:val="en-IE"/>
        </w:rPr>
        <w:t>provided by</w:t>
      </w:r>
      <w:r w:rsidR="0032432C" w:rsidRPr="00B356D4">
        <w:rPr>
          <w:noProof/>
          <w:lang w:val="en-IE"/>
        </w:rPr>
        <w:t xml:space="preserve"> the </w:t>
      </w:r>
      <w:r w:rsidR="0032432C" w:rsidRPr="45CDDC84">
        <w:rPr>
          <w:noProof/>
          <w:lang w:val="en-IE"/>
        </w:rPr>
        <w:t>original provider</w:t>
      </w:r>
      <w:r w:rsidR="00097E5A" w:rsidRPr="00B356D4">
        <w:rPr>
          <w:noProof/>
          <w:lang w:val="en-IE"/>
        </w:rPr>
        <w:t>.</w:t>
      </w:r>
    </w:p>
    <w:p w14:paraId="1C9DA678" w14:textId="041B7725" w:rsidR="0032799A" w:rsidRPr="009E7432" w:rsidRDefault="00CC2D52" w:rsidP="009E7432">
      <w:pPr>
        <w:pStyle w:val="Titrearticleb"/>
        <w:rPr>
          <w:noProof/>
        </w:rPr>
      </w:pPr>
      <w:r>
        <w:rPr>
          <w:noProof/>
          <w:lang w:val="en-US"/>
        </w:rPr>
        <w:t>Article 24</w:t>
      </w:r>
      <w:r w:rsidR="009E7432">
        <w:rPr>
          <w:noProof/>
        </w:rPr>
        <w:br/>
      </w:r>
      <w:r w:rsidR="0032799A" w:rsidRPr="00B356D4">
        <w:rPr>
          <w:noProof/>
          <w:lang w:val="en-IE"/>
        </w:rPr>
        <w:t>Contractual terms concerning switching between providers of data processing services</w:t>
      </w:r>
    </w:p>
    <w:p w14:paraId="148A4E7D" w14:textId="03491DC4" w:rsidR="00097E5A" w:rsidRPr="00AC525B" w:rsidRDefault="000856CE" w:rsidP="000856CE">
      <w:pPr>
        <w:pStyle w:val="ManualNumPar1"/>
        <w:rPr>
          <w:rFonts w:asciiTheme="minorHAnsi" w:eastAsiaTheme="minorEastAsia" w:hAnsiTheme="minorHAnsi" w:cstheme="minorBidi"/>
          <w:noProof/>
          <w:lang w:val="en-IE"/>
        </w:rPr>
      </w:pPr>
      <w:r w:rsidRPr="000856CE">
        <w:t>1.</w:t>
      </w:r>
      <w:r w:rsidRPr="000856CE">
        <w:tab/>
      </w:r>
      <w:r w:rsidR="00097E5A" w:rsidRPr="00AC525B">
        <w:rPr>
          <w:noProof/>
          <w:lang w:val="en-IE"/>
        </w:rPr>
        <w:t xml:space="preserve">The </w:t>
      </w:r>
      <w:r w:rsidR="0032432C" w:rsidRPr="00AC525B">
        <w:rPr>
          <w:noProof/>
          <w:lang w:val="en-IE"/>
        </w:rPr>
        <w:t>rights of the customer and the obligations of the</w:t>
      </w:r>
      <w:r w:rsidR="0032432C">
        <w:rPr>
          <w:noProof/>
          <w:lang w:val="en-IE"/>
        </w:rPr>
        <w:t xml:space="preserve"> provider of a</w:t>
      </w:r>
      <w:r w:rsidR="0032432C" w:rsidRPr="00AC525B">
        <w:rPr>
          <w:noProof/>
          <w:lang w:val="en-IE"/>
        </w:rPr>
        <w:t xml:space="preserve"> data processing service in relation to switching </w:t>
      </w:r>
      <w:r w:rsidR="0032432C" w:rsidRPr="00AC525B">
        <w:rPr>
          <w:rFonts w:eastAsia="Times New Roman"/>
          <w:bCs/>
          <w:iCs/>
          <w:noProof/>
          <w:lang w:val="en-IE"/>
        </w:rPr>
        <w:t xml:space="preserve">between providers </w:t>
      </w:r>
      <w:r w:rsidR="001E6F82">
        <w:rPr>
          <w:rFonts w:eastAsia="Times New Roman"/>
          <w:bCs/>
          <w:iCs/>
          <w:noProof/>
          <w:lang w:val="en-IE"/>
        </w:rPr>
        <w:t xml:space="preserve">of </w:t>
      </w:r>
      <w:r w:rsidR="0032432C">
        <w:rPr>
          <w:rFonts w:eastAsia="Times New Roman"/>
          <w:bCs/>
          <w:iCs/>
          <w:noProof/>
          <w:lang w:val="en-IE"/>
        </w:rPr>
        <w:t>such</w:t>
      </w:r>
      <w:r w:rsidR="0032432C" w:rsidRPr="00AC525B">
        <w:rPr>
          <w:rFonts w:eastAsia="Times New Roman"/>
          <w:bCs/>
          <w:iCs/>
          <w:noProof/>
          <w:lang w:val="en-IE"/>
        </w:rPr>
        <w:t xml:space="preserve"> services</w:t>
      </w:r>
      <w:r w:rsidR="0032432C" w:rsidRPr="00AC525B">
        <w:rPr>
          <w:noProof/>
          <w:lang w:val="en-IE"/>
        </w:rPr>
        <w:t xml:space="preserve"> shall be clearly set out in a written contract. Without prejudice to Directive (EU) 2019/770, that contract shall include at least the following</w:t>
      </w:r>
      <w:r w:rsidR="00097E5A" w:rsidRPr="00AC525B">
        <w:rPr>
          <w:noProof/>
          <w:lang w:val="en-IE"/>
        </w:rPr>
        <w:t>:</w:t>
      </w:r>
    </w:p>
    <w:p w14:paraId="18F1E050" w14:textId="77DD63C3" w:rsidR="00097E5A" w:rsidRPr="00AC525B" w:rsidRDefault="000856CE" w:rsidP="000856CE">
      <w:pPr>
        <w:pStyle w:val="Point1"/>
        <w:rPr>
          <w:noProof/>
          <w:lang w:val="en-IE"/>
        </w:rPr>
      </w:pPr>
      <w:r w:rsidRPr="000856CE">
        <w:t>(a)</w:t>
      </w:r>
      <w:r w:rsidRPr="000856CE">
        <w:tab/>
      </w:r>
      <w:r w:rsidR="00097E5A" w:rsidRPr="00AC525B">
        <w:rPr>
          <w:noProof/>
          <w:lang w:val="en-IE"/>
        </w:rPr>
        <w:t xml:space="preserve">clauses </w:t>
      </w:r>
      <w:r w:rsidR="0032432C" w:rsidRPr="2FA46F90">
        <w:rPr>
          <w:noProof/>
          <w:lang w:val="en-IE"/>
        </w:rPr>
        <w:t xml:space="preserve">allowing the customer, upon request, </w:t>
      </w:r>
      <w:r w:rsidR="0032432C">
        <w:rPr>
          <w:noProof/>
          <w:lang w:val="en-IE"/>
        </w:rPr>
        <w:t xml:space="preserve">to </w:t>
      </w:r>
      <w:r w:rsidR="0032432C" w:rsidRPr="2FA46F90">
        <w:rPr>
          <w:noProof/>
          <w:lang w:val="en-IE"/>
        </w:rPr>
        <w:t>switch to a data processing service offered by another</w:t>
      </w:r>
      <w:r w:rsidR="0032432C">
        <w:rPr>
          <w:noProof/>
          <w:lang w:val="en-IE"/>
        </w:rPr>
        <w:t xml:space="preserve"> provider of</w:t>
      </w:r>
      <w:r w:rsidR="0032432C" w:rsidRPr="2FA46F90">
        <w:rPr>
          <w:noProof/>
          <w:lang w:val="en-IE"/>
        </w:rPr>
        <w:t xml:space="preserve"> data processing service or to port all data, applications and digital assets generated directly or indirectly by the customer to an on</w:t>
      </w:r>
      <w:r w:rsidR="001E6F82">
        <w:rPr>
          <w:noProof/>
          <w:lang w:val="en-IE"/>
        </w:rPr>
        <w:t>-</w:t>
      </w:r>
      <w:r w:rsidR="0032432C" w:rsidRPr="2FA46F90">
        <w:rPr>
          <w:noProof/>
          <w:lang w:val="en-IE"/>
        </w:rPr>
        <w:t xml:space="preserve">premise system, in particular the establishment of a mandatory maximum transition period of 30 </w:t>
      </w:r>
      <w:r w:rsidR="0032432C" w:rsidRPr="551C3EBE">
        <w:rPr>
          <w:noProof/>
          <w:lang w:val="en-IE"/>
        </w:rPr>
        <w:t xml:space="preserve">calendar </w:t>
      </w:r>
      <w:r w:rsidR="0032432C" w:rsidRPr="2FA46F90">
        <w:rPr>
          <w:noProof/>
          <w:lang w:val="en-IE"/>
        </w:rPr>
        <w:t>days, during which the data processing service provider</w:t>
      </w:r>
      <w:r w:rsidR="0032432C" w:rsidRPr="237E6667">
        <w:rPr>
          <w:noProof/>
          <w:lang w:val="en-IE"/>
        </w:rPr>
        <w:t xml:space="preserve"> shall</w:t>
      </w:r>
      <w:r w:rsidR="00097E5A" w:rsidRPr="00AC525B">
        <w:rPr>
          <w:noProof/>
          <w:lang w:val="en-IE"/>
        </w:rPr>
        <w:t>:</w:t>
      </w:r>
    </w:p>
    <w:p w14:paraId="586BE993" w14:textId="5FD48ACA" w:rsidR="00AC525B" w:rsidRDefault="000856CE" w:rsidP="000856CE">
      <w:pPr>
        <w:pStyle w:val="Point2"/>
        <w:rPr>
          <w:noProof/>
          <w:lang w:val="en-IE"/>
        </w:rPr>
      </w:pPr>
      <w:r w:rsidRPr="000856CE">
        <w:t>(1)</w:t>
      </w:r>
      <w:r w:rsidRPr="000856CE">
        <w:tab/>
      </w:r>
      <w:r w:rsidR="0032432C" w:rsidRPr="00B356D4">
        <w:rPr>
          <w:noProof/>
          <w:lang w:val="en-IE"/>
        </w:rPr>
        <w:t>assist and, where technically feasible, complete the switching process</w:t>
      </w:r>
      <w:r w:rsidR="0032432C">
        <w:rPr>
          <w:noProof/>
          <w:lang w:val="en-IE"/>
        </w:rPr>
        <w:t xml:space="preserve">; </w:t>
      </w:r>
    </w:p>
    <w:p w14:paraId="670C1E16" w14:textId="50D393A9" w:rsidR="00097E5A" w:rsidRPr="00AC525B" w:rsidRDefault="000856CE" w:rsidP="000856CE">
      <w:pPr>
        <w:pStyle w:val="Point2"/>
        <w:rPr>
          <w:noProof/>
          <w:lang w:val="en-IE"/>
        </w:rPr>
      </w:pPr>
      <w:r w:rsidRPr="000856CE">
        <w:t>(2)</w:t>
      </w:r>
      <w:r w:rsidRPr="000856CE">
        <w:tab/>
      </w:r>
      <w:r w:rsidR="0032432C">
        <w:rPr>
          <w:noProof/>
          <w:lang w:val="en-IE"/>
        </w:rPr>
        <w:t xml:space="preserve">ensure </w:t>
      </w:r>
      <w:r w:rsidR="0032432C" w:rsidRPr="00AC525B">
        <w:rPr>
          <w:noProof/>
          <w:lang w:val="en-IE"/>
        </w:rPr>
        <w:t>full continuity in the provision of the respective functions or services</w:t>
      </w:r>
      <w:r w:rsidR="00097E5A" w:rsidRPr="00AC525B">
        <w:rPr>
          <w:noProof/>
          <w:lang w:val="en-IE"/>
        </w:rPr>
        <w:t>.</w:t>
      </w:r>
    </w:p>
    <w:p w14:paraId="56EB163F" w14:textId="74392F2C" w:rsidR="00097E5A" w:rsidRPr="00B356D4" w:rsidRDefault="000856CE" w:rsidP="000856CE">
      <w:pPr>
        <w:pStyle w:val="Point1"/>
        <w:rPr>
          <w:noProof/>
          <w:lang w:val="en-IE"/>
        </w:rPr>
      </w:pPr>
      <w:r w:rsidRPr="000856CE">
        <w:t>(b)</w:t>
      </w:r>
      <w:r w:rsidRPr="000856CE">
        <w:tab/>
      </w:r>
      <w:r w:rsidR="00097E5A" w:rsidRPr="00B356D4">
        <w:rPr>
          <w:noProof/>
          <w:lang w:val="en-IE"/>
        </w:rPr>
        <w:t xml:space="preserve">an </w:t>
      </w:r>
      <w:r w:rsidR="0032432C" w:rsidRPr="2FA46F90">
        <w:rPr>
          <w:noProof/>
          <w:lang w:val="en-IE"/>
        </w:rPr>
        <w:t>exhaustive specification of all data and application categories exportable during the switching process, including</w:t>
      </w:r>
      <w:r w:rsidR="0032432C" w:rsidRPr="1A98ECBD">
        <w:rPr>
          <w:noProof/>
          <w:lang w:val="en-IE"/>
        </w:rPr>
        <w:t>,</w:t>
      </w:r>
      <w:r w:rsidR="0032432C" w:rsidRPr="2FA46F90">
        <w:rPr>
          <w:noProof/>
          <w:lang w:val="en-IE"/>
        </w:rPr>
        <w:t xml:space="preserve"> at minimum</w:t>
      </w:r>
      <w:r w:rsidR="0032432C" w:rsidRPr="1A98ECBD">
        <w:rPr>
          <w:noProof/>
          <w:lang w:val="en-IE"/>
        </w:rPr>
        <w:t>,</w:t>
      </w:r>
      <w:r w:rsidR="0032432C" w:rsidRPr="2FA46F90">
        <w:rPr>
          <w:noProof/>
          <w:lang w:val="en-IE"/>
        </w:rPr>
        <w:t xml:space="preserve"> all data imported by the customer at the inception of the service agreement and all data and metadata created by the customer and by the use of the service during the period </w:t>
      </w:r>
      <w:r w:rsidR="0032432C" w:rsidRPr="1A98ECBD">
        <w:rPr>
          <w:noProof/>
          <w:lang w:val="en-IE"/>
        </w:rPr>
        <w:t>the service was provided</w:t>
      </w:r>
      <w:r w:rsidR="0032432C" w:rsidRPr="2FA46F90">
        <w:rPr>
          <w:noProof/>
          <w:lang w:val="en-IE"/>
        </w:rPr>
        <w:t>, including, but not limited to, configuration parameters, security settings, access rights and access logs to the service</w:t>
      </w:r>
      <w:r w:rsidR="00097E5A" w:rsidRPr="00B356D4">
        <w:rPr>
          <w:noProof/>
          <w:lang w:val="en-IE"/>
        </w:rPr>
        <w:t>;</w:t>
      </w:r>
    </w:p>
    <w:p w14:paraId="794396E9" w14:textId="5718F9EF" w:rsidR="00097E5A" w:rsidRPr="00AC525B" w:rsidRDefault="000856CE" w:rsidP="000856CE">
      <w:pPr>
        <w:pStyle w:val="Point1"/>
        <w:rPr>
          <w:noProof/>
          <w:lang w:val="en-IE"/>
        </w:rPr>
      </w:pPr>
      <w:r w:rsidRPr="000856CE">
        <w:t>(c)</w:t>
      </w:r>
      <w:r w:rsidRPr="000856CE">
        <w:tab/>
      </w:r>
      <w:r w:rsidR="00097E5A" w:rsidRPr="00B356D4">
        <w:rPr>
          <w:noProof/>
          <w:lang w:val="en-IE"/>
        </w:rPr>
        <w:t xml:space="preserve">a </w:t>
      </w:r>
      <w:r w:rsidR="0032432C" w:rsidRPr="2FA46F90">
        <w:rPr>
          <w:noProof/>
          <w:lang w:val="en-IE"/>
        </w:rPr>
        <w:t xml:space="preserve">minimum period for data retrieval of at least 30 </w:t>
      </w:r>
      <w:r w:rsidR="0032432C" w:rsidRPr="400E3052">
        <w:rPr>
          <w:noProof/>
          <w:lang w:val="en-IE"/>
        </w:rPr>
        <w:t xml:space="preserve">calendar </w:t>
      </w:r>
      <w:r w:rsidR="0032432C" w:rsidRPr="2FA46F90">
        <w:rPr>
          <w:noProof/>
          <w:lang w:val="en-IE"/>
        </w:rPr>
        <w:t xml:space="preserve">days, starting after the termination of the transition period that was agreed </w:t>
      </w:r>
      <w:r w:rsidR="0032432C" w:rsidRPr="400E3052">
        <w:rPr>
          <w:noProof/>
          <w:lang w:val="en-IE"/>
        </w:rPr>
        <w:t>between</w:t>
      </w:r>
      <w:r w:rsidR="0032432C" w:rsidRPr="2FA46F90">
        <w:rPr>
          <w:noProof/>
          <w:lang w:val="en-IE"/>
        </w:rPr>
        <w:t xml:space="preserve"> the customer and </w:t>
      </w:r>
      <w:r w:rsidR="0032432C" w:rsidRPr="400E3052">
        <w:rPr>
          <w:noProof/>
          <w:lang w:val="en-IE"/>
        </w:rPr>
        <w:t xml:space="preserve">the service </w:t>
      </w:r>
      <w:r w:rsidR="0032432C" w:rsidRPr="2FA46F90">
        <w:rPr>
          <w:noProof/>
          <w:lang w:val="en-IE"/>
        </w:rPr>
        <w:t>provider, in accordance with paragraph 1</w:t>
      </w:r>
      <w:r w:rsidR="0032432C">
        <w:rPr>
          <w:noProof/>
          <w:lang w:val="en-IE"/>
        </w:rPr>
        <w:t xml:space="preserve">, point </w:t>
      </w:r>
      <w:r w:rsidR="0032432C" w:rsidRPr="2FA46F90">
        <w:rPr>
          <w:noProof/>
          <w:lang w:val="en-IE"/>
        </w:rPr>
        <w:t>(a) and paragraph 2</w:t>
      </w:r>
      <w:r w:rsidR="00097E5A" w:rsidRPr="00B356D4">
        <w:rPr>
          <w:noProof/>
          <w:lang w:val="en-IE"/>
        </w:rPr>
        <w:t>.</w:t>
      </w:r>
    </w:p>
    <w:p w14:paraId="31016AF2" w14:textId="542CD5F5" w:rsidR="00097E5A" w:rsidRPr="00B356D4" w:rsidRDefault="000856CE" w:rsidP="000856CE">
      <w:pPr>
        <w:pStyle w:val="ManualNumPar1"/>
        <w:rPr>
          <w:noProof/>
          <w:lang w:val="en-IE"/>
        </w:rPr>
      </w:pPr>
      <w:r w:rsidRPr="000856CE">
        <w:t>2.</w:t>
      </w:r>
      <w:r w:rsidRPr="000856CE">
        <w:tab/>
      </w:r>
      <w:r w:rsidR="00097E5A" w:rsidRPr="00B356D4">
        <w:rPr>
          <w:noProof/>
          <w:lang w:val="en-IE"/>
        </w:rPr>
        <w:t xml:space="preserve">Where </w:t>
      </w:r>
      <w:r w:rsidR="0032432C" w:rsidRPr="00B356D4">
        <w:rPr>
          <w:noProof/>
          <w:lang w:val="en-IE"/>
        </w:rPr>
        <w:t>the mandatory transition period as defined in paragraph 1</w:t>
      </w:r>
      <w:r w:rsidR="0090194C">
        <w:rPr>
          <w:noProof/>
          <w:lang w:val="en-IE"/>
        </w:rPr>
        <w:t xml:space="preserve">, points </w:t>
      </w:r>
      <w:r w:rsidR="0032432C" w:rsidRPr="00B356D4">
        <w:rPr>
          <w:noProof/>
          <w:lang w:val="en-IE"/>
        </w:rPr>
        <w:t>(a) and</w:t>
      </w:r>
      <w:r w:rsidR="0032432C">
        <w:rPr>
          <w:noProof/>
          <w:lang w:val="en-IE"/>
        </w:rPr>
        <w:t xml:space="preserve"> </w:t>
      </w:r>
      <w:r w:rsidR="0032432C" w:rsidRPr="00B356D4">
        <w:rPr>
          <w:noProof/>
          <w:lang w:val="en-IE"/>
        </w:rPr>
        <w:t xml:space="preserve">(c) </w:t>
      </w:r>
      <w:r w:rsidR="0032432C" w:rsidRPr="49A602D0">
        <w:rPr>
          <w:noProof/>
          <w:lang w:val="en-IE"/>
        </w:rPr>
        <w:t xml:space="preserve">of this Article </w:t>
      </w:r>
      <w:r w:rsidR="0032432C" w:rsidRPr="00B356D4">
        <w:rPr>
          <w:noProof/>
          <w:lang w:val="en-IE"/>
        </w:rPr>
        <w:t xml:space="preserve">is technically unfeasible, the provider </w:t>
      </w:r>
      <w:r w:rsidR="0032432C" w:rsidRPr="49A602D0">
        <w:rPr>
          <w:noProof/>
          <w:lang w:val="en-IE"/>
        </w:rPr>
        <w:t xml:space="preserve">of data processing services </w:t>
      </w:r>
      <w:r w:rsidR="0032432C" w:rsidRPr="00B356D4">
        <w:rPr>
          <w:noProof/>
          <w:lang w:val="en-IE"/>
        </w:rPr>
        <w:t xml:space="preserve">shall notify the </w:t>
      </w:r>
      <w:r w:rsidR="0032432C">
        <w:rPr>
          <w:noProof/>
          <w:lang w:val="en-IE"/>
        </w:rPr>
        <w:t>customer</w:t>
      </w:r>
      <w:r w:rsidR="0032432C" w:rsidRPr="00B356D4">
        <w:rPr>
          <w:noProof/>
          <w:lang w:val="en-IE"/>
        </w:rPr>
        <w:t xml:space="preserve"> within 7 working days after the switching request</w:t>
      </w:r>
      <w:r w:rsidR="0032432C">
        <w:rPr>
          <w:noProof/>
          <w:lang w:val="en-IE"/>
        </w:rPr>
        <w:t xml:space="preserve"> has been made</w:t>
      </w:r>
      <w:r w:rsidR="0032432C" w:rsidRPr="00B356D4">
        <w:rPr>
          <w:noProof/>
          <w:lang w:val="en-IE"/>
        </w:rPr>
        <w:t xml:space="preserve">, duly motivating the technical unfeasibility with a detailed report and indicating an alternative transition period, which may not </w:t>
      </w:r>
      <w:r w:rsidR="0032432C" w:rsidRPr="49A602D0">
        <w:rPr>
          <w:noProof/>
          <w:lang w:val="en-IE"/>
        </w:rPr>
        <w:t>exceed</w:t>
      </w:r>
      <w:r w:rsidR="0032432C" w:rsidRPr="00B356D4">
        <w:rPr>
          <w:noProof/>
          <w:lang w:val="en-IE"/>
        </w:rPr>
        <w:t xml:space="preserve"> </w:t>
      </w:r>
      <w:r w:rsidR="0032432C">
        <w:rPr>
          <w:noProof/>
          <w:lang w:val="en-IE"/>
        </w:rPr>
        <w:t>6</w:t>
      </w:r>
      <w:r w:rsidR="0032432C" w:rsidRPr="00B356D4">
        <w:rPr>
          <w:noProof/>
          <w:lang w:val="en-IE"/>
        </w:rPr>
        <w:t xml:space="preserve"> months. In accordance with paragraph 1</w:t>
      </w:r>
      <w:r w:rsidR="0032432C" w:rsidRPr="49A602D0">
        <w:rPr>
          <w:noProof/>
          <w:lang w:val="en-IE"/>
        </w:rPr>
        <w:t xml:space="preserve"> of this Article</w:t>
      </w:r>
      <w:r w:rsidR="0032432C" w:rsidRPr="00B356D4">
        <w:rPr>
          <w:noProof/>
          <w:lang w:val="en-IE"/>
        </w:rPr>
        <w:t xml:space="preserve">, full service continuity shall be ensured throughout the alternative transition period against reduced charges, </w:t>
      </w:r>
      <w:r w:rsidR="0032432C" w:rsidRPr="49A602D0">
        <w:rPr>
          <w:noProof/>
          <w:lang w:val="en-IE"/>
        </w:rPr>
        <w:t>referred to</w:t>
      </w:r>
      <w:r w:rsidR="0032432C" w:rsidRPr="00B356D4">
        <w:rPr>
          <w:noProof/>
          <w:lang w:val="en-IE"/>
        </w:rPr>
        <w:t xml:space="preserve"> in Article 25(2</w:t>
      </w:r>
      <w:r w:rsidR="00097E5A" w:rsidRPr="00B356D4">
        <w:rPr>
          <w:noProof/>
          <w:lang w:val="en-IE"/>
        </w:rPr>
        <w:t>).</w:t>
      </w:r>
    </w:p>
    <w:p w14:paraId="0AE13B81" w14:textId="4513CCAF" w:rsidR="0032799A" w:rsidRPr="009E7432" w:rsidRDefault="00CC2D52" w:rsidP="009E7432">
      <w:pPr>
        <w:pStyle w:val="Titrearticleb"/>
        <w:rPr>
          <w:noProof/>
        </w:rPr>
      </w:pPr>
      <w:r>
        <w:rPr>
          <w:noProof/>
          <w:lang w:val="en-US"/>
        </w:rPr>
        <w:t>Article 25</w:t>
      </w:r>
      <w:r w:rsidR="009E7432">
        <w:rPr>
          <w:noProof/>
        </w:rPr>
        <w:br/>
      </w:r>
      <w:r w:rsidR="0032799A" w:rsidRPr="00B356D4">
        <w:rPr>
          <w:noProof/>
          <w:lang w:val="en-IE"/>
        </w:rPr>
        <w:t>Gradual withdrawal of switching charges</w:t>
      </w:r>
    </w:p>
    <w:p w14:paraId="7B21C0B0" w14:textId="672D6948" w:rsidR="00097E5A" w:rsidRPr="00AC525B" w:rsidRDefault="000856CE" w:rsidP="000856CE">
      <w:pPr>
        <w:pStyle w:val="ManualNumPar1"/>
        <w:rPr>
          <w:noProof/>
          <w:lang w:val="en-IE"/>
        </w:rPr>
      </w:pPr>
      <w:r w:rsidRPr="000856CE">
        <w:t>1.</w:t>
      </w:r>
      <w:r w:rsidRPr="000856CE">
        <w:tab/>
      </w:r>
      <w:r w:rsidR="00097E5A" w:rsidRPr="00AC525B">
        <w:rPr>
          <w:noProof/>
          <w:lang w:val="en-IE"/>
        </w:rPr>
        <w:t xml:space="preserve">From </w:t>
      </w:r>
      <w:r w:rsidR="00785F6F" w:rsidRPr="00AC525B">
        <w:rPr>
          <w:noProof/>
          <w:lang w:val="en-IE"/>
        </w:rPr>
        <w:t>[date X</w:t>
      </w:r>
      <w:r w:rsidR="00785F6F" w:rsidRPr="414ED6BF">
        <w:rPr>
          <w:noProof/>
          <w:lang w:val="en-IE"/>
        </w:rPr>
        <w:t>+3yrs</w:t>
      </w:r>
      <w:r w:rsidR="00785F6F" w:rsidRPr="00AC525B">
        <w:rPr>
          <w:noProof/>
          <w:lang w:val="en-IE"/>
        </w:rPr>
        <w:t>] onwards, providers of data processing services shall not impose any charges on the customer for the switching process</w:t>
      </w:r>
      <w:r w:rsidR="00097E5A" w:rsidRPr="00AC525B">
        <w:rPr>
          <w:noProof/>
          <w:lang w:val="en-IE"/>
        </w:rPr>
        <w:t>.</w:t>
      </w:r>
    </w:p>
    <w:p w14:paraId="58EA18DF" w14:textId="68823B64" w:rsidR="00097E5A" w:rsidRPr="00B356D4" w:rsidRDefault="000856CE" w:rsidP="000856CE">
      <w:pPr>
        <w:pStyle w:val="ManualNumPar1"/>
        <w:rPr>
          <w:noProof/>
          <w:lang w:val="en-IE"/>
        </w:rPr>
      </w:pPr>
      <w:r w:rsidRPr="000856CE">
        <w:t>2.</w:t>
      </w:r>
      <w:r w:rsidRPr="000856CE">
        <w:tab/>
      </w:r>
      <w:r w:rsidR="00097E5A" w:rsidRPr="00B356D4">
        <w:rPr>
          <w:noProof/>
          <w:lang w:val="en-IE"/>
        </w:rPr>
        <w:t xml:space="preserve">From </w:t>
      </w:r>
      <w:r w:rsidR="00785F6F" w:rsidRPr="00F002D1">
        <w:rPr>
          <w:noProof/>
          <w:lang w:val="en-IE"/>
        </w:rPr>
        <w:t>[date X</w:t>
      </w:r>
      <w:r w:rsidR="00785F6F" w:rsidRPr="414ED6BF">
        <w:rPr>
          <w:noProof/>
          <w:lang w:val="en-IE"/>
        </w:rPr>
        <w:t>, the date of entry into force of the Data Act</w:t>
      </w:r>
      <w:r w:rsidR="00785F6F" w:rsidRPr="00F002D1">
        <w:rPr>
          <w:noProof/>
          <w:lang w:val="en-IE"/>
        </w:rPr>
        <w:t>] until [date X</w:t>
      </w:r>
      <w:r w:rsidR="00785F6F" w:rsidRPr="414ED6BF">
        <w:rPr>
          <w:noProof/>
          <w:lang w:val="en-IE"/>
        </w:rPr>
        <w:t>+3yrs</w:t>
      </w:r>
      <w:r w:rsidR="00785F6F" w:rsidRPr="00F002D1">
        <w:rPr>
          <w:noProof/>
          <w:lang w:val="en-IE"/>
        </w:rPr>
        <w:t>], providers of data processing services may impose reduced charges on the customer for the switching process</w:t>
      </w:r>
      <w:r w:rsidR="00097E5A" w:rsidRPr="00B356D4">
        <w:rPr>
          <w:noProof/>
          <w:lang w:val="en-IE"/>
        </w:rPr>
        <w:t xml:space="preserve">. </w:t>
      </w:r>
    </w:p>
    <w:p w14:paraId="27C90372" w14:textId="75235BB6" w:rsidR="00097E5A" w:rsidRPr="00B356D4" w:rsidRDefault="000856CE" w:rsidP="000856CE">
      <w:pPr>
        <w:pStyle w:val="ManualNumPar1"/>
        <w:rPr>
          <w:noProof/>
          <w:lang w:val="en-IE"/>
        </w:rPr>
      </w:pPr>
      <w:r w:rsidRPr="000856CE">
        <w:t>3.</w:t>
      </w:r>
      <w:r w:rsidRPr="000856CE">
        <w:tab/>
      </w:r>
      <w:r w:rsidR="00097E5A" w:rsidRPr="00B356D4">
        <w:rPr>
          <w:noProof/>
          <w:lang w:val="en-IE"/>
        </w:rPr>
        <w:t xml:space="preserve">The </w:t>
      </w:r>
      <w:r w:rsidR="00785F6F" w:rsidRPr="00F002D1">
        <w:rPr>
          <w:noProof/>
          <w:lang w:val="en-IE"/>
        </w:rPr>
        <w:t xml:space="preserve">charges referred to in paragraph 2 shall not exceed the costs incurred by the provider of data processing services </w:t>
      </w:r>
      <w:r w:rsidR="00785F6F" w:rsidRPr="414ED6BF">
        <w:rPr>
          <w:noProof/>
          <w:lang w:val="en-IE"/>
        </w:rPr>
        <w:t>that</w:t>
      </w:r>
      <w:r w:rsidR="00785F6F" w:rsidRPr="00F002D1">
        <w:rPr>
          <w:noProof/>
          <w:lang w:val="en-IE"/>
        </w:rPr>
        <w:t xml:space="preserve"> are directly linked to the switching process concerned</w:t>
      </w:r>
      <w:r w:rsidR="00097E5A" w:rsidRPr="00B356D4">
        <w:rPr>
          <w:noProof/>
          <w:lang w:val="en-IE"/>
        </w:rPr>
        <w:t xml:space="preserve">. </w:t>
      </w:r>
    </w:p>
    <w:p w14:paraId="6595FD7C" w14:textId="5DB49E22" w:rsidR="00097E5A" w:rsidRPr="00B356D4" w:rsidRDefault="000856CE" w:rsidP="000856CE">
      <w:pPr>
        <w:pStyle w:val="ManualNumPar1"/>
        <w:rPr>
          <w:noProof/>
          <w:lang w:val="en-IE"/>
        </w:rPr>
      </w:pPr>
      <w:r w:rsidRPr="000856CE">
        <w:t>4.</w:t>
      </w:r>
      <w:r w:rsidRPr="000856CE">
        <w:tab/>
      </w:r>
      <w:r w:rsidR="00097E5A" w:rsidRPr="00B356D4">
        <w:rPr>
          <w:noProof/>
          <w:lang w:val="en-IE"/>
        </w:rPr>
        <w:t xml:space="preserve">The </w:t>
      </w:r>
      <w:r w:rsidR="00785F6F" w:rsidRPr="00F002D1">
        <w:rPr>
          <w:noProof/>
          <w:lang w:val="en-IE"/>
        </w:rPr>
        <w:t xml:space="preserve">Commission is empowered to adopt delegated acts in accordance with Article </w:t>
      </w:r>
      <w:r w:rsidR="0090194C" w:rsidRPr="00F002D1">
        <w:rPr>
          <w:noProof/>
          <w:lang w:val="en-IE"/>
        </w:rPr>
        <w:t>3</w:t>
      </w:r>
      <w:r w:rsidR="0090194C">
        <w:rPr>
          <w:noProof/>
          <w:lang w:val="en-IE"/>
        </w:rPr>
        <w:t>8</w:t>
      </w:r>
      <w:r w:rsidR="0090194C" w:rsidRPr="00F002D1">
        <w:rPr>
          <w:noProof/>
          <w:lang w:val="en-IE"/>
        </w:rPr>
        <w:t xml:space="preserve"> </w:t>
      </w:r>
      <w:r w:rsidR="00785F6F" w:rsidRPr="00F002D1">
        <w:rPr>
          <w:noProof/>
          <w:lang w:val="en-IE"/>
        </w:rPr>
        <w:t xml:space="preserve">to supplement this Regulation </w:t>
      </w:r>
      <w:r w:rsidR="00785F6F" w:rsidRPr="3D69CBBA">
        <w:rPr>
          <w:noProof/>
          <w:lang w:val="en-IE"/>
        </w:rPr>
        <w:t xml:space="preserve">in order to introduce a </w:t>
      </w:r>
      <w:r w:rsidR="00785F6F" w:rsidRPr="00F002D1">
        <w:rPr>
          <w:noProof/>
          <w:lang w:val="en-IE"/>
        </w:rPr>
        <w:t xml:space="preserve">monitoring mechanism </w:t>
      </w:r>
      <w:r w:rsidR="00785F6F" w:rsidRPr="34845115">
        <w:rPr>
          <w:noProof/>
          <w:lang w:val="en-IE"/>
        </w:rPr>
        <w:t>for the Commission to monitor</w:t>
      </w:r>
      <w:r w:rsidR="00785F6F" w:rsidRPr="00F002D1">
        <w:rPr>
          <w:noProof/>
          <w:lang w:val="en-IE"/>
        </w:rPr>
        <w:t xml:space="preserve"> switching charges imposed by data processing service providers on the market</w:t>
      </w:r>
      <w:r w:rsidR="00785F6F" w:rsidRPr="34845115">
        <w:rPr>
          <w:noProof/>
          <w:lang w:val="en-IE"/>
        </w:rPr>
        <w:t xml:space="preserve"> to ensure that the withdrawal of switching charges as described in paragraph 1 of this Article </w:t>
      </w:r>
      <w:r w:rsidR="00785F6F" w:rsidRPr="38C64C76">
        <w:rPr>
          <w:noProof/>
          <w:lang w:val="en-IE"/>
        </w:rPr>
        <w:t>will be attained in accordance with the deadline provided in the same paragraph</w:t>
      </w:r>
      <w:r w:rsidR="00097E5A" w:rsidRPr="00B356D4">
        <w:rPr>
          <w:noProof/>
          <w:lang w:val="en-IE"/>
        </w:rPr>
        <w:t>.</w:t>
      </w:r>
    </w:p>
    <w:p w14:paraId="70F3A37C" w14:textId="4874BBBF" w:rsidR="0032799A" w:rsidRPr="009E7432" w:rsidRDefault="00CC2D52" w:rsidP="009E7432">
      <w:pPr>
        <w:pStyle w:val="Titrearticleb"/>
        <w:rPr>
          <w:noProof/>
        </w:rPr>
      </w:pPr>
      <w:r>
        <w:rPr>
          <w:noProof/>
          <w:lang w:val="en-US"/>
        </w:rPr>
        <w:t>Article 26</w:t>
      </w:r>
      <w:r w:rsidR="009E7432">
        <w:rPr>
          <w:noProof/>
        </w:rPr>
        <w:br/>
      </w:r>
      <w:r w:rsidR="0032799A" w:rsidRPr="00B356D4">
        <w:rPr>
          <w:noProof/>
          <w:lang w:val="en-IE"/>
        </w:rPr>
        <w:t xml:space="preserve">Technical aspects of switching </w:t>
      </w:r>
    </w:p>
    <w:p w14:paraId="4115F1A1" w14:textId="637D6C67" w:rsidR="00097E5A" w:rsidRDefault="000856CE" w:rsidP="000856CE">
      <w:pPr>
        <w:pStyle w:val="ManualNumPar1"/>
        <w:rPr>
          <w:noProof/>
          <w:lang w:val="en-IE"/>
        </w:rPr>
      </w:pPr>
      <w:r w:rsidRPr="000856CE">
        <w:t>1.</w:t>
      </w:r>
      <w:r w:rsidRPr="000856CE">
        <w:tab/>
      </w:r>
      <w:r w:rsidR="00785F6F">
        <w:rPr>
          <w:noProof/>
          <w:lang w:val="en-IE"/>
        </w:rPr>
        <w:t>Providers</w:t>
      </w:r>
      <w:r w:rsidR="00097E5A" w:rsidRPr="00AC525B">
        <w:rPr>
          <w:noProof/>
          <w:lang w:val="en-IE"/>
        </w:rPr>
        <w:t xml:space="preserve"> </w:t>
      </w:r>
      <w:r w:rsidR="00785F6F" w:rsidRPr="3D69CBBA">
        <w:rPr>
          <w:noProof/>
          <w:lang w:val="en-IE"/>
        </w:rPr>
        <w:t>of</w:t>
      </w:r>
      <w:r w:rsidR="00785F6F" w:rsidRPr="00AC525B">
        <w:rPr>
          <w:noProof/>
          <w:lang w:val="en-IE"/>
        </w:rPr>
        <w:t xml:space="preserve"> data processing services that concern scalable and elastic computing resources limited to infrastructural elements such as servers, networks and the virtual resources necessary for operating the infrastructure, but </w:t>
      </w:r>
      <w:r w:rsidR="00785F6F" w:rsidRPr="6BB0E6A5">
        <w:rPr>
          <w:noProof/>
          <w:lang w:val="en-IE"/>
        </w:rPr>
        <w:t xml:space="preserve">that </w:t>
      </w:r>
      <w:r w:rsidR="00785F6F" w:rsidRPr="00AC525B">
        <w:rPr>
          <w:noProof/>
          <w:lang w:val="en-IE"/>
        </w:rPr>
        <w:t>do not provide access to the operating services, software and applications that are stored, otherwise processed</w:t>
      </w:r>
      <w:r w:rsidR="00785F6F" w:rsidRPr="6BB0E6A5">
        <w:rPr>
          <w:noProof/>
          <w:lang w:val="en-IE"/>
        </w:rPr>
        <w:t>,</w:t>
      </w:r>
      <w:r w:rsidR="00785F6F" w:rsidRPr="00AC525B">
        <w:rPr>
          <w:noProof/>
          <w:lang w:val="en-IE"/>
        </w:rPr>
        <w:t xml:space="preserve"> or deployed on t</w:t>
      </w:r>
      <w:r w:rsidR="00785F6F">
        <w:rPr>
          <w:noProof/>
          <w:lang w:val="en-IE"/>
        </w:rPr>
        <w:t xml:space="preserve">hose infrastructural elements, </w:t>
      </w:r>
      <w:r w:rsidR="00785F6F" w:rsidRPr="00AC525B">
        <w:rPr>
          <w:noProof/>
          <w:lang w:val="en-IE"/>
        </w:rPr>
        <w:t>shall ensure that</w:t>
      </w:r>
      <w:r w:rsidR="00785F6F" w:rsidRPr="0840B091">
        <w:rPr>
          <w:noProof/>
          <w:lang w:val="en-IE"/>
        </w:rPr>
        <w:t xml:space="preserve"> the customer</w:t>
      </w:r>
      <w:r w:rsidR="00785F6F" w:rsidRPr="00AC525B">
        <w:rPr>
          <w:noProof/>
          <w:lang w:val="en-IE"/>
        </w:rPr>
        <w:t xml:space="preserve">, after switching to a service covering the same service type offered by a </w:t>
      </w:r>
      <w:r w:rsidR="00785F6F" w:rsidRPr="0840B091">
        <w:rPr>
          <w:noProof/>
          <w:lang w:val="en-IE"/>
        </w:rPr>
        <w:t xml:space="preserve">different </w:t>
      </w:r>
      <w:r w:rsidR="00785F6F" w:rsidRPr="00AC525B">
        <w:rPr>
          <w:noProof/>
          <w:lang w:val="en-IE"/>
        </w:rPr>
        <w:t>provider</w:t>
      </w:r>
      <w:r w:rsidR="00785F6F" w:rsidRPr="0840B091">
        <w:rPr>
          <w:noProof/>
          <w:lang w:val="en-IE"/>
        </w:rPr>
        <w:t xml:space="preserve"> of data processing services</w:t>
      </w:r>
      <w:r w:rsidR="00785F6F" w:rsidRPr="00AC525B">
        <w:rPr>
          <w:noProof/>
          <w:lang w:val="en-IE"/>
        </w:rPr>
        <w:t>, enjoys functional equivalence in the use of the new service</w:t>
      </w:r>
      <w:r w:rsidR="00097E5A" w:rsidRPr="00AC525B">
        <w:rPr>
          <w:noProof/>
          <w:lang w:val="en-IE"/>
        </w:rPr>
        <w:t>.</w:t>
      </w:r>
    </w:p>
    <w:p w14:paraId="33AD69CA" w14:textId="72E8AE8E" w:rsidR="00785F6F" w:rsidRPr="00785F6F" w:rsidRDefault="000856CE" w:rsidP="000856CE">
      <w:pPr>
        <w:pStyle w:val="ManualNumPar1"/>
        <w:rPr>
          <w:rFonts w:asciiTheme="minorHAnsi" w:eastAsiaTheme="minorEastAsia" w:hAnsiTheme="minorHAnsi" w:cstheme="minorBidi"/>
          <w:noProof/>
          <w:lang w:val="en-IE"/>
        </w:rPr>
      </w:pPr>
      <w:r w:rsidRPr="000856CE">
        <w:t>2.</w:t>
      </w:r>
      <w:r w:rsidRPr="000856CE">
        <w:tab/>
      </w:r>
      <w:r w:rsidR="00785F6F" w:rsidRPr="00785F6F">
        <w:rPr>
          <w:noProof/>
          <w:lang w:val="en-IE"/>
        </w:rPr>
        <w:t xml:space="preserve">For data processing services other than those covered by paragraph 1, providers </w:t>
      </w:r>
      <w:r w:rsidR="0090194C">
        <w:rPr>
          <w:noProof/>
          <w:lang w:val="en-IE"/>
        </w:rPr>
        <w:t xml:space="preserve">of data processing services </w:t>
      </w:r>
      <w:r w:rsidR="00785F6F" w:rsidRPr="00785F6F">
        <w:rPr>
          <w:noProof/>
          <w:lang w:val="en-IE"/>
        </w:rPr>
        <w:t>shall make open interfaces publicly available</w:t>
      </w:r>
      <w:r w:rsidR="0090194C">
        <w:rPr>
          <w:noProof/>
          <w:lang w:val="en-IE"/>
        </w:rPr>
        <w:t xml:space="preserve"> and</w:t>
      </w:r>
      <w:r w:rsidR="0090194C" w:rsidRPr="00785F6F">
        <w:rPr>
          <w:noProof/>
          <w:lang w:val="en-IE"/>
        </w:rPr>
        <w:t xml:space="preserve"> </w:t>
      </w:r>
      <w:r w:rsidR="00785F6F" w:rsidRPr="00785F6F">
        <w:rPr>
          <w:noProof/>
          <w:lang w:val="en-IE"/>
        </w:rPr>
        <w:t xml:space="preserve">free of charge. </w:t>
      </w:r>
    </w:p>
    <w:p w14:paraId="003A5DC4" w14:textId="716CB856" w:rsidR="000C36C5" w:rsidRPr="000C36C5" w:rsidRDefault="000856CE" w:rsidP="000856CE">
      <w:pPr>
        <w:pStyle w:val="ManualNumPar1"/>
        <w:rPr>
          <w:rFonts w:asciiTheme="minorHAnsi" w:eastAsiaTheme="minorEastAsia" w:hAnsiTheme="minorHAnsi" w:cstheme="minorBidi"/>
          <w:noProof/>
          <w:lang w:val="en-IE"/>
        </w:rPr>
      </w:pPr>
      <w:r w:rsidRPr="000856CE">
        <w:t>3.</w:t>
      </w:r>
      <w:r w:rsidRPr="000856CE">
        <w:tab/>
      </w:r>
      <w:r w:rsidR="00785F6F" w:rsidRPr="00785F6F">
        <w:rPr>
          <w:noProof/>
          <w:lang w:val="en-IE"/>
        </w:rPr>
        <w:t xml:space="preserve">For data processing services other than those covered by paragraph 1, providers of data processing services shall ensure compatibility with open interoperability specifications or European standards for interoperability </w:t>
      </w:r>
      <w:r w:rsidR="0090194C">
        <w:rPr>
          <w:noProof/>
          <w:lang w:val="en-IE"/>
        </w:rPr>
        <w:t>that are identified in accordance with Article 29(5) of this Regulation</w:t>
      </w:r>
      <w:r w:rsidR="00785F6F" w:rsidRPr="00785F6F">
        <w:rPr>
          <w:noProof/>
          <w:lang w:val="en-IE"/>
        </w:rPr>
        <w:t>.</w:t>
      </w:r>
    </w:p>
    <w:p w14:paraId="24306FEC" w14:textId="540225B0" w:rsidR="00785F6F" w:rsidRPr="000C36C5" w:rsidRDefault="000856CE" w:rsidP="000856CE">
      <w:pPr>
        <w:pStyle w:val="ManualNumPar1"/>
        <w:rPr>
          <w:rFonts w:asciiTheme="minorHAnsi" w:eastAsiaTheme="minorEastAsia" w:hAnsiTheme="minorHAnsi" w:cstheme="minorBidi"/>
          <w:noProof/>
          <w:lang w:val="en-IE"/>
        </w:rPr>
      </w:pPr>
      <w:r w:rsidRPr="000856CE">
        <w:t>4.</w:t>
      </w:r>
      <w:r w:rsidRPr="000856CE">
        <w:tab/>
      </w:r>
      <w:r w:rsidR="00785F6F" w:rsidRPr="000C36C5">
        <w:rPr>
          <w:noProof/>
          <w:lang w:val="en-IE"/>
        </w:rPr>
        <w:t xml:space="preserve">Where the open interoperability specifications or European standards referred to in paragraph 3 do not exist for the service type concerned, the provider of data processing services shall, at the request of the customer, export all data generated or co-generated, including the relevant data formats and data structures, </w:t>
      </w:r>
      <w:r w:rsidR="00785F6F" w:rsidRPr="000C36C5">
        <w:rPr>
          <w:rFonts w:eastAsia="Times New Roman"/>
          <w:noProof/>
          <w:color w:val="000000" w:themeColor="text1"/>
          <w:lang w:val="en-IE"/>
        </w:rPr>
        <w:t>in a structured, commonly used and machine-readable format.</w:t>
      </w:r>
    </w:p>
    <w:p w14:paraId="549BD463" w14:textId="3212AB56" w:rsidR="0032799A" w:rsidRPr="0032799A" w:rsidRDefault="0032799A" w:rsidP="000C36C5">
      <w:pPr>
        <w:pStyle w:val="ChapterTitle"/>
        <w:rPr>
          <w:noProof/>
          <w:lang w:val="en-IE"/>
        </w:rPr>
      </w:pPr>
      <w:r w:rsidRPr="00B356D4">
        <w:rPr>
          <w:noProof/>
          <w:lang w:val="en-IE"/>
        </w:rPr>
        <w:t>CHAPTER VII</w:t>
      </w:r>
      <w:r w:rsidR="000C36C5">
        <w:rPr>
          <w:noProof/>
          <w:lang w:val="en-IE"/>
        </w:rPr>
        <w:br/>
      </w:r>
      <w:r w:rsidRPr="00B356D4">
        <w:rPr>
          <w:noProof/>
          <w:lang w:val="en-IE"/>
        </w:rPr>
        <w:t xml:space="preserve">INTERNATIONAL CONTEXTS NON-PERSONAL DATA SAFEGUARDS </w:t>
      </w:r>
    </w:p>
    <w:p w14:paraId="358D7D75" w14:textId="344C0DCC" w:rsidR="0032799A" w:rsidRPr="009E7432" w:rsidRDefault="00CC2D52" w:rsidP="009E7432">
      <w:pPr>
        <w:pStyle w:val="Titrearticleb"/>
        <w:rPr>
          <w:noProof/>
        </w:rPr>
      </w:pPr>
      <w:r>
        <w:rPr>
          <w:noProof/>
          <w:lang w:val="en-US"/>
        </w:rPr>
        <w:t>Article 27</w:t>
      </w:r>
      <w:r w:rsidR="009E7432">
        <w:rPr>
          <w:noProof/>
        </w:rPr>
        <w:br/>
      </w:r>
      <w:r w:rsidR="0032799A" w:rsidRPr="00B356D4">
        <w:rPr>
          <w:noProof/>
          <w:lang w:val="en-IE"/>
        </w:rPr>
        <w:t xml:space="preserve">International access and transfer </w:t>
      </w:r>
    </w:p>
    <w:p w14:paraId="1012C8A6" w14:textId="1F77DA65" w:rsidR="0032799A" w:rsidRPr="00AC525B" w:rsidRDefault="000856CE" w:rsidP="000856CE">
      <w:pPr>
        <w:pStyle w:val="ManualNumPar1"/>
        <w:rPr>
          <w:noProof/>
        </w:rPr>
      </w:pPr>
      <w:r w:rsidRPr="000856CE">
        <w:t>1.</w:t>
      </w:r>
      <w:r w:rsidRPr="000856CE">
        <w:tab/>
      </w:r>
      <w:r w:rsidR="0032799A" w:rsidRPr="00AC525B">
        <w:rPr>
          <w:noProof/>
        </w:rPr>
        <w:t xml:space="preserve">Providers </w:t>
      </w:r>
      <w:r w:rsidR="00F545E5">
        <w:rPr>
          <w:noProof/>
        </w:rPr>
        <w:t>of data processing services shall take all reasonable technical, legal and organisational measures, including contractual arrangements, in order to prevent international transfer or governmental access to non-personal data held in the Union where such transfer or access would create a conflict with Union law or the national law of the relevant Member State, without prejudice to paragraph 2 or 3</w:t>
      </w:r>
      <w:r w:rsidR="0032799A" w:rsidRPr="00AC525B">
        <w:rPr>
          <w:noProof/>
        </w:rPr>
        <w:t>.</w:t>
      </w:r>
    </w:p>
    <w:p w14:paraId="3BA8454C" w14:textId="6436A57F" w:rsidR="0032799A" w:rsidRPr="00AC525B" w:rsidRDefault="000856CE" w:rsidP="000856CE">
      <w:pPr>
        <w:pStyle w:val="ManualNumPar1"/>
        <w:rPr>
          <w:noProof/>
        </w:rPr>
      </w:pPr>
      <w:r w:rsidRPr="000856CE">
        <w:t>2.</w:t>
      </w:r>
      <w:r w:rsidRPr="000856CE">
        <w:tab/>
      </w:r>
      <w:r w:rsidR="0032799A" w:rsidRPr="00AC525B">
        <w:rPr>
          <w:noProof/>
        </w:rPr>
        <w:t xml:space="preserve">Any </w:t>
      </w:r>
      <w:r w:rsidR="00F545E5">
        <w:rPr>
          <w:noProof/>
        </w:rPr>
        <w:t>decision or judgment of a court or tribunal and any decision of an administrative authority of a third country requiring a provider of data processing services to transfer from or give access to non-personal data within the scope of this Regulation held in the Union may only be recognised or enforceable in any manner if based on an international agreement, such as a mutual legal assistance treaty, in force between the requesting third country and the Union or any such agreement between the requesting third country and a Member State</w:t>
      </w:r>
      <w:r w:rsidR="0032799A" w:rsidRPr="00AC525B">
        <w:rPr>
          <w:noProof/>
        </w:rPr>
        <w:t>.</w:t>
      </w:r>
    </w:p>
    <w:p w14:paraId="417748E7" w14:textId="228BB1F4" w:rsidR="0032799A" w:rsidRPr="00B356D4" w:rsidRDefault="000856CE" w:rsidP="000856CE">
      <w:pPr>
        <w:pStyle w:val="ManualNumPar1"/>
        <w:rPr>
          <w:noProof/>
          <w:lang w:val="en-IE"/>
        </w:rPr>
      </w:pPr>
      <w:r w:rsidRPr="000856CE">
        <w:t>3.</w:t>
      </w:r>
      <w:r w:rsidRPr="000856CE">
        <w:tab/>
      </w:r>
      <w:r w:rsidR="0032799A" w:rsidRPr="00AC525B">
        <w:rPr>
          <w:noProof/>
        </w:rPr>
        <w:t xml:space="preserve">In </w:t>
      </w:r>
      <w:r w:rsidR="00F545E5">
        <w:rPr>
          <w:noProof/>
        </w:rPr>
        <w:t>the absence of such an international agreement, where a provider of data processing</w:t>
      </w:r>
      <w:r w:rsidR="00F545E5" w:rsidRPr="2FA46F90">
        <w:rPr>
          <w:noProof/>
          <w:lang w:val="en-IE"/>
        </w:rPr>
        <w:t xml:space="preserve"> services is the addressee of a decision of a court or </w:t>
      </w:r>
      <w:r w:rsidR="00F545E5">
        <w:rPr>
          <w:noProof/>
          <w:lang w:val="en-IE"/>
        </w:rPr>
        <w:t xml:space="preserve">a tribunal or a decision </w:t>
      </w:r>
      <w:r w:rsidR="00F545E5" w:rsidRPr="2FA46F90">
        <w:rPr>
          <w:noProof/>
          <w:lang w:val="en-IE"/>
        </w:rPr>
        <w:t xml:space="preserve">of an administrative authority of a third country to transfer from or give access to non-personal data within the scope of this Regulation held in the Union and compliance with such a decision would risk putting the addressee in conflict with Union law or with </w:t>
      </w:r>
      <w:r w:rsidR="00F545E5">
        <w:rPr>
          <w:noProof/>
          <w:lang w:val="en-IE"/>
        </w:rPr>
        <w:t xml:space="preserve">the </w:t>
      </w:r>
      <w:r w:rsidR="00F545E5" w:rsidRPr="2FA46F90">
        <w:rPr>
          <w:noProof/>
          <w:lang w:val="en-IE"/>
        </w:rPr>
        <w:t>national law of the relevant Member State, transfer to or access to such data by that third-country authority shall take place only</w:t>
      </w:r>
      <w:r w:rsidR="0032799A" w:rsidRPr="00B356D4">
        <w:rPr>
          <w:noProof/>
          <w:lang w:val="en-IE"/>
        </w:rPr>
        <w:t>:</w:t>
      </w:r>
    </w:p>
    <w:p w14:paraId="1834AD06" w14:textId="06FC9278" w:rsidR="0032799A" w:rsidRDefault="000856CE" w:rsidP="000856CE">
      <w:pPr>
        <w:pStyle w:val="Point1"/>
        <w:rPr>
          <w:noProof/>
          <w:lang w:val="en-IE"/>
        </w:rPr>
      </w:pPr>
      <w:r w:rsidRPr="000856CE">
        <w:t>(a)</w:t>
      </w:r>
      <w:r w:rsidRPr="000856CE">
        <w:tab/>
      </w:r>
      <w:r w:rsidR="0032799A" w:rsidRPr="00DA78C5">
        <w:rPr>
          <w:noProof/>
          <w:lang w:val="en-IE"/>
        </w:rPr>
        <w:t xml:space="preserve">where </w:t>
      </w:r>
      <w:r w:rsidR="00F545E5" w:rsidRPr="2FA46F90">
        <w:rPr>
          <w:noProof/>
          <w:lang w:val="en-IE"/>
        </w:rPr>
        <w:t xml:space="preserve">the third-country system requires the reasons and proportionality of the decision </w:t>
      </w:r>
      <w:r w:rsidR="00F545E5">
        <w:rPr>
          <w:noProof/>
          <w:lang w:val="en-IE"/>
        </w:rPr>
        <w:t xml:space="preserve">or judgement </w:t>
      </w:r>
      <w:r w:rsidR="00F545E5" w:rsidRPr="2FA46F90">
        <w:rPr>
          <w:noProof/>
          <w:lang w:val="en-IE"/>
        </w:rPr>
        <w:t xml:space="preserve">to be set out, and it requires </w:t>
      </w:r>
      <w:r w:rsidR="00F545E5">
        <w:rPr>
          <w:noProof/>
          <w:lang w:val="en-IE"/>
        </w:rPr>
        <w:t>such</w:t>
      </w:r>
      <w:r w:rsidR="00F545E5" w:rsidRPr="2FA46F90">
        <w:rPr>
          <w:noProof/>
          <w:lang w:val="en-IE"/>
        </w:rPr>
        <w:t xml:space="preserve"> decision</w:t>
      </w:r>
      <w:r w:rsidR="00F545E5">
        <w:rPr>
          <w:noProof/>
          <w:lang w:val="en-IE"/>
        </w:rPr>
        <w:t xml:space="preserve"> or judgement</w:t>
      </w:r>
      <w:r w:rsidR="00F545E5" w:rsidRPr="2FA46F90">
        <w:rPr>
          <w:noProof/>
          <w:lang w:val="en-IE"/>
        </w:rPr>
        <w:t>, as the case may be, to be specific in character, for instance by establishing a sufficient link to certain suspected persons, or infringements</w:t>
      </w:r>
      <w:r w:rsidR="0032799A" w:rsidRPr="00DA78C5">
        <w:rPr>
          <w:noProof/>
          <w:lang w:val="en-IE"/>
        </w:rPr>
        <w:t>;</w:t>
      </w:r>
    </w:p>
    <w:p w14:paraId="46338311" w14:textId="4FB8FE32" w:rsidR="00F545E5" w:rsidRPr="00F545E5" w:rsidRDefault="000856CE" w:rsidP="000856CE">
      <w:pPr>
        <w:pStyle w:val="Point1"/>
        <w:rPr>
          <w:noProof/>
          <w:lang w:val="en-IE"/>
        </w:rPr>
      </w:pPr>
      <w:r w:rsidRPr="000856CE">
        <w:t>(b)</w:t>
      </w:r>
      <w:r w:rsidRPr="000856CE">
        <w:tab/>
      </w:r>
      <w:r w:rsidR="00F545E5" w:rsidRPr="00F545E5">
        <w:rPr>
          <w:noProof/>
          <w:lang w:val="en-IE"/>
        </w:rPr>
        <w:t>the reasoned objection of the addressee is subject to a review by a competent court or tribunal in the third-country; and</w:t>
      </w:r>
    </w:p>
    <w:p w14:paraId="2E199E44" w14:textId="4ABD0015" w:rsidR="00B517CC" w:rsidRDefault="000856CE" w:rsidP="000856CE">
      <w:pPr>
        <w:pStyle w:val="Point1"/>
        <w:rPr>
          <w:noProof/>
          <w:lang w:val="en-IE"/>
        </w:rPr>
      </w:pPr>
      <w:r w:rsidRPr="000856CE">
        <w:t>(c)</w:t>
      </w:r>
      <w:r w:rsidRPr="000856CE">
        <w:tab/>
      </w:r>
      <w:r w:rsidR="00F545E5" w:rsidRPr="00F545E5">
        <w:rPr>
          <w:noProof/>
          <w:lang w:val="en-IE"/>
        </w:rPr>
        <w:t>the competent court or tribunal issuing the decision or judgement or reviewing the decision of an administrative authority is empowered under the law of that country to take duly into account the relevant legal interests of the provider of the data protected by Union law or national law of the relevant Member State.</w:t>
      </w:r>
    </w:p>
    <w:p w14:paraId="1D4AE493" w14:textId="20591B95" w:rsidR="0090194C" w:rsidRDefault="0090194C" w:rsidP="001E21CC">
      <w:pPr>
        <w:pStyle w:val="Point0"/>
        <w:rPr>
          <w:noProof/>
          <w:lang w:val="en-IE"/>
        </w:rPr>
      </w:pPr>
      <w:r>
        <w:rPr>
          <w:noProof/>
          <w:lang w:val="en-IE"/>
        </w:rPr>
        <w:t xml:space="preserve">The </w:t>
      </w:r>
      <w:r w:rsidRPr="00FA2578">
        <w:rPr>
          <w:noProof/>
          <w:lang w:val="en-IE"/>
        </w:rPr>
        <w:t xml:space="preserve">addressee of the decision may ask the opinion of the relevant competent bodies or authorities, pursuant to this Regulation, in order to determine </w:t>
      </w:r>
      <w:r>
        <w:rPr>
          <w:noProof/>
          <w:lang w:val="en-IE"/>
        </w:rPr>
        <w:t>whether</w:t>
      </w:r>
      <w:r w:rsidRPr="00FA2578">
        <w:rPr>
          <w:noProof/>
          <w:lang w:val="en-IE"/>
        </w:rPr>
        <w:t xml:space="preserve"> these condi</w:t>
      </w:r>
      <w:r>
        <w:rPr>
          <w:noProof/>
          <w:lang w:val="en-IE"/>
        </w:rPr>
        <w:t xml:space="preserve">tions are met, notably when it </w:t>
      </w:r>
      <w:r w:rsidRPr="00FA2578">
        <w:rPr>
          <w:noProof/>
          <w:lang w:val="en-IE"/>
        </w:rPr>
        <w:t xml:space="preserve">considers that </w:t>
      </w:r>
      <w:r>
        <w:rPr>
          <w:noProof/>
          <w:lang w:val="en-IE"/>
        </w:rPr>
        <w:t>the decision</w:t>
      </w:r>
      <w:r w:rsidRPr="00FA2578">
        <w:rPr>
          <w:noProof/>
          <w:lang w:val="en-IE"/>
        </w:rPr>
        <w:t xml:space="preserve"> may relate to commercially sensitive data, or may impinge on national security or defence interests of the Union or its Member States. </w:t>
      </w:r>
      <w:r w:rsidR="00F545E5" w:rsidRPr="00F545E5">
        <w:rPr>
          <w:noProof/>
          <w:lang w:val="en-IE"/>
        </w:rPr>
        <w:t xml:space="preserve"> </w:t>
      </w:r>
    </w:p>
    <w:p w14:paraId="4E401740" w14:textId="6E5ADAEB" w:rsidR="00F545E5" w:rsidRPr="00F545E5" w:rsidRDefault="000A3828" w:rsidP="001E21CC">
      <w:pPr>
        <w:pStyle w:val="Point0"/>
        <w:rPr>
          <w:noProof/>
          <w:lang w:val="en-IE"/>
        </w:rPr>
      </w:pPr>
      <w:r>
        <w:rPr>
          <w:noProof/>
          <w:lang w:val="en-IE"/>
        </w:rPr>
        <w:t>The European Data Innovation Board</w:t>
      </w:r>
      <w:r w:rsidR="00E212C5">
        <w:rPr>
          <w:noProof/>
          <w:lang w:val="en-IE"/>
        </w:rPr>
        <w:t xml:space="preserve"> established under Regulation [xxx – DGA]</w:t>
      </w:r>
      <w:r>
        <w:rPr>
          <w:noProof/>
          <w:lang w:val="en-IE"/>
        </w:rPr>
        <w:t xml:space="preserve"> shall advise and assist the Commission in</w:t>
      </w:r>
      <w:r w:rsidR="005A56E7">
        <w:rPr>
          <w:noProof/>
          <w:lang w:val="en-IE"/>
        </w:rPr>
        <w:t xml:space="preserve"> </w:t>
      </w:r>
      <w:r>
        <w:rPr>
          <w:noProof/>
          <w:lang w:val="en-IE"/>
        </w:rPr>
        <w:t xml:space="preserve">developing guidelines on the assessment </w:t>
      </w:r>
      <w:r w:rsidR="0090194C">
        <w:rPr>
          <w:noProof/>
          <w:lang w:val="en-IE"/>
        </w:rPr>
        <w:t xml:space="preserve">of whether </w:t>
      </w:r>
      <w:r>
        <w:rPr>
          <w:noProof/>
          <w:lang w:val="en-IE"/>
        </w:rPr>
        <w:t>these conditions are met.</w:t>
      </w:r>
    </w:p>
    <w:p w14:paraId="78AD5E47" w14:textId="0E28B539" w:rsidR="0032799A" w:rsidRPr="00B356D4" w:rsidRDefault="000856CE" w:rsidP="000856CE">
      <w:pPr>
        <w:pStyle w:val="ManualNumPar1"/>
        <w:rPr>
          <w:noProof/>
          <w:lang w:val="en-IE"/>
        </w:rPr>
      </w:pPr>
      <w:r w:rsidRPr="000856CE">
        <w:t>4.</w:t>
      </w:r>
      <w:r w:rsidRPr="000856CE">
        <w:tab/>
      </w:r>
      <w:r w:rsidR="0032799A" w:rsidRPr="00B356D4">
        <w:rPr>
          <w:noProof/>
          <w:lang w:val="en-IE"/>
        </w:rPr>
        <w:t xml:space="preserve">If </w:t>
      </w:r>
      <w:r w:rsidR="00F545E5" w:rsidRPr="2FA46F90">
        <w:rPr>
          <w:noProof/>
          <w:lang w:val="en-IE"/>
        </w:rPr>
        <w:t>the conditions in paragraph 2 or 3 are met, the provider of data processing services shall provide the minimum amount of data permissible in response to a request, based on a reasonable interpretation thereof.</w:t>
      </w:r>
    </w:p>
    <w:p w14:paraId="2E06B278" w14:textId="74F5A0DA" w:rsidR="0032799A" w:rsidRPr="00B356D4" w:rsidRDefault="000856CE" w:rsidP="000856CE">
      <w:pPr>
        <w:pStyle w:val="ManualNumPar1"/>
        <w:rPr>
          <w:noProof/>
          <w:lang w:val="en-IE"/>
        </w:rPr>
      </w:pPr>
      <w:r w:rsidRPr="000856CE">
        <w:t>5.</w:t>
      </w:r>
      <w:r w:rsidRPr="000856CE">
        <w:tab/>
      </w:r>
      <w:r w:rsidR="0032799A" w:rsidRPr="00B356D4">
        <w:rPr>
          <w:noProof/>
          <w:lang w:val="en-IE"/>
        </w:rPr>
        <w:t xml:space="preserve">The </w:t>
      </w:r>
      <w:r w:rsidR="00F545E5" w:rsidRPr="2FA46F90">
        <w:rPr>
          <w:noProof/>
          <w:lang w:val="en-IE"/>
        </w:rPr>
        <w:t>provider of data processing services shall inform the data holder about the existence of a request of an administrative authority in a third-country to access its data before complying with its request, except in cases where the request serves law enforcement purposes and for as long as this is necessary to preserve the effectiveness of the law enforcement activity</w:t>
      </w:r>
      <w:r w:rsidR="0032799A" w:rsidRPr="00B356D4">
        <w:rPr>
          <w:noProof/>
          <w:lang w:val="en-IE"/>
        </w:rPr>
        <w:t>.</w:t>
      </w:r>
    </w:p>
    <w:p w14:paraId="6A30674A" w14:textId="08F937D7" w:rsidR="0032799A" w:rsidRPr="000C36C5" w:rsidRDefault="001A618D" w:rsidP="000C36C5">
      <w:pPr>
        <w:pStyle w:val="ChapterTitle"/>
        <w:rPr>
          <w:noProof/>
          <w:lang w:val="en-US"/>
        </w:rPr>
      </w:pPr>
      <w:r w:rsidRPr="00B356D4">
        <w:rPr>
          <w:noProof/>
          <w:lang w:val="en-US"/>
        </w:rPr>
        <w:t xml:space="preserve">CHAPTER </w:t>
      </w:r>
      <w:r w:rsidRPr="00B356D4">
        <w:rPr>
          <w:bCs/>
          <w:noProof/>
          <w:lang w:val="en-US"/>
        </w:rPr>
        <w:t>VIII</w:t>
      </w:r>
      <w:r w:rsidR="000C36C5">
        <w:rPr>
          <w:bCs/>
          <w:noProof/>
          <w:lang w:val="en-US"/>
        </w:rPr>
        <w:br/>
      </w:r>
      <w:r w:rsidR="00C83280">
        <w:rPr>
          <w:noProof/>
          <w:szCs w:val="24"/>
          <w:lang w:val="en-US"/>
        </w:rPr>
        <w:t>INTEROPERABILITY</w:t>
      </w:r>
    </w:p>
    <w:p w14:paraId="7888F737" w14:textId="2E8D4E00" w:rsidR="001A618D" w:rsidRPr="009E7432" w:rsidRDefault="00CC2D52" w:rsidP="009E7432">
      <w:pPr>
        <w:pStyle w:val="Titrearticleb"/>
        <w:rPr>
          <w:noProof/>
        </w:rPr>
      </w:pPr>
      <w:r>
        <w:rPr>
          <w:noProof/>
          <w:lang w:val="en-US"/>
        </w:rPr>
        <w:t>Article 28</w:t>
      </w:r>
      <w:r w:rsidR="009E7432">
        <w:rPr>
          <w:noProof/>
        </w:rPr>
        <w:br/>
      </w:r>
      <w:r w:rsidR="0090194C">
        <w:rPr>
          <w:noProof/>
          <w:lang w:val="en-IE"/>
        </w:rPr>
        <w:t>Essential requirements regarding i</w:t>
      </w:r>
      <w:r w:rsidR="001A618D" w:rsidRPr="00B356D4">
        <w:rPr>
          <w:noProof/>
          <w:lang w:val="en-IE"/>
        </w:rPr>
        <w:t>nteroperability</w:t>
      </w:r>
    </w:p>
    <w:p w14:paraId="6C3FF4CB" w14:textId="0675EC44" w:rsidR="00097E5A" w:rsidRDefault="000856CE" w:rsidP="000856CE">
      <w:pPr>
        <w:pStyle w:val="ManualNumPar1"/>
        <w:rPr>
          <w:noProof/>
          <w:lang w:val="en-IE"/>
        </w:rPr>
      </w:pPr>
      <w:r w:rsidRPr="000856CE">
        <w:t>1.</w:t>
      </w:r>
      <w:r w:rsidRPr="000856CE">
        <w:tab/>
      </w:r>
      <w:r w:rsidR="0090194C">
        <w:rPr>
          <w:noProof/>
          <w:lang w:val="en-IE"/>
        </w:rPr>
        <w:t>Operators of data spaces shall comply with, the following essential</w:t>
      </w:r>
      <w:r w:rsidR="0090194C" w:rsidRPr="00AC525B">
        <w:rPr>
          <w:noProof/>
          <w:lang w:val="en-IE"/>
        </w:rPr>
        <w:t xml:space="preserve"> </w:t>
      </w:r>
      <w:r w:rsidR="00F545E5" w:rsidRPr="6E895F06">
        <w:rPr>
          <w:noProof/>
          <w:lang w:val="en-IE"/>
        </w:rPr>
        <w:t>r</w:t>
      </w:r>
      <w:r w:rsidR="00F545E5">
        <w:rPr>
          <w:noProof/>
          <w:lang w:val="en-IE"/>
        </w:rPr>
        <w:t xml:space="preserve">equirements </w:t>
      </w:r>
      <w:r w:rsidR="0090194C">
        <w:rPr>
          <w:noProof/>
          <w:lang w:val="en-IE"/>
        </w:rPr>
        <w:t>to facilitate</w:t>
      </w:r>
      <w:r w:rsidR="00F545E5">
        <w:rPr>
          <w:noProof/>
          <w:lang w:val="en-IE"/>
        </w:rPr>
        <w:t xml:space="preserve"> interoperability of data</w:t>
      </w:r>
      <w:r w:rsidR="00F545E5" w:rsidRPr="3BD088B1">
        <w:rPr>
          <w:noProof/>
          <w:lang w:val="en-IE"/>
        </w:rPr>
        <w:t>,</w:t>
      </w:r>
      <w:r w:rsidR="00F545E5">
        <w:rPr>
          <w:noProof/>
          <w:lang w:val="en-IE"/>
        </w:rPr>
        <w:t xml:space="preserve"> data sharing mechanisms and services</w:t>
      </w:r>
      <w:r w:rsidR="00887283">
        <w:rPr>
          <w:noProof/>
          <w:lang w:val="en-IE"/>
        </w:rPr>
        <w:t>:</w:t>
      </w:r>
    </w:p>
    <w:p w14:paraId="10CA18AF" w14:textId="6AB6EB83" w:rsidR="00F545E5" w:rsidRDefault="000856CE" w:rsidP="000856CE">
      <w:pPr>
        <w:pStyle w:val="Point1"/>
        <w:rPr>
          <w:noProof/>
          <w:lang w:val="en-IE"/>
        </w:rPr>
      </w:pPr>
      <w:r w:rsidRPr="000856CE">
        <w:t>(a)</w:t>
      </w:r>
      <w:r w:rsidRPr="000856CE">
        <w:tab/>
      </w:r>
      <w:r w:rsidR="00F545E5">
        <w:rPr>
          <w:noProof/>
          <w:lang w:val="en-IE"/>
        </w:rPr>
        <w:t>the dataset content, use restrictions, licences, data collection methodology, data quality</w:t>
      </w:r>
      <w:r w:rsidR="00F545E5" w:rsidRPr="2D0A2D2A">
        <w:rPr>
          <w:noProof/>
          <w:lang w:val="en-IE"/>
        </w:rPr>
        <w:t xml:space="preserve"> </w:t>
      </w:r>
      <w:r w:rsidR="00F545E5" w:rsidRPr="00347AE0">
        <w:rPr>
          <w:noProof/>
          <w:lang w:val="en-IE"/>
        </w:rPr>
        <w:t>and</w:t>
      </w:r>
      <w:r w:rsidR="00F545E5">
        <w:rPr>
          <w:noProof/>
          <w:lang w:val="en-IE"/>
        </w:rPr>
        <w:t xml:space="preserve"> uncertainty shall be sufficiently described to allow the recipient to find, access and use the data;</w:t>
      </w:r>
    </w:p>
    <w:p w14:paraId="7E09ABF0" w14:textId="0509F98B" w:rsidR="00F545E5" w:rsidRDefault="000856CE" w:rsidP="000856CE">
      <w:pPr>
        <w:pStyle w:val="Point1"/>
        <w:rPr>
          <w:noProof/>
          <w:lang w:val="en-IE"/>
        </w:rPr>
      </w:pPr>
      <w:r w:rsidRPr="000856CE">
        <w:t>(b)</w:t>
      </w:r>
      <w:r w:rsidRPr="000856CE">
        <w:tab/>
      </w:r>
      <w:r w:rsidR="00F545E5" w:rsidRPr="001738CA">
        <w:rPr>
          <w:noProof/>
          <w:lang w:val="en-IE"/>
        </w:rPr>
        <w:t>the data structures, data formats, vocabularies, classification schemes, taxonomies and code lists shall be described in a public</w:t>
      </w:r>
      <w:r w:rsidR="0090194C">
        <w:rPr>
          <w:noProof/>
          <w:lang w:val="en-IE"/>
        </w:rPr>
        <w:t>ly available</w:t>
      </w:r>
      <w:r w:rsidR="00F545E5" w:rsidRPr="001738CA">
        <w:rPr>
          <w:noProof/>
          <w:lang w:val="en-IE"/>
        </w:rPr>
        <w:t xml:space="preserve"> and </w:t>
      </w:r>
      <w:r w:rsidR="0090194C">
        <w:rPr>
          <w:noProof/>
          <w:lang w:val="en-IE"/>
        </w:rPr>
        <w:t>consistent</w:t>
      </w:r>
      <w:r w:rsidR="0090194C" w:rsidRPr="001738CA">
        <w:rPr>
          <w:noProof/>
          <w:lang w:val="en-IE"/>
        </w:rPr>
        <w:t xml:space="preserve"> </w:t>
      </w:r>
      <w:r w:rsidR="00F545E5" w:rsidRPr="001738CA">
        <w:rPr>
          <w:noProof/>
          <w:lang w:val="en-IE"/>
        </w:rPr>
        <w:t>manner;</w:t>
      </w:r>
    </w:p>
    <w:p w14:paraId="54160A2D" w14:textId="509F298D" w:rsidR="00F545E5" w:rsidRDefault="000856CE" w:rsidP="000856CE">
      <w:pPr>
        <w:pStyle w:val="Point1"/>
        <w:rPr>
          <w:noProof/>
          <w:lang w:val="en-IE"/>
        </w:rPr>
      </w:pPr>
      <w:r w:rsidRPr="000856CE">
        <w:t>(c)</w:t>
      </w:r>
      <w:r w:rsidRPr="000856CE">
        <w:tab/>
      </w:r>
      <w:r w:rsidR="00F545E5">
        <w:rPr>
          <w:noProof/>
          <w:lang w:val="en-IE"/>
        </w:rPr>
        <w:t>the technical means to access the data, such as application programming interfaces, and their terms of use and quality of service shall be sufficiently described to enable automatic access and transmission of data between parties, including continuous</w:t>
      </w:r>
      <w:r w:rsidR="0090194C">
        <w:rPr>
          <w:noProof/>
          <w:lang w:val="en-IE"/>
        </w:rPr>
        <w:t>ly</w:t>
      </w:r>
      <w:r w:rsidR="00F545E5">
        <w:rPr>
          <w:noProof/>
          <w:lang w:val="en-IE"/>
        </w:rPr>
        <w:t xml:space="preserve"> or </w:t>
      </w:r>
      <w:r w:rsidR="0090194C">
        <w:rPr>
          <w:noProof/>
          <w:lang w:val="en-IE"/>
        </w:rPr>
        <w:t xml:space="preserve">in </w:t>
      </w:r>
      <w:r w:rsidR="00F545E5">
        <w:rPr>
          <w:noProof/>
          <w:lang w:val="en-IE"/>
        </w:rPr>
        <w:t xml:space="preserve">real-time  </w:t>
      </w:r>
      <w:r w:rsidR="0090194C">
        <w:rPr>
          <w:noProof/>
          <w:lang w:val="en-IE"/>
        </w:rPr>
        <w:t xml:space="preserve">in a </w:t>
      </w:r>
      <w:r w:rsidR="00F545E5">
        <w:rPr>
          <w:noProof/>
          <w:lang w:val="en-IE"/>
        </w:rPr>
        <w:t>machine-readable format;</w:t>
      </w:r>
    </w:p>
    <w:p w14:paraId="6C914114" w14:textId="515BFA53" w:rsidR="00F545E5" w:rsidRDefault="000856CE" w:rsidP="000856CE">
      <w:pPr>
        <w:pStyle w:val="Point1"/>
        <w:rPr>
          <w:noProof/>
          <w:lang w:val="en-IE"/>
        </w:rPr>
      </w:pPr>
      <w:r w:rsidRPr="000856CE">
        <w:t>(d)</w:t>
      </w:r>
      <w:r w:rsidRPr="000856CE">
        <w:tab/>
      </w:r>
      <w:r w:rsidR="00F545E5" w:rsidRPr="6E895F06">
        <w:rPr>
          <w:noProof/>
          <w:lang w:val="en-IE"/>
        </w:rPr>
        <w:t xml:space="preserve">the </w:t>
      </w:r>
      <w:r w:rsidR="0090194C">
        <w:rPr>
          <w:noProof/>
          <w:lang w:val="en-IE"/>
        </w:rPr>
        <w:t>means</w:t>
      </w:r>
      <w:r w:rsidR="0090194C" w:rsidRPr="6E895F06">
        <w:rPr>
          <w:noProof/>
          <w:lang w:val="en-IE"/>
        </w:rPr>
        <w:t xml:space="preserve"> </w:t>
      </w:r>
      <w:r w:rsidR="0090194C">
        <w:rPr>
          <w:noProof/>
          <w:lang w:val="en-IE"/>
        </w:rPr>
        <w:t>to enable the</w:t>
      </w:r>
      <w:r w:rsidR="0090194C" w:rsidRPr="6E895F06">
        <w:rPr>
          <w:noProof/>
          <w:lang w:val="en-IE"/>
        </w:rPr>
        <w:t xml:space="preserve"> </w:t>
      </w:r>
      <w:r w:rsidR="00F545E5" w:rsidRPr="6E895F06">
        <w:rPr>
          <w:noProof/>
          <w:lang w:val="en-IE"/>
        </w:rPr>
        <w:t xml:space="preserve">interoperability of </w:t>
      </w:r>
      <w:r w:rsidR="0090194C">
        <w:rPr>
          <w:noProof/>
          <w:lang w:val="en-IE"/>
        </w:rPr>
        <w:t>smart contracts within their services and activities</w:t>
      </w:r>
      <w:r w:rsidR="00D20267">
        <w:rPr>
          <w:noProof/>
          <w:lang w:val="en-IE"/>
        </w:rPr>
        <w:t xml:space="preserve"> shall be provided</w:t>
      </w:r>
      <w:r w:rsidR="0090194C">
        <w:rPr>
          <w:noProof/>
          <w:lang w:val="en-IE"/>
        </w:rPr>
        <w:t xml:space="preserve">. </w:t>
      </w:r>
    </w:p>
    <w:p w14:paraId="53403569" w14:textId="27C986AD" w:rsidR="0099249D" w:rsidRDefault="0099249D" w:rsidP="001E21CC">
      <w:pPr>
        <w:pStyle w:val="Point0"/>
        <w:rPr>
          <w:noProof/>
          <w:lang w:val="en-IE"/>
        </w:rPr>
      </w:pPr>
      <w:r>
        <w:rPr>
          <w:noProof/>
          <w:lang w:val="en-IE"/>
        </w:rPr>
        <w:t xml:space="preserve">These requirements </w:t>
      </w:r>
      <w:r w:rsidRPr="00875B3B">
        <w:rPr>
          <w:noProof/>
          <w:lang w:val="en-IE"/>
        </w:rPr>
        <w:t>can have a generic nature or concern specific sectors, while taking fully into account the interrelation with requirements coming from other Union or national sectoral legislation</w:t>
      </w:r>
      <w:r>
        <w:rPr>
          <w:noProof/>
          <w:lang w:val="en-IE"/>
        </w:rPr>
        <w:t>.</w:t>
      </w:r>
    </w:p>
    <w:p w14:paraId="785CFF95" w14:textId="5F441163" w:rsidR="0099249D" w:rsidRDefault="000856CE" w:rsidP="000856CE">
      <w:pPr>
        <w:pStyle w:val="ManualNumPar1"/>
        <w:rPr>
          <w:noProof/>
          <w:lang w:val="en-IE"/>
        </w:rPr>
      </w:pPr>
      <w:r w:rsidRPr="000856CE">
        <w:t>2.</w:t>
      </w:r>
      <w:r w:rsidRPr="000856CE">
        <w:tab/>
      </w:r>
      <w:r w:rsidR="0099249D">
        <w:rPr>
          <w:noProof/>
          <w:lang w:val="en-IE"/>
        </w:rPr>
        <w:t xml:space="preserve">The Commission </w:t>
      </w:r>
      <w:r w:rsidR="0099249D" w:rsidRPr="00F002D1">
        <w:rPr>
          <w:noProof/>
          <w:lang w:val="en-IE"/>
        </w:rPr>
        <w:t>is empowered to adopt delegated acts</w:t>
      </w:r>
      <w:r w:rsidR="0099249D">
        <w:rPr>
          <w:noProof/>
          <w:lang w:val="en-IE"/>
        </w:rPr>
        <w:t>,</w:t>
      </w:r>
      <w:r w:rsidR="0099249D" w:rsidRPr="00F002D1">
        <w:rPr>
          <w:noProof/>
          <w:lang w:val="en-IE"/>
        </w:rPr>
        <w:t xml:space="preserve"> in accordance with Article </w:t>
      </w:r>
      <w:r w:rsidR="0099249D" w:rsidRPr="10AD104B">
        <w:rPr>
          <w:noProof/>
          <w:lang w:val="en-IE"/>
        </w:rPr>
        <w:t>38</w:t>
      </w:r>
      <w:r w:rsidR="0099249D" w:rsidRPr="00F002D1">
        <w:rPr>
          <w:noProof/>
          <w:lang w:val="en-IE"/>
        </w:rPr>
        <w:t xml:space="preserve"> to supplement this Regulation </w:t>
      </w:r>
      <w:r w:rsidR="0099249D">
        <w:rPr>
          <w:noProof/>
          <w:lang w:val="en-IE"/>
        </w:rPr>
        <w:t>by further specifying the essential requirements</w:t>
      </w:r>
      <w:r w:rsidR="0099249D" w:rsidRPr="3D69CBBA">
        <w:rPr>
          <w:noProof/>
          <w:lang w:val="en-IE"/>
        </w:rPr>
        <w:t xml:space="preserve"> </w:t>
      </w:r>
      <w:r w:rsidR="0099249D">
        <w:rPr>
          <w:noProof/>
          <w:lang w:val="en-IE"/>
        </w:rPr>
        <w:t xml:space="preserve">referred to </w:t>
      </w:r>
      <w:r w:rsidR="0099249D" w:rsidRPr="34845115">
        <w:rPr>
          <w:noProof/>
          <w:lang w:val="en-IE"/>
        </w:rPr>
        <w:t>in paragraph 1</w:t>
      </w:r>
      <w:r w:rsidR="0099249D">
        <w:rPr>
          <w:noProof/>
          <w:lang w:val="en-IE"/>
        </w:rPr>
        <w:t>.</w:t>
      </w:r>
    </w:p>
    <w:p w14:paraId="70E6A53C" w14:textId="41406A8A" w:rsidR="0099249D" w:rsidRDefault="000856CE" w:rsidP="000856CE">
      <w:pPr>
        <w:pStyle w:val="ManualNumPar1"/>
        <w:rPr>
          <w:noProof/>
          <w:lang w:val="en-IE"/>
        </w:rPr>
      </w:pPr>
      <w:r w:rsidRPr="000856CE">
        <w:t>3.</w:t>
      </w:r>
      <w:r w:rsidRPr="000856CE">
        <w:tab/>
      </w:r>
      <w:r w:rsidR="0099249D">
        <w:rPr>
          <w:noProof/>
          <w:lang w:val="en-IE"/>
        </w:rPr>
        <w:t xml:space="preserve">Operators of data spaces </w:t>
      </w:r>
      <w:r w:rsidR="0099249D" w:rsidRPr="44137436">
        <w:rPr>
          <w:noProof/>
          <w:lang w:val="en-IE"/>
        </w:rPr>
        <w:t xml:space="preserve">that meet the harmonised standards or parts thereof published </w:t>
      </w:r>
      <w:r w:rsidR="0099249D">
        <w:rPr>
          <w:noProof/>
          <w:lang w:val="en-IE"/>
        </w:rPr>
        <w:t>b</w:t>
      </w:r>
      <w:r w:rsidR="00D20267">
        <w:rPr>
          <w:noProof/>
          <w:lang w:val="en-IE"/>
        </w:rPr>
        <w:t>y</w:t>
      </w:r>
      <w:r w:rsidR="0099249D">
        <w:rPr>
          <w:noProof/>
          <w:lang w:val="en-IE"/>
        </w:rPr>
        <w:t xml:space="preserve"> reference </w:t>
      </w:r>
      <w:r w:rsidR="0099249D" w:rsidRPr="44137436">
        <w:rPr>
          <w:noProof/>
          <w:lang w:val="en-IE"/>
        </w:rPr>
        <w:t xml:space="preserve">in the Official Journal of the European Union shall be presumed to be in conformity with the essential requirements </w:t>
      </w:r>
      <w:r w:rsidR="0099249D">
        <w:rPr>
          <w:noProof/>
          <w:lang w:val="en-IE"/>
        </w:rPr>
        <w:t>referred</w:t>
      </w:r>
      <w:r w:rsidR="0099249D" w:rsidRPr="44137436">
        <w:rPr>
          <w:noProof/>
          <w:lang w:val="en-IE"/>
        </w:rPr>
        <w:t xml:space="preserve"> to</w:t>
      </w:r>
      <w:r w:rsidR="0099249D">
        <w:rPr>
          <w:noProof/>
          <w:lang w:val="en-IE"/>
        </w:rPr>
        <w:t xml:space="preserve"> in</w:t>
      </w:r>
      <w:r w:rsidR="0099249D" w:rsidRPr="44137436">
        <w:rPr>
          <w:noProof/>
          <w:lang w:val="en-IE"/>
        </w:rPr>
        <w:t xml:space="preserve"> paragraph 1</w:t>
      </w:r>
      <w:r w:rsidR="0099249D">
        <w:rPr>
          <w:noProof/>
          <w:lang w:val="en-IE"/>
        </w:rPr>
        <w:t xml:space="preserve"> of this Article</w:t>
      </w:r>
      <w:r w:rsidR="0099249D" w:rsidRPr="44137436">
        <w:rPr>
          <w:noProof/>
          <w:lang w:val="en-IE"/>
        </w:rPr>
        <w:t>, to the extent those standards cover those requirements</w:t>
      </w:r>
      <w:r w:rsidR="0099249D">
        <w:rPr>
          <w:noProof/>
          <w:lang w:val="en-IE"/>
        </w:rPr>
        <w:t>.</w:t>
      </w:r>
    </w:p>
    <w:p w14:paraId="32939D2C" w14:textId="5BAAC47A" w:rsidR="0099249D" w:rsidRPr="001E21CC" w:rsidRDefault="000856CE" w:rsidP="000856CE">
      <w:pPr>
        <w:pStyle w:val="ManualNumPar1"/>
        <w:rPr>
          <w:noProof/>
          <w:lang w:val="en-IE"/>
        </w:rPr>
      </w:pPr>
      <w:r w:rsidRPr="000856CE">
        <w:t>4.</w:t>
      </w:r>
      <w:r w:rsidRPr="000856CE">
        <w:tab/>
      </w:r>
      <w:r w:rsidR="0099249D">
        <w:rPr>
          <w:noProof/>
          <w:lang w:val="en-IE"/>
        </w:rPr>
        <w:t xml:space="preserve">The Commission may, </w:t>
      </w:r>
      <w:r w:rsidR="0099249D" w:rsidRPr="44137436">
        <w:rPr>
          <w:noProof/>
          <w:lang w:val="en-IE"/>
        </w:rPr>
        <w:t xml:space="preserve">in accordance with Article 10 of Regulation (EU) No 1025/2012, request one or more European standardisation organisations to draft harmonised standards </w:t>
      </w:r>
      <w:r w:rsidR="0099249D">
        <w:rPr>
          <w:noProof/>
          <w:lang w:val="en-IE"/>
        </w:rPr>
        <w:t>that satisfy the essential</w:t>
      </w:r>
      <w:r w:rsidR="0099249D" w:rsidRPr="44137436">
        <w:rPr>
          <w:noProof/>
          <w:lang w:val="en-IE"/>
        </w:rPr>
        <w:t xml:space="preserve"> requirements under paragraph 1</w:t>
      </w:r>
      <w:r w:rsidR="0099249D">
        <w:rPr>
          <w:noProof/>
          <w:lang w:val="en-IE"/>
        </w:rPr>
        <w:t xml:space="preserve"> of this Article</w:t>
      </w:r>
    </w:p>
    <w:p w14:paraId="16EEF83E" w14:textId="6F34E7BA" w:rsidR="0099249D" w:rsidRDefault="000856CE" w:rsidP="000856CE">
      <w:pPr>
        <w:pStyle w:val="ManualNumPar1"/>
        <w:rPr>
          <w:noProof/>
          <w:lang w:val="en-IE"/>
        </w:rPr>
      </w:pPr>
      <w:r w:rsidRPr="000856CE">
        <w:t>5.</w:t>
      </w:r>
      <w:r w:rsidRPr="000856CE">
        <w:tab/>
      </w:r>
      <w:r w:rsidR="0099249D">
        <w:rPr>
          <w:noProof/>
          <w:lang w:val="en-IE"/>
        </w:rPr>
        <w:t xml:space="preserve">The Commission shall, </w:t>
      </w:r>
      <w:r w:rsidR="0099249D" w:rsidRPr="44137436">
        <w:rPr>
          <w:noProof/>
          <w:lang w:val="en-IE"/>
        </w:rPr>
        <w:t>by way of implementing acts,</w:t>
      </w:r>
      <w:r w:rsidR="0099249D">
        <w:rPr>
          <w:noProof/>
          <w:lang w:val="en-IE"/>
        </w:rPr>
        <w:t xml:space="preserve"> </w:t>
      </w:r>
      <w:r w:rsidR="0099249D" w:rsidRPr="44137436">
        <w:rPr>
          <w:noProof/>
          <w:lang w:val="en-IE"/>
        </w:rPr>
        <w:t>adopt common specifications</w:t>
      </w:r>
      <w:r w:rsidR="0099249D" w:rsidRPr="44137436">
        <w:rPr>
          <w:rFonts w:eastAsia="Times New Roman"/>
          <w:noProof/>
          <w:lang w:val="en-IE"/>
        </w:rPr>
        <w:t>,</w:t>
      </w:r>
      <w:r w:rsidR="0099249D" w:rsidRPr="44137436">
        <w:rPr>
          <w:noProof/>
          <w:lang w:val="en-IE"/>
        </w:rPr>
        <w:t xml:space="preserve"> </w:t>
      </w:r>
      <w:r w:rsidR="0099249D" w:rsidRPr="44137436">
        <w:rPr>
          <w:rFonts w:eastAsia="Times New Roman"/>
          <w:noProof/>
          <w:lang w:val="en-IE"/>
        </w:rPr>
        <w:t xml:space="preserve">where harmonised standards referred to in paragraph </w:t>
      </w:r>
      <w:r w:rsidR="0099249D">
        <w:rPr>
          <w:rFonts w:eastAsia="Times New Roman"/>
          <w:noProof/>
          <w:lang w:val="en-IE"/>
        </w:rPr>
        <w:t>4</w:t>
      </w:r>
      <w:r w:rsidR="0099249D" w:rsidRPr="44137436">
        <w:rPr>
          <w:rFonts w:eastAsia="Times New Roman"/>
          <w:noProof/>
          <w:lang w:val="en-IE"/>
        </w:rPr>
        <w:t xml:space="preserve"> </w:t>
      </w:r>
      <w:r w:rsidR="0099249D">
        <w:rPr>
          <w:rFonts w:eastAsia="Times New Roman"/>
          <w:noProof/>
          <w:lang w:val="en-IE"/>
        </w:rPr>
        <w:t>of this Article</w:t>
      </w:r>
      <w:r w:rsidR="0099249D" w:rsidRPr="44137436">
        <w:rPr>
          <w:rFonts w:eastAsia="Times New Roman"/>
          <w:noProof/>
          <w:lang w:val="en-IE"/>
        </w:rPr>
        <w:t xml:space="preserve"> do not exist or </w:t>
      </w:r>
      <w:r w:rsidR="0099249D" w:rsidRPr="44137436">
        <w:rPr>
          <w:noProof/>
          <w:lang w:val="en-IE"/>
        </w:rPr>
        <w:t xml:space="preserve">in case it considers that the relevant harmonised standards are insufficient to </w:t>
      </w:r>
      <w:r w:rsidR="0099249D" w:rsidRPr="44137436">
        <w:rPr>
          <w:rFonts w:eastAsia="Times New Roman"/>
          <w:noProof/>
          <w:lang w:val="en-IE"/>
        </w:rPr>
        <w:t>ensure conformity with the essential requirements in paragraph 1</w:t>
      </w:r>
      <w:r w:rsidR="0099249D">
        <w:rPr>
          <w:rFonts w:eastAsia="Times New Roman"/>
          <w:noProof/>
          <w:lang w:val="en-IE"/>
        </w:rPr>
        <w:t xml:space="preserve"> of this Article</w:t>
      </w:r>
      <w:r w:rsidR="0099249D" w:rsidRPr="44137436">
        <w:rPr>
          <w:noProof/>
          <w:lang w:val="en-IE"/>
        </w:rPr>
        <w:t>, where necessary, with respect to any or all of the requirements laid down in paragraph 1</w:t>
      </w:r>
      <w:r w:rsidR="0099249D">
        <w:rPr>
          <w:noProof/>
          <w:lang w:val="en-IE"/>
        </w:rPr>
        <w:t xml:space="preserve"> of this Article</w:t>
      </w:r>
      <w:r w:rsidR="0099249D" w:rsidRPr="44137436">
        <w:rPr>
          <w:noProof/>
          <w:lang w:val="en-IE"/>
        </w:rPr>
        <w:t xml:space="preserve">. Those implementing acts shall be adopted in accordance with the examination procedure referred to in Article </w:t>
      </w:r>
      <w:r w:rsidR="0099249D" w:rsidRPr="10AD104B">
        <w:rPr>
          <w:noProof/>
          <w:lang w:val="en-IE"/>
        </w:rPr>
        <w:t>39</w:t>
      </w:r>
      <w:r w:rsidR="0099249D" w:rsidRPr="44137436">
        <w:rPr>
          <w:noProof/>
          <w:lang w:val="en-IE"/>
        </w:rPr>
        <w:t>(2)</w:t>
      </w:r>
      <w:r w:rsidR="0099249D">
        <w:rPr>
          <w:noProof/>
          <w:lang w:val="en-IE"/>
        </w:rPr>
        <w:t>.</w:t>
      </w:r>
    </w:p>
    <w:p w14:paraId="794052D1" w14:textId="2ECFA68B" w:rsidR="0099249D" w:rsidRDefault="000856CE" w:rsidP="000856CE">
      <w:pPr>
        <w:pStyle w:val="ManualNumPar1"/>
        <w:rPr>
          <w:noProof/>
          <w:lang w:val="en-IE"/>
        </w:rPr>
      </w:pPr>
      <w:r w:rsidRPr="000856CE">
        <w:t>6.</w:t>
      </w:r>
      <w:r w:rsidRPr="000856CE">
        <w:tab/>
      </w:r>
      <w:r w:rsidR="0099249D">
        <w:rPr>
          <w:noProof/>
          <w:lang w:val="en-IE"/>
        </w:rPr>
        <w:t>The Commission may adopt guidelines laying down interoperability specifications for the functioning of common European data spaces, such as architectural models and technical standards implementing legal rules and arrangements between parties that foster data sharing, such as regarding rights to access and technical translation of consent or permission.</w:t>
      </w:r>
    </w:p>
    <w:p w14:paraId="468EAF1B" w14:textId="3F1C62E4" w:rsidR="00D070D6" w:rsidRDefault="00D070D6" w:rsidP="001E21CC">
      <w:pPr>
        <w:pStyle w:val="Titrearticlefa"/>
        <w:rPr>
          <w:noProof/>
          <w:lang w:val="en-IE"/>
        </w:rPr>
      </w:pPr>
      <w:r>
        <w:rPr>
          <w:noProof/>
          <w:lang w:val="en-IE"/>
        </w:rPr>
        <w:t>Article 29</w:t>
      </w:r>
      <w:r>
        <w:rPr>
          <w:noProof/>
          <w:lang w:val="en-IE"/>
        </w:rPr>
        <w:br/>
        <w:t>Interoperability for data processing services</w:t>
      </w:r>
    </w:p>
    <w:p w14:paraId="3F0A8EA2" w14:textId="0D27114E" w:rsidR="00D070D6" w:rsidRDefault="000856CE" w:rsidP="000856CE">
      <w:pPr>
        <w:pStyle w:val="ManualNumPar1"/>
        <w:rPr>
          <w:noProof/>
        </w:rPr>
      </w:pPr>
      <w:r w:rsidRPr="000856CE">
        <w:t>1.</w:t>
      </w:r>
      <w:r w:rsidRPr="000856CE">
        <w:tab/>
      </w:r>
      <w:r w:rsidR="00D070D6">
        <w:rPr>
          <w:noProof/>
          <w:lang w:val="en-IE"/>
        </w:rPr>
        <w:t xml:space="preserve">Open </w:t>
      </w:r>
      <w:r w:rsidR="00D070D6" w:rsidRPr="00830595">
        <w:rPr>
          <w:noProof/>
        </w:rPr>
        <w:t>interoperability specifications and European standards for the interoperability of data processing services shall</w:t>
      </w:r>
      <w:r w:rsidR="00D070D6">
        <w:rPr>
          <w:noProof/>
        </w:rPr>
        <w:t>:</w:t>
      </w:r>
    </w:p>
    <w:p w14:paraId="24D93036" w14:textId="240C7667" w:rsidR="00ED76AE" w:rsidRPr="001E21CC" w:rsidRDefault="000856CE" w:rsidP="000856CE">
      <w:pPr>
        <w:pStyle w:val="Point1"/>
        <w:rPr>
          <w:noProof/>
        </w:rPr>
      </w:pPr>
      <w:r w:rsidRPr="000856CE">
        <w:t>(a)</w:t>
      </w:r>
      <w:r w:rsidRPr="000856CE">
        <w:tab/>
      </w:r>
      <w:r w:rsidR="00ED76AE">
        <w:rPr>
          <w:noProof/>
        </w:rPr>
        <w:t xml:space="preserve">be </w:t>
      </w:r>
      <w:r w:rsidR="00ED76AE" w:rsidRPr="00ED76AE">
        <w:rPr>
          <w:noProof/>
          <w:lang w:val="en-IE"/>
        </w:rPr>
        <w:t>performance oriented towards achieving interoperability between different data processing services that cover the same service type;</w:t>
      </w:r>
    </w:p>
    <w:p w14:paraId="4840953E" w14:textId="4B33FA0C" w:rsidR="00ED76AE" w:rsidRPr="001E21CC" w:rsidRDefault="000856CE" w:rsidP="000856CE">
      <w:pPr>
        <w:pStyle w:val="Point1"/>
        <w:rPr>
          <w:noProof/>
        </w:rPr>
      </w:pPr>
      <w:r w:rsidRPr="000856CE">
        <w:t>(b)</w:t>
      </w:r>
      <w:r w:rsidRPr="000856CE">
        <w:tab/>
      </w:r>
      <w:r w:rsidR="00ED76AE">
        <w:rPr>
          <w:noProof/>
        </w:rPr>
        <w:t xml:space="preserve">enhance </w:t>
      </w:r>
      <w:r w:rsidR="00ED76AE" w:rsidRPr="1CDE00D7">
        <w:rPr>
          <w:noProof/>
          <w:lang w:val="en-IE"/>
        </w:rPr>
        <w:t>portability of digital assets between different data processing services that cover the same service type</w:t>
      </w:r>
      <w:r w:rsidR="00ED76AE">
        <w:rPr>
          <w:noProof/>
          <w:lang w:val="en-IE"/>
        </w:rPr>
        <w:t>;</w:t>
      </w:r>
    </w:p>
    <w:p w14:paraId="20EB4963" w14:textId="06C19313" w:rsidR="00ED76AE" w:rsidRPr="00ED76AE" w:rsidRDefault="000856CE" w:rsidP="000856CE">
      <w:pPr>
        <w:pStyle w:val="Point1"/>
        <w:rPr>
          <w:noProof/>
        </w:rPr>
      </w:pPr>
      <w:r w:rsidRPr="000856CE">
        <w:t>(c)</w:t>
      </w:r>
      <w:r w:rsidRPr="000856CE">
        <w:tab/>
      </w:r>
      <w:r w:rsidR="00ED76AE">
        <w:rPr>
          <w:noProof/>
          <w:lang w:val="en-IE"/>
        </w:rPr>
        <w:t xml:space="preserve">guarantee, </w:t>
      </w:r>
      <w:r w:rsidR="00ED76AE" w:rsidRPr="1CDE00D7">
        <w:rPr>
          <w:noProof/>
          <w:lang w:val="en-IE"/>
        </w:rPr>
        <w:t>where technically feasible, functional equivalence between different data processing services that cover the same service type</w:t>
      </w:r>
      <w:r w:rsidR="00ED76AE">
        <w:rPr>
          <w:noProof/>
          <w:lang w:val="en-IE"/>
        </w:rPr>
        <w:t>.</w:t>
      </w:r>
    </w:p>
    <w:p w14:paraId="1F40026F" w14:textId="38288D4D" w:rsidR="00ED76AE" w:rsidRPr="00ED76AE" w:rsidRDefault="000856CE" w:rsidP="000856CE">
      <w:pPr>
        <w:pStyle w:val="ManualNumPar1"/>
        <w:rPr>
          <w:noProof/>
        </w:rPr>
      </w:pPr>
      <w:r w:rsidRPr="000856CE">
        <w:t>2.</w:t>
      </w:r>
      <w:r w:rsidRPr="000856CE">
        <w:tab/>
      </w:r>
      <w:r w:rsidR="00ED76AE">
        <w:rPr>
          <w:noProof/>
        </w:rPr>
        <w:t xml:space="preserve">Open </w:t>
      </w:r>
      <w:r w:rsidR="00ED76AE" w:rsidRPr="1CDE00D7">
        <w:rPr>
          <w:noProof/>
          <w:lang w:val="en-IE"/>
        </w:rPr>
        <w:t>interoperability specifications and European standards for the interoperability of data processing services shall address</w:t>
      </w:r>
      <w:r w:rsidR="00ED76AE">
        <w:rPr>
          <w:noProof/>
          <w:lang w:val="en-IE"/>
        </w:rPr>
        <w:t>:</w:t>
      </w:r>
    </w:p>
    <w:p w14:paraId="1B7A8937" w14:textId="5FB4DA53" w:rsidR="00F545E5" w:rsidRPr="00ED76AE" w:rsidRDefault="000856CE" w:rsidP="000856CE">
      <w:pPr>
        <w:pStyle w:val="Point2"/>
        <w:rPr>
          <w:noProof/>
          <w:lang w:val="en-IE"/>
        </w:rPr>
      </w:pPr>
      <w:r w:rsidRPr="000856CE">
        <w:t>(a)</w:t>
      </w:r>
      <w:r w:rsidRPr="000856CE">
        <w:tab/>
      </w:r>
      <w:r w:rsidR="00F545E5" w:rsidRPr="00ED76AE">
        <w:rPr>
          <w:noProof/>
          <w:lang w:val="en-IE"/>
        </w:rPr>
        <w:t xml:space="preserve">the cloud interoperability </w:t>
      </w:r>
      <w:r w:rsidR="00206858" w:rsidRPr="00ED76AE">
        <w:rPr>
          <w:noProof/>
          <w:lang w:val="en-IE"/>
        </w:rPr>
        <w:t xml:space="preserve">aspects </w:t>
      </w:r>
      <w:r w:rsidR="00F545E5" w:rsidRPr="00ED76AE">
        <w:rPr>
          <w:noProof/>
          <w:lang w:val="en-IE"/>
        </w:rPr>
        <w:t xml:space="preserve">of transport interoperability, syntactic interoperability, semantic data interoperability, behavioural interoperability and policy interoperability; </w:t>
      </w:r>
    </w:p>
    <w:p w14:paraId="46EEBAA7" w14:textId="11E38012" w:rsidR="00F545E5" w:rsidRPr="00ED76AE" w:rsidRDefault="000856CE" w:rsidP="000856CE">
      <w:pPr>
        <w:pStyle w:val="Point2"/>
        <w:rPr>
          <w:noProof/>
          <w:lang w:val="en-IE"/>
        </w:rPr>
      </w:pPr>
      <w:r w:rsidRPr="000856CE">
        <w:t>(b)</w:t>
      </w:r>
      <w:r w:rsidRPr="000856CE">
        <w:tab/>
      </w:r>
      <w:r w:rsidR="00F545E5" w:rsidRPr="00ED76AE">
        <w:rPr>
          <w:noProof/>
          <w:lang w:val="en-IE"/>
        </w:rPr>
        <w:t xml:space="preserve">the cloud data portability </w:t>
      </w:r>
      <w:r w:rsidR="00206858" w:rsidRPr="00ED76AE">
        <w:rPr>
          <w:noProof/>
          <w:lang w:val="en-IE"/>
        </w:rPr>
        <w:t xml:space="preserve">aspects </w:t>
      </w:r>
      <w:r w:rsidR="00F545E5" w:rsidRPr="00ED76AE">
        <w:rPr>
          <w:noProof/>
          <w:lang w:val="en-IE"/>
        </w:rPr>
        <w:t>of data syntactic portability, data semantic portability and data policy portability;</w:t>
      </w:r>
    </w:p>
    <w:p w14:paraId="4F7B70EF" w14:textId="7B33EBA1" w:rsidR="00F545E5" w:rsidRPr="00ED76AE" w:rsidRDefault="000856CE" w:rsidP="000856CE">
      <w:pPr>
        <w:pStyle w:val="Point2"/>
        <w:rPr>
          <w:noProof/>
          <w:lang w:val="en-IE"/>
        </w:rPr>
      </w:pPr>
      <w:r w:rsidRPr="000856CE">
        <w:t>(c)</w:t>
      </w:r>
      <w:r w:rsidRPr="000856CE">
        <w:tab/>
      </w:r>
      <w:r w:rsidR="00F545E5" w:rsidRPr="00ED76AE">
        <w:rPr>
          <w:noProof/>
          <w:lang w:val="en-IE"/>
        </w:rPr>
        <w:t xml:space="preserve">the cloud application </w:t>
      </w:r>
      <w:r w:rsidR="00206858" w:rsidRPr="00ED76AE">
        <w:rPr>
          <w:noProof/>
          <w:lang w:val="en-IE"/>
        </w:rPr>
        <w:t xml:space="preserve">aspects </w:t>
      </w:r>
      <w:r w:rsidR="00F545E5" w:rsidRPr="00ED76AE">
        <w:rPr>
          <w:noProof/>
          <w:lang w:val="en-IE"/>
        </w:rPr>
        <w:t>of application syntactic portability, application instruction portability, application metadata portability, application behaviour portability and application policy portability.</w:t>
      </w:r>
    </w:p>
    <w:p w14:paraId="4DA8599D" w14:textId="318CA21C" w:rsidR="00F545E5" w:rsidRDefault="000856CE" w:rsidP="000856CE">
      <w:pPr>
        <w:pStyle w:val="ManualNumPar1"/>
        <w:rPr>
          <w:noProof/>
          <w:lang w:val="en-IE"/>
        </w:rPr>
      </w:pPr>
      <w:r w:rsidRPr="000856CE">
        <w:t>3.</w:t>
      </w:r>
      <w:r w:rsidRPr="000856CE">
        <w:tab/>
      </w:r>
      <w:r w:rsidR="00ED76AE">
        <w:rPr>
          <w:noProof/>
          <w:lang w:val="en-IE"/>
        </w:rPr>
        <w:t xml:space="preserve">Open </w:t>
      </w:r>
      <w:r w:rsidR="00F545E5">
        <w:rPr>
          <w:noProof/>
          <w:lang w:val="en-IE"/>
        </w:rPr>
        <w:t xml:space="preserve">interoperability </w:t>
      </w:r>
      <w:r w:rsidR="00ED76AE">
        <w:rPr>
          <w:noProof/>
          <w:lang w:val="en-IE"/>
        </w:rPr>
        <w:t>specifications shall comply with paragraph 3 and 4 of Annex II of Regulation (EU) No 1025/2012.</w:t>
      </w:r>
    </w:p>
    <w:p w14:paraId="4E7C68FD" w14:textId="01F866CE" w:rsidR="00F545E5" w:rsidRDefault="000856CE" w:rsidP="000856CE">
      <w:pPr>
        <w:pStyle w:val="ManualNumPar1"/>
        <w:rPr>
          <w:rFonts w:eastAsiaTheme="minorEastAsia"/>
          <w:noProof/>
          <w:lang w:val="en-IE"/>
        </w:rPr>
      </w:pPr>
      <w:r w:rsidRPr="000856CE">
        <w:t>4.</w:t>
      </w:r>
      <w:r w:rsidRPr="000856CE">
        <w:tab/>
      </w:r>
      <w:r w:rsidR="00F545E5" w:rsidRPr="44137436">
        <w:rPr>
          <w:noProof/>
          <w:lang w:val="en-IE"/>
        </w:rPr>
        <w:t xml:space="preserve">The Commission </w:t>
      </w:r>
      <w:r w:rsidR="001F58F8">
        <w:rPr>
          <w:noProof/>
          <w:lang w:val="en-IE"/>
        </w:rPr>
        <w:t>may</w:t>
      </w:r>
      <w:r w:rsidR="00F545E5" w:rsidRPr="44137436">
        <w:rPr>
          <w:noProof/>
          <w:lang w:val="en-IE"/>
        </w:rPr>
        <w:t xml:space="preserve">, in accordance with Article 10 of Regulation (EU) No 1025/2012, request one or more European standardisation organisations to draft </w:t>
      </w:r>
      <w:r w:rsidR="001F58F8">
        <w:rPr>
          <w:noProof/>
          <w:lang w:val="en-IE"/>
        </w:rPr>
        <w:t>European</w:t>
      </w:r>
      <w:r w:rsidR="001F58F8" w:rsidRPr="44137436">
        <w:rPr>
          <w:noProof/>
          <w:lang w:val="en-IE"/>
        </w:rPr>
        <w:t xml:space="preserve"> </w:t>
      </w:r>
      <w:r w:rsidR="00F545E5" w:rsidRPr="44137436">
        <w:rPr>
          <w:noProof/>
          <w:lang w:val="en-IE"/>
        </w:rPr>
        <w:t xml:space="preserve">standards </w:t>
      </w:r>
      <w:r w:rsidR="001F58F8">
        <w:rPr>
          <w:noProof/>
          <w:lang w:val="en-IE"/>
        </w:rPr>
        <w:t>applicable to specific service types of data processing services</w:t>
      </w:r>
      <w:r w:rsidR="00F545E5" w:rsidRPr="44137436">
        <w:rPr>
          <w:noProof/>
          <w:lang w:val="en-IE"/>
        </w:rPr>
        <w:t>.</w:t>
      </w:r>
    </w:p>
    <w:p w14:paraId="7020686B" w14:textId="7CCA8FB7" w:rsidR="00F545E5" w:rsidRPr="0044669A" w:rsidRDefault="000856CE" w:rsidP="000856CE">
      <w:pPr>
        <w:pStyle w:val="ManualNumPar1"/>
        <w:rPr>
          <w:noProof/>
          <w:lang w:val="en-IE"/>
        </w:rPr>
      </w:pPr>
      <w:r w:rsidRPr="000856CE">
        <w:t>5.</w:t>
      </w:r>
      <w:r w:rsidRPr="000856CE">
        <w:tab/>
      </w:r>
      <w:r w:rsidR="001F58F8">
        <w:rPr>
          <w:noProof/>
          <w:lang w:val="en-IE"/>
        </w:rPr>
        <w:t xml:space="preserve">For the purposes of Article 26(3) of this Regulation, the </w:t>
      </w:r>
      <w:r w:rsidR="00F545E5" w:rsidRPr="44137436">
        <w:rPr>
          <w:noProof/>
          <w:lang w:val="en-IE"/>
        </w:rPr>
        <w:t>Commission shall be empowered</w:t>
      </w:r>
      <w:r w:rsidR="001F58F8">
        <w:rPr>
          <w:noProof/>
          <w:lang w:val="en-IE"/>
        </w:rPr>
        <w:t xml:space="preserve"> to adopt</w:t>
      </w:r>
      <w:r w:rsidR="00F545E5" w:rsidRPr="44137436">
        <w:rPr>
          <w:noProof/>
          <w:lang w:val="en-IE"/>
        </w:rPr>
        <w:t xml:space="preserve"> </w:t>
      </w:r>
      <w:r w:rsidR="001F58F8">
        <w:rPr>
          <w:noProof/>
          <w:lang w:val="en-IE"/>
        </w:rPr>
        <w:t xml:space="preserve">delegated </w:t>
      </w:r>
      <w:r w:rsidR="00F545E5" w:rsidRPr="44137436">
        <w:rPr>
          <w:noProof/>
          <w:lang w:val="en-IE"/>
        </w:rPr>
        <w:t>acts</w:t>
      </w:r>
      <w:r w:rsidR="001F58F8">
        <w:rPr>
          <w:noProof/>
          <w:lang w:val="en-IE"/>
        </w:rPr>
        <w:t>,</w:t>
      </w:r>
      <w:r w:rsidR="00F545E5" w:rsidRPr="44137436">
        <w:rPr>
          <w:noProof/>
          <w:lang w:val="en-IE"/>
        </w:rPr>
        <w:t xml:space="preserve"> in accordance with Article 38</w:t>
      </w:r>
      <w:r w:rsidR="0044669A">
        <w:rPr>
          <w:noProof/>
          <w:lang w:val="en-IE"/>
        </w:rPr>
        <w:t>, to publish the reference of open</w:t>
      </w:r>
      <w:r w:rsidR="00F545E5" w:rsidRPr="0044669A">
        <w:rPr>
          <w:noProof/>
          <w:lang w:val="en-IE"/>
        </w:rPr>
        <w:t xml:space="preserve"> interoperability </w:t>
      </w:r>
      <w:r w:rsidR="0044669A">
        <w:rPr>
          <w:noProof/>
          <w:lang w:val="en-IE"/>
        </w:rPr>
        <w:t xml:space="preserve">specifications </w:t>
      </w:r>
      <w:r w:rsidR="00E954DE">
        <w:rPr>
          <w:noProof/>
          <w:lang w:val="en-IE"/>
        </w:rPr>
        <w:t xml:space="preserve">and European standards for the interoperability of data processing services in central Union standards repository for the </w:t>
      </w:r>
      <w:r w:rsidR="00F545E5" w:rsidRPr="0044669A">
        <w:rPr>
          <w:noProof/>
          <w:lang w:val="en-IE"/>
        </w:rPr>
        <w:t xml:space="preserve">interoperability of data processing services, </w:t>
      </w:r>
      <w:r w:rsidR="00E954DE">
        <w:rPr>
          <w:noProof/>
          <w:lang w:val="en-IE"/>
        </w:rPr>
        <w:t xml:space="preserve">where these satisfy the criteria specified in </w:t>
      </w:r>
      <w:r w:rsidR="00F545E5" w:rsidRPr="0044669A">
        <w:rPr>
          <w:noProof/>
          <w:lang w:val="en-IE"/>
        </w:rPr>
        <w:t>paragraph 1</w:t>
      </w:r>
      <w:r w:rsidR="00E954DE">
        <w:rPr>
          <w:noProof/>
          <w:lang w:val="en-IE"/>
        </w:rPr>
        <w:t xml:space="preserve"> and 2</w:t>
      </w:r>
      <w:r w:rsidR="00F545E5" w:rsidRPr="0044669A">
        <w:rPr>
          <w:noProof/>
          <w:lang w:val="en-IE"/>
        </w:rPr>
        <w:t xml:space="preserve"> of this Article.</w:t>
      </w:r>
    </w:p>
    <w:p w14:paraId="638A15D9" w14:textId="20A9ABD2" w:rsidR="001A618D" w:rsidRPr="009E7432" w:rsidRDefault="00CC2D52" w:rsidP="009E7432">
      <w:pPr>
        <w:pStyle w:val="Titrearticleb"/>
        <w:rPr>
          <w:noProof/>
        </w:rPr>
      </w:pPr>
      <w:r>
        <w:rPr>
          <w:noProof/>
        </w:rPr>
        <w:t xml:space="preserve">Article </w:t>
      </w:r>
      <w:r w:rsidR="00B52242">
        <w:rPr>
          <w:noProof/>
        </w:rPr>
        <w:t>30</w:t>
      </w:r>
      <w:r w:rsidR="009E7432">
        <w:rPr>
          <w:noProof/>
        </w:rPr>
        <w:br/>
      </w:r>
      <w:r w:rsidR="00887283">
        <w:rPr>
          <w:noProof/>
          <w:lang w:val="en-IE"/>
        </w:rPr>
        <w:t>Essential</w:t>
      </w:r>
      <w:r w:rsidR="00887283" w:rsidRPr="00B356D4">
        <w:rPr>
          <w:noProof/>
          <w:lang w:val="en-IE"/>
        </w:rPr>
        <w:t xml:space="preserve"> </w:t>
      </w:r>
      <w:r w:rsidR="001A618D" w:rsidRPr="00B356D4">
        <w:rPr>
          <w:noProof/>
          <w:lang w:val="en-IE"/>
        </w:rPr>
        <w:t xml:space="preserve">requirements </w:t>
      </w:r>
      <w:r w:rsidR="001A618D" w:rsidRPr="00B356D4">
        <w:rPr>
          <w:bCs/>
          <w:iCs/>
          <w:noProof/>
          <w:lang w:val="en-IE"/>
        </w:rPr>
        <w:t>regarding</w:t>
      </w:r>
      <w:r w:rsidR="001A618D" w:rsidRPr="00B356D4">
        <w:rPr>
          <w:noProof/>
          <w:lang w:val="en-IE"/>
        </w:rPr>
        <w:t xml:space="preserve"> smart contracts </w:t>
      </w:r>
      <w:r w:rsidR="001A618D" w:rsidRPr="00B356D4">
        <w:rPr>
          <w:bCs/>
          <w:iCs/>
          <w:noProof/>
          <w:lang w:val="en-IE"/>
        </w:rPr>
        <w:t>for data sharing</w:t>
      </w:r>
    </w:p>
    <w:p w14:paraId="29D08C22" w14:textId="23BF4BC5" w:rsidR="006E36D8" w:rsidRPr="00AC525B" w:rsidRDefault="000856CE" w:rsidP="000856CE">
      <w:pPr>
        <w:pStyle w:val="ManualNumPar1"/>
        <w:rPr>
          <w:noProof/>
          <w:lang w:val="en-IE"/>
        </w:rPr>
      </w:pPr>
      <w:r w:rsidRPr="000856CE">
        <w:t>1.</w:t>
      </w:r>
      <w:r w:rsidRPr="000856CE">
        <w:tab/>
      </w:r>
      <w:r w:rsidR="006E36D8" w:rsidRPr="00AC525B">
        <w:rPr>
          <w:noProof/>
          <w:lang w:val="en-IE"/>
        </w:rPr>
        <w:t xml:space="preserve">The </w:t>
      </w:r>
      <w:r w:rsidR="00F545E5" w:rsidRPr="2FA46F90">
        <w:rPr>
          <w:noProof/>
          <w:lang w:val="en-IE"/>
        </w:rPr>
        <w:t>vendor of a</w:t>
      </w:r>
      <w:r w:rsidR="00887283">
        <w:rPr>
          <w:noProof/>
          <w:lang w:val="en-IE"/>
        </w:rPr>
        <w:t>n application using</w:t>
      </w:r>
      <w:r w:rsidR="00F545E5" w:rsidRPr="2FA46F90">
        <w:rPr>
          <w:noProof/>
          <w:lang w:val="en-IE"/>
        </w:rPr>
        <w:t xml:space="preserve"> smart contract</w:t>
      </w:r>
      <w:r w:rsidR="00887283">
        <w:rPr>
          <w:noProof/>
          <w:lang w:val="en-IE"/>
        </w:rPr>
        <w:t>s</w:t>
      </w:r>
      <w:r w:rsidR="00F545E5" w:rsidRPr="2FA46F90">
        <w:rPr>
          <w:noProof/>
          <w:lang w:val="en-IE"/>
        </w:rPr>
        <w:t xml:space="preserve"> or, in the absence thereof, the person whose trade, business or profession involves the deployment of smart contracts for others in the context of an agreement to make data available shall</w:t>
      </w:r>
      <w:r w:rsidR="00F545E5">
        <w:rPr>
          <w:noProof/>
          <w:lang w:val="en-IE"/>
        </w:rPr>
        <w:t xml:space="preserve"> </w:t>
      </w:r>
      <w:r w:rsidR="00F545E5" w:rsidRPr="04C06EBD">
        <w:rPr>
          <w:noProof/>
          <w:lang w:val="en-IE"/>
        </w:rPr>
        <w:t xml:space="preserve">comply with the following </w:t>
      </w:r>
      <w:r w:rsidR="00887283">
        <w:rPr>
          <w:noProof/>
          <w:lang w:val="en-IE"/>
        </w:rPr>
        <w:t>essential</w:t>
      </w:r>
      <w:r w:rsidR="00887283" w:rsidRPr="04C06EBD">
        <w:rPr>
          <w:noProof/>
          <w:lang w:val="en-IE"/>
        </w:rPr>
        <w:t xml:space="preserve"> </w:t>
      </w:r>
      <w:r w:rsidR="00F545E5" w:rsidRPr="04C06EBD">
        <w:rPr>
          <w:noProof/>
          <w:lang w:val="en-IE"/>
        </w:rPr>
        <w:t>requirements</w:t>
      </w:r>
      <w:r w:rsidR="006E36D8" w:rsidRPr="00AC525B">
        <w:rPr>
          <w:noProof/>
          <w:lang w:val="en-IE"/>
        </w:rPr>
        <w:t>:</w:t>
      </w:r>
    </w:p>
    <w:p w14:paraId="409CBA8F" w14:textId="380E9D8F" w:rsidR="006E36D8" w:rsidRDefault="000856CE" w:rsidP="000856CE">
      <w:pPr>
        <w:pStyle w:val="Point1"/>
        <w:rPr>
          <w:noProof/>
          <w:lang w:val="en-IE"/>
        </w:rPr>
      </w:pPr>
      <w:r w:rsidRPr="000856CE">
        <w:t>(a)</w:t>
      </w:r>
      <w:r w:rsidRPr="000856CE">
        <w:tab/>
      </w:r>
      <w:r w:rsidR="00887283">
        <w:rPr>
          <w:noProof/>
          <w:lang w:val="en-IE"/>
        </w:rPr>
        <w:t xml:space="preserve">robustness: </w:t>
      </w:r>
      <w:r w:rsidR="006E36D8" w:rsidRPr="00AC525B">
        <w:rPr>
          <w:noProof/>
          <w:lang w:val="en-IE"/>
        </w:rPr>
        <w:t xml:space="preserve">ensure </w:t>
      </w:r>
      <w:r w:rsidR="00F545E5" w:rsidRPr="2FA46F90">
        <w:rPr>
          <w:noProof/>
          <w:lang w:val="en-IE"/>
        </w:rPr>
        <w:t xml:space="preserve">that the smart contract has been designed to offer a very high degree of robustness to </w:t>
      </w:r>
      <w:r w:rsidR="00887283">
        <w:rPr>
          <w:noProof/>
          <w:lang w:val="en-IE"/>
        </w:rPr>
        <w:t xml:space="preserve">avoid functional errors and to </w:t>
      </w:r>
      <w:r w:rsidR="00F545E5" w:rsidRPr="2FA46F90">
        <w:rPr>
          <w:noProof/>
          <w:lang w:val="en-IE"/>
        </w:rPr>
        <w:t>withstand manipulation by third parties</w:t>
      </w:r>
      <w:r w:rsidR="006E36D8" w:rsidRPr="00AC525B">
        <w:rPr>
          <w:noProof/>
          <w:lang w:val="en-IE"/>
        </w:rPr>
        <w:t>;</w:t>
      </w:r>
      <w:r w:rsidR="00887283">
        <w:rPr>
          <w:noProof/>
          <w:lang w:val="en-IE"/>
        </w:rPr>
        <w:t xml:space="preserve"> </w:t>
      </w:r>
    </w:p>
    <w:p w14:paraId="555F8EDD" w14:textId="3A3FAE4D" w:rsidR="00F545E5" w:rsidRPr="00F545E5" w:rsidRDefault="000856CE" w:rsidP="000856CE">
      <w:pPr>
        <w:pStyle w:val="Point1"/>
        <w:rPr>
          <w:noProof/>
          <w:lang w:val="en-IE"/>
        </w:rPr>
      </w:pPr>
      <w:r w:rsidRPr="000856CE">
        <w:t>(b)</w:t>
      </w:r>
      <w:r w:rsidRPr="000856CE">
        <w:tab/>
      </w:r>
      <w:r w:rsidR="00887283">
        <w:rPr>
          <w:noProof/>
          <w:lang w:val="en-IE"/>
        </w:rPr>
        <w:t xml:space="preserve">safe termination and interruption: </w:t>
      </w:r>
      <w:r w:rsidR="00F545E5" w:rsidRPr="00F545E5">
        <w:rPr>
          <w:noProof/>
          <w:lang w:val="en-IE"/>
        </w:rPr>
        <w:t xml:space="preserve">ensure that a mechanism exists to </w:t>
      </w:r>
      <w:r w:rsidR="00887283">
        <w:rPr>
          <w:noProof/>
          <w:lang w:val="en-IE"/>
        </w:rPr>
        <w:t>terminate</w:t>
      </w:r>
      <w:r w:rsidR="00887283" w:rsidRPr="00F545E5">
        <w:rPr>
          <w:noProof/>
          <w:lang w:val="en-IE"/>
        </w:rPr>
        <w:t xml:space="preserve"> </w:t>
      </w:r>
      <w:r w:rsidR="00F545E5" w:rsidRPr="00F545E5">
        <w:rPr>
          <w:noProof/>
          <w:lang w:val="en-IE"/>
        </w:rPr>
        <w:t>the continued execution of transactions</w:t>
      </w:r>
      <w:r w:rsidR="00887283">
        <w:rPr>
          <w:noProof/>
          <w:lang w:val="en-IE"/>
        </w:rPr>
        <w:t>: the smart contract shall include internal functions which can reset or instruct the contract to stop or interrupt the operation to avoid future (accidental) executions</w:t>
      </w:r>
      <w:r w:rsidR="00F545E5" w:rsidRPr="00F545E5">
        <w:rPr>
          <w:noProof/>
          <w:lang w:val="en-IE"/>
        </w:rPr>
        <w:t>;</w:t>
      </w:r>
      <w:r w:rsidR="00887283">
        <w:rPr>
          <w:noProof/>
          <w:lang w:val="en-IE"/>
        </w:rPr>
        <w:t xml:space="preserve"> </w:t>
      </w:r>
    </w:p>
    <w:p w14:paraId="6A21D5D0" w14:textId="11D1D75C" w:rsidR="00F545E5" w:rsidRPr="002D7C8A" w:rsidRDefault="000856CE" w:rsidP="000856CE">
      <w:pPr>
        <w:pStyle w:val="Point1"/>
        <w:rPr>
          <w:noProof/>
          <w:lang w:val="en-IE"/>
        </w:rPr>
      </w:pPr>
      <w:r w:rsidRPr="000856CE">
        <w:t>(c)</w:t>
      </w:r>
      <w:r w:rsidRPr="000856CE">
        <w:tab/>
      </w:r>
      <w:r w:rsidR="0050369E">
        <w:rPr>
          <w:noProof/>
          <w:lang w:val="en-US"/>
        </w:rPr>
        <w:t xml:space="preserve">data archiving and continuity: foresee, if a </w:t>
      </w:r>
      <w:r w:rsidR="00F545E5" w:rsidRPr="00F545E5">
        <w:rPr>
          <w:noProof/>
          <w:lang w:val="en-US"/>
        </w:rPr>
        <w:t xml:space="preserve">smart contract </w:t>
      </w:r>
      <w:r w:rsidR="0050369E">
        <w:rPr>
          <w:noProof/>
          <w:lang w:val="en-US"/>
        </w:rPr>
        <w:t>must be terminated</w:t>
      </w:r>
      <w:r w:rsidR="00F545E5" w:rsidRPr="00F545E5">
        <w:rPr>
          <w:noProof/>
          <w:lang w:val="en-US"/>
        </w:rPr>
        <w:t xml:space="preserve"> or </w:t>
      </w:r>
      <w:r w:rsidR="0050369E">
        <w:rPr>
          <w:noProof/>
          <w:lang w:val="en-US"/>
        </w:rPr>
        <w:t xml:space="preserve">deactivated, a possibility to archive transactional data, </w:t>
      </w:r>
      <w:r w:rsidR="00F545E5" w:rsidRPr="00F545E5">
        <w:rPr>
          <w:noProof/>
          <w:lang w:val="en-US"/>
        </w:rPr>
        <w:t>the smart contract</w:t>
      </w:r>
      <w:r w:rsidR="0050369E">
        <w:rPr>
          <w:noProof/>
          <w:lang w:val="en-US"/>
        </w:rPr>
        <w:t xml:space="preserve"> logic and code to keep the record of the operations performed on the data in the past (auditability); and</w:t>
      </w:r>
      <w:r w:rsidR="00F545E5" w:rsidRPr="00F545E5">
        <w:rPr>
          <w:noProof/>
          <w:lang w:val="en-US"/>
        </w:rPr>
        <w:t xml:space="preserve"> </w:t>
      </w:r>
    </w:p>
    <w:p w14:paraId="0853852A" w14:textId="613D9033" w:rsidR="0050369E" w:rsidRPr="00F545E5" w:rsidRDefault="000856CE" w:rsidP="000856CE">
      <w:pPr>
        <w:pStyle w:val="Point1"/>
        <w:rPr>
          <w:noProof/>
          <w:lang w:val="en-IE"/>
        </w:rPr>
      </w:pPr>
      <w:r w:rsidRPr="000856CE">
        <w:t>(d)</w:t>
      </w:r>
      <w:r w:rsidRPr="000856CE">
        <w:tab/>
      </w:r>
      <w:r w:rsidR="0050369E">
        <w:rPr>
          <w:noProof/>
          <w:lang w:val="en-US"/>
        </w:rPr>
        <w:t>access control: a smart contract shall be protected through rigorous access control mechanisms at the governance and smart contract layers.</w:t>
      </w:r>
    </w:p>
    <w:p w14:paraId="789C756E" w14:textId="496C77D2" w:rsidR="006E36D8" w:rsidRPr="00B356D4" w:rsidRDefault="000856CE" w:rsidP="000856CE">
      <w:pPr>
        <w:pStyle w:val="ManualNumPar1"/>
        <w:rPr>
          <w:rFonts w:asciiTheme="minorHAnsi" w:eastAsiaTheme="minorEastAsia" w:hAnsiTheme="minorHAnsi" w:cstheme="minorBidi"/>
          <w:noProof/>
          <w:lang w:val="en-IE"/>
        </w:rPr>
      </w:pPr>
      <w:r w:rsidRPr="000856CE">
        <w:t>2.</w:t>
      </w:r>
      <w:r w:rsidRPr="000856CE">
        <w:tab/>
      </w:r>
      <w:r w:rsidR="006E36D8" w:rsidRPr="00B356D4">
        <w:rPr>
          <w:noProof/>
          <w:lang w:val="en-IE"/>
        </w:rPr>
        <w:t xml:space="preserve">The </w:t>
      </w:r>
      <w:r w:rsidR="00F545E5" w:rsidRPr="2FA46F90">
        <w:rPr>
          <w:noProof/>
          <w:lang w:val="en-IE"/>
        </w:rPr>
        <w:t xml:space="preserve">vendor of a smart contract or, in the absence thereof, the person whose trade, business or profession involves the deployment of smart contracts for others in the context of an agreement to make data available shall perform a conformity assessment with a view to fulfilling the </w:t>
      </w:r>
      <w:r w:rsidR="0050369E">
        <w:rPr>
          <w:noProof/>
          <w:lang w:val="en-IE"/>
        </w:rPr>
        <w:t xml:space="preserve">essential </w:t>
      </w:r>
      <w:r w:rsidR="00F545E5" w:rsidRPr="2FA46F90">
        <w:rPr>
          <w:noProof/>
          <w:lang w:val="en-IE"/>
        </w:rPr>
        <w:t>requirements under paragraph 1 and, on the fulfilment of the requirements, issue an EU declaration of conformity</w:t>
      </w:r>
      <w:r w:rsidR="006E36D8" w:rsidRPr="00B356D4">
        <w:rPr>
          <w:noProof/>
          <w:lang w:val="en-IE"/>
        </w:rPr>
        <w:t xml:space="preserve">. </w:t>
      </w:r>
    </w:p>
    <w:p w14:paraId="2FC94CDC" w14:textId="42120C3E" w:rsidR="00F545E5" w:rsidRPr="00B356D4" w:rsidRDefault="000856CE" w:rsidP="000856CE">
      <w:pPr>
        <w:pStyle w:val="ManualNumPar1"/>
        <w:rPr>
          <w:rFonts w:asciiTheme="minorHAnsi" w:eastAsiaTheme="minorEastAsia" w:hAnsiTheme="minorHAnsi" w:cstheme="minorBidi"/>
          <w:noProof/>
          <w:lang w:val="en-IE"/>
        </w:rPr>
      </w:pPr>
      <w:r w:rsidRPr="000856CE">
        <w:t>3.</w:t>
      </w:r>
      <w:r w:rsidRPr="000856CE">
        <w:tab/>
      </w:r>
      <w:r w:rsidR="00F545E5" w:rsidRPr="2FA46F90">
        <w:rPr>
          <w:noProof/>
          <w:lang w:val="en-IE"/>
        </w:rPr>
        <w:t xml:space="preserve">By drawing up the EU declaration of conformity, the vendor of an application using smart contracts or, in the absence thereof, the person whose trade, business or profession involves the deployment of smart contracts </w:t>
      </w:r>
      <w:r w:rsidR="00F545E5" w:rsidRPr="2FA46F90">
        <w:rPr>
          <w:rFonts w:eastAsia="Times New Roman"/>
          <w:noProof/>
          <w:lang w:val="en-IE"/>
        </w:rPr>
        <w:t xml:space="preserve">for others in the context of an agreement to make data available shall be responsible </w:t>
      </w:r>
      <w:r w:rsidR="00F545E5" w:rsidRPr="2FA46F90">
        <w:rPr>
          <w:noProof/>
          <w:lang w:val="en-IE"/>
        </w:rPr>
        <w:t xml:space="preserve">for compliance with the requirements under paragraph 1. </w:t>
      </w:r>
    </w:p>
    <w:p w14:paraId="5896527C" w14:textId="563172E8" w:rsidR="00F545E5" w:rsidRPr="00B356D4" w:rsidRDefault="000856CE" w:rsidP="000856CE">
      <w:pPr>
        <w:pStyle w:val="ManualNumPar1"/>
        <w:rPr>
          <w:rFonts w:asciiTheme="minorHAnsi" w:eastAsiaTheme="minorEastAsia" w:hAnsiTheme="minorHAnsi" w:cstheme="minorBidi"/>
          <w:noProof/>
          <w:lang w:val="en-IE"/>
        </w:rPr>
      </w:pPr>
      <w:r w:rsidRPr="000856CE">
        <w:t>4.</w:t>
      </w:r>
      <w:r w:rsidRPr="000856CE">
        <w:tab/>
      </w:r>
      <w:r w:rsidR="00F545E5" w:rsidRPr="2FA46F90">
        <w:rPr>
          <w:noProof/>
          <w:lang w:val="en-IE"/>
        </w:rPr>
        <w:t xml:space="preserve">A smart contract that meets the harmonised standards or the relevant parts thereof drawn up and published in the Official Journal of the European Union shall be presumed to be in conformity with the essential requirements </w:t>
      </w:r>
      <w:r w:rsidR="00F545E5">
        <w:rPr>
          <w:noProof/>
          <w:lang w:val="en-IE"/>
        </w:rPr>
        <w:t xml:space="preserve">under </w:t>
      </w:r>
      <w:r w:rsidR="00F545E5" w:rsidRPr="2FA46F90">
        <w:rPr>
          <w:noProof/>
          <w:lang w:val="en-IE"/>
        </w:rPr>
        <w:t>paragraph 1</w:t>
      </w:r>
      <w:r w:rsidR="00F545E5">
        <w:rPr>
          <w:noProof/>
          <w:lang w:val="en-IE"/>
        </w:rPr>
        <w:t xml:space="preserve"> of this Article</w:t>
      </w:r>
      <w:r w:rsidR="00F545E5" w:rsidRPr="2FA46F90">
        <w:rPr>
          <w:rFonts w:eastAsia="Times New Roman"/>
          <w:noProof/>
          <w:lang w:val="en-IE"/>
        </w:rPr>
        <w:t xml:space="preserve"> to the extent those standards cover those requirements</w:t>
      </w:r>
      <w:r w:rsidR="00F545E5" w:rsidRPr="2FA46F90">
        <w:rPr>
          <w:noProof/>
          <w:lang w:val="en-IE"/>
        </w:rPr>
        <w:t>.</w:t>
      </w:r>
    </w:p>
    <w:p w14:paraId="19E75297" w14:textId="43F9835E" w:rsidR="00F545E5" w:rsidRPr="00B356D4" w:rsidRDefault="000856CE" w:rsidP="000856CE">
      <w:pPr>
        <w:pStyle w:val="ManualNumPar1"/>
        <w:rPr>
          <w:rFonts w:asciiTheme="minorHAnsi" w:eastAsiaTheme="minorEastAsia" w:hAnsiTheme="minorHAnsi" w:cstheme="minorBidi"/>
          <w:noProof/>
          <w:lang w:val="en-IE"/>
        </w:rPr>
      </w:pPr>
      <w:r w:rsidRPr="000856CE">
        <w:t>5.</w:t>
      </w:r>
      <w:r w:rsidRPr="000856CE">
        <w:tab/>
      </w:r>
      <w:r w:rsidR="00F545E5" w:rsidRPr="2FA46F90">
        <w:rPr>
          <w:noProof/>
          <w:lang w:val="en-IE"/>
        </w:rPr>
        <w:t xml:space="preserve">The Commission </w:t>
      </w:r>
      <w:r w:rsidR="00B52242">
        <w:rPr>
          <w:noProof/>
          <w:lang w:val="en-IE"/>
        </w:rPr>
        <w:t>may</w:t>
      </w:r>
      <w:r w:rsidR="00F545E5" w:rsidRPr="2FA46F90">
        <w:rPr>
          <w:noProof/>
          <w:lang w:val="en-IE"/>
        </w:rPr>
        <w:t xml:space="preserve">, in accordance with Article 10 of Regulation (EU) No 1025/2012, request one or more European standardisation organisations to draft harmonised standards </w:t>
      </w:r>
      <w:r w:rsidR="00F545E5">
        <w:rPr>
          <w:noProof/>
          <w:lang w:val="en-IE"/>
        </w:rPr>
        <w:t xml:space="preserve">that satisfy the </w:t>
      </w:r>
      <w:r w:rsidR="0050369E">
        <w:rPr>
          <w:noProof/>
          <w:lang w:val="en-IE"/>
        </w:rPr>
        <w:t>essential</w:t>
      </w:r>
      <w:r w:rsidR="0050369E" w:rsidRPr="2FA46F90">
        <w:rPr>
          <w:noProof/>
          <w:lang w:val="en-IE"/>
        </w:rPr>
        <w:t xml:space="preserve"> </w:t>
      </w:r>
      <w:r w:rsidR="00F545E5" w:rsidRPr="2FA46F90">
        <w:rPr>
          <w:noProof/>
          <w:lang w:val="en-IE"/>
        </w:rPr>
        <w:t>the requirements under paragraph 1</w:t>
      </w:r>
      <w:r w:rsidR="00F545E5">
        <w:rPr>
          <w:noProof/>
          <w:lang w:val="en-IE"/>
        </w:rPr>
        <w:t xml:space="preserve"> of this Article</w:t>
      </w:r>
      <w:r w:rsidR="00F545E5" w:rsidRPr="2FA46F90">
        <w:rPr>
          <w:noProof/>
          <w:lang w:val="en-IE"/>
        </w:rPr>
        <w:t>.</w:t>
      </w:r>
    </w:p>
    <w:p w14:paraId="1829A677" w14:textId="667224C5" w:rsidR="006E36D8" w:rsidRPr="00B356D4" w:rsidRDefault="000856CE" w:rsidP="000856CE">
      <w:pPr>
        <w:pStyle w:val="ManualNumPar1"/>
        <w:rPr>
          <w:rFonts w:asciiTheme="minorHAnsi" w:eastAsiaTheme="minorEastAsia" w:hAnsiTheme="minorHAnsi" w:cstheme="minorBidi"/>
          <w:noProof/>
          <w:lang w:val="en-IE"/>
        </w:rPr>
      </w:pPr>
      <w:r w:rsidRPr="000856CE">
        <w:t>6.</w:t>
      </w:r>
      <w:r w:rsidRPr="000856CE">
        <w:tab/>
      </w:r>
      <w:r w:rsidR="00F545E5" w:rsidRPr="2FA46F90">
        <w:rPr>
          <w:noProof/>
          <w:lang w:val="en-IE"/>
        </w:rPr>
        <w:t xml:space="preserve">Where harmonised standards referred to in paragraph 4 </w:t>
      </w:r>
      <w:r w:rsidR="00F545E5">
        <w:rPr>
          <w:noProof/>
          <w:lang w:val="en-IE"/>
        </w:rPr>
        <w:t xml:space="preserve">of this Article </w:t>
      </w:r>
      <w:r w:rsidR="00F545E5" w:rsidRPr="2FA46F90">
        <w:rPr>
          <w:noProof/>
          <w:lang w:val="en-IE"/>
        </w:rPr>
        <w:t xml:space="preserve">do not exist or where the Commission considers that the relevant harmonised standards are insufficient to ensure conformity with the essential requirements in paragraph 1 </w:t>
      </w:r>
      <w:r w:rsidR="00F545E5">
        <w:rPr>
          <w:noProof/>
          <w:lang w:val="en-IE"/>
        </w:rPr>
        <w:t>of this Article</w:t>
      </w:r>
      <w:r w:rsidR="00F545E5" w:rsidRPr="2FA46F90">
        <w:rPr>
          <w:noProof/>
          <w:lang w:val="en-IE"/>
        </w:rPr>
        <w:t xml:space="preserve"> in a cross-border context, the Commission may, by </w:t>
      </w:r>
      <w:r w:rsidR="0050369E">
        <w:rPr>
          <w:noProof/>
          <w:lang w:val="en-IE"/>
        </w:rPr>
        <w:t>way</w:t>
      </w:r>
      <w:r w:rsidR="0050369E" w:rsidRPr="2FA46F90">
        <w:rPr>
          <w:noProof/>
          <w:lang w:val="en-IE"/>
        </w:rPr>
        <w:t xml:space="preserve"> </w:t>
      </w:r>
      <w:r w:rsidR="00F545E5" w:rsidRPr="2FA46F90">
        <w:rPr>
          <w:noProof/>
          <w:lang w:val="en-IE"/>
        </w:rPr>
        <w:t xml:space="preserve">of implementing acts, adopt common specifications in respect of the </w:t>
      </w:r>
      <w:r w:rsidR="0050369E">
        <w:rPr>
          <w:noProof/>
          <w:lang w:val="en-IE"/>
        </w:rPr>
        <w:t xml:space="preserve">essential </w:t>
      </w:r>
      <w:r w:rsidR="00F545E5" w:rsidRPr="2FA46F90">
        <w:rPr>
          <w:noProof/>
          <w:lang w:val="en-IE"/>
        </w:rPr>
        <w:t>requirements set out in paragraph 1</w:t>
      </w:r>
      <w:r w:rsidR="00F545E5">
        <w:rPr>
          <w:noProof/>
          <w:lang w:val="en-IE"/>
        </w:rPr>
        <w:t xml:space="preserve"> of this Article</w:t>
      </w:r>
      <w:r w:rsidR="00F545E5" w:rsidRPr="2FA46F90">
        <w:rPr>
          <w:noProof/>
          <w:lang w:val="en-IE"/>
        </w:rPr>
        <w:t xml:space="preserve">. </w:t>
      </w:r>
      <w:r w:rsidR="00F545E5">
        <w:rPr>
          <w:noProof/>
          <w:lang w:val="en-IE"/>
        </w:rPr>
        <w:t>Those</w:t>
      </w:r>
      <w:r w:rsidR="00F545E5" w:rsidRPr="2FA46F90">
        <w:rPr>
          <w:noProof/>
          <w:lang w:val="en-IE"/>
        </w:rPr>
        <w:t xml:space="preserve"> implementing acts shall be adopted in accordance with the examination procedure referred to in Article 3</w:t>
      </w:r>
      <w:r w:rsidR="00B52242">
        <w:rPr>
          <w:noProof/>
          <w:lang w:val="en-IE"/>
        </w:rPr>
        <w:t>9</w:t>
      </w:r>
      <w:r w:rsidR="00F545E5" w:rsidRPr="2FA46F90">
        <w:rPr>
          <w:noProof/>
          <w:lang w:val="en-IE"/>
        </w:rPr>
        <w:t>(2</w:t>
      </w:r>
      <w:r w:rsidR="0006523D">
        <w:rPr>
          <w:noProof/>
          <w:szCs w:val="24"/>
          <w:lang w:val="en-IE"/>
        </w:rPr>
        <w:t>)</w:t>
      </w:r>
      <w:r w:rsidR="006E36D8" w:rsidRPr="00B356D4">
        <w:rPr>
          <w:noProof/>
          <w:szCs w:val="24"/>
          <w:lang w:val="en-IE"/>
        </w:rPr>
        <w:t>.</w:t>
      </w:r>
      <w:r w:rsidR="006E36D8" w:rsidRPr="00B356D4">
        <w:rPr>
          <w:noProof/>
          <w:lang w:val="en-IE"/>
        </w:rPr>
        <w:t xml:space="preserve"> </w:t>
      </w:r>
    </w:p>
    <w:p w14:paraId="22BCD11B" w14:textId="55458E14" w:rsidR="001A618D" w:rsidRPr="000C36C5" w:rsidRDefault="001A618D" w:rsidP="000C36C5">
      <w:pPr>
        <w:pStyle w:val="ChapterTitle"/>
        <w:rPr>
          <w:noProof/>
          <w:lang w:val="en-US"/>
        </w:rPr>
      </w:pPr>
      <w:r w:rsidRPr="000C36C5">
        <w:rPr>
          <w:noProof/>
          <w:lang w:val="en-US"/>
        </w:rPr>
        <w:t>CHAPTER IX</w:t>
      </w:r>
      <w:r w:rsidR="000C36C5" w:rsidRPr="000C36C5">
        <w:rPr>
          <w:noProof/>
          <w:lang w:val="en-US"/>
        </w:rPr>
        <w:br/>
      </w:r>
      <w:r w:rsidRPr="000C36C5">
        <w:rPr>
          <w:noProof/>
          <w:lang w:val="en-US"/>
        </w:rPr>
        <w:t>IMPLEMENTATION AND ENFORCEMENT</w:t>
      </w:r>
    </w:p>
    <w:p w14:paraId="09EBA8FC" w14:textId="48A2E460" w:rsidR="001A618D" w:rsidRPr="009E7432" w:rsidRDefault="00CC2D52" w:rsidP="009E7432">
      <w:pPr>
        <w:pStyle w:val="Titrearticleb"/>
        <w:rPr>
          <w:noProof/>
          <w:lang w:val="en-US"/>
        </w:rPr>
      </w:pPr>
      <w:r>
        <w:rPr>
          <w:noProof/>
          <w:lang w:val="en-US"/>
        </w:rPr>
        <w:t>Article 3</w:t>
      </w:r>
      <w:r w:rsidR="00B52242">
        <w:rPr>
          <w:noProof/>
          <w:lang w:val="en-US"/>
        </w:rPr>
        <w:t>1</w:t>
      </w:r>
      <w:r w:rsidR="009E7432" w:rsidRPr="009E7432">
        <w:rPr>
          <w:noProof/>
          <w:lang w:val="en-US"/>
        </w:rPr>
        <w:br/>
      </w:r>
      <w:r w:rsidR="001A618D" w:rsidRPr="00B356D4">
        <w:rPr>
          <w:noProof/>
        </w:rPr>
        <w:t>Competent authorities</w:t>
      </w:r>
    </w:p>
    <w:p w14:paraId="2F0348E1" w14:textId="598F385D" w:rsidR="006E36D8" w:rsidRPr="00AC525B" w:rsidRDefault="000856CE" w:rsidP="000856CE">
      <w:pPr>
        <w:pStyle w:val="ManualNumPar1"/>
        <w:rPr>
          <w:noProof/>
          <w:lang w:val="en-US"/>
        </w:rPr>
      </w:pPr>
      <w:r w:rsidRPr="000856CE">
        <w:t>1.</w:t>
      </w:r>
      <w:r w:rsidRPr="000856CE">
        <w:tab/>
      </w:r>
      <w:r w:rsidR="00825268">
        <w:rPr>
          <w:noProof/>
          <w:lang w:val="en-US"/>
        </w:rPr>
        <w:t xml:space="preserve">Each </w:t>
      </w:r>
      <w:r w:rsidR="006E36D8" w:rsidRPr="00AC525B">
        <w:rPr>
          <w:noProof/>
          <w:lang w:val="en-US"/>
        </w:rPr>
        <w:t xml:space="preserve">Member </w:t>
      </w:r>
      <w:r w:rsidR="00825268" w:rsidRPr="2FA46F90">
        <w:rPr>
          <w:noProof/>
          <w:lang w:val="en-US"/>
        </w:rPr>
        <w:t xml:space="preserve">State shall designate one or more competent authorities as responsible for the application and enforcement of this Regulation. </w:t>
      </w:r>
      <w:r w:rsidR="00825268" w:rsidRPr="2FA46F90">
        <w:rPr>
          <w:rFonts w:eastAsia="Calibri"/>
          <w:noProof/>
        </w:rPr>
        <w:t xml:space="preserve">Member States may establish </w:t>
      </w:r>
      <w:r w:rsidR="00825268" w:rsidRPr="2FA46F90">
        <w:rPr>
          <w:noProof/>
          <w:lang w:val="en-US"/>
        </w:rPr>
        <w:t>one</w:t>
      </w:r>
      <w:r w:rsidR="00825268" w:rsidRPr="2FA46F90">
        <w:rPr>
          <w:rFonts w:eastAsia="Calibri"/>
          <w:noProof/>
        </w:rPr>
        <w:t xml:space="preserve"> or more new authorities or rely on existing authorities</w:t>
      </w:r>
      <w:r w:rsidR="006E36D8" w:rsidRPr="00AC525B">
        <w:rPr>
          <w:rFonts w:eastAsia="Calibri"/>
          <w:noProof/>
        </w:rPr>
        <w:t xml:space="preserve">. </w:t>
      </w:r>
    </w:p>
    <w:p w14:paraId="2C0FA5DF" w14:textId="21E14134" w:rsidR="006E36D8" w:rsidRPr="00A925F8" w:rsidRDefault="000856CE" w:rsidP="000856CE">
      <w:pPr>
        <w:pStyle w:val="ManualNumPar1"/>
        <w:rPr>
          <w:noProof/>
          <w:lang w:val="en-US"/>
        </w:rPr>
      </w:pPr>
      <w:r w:rsidRPr="000856CE">
        <w:t>2.</w:t>
      </w:r>
      <w:r w:rsidRPr="000856CE">
        <w:tab/>
      </w:r>
      <w:r w:rsidR="006E36D8">
        <w:rPr>
          <w:noProof/>
        </w:rPr>
        <w:t>Without prejudice to</w:t>
      </w:r>
      <w:r w:rsidR="006E36D8" w:rsidRPr="00B356D4">
        <w:rPr>
          <w:noProof/>
        </w:rPr>
        <w:t xml:space="preserve"> paragraph 1</w:t>
      </w:r>
      <w:r w:rsidR="00825268">
        <w:rPr>
          <w:noProof/>
        </w:rPr>
        <w:t xml:space="preserve"> of this Article:</w:t>
      </w:r>
      <w:r w:rsidR="006E36D8" w:rsidRPr="00B356D4">
        <w:rPr>
          <w:noProof/>
        </w:rPr>
        <w:t xml:space="preserve"> </w:t>
      </w:r>
    </w:p>
    <w:p w14:paraId="6F5B3673" w14:textId="33A02612" w:rsidR="006E36D8" w:rsidRPr="00825268" w:rsidRDefault="000856CE" w:rsidP="000856CE">
      <w:pPr>
        <w:pStyle w:val="Point1"/>
        <w:rPr>
          <w:noProof/>
          <w:lang w:val="en-US"/>
        </w:rPr>
      </w:pPr>
      <w:r w:rsidRPr="000856CE">
        <w:t>(a)</w:t>
      </w:r>
      <w:r w:rsidRPr="000856CE">
        <w:tab/>
      </w:r>
      <w:r w:rsidR="006E36D8" w:rsidRPr="00B356D4">
        <w:rPr>
          <w:noProof/>
        </w:rPr>
        <w:t xml:space="preserve">the </w:t>
      </w:r>
      <w:r w:rsidR="00825268">
        <w:rPr>
          <w:noProof/>
        </w:rPr>
        <w:t>independent supervisory authorities responsible for monitoring the application of Regulation (EU) 2016/679 shall be responsible for monitoring the application of this Regulation insofar as the protection of personal data is concerned. Chapters VI and VII of Regulation (EU) 2016/679 shall apply mutatis mutandis. The tasks and powers of the supervisory authorities shall be exercised with regard to the processing of personal data;</w:t>
      </w:r>
      <w:r w:rsidR="006E36D8" w:rsidRPr="00B356D4">
        <w:rPr>
          <w:noProof/>
        </w:rPr>
        <w:t xml:space="preserve"> </w:t>
      </w:r>
    </w:p>
    <w:p w14:paraId="3817F13E" w14:textId="20713F8F" w:rsidR="00825268" w:rsidRPr="00825268" w:rsidRDefault="000856CE" w:rsidP="000856CE">
      <w:pPr>
        <w:pStyle w:val="Point1"/>
        <w:rPr>
          <w:noProof/>
          <w:lang w:val="en-US"/>
        </w:rPr>
      </w:pPr>
      <w:r w:rsidRPr="000856CE">
        <w:t>(b)</w:t>
      </w:r>
      <w:r w:rsidRPr="000856CE">
        <w:tab/>
      </w:r>
      <w:r w:rsidR="00825268" w:rsidRPr="00825268">
        <w:rPr>
          <w:noProof/>
          <w:lang w:val="en-US"/>
        </w:rPr>
        <w:t>for specific sectoral data exchange issues related to the implementation of this Regulation, the competence of sectoral authorities shall be respected;</w:t>
      </w:r>
    </w:p>
    <w:p w14:paraId="66F9F017" w14:textId="35267C09" w:rsidR="00825268" w:rsidRPr="00825268" w:rsidRDefault="000856CE" w:rsidP="000856CE">
      <w:pPr>
        <w:pStyle w:val="Point1"/>
        <w:rPr>
          <w:noProof/>
          <w:lang w:val="en-US"/>
        </w:rPr>
      </w:pPr>
      <w:r w:rsidRPr="000856CE">
        <w:t>(c)</w:t>
      </w:r>
      <w:r w:rsidRPr="000856CE">
        <w:tab/>
      </w:r>
      <w:r w:rsidR="00825268" w:rsidRPr="00825268">
        <w:rPr>
          <w:noProof/>
          <w:lang w:val="en-US"/>
        </w:rPr>
        <w:t>the national competent authority responsible for the application and enforcement of Chapter VI of this Regulation shall have experience in the field of data and electronic communications services.</w:t>
      </w:r>
    </w:p>
    <w:p w14:paraId="7A1DDA38" w14:textId="2B569F35" w:rsidR="006E36D8" w:rsidRPr="00B356D4" w:rsidRDefault="000856CE" w:rsidP="000856CE">
      <w:pPr>
        <w:pStyle w:val="ManualNumPar1"/>
        <w:rPr>
          <w:noProof/>
          <w:lang w:val="en-US"/>
        </w:rPr>
      </w:pPr>
      <w:r w:rsidRPr="000856CE">
        <w:t>3.</w:t>
      </w:r>
      <w:r w:rsidRPr="000856CE">
        <w:tab/>
      </w:r>
      <w:r w:rsidR="006E36D8" w:rsidRPr="00B356D4">
        <w:rPr>
          <w:noProof/>
          <w:lang w:val="en-US"/>
        </w:rPr>
        <w:t xml:space="preserve">Member </w:t>
      </w:r>
      <w:r w:rsidR="00CC76ED" w:rsidRPr="2FA46F90">
        <w:rPr>
          <w:noProof/>
          <w:lang w:val="en-US"/>
        </w:rPr>
        <w:t>States shall ensure that the respective tasks and powers of the competent authorities designated pursuant to paragraph 1 of this Article are clearly defined and include</w:t>
      </w:r>
      <w:r w:rsidR="006E36D8" w:rsidRPr="00B356D4">
        <w:rPr>
          <w:noProof/>
          <w:lang w:val="en-US"/>
        </w:rPr>
        <w:t>:</w:t>
      </w:r>
    </w:p>
    <w:p w14:paraId="66498A8E" w14:textId="15F9CDBE" w:rsidR="006E36D8" w:rsidRDefault="000856CE" w:rsidP="000856CE">
      <w:pPr>
        <w:pStyle w:val="Point1"/>
        <w:rPr>
          <w:noProof/>
          <w:lang w:val="en-US"/>
        </w:rPr>
      </w:pPr>
      <w:r w:rsidRPr="000856CE">
        <w:t>(a)</w:t>
      </w:r>
      <w:r w:rsidRPr="000856CE">
        <w:tab/>
      </w:r>
      <w:r w:rsidR="006E36D8" w:rsidRPr="00771B94">
        <w:rPr>
          <w:noProof/>
          <w:lang w:val="en-US"/>
        </w:rPr>
        <w:t xml:space="preserve">promoting </w:t>
      </w:r>
      <w:r w:rsidR="00CC76ED" w:rsidRPr="2FA46F90">
        <w:rPr>
          <w:noProof/>
          <w:lang w:val="en-US"/>
        </w:rPr>
        <w:t>awareness among users and entities falling within scope of this Regulation of the rights and obligations under this Regulation</w:t>
      </w:r>
      <w:r w:rsidR="006E36D8" w:rsidRPr="00771B94">
        <w:rPr>
          <w:noProof/>
          <w:lang w:val="en-US"/>
        </w:rPr>
        <w:t>;</w:t>
      </w:r>
    </w:p>
    <w:p w14:paraId="0CE5AC2E" w14:textId="6E678F85" w:rsidR="00CC76ED" w:rsidRPr="00CC76ED" w:rsidRDefault="000856CE" w:rsidP="000856CE">
      <w:pPr>
        <w:pStyle w:val="Point1"/>
        <w:rPr>
          <w:noProof/>
          <w:lang w:val="en-US"/>
        </w:rPr>
      </w:pPr>
      <w:r w:rsidRPr="000856CE">
        <w:t>(b)</w:t>
      </w:r>
      <w:r w:rsidRPr="000856CE">
        <w:tab/>
      </w:r>
      <w:r w:rsidR="00CC76ED" w:rsidRPr="00CC76ED">
        <w:rPr>
          <w:noProof/>
          <w:lang w:val="en-US"/>
        </w:rPr>
        <w:t xml:space="preserve">handling complaints arising from alleged violations of this Regulation, and investigating, to the extent appropriate, the subject matter of the complaint and informing the complainant of the progress and the outcome of the investigation within a reasonable period, in particular if further investigation or coordination with another competent authority is necessary; </w:t>
      </w:r>
    </w:p>
    <w:p w14:paraId="620B0C05" w14:textId="361212CA" w:rsidR="00CC76ED" w:rsidRPr="00CC76ED" w:rsidRDefault="000856CE" w:rsidP="000856CE">
      <w:pPr>
        <w:pStyle w:val="Point1"/>
        <w:rPr>
          <w:noProof/>
          <w:lang w:val="en-US"/>
        </w:rPr>
      </w:pPr>
      <w:r w:rsidRPr="000856CE">
        <w:t>(c)</w:t>
      </w:r>
      <w:r w:rsidRPr="000856CE">
        <w:tab/>
      </w:r>
      <w:r w:rsidR="00CC76ED" w:rsidRPr="00CC76ED">
        <w:rPr>
          <w:noProof/>
          <w:lang w:val="en-US"/>
        </w:rPr>
        <w:t>conducting investigations into matters that concern the application of this Regulation, including on the basis of information received from another competent authority or other public authority;</w:t>
      </w:r>
    </w:p>
    <w:p w14:paraId="5CD8F534" w14:textId="10660D1F" w:rsidR="00CC76ED" w:rsidRPr="00CC76ED" w:rsidRDefault="000856CE" w:rsidP="000856CE">
      <w:pPr>
        <w:pStyle w:val="Point1"/>
        <w:rPr>
          <w:rFonts w:eastAsiaTheme="minorEastAsia"/>
          <w:noProof/>
          <w:lang w:val="en-US"/>
        </w:rPr>
      </w:pPr>
      <w:r w:rsidRPr="000856CE">
        <w:t>(d)</w:t>
      </w:r>
      <w:r w:rsidRPr="000856CE">
        <w:tab/>
      </w:r>
      <w:r w:rsidR="00CC76ED" w:rsidRPr="00CC76ED">
        <w:rPr>
          <w:noProof/>
          <w:lang w:val="en-US"/>
        </w:rPr>
        <w:t>imposing, through administrative procedures, dissuasive financial penalties which may include periodic penalties and penalties with retroactive effect, or initiating legal proceedings for the imposition of fines;</w:t>
      </w:r>
    </w:p>
    <w:p w14:paraId="0A43C07C" w14:textId="4B3020C5" w:rsidR="00CC76ED" w:rsidRPr="00CC76ED" w:rsidRDefault="000856CE" w:rsidP="000856CE">
      <w:pPr>
        <w:pStyle w:val="Point1"/>
        <w:rPr>
          <w:noProof/>
          <w:lang w:val="en-US"/>
        </w:rPr>
      </w:pPr>
      <w:r w:rsidRPr="000856CE">
        <w:t>(e)</w:t>
      </w:r>
      <w:r w:rsidRPr="000856CE">
        <w:tab/>
      </w:r>
      <w:r w:rsidR="00CC76ED" w:rsidRPr="00CC76ED">
        <w:rPr>
          <w:noProof/>
          <w:lang w:val="en-US"/>
        </w:rPr>
        <w:t xml:space="preserve">monitoring technological developments of relevance for the making available and use of data; </w:t>
      </w:r>
    </w:p>
    <w:p w14:paraId="643BFA6F" w14:textId="2303285C" w:rsidR="00CC76ED" w:rsidRPr="00CC76ED" w:rsidRDefault="000856CE" w:rsidP="000856CE">
      <w:pPr>
        <w:pStyle w:val="Point1"/>
        <w:rPr>
          <w:noProof/>
          <w:lang w:val="en-US"/>
        </w:rPr>
      </w:pPr>
      <w:r w:rsidRPr="000856CE">
        <w:t>(f)</w:t>
      </w:r>
      <w:r w:rsidRPr="000856CE">
        <w:tab/>
      </w:r>
      <w:r w:rsidR="00CC76ED" w:rsidRPr="00CC76ED">
        <w:rPr>
          <w:noProof/>
          <w:lang w:val="en-IE"/>
        </w:rPr>
        <w:t xml:space="preserve">cooperating with competent authorities of other Member States to ensure the consistent application of this Regulation, including the </w:t>
      </w:r>
      <w:r w:rsidR="00CC76ED" w:rsidRPr="00CC76ED">
        <w:rPr>
          <w:noProof/>
          <w:lang w:val="en-US"/>
        </w:rPr>
        <w:t xml:space="preserve">exchange of all relevant information by electronic means, without undue delay; </w:t>
      </w:r>
    </w:p>
    <w:p w14:paraId="6C0366AA" w14:textId="2052C959" w:rsidR="00CC76ED" w:rsidRPr="00CC76ED" w:rsidRDefault="000856CE" w:rsidP="000856CE">
      <w:pPr>
        <w:pStyle w:val="Point1"/>
        <w:rPr>
          <w:noProof/>
          <w:lang w:val="en-US"/>
        </w:rPr>
      </w:pPr>
      <w:r w:rsidRPr="000856CE">
        <w:t>(g)</w:t>
      </w:r>
      <w:r w:rsidRPr="000856CE">
        <w:tab/>
      </w:r>
      <w:r w:rsidR="00CC76ED" w:rsidRPr="00CC76ED">
        <w:rPr>
          <w:noProof/>
          <w:lang w:val="en-US"/>
        </w:rPr>
        <w:t>ensuring the online public availability of requests for access to data made by public sector bodies in the case of public emergencies under Chapter V</w:t>
      </w:r>
      <w:r w:rsidR="00CC76ED">
        <w:rPr>
          <w:noProof/>
        </w:rPr>
        <w:t>;</w:t>
      </w:r>
    </w:p>
    <w:p w14:paraId="598668A4" w14:textId="0ECB178A" w:rsidR="00CC76ED" w:rsidRPr="00CC76ED" w:rsidRDefault="000856CE" w:rsidP="000856CE">
      <w:pPr>
        <w:pStyle w:val="Point1"/>
        <w:rPr>
          <w:noProof/>
          <w:lang w:val="en-US"/>
        </w:rPr>
      </w:pPr>
      <w:r w:rsidRPr="000856CE">
        <w:t>(h)</w:t>
      </w:r>
      <w:r w:rsidRPr="000856CE">
        <w:tab/>
      </w:r>
      <w:r w:rsidR="00CC76ED" w:rsidRPr="00CC76ED">
        <w:rPr>
          <w:noProof/>
          <w:lang w:val="en-US"/>
        </w:rPr>
        <w:t>cooperating with all relevant competent authorities to ensure that the obligations of Chapter VI are enforced consistently with other Union legislation and self-regulation applicable to providers of data processing service;</w:t>
      </w:r>
    </w:p>
    <w:p w14:paraId="5F2379D6" w14:textId="427B49CD" w:rsidR="00CC76ED" w:rsidRPr="00CC76ED" w:rsidRDefault="000856CE" w:rsidP="000856CE">
      <w:pPr>
        <w:pStyle w:val="Point1"/>
        <w:rPr>
          <w:noProof/>
          <w:lang w:val="en-US"/>
        </w:rPr>
      </w:pPr>
      <w:r w:rsidRPr="000856CE">
        <w:t>(i)</w:t>
      </w:r>
      <w:r w:rsidRPr="000856CE">
        <w:tab/>
      </w:r>
      <w:r w:rsidR="00CC76ED" w:rsidRPr="00CC76ED">
        <w:rPr>
          <w:noProof/>
          <w:lang w:val="en-US"/>
        </w:rPr>
        <w:t xml:space="preserve">ensuring that charges for the switching between providers of data processing services are withdrawn in accordance with Article 25. </w:t>
      </w:r>
    </w:p>
    <w:p w14:paraId="0D7110C5" w14:textId="1EE7ECFC" w:rsidR="006E36D8" w:rsidRPr="00B356D4" w:rsidRDefault="000856CE" w:rsidP="000856CE">
      <w:pPr>
        <w:pStyle w:val="ManualNumPar1"/>
        <w:rPr>
          <w:noProof/>
          <w:lang w:val="en-US"/>
        </w:rPr>
      </w:pPr>
      <w:r w:rsidRPr="000856CE">
        <w:t>4.</w:t>
      </w:r>
      <w:r w:rsidRPr="000856CE">
        <w:tab/>
      </w:r>
      <w:r w:rsidR="006E36D8" w:rsidRPr="00B356D4">
        <w:rPr>
          <w:noProof/>
          <w:lang w:val="en-US"/>
        </w:rPr>
        <w:t xml:space="preserve">Where </w:t>
      </w:r>
      <w:r w:rsidR="008F61D5" w:rsidRPr="2FA46F90">
        <w:rPr>
          <w:noProof/>
          <w:lang w:val="en-US"/>
        </w:rPr>
        <w:t xml:space="preserve">a Member State designates more than one competent authority, the competent authorities shall, in the exercise of the tasks and powers assigned to them under paragraph 3 of this Article, cooperate with each other, including, </w:t>
      </w:r>
      <w:r w:rsidR="008F61D5" w:rsidRPr="2FA46F90">
        <w:rPr>
          <w:rFonts w:eastAsia="Times New Roman"/>
          <w:noProof/>
          <w:lang w:val="en-US"/>
        </w:rPr>
        <w:t>as appropriate,</w:t>
      </w:r>
      <w:r w:rsidR="008F61D5" w:rsidRPr="2FA46F90">
        <w:rPr>
          <w:noProof/>
          <w:lang w:val="en-US"/>
        </w:rPr>
        <w:t xml:space="preserve"> with </w:t>
      </w:r>
      <w:r w:rsidR="008F61D5" w:rsidRPr="2FA46F90">
        <w:rPr>
          <w:rFonts w:eastAsia="Times New Roman"/>
          <w:noProof/>
          <w:lang w:val="en-US"/>
        </w:rPr>
        <w:t xml:space="preserve">the supervisory authority responsible for monitoring the application of Regulation (EU) 2016/679, </w:t>
      </w:r>
      <w:r w:rsidR="008F61D5" w:rsidRPr="2FA46F90">
        <w:rPr>
          <w:noProof/>
          <w:lang w:val="en-US"/>
        </w:rPr>
        <w:t>to ensure the consistent application of this Regulation. In such cases, relevant Member States shall designate a coordinating competent authority</w:t>
      </w:r>
      <w:r w:rsidR="006E36D8" w:rsidRPr="00B356D4">
        <w:rPr>
          <w:noProof/>
          <w:lang w:val="en-US"/>
        </w:rPr>
        <w:t xml:space="preserve">. </w:t>
      </w:r>
    </w:p>
    <w:p w14:paraId="5B771858" w14:textId="097D16FF" w:rsidR="008F61D5" w:rsidRPr="00A92CF5" w:rsidRDefault="000856CE" w:rsidP="000856CE">
      <w:pPr>
        <w:pStyle w:val="ManualNumPar1"/>
        <w:rPr>
          <w:noProof/>
          <w:lang w:val="en-US"/>
        </w:rPr>
      </w:pPr>
      <w:r w:rsidRPr="000856CE">
        <w:t>5.</w:t>
      </w:r>
      <w:r w:rsidRPr="000856CE">
        <w:tab/>
      </w:r>
      <w:r w:rsidR="008F61D5" w:rsidRPr="2FA46F90">
        <w:rPr>
          <w:noProof/>
          <w:lang w:val="en-US"/>
        </w:rPr>
        <w:t xml:space="preserve">Member States shall communicate the name of the designated competent authorities and their respective tasks and powers and, where applicable, the name of the coordinating competent authority to the Commission. </w:t>
      </w:r>
      <w:r w:rsidR="008F61D5" w:rsidRPr="002511A1">
        <w:rPr>
          <w:noProof/>
          <w:lang w:val="en-US"/>
        </w:rPr>
        <w:t>The Commission shall maintain a public register of those authorities.</w:t>
      </w:r>
    </w:p>
    <w:p w14:paraId="02EDC3AF" w14:textId="60FDF3C1" w:rsidR="008F61D5" w:rsidRDefault="000856CE" w:rsidP="000856CE">
      <w:pPr>
        <w:pStyle w:val="ManualNumPar1"/>
        <w:rPr>
          <w:rFonts w:asciiTheme="minorHAnsi" w:eastAsiaTheme="minorEastAsia" w:hAnsiTheme="minorHAnsi" w:cstheme="minorBidi"/>
          <w:noProof/>
          <w:szCs w:val="24"/>
          <w:lang w:val="en-US"/>
        </w:rPr>
      </w:pPr>
      <w:r w:rsidRPr="000856CE">
        <w:t>6.</w:t>
      </w:r>
      <w:r w:rsidRPr="000856CE">
        <w:tab/>
      </w:r>
      <w:r w:rsidR="008F61D5" w:rsidRPr="1A4DDF40">
        <w:rPr>
          <w:noProof/>
          <w:lang w:val="en-US"/>
        </w:rPr>
        <w:t xml:space="preserve">When carrying out their tasks and exercising their powers in accordance with this Regulation, the competent authorities shall remain free from any external influence, whether direct or indirect, and shall neither seek nor take instructions from any other public authority or any private party. </w:t>
      </w:r>
    </w:p>
    <w:p w14:paraId="36F1BFD4" w14:textId="189681CA" w:rsidR="006E36D8" w:rsidRPr="008F61D5" w:rsidRDefault="000856CE" w:rsidP="000856CE">
      <w:pPr>
        <w:pStyle w:val="ManualNumPar1"/>
        <w:rPr>
          <w:noProof/>
          <w:lang w:val="en-US"/>
        </w:rPr>
      </w:pPr>
      <w:r w:rsidRPr="000856CE">
        <w:t>7.</w:t>
      </w:r>
      <w:r w:rsidRPr="000856CE">
        <w:tab/>
      </w:r>
      <w:r w:rsidR="008F61D5" w:rsidRPr="44137436">
        <w:rPr>
          <w:noProof/>
          <w:lang w:val="en-US"/>
        </w:rPr>
        <w:t xml:space="preserve">Member States shall ensure that the designated competent authorities are provided with the necessary resources to adequately </w:t>
      </w:r>
      <w:r w:rsidR="00B52242">
        <w:rPr>
          <w:noProof/>
          <w:lang w:val="en-US"/>
        </w:rPr>
        <w:t>carry out</w:t>
      </w:r>
      <w:r w:rsidR="00B52242" w:rsidRPr="44137436">
        <w:rPr>
          <w:noProof/>
          <w:lang w:val="en-US"/>
        </w:rPr>
        <w:t xml:space="preserve"> </w:t>
      </w:r>
      <w:r w:rsidR="008F61D5" w:rsidRPr="44137436">
        <w:rPr>
          <w:noProof/>
          <w:lang w:val="en-US"/>
        </w:rPr>
        <w:t xml:space="preserve">their tasks </w:t>
      </w:r>
      <w:r w:rsidR="00B52242">
        <w:rPr>
          <w:noProof/>
          <w:lang w:val="en-US"/>
        </w:rPr>
        <w:t>in accordance with</w:t>
      </w:r>
      <w:r w:rsidR="00B52242" w:rsidRPr="44137436">
        <w:rPr>
          <w:noProof/>
          <w:lang w:val="en-US"/>
        </w:rPr>
        <w:t xml:space="preserve"> </w:t>
      </w:r>
      <w:r w:rsidR="008F61D5" w:rsidRPr="44137436">
        <w:rPr>
          <w:noProof/>
          <w:lang w:val="en-US"/>
        </w:rPr>
        <w:t>this Regulation.</w:t>
      </w:r>
    </w:p>
    <w:p w14:paraId="59399A5C" w14:textId="2D4C3879" w:rsidR="001A618D" w:rsidRPr="009E7432" w:rsidRDefault="00CC2D52" w:rsidP="009E7432">
      <w:pPr>
        <w:pStyle w:val="Titrearticleb"/>
        <w:rPr>
          <w:noProof/>
        </w:rPr>
      </w:pPr>
      <w:r>
        <w:rPr>
          <w:noProof/>
          <w:lang w:val="en-US"/>
        </w:rPr>
        <w:t>Article 3</w:t>
      </w:r>
      <w:r w:rsidR="00B52242">
        <w:rPr>
          <w:noProof/>
          <w:lang w:val="en-US"/>
        </w:rPr>
        <w:t>2</w:t>
      </w:r>
      <w:r w:rsidR="009E7432">
        <w:rPr>
          <w:noProof/>
        </w:rPr>
        <w:br/>
      </w:r>
      <w:r w:rsidR="001A618D" w:rsidRPr="009E7432">
        <w:rPr>
          <w:noProof/>
          <w:lang w:val="en-IE"/>
        </w:rPr>
        <w:t xml:space="preserve">Right to lodge a complaint with a competent authority </w:t>
      </w:r>
    </w:p>
    <w:p w14:paraId="40DB100A" w14:textId="53A5BED3" w:rsidR="006E36D8" w:rsidRPr="00771B94" w:rsidRDefault="000856CE" w:rsidP="000856CE">
      <w:pPr>
        <w:pStyle w:val="ManualNumPar1"/>
        <w:rPr>
          <w:noProof/>
          <w:lang w:val="en-IE"/>
        </w:rPr>
      </w:pPr>
      <w:r w:rsidRPr="000856CE">
        <w:t>1.</w:t>
      </w:r>
      <w:r w:rsidRPr="000856CE">
        <w:tab/>
      </w:r>
      <w:r w:rsidR="006E36D8" w:rsidRPr="00771B94">
        <w:rPr>
          <w:noProof/>
          <w:lang w:val="en-IE"/>
        </w:rPr>
        <w:t xml:space="preserve">Without </w:t>
      </w:r>
      <w:r w:rsidR="00121907" w:rsidRPr="2FA46F90">
        <w:rPr>
          <w:noProof/>
          <w:lang w:val="en-IE"/>
        </w:rPr>
        <w:t>prejudice to any other administrative or judicial remedy, natural and legal persons shall have the right to lodge a complaint, individually or, where relevant, collectively, with the relevant competent authority in the Member State of their habitual residence, place of work or establishment if they consider that their rights under this Regulation have been infringed</w:t>
      </w:r>
      <w:r w:rsidR="006E36D8" w:rsidRPr="00771B94">
        <w:rPr>
          <w:noProof/>
          <w:lang w:val="en-IE"/>
        </w:rPr>
        <w:t>.</w:t>
      </w:r>
    </w:p>
    <w:p w14:paraId="2F0329EC" w14:textId="218DB000" w:rsidR="006E36D8" w:rsidRPr="00B356D4" w:rsidRDefault="000856CE" w:rsidP="000856CE">
      <w:pPr>
        <w:pStyle w:val="ManualNumPar1"/>
        <w:rPr>
          <w:noProof/>
          <w:lang w:val="en-IE"/>
        </w:rPr>
      </w:pPr>
      <w:r w:rsidRPr="000856CE">
        <w:t>2.</w:t>
      </w:r>
      <w:r w:rsidRPr="000856CE">
        <w:tab/>
      </w:r>
      <w:r w:rsidR="006E36D8" w:rsidRPr="00B356D4">
        <w:rPr>
          <w:noProof/>
          <w:lang w:val="en-IE"/>
        </w:rPr>
        <w:t xml:space="preserve">The </w:t>
      </w:r>
      <w:r w:rsidR="00121907" w:rsidRPr="2FA46F90">
        <w:rPr>
          <w:noProof/>
          <w:lang w:val="en-IE"/>
        </w:rPr>
        <w:t>competent authority with which the complaint has been lodged shall inform the complainant of the progress of the proceedings and of the decision taken</w:t>
      </w:r>
      <w:r w:rsidR="006E36D8" w:rsidRPr="00B356D4">
        <w:rPr>
          <w:noProof/>
          <w:lang w:val="en-IE"/>
        </w:rPr>
        <w:t>.</w:t>
      </w:r>
    </w:p>
    <w:p w14:paraId="276C17DB" w14:textId="3EFD96C4" w:rsidR="006E36D8" w:rsidRPr="008F02F5" w:rsidRDefault="000856CE" w:rsidP="000856CE">
      <w:pPr>
        <w:pStyle w:val="ManualNumPar1"/>
        <w:rPr>
          <w:noProof/>
          <w:lang w:val="en-IE"/>
        </w:rPr>
      </w:pPr>
      <w:r w:rsidRPr="000856CE">
        <w:t>3.</w:t>
      </w:r>
      <w:r w:rsidRPr="000856CE">
        <w:tab/>
      </w:r>
      <w:r w:rsidR="00121907">
        <w:rPr>
          <w:noProof/>
          <w:lang w:val="en-IE"/>
        </w:rPr>
        <w:t>Competent</w:t>
      </w:r>
      <w:r w:rsidR="006E36D8" w:rsidRPr="00B356D4">
        <w:rPr>
          <w:noProof/>
          <w:lang w:val="en-US"/>
        </w:rPr>
        <w:t xml:space="preserve"> </w:t>
      </w:r>
      <w:r w:rsidR="00121907" w:rsidRPr="2FA46F90">
        <w:rPr>
          <w:noProof/>
          <w:lang w:val="en-IE"/>
        </w:rPr>
        <w:t xml:space="preserve">authorities shall cooperate to handle and resolve complaints, including by </w:t>
      </w:r>
      <w:r w:rsidR="00121907" w:rsidRPr="2FA46F90">
        <w:rPr>
          <w:noProof/>
          <w:lang w:val="en-US"/>
        </w:rPr>
        <w:t>exchanging all relevant information by electronic means, without undue delay.</w:t>
      </w:r>
      <w:r w:rsidR="00121907" w:rsidRPr="2FA46F90">
        <w:rPr>
          <w:noProof/>
          <w:lang w:val="en-IE"/>
        </w:rPr>
        <w:t xml:space="preserve"> This cooperation shall not affect the specific cooperation mechanism provided for by Chapters VI and VII of Regulation (EU) 2016/679</w:t>
      </w:r>
      <w:r w:rsidR="006E36D8">
        <w:rPr>
          <w:noProof/>
          <w:lang w:val="en-US"/>
        </w:rPr>
        <w:t>.</w:t>
      </w:r>
      <w:r w:rsidR="006E36D8" w:rsidRPr="00B356D4">
        <w:rPr>
          <w:noProof/>
          <w:lang w:val="en-IE"/>
        </w:rPr>
        <w:t xml:space="preserve"> </w:t>
      </w:r>
    </w:p>
    <w:p w14:paraId="51623114" w14:textId="601F5418" w:rsidR="001A618D" w:rsidRPr="009E7432" w:rsidRDefault="00CC2D52" w:rsidP="003727E5">
      <w:pPr>
        <w:pStyle w:val="Titrearticle0"/>
        <w:rPr>
          <w:noProof/>
        </w:rPr>
      </w:pPr>
      <w:r>
        <w:rPr>
          <w:noProof/>
          <w:lang w:val="en-US"/>
        </w:rPr>
        <w:t>Article 3</w:t>
      </w:r>
      <w:r w:rsidR="00B52242">
        <w:rPr>
          <w:noProof/>
          <w:lang w:val="en-US"/>
        </w:rPr>
        <w:t>3</w:t>
      </w:r>
      <w:r w:rsidR="009E7432">
        <w:rPr>
          <w:noProof/>
        </w:rPr>
        <w:br/>
      </w:r>
      <w:r w:rsidR="001A618D" w:rsidRPr="00B356D4">
        <w:rPr>
          <w:noProof/>
          <w:lang w:val="en-IE"/>
        </w:rPr>
        <w:t>Penalties</w:t>
      </w:r>
    </w:p>
    <w:p w14:paraId="09B24361" w14:textId="2B3F85D2" w:rsidR="006E36D8" w:rsidRPr="00771B94" w:rsidRDefault="000856CE" w:rsidP="000856CE">
      <w:pPr>
        <w:pStyle w:val="ManualNumPar1"/>
        <w:rPr>
          <w:noProof/>
          <w:lang w:val="en-IE"/>
        </w:rPr>
      </w:pPr>
      <w:r w:rsidRPr="000856CE">
        <w:t>1.</w:t>
      </w:r>
      <w:r w:rsidRPr="000856CE">
        <w:tab/>
      </w:r>
      <w:r w:rsidR="006E36D8" w:rsidRPr="00771B94">
        <w:rPr>
          <w:noProof/>
          <w:lang w:val="en-IE"/>
        </w:rPr>
        <w:t xml:space="preserve">Member </w:t>
      </w:r>
      <w:r w:rsidR="00121907" w:rsidRPr="2FA46F90">
        <w:rPr>
          <w:noProof/>
          <w:lang w:val="en-IE"/>
        </w:rPr>
        <w:t>States shall lay down the rules on penalties applicable to infringements of this Regulation and shall take all measures necessary to ensure that they are implemented. The penalties provided for shall be effective, proportionate and dissuasive</w:t>
      </w:r>
      <w:r w:rsidR="006E36D8" w:rsidRPr="00771B94">
        <w:rPr>
          <w:noProof/>
          <w:lang w:val="en-IE"/>
        </w:rPr>
        <w:t xml:space="preserve">. </w:t>
      </w:r>
    </w:p>
    <w:p w14:paraId="16CF8FBF" w14:textId="166491F1" w:rsidR="006E36D8" w:rsidRDefault="000856CE" w:rsidP="000856CE">
      <w:pPr>
        <w:pStyle w:val="ManualNumPar1"/>
        <w:rPr>
          <w:noProof/>
          <w:lang w:val="en-IE"/>
        </w:rPr>
      </w:pPr>
      <w:r w:rsidRPr="000856CE">
        <w:t>2.</w:t>
      </w:r>
      <w:r w:rsidRPr="000856CE">
        <w:tab/>
      </w:r>
      <w:r w:rsidR="006E36D8" w:rsidRPr="00B356D4">
        <w:rPr>
          <w:noProof/>
          <w:lang w:val="en-IE"/>
        </w:rPr>
        <w:t xml:space="preserve">Member </w:t>
      </w:r>
      <w:r w:rsidR="00121907" w:rsidRPr="2FA46F90">
        <w:rPr>
          <w:noProof/>
          <w:lang w:val="en-IE"/>
        </w:rPr>
        <w:t>States shall by [date of application of the Regulation] notify the Commission of those rules and measures and shall notify it without delay of any subsequent amendment affecting them</w:t>
      </w:r>
      <w:r w:rsidR="006E36D8" w:rsidRPr="00B356D4">
        <w:rPr>
          <w:noProof/>
          <w:lang w:val="en-IE"/>
        </w:rPr>
        <w:t>.</w:t>
      </w:r>
    </w:p>
    <w:p w14:paraId="33CA4C02" w14:textId="6FBF3BC3" w:rsidR="006E36D8" w:rsidRDefault="000856CE" w:rsidP="000856CE">
      <w:pPr>
        <w:pStyle w:val="ManualNumPar1"/>
        <w:rPr>
          <w:noProof/>
          <w:lang w:val="en-IE"/>
        </w:rPr>
      </w:pPr>
      <w:r w:rsidRPr="000856CE">
        <w:t>3.</w:t>
      </w:r>
      <w:r w:rsidRPr="000856CE">
        <w:tab/>
      </w:r>
      <w:r w:rsidR="006E36D8" w:rsidRPr="00B01BFC">
        <w:rPr>
          <w:noProof/>
          <w:lang w:val="en-IE"/>
        </w:rPr>
        <w:t xml:space="preserve">For </w:t>
      </w:r>
      <w:r w:rsidR="00121907" w:rsidRPr="2FA46F90">
        <w:rPr>
          <w:noProof/>
          <w:lang w:val="en-IE"/>
        </w:rPr>
        <w:t>infringements of the obligations laid down in Chapter II, III and V of this Regulation, the supervisory authorities referred to in Article 51 of the Regulation (EU) 2016/679 may within their scope of competence impose administrative fines in line with Article 83 of Regulation (EU) 2016/679 and up to the amount referred to in Article 83(5) of that Regulation</w:t>
      </w:r>
      <w:r w:rsidR="006E36D8" w:rsidRPr="00B01BFC">
        <w:rPr>
          <w:noProof/>
          <w:lang w:val="en-IE"/>
        </w:rPr>
        <w:t>.</w:t>
      </w:r>
    </w:p>
    <w:p w14:paraId="760CE03E" w14:textId="6915432E" w:rsidR="006E36D8" w:rsidRPr="009E7432" w:rsidRDefault="000856CE" w:rsidP="000856CE">
      <w:pPr>
        <w:pStyle w:val="ManualNumPar1"/>
        <w:rPr>
          <w:noProof/>
          <w:lang w:val="en-IE"/>
        </w:rPr>
      </w:pPr>
      <w:r w:rsidRPr="000856CE">
        <w:t>4.</w:t>
      </w:r>
      <w:r w:rsidRPr="000856CE">
        <w:tab/>
      </w:r>
      <w:r w:rsidR="006E36D8" w:rsidRPr="00B01BFC">
        <w:rPr>
          <w:noProof/>
          <w:lang w:val="en-IE"/>
        </w:rPr>
        <w:t xml:space="preserve">For </w:t>
      </w:r>
      <w:r w:rsidR="00121907" w:rsidRPr="2FA46F90">
        <w:rPr>
          <w:noProof/>
          <w:lang w:val="en-IE"/>
        </w:rPr>
        <w:t>infringements of the obligations laid down in Chapter V of this Regulation, the supervisory authority referred to in Article 52 of Regulation (EU) 2018/1725 may impose within its scope of competence administrative fines in accordance with Article 66 of Regulation (EU) 2018/1725 up to the amount referred to in Article 66(3) of that Regulation</w:t>
      </w:r>
      <w:r w:rsidR="006E36D8" w:rsidRPr="00B01BFC">
        <w:rPr>
          <w:noProof/>
          <w:lang w:val="en-IE"/>
        </w:rPr>
        <w:t>.</w:t>
      </w:r>
    </w:p>
    <w:p w14:paraId="5EC7A536" w14:textId="2CEA0A44" w:rsidR="006E36D8" w:rsidRPr="009E7432" w:rsidRDefault="00CC2D52" w:rsidP="009E7432">
      <w:pPr>
        <w:pStyle w:val="Titrearticleb"/>
        <w:rPr>
          <w:noProof/>
          <w:lang w:val="en-US"/>
        </w:rPr>
      </w:pPr>
      <w:r>
        <w:rPr>
          <w:noProof/>
          <w:lang w:val="en-US"/>
        </w:rPr>
        <w:t>Article 3</w:t>
      </w:r>
      <w:r w:rsidR="00B52242">
        <w:rPr>
          <w:noProof/>
          <w:lang w:val="en-US"/>
        </w:rPr>
        <w:t>4</w:t>
      </w:r>
      <w:r w:rsidR="009E7432">
        <w:rPr>
          <w:noProof/>
          <w:lang w:val="en-US"/>
        </w:rPr>
        <w:br/>
      </w:r>
      <w:r w:rsidR="006E36D8" w:rsidRPr="00040293">
        <w:rPr>
          <w:noProof/>
          <w:lang w:val="en-US"/>
        </w:rPr>
        <w:t>Model contract</w:t>
      </w:r>
      <w:r w:rsidR="00121907">
        <w:rPr>
          <w:noProof/>
          <w:lang w:val="en-US"/>
        </w:rPr>
        <w:t>ual</w:t>
      </w:r>
      <w:r w:rsidR="006E36D8" w:rsidRPr="00040293">
        <w:rPr>
          <w:noProof/>
          <w:lang w:val="en-US"/>
        </w:rPr>
        <w:t xml:space="preserve"> terms</w:t>
      </w:r>
    </w:p>
    <w:p w14:paraId="6230DD6A" w14:textId="29989B9C" w:rsidR="006E36D8" w:rsidRPr="006E36D8" w:rsidRDefault="006E36D8" w:rsidP="006E36D8">
      <w:pPr>
        <w:rPr>
          <w:noProof/>
          <w:lang w:val="en-US"/>
        </w:rPr>
      </w:pPr>
      <w:r w:rsidRPr="003A3D56">
        <w:rPr>
          <w:noProof/>
          <w:lang w:val="en-US"/>
        </w:rPr>
        <w:t xml:space="preserve">The Commission </w:t>
      </w:r>
      <w:r w:rsidR="00121907">
        <w:rPr>
          <w:noProof/>
          <w:lang w:val="en-US"/>
        </w:rPr>
        <w:t>shall</w:t>
      </w:r>
      <w:r w:rsidR="00121907" w:rsidRPr="003A3D56">
        <w:rPr>
          <w:noProof/>
          <w:lang w:val="en-US"/>
        </w:rPr>
        <w:t xml:space="preserve"> develop and recommend non-binding model </w:t>
      </w:r>
      <w:r w:rsidR="00121907" w:rsidRPr="10022F27">
        <w:rPr>
          <w:noProof/>
          <w:lang w:val="en-US"/>
        </w:rPr>
        <w:t xml:space="preserve">contractual </w:t>
      </w:r>
      <w:r w:rsidR="00121907" w:rsidRPr="003A3D56">
        <w:rPr>
          <w:noProof/>
          <w:lang w:val="en-US"/>
        </w:rPr>
        <w:t>terms on data access and use</w:t>
      </w:r>
      <w:r w:rsidR="00121907" w:rsidRPr="76E49D51">
        <w:rPr>
          <w:noProof/>
          <w:lang w:val="en-US"/>
        </w:rPr>
        <w:t xml:space="preserve"> </w:t>
      </w:r>
      <w:r w:rsidR="00121907" w:rsidRPr="10022F27">
        <w:rPr>
          <w:noProof/>
          <w:lang w:val="en-US"/>
        </w:rPr>
        <w:t xml:space="preserve">to assist </w:t>
      </w:r>
      <w:r w:rsidR="00121907" w:rsidRPr="003A3D56">
        <w:rPr>
          <w:noProof/>
          <w:lang w:val="en-US"/>
        </w:rPr>
        <w:t xml:space="preserve">parties </w:t>
      </w:r>
      <w:r w:rsidR="00121907" w:rsidRPr="10022F27">
        <w:rPr>
          <w:noProof/>
          <w:lang w:val="en-US"/>
        </w:rPr>
        <w:t>in drafting</w:t>
      </w:r>
      <w:r w:rsidR="00121907" w:rsidRPr="003A3D56">
        <w:rPr>
          <w:noProof/>
          <w:lang w:val="en-US"/>
        </w:rPr>
        <w:t xml:space="preserve"> and negotiat</w:t>
      </w:r>
      <w:r w:rsidR="00121907" w:rsidRPr="10022F27">
        <w:rPr>
          <w:noProof/>
          <w:lang w:val="en-US"/>
        </w:rPr>
        <w:t>ing</w:t>
      </w:r>
      <w:r w:rsidR="00121907" w:rsidRPr="003A3D56">
        <w:rPr>
          <w:noProof/>
          <w:lang w:val="en-US"/>
        </w:rPr>
        <w:t xml:space="preserve"> </w:t>
      </w:r>
      <w:r w:rsidR="00121907" w:rsidRPr="10022F27">
        <w:rPr>
          <w:noProof/>
          <w:lang w:val="en-US"/>
        </w:rPr>
        <w:t>contracts</w:t>
      </w:r>
      <w:r w:rsidR="00121907" w:rsidRPr="003A3D56">
        <w:rPr>
          <w:noProof/>
          <w:lang w:val="en-US"/>
        </w:rPr>
        <w:t xml:space="preserve"> with balanced contractual rights and obligations</w:t>
      </w:r>
      <w:r w:rsidRPr="003A3D56">
        <w:rPr>
          <w:noProof/>
          <w:lang w:val="en-US"/>
        </w:rPr>
        <w:t>.</w:t>
      </w:r>
    </w:p>
    <w:p w14:paraId="71DACFC4" w14:textId="57C37BD1" w:rsidR="001A618D" w:rsidRPr="00A05AF1" w:rsidRDefault="00A05AF1" w:rsidP="000C36C5">
      <w:pPr>
        <w:pStyle w:val="ChapterTitle"/>
        <w:rPr>
          <w:noProof/>
          <w:lang w:val="en-US"/>
        </w:rPr>
      </w:pPr>
      <w:r w:rsidRPr="00B356D4">
        <w:rPr>
          <w:noProof/>
          <w:lang w:val="en-US"/>
        </w:rPr>
        <w:t>CHAPTER X</w:t>
      </w:r>
      <w:r w:rsidR="000C36C5">
        <w:rPr>
          <w:noProof/>
          <w:lang w:val="en-US"/>
        </w:rPr>
        <w:br/>
      </w:r>
      <w:r w:rsidR="006E36D8">
        <w:rPr>
          <w:noProof/>
          <w:lang w:val="en-US"/>
        </w:rPr>
        <w:t xml:space="preserve">SUI GENERIS RIGHT UNDER </w:t>
      </w:r>
      <w:r w:rsidRPr="00B356D4">
        <w:rPr>
          <w:noProof/>
          <w:lang w:val="en-US"/>
        </w:rPr>
        <w:t>DIRECTIVE 1996/9/EC</w:t>
      </w:r>
    </w:p>
    <w:p w14:paraId="22A803A3" w14:textId="5E967F65" w:rsidR="00A05AF1" w:rsidRPr="009E7432" w:rsidRDefault="00CC2D52" w:rsidP="009E7432">
      <w:pPr>
        <w:pStyle w:val="Titrearticleb"/>
        <w:rPr>
          <w:noProof/>
        </w:rPr>
      </w:pPr>
      <w:r>
        <w:rPr>
          <w:noProof/>
          <w:lang w:val="en-US"/>
        </w:rPr>
        <w:t>Article 3</w:t>
      </w:r>
      <w:r w:rsidR="00B52242">
        <w:rPr>
          <w:noProof/>
          <w:lang w:val="en-US"/>
        </w:rPr>
        <w:t>5</w:t>
      </w:r>
      <w:r w:rsidR="009E7432">
        <w:rPr>
          <w:noProof/>
        </w:rPr>
        <w:br/>
      </w:r>
      <w:r w:rsidR="00B82CC0">
        <w:rPr>
          <w:noProof/>
          <w:lang w:val="en-IE"/>
        </w:rPr>
        <w:t>Databases containing certain data</w:t>
      </w:r>
    </w:p>
    <w:p w14:paraId="7BFAD71F" w14:textId="07D22EEB" w:rsidR="006E36D8" w:rsidRPr="00B356D4" w:rsidRDefault="00B52242" w:rsidP="006E36D8">
      <w:pPr>
        <w:widowControl w:val="0"/>
        <w:spacing w:before="0" w:after="200"/>
        <w:rPr>
          <w:noProof/>
          <w:lang w:val="en-IE"/>
        </w:rPr>
      </w:pPr>
      <w:r>
        <w:rPr>
          <w:noProof/>
          <w:lang w:val="en-IE"/>
        </w:rPr>
        <w:t xml:space="preserve">In order not </w:t>
      </w:r>
      <w:r w:rsidR="00B82CC0" w:rsidRPr="44137436">
        <w:rPr>
          <w:noProof/>
          <w:lang w:val="en-IE"/>
        </w:rPr>
        <w:t xml:space="preserve">to hinder the exercise of the right of users to access and use </w:t>
      </w:r>
      <w:r w:rsidR="00DB7E2F">
        <w:rPr>
          <w:noProof/>
          <w:lang w:val="en-IE"/>
        </w:rPr>
        <w:t xml:space="preserve">such </w:t>
      </w:r>
      <w:r w:rsidR="00B82CC0" w:rsidRPr="44137436">
        <w:rPr>
          <w:noProof/>
          <w:lang w:val="en-IE"/>
        </w:rPr>
        <w:t>data in accordance with</w:t>
      </w:r>
      <w:r w:rsidR="00B82CC0">
        <w:rPr>
          <w:noProof/>
          <w:lang w:val="en-IE"/>
        </w:rPr>
        <w:t xml:space="preserve"> </w:t>
      </w:r>
      <w:r w:rsidR="00B82CC0" w:rsidRPr="44137436">
        <w:rPr>
          <w:noProof/>
          <w:lang w:val="en-IE"/>
        </w:rPr>
        <w:t>Article 4 of this Regulation or of the right to share such data with third parties in accordance with Article 5 of this Regulation</w:t>
      </w:r>
      <w:r>
        <w:rPr>
          <w:noProof/>
          <w:lang w:val="en-IE"/>
        </w:rPr>
        <w:t>, t</w:t>
      </w:r>
      <w:r w:rsidRPr="0CA8BF00">
        <w:rPr>
          <w:noProof/>
          <w:lang w:val="en-IE"/>
        </w:rPr>
        <w:t xml:space="preserve">he </w:t>
      </w:r>
      <w:r w:rsidRPr="001E21CC">
        <w:rPr>
          <w:i/>
          <w:noProof/>
          <w:lang w:val="en-IE"/>
        </w:rPr>
        <w:t>sui generis</w:t>
      </w:r>
      <w:r w:rsidRPr="44137436">
        <w:rPr>
          <w:noProof/>
          <w:lang w:val="en-IE"/>
        </w:rPr>
        <w:t xml:space="preserve"> right provided for in Article 7 of Directive 96/9/EC does not apply to databases containing data obtained from or generated by the use of a product </w:t>
      </w:r>
      <w:r>
        <w:rPr>
          <w:noProof/>
          <w:lang w:val="en-IE"/>
        </w:rPr>
        <w:t>or a</w:t>
      </w:r>
      <w:r w:rsidRPr="44137436">
        <w:rPr>
          <w:noProof/>
          <w:lang w:val="en-IE"/>
        </w:rPr>
        <w:t xml:space="preserve"> related service</w:t>
      </w:r>
      <w:r w:rsidR="006E36D8" w:rsidRPr="0CA8BF00">
        <w:rPr>
          <w:noProof/>
          <w:lang w:val="en-IE"/>
        </w:rPr>
        <w:t xml:space="preserve">. </w:t>
      </w:r>
    </w:p>
    <w:p w14:paraId="0E07B8ED" w14:textId="0E15B133" w:rsidR="00A05AF1" w:rsidRPr="00A05AF1" w:rsidRDefault="00A05AF1" w:rsidP="000C36C5">
      <w:pPr>
        <w:pStyle w:val="ChapterTitle"/>
        <w:rPr>
          <w:noProof/>
          <w:lang w:val="en-US"/>
        </w:rPr>
      </w:pPr>
      <w:r w:rsidRPr="00B356D4">
        <w:rPr>
          <w:noProof/>
          <w:lang w:val="en-US"/>
        </w:rPr>
        <w:t xml:space="preserve">CHAPTER XI </w:t>
      </w:r>
      <w:r w:rsidR="000C36C5">
        <w:rPr>
          <w:noProof/>
          <w:lang w:val="en-US"/>
        </w:rPr>
        <w:br/>
      </w:r>
      <w:r w:rsidRPr="00B356D4">
        <w:rPr>
          <w:noProof/>
          <w:lang w:val="en-US"/>
        </w:rPr>
        <w:t>FINAL PROVISIONS</w:t>
      </w:r>
    </w:p>
    <w:p w14:paraId="25BAA96B" w14:textId="255E9130" w:rsidR="00A05AF1" w:rsidRPr="009E7432" w:rsidRDefault="00CC2D52" w:rsidP="009E7432">
      <w:pPr>
        <w:pStyle w:val="Titrearticleb"/>
        <w:rPr>
          <w:noProof/>
        </w:rPr>
      </w:pPr>
      <w:r>
        <w:rPr>
          <w:noProof/>
          <w:lang w:val="en-US"/>
        </w:rPr>
        <w:t>Article 3</w:t>
      </w:r>
      <w:r w:rsidR="00B52242">
        <w:rPr>
          <w:noProof/>
          <w:lang w:val="en-US"/>
        </w:rPr>
        <w:t>6</w:t>
      </w:r>
      <w:r w:rsidR="009E7432">
        <w:rPr>
          <w:noProof/>
        </w:rPr>
        <w:br/>
      </w:r>
      <w:r w:rsidR="00A05AF1" w:rsidRPr="009E7432">
        <w:rPr>
          <w:noProof/>
          <w:lang w:val="en-IE"/>
        </w:rPr>
        <w:t>Amendment to Regulation (EU) No 2017/2394</w:t>
      </w:r>
    </w:p>
    <w:p w14:paraId="050228FE" w14:textId="37F4B189" w:rsidR="00A05AF1" w:rsidRPr="00B356D4" w:rsidRDefault="00A05AF1" w:rsidP="00A05AF1">
      <w:pPr>
        <w:widowControl w:val="0"/>
        <w:spacing w:before="0" w:after="200"/>
        <w:rPr>
          <w:noProof/>
          <w:lang w:val="en-IE"/>
        </w:rPr>
      </w:pPr>
      <w:r w:rsidRPr="00B356D4">
        <w:rPr>
          <w:noProof/>
          <w:lang w:val="en-IE"/>
        </w:rPr>
        <w:t xml:space="preserve">In the Annex to Regulation (EU) No 2017/2394 the following point is added: </w:t>
      </w:r>
    </w:p>
    <w:p w14:paraId="3EEB57D0" w14:textId="414B991B" w:rsidR="00A05AF1" w:rsidRPr="00244EDA" w:rsidRDefault="00244EDA" w:rsidP="00244EDA">
      <w:pPr>
        <w:widowControl w:val="0"/>
        <w:spacing w:before="0" w:after="200"/>
        <w:rPr>
          <w:noProof/>
          <w:lang w:val="en-IE"/>
        </w:rPr>
      </w:pPr>
      <w:r>
        <w:rPr>
          <w:noProof/>
          <w:lang w:val="en-IE"/>
        </w:rPr>
        <w:t>‘2</w:t>
      </w:r>
      <w:r w:rsidR="00B52242">
        <w:rPr>
          <w:noProof/>
          <w:lang w:val="en-IE"/>
        </w:rPr>
        <w:t>9</w:t>
      </w:r>
      <w:r>
        <w:rPr>
          <w:noProof/>
          <w:lang w:val="en-IE"/>
        </w:rPr>
        <w:t>. [</w:t>
      </w:r>
      <w:r w:rsidR="00B52242">
        <w:rPr>
          <w:noProof/>
          <w:lang w:val="en-IE"/>
        </w:rPr>
        <w:t>Regulation (EU) XXX of the European Parliament and of the Council [</w:t>
      </w:r>
      <w:r>
        <w:rPr>
          <w:noProof/>
          <w:lang w:val="en-IE"/>
        </w:rPr>
        <w:t>Data Act]</w:t>
      </w:r>
      <w:r w:rsidR="00B52242">
        <w:rPr>
          <w:noProof/>
          <w:lang w:val="en-IE"/>
        </w:rPr>
        <w:t>]</w:t>
      </w:r>
      <w:r>
        <w:rPr>
          <w:noProof/>
          <w:lang w:val="en-IE"/>
        </w:rPr>
        <w:t>.’</w:t>
      </w:r>
    </w:p>
    <w:p w14:paraId="12085F06" w14:textId="0C3D6D77" w:rsidR="00244EDA" w:rsidRPr="009E7432" w:rsidRDefault="00CC2D52" w:rsidP="009E7432">
      <w:pPr>
        <w:pStyle w:val="Titrearticle0"/>
        <w:rPr>
          <w:noProof/>
        </w:rPr>
      </w:pPr>
      <w:r>
        <w:rPr>
          <w:noProof/>
        </w:rPr>
        <w:t xml:space="preserve">Article </w:t>
      </w:r>
      <w:r w:rsidR="00521340">
        <w:rPr>
          <w:noProof/>
        </w:rPr>
        <w:t>37</w:t>
      </w:r>
      <w:r w:rsidR="009E7432">
        <w:rPr>
          <w:noProof/>
        </w:rPr>
        <w:br/>
      </w:r>
      <w:r w:rsidR="00244EDA" w:rsidRPr="009E7432">
        <w:rPr>
          <w:noProof/>
          <w:lang w:val="en-US"/>
        </w:rPr>
        <w:t xml:space="preserve">Amendment to Directive (EU) 2020/1828 </w:t>
      </w:r>
    </w:p>
    <w:p w14:paraId="663226FE" w14:textId="77777777" w:rsidR="00244EDA" w:rsidRPr="00B356D4" w:rsidRDefault="00244EDA" w:rsidP="00244EDA">
      <w:pPr>
        <w:widowControl w:val="0"/>
        <w:spacing w:before="0" w:after="200"/>
        <w:jc w:val="left"/>
        <w:rPr>
          <w:noProof/>
          <w:lang w:val="en-IE"/>
        </w:rPr>
      </w:pPr>
      <w:r w:rsidRPr="00B356D4">
        <w:rPr>
          <w:noProof/>
          <w:lang w:val="en-IE"/>
        </w:rPr>
        <w:t xml:space="preserve">In the Annex to Directive (EU) 2020/1828 the following point is added: </w:t>
      </w:r>
    </w:p>
    <w:p w14:paraId="2D0ED8DC" w14:textId="6E7ADAE3" w:rsidR="00244EDA" w:rsidRPr="00244EDA" w:rsidRDefault="00244EDA" w:rsidP="00244EDA">
      <w:pPr>
        <w:widowControl w:val="0"/>
        <w:spacing w:before="0" w:after="200"/>
        <w:jc w:val="left"/>
        <w:rPr>
          <w:noProof/>
          <w:lang w:val="en-IE"/>
        </w:rPr>
      </w:pPr>
      <w:r w:rsidRPr="00B356D4">
        <w:rPr>
          <w:noProof/>
          <w:lang w:val="en-IE"/>
        </w:rPr>
        <w:t>‘67. [</w:t>
      </w:r>
      <w:r w:rsidR="00521340">
        <w:rPr>
          <w:noProof/>
          <w:lang w:val="en-IE"/>
        </w:rPr>
        <w:t>Regulation (EU) XXX of the European Parliament and of the Council [</w:t>
      </w:r>
      <w:r w:rsidRPr="00B356D4">
        <w:rPr>
          <w:noProof/>
          <w:lang w:val="en-IE"/>
        </w:rPr>
        <w:t>Data Act]</w:t>
      </w:r>
      <w:r w:rsidR="00521340">
        <w:rPr>
          <w:noProof/>
          <w:lang w:val="en-IE"/>
        </w:rPr>
        <w:t>]</w:t>
      </w:r>
      <w:r w:rsidRPr="00B356D4">
        <w:rPr>
          <w:noProof/>
          <w:lang w:val="en-IE"/>
        </w:rPr>
        <w:t xml:space="preserve">’ </w:t>
      </w:r>
    </w:p>
    <w:p w14:paraId="412646DD" w14:textId="2B9D1ABD" w:rsidR="00244EDA" w:rsidRPr="009E7432" w:rsidRDefault="00CC2D52" w:rsidP="009E7432">
      <w:pPr>
        <w:pStyle w:val="Titrearticleb"/>
        <w:rPr>
          <w:noProof/>
        </w:rPr>
      </w:pPr>
      <w:r>
        <w:rPr>
          <w:noProof/>
          <w:lang w:val="en-US"/>
        </w:rPr>
        <w:t>Article 3</w:t>
      </w:r>
      <w:r w:rsidR="00521340">
        <w:rPr>
          <w:noProof/>
          <w:lang w:val="en-US"/>
        </w:rPr>
        <w:t>8</w:t>
      </w:r>
      <w:r w:rsidR="009E7432">
        <w:rPr>
          <w:noProof/>
        </w:rPr>
        <w:br/>
      </w:r>
      <w:r w:rsidR="00244EDA" w:rsidRPr="009E7432">
        <w:rPr>
          <w:noProof/>
        </w:rPr>
        <w:t>Exercise of the delegation</w:t>
      </w:r>
    </w:p>
    <w:p w14:paraId="747964C6" w14:textId="41DD7D1B" w:rsidR="00244EDA" w:rsidRPr="00B356D4" w:rsidRDefault="000856CE" w:rsidP="000856CE">
      <w:pPr>
        <w:pStyle w:val="ManualNumPar1"/>
        <w:rPr>
          <w:noProof/>
        </w:rPr>
      </w:pPr>
      <w:r w:rsidRPr="000856CE">
        <w:t>1.</w:t>
      </w:r>
      <w:r w:rsidRPr="000856CE">
        <w:tab/>
      </w:r>
      <w:r w:rsidR="00244EDA" w:rsidRPr="00B356D4">
        <w:rPr>
          <w:noProof/>
        </w:rPr>
        <w:t xml:space="preserve">The </w:t>
      </w:r>
      <w:r w:rsidR="00A870AF">
        <w:rPr>
          <w:noProof/>
        </w:rPr>
        <w:t>power to adopt delegated acts is conferred on the Commission subject to the conditions laid down in this Article</w:t>
      </w:r>
      <w:r w:rsidR="00244EDA" w:rsidRPr="00B356D4">
        <w:rPr>
          <w:noProof/>
        </w:rPr>
        <w:t xml:space="preserve">. </w:t>
      </w:r>
    </w:p>
    <w:p w14:paraId="701BED9F" w14:textId="16E09C6B" w:rsidR="00244EDA" w:rsidRDefault="000856CE" w:rsidP="000856CE">
      <w:pPr>
        <w:pStyle w:val="ManualNumPar1"/>
        <w:rPr>
          <w:noProof/>
        </w:rPr>
      </w:pPr>
      <w:r w:rsidRPr="000856CE">
        <w:t>2.</w:t>
      </w:r>
      <w:r w:rsidRPr="000856CE">
        <w:tab/>
      </w:r>
      <w:r w:rsidR="00244EDA" w:rsidRPr="00B356D4">
        <w:rPr>
          <w:noProof/>
        </w:rPr>
        <w:t xml:space="preserve">The </w:t>
      </w:r>
      <w:r w:rsidR="00A870AF">
        <w:rPr>
          <w:noProof/>
        </w:rPr>
        <w:t>power to adopt delegated acts referred to in Articles 25(4)</w:t>
      </w:r>
      <w:r w:rsidR="00521340">
        <w:rPr>
          <w:noProof/>
        </w:rPr>
        <w:t>, 28(2) and 29(5)</w:t>
      </w:r>
      <w:r w:rsidR="00A870AF">
        <w:rPr>
          <w:noProof/>
        </w:rPr>
        <w:t xml:space="preserve"> shall be conferred on the Commission for an indeterminate period of time from […</w:t>
      </w:r>
      <w:r w:rsidR="00244EDA" w:rsidRPr="00B356D4">
        <w:rPr>
          <w:noProof/>
        </w:rPr>
        <w:t xml:space="preserve">]. </w:t>
      </w:r>
    </w:p>
    <w:p w14:paraId="205145A5" w14:textId="02126606" w:rsidR="00A870AF" w:rsidRDefault="000856CE" w:rsidP="000856CE">
      <w:pPr>
        <w:pStyle w:val="ManualNumPar1"/>
        <w:rPr>
          <w:noProof/>
        </w:rPr>
      </w:pPr>
      <w:r w:rsidRPr="000856CE">
        <w:t>3.</w:t>
      </w:r>
      <w:r w:rsidRPr="000856CE">
        <w:tab/>
      </w:r>
      <w:r w:rsidR="00A870AF">
        <w:rPr>
          <w:noProof/>
        </w:rPr>
        <w:t>The delegation of power referred to in Articles 25(4)</w:t>
      </w:r>
      <w:r w:rsidR="00521340">
        <w:rPr>
          <w:noProof/>
        </w:rPr>
        <w:t>, 28(2) and 29(5)</w:t>
      </w:r>
      <w:r w:rsidR="00A870AF">
        <w:rPr>
          <w:noProof/>
        </w:rPr>
        <w:t xml:space="preserve">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 </w:t>
      </w:r>
    </w:p>
    <w:p w14:paraId="3A80F34D" w14:textId="5F0947BF" w:rsidR="00521340" w:rsidRDefault="000856CE" w:rsidP="000856CE">
      <w:pPr>
        <w:pStyle w:val="ManualNumPar1"/>
        <w:rPr>
          <w:noProof/>
        </w:rPr>
      </w:pPr>
      <w:r w:rsidRPr="000856CE">
        <w:t>4.</w:t>
      </w:r>
      <w:r w:rsidRPr="000856CE">
        <w:tab/>
      </w:r>
      <w:r w:rsidR="00521340">
        <w:rPr>
          <w:noProof/>
        </w:rPr>
        <w:t xml:space="preserve">Before </w:t>
      </w:r>
      <w:r w:rsidR="00521340" w:rsidRPr="00B359EC">
        <w:rPr>
          <w:noProof/>
        </w:rPr>
        <w:t>adopting a delegated act, the Commission shall consult experts designated by each Member State in accordance with the principles laid down in the Interinstitutional Agreement on Better Law-Making of 13 April 2016</w:t>
      </w:r>
      <w:r w:rsidR="00521340">
        <w:rPr>
          <w:noProof/>
        </w:rPr>
        <w:t>.</w:t>
      </w:r>
    </w:p>
    <w:p w14:paraId="68E97E91" w14:textId="381D81CC" w:rsidR="00A870AF" w:rsidRDefault="000856CE" w:rsidP="000856CE">
      <w:pPr>
        <w:pStyle w:val="ManualNumPar1"/>
        <w:rPr>
          <w:noProof/>
        </w:rPr>
      </w:pPr>
      <w:r w:rsidRPr="000856CE">
        <w:t>5.</w:t>
      </w:r>
      <w:r w:rsidRPr="000856CE">
        <w:tab/>
      </w:r>
      <w:r w:rsidR="00A870AF">
        <w:rPr>
          <w:noProof/>
        </w:rPr>
        <w:t xml:space="preserve">As soon as it adopts a delegated act, the Commission shall notify it simultaneously to the European Parliament and to the Council. </w:t>
      </w:r>
    </w:p>
    <w:p w14:paraId="49248233" w14:textId="0580C54B" w:rsidR="00A870AF" w:rsidRPr="00A870AF" w:rsidRDefault="000856CE" w:rsidP="000856CE">
      <w:pPr>
        <w:pStyle w:val="ManualNumPar1"/>
        <w:rPr>
          <w:noProof/>
        </w:rPr>
      </w:pPr>
      <w:r w:rsidRPr="000856CE">
        <w:t>6.</w:t>
      </w:r>
      <w:r w:rsidRPr="000856CE">
        <w:tab/>
      </w:r>
      <w:r w:rsidR="00A870AF">
        <w:rPr>
          <w:noProof/>
        </w:rPr>
        <w:t>A delegated act adopted pursuant to Article</w:t>
      </w:r>
      <w:r w:rsidR="00521340">
        <w:rPr>
          <w:noProof/>
        </w:rPr>
        <w:t>s</w:t>
      </w:r>
      <w:r w:rsidR="00A870AF">
        <w:rPr>
          <w:noProof/>
        </w:rPr>
        <w:t xml:space="preserve"> 25(4)</w:t>
      </w:r>
      <w:r w:rsidR="00521340">
        <w:rPr>
          <w:noProof/>
        </w:rPr>
        <w:t>, 28(2) and 29(5)</w:t>
      </w:r>
      <w:r w:rsidR="00A870AF">
        <w:rPr>
          <w:noProof/>
        </w:rPr>
        <w:t xml:space="preserve"> shall enter into force only if no objection has been expressed either by the European Parliament or by the Council within a period of three months of notification of that act to the European Parliament and to the Council or if, before the expiry of that period, the European Parliament and the Council have both informed the Commission that they will not object. That period shall be extended by three months at the initiative of the European Parliament or of the Council.</w:t>
      </w:r>
    </w:p>
    <w:p w14:paraId="09985163" w14:textId="45179A74" w:rsidR="00F53DAE" w:rsidRDefault="00CC2D52" w:rsidP="0050350F">
      <w:pPr>
        <w:pStyle w:val="Titrearticlef"/>
        <w:rPr>
          <w:noProof/>
          <w:lang w:val="en-US"/>
        </w:rPr>
      </w:pPr>
      <w:r>
        <w:rPr>
          <w:noProof/>
          <w:lang w:val="en-US"/>
        </w:rPr>
        <w:t>Article 3</w:t>
      </w:r>
      <w:r w:rsidR="00521340">
        <w:rPr>
          <w:noProof/>
          <w:lang w:val="en-US"/>
        </w:rPr>
        <w:t>9</w:t>
      </w:r>
      <w:r w:rsidR="00F53DAE">
        <w:rPr>
          <w:noProof/>
          <w:lang w:val="en-US"/>
        </w:rPr>
        <w:br/>
        <w:t>Committee procedure</w:t>
      </w:r>
    </w:p>
    <w:p w14:paraId="539F5032" w14:textId="484B22BF" w:rsidR="00F53DAE" w:rsidRPr="00F53DAE" w:rsidRDefault="000856CE" w:rsidP="000856CE">
      <w:pPr>
        <w:pStyle w:val="ManualNumPar1"/>
        <w:rPr>
          <w:noProof/>
          <w:lang w:val="en-US"/>
        </w:rPr>
      </w:pPr>
      <w:r w:rsidRPr="000856CE">
        <w:t>1.</w:t>
      </w:r>
      <w:r w:rsidRPr="000856CE">
        <w:tab/>
      </w:r>
      <w:r w:rsidR="00F53DAE" w:rsidRPr="00F53DAE">
        <w:rPr>
          <w:noProof/>
          <w:lang w:val="en-US"/>
        </w:rPr>
        <w:t>The Commission shall be assisted by a committee. That committee shall be a committee within the meaning of Regulation (EU) No 182/2011.</w:t>
      </w:r>
    </w:p>
    <w:p w14:paraId="29C085D9" w14:textId="49D69627" w:rsidR="00F53DAE" w:rsidRPr="00F53DAE" w:rsidRDefault="000856CE" w:rsidP="000856CE">
      <w:pPr>
        <w:pStyle w:val="ManualNumPar1"/>
        <w:rPr>
          <w:noProof/>
          <w:lang w:val="en-US"/>
        </w:rPr>
      </w:pPr>
      <w:r w:rsidRPr="000856CE">
        <w:t>2.</w:t>
      </w:r>
      <w:r w:rsidRPr="000856CE">
        <w:tab/>
      </w:r>
      <w:r w:rsidR="00F53DAE">
        <w:rPr>
          <w:noProof/>
          <w:lang w:val="en-US"/>
        </w:rPr>
        <w:t xml:space="preserve">Where reference is made to this paragraph, Article </w:t>
      </w:r>
      <w:r w:rsidR="00CE4904">
        <w:rPr>
          <w:noProof/>
          <w:lang w:val="en-US"/>
        </w:rPr>
        <w:t xml:space="preserve">5 </w:t>
      </w:r>
      <w:r w:rsidR="00F53DAE">
        <w:rPr>
          <w:noProof/>
          <w:lang w:val="en-US"/>
        </w:rPr>
        <w:t>of Regulation (EU) No 182/2011 shall apply.</w:t>
      </w:r>
    </w:p>
    <w:p w14:paraId="076538D6" w14:textId="358D2D28" w:rsidR="00244EDA" w:rsidRPr="009E7432" w:rsidRDefault="00CC2D52" w:rsidP="009E7432">
      <w:pPr>
        <w:pStyle w:val="Titrearticleb"/>
        <w:rPr>
          <w:noProof/>
        </w:rPr>
      </w:pPr>
      <w:r>
        <w:rPr>
          <w:noProof/>
          <w:lang w:val="en-US"/>
        </w:rPr>
        <w:t xml:space="preserve">Article </w:t>
      </w:r>
      <w:r w:rsidR="00521340">
        <w:rPr>
          <w:noProof/>
          <w:lang w:val="en-US"/>
        </w:rPr>
        <w:t>40</w:t>
      </w:r>
      <w:r w:rsidR="009E7432">
        <w:rPr>
          <w:noProof/>
        </w:rPr>
        <w:br/>
      </w:r>
      <w:r w:rsidR="00244EDA" w:rsidRPr="00B356D4">
        <w:rPr>
          <w:noProof/>
          <w:lang w:val="en-IE"/>
        </w:rPr>
        <w:t xml:space="preserve">Other Union legal acts governing </w:t>
      </w:r>
      <w:r w:rsidR="00A870AF">
        <w:rPr>
          <w:noProof/>
          <w:lang w:val="en-IE"/>
        </w:rPr>
        <w:t xml:space="preserve">rights and obligations on </w:t>
      </w:r>
      <w:r w:rsidR="00A870AF" w:rsidRPr="00B356D4">
        <w:rPr>
          <w:noProof/>
          <w:lang w:val="en-IE"/>
        </w:rPr>
        <w:t xml:space="preserve">data </w:t>
      </w:r>
      <w:r w:rsidR="00A870AF">
        <w:rPr>
          <w:noProof/>
          <w:lang w:val="en-IE"/>
        </w:rPr>
        <w:t>access and use</w:t>
      </w:r>
    </w:p>
    <w:p w14:paraId="1B3D4BC0" w14:textId="09CE4916" w:rsidR="00AA213E" w:rsidRPr="00771B94" w:rsidRDefault="000856CE" w:rsidP="000856CE">
      <w:pPr>
        <w:pStyle w:val="ManualNumPar1"/>
        <w:rPr>
          <w:noProof/>
          <w:lang w:val="en-IE"/>
        </w:rPr>
      </w:pPr>
      <w:r w:rsidRPr="000856CE">
        <w:t>1.</w:t>
      </w:r>
      <w:r w:rsidRPr="000856CE">
        <w:tab/>
      </w:r>
      <w:r w:rsidR="00AA213E" w:rsidRPr="00771B94">
        <w:rPr>
          <w:noProof/>
          <w:lang w:val="en-IE"/>
        </w:rPr>
        <w:t xml:space="preserve">The </w:t>
      </w:r>
      <w:r w:rsidR="00A870AF" w:rsidRPr="2FA46F90">
        <w:rPr>
          <w:noProof/>
          <w:lang w:val="en-IE"/>
        </w:rPr>
        <w:t>specific obligations for the making available of data between businesses, between businesses and consumers, and on exceptional basis between businesses and public bodies, in Union legal acts that entered into force on or before [xx XXX xxx], and delegated or implementing acts based thereupon, shall remain unaffected</w:t>
      </w:r>
      <w:r w:rsidR="00AA213E" w:rsidRPr="00771B94">
        <w:rPr>
          <w:noProof/>
          <w:lang w:val="en-IE"/>
        </w:rPr>
        <w:t>.</w:t>
      </w:r>
      <w:r w:rsidR="00AA213E" w:rsidRPr="00771B94">
        <w:rPr>
          <w:noProof/>
          <w:lang w:val="en-IE"/>
        </w:rPr>
        <w:tab/>
      </w:r>
    </w:p>
    <w:p w14:paraId="312962C6" w14:textId="3F2BAE66" w:rsidR="00521340" w:rsidRDefault="000856CE" w:rsidP="000856CE">
      <w:pPr>
        <w:pStyle w:val="ManualNumPar1"/>
        <w:rPr>
          <w:noProof/>
          <w:lang w:val="en-IE"/>
        </w:rPr>
      </w:pPr>
      <w:r w:rsidRPr="000856CE">
        <w:t>2.</w:t>
      </w:r>
      <w:r w:rsidRPr="000856CE">
        <w:tab/>
      </w:r>
      <w:r w:rsidR="00521340">
        <w:rPr>
          <w:rFonts w:eastAsia="Calibri"/>
          <w:noProof/>
          <w:szCs w:val="24"/>
        </w:rPr>
        <w:t xml:space="preserve">This Regulation </w:t>
      </w:r>
      <w:r w:rsidR="00521340" w:rsidRPr="00155D35">
        <w:rPr>
          <w:noProof/>
          <w:lang w:val="en-IE"/>
        </w:rPr>
        <w:t xml:space="preserve">is without prejudice to Union legislation specifying, in light of the needs of </w:t>
      </w:r>
      <w:r w:rsidR="00521340">
        <w:rPr>
          <w:noProof/>
          <w:lang w:val="en-IE"/>
        </w:rPr>
        <w:t>a</w:t>
      </w:r>
      <w:r w:rsidR="00521340" w:rsidRPr="00155D35">
        <w:rPr>
          <w:noProof/>
          <w:lang w:val="en-IE"/>
        </w:rPr>
        <w:t xml:space="preserve"> sector</w:t>
      </w:r>
      <w:r w:rsidR="00521340">
        <w:rPr>
          <w:noProof/>
          <w:lang w:val="en-IE"/>
        </w:rPr>
        <w:t>, a common European data space, or an area of public interest, further requirements, in particular in relation to:</w:t>
      </w:r>
    </w:p>
    <w:p w14:paraId="5B6C10B4" w14:textId="5AF9E0A3" w:rsidR="00521340" w:rsidRPr="001E21CC" w:rsidRDefault="000856CE" w:rsidP="000856CE">
      <w:pPr>
        <w:pStyle w:val="Point1"/>
        <w:rPr>
          <w:noProof/>
          <w:lang w:val="en-IE"/>
        </w:rPr>
      </w:pPr>
      <w:r w:rsidRPr="000856CE">
        <w:t>(a)</w:t>
      </w:r>
      <w:r w:rsidRPr="000856CE">
        <w:tab/>
      </w:r>
      <w:r w:rsidR="00521340">
        <w:rPr>
          <w:noProof/>
        </w:rPr>
        <w:t>technical aspects of data access;</w:t>
      </w:r>
    </w:p>
    <w:p w14:paraId="2CD93471" w14:textId="58EB6E78" w:rsidR="00521340" w:rsidRPr="001E21CC" w:rsidRDefault="000856CE" w:rsidP="000856CE">
      <w:pPr>
        <w:pStyle w:val="Point1"/>
        <w:rPr>
          <w:noProof/>
          <w:lang w:val="en-IE"/>
        </w:rPr>
      </w:pPr>
      <w:r w:rsidRPr="000856CE">
        <w:t>(b)</w:t>
      </w:r>
      <w:r w:rsidRPr="000856CE">
        <w:tab/>
      </w:r>
      <w:r w:rsidR="00521340" w:rsidRPr="00521340">
        <w:rPr>
          <w:noProof/>
          <w:lang w:val="en-IE"/>
        </w:rPr>
        <w:t>limits on the rights of data holders to access or use certain data provided by users;</w:t>
      </w:r>
    </w:p>
    <w:p w14:paraId="198FB528" w14:textId="090D2906" w:rsidR="00AA213E" w:rsidRPr="00521340" w:rsidRDefault="000856CE" w:rsidP="000856CE">
      <w:pPr>
        <w:pStyle w:val="Point1"/>
        <w:rPr>
          <w:noProof/>
          <w:lang w:val="en-IE"/>
        </w:rPr>
      </w:pPr>
      <w:r w:rsidRPr="000856CE">
        <w:t>(c)</w:t>
      </w:r>
      <w:r w:rsidRPr="000856CE">
        <w:tab/>
      </w:r>
      <w:r w:rsidR="00521340">
        <w:rPr>
          <w:noProof/>
          <w:lang w:val="en-IE"/>
        </w:rPr>
        <w:t>aspects going beyond data access and use.</w:t>
      </w:r>
      <w:r w:rsidR="00521340" w:rsidRPr="00521340" w:rsidDel="00521340">
        <w:rPr>
          <w:noProof/>
        </w:rPr>
        <w:t xml:space="preserve"> </w:t>
      </w:r>
    </w:p>
    <w:p w14:paraId="5AF31D23" w14:textId="522F88F7" w:rsidR="00244EDA" w:rsidRPr="009E7432" w:rsidRDefault="00CC2D52" w:rsidP="009E7432">
      <w:pPr>
        <w:pStyle w:val="Titrearticleb"/>
        <w:rPr>
          <w:noProof/>
          <w:lang w:val="en-US"/>
        </w:rPr>
      </w:pPr>
      <w:r>
        <w:rPr>
          <w:noProof/>
          <w:lang w:val="en-US"/>
        </w:rPr>
        <w:t>Article 41</w:t>
      </w:r>
      <w:r w:rsidR="009E7432">
        <w:rPr>
          <w:noProof/>
        </w:rPr>
        <w:br/>
      </w:r>
      <w:r w:rsidR="00244EDA" w:rsidRPr="00B356D4">
        <w:rPr>
          <w:noProof/>
          <w:lang w:val="en-IE"/>
        </w:rPr>
        <w:t>Evaluation and review</w:t>
      </w:r>
    </w:p>
    <w:p w14:paraId="3BB19D49" w14:textId="372F9CB5" w:rsidR="00244EDA" w:rsidRPr="00B356D4" w:rsidRDefault="00244EDA" w:rsidP="00A213FA">
      <w:pPr>
        <w:rPr>
          <w:noProof/>
        </w:rPr>
      </w:pPr>
      <w:r w:rsidRPr="00B356D4">
        <w:rPr>
          <w:noProof/>
        </w:rPr>
        <w:t xml:space="preserve">By </w:t>
      </w:r>
      <w:r w:rsidR="00A870AF" w:rsidRPr="00B356D4">
        <w:rPr>
          <w:noProof/>
        </w:rPr>
        <w:t>[</w:t>
      </w:r>
      <w:r w:rsidR="00A870AF">
        <w:rPr>
          <w:i/>
          <w:noProof/>
        </w:rPr>
        <w:t>two</w:t>
      </w:r>
      <w:r w:rsidR="00A870AF" w:rsidRPr="00B356D4">
        <w:rPr>
          <w:i/>
          <w:noProof/>
        </w:rPr>
        <w:t xml:space="preserve"> years after the date of application of this Regulation</w:t>
      </w:r>
      <w:r w:rsidR="00A870AF" w:rsidRPr="00B356D4">
        <w:rPr>
          <w:noProof/>
        </w:rPr>
        <w:t>], the Commission shall carry out an evaluation of this Regulation and submit a report on its main findings to the</w:t>
      </w:r>
      <w:r w:rsidR="00A870AF">
        <w:rPr>
          <w:noProof/>
        </w:rPr>
        <w:t xml:space="preserve"> European Parliament and to the </w:t>
      </w:r>
      <w:r w:rsidR="00A870AF" w:rsidRPr="00B356D4">
        <w:rPr>
          <w:noProof/>
        </w:rPr>
        <w:t>Council as well as to the European Economic and Social Committee. That evaluation shall assess, in particular</w:t>
      </w:r>
      <w:r w:rsidRPr="00B356D4">
        <w:rPr>
          <w:noProof/>
        </w:rPr>
        <w:t>:</w:t>
      </w:r>
    </w:p>
    <w:p w14:paraId="27EBBDA2" w14:textId="598CC923" w:rsidR="00244EDA" w:rsidRPr="00DA78C5" w:rsidRDefault="000856CE" w:rsidP="000856CE">
      <w:pPr>
        <w:pStyle w:val="Point0"/>
        <w:rPr>
          <w:noProof/>
          <w:lang w:val="en-IE"/>
        </w:rPr>
      </w:pPr>
      <w:r w:rsidRPr="000856CE">
        <w:t>(a)</w:t>
      </w:r>
      <w:r w:rsidRPr="000856CE">
        <w:tab/>
      </w:r>
      <w:r w:rsidR="00244EDA" w:rsidRPr="00DA78C5">
        <w:rPr>
          <w:noProof/>
          <w:lang w:val="en-IE"/>
        </w:rPr>
        <w:t>other categories or types of data to be made accessible;</w:t>
      </w:r>
    </w:p>
    <w:p w14:paraId="19D6A79A" w14:textId="34BD3451" w:rsidR="00244EDA" w:rsidRPr="00DA78C5" w:rsidRDefault="000856CE" w:rsidP="000856CE">
      <w:pPr>
        <w:pStyle w:val="Point0"/>
        <w:rPr>
          <w:noProof/>
          <w:lang w:val="en-IE"/>
        </w:rPr>
      </w:pPr>
      <w:r w:rsidRPr="000856CE">
        <w:t>(b)</w:t>
      </w:r>
      <w:r w:rsidRPr="000856CE">
        <w:tab/>
      </w:r>
      <w:r w:rsidR="00244EDA" w:rsidRPr="00DA78C5">
        <w:rPr>
          <w:noProof/>
          <w:lang w:val="en-IE"/>
        </w:rPr>
        <w:t xml:space="preserve">the exclusion of certain categories of enterprises as </w:t>
      </w:r>
      <w:r w:rsidR="00AA213E">
        <w:rPr>
          <w:noProof/>
          <w:lang w:val="en-IE"/>
        </w:rPr>
        <w:t>beneficiaries</w:t>
      </w:r>
      <w:r w:rsidR="00244EDA" w:rsidRPr="00DA78C5">
        <w:rPr>
          <w:noProof/>
          <w:lang w:val="en-IE"/>
        </w:rPr>
        <w:t xml:space="preserve"> under Article</w:t>
      </w:r>
      <w:r w:rsidR="00AA213E">
        <w:rPr>
          <w:noProof/>
          <w:lang w:val="en-IE"/>
        </w:rPr>
        <w:t xml:space="preserve"> 5</w:t>
      </w:r>
      <w:r w:rsidR="00244EDA" w:rsidRPr="00DA78C5">
        <w:rPr>
          <w:noProof/>
          <w:lang w:val="en-IE"/>
        </w:rPr>
        <w:t xml:space="preserve">; </w:t>
      </w:r>
    </w:p>
    <w:p w14:paraId="5AE877D1" w14:textId="253671EC" w:rsidR="00244EDA" w:rsidRPr="00DA78C5" w:rsidRDefault="000856CE" w:rsidP="000856CE">
      <w:pPr>
        <w:pStyle w:val="Point0"/>
        <w:rPr>
          <w:noProof/>
          <w:lang w:val="en-IE"/>
        </w:rPr>
      </w:pPr>
      <w:r w:rsidRPr="000856CE">
        <w:t>(c)</w:t>
      </w:r>
      <w:r w:rsidRPr="000856CE">
        <w:tab/>
      </w:r>
      <w:r w:rsidR="00244EDA" w:rsidRPr="00DA78C5">
        <w:rPr>
          <w:noProof/>
          <w:lang w:val="en-IE"/>
        </w:rPr>
        <w:t xml:space="preserve">other </w:t>
      </w:r>
      <w:r w:rsidR="00521340">
        <w:rPr>
          <w:noProof/>
          <w:lang w:val="en-IE"/>
        </w:rPr>
        <w:t xml:space="preserve">situations to be deemed as </w:t>
      </w:r>
      <w:r w:rsidR="00244EDA" w:rsidRPr="00DA78C5">
        <w:rPr>
          <w:noProof/>
          <w:lang w:val="en-IE"/>
        </w:rPr>
        <w:t xml:space="preserve">exceptional needs </w:t>
      </w:r>
      <w:r w:rsidR="00521340">
        <w:rPr>
          <w:noProof/>
          <w:lang w:val="en-IE"/>
        </w:rPr>
        <w:t>for</w:t>
      </w:r>
      <w:r w:rsidR="00521340" w:rsidRPr="00DA78C5">
        <w:rPr>
          <w:noProof/>
          <w:lang w:val="en-IE"/>
        </w:rPr>
        <w:t xml:space="preserve"> </w:t>
      </w:r>
      <w:r w:rsidR="00244EDA" w:rsidRPr="00DA78C5">
        <w:rPr>
          <w:noProof/>
          <w:lang w:val="en-IE"/>
        </w:rPr>
        <w:t xml:space="preserve">the </w:t>
      </w:r>
      <w:r w:rsidR="00521340">
        <w:rPr>
          <w:noProof/>
          <w:lang w:val="en-IE"/>
        </w:rPr>
        <w:t>purpose</w:t>
      </w:r>
      <w:r w:rsidR="00521340" w:rsidRPr="00DA78C5">
        <w:rPr>
          <w:noProof/>
          <w:lang w:val="en-IE"/>
        </w:rPr>
        <w:t xml:space="preserve"> </w:t>
      </w:r>
      <w:r w:rsidR="00244EDA" w:rsidRPr="00DA78C5">
        <w:rPr>
          <w:noProof/>
          <w:lang w:val="en-IE"/>
        </w:rPr>
        <w:t>of Article 15;</w:t>
      </w:r>
    </w:p>
    <w:p w14:paraId="23496199" w14:textId="45DC0847" w:rsidR="00244EDA" w:rsidRPr="00DA78C5" w:rsidRDefault="000856CE" w:rsidP="000856CE">
      <w:pPr>
        <w:pStyle w:val="Point0"/>
        <w:rPr>
          <w:noProof/>
          <w:lang w:val="en-IE"/>
        </w:rPr>
      </w:pPr>
      <w:r w:rsidRPr="000856CE">
        <w:t>(d)</w:t>
      </w:r>
      <w:r w:rsidRPr="000856CE">
        <w:tab/>
      </w:r>
      <w:r w:rsidR="00244EDA" w:rsidRPr="00DA78C5">
        <w:rPr>
          <w:noProof/>
          <w:lang w:val="en-IE"/>
        </w:rPr>
        <w:t>changes in contractual practices of data processing service providers and whether this results in sufficient compliance with Article 24;</w:t>
      </w:r>
    </w:p>
    <w:p w14:paraId="5131E7CC" w14:textId="73881008" w:rsidR="00244EDA" w:rsidRPr="00DA78C5" w:rsidRDefault="000856CE" w:rsidP="000856CE">
      <w:pPr>
        <w:pStyle w:val="Point0"/>
        <w:rPr>
          <w:noProof/>
          <w:lang w:val="en-IE"/>
        </w:rPr>
      </w:pPr>
      <w:r w:rsidRPr="000856CE">
        <w:t>(e)</w:t>
      </w:r>
      <w:r w:rsidRPr="000856CE">
        <w:tab/>
      </w:r>
      <w:r w:rsidR="00244EDA" w:rsidRPr="00DA78C5">
        <w:rPr>
          <w:noProof/>
          <w:lang w:val="en-IE"/>
        </w:rPr>
        <w:t xml:space="preserve">diminution of charges imposed by data processing service providers for the switching process, in line with the </w:t>
      </w:r>
      <w:r w:rsidR="00521340">
        <w:rPr>
          <w:noProof/>
          <w:lang w:val="en-IE"/>
        </w:rPr>
        <w:t xml:space="preserve">gradual withdrawal of switching charges pursuant to </w:t>
      </w:r>
      <w:r w:rsidR="00244EDA" w:rsidRPr="00DA78C5">
        <w:rPr>
          <w:noProof/>
          <w:lang w:val="en-IE"/>
        </w:rPr>
        <w:t>Article 25.</w:t>
      </w:r>
    </w:p>
    <w:p w14:paraId="1113554A" w14:textId="3019EB85" w:rsidR="00521340" w:rsidRPr="009E7432" w:rsidRDefault="00521340" w:rsidP="00521340">
      <w:pPr>
        <w:pStyle w:val="Titrearticlefa"/>
        <w:rPr>
          <w:noProof/>
        </w:rPr>
      </w:pPr>
      <w:r>
        <w:rPr>
          <w:noProof/>
          <w:lang w:val="en-US"/>
        </w:rPr>
        <w:t>Article 4</w:t>
      </w:r>
      <w:r w:rsidR="00D20267">
        <w:rPr>
          <w:noProof/>
          <w:lang w:val="en-US"/>
        </w:rPr>
        <w:t>2</w:t>
      </w:r>
      <w:r>
        <w:rPr>
          <w:noProof/>
        </w:rPr>
        <w:br/>
      </w:r>
      <w:r w:rsidRPr="00B356D4">
        <w:rPr>
          <w:noProof/>
          <w:lang w:val="en-IE"/>
        </w:rPr>
        <w:t>Entry into force and application</w:t>
      </w:r>
    </w:p>
    <w:p w14:paraId="2DBBA5AA" w14:textId="77777777" w:rsidR="00521340" w:rsidRPr="00B356D4" w:rsidRDefault="00521340" w:rsidP="00521340">
      <w:pPr>
        <w:rPr>
          <w:noProof/>
          <w:lang w:val="en-IE"/>
        </w:rPr>
      </w:pPr>
      <w:r w:rsidRPr="00B356D4">
        <w:rPr>
          <w:noProof/>
          <w:lang w:val="en-IE"/>
        </w:rPr>
        <w:t>This Regulation shall enter into force on the twentieth day follo</w:t>
      </w:r>
      <w:r>
        <w:rPr>
          <w:noProof/>
          <w:lang w:val="en-IE"/>
        </w:rPr>
        <w:t xml:space="preserve">wing that of its publication in </w:t>
      </w:r>
      <w:r w:rsidRPr="00B356D4">
        <w:rPr>
          <w:noProof/>
          <w:lang w:val="en-IE"/>
        </w:rPr>
        <w:t>the Official Journal of the European Union.</w:t>
      </w:r>
    </w:p>
    <w:p w14:paraId="12CF43ED" w14:textId="12E77A84" w:rsidR="00521340" w:rsidRDefault="00521340" w:rsidP="00521340">
      <w:pPr>
        <w:rPr>
          <w:noProof/>
          <w:lang w:val="en-IE"/>
        </w:rPr>
      </w:pPr>
      <w:r w:rsidRPr="00B356D4">
        <w:rPr>
          <w:noProof/>
          <w:lang w:val="en-IE"/>
        </w:rPr>
        <w:t>It shall apply from [12 months after the date of entry into force of this Regulation].</w:t>
      </w:r>
    </w:p>
    <w:p w14:paraId="5553C64F" w14:textId="77777777" w:rsidR="001E21CC" w:rsidRPr="00244EDA" w:rsidRDefault="001E21CC" w:rsidP="00521340">
      <w:pPr>
        <w:rPr>
          <w:noProof/>
          <w:lang w:val="en-IE"/>
        </w:rPr>
      </w:pPr>
    </w:p>
    <w:p w14:paraId="02966650" w14:textId="7F45CA6A" w:rsidR="00A0188F" w:rsidRDefault="004C02C5" w:rsidP="00CD4172">
      <w:pPr>
        <w:pStyle w:val="Fait"/>
        <w:rPr>
          <w:noProof/>
        </w:rPr>
      </w:pPr>
      <w:r w:rsidRPr="004C02C5">
        <w:t>Done at Brussels,</w:t>
      </w:r>
    </w:p>
    <w:p w14:paraId="5EDFBF70" w14:textId="77777777" w:rsidR="00A0188F" w:rsidRDefault="00A0188F" w:rsidP="00CD4172">
      <w:pPr>
        <w:pStyle w:val="Institutionquisigne"/>
        <w:rPr>
          <w:noProof/>
        </w:rPr>
      </w:pPr>
      <w:r w:rsidRPr="00A0188F">
        <w:rPr>
          <w:noProof/>
        </w:rPr>
        <w:t>For the European Parliament</w:t>
      </w:r>
      <w:r w:rsidRPr="00A0188F">
        <w:rPr>
          <w:noProof/>
        </w:rPr>
        <w:tab/>
        <w:t>For the Council</w:t>
      </w:r>
    </w:p>
    <w:p w14:paraId="48C00441" w14:textId="77777777" w:rsidR="00A0188F" w:rsidRPr="007B17FC" w:rsidRDefault="00A0188F" w:rsidP="00A0188F">
      <w:pPr>
        <w:pStyle w:val="Personnequisigne"/>
        <w:rPr>
          <w:noProof/>
        </w:rPr>
      </w:pPr>
      <w:r w:rsidRPr="00A0188F">
        <w:rPr>
          <w:noProof/>
        </w:rPr>
        <w:t>The President</w:t>
      </w:r>
      <w:r w:rsidRPr="00A0188F">
        <w:rPr>
          <w:noProof/>
        </w:rPr>
        <w:tab/>
        <w:t>The President</w:t>
      </w:r>
    </w:p>
    <w:sectPr w:rsidR="00A0188F" w:rsidRPr="007B17FC" w:rsidSect="00E81DB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E665B" w14:textId="77777777" w:rsidR="006E51DA" w:rsidRDefault="006E51DA" w:rsidP="00A0188F">
      <w:pPr>
        <w:spacing w:before="0" w:after="0"/>
      </w:pPr>
      <w:r>
        <w:separator/>
      </w:r>
    </w:p>
  </w:endnote>
  <w:endnote w:type="continuationSeparator" w:id="0">
    <w:p w14:paraId="6BE6E157" w14:textId="77777777" w:rsidR="006E51DA" w:rsidRDefault="006E51DA" w:rsidP="00A018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30F21" w14:textId="2444E1DF" w:rsidR="00F15EF6" w:rsidRPr="00E81DB9" w:rsidRDefault="00E81DB9" w:rsidP="00E81DB9">
    <w:pPr>
      <w:pStyle w:val="Footer"/>
      <w:rPr>
        <w:rFonts w:ascii="Arial" w:hAnsi="Arial" w:cs="Arial"/>
        <w:b/>
        <w:sz w:val="48"/>
      </w:rPr>
    </w:pPr>
    <w:r w:rsidRPr="00E81DB9">
      <w:rPr>
        <w:rFonts w:ascii="Arial" w:hAnsi="Arial" w:cs="Arial"/>
        <w:b/>
        <w:sz w:val="48"/>
      </w:rPr>
      <w:t>EN</w:t>
    </w:r>
    <w:r w:rsidRPr="00E81DB9">
      <w:rPr>
        <w:rFonts w:ascii="Arial" w:hAnsi="Arial" w:cs="Arial"/>
        <w:b/>
        <w:sz w:val="48"/>
      </w:rPr>
      <w:tab/>
    </w:r>
    <w:r w:rsidRPr="00E81DB9">
      <w:rPr>
        <w:rFonts w:ascii="Arial" w:hAnsi="Arial" w:cs="Arial"/>
        <w:b/>
        <w:sz w:val="48"/>
      </w:rPr>
      <w:tab/>
    </w:r>
    <w:r w:rsidRPr="00E81DB9">
      <w:tab/>
    </w:r>
    <w:r w:rsidRPr="00E81DB9">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8829B" w14:textId="4CD91416" w:rsidR="00E81DB9" w:rsidRPr="00E81DB9" w:rsidRDefault="00E81DB9" w:rsidP="00E81DB9">
    <w:pPr>
      <w:pStyle w:val="Footer"/>
      <w:rPr>
        <w:rFonts w:ascii="Arial" w:hAnsi="Arial" w:cs="Arial"/>
        <w:b/>
        <w:sz w:val="48"/>
      </w:rPr>
    </w:pPr>
    <w:r w:rsidRPr="00E81DB9">
      <w:rPr>
        <w:rFonts w:ascii="Arial" w:hAnsi="Arial" w:cs="Arial"/>
        <w:b/>
        <w:sz w:val="48"/>
      </w:rPr>
      <w:t>EN</w:t>
    </w:r>
    <w:r w:rsidRPr="00E81DB9">
      <w:rPr>
        <w:rFonts w:ascii="Arial" w:hAnsi="Arial" w:cs="Arial"/>
        <w:b/>
        <w:sz w:val="48"/>
      </w:rPr>
      <w:tab/>
    </w:r>
    <w:r>
      <w:fldChar w:fldCharType="begin"/>
    </w:r>
    <w:r>
      <w:instrText xml:space="preserve"> PAGE  \* MERGEFORMAT </w:instrText>
    </w:r>
    <w:r>
      <w:fldChar w:fldCharType="separate"/>
    </w:r>
    <w:r w:rsidR="00CD4172">
      <w:rPr>
        <w:noProof/>
      </w:rPr>
      <w:t>63</w:t>
    </w:r>
    <w:r>
      <w:fldChar w:fldCharType="end"/>
    </w:r>
    <w:r>
      <w:tab/>
    </w:r>
    <w:r w:rsidRPr="00E81DB9">
      <w:tab/>
    </w:r>
    <w:r w:rsidRPr="00E81DB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0CB1" w14:textId="77777777" w:rsidR="00E81DB9" w:rsidRPr="00E81DB9" w:rsidRDefault="00E81DB9" w:rsidP="00E8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FD570" w14:textId="77777777" w:rsidR="006E51DA" w:rsidRDefault="006E51DA" w:rsidP="00A0188F">
      <w:pPr>
        <w:spacing w:before="0" w:after="0"/>
      </w:pPr>
      <w:r>
        <w:separator/>
      </w:r>
    </w:p>
  </w:footnote>
  <w:footnote w:type="continuationSeparator" w:id="0">
    <w:p w14:paraId="2C1A57BF" w14:textId="77777777" w:rsidR="006E51DA" w:rsidRDefault="006E51DA" w:rsidP="00A0188F">
      <w:pPr>
        <w:spacing w:before="0" w:after="0"/>
      </w:pPr>
      <w:r>
        <w:continuationSeparator/>
      </w:r>
    </w:p>
  </w:footnote>
  <w:footnote w:id="1">
    <w:p w14:paraId="01EFC31B" w14:textId="77777777" w:rsidR="006E51DA" w:rsidRPr="00741FEF" w:rsidRDefault="006E51DA" w:rsidP="0023412A">
      <w:pPr>
        <w:pStyle w:val="FootnoteText"/>
        <w:ind w:left="0" w:hanging="11"/>
        <w:rPr>
          <w:lang w:val="en-IE"/>
        </w:rPr>
      </w:pPr>
      <w:r w:rsidRPr="003B5043">
        <w:rPr>
          <w:rStyle w:val="FootnoteReference"/>
        </w:rPr>
        <w:footnoteRef/>
      </w:r>
      <w:r>
        <w:rPr>
          <w:lang w:val="en-IE"/>
        </w:rPr>
        <w:tab/>
      </w:r>
      <w:r w:rsidRPr="00741FEF">
        <w:rPr>
          <w:lang w:val="en-IE"/>
        </w:rPr>
        <w:t xml:space="preserve">Ursula von der Leyen, </w:t>
      </w:r>
      <w:hyperlink r:id="rId1" w:history="1">
        <w:r w:rsidRPr="00741FEF">
          <w:rPr>
            <w:rStyle w:val="Hyperlink"/>
            <w:lang w:val="en-IE"/>
          </w:rPr>
          <w:t>A Union that strives for more - My agenda for Europe, Political guidelines for the next European Commission 2019-2024</w:t>
        </w:r>
      </w:hyperlink>
      <w:r w:rsidRPr="00741FEF">
        <w:rPr>
          <w:lang w:val="en-IE"/>
        </w:rPr>
        <w:t>, 16 July 2019</w:t>
      </w:r>
    </w:p>
  </w:footnote>
  <w:footnote w:id="2">
    <w:p w14:paraId="661C8D4A" w14:textId="77777777" w:rsidR="006E51DA" w:rsidRPr="00C059C3" w:rsidRDefault="006E51DA" w:rsidP="0023412A">
      <w:pPr>
        <w:pStyle w:val="FootnoteText"/>
        <w:ind w:left="0" w:firstLine="0"/>
        <w:rPr>
          <w:lang w:val="en-IE"/>
        </w:rPr>
      </w:pPr>
      <w:r w:rsidRPr="003B5043">
        <w:rPr>
          <w:rStyle w:val="FootnoteReference"/>
        </w:rPr>
        <w:footnoteRef/>
      </w:r>
      <w:r>
        <w:tab/>
      </w:r>
      <w:r w:rsidRPr="0023100D">
        <w:rPr>
          <w:lang w:val="en-IE"/>
        </w:rPr>
        <w:t>European Commission, </w:t>
      </w:r>
      <w:hyperlink r:id="rId2" w:tgtFrame="_blank" w:history="1">
        <w:r w:rsidRPr="0023100D">
          <w:rPr>
            <w:rStyle w:val="Hyperlink"/>
            <w:lang w:val="en-IE"/>
          </w:rPr>
          <w:t>Annexes to the Commission Work Programme 2020 - A Union that strives for more</w:t>
        </w:r>
      </w:hyperlink>
      <w:r w:rsidRPr="0023100D">
        <w:rPr>
          <w:lang w:val="en-IE"/>
        </w:rPr>
        <w:t>,</w:t>
      </w:r>
      <w:r>
        <w:rPr>
          <w:lang w:val="en-IE"/>
        </w:rPr>
        <w:t xml:space="preserve"> </w:t>
      </w:r>
      <w:r w:rsidRPr="0023100D">
        <w:rPr>
          <w:lang w:val="en-IE"/>
        </w:rPr>
        <w:t>COM(2020) 37, 29 January 2020</w:t>
      </w:r>
    </w:p>
  </w:footnote>
  <w:footnote w:id="3">
    <w:p w14:paraId="70654FB6" w14:textId="77777777" w:rsidR="006E51DA" w:rsidRPr="00A5064F" w:rsidRDefault="006E51DA" w:rsidP="0023412A">
      <w:pPr>
        <w:pStyle w:val="FootnoteText"/>
        <w:rPr>
          <w:lang w:val="en-IE"/>
        </w:rPr>
      </w:pPr>
      <w:r w:rsidRPr="003B5043">
        <w:rPr>
          <w:rStyle w:val="FootnoteReference"/>
        </w:rPr>
        <w:footnoteRef/>
      </w:r>
      <w:r>
        <w:rPr>
          <w:lang w:val="en-IE"/>
        </w:rPr>
        <w:tab/>
      </w:r>
      <w:hyperlink r:id="rId3" w:history="1">
        <w:r w:rsidRPr="00A5064F">
          <w:rPr>
            <w:rStyle w:val="Hyperlink"/>
            <w:lang w:val="en-IE"/>
          </w:rPr>
          <w:t>COM/2020/66 final</w:t>
        </w:r>
      </w:hyperlink>
    </w:p>
  </w:footnote>
  <w:footnote w:id="4">
    <w:p w14:paraId="79AFE54F" w14:textId="77777777" w:rsidR="006E51DA" w:rsidRPr="00100406" w:rsidRDefault="006E51DA" w:rsidP="0023412A">
      <w:pPr>
        <w:pStyle w:val="FootnoteText"/>
        <w:rPr>
          <w:lang w:val="en-IE"/>
        </w:rPr>
      </w:pPr>
      <w:r w:rsidRPr="003B5043">
        <w:rPr>
          <w:rStyle w:val="FootnoteReference"/>
        </w:rPr>
        <w:footnoteRef/>
      </w:r>
      <w:r>
        <w:rPr>
          <w:lang w:val="en-IE"/>
        </w:rPr>
        <w:tab/>
      </w:r>
      <w:r w:rsidRPr="00100406">
        <w:rPr>
          <w:lang w:val="en-IE"/>
        </w:rPr>
        <w:t>European Council, European Council meeting (21-22 October 2021)</w:t>
      </w:r>
      <w:r>
        <w:rPr>
          <w:lang w:val="en-IE"/>
        </w:rPr>
        <w:t xml:space="preserve"> - </w:t>
      </w:r>
      <w:r w:rsidRPr="00100406">
        <w:t xml:space="preserve">Conclusion </w:t>
      </w:r>
      <w:hyperlink r:id="rId4" w:history="1">
        <w:r w:rsidRPr="004C0B7E">
          <w:rPr>
            <w:rStyle w:val="Hyperlink"/>
            <w:lang w:val="en-IE"/>
          </w:rPr>
          <w:t>EUCO 17/21, 2021</w:t>
        </w:r>
      </w:hyperlink>
      <w:r>
        <w:rPr>
          <w:lang w:val="en-IE"/>
        </w:rPr>
        <w:t>, p. 2.</w:t>
      </w:r>
    </w:p>
  </w:footnote>
  <w:footnote w:id="5">
    <w:p w14:paraId="6BFD12FD" w14:textId="77777777" w:rsidR="006E51DA" w:rsidRDefault="006E51DA" w:rsidP="0023412A">
      <w:pPr>
        <w:pStyle w:val="FootnoteText"/>
        <w:ind w:left="0" w:hanging="11"/>
      </w:pPr>
      <w:r w:rsidRPr="003B5043">
        <w:rPr>
          <w:rStyle w:val="FootnoteReference"/>
        </w:rPr>
        <w:footnoteRef/>
      </w:r>
      <w:r>
        <w:tab/>
      </w:r>
      <w:r w:rsidRPr="00741FEF">
        <w:rPr>
          <w:lang w:val="en-IE"/>
        </w:rPr>
        <w:t xml:space="preserve">European Council, </w:t>
      </w:r>
      <w:r>
        <w:rPr>
          <w:lang w:val="en-IE"/>
        </w:rPr>
        <w:t>Statement of the members of the Europe</w:t>
      </w:r>
      <w:r w:rsidRPr="00741FEF">
        <w:rPr>
          <w:lang w:val="en-IE"/>
        </w:rPr>
        <w:t>an Council meeting (</w:t>
      </w:r>
      <w:r>
        <w:rPr>
          <w:lang w:val="en-IE"/>
        </w:rPr>
        <w:t xml:space="preserve">25 March </w:t>
      </w:r>
      <w:r w:rsidRPr="00741FEF">
        <w:rPr>
          <w:lang w:val="en-IE"/>
        </w:rPr>
        <w:t>2021)</w:t>
      </w:r>
      <w:r>
        <w:rPr>
          <w:lang w:val="en-IE"/>
        </w:rPr>
        <w:t xml:space="preserve"> – Statement </w:t>
      </w:r>
      <w:hyperlink r:id="rId5" w:history="1">
        <w:r w:rsidRPr="00196EE5">
          <w:rPr>
            <w:rStyle w:val="Hyperlink"/>
            <w:lang w:val="en-IE"/>
          </w:rPr>
          <w:t>SN 18/21</w:t>
        </w:r>
      </w:hyperlink>
      <w:r>
        <w:rPr>
          <w:lang w:val="en-IE"/>
        </w:rPr>
        <w:t>, p. 4.</w:t>
      </w:r>
    </w:p>
  </w:footnote>
  <w:footnote w:id="6">
    <w:p w14:paraId="66CE6786" w14:textId="77777777" w:rsidR="006E51DA" w:rsidRDefault="006E51DA" w:rsidP="0023412A">
      <w:pPr>
        <w:pStyle w:val="FootnoteText"/>
      </w:pPr>
      <w:r w:rsidRPr="003B5043">
        <w:rPr>
          <w:rStyle w:val="FootnoteReference"/>
        </w:rPr>
        <w:footnoteRef/>
      </w:r>
      <w:r>
        <w:tab/>
      </w:r>
      <w:r w:rsidRPr="00741FEF">
        <w:rPr>
          <w:lang w:val="en-IE"/>
        </w:rPr>
        <w:t>European Council, European Council meeting (1-2 October 202</w:t>
      </w:r>
      <w:r>
        <w:rPr>
          <w:lang w:val="en-IE"/>
        </w:rPr>
        <w:t>0</w:t>
      </w:r>
      <w:r w:rsidRPr="00741FEF">
        <w:rPr>
          <w:lang w:val="en-IE"/>
        </w:rPr>
        <w:t>)</w:t>
      </w:r>
      <w:r>
        <w:rPr>
          <w:lang w:val="en-IE"/>
        </w:rPr>
        <w:t xml:space="preserve"> - </w:t>
      </w:r>
      <w:r w:rsidRPr="00741FEF">
        <w:t xml:space="preserve">Conclusion </w:t>
      </w:r>
      <w:hyperlink r:id="rId6" w:history="1">
        <w:r w:rsidRPr="004C0B7E">
          <w:rPr>
            <w:rStyle w:val="Hyperlink"/>
            <w:lang w:val="en-IE"/>
          </w:rPr>
          <w:t>EUCO 1</w:t>
        </w:r>
        <w:r>
          <w:rPr>
            <w:rStyle w:val="Hyperlink"/>
            <w:lang w:val="en-IE"/>
          </w:rPr>
          <w:t>3</w:t>
        </w:r>
        <w:r w:rsidRPr="004C0B7E">
          <w:rPr>
            <w:rStyle w:val="Hyperlink"/>
            <w:lang w:val="en-IE"/>
          </w:rPr>
          <w:t>/2</w:t>
        </w:r>
        <w:r>
          <w:rPr>
            <w:rStyle w:val="Hyperlink"/>
            <w:lang w:val="en-IE"/>
          </w:rPr>
          <w:t>0</w:t>
        </w:r>
        <w:r w:rsidRPr="004C0B7E">
          <w:rPr>
            <w:rStyle w:val="Hyperlink"/>
            <w:lang w:val="en-IE"/>
          </w:rPr>
          <w:t>, 202</w:t>
        </w:r>
        <w:r>
          <w:rPr>
            <w:rStyle w:val="Hyperlink"/>
            <w:lang w:val="en-IE"/>
          </w:rPr>
          <w:t>0</w:t>
        </w:r>
      </w:hyperlink>
      <w:r>
        <w:rPr>
          <w:lang w:val="en-IE"/>
        </w:rPr>
        <w:t>, p. 5.</w:t>
      </w:r>
    </w:p>
  </w:footnote>
  <w:footnote w:id="7">
    <w:p w14:paraId="17666403" w14:textId="77777777" w:rsidR="006E51DA" w:rsidRDefault="006E51DA" w:rsidP="0023412A">
      <w:pPr>
        <w:pStyle w:val="FootnoteText"/>
        <w:ind w:left="0" w:hanging="11"/>
      </w:pPr>
      <w:r w:rsidRPr="003B5043">
        <w:rPr>
          <w:rStyle w:val="FootnoteReference"/>
        </w:rPr>
        <w:footnoteRef/>
      </w:r>
      <w:r>
        <w:tab/>
        <w:t xml:space="preserve">European Commission (2020). </w:t>
      </w:r>
      <w:hyperlink r:id="rId7" w:history="1">
        <w:r w:rsidRPr="00481A75">
          <w:rPr>
            <w:rStyle w:val="Hyperlink"/>
            <w:i/>
          </w:rPr>
          <w:t>Commission welcomes Member States' declaration on EU cloud federation</w:t>
        </w:r>
      </w:hyperlink>
      <w:r w:rsidRPr="00481A75">
        <w:t xml:space="preserve">, </w:t>
      </w:r>
      <w:r>
        <w:t>Press Release.</w:t>
      </w:r>
    </w:p>
  </w:footnote>
  <w:footnote w:id="8">
    <w:p w14:paraId="4E1782E2" w14:textId="77777777" w:rsidR="006E51DA" w:rsidRPr="00741FEF" w:rsidRDefault="006E51DA" w:rsidP="0023412A">
      <w:pPr>
        <w:pStyle w:val="FootnoteText"/>
        <w:rPr>
          <w:lang w:val="en-IE"/>
        </w:rPr>
      </w:pPr>
      <w:r w:rsidRPr="003B5043">
        <w:rPr>
          <w:rStyle w:val="FootnoteReference"/>
        </w:rPr>
        <w:footnoteRef/>
      </w:r>
      <w:r>
        <w:rPr>
          <w:lang w:val="en-IE"/>
        </w:rPr>
        <w:tab/>
      </w:r>
      <w:r>
        <w:t>European Parliament resolution of 25 March 2021 on a European strategy for data (</w:t>
      </w:r>
      <w:hyperlink r:id="rId8" w:history="1">
        <w:r w:rsidRPr="00BD3E74">
          <w:rPr>
            <w:rStyle w:val="Hyperlink"/>
          </w:rPr>
          <w:t>2020/2217(INI)</w:t>
        </w:r>
      </w:hyperlink>
      <w:r>
        <w:t>)</w:t>
      </w:r>
    </w:p>
  </w:footnote>
  <w:footnote w:id="9">
    <w:p w14:paraId="7704EFFD" w14:textId="77777777" w:rsidR="006E51DA" w:rsidRPr="00C20FBC" w:rsidRDefault="006E51DA" w:rsidP="0023412A">
      <w:pPr>
        <w:pStyle w:val="FootnoteText"/>
        <w:rPr>
          <w:lang w:val="pl-PL"/>
        </w:rPr>
      </w:pPr>
      <w:r w:rsidRPr="003B5043">
        <w:rPr>
          <w:rStyle w:val="FootnoteReference"/>
        </w:rPr>
        <w:footnoteRef/>
      </w:r>
      <w:r>
        <w:rPr>
          <w:lang w:val="pl-PL"/>
        </w:rPr>
        <w:tab/>
      </w:r>
      <w:hyperlink r:id="rId9" w:history="1">
        <w:r w:rsidRPr="00C20FBC">
          <w:rPr>
            <w:rStyle w:val="Hyperlink"/>
            <w:lang w:val="pl-PL"/>
          </w:rPr>
          <w:t>OJ L 77, 27.3.1996, p. 20–28</w:t>
        </w:r>
      </w:hyperlink>
    </w:p>
  </w:footnote>
  <w:footnote w:id="10">
    <w:p w14:paraId="1377BF97" w14:textId="77777777" w:rsidR="006E51DA" w:rsidRPr="00C20FBC" w:rsidRDefault="006E51DA" w:rsidP="0023412A">
      <w:pPr>
        <w:pStyle w:val="FootnoteText"/>
        <w:rPr>
          <w:lang w:val="pl-PL"/>
        </w:rPr>
      </w:pPr>
      <w:r w:rsidRPr="003B5043">
        <w:rPr>
          <w:rStyle w:val="FootnoteReference"/>
        </w:rPr>
        <w:footnoteRef/>
      </w:r>
      <w:r>
        <w:rPr>
          <w:lang w:val="pl-PL"/>
        </w:rPr>
        <w:tab/>
      </w:r>
      <w:hyperlink r:id="rId10" w:history="1">
        <w:r w:rsidRPr="00C20FBC">
          <w:rPr>
            <w:rStyle w:val="Hyperlink"/>
            <w:lang w:val="pl-PL"/>
          </w:rPr>
          <w:t>OJ L 119, 4.5.2016, p. 1–88</w:t>
        </w:r>
      </w:hyperlink>
      <w:r w:rsidRPr="00C20FBC">
        <w:rPr>
          <w:lang w:val="pl-PL"/>
        </w:rPr>
        <w:t>.</w:t>
      </w:r>
    </w:p>
  </w:footnote>
  <w:footnote w:id="11">
    <w:p w14:paraId="73FDAEF0" w14:textId="77777777" w:rsidR="006E51DA" w:rsidRPr="00C20FBC" w:rsidRDefault="006E51DA" w:rsidP="0023412A">
      <w:pPr>
        <w:pStyle w:val="FootnoteText"/>
        <w:rPr>
          <w:lang w:val="pl-PL"/>
        </w:rPr>
      </w:pPr>
      <w:r w:rsidRPr="003B5043">
        <w:rPr>
          <w:rStyle w:val="FootnoteReference"/>
        </w:rPr>
        <w:footnoteRef/>
      </w:r>
      <w:r>
        <w:rPr>
          <w:lang w:val="pl-PL"/>
        </w:rPr>
        <w:tab/>
      </w:r>
      <w:hyperlink r:id="rId11" w:history="1">
        <w:r w:rsidRPr="00C20FBC">
          <w:rPr>
            <w:rStyle w:val="Hyperlink"/>
            <w:lang w:val="pl-PL"/>
          </w:rPr>
          <w:t>OJ L 201, 31.7.2002, p. 37–47</w:t>
        </w:r>
      </w:hyperlink>
    </w:p>
  </w:footnote>
  <w:footnote w:id="12">
    <w:p w14:paraId="662D1809" w14:textId="3041E730" w:rsidR="006E51DA" w:rsidRPr="00E056E6" w:rsidRDefault="006E51DA" w:rsidP="00867B92">
      <w:pPr>
        <w:pStyle w:val="FootnoteText"/>
        <w:tabs>
          <w:tab w:val="left" w:pos="720"/>
          <w:tab w:val="left" w:pos="1440"/>
          <w:tab w:val="left" w:pos="2160"/>
          <w:tab w:val="left" w:pos="2880"/>
          <w:tab w:val="left" w:pos="3600"/>
          <w:tab w:val="left" w:pos="4320"/>
          <w:tab w:val="left" w:pos="5040"/>
          <w:tab w:val="left" w:pos="5760"/>
          <w:tab w:val="left" w:pos="6480"/>
        </w:tabs>
        <w:ind w:left="0" w:firstLine="0"/>
      </w:pPr>
      <w:r w:rsidRPr="003B5043">
        <w:rPr>
          <w:rStyle w:val="FootnoteReference"/>
        </w:rPr>
        <w:footnoteRef/>
      </w:r>
      <w:r>
        <w:tab/>
      </w:r>
      <w:hyperlink r:id="rId12" w:history="1">
        <w:r w:rsidRPr="00DF39FF">
          <w:rPr>
            <w:rStyle w:val="Hyperlink"/>
          </w:rPr>
          <w:t>OJ L 303, 28.11.2018, p. 59–68</w:t>
        </w:r>
      </w:hyperlink>
      <w:r w:rsidRPr="00E056E6">
        <w:t xml:space="preserve">; SWIPO (2021), see </w:t>
      </w:r>
      <w:hyperlink r:id="rId13" w:history="1">
        <w:r w:rsidRPr="00E056E6">
          <w:rPr>
            <w:rStyle w:val="Hyperlink"/>
            <w:i/>
          </w:rPr>
          <w:t>website</w:t>
        </w:r>
      </w:hyperlink>
      <w:r w:rsidRPr="00E056E6">
        <w:t xml:space="preserve">. </w:t>
      </w:r>
      <w:r>
        <w:tab/>
      </w:r>
      <w:r>
        <w:tab/>
      </w:r>
    </w:p>
  </w:footnote>
  <w:footnote w:id="13">
    <w:p w14:paraId="6AFFEC01" w14:textId="77777777" w:rsidR="006E51DA" w:rsidRPr="00BC5B88" w:rsidRDefault="006E51DA" w:rsidP="0023412A">
      <w:pPr>
        <w:pStyle w:val="FootnoteText"/>
        <w:rPr>
          <w:lang w:val="pl-PL"/>
        </w:rPr>
      </w:pPr>
      <w:r w:rsidRPr="003B5043">
        <w:rPr>
          <w:rStyle w:val="FootnoteReference"/>
        </w:rPr>
        <w:footnoteRef/>
      </w:r>
      <w:r>
        <w:rPr>
          <w:lang w:val="pl-PL"/>
        </w:rPr>
        <w:tab/>
      </w:r>
      <w:hyperlink r:id="rId14" w:history="1">
        <w:r w:rsidRPr="00BC5B88">
          <w:rPr>
            <w:rStyle w:val="Hyperlink"/>
            <w:lang w:val="pl-PL"/>
          </w:rPr>
          <w:t>OJ L 95, 21.4.1993, p. 29–34</w:t>
        </w:r>
      </w:hyperlink>
      <w:r w:rsidRPr="00BC5B88">
        <w:rPr>
          <w:lang w:val="pl-PL"/>
        </w:rPr>
        <w:t>.</w:t>
      </w:r>
    </w:p>
  </w:footnote>
  <w:footnote w:id="14">
    <w:p w14:paraId="770DE14A" w14:textId="77777777" w:rsidR="006E51DA" w:rsidRPr="00E056E6" w:rsidRDefault="006E51DA" w:rsidP="0023412A">
      <w:pPr>
        <w:pStyle w:val="FootnoteText"/>
        <w:ind w:left="0" w:firstLine="0"/>
        <w:rPr>
          <w:lang w:val="pl-PL"/>
        </w:rPr>
      </w:pPr>
      <w:r w:rsidRPr="003B5043">
        <w:rPr>
          <w:rStyle w:val="FootnoteReference"/>
        </w:rPr>
        <w:footnoteRef/>
      </w:r>
      <w:r>
        <w:rPr>
          <w:lang w:val="pl-PL"/>
        </w:rPr>
        <w:tab/>
      </w:r>
      <w:hyperlink r:id="rId15" w:history="1">
        <w:r w:rsidRPr="005A6A3C">
          <w:rPr>
            <w:rStyle w:val="Hyperlink"/>
            <w:lang w:val="pl-PL"/>
          </w:rPr>
          <w:t>OJ L 335, 18.12.2010, p. 36–42</w:t>
        </w:r>
      </w:hyperlink>
      <w:r w:rsidRPr="00E056E6">
        <w:rPr>
          <w:lang w:val="pl-PL"/>
        </w:rPr>
        <w:t>.</w:t>
      </w:r>
    </w:p>
  </w:footnote>
  <w:footnote w:id="15">
    <w:p w14:paraId="6A88C8B2" w14:textId="77777777" w:rsidR="006E51DA" w:rsidRPr="00BC5B88" w:rsidRDefault="006E51DA" w:rsidP="0023412A">
      <w:pPr>
        <w:pStyle w:val="FootnoteText"/>
        <w:rPr>
          <w:lang w:val="pl-PL"/>
        </w:rPr>
      </w:pPr>
      <w:r w:rsidRPr="003B5043">
        <w:rPr>
          <w:rStyle w:val="FootnoteReference"/>
        </w:rPr>
        <w:footnoteRef/>
      </w:r>
      <w:r>
        <w:rPr>
          <w:lang w:val="pl-PL"/>
        </w:rPr>
        <w:tab/>
      </w:r>
      <w:hyperlink r:id="rId16" w:history="1">
        <w:r w:rsidRPr="00C20FBC">
          <w:rPr>
            <w:rStyle w:val="Hyperlink"/>
            <w:lang w:val="pl-PL"/>
          </w:rPr>
          <w:t>OJ L 77, 27.3.1996, p. 20–28</w:t>
        </w:r>
      </w:hyperlink>
      <w:r>
        <w:rPr>
          <w:rStyle w:val="Hyperlink"/>
          <w:lang w:val="pl-PL"/>
        </w:rPr>
        <w:t>.</w:t>
      </w:r>
    </w:p>
  </w:footnote>
  <w:footnote w:id="16">
    <w:p w14:paraId="1C883566" w14:textId="77777777" w:rsidR="006E51DA" w:rsidRPr="00E056E6" w:rsidRDefault="006E51DA" w:rsidP="0023412A">
      <w:pPr>
        <w:pStyle w:val="FootnoteText"/>
        <w:ind w:left="0" w:firstLine="0"/>
        <w:rPr>
          <w:lang w:val="pl-PL"/>
        </w:rPr>
      </w:pPr>
      <w:r w:rsidRPr="003B5043">
        <w:rPr>
          <w:rStyle w:val="FootnoteReference"/>
        </w:rPr>
        <w:footnoteRef/>
      </w:r>
      <w:r>
        <w:rPr>
          <w:lang w:val="pl-PL"/>
        </w:rPr>
        <w:tab/>
      </w:r>
      <w:hyperlink r:id="rId17" w:history="1">
        <w:r w:rsidRPr="005A6A3C">
          <w:rPr>
            <w:rStyle w:val="Hyperlink"/>
            <w:lang w:val="pl-PL"/>
          </w:rPr>
          <w:t>OJ L 186, 11.7.2019, p. 57–79</w:t>
        </w:r>
      </w:hyperlink>
      <w:r>
        <w:rPr>
          <w:lang w:val="pl-PL"/>
        </w:rPr>
        <w:t>.</w:t>
      </w:r>
    </w:p>
  </w:footnote>
  <w:footnote w:id="17">
    <w:p w14:paraId="307550A3" w14:textId="77777777" w:rsidR="006E51DA" w:rsidRPr="00BC5B88" w:rsidRDefault="006E51DA" w:rsidP="0023412A">
      <w:pPr>
        <w:pStyle w:val="FootnoteText"/>
        <w:ind w:left="0" w:firstLine="0"/>
        <w:rPr>
          <w:lang w:val="pl-PL"/>
        </w:rPr>
      </w:pPr>
      <w:r w:rsidRPr="003B5043">
        <w:rPr>
          <w:rStyle w:val="FootnoteReference"/>
        </w:rPr>
        <w:footnoteRef/>
      </w:r>
      <w:r>
        <w:rPr>
          <w:lang w:val="pl-PL"/>
        </w:rPr>
        <w:tab/>
      </w:r>
      <w:hyperlink r:id="rId18" w:history="1">
        <w:r w:rsidRPr="00BC5B88">
          <w:rPr>
            <w:rStyle w:val="Hyperlink"/>
            <w:lang w:val="pl-PL"/>
          </w:rPr>
          <w:t>OJ L 172, 26.6.2019, p. 56–83</w:t>
        </w:r>
      </w:hyperlink>
      <w:r w:rsidRPr="00BC5B88">
        <w:rPr>
          <w:lang w:val="pl-PL"/>
        </w:rPr>
        <w:t>.</w:t>
      </w:r>
    </w:p>
  </w:footnote>
  <w:footnote w:id="18">
    <w:p w14:paraId="1FA35B1A" w14:textId="77777777" w:rsidR="006E51DA" w:rsidRPr="00BC5B88" w:rsidRDefault="006E51DA" w:rsidP="0023412A">
      <w:pPr>
        <w:pStyle w:val="FootnoteText"/>
        <w:rPr>
          <w:lang w:val="pl-PL"/>
        </w:rPr>
      </w:pPr>
      <w:r w:rsidRPr="003B5043">
        <w:rPr>
          <w:rStyle w:val="FootnoteReference"/>
        </w:rPr>
        <w:footnoteRef/>
      </w:r>
      <w:r>
        <w:rPr>
          <w:lang w:val="pl-PL"/>
        </w:rPr>
        <w:tab/>
      </w:r>
      <w:hyperlink r:id="rId19" w:history="1">
        <w:r w:rsidRPr="00BC5B88">
          <w:rPr>
            <w:rStyle w:val="Hyperlink"/>
            <w:lang w:val="pl-PL"/>
          </w:rPr>
          <w:t>OJ L 318, 4.12.2015, p. 1-16</w:t>
        </w:r>
      </w:hyperlink>
      <w:r w:rsidRPr="00BC5B88">
        <w:rPr>
          <w:lang w:val="pl-PL"/>
        </w:rPr>
        <w:t>.</w:t>
      </w:r>
    </w:p>
  </w:footnote>
  <w:footnote w:id="19">
    <w:p w14:paraId="58EABEC6" w14:textId="77777777" w:rsidR="006E51DA" w:rsidRPr="00CA74B6" w:rsidRDefault="006E51DA" w:rsidP="0023412A">
      <w:pPr>
        <w:pStyle w:val="FootnoteText"/>
        <w:rPr>
          <w:lang w:val="pt-PT"/>
        </w:rPr>
      </w:pPr>
      <w:r w:rsidRPr="003B5043">
        <w:rPr>
          <w:rStyle w:val="FootnoteReference"/>
        </w:rPr>
        <w:footnoteRef/>
      </w:r>
      <w:r>
        <w:rPr>
          <w:lang w:val="pt-PT"/>
        </w:rPr>
        <w:tab/>
      </w:r>
      <w:hyperlink r:id="rId20" w:history="1">
        <w:r w:rsidRPr="00A85F65">
          <w:rPr>
            <w:rStyle w:val="Hyperlink"/>
            <w:lang w:val="pt-PT"/>
          </w:rPr>
          <w:t>COM/2020/767 final</w:t>
        </w:r>
      </w:hyperlink>
      <w:r>
        <w:rPr>
          <w:lang w:val="pt-PT"/>
        </w:rPr>
        <w:t>.</w:t>
      </w:r>
    </w:p>
  </w:footnote>
  <w:footnote w:id="20">
    <w:p w14:paraId="40A592F6" w14:textId="77777777" w:rsidR="006E51DA" w:rsidRPr="00E056E6" w:rsidRDefault="006E51DA" w:rsidP="0023412A">
      <w:pPr>
        <w:pStyle w:val="FootnoteText"/>
        <w:ind w:left="0" w:firstLine="0"/>
        <w:rPr>
          <w:lang w:val="pt-PT"/>
        </w:rPr>
      </w:pPr>
      <w:r w:rsidRPr="003B5043">
        <w:rPr>
          <w:rStyle w:val="FootnoteReference"/>
        </w:rPr>
        <w:footnoteRef/>
      </w:r>
      <w:r>
        <w:rPr>
          <w:lang w:val="pt-PT"/>
        </w:rPr>
        <w:tab/>
      </w:r>
      <w:hyperlink r:id="rId21" w:history="1">
        <w:r w:rsidRPr="00DF39FF">
          <w:rPr>
            <w:rStyle w:val="Hyperlink"/>
            <w:lang w:val="pt-PT"/>
          </w:rPr>
          <w:t>OJ L 186, 11.7.2019, p. 57–79</w:t>
        </w:r>
      </w:hyperlink>
      <w:r w:rsidRPr="00E056E6">
        <w:rPr>
          <w:lang w:val="pt-PT"/>
        </w:rPr>
        <w:t>.</w:t>
      </w:r>
    </w:p>
  </w:footnote>
  <w:footnote w:id="21">
    <w:p w14:paraId="25405FDD" w14:textId="77777777" w:rsidR="006E51DA" w:rsidRPr="00AA0C36" w:rsidRDefault="006E51DA" w:rsidP="009E26A7">
      <w:pPr>
        <w:pStyle w:val="FootnoteText"/>
      </w:pPr>
      <w:r w:rsidRPr="003B5043">
        <w:rPr>
          <w:rStyle w:val="FootnoteReference"/>
        </w:rPr>
        <w:footnoteRef/>
      </w:r>
      <w:r>
        <w:tab/>
      </w:r>
      <w:hyperlink r:id="rId22" w:history="1">
        <w:r w:rsidRPr="00CC1D9E">
          <w:rPr>
            <w:rStyle w:val="Hyperlink"/>
          </w:rPr>
          <w:t>COM/2020/98 final.</w:t>
        </w:r>
      </w:hyperlink>
    </w:p>
  </w:footnote>
  <w:footnote w:id="22">
    <w:p w14:paraId="2B03C9D3" w14:textId="77777777" w:rsidR="006E51DA" w:rsidRPr="009D68D8" w:rsidRDefault="006E51DA" w:rsidP="0023412A">
      <w:pPr>
        <w:pStyle w:val="FootnoteText"/>
        <w:rPr>
          <w:lang w:val="en-IE"/>
        </w:rPr>
      </w:pPr>
      <w:r w:rsidRPr="003B5043">
        <w:rPr>
          <w:rStyle w:val="FootnoteReference"/>
        </w:rPr>
        <w:footnoteRef/>
      </w:r>
      <w:r w:rsidRPr="009D68D8">
        <w:rPr>
          <w:lang w:val="en-IE"/>
        </w:rPr>
        <w:tab/>
      </w:r>
      <w:hyperlink r:id="rId23" w:history="1">
        <w:r w:rsidRPr="009D68D8">
          <w:rPr>
            <w:rStyle w:val="Hyperlink"/>
            <w:lang w:val="en-IE"/>
          </w:rPr>
          <w:t>GreenData4All initiative (REFIT) | Legislative train schedule | European Parliament (europa.eu)</w:t>
        </w:r>
      </w:hyperlink>
    </w:p>
  </w:footnote>
  <w:footnote w:id="23">
    <w:p w14:paraId="4B62710E" w14:textId="3E5CB725" w:rsidR="006E51DA" w:rsidRPr="001B1240" w:rsidRDefault="006E51DA" w:rsidP="0023412A">
      <w:pPr>
        <w:pStyle w:val="FootnoteText"/>
        <w:rPr>
          <w:lang w:val="fi-FI"/>
        </w:rPr>
      </w:pPr>
      <w:r w:rsidRPr="003B5043">
        <w:rPr>
          <w:rStyle w:val="FootnoteReference"/>
        </w:rPr>
        <w:footnoteRef/>
      </w:r>
      <w:r w:rsidRPr="001B1240">
        <w:rPr>
          <w:lang w:val="fi-FI"/>
        </w:rPr>
        <w:tab/>
      </w:r>
      <w:hyperlink r:id="rId24" w:history="1">
        <w:r w:rsidRPr="00867B92">
          <w:rPr>
            <w:rStyle w:val="Hyperlink"/>
            <w:lang w:val="fi-FI"/>
          </w:rPr>
          <w:t>OJ L 108, 25.4.2007, p. 1–14</w:t>
        </w:r>
      </w:hyperlink>
    </w:p>
  </w:footnote>
  <w:footnote w:id="24">
    <w:p w14:paraId="1A97F1EA" w14:textId="77777777" w:rsidR="006E51DA" w:rsidRPr="001B1240" w:rsidRDefault="006E51DA" w:rsidP="0023412A">
      <w:pPr>
        <w:pStyle w:val="FootnoteText"/>
        <w:rPr>
          <w:lang w:val="fi-FI"/>
        </w:rPr>
      </w:pPr>
      <w:r w:rsidRPr="003B5043">
        <w:rPr>
          <w:rStyle w:val="FootnoteReference"/>
        </w:rPr>
        <w:footnoteRef/>
      </w:r>
      <w:r w:rsidRPr="001B1240">
        <w:rPr>
          <w:lang w:val="fi-FI"/>
        </w:rPr>
        <w:tab/>
      </w:r>
      <w:hyperlink r:id="rId25" w:history="1">
        <w:r w:rsidRPr="001B1240">
          <w:rPr>
            <w:rStyle w:val="Hyperlink1"/>
            <w:lang w:val="fi-FI"/>
          </w:rPr>
          <w:t>OJ L 158, 14.6.2019, p. 54–124</w:t>
        </w:r>
      </w:hyperlink>
      <w:r w:rsidRPr="001B1240">
        <w:rPr>
          <w:rStyle w:val="Hyperlink1"/>
          <w:lang w:val="fi-FI"/>
        </w:rPr>
        <w:t>.</w:t>
      </w:r>
    </w:p>
  </w:footnote>
  <w:footnote w:id="25">
    <w:p w14:paraId="522870F4" w14:textId="77777777" w:rsidR="006E51DA" w:rsidRPr="001B1240" w:rsidRDefault="006E51DA" w:rsidP="0023412A">
      <w:pPr>
        <w:pStyle w:val="FootnoteText"/>
        <w:rPr>
          <w:lang w:val="fi-FI"/>
        </w:rPr>
      </w:pPr>
      <w:r w:rsidRPr="003B5043">
        <w:rPr>
          <w:rStyle w:val="FootnoteReference"/>
        </w:rPr>
        <w:footnoteRef/>
      </w:r>
      <w:r w:rsidRPr="001B1240">
        <w:rPr>
          <w:lang w:val="fi-FI"/>
        </w:rPr>
        <w:tab/>
      </w:r>
      <w:hyperlink r:id="rId26" w:history="1">
        <w:r w:rsidRPr="001B1240">
          <w:rPr>
            <w:rStyle w:val="Hyperlink1"/>
            <w:lang w:val="fi-FI"/>
          </w:rPr>
          <w:t>OJ L 158, 14.6.2019, p. 125–199</w:t>
        </w:r>
      </w:hyperlink>
      <w:r w:rsidRPr="001B1240">
        <w:rPr>
          <w:rStyle w:val="Hyperlink1"/>
          <w:lang w:val="fi-FI"/>
        </w:rPr>
        <w:t>.</w:t>
      </w:r>
    </w:p>
  </w:footnote>
  <w:footnote w:id="26">
    <w:p w14:paraId="74821D66" w14:textId="27C98AB0" w:rsidR="006E51DA" w:rsidRPr="001B1240" w:rsidRDefault="006E51DA" w:rsidP="0023412A">
      <w:pPr>
        <w:pStyle w:val="FootnoteText"/>
        <w:rPr>
          <w:lang w:val="fi-FI"/>
        </w:rPr>
      </w:pPr>
      <w:r w:rsidRPr="003B5043">
        <w:rPr>
          <w:rStyle w:val="FootnoteReference"/>
        </w:rPr>
        <w:footnoteRef/>
      </w:r>
      <w:r w:rsidRPr="001B1240">
        <w:rPr>
          <w:lang w:val="fi-FI"/>
        </w:rPr>
        <w:tab/>
      </w:r>
      <w:hyperlink r:id="rId27" w:history="1">
        <w:r w:rsidRPr="005E05C4">
          <w:rPr>
            <w:rStyle w:val="Hyperlink"/>
            <w:lang w:val="fi-FI"/>
          </w:rPr>
          <w:t>OJ L 337, 23.12.2015, p. 35–127</w:t>
        </w:r>
      </w:hyperlink>
      <w:r w:rsidRPr="005E05C4">
        <w:rPr>
          <w:lang w:val="fi-FI"/>
        </w:rPr>
        <w:t xml:space="preserve"> </w:t>
      </w:r>
      <w:hyperlink r:id="rId28" w:history="1">
        <w:r w:rsidRPr="001B1240">
          <w:rPr>
            <w:rStyle w:val="Hyperlink1"/>
            <w:lang w:val="fi-FI"/>
          </w:rPr>
          <w:t>OJ L 337, 23.12.2015, p. 35–127</w:t>
        </w:r>
      </w:hyperlink>
      <w:r w:rsidRPr="001B1240">
        <w:rPr>
          <w:lang w:val="fi-FI"/>
        </w:rPr>
        <w:t>.</w:t>
      </w:r>
    </w:p>
  </w:footnote>
  <w:footnote w:id="27">
    <w:p w14:paraId="3EAECD50" w14:textId="61C83F54" w:rsidR="006E51DA" w:rsidRPr="00E056E6" w:rsidRDefault="006E51DA" w:rsidP="0023412A">
      <w:pPr>
        <w:pStyle w:val="FootnoteText"/>
        <w:rPr>
          <w:lang w:val="pl-PL"/>
        </w:rPr>
      </w:pPr>
      <w:r w:rsidRPr="003B5043">
        <w:rPr>
          <w:rStyle w:val="FootnoteReference"/>
        </w:rPr>
        <w:footnoteRef/>
      </w:r>
      <w:r>
        <w:rPr>
          <w:lang w:val="pl-PL"/>
        </w:rPr>
        <w:tab/>
      </w:r>
      <w:hyperlink r:id="rId29" w:history="1">
        <w:r w:rsidRPr="005E05C4">
          <w:rPr>
            <w:rStyle w:val="Hyperlink"/>
            <w:lang w:val="fi-FI"/>
          </w:rPr>
          <w:t>OJ L 151, 14.6.2018, p. 1–218</w:t>
        </w:r>
      </w:hyperlink>
      <w:r>
        <w:rPr>
          <w:lang w:val="fi-FI"/>
        </w:rPr>
        <w:t xml:space="preserve">; </w:t>
      </w:r>
      <w:hyperlink r:id="rId30" w:history="1">
        <w:r w:rsidRPr="005E05C4">
          <w:rPr>
            <w:rStyle w:val="Hyperlink"/>
            <w:lang w:val="fi-FI"/>
          </w:rPr>
          <w:t>OJ L 60, 2.3.2013, p. 1–51</w:t>
        </w:r>
      </w:hyperlink>
      <w:r>
        <w:rPr>
          <w:rStyle w:val="Hyperlink1"/>
          <w:lang w:val="pl-PL"/>
        </w:rPr>
        <w:t>.</w:t>
      </w:r>
    </w:p>
  </w:footnote>
  <w:footnote w:id="28">
    <w:p w14:paraId="53074842" w14:textId="77777777" w:rsidR="006E51DA" w:rsidRPr="00A652F7" w:rsidRDefault="006E51DA" w:rsidP="0023412A">
      <w:pPr>
        <w:pStyle w:val="FootnoteText"/>
        <w:rPr>
          <w:lang w:val="pl-PL"/>
        </w:rPr>
      </w:pPr>
      <w:r w:rsidRPr="003B5043">
        <w:rPr>
          <w:rStyle w:val="FootnoteReference"/>
        </w:rPr>
        <w:footnoteRef/>
      </w:r>
      <w:r>
        <w:rPr>
          <w:lang w:val="pl-PL"/>
        </w:rPr>
        <w:tab/>
      </w:r>
      <w:hyperlink r:id="rId31" w:history="1">
        <w:r w:rsidRPr="00A652F7">
          <w:rPr>
            <w:rStyle w:val="Hyperlink"/>
            <w:lang w:val="pl-PL"/>
          </w:rPr>
          <w:t>OJ L 207, 06.08.2010, p. 1-13</w:t>
        </w:r>
      </w:hyperlink>
      <w:r w:rsidRPr="00A652F7">
        <w:rPr>
          <w:lang w:val="pl-PL"/>
        </w:rPr>
        <w:t>.</w:t>
      </w:r>
    </w:p>
  </w:footnote>
  <w:footnote w:id="29">
    <w:p w14:paraId="596BEFC8" w14:textId="77777777" w:rsidR="006E51DA" w:rsidRPr="00A652F7" w:rsidRDefault="006E51DA" w:rsidP="0023412A">
      <w:pPr>
        <w:pStyle w:val="FootnoteText"/>
        <w:rPr>
          <w:lang w:val="pl-PL"/>
        </w:rPr>
      </w:pPr>
      <w:r w:rsidRPr="003B5043">
        <w:rPr>
          <w:rStyle w:val="FootnoteReference"/>
        </w:rPr>
        <w:footnoteRef/>
      </w:r>
      <w:r>
        <w:rPr>
          <w:lang w:val="pl-PL"/>
        </w:rPr>
        <w:tab/>
      </w:r>
      <w:hyperlink r:id="rId32" w:history="1">
        <w:r w:rsidRPr="00A652F7">
          <w:rPr>
            <w:rStyle w:val="Hyperlink"/>
            <w:lang w:val="pl-PL"/>
          </w:rPr>
          <w:t>OJ L 96, 31.3.2004, p. 1–9</w:t>
        </w:r>
      </w:hyperlink>
      <w:r w:rsidRPr="00A652F7">
        <w:rPr>
          <w:lang w:val="pl-PL"/>
        </w:rPr>
        <w:t xml:space="preserve">; </w:t>
      </w:r>
      <w:hyperlink r:id="rId33" w:history="1">
        <w:r w:rsidRPr="00A652F7">
          <w:rPr>
            <w:rStyle w:val="Hyperlink"/>
            <w:lang w:val="pl-PL"/>
          </w:rPr>
          <w:t>OJ L 96, 31.3.2004, p. 10–19</w:t>
        </w:r>
      </w:hyperlink>
      <w:r w:rsidRPr="00A652F7">
        <w:rPr>
          <w:lang w:val="pl-PL"/>
        </w:rPr>
        <w:t xml:space="preserve">; </w:t>
      </w:r>
      <w:hyperlink r:id="rId34" w:history="1">
        <w:r w:rsidRPr="00A652F7">
          <w:rPr>
            <w:rStyle w:val="Hyperlink"/>
            <w:lang w:val="pl-PL"/>
          </w:rPr>
          <w:t>OJ L 96, 31.3.2004, p. 20–25</w:t>
        </w:r>
      </w:hyperlink>
      <w:r w:rsidRPr="00A652F7">
        <w:rPr>
          <w:lang w:val="pl-PL"/>
        </w:rPr>
        <w:t>.</w:t>
      </w:r>
    </w:p>
  </w:footnote>
  <w:footnote w:id="30">
    <w:p w14:paraId="1CDAA366" w14:textId="77777777" w:rsidR="006E51DA" w:rsidRPr="009D68D8" w:rsidRDefault="006E51DA" w:rsidP="0023412A">
      <w:pPr>
        <w:pStyle w:val="FootnoteText"/>
        <w:rPr>
          <w:lang w:val="pl-PL"/>
        </w:rPr>
      </w:pPr>
      <w:r w:rsidRPr="003B5043">
        <w:rPr>
          <w:rStyle w:val="FootnoteReference"/>
        </w:rPr>
        <w:footnoteRef/>
      </w:r>
      <w:r w:rsidRPr="009D68D8">
        <w:rPr>
          <w:lang w:val="pl-PL"/>
        </w:rPr>
        <w:tab/>
      </w:r>
      <w:hyperlink r:id="rId35" w:history="1">
        <w:r w:rsidRPr="009D68D8">
          <w:rPr>
            <w:rStyle w:val="Hyperlink"/>
            <w:lang w:val="pl-PL"/>
          </w:rPr>
          <w:t>OJ L 308, 29.10.2014, p. 82–87</w:t>
        </w:r>
      </w:hyperlink>
      <w:r w:rsidRPr="009D68D8">
        <w:rPr>
          <w:lang w:val="pl-PL"/>
        </w:rPr>
        <w:t>.</w:t>
      </w:r>
    </w:p>
  </w:footnote>
  <w:footnote w:id="31">
    <w:p w14:paraId="0ABB4E6F" w14:textId="77777777" w:rsidR="006E51DA" w:rsidRPr="009D68D8" w:rsidRDefault="006E51DA" w:rsidP="0023412A">
      <w:pPr>
        <w:pStyle w:val="FootnoteText"/>
        <w:rPr>
          <w:lang w:val="pl-PL"/>
        </w:rPr>
      </w:pPr>
      <w:r w:rsidRPr="003B5043">
        <w:rPr>
          <w:rStyle w:val="FootnoteReference"/>
        </w:rPr>
        <w:footnoteRef/>
      </w:r>
      <w:r w:rsidRPr="009D68D8">
        <w:rPr>
          <w:lang w:val="pl-PL"/>
        </w:rPr>
        <w:tab/>
      </w:r>
      <w:hyperlink r:id="rId36" w:history="1">
        <w:r w:rsidRPr="009D68D8">
          <w:rPr>
            <w:rStyle w:val="Hyperlink"/>
            <w:lang w:val="pl-PL"/>
          </w:rPr>
          <w:t>OJ L 96, 12.4.2016, p. 46–49</w:t>
        </w:r>
      </w:hyperlink>
      <w:r w:rsidRPr="009D68D8">
        <w:rPr>
          <w:lang w:val="pl-PL"/>
        </w:rPr>
        <w:t>.</w:t>
      </w:r>
    </w:p>
  </w:footnote>
  <w:footnote w:id="32">
    <w:p w14:paraId="4EBCABA6" w14:textId="77777777" w:rsidR="006E51DA" w:rsidRPr="00774B9A" w:rsidRDefault="006E51DA" w:rsidP="0023412A">
      <w:pPr>
        <w:spacing w:before="0" w:after="0"/>
        <w:rPr>
          <w:sz w:val="20"/>
          <w:szCs w:val="20"/>
          <w:lang w:val="pt-PT"/>
        </w:rPr>
      </w:pPr>
      <w:r w:rsidRPr="00891AC8">
        <w:rPr>
          <w:rStyle w:val="FootnoteReference"/>
        </w:rPr>
        <w:footnoteRef/>
      </w:r>
      <w:r>
        <w:rPr>
          <w:sz w:val="20"/>
          <w:szCs w:val="20"/>
          <w:lang w:val="pt-PT"/>
        </w:rPr>
        <w:tab/>
      </w:r>
      <w:hyperlink r:id="rId37" w:history="1">
        <w:r w:rsidRPr="003671B1">
          <w:rPr>
            <w:rStyle w:val="Hyperlink"/>
            <w:sz w:val="20"/>
            <w:szCs w:val="20"/>
            <w:lang w:val="pt-PT"/>
          </w:rPr>
          <w:t>COM/2021/559 final</w:t>
        </w:r>
      </w:hyperlink>
    </w:p>
  </w:footnote>
  <w:footnote w:id="33">
    <w:p w14:paraId="3711E967" w14:textId="77777777" w:rsidR="006E51DA" w:rsidRPr="00E056E6" w:rsidRDefault="006E51DA" w:rsidP="0023412A">
      <w:pPr>
        <w:pStyle w:val="FootnoteText"/>
        <w:ind w:left="0" w:firstLine="0"/>
        <w:rPr>
          <w:lang w:val="pt-PT"/>
        </w:rPr>
      </w:pPr>
      <w:r w:rsidRPr="003B5043">
        <w:rPr>
          <w:rStyle w:val="FootnoteReference"/>
        </w:rPr>
        <w:footnoteRef/>
      </w:r>
      <w:r>
        <w:rPr>
          <w:lang w:val="pt-PT"/>
        </w:rPr>
        <w:tab/>
      </w:r>
      <w:hyperlink r:id="rId38" w:history="1">
        <w:r w:rsidRPr="00610192">
          <w:rPr>
            <w:rStyle w:val="Hyperlink"/>
            <w:lang w:val="pt-PT"/>
          </w:rPr>
          <w:t>COM/2020/67 final</w:t>
        </w:r>
      </w:hyperlink>
      <w:r w:rsidRPr="00E056E6">
        <w:rPr>
          <w:lang w:val="pt-PT"/>
        </w:rPr>
        <w:t>.</w:t>
      </w:r>
    </w:p>
  </w:footnote>
  <w:footnote w:id="34">
    <w:p w14:paraId="4533F60D" w14:textId="77777777" w:rsidR="006E51DA" w:rsidRPr="00E056E6" w:rsidRDefault="006E51DA" w:rsidP="0023412A">
      <w:pPr>
        <w:pStyle w:val="FootnoteText"/>
        <w:ind w:left="0" w:firstLine="0"/>
        <w:rPr>
          <w:rFonts w:eastAsia="Calibri"/>
          <w:lang w:val="pt-PT"/>
        </w:rPr>
      </w:pPr>
      <w:r w:rsidRPr="003B5043">
        <w:rPr>
          <w:rStyle w:val="FootnoteReference"/>
        </w:rPr>
        <w:footnoteRef/>
      </w:r>
      <w:r>
        <w:rPr>
          <w:lang w:val="pt-PT"/>
        </w:rPr>
        <w:tab/>
      </w:r>
      <w:hyperlink r:id="rId39" w:history="1">
        <w:r w:rsidRPr="00610192">
          <w:rPr>
            <w:rStyle w:val="Hyperlink"/>
            <w:rFonts w:eastAsia="Times New Roman"/>
            <w:lang w:val="pt"/>
          </w:rPr>
          <w:t>OJ L 57, 18.2.2021, p. 17</w:t>
        </w:r>
      </w:hyperlink>
      <w:r>
        <w:rPr>
          <w:rFonts w:eastAsia="Times New Roman"/>
          <w:lang w:val="pt"/>
        </w:rPr>
        <w:t>.</w:t>
      </w:r>
    </w:p>
  </w:footnote>
  <w:footnote w:id="35">
    <w:p w14:paraId="75731E32" w14:textId="77777777" w:rsidR="006E51DA" w:rsidRDefault="006E51DA" w:rsidP="0023412A">
      <w:pPr>
        <w:pStyle w:val="FootnoteText"/>
      </w:pPr>
      <w:r w:rsidRPr="003B5043">
        <w:rPr>
          <w:rStyle w:val="FootnoteReference"/>
        </w:rPr>
        <w:footnoteRef/>
      </w:r>
      <w:r>
        <w:tab/>
      </w:r>
      <w:hyperlink r:id="rId40" w:history="1">
        <w:r w:rsidRPr="00D24243">
          <w:rPr>
            <w:rStyle w:val="Hyperlink"/>
          </w:rPr>
          <w:t>COM(2021) 400 final</w:t>
        </w:r>
      </w:hyperlink>
    </w:p>
  </w:footnote>
  <w:footnote w:id="36">
    <w:p w14:paraId="5C5A5D52" w14:textId="77777777" w:rsidR="006E51DA" w:rsidRDefault="006E51DA" w:rsidP="0023412A">
      <w:pPr>
        <w:pStyle w:val="FootnoteText"/>
      </w:pPr>
      <w:r w:rsidRPr="003B5043">
        <w:rPr>
          <w:rStyle w:val="FootnoteReference"/>
        </w:rPr>
        <w:footnoteRef/>
      </w:r>
      <w:r>
        <w:tab/>
      </w:r>
      <w:hyperlink r:id="rId41" w:history="1">
        <w:r w:rsidRPr="004E7040">
          <w:rPr>
            <w:rStyle w:val="Hyperlink"/>
          </w:rPr>
          <w:t>COM/2019/640 final</w:t>
        </w:r>
      </w:hyperlink>
    </w:p>
  </w:footnote>
  <w:footnote w:id="37">
    <w:p w14:paraId="11BB080E" w14:textId="77777777" w:rsidR="006E51DA" w:rsidRDefault="006E51DA" w:rsidP="0023412A">
      <w:pPr>
        <w:pStyle w:val="FootnoteText"/>
        <w:ind w:left="0" w:firstLine="0"/>
        <w:jc w:val="left"/>
      </w:pPr>
      <w:r w:rsidRPr="003B5043">
        <w:rPr>
          <w:rStyle w:val="FootnoteReference"/>
        </w:rPr>
        <w:footnoteRef/>
      </w:r>
      <w:r>
        <w:tab/>
      </w:r>
      <w:hyperlink r:id="rId42" w:tooltip="PDF document - Digitalisation for the Benefit of the Environment, 11 December 2020" w:history="1">
        <w:r w:rsidRPr="004E7040">
          <w:rPr>
            <w:rStyle w:val="Hyperlink"/>
          </w:rPr>
          <w:t>Digitalisation for the Benefit of the Environment, 11 December 2020</w:t>
        </w:r>
      </w:hyperlink>
      <w:r w:rsidRPr="004E7040">
        <w:t xml:space="preserve"> , </w:t>
      </w:r>
      <w:hyperlink r:id="rId43" w:tooltip="PDF document - Council conclusions on the new circular economy action plan, 11 December 2020" w:history="1">
        <w:r w:rsidRPr="004E7040">
          <w:rPr>
            <w:rStyle w:val="Hyperlink"/>
          </w:rPr>
          <w:t>Council conclusions on the new circular economy action plan, 11 December 2020</w:t>
        </w:r>
      </w:hyperlink>
      <w:r w:rsidRPr="004E7040">
        <w:t xml:space="preserve"> , </w:t>
      </w:r>
      <w:hyperlink r:id="rId44" w:tooltip="PDF document - Council conclusions on the biodiversity strategy for 2030, 16 October 2020" w:history="1">
        <w:r w:rsidRPr="004E7040">
          <w:rPr>
            <w:rStyle w:val="Hyperlink"/>
          </w:rPr>
          <w:t>Council conclusions on the biodiversity strategy for 2030, 16 October 2020</w:t>
        </w:r>
      </w:hyperlink>
      <w:r>
        <w:t xml:space="preserve"> , </w:t>
      </w:r>
      <w:hyperlink r:id="rId45" w:tooltip="PDF document - Conclusions on the improvement of air quality, 5 March 2020" w:history="1">
        <w:r w:rsidRPr="00BE7E34">
          <w:rPr>
            <w:rStyle w:val="Hyperlink"/>
          </w:rPr>
          <w:t>Conclusions on the improvement of air quality, 5 March 2020</w:t>
        </w:r>
      </w:hyperlink>
    </w:p>
  </w:footnote>
  <w:footnote w:id="38">
    <w:p w14:paraId="4F30BED4" w14:textId="77777777" w:rsidR="006E51DA" w:rsidRDefault="006E51DA" w:rsidP="0023412A">
      <w:pPr>
        <w:pStyle w:val="FootnoteText"/>
      </w:pPr>
      <w:r w:rsidRPr="003B5043">
        <w:rPr>
          <w:rStyle w:val="FootnoteReference"/>
        </w:rPr>
        <w:footnoteRef/>
      </w:r>
      <w:r>
        <w:tab/>
      </w:r>
      <w:hyperlink r:id="rId46" w:history="1">
        <w:r w:rsidRPr="00AE629A">
          <w:rPr>
            <w:rStyle w:val="Hyperlink"/>
          </w:rPr>
          <w:t>Climate and environmental emergency - Thursday, 28 November 2019</w:t>
        </w:r>
      </w:hyperlink>
      <w:r w:rsidRPr="00AE629A">
        <w:t xml:space="preserve"> (europa.eu)</w:t>
      </w:r>
    </w:p>
  </w:footnote>
  <w:footnote w:id="39">
    <w:p w14:paraId="1C159845" w14:textId="77777777" w:rsidR="006E51DA" w:rsidRPr="00E056E6" w:rsidRDefault="006E51DA" w:rsidP="0023412A">
      <w:pPr>
        <w:pStyle w:val="FootnoteText"/>
        <w:ind w:left="0" w:firstLine="0"/>
        <w:rPr>
          <w:lang w:val="pt-PT"/>
        </w:rPr>
      </w:pPr>
      <w:r w:rsidRPr="003B5043">
        <w:rPr>
          <w:rStyle w:val="FootnoteReference"/>
        </w:rPr>
        <w:footnoteRef/>
      </w:r>
      <w:r>
        <w:rPr>
          <w:lang w:val="pt-PT"/>
        </w:rPr>
        <w:tab/>
      </w:r>
      <w:hyperlink r:id="rId47" w:history="1">
        <w:r w:rsidRPr="00C06187">
          <w:rPr>
            <w:rStyle w:val="Hyperlink"/>
            <w:lang w:val="pt-PT"/>
          </w:rPr>
          <w:t>COM/2021/350 final</w:t>
        </w:r>
      </w:hyperlink>
      <w:r w:rsidRPr="00E056E6">
        <w:rPr>
          <w:lang w:val="pt-PT"/>
        </w:rPr>
        <w:t>.</w:t>
      </w:r>
    </w:p>
  </w:footnote>
  <w:footnote w:id="40">
    <w:p w14:paraId="037F4CF6" w14:textId="77777777" w:rsidR="006E51DA" w:rsidRPr="00F3634E" w:rsidRDefault="006E51DA" w:rsidP="0023412A">
      <w:pPr>
        <w:pStyle w:val="FootnoteText"/>
        <w:ind w:left="0" w:firstLine="0"/>
        <w:rPr>
          <w:lang w:val="pt-PT"/>
        </w:rPr>
      </w:pPr>
      <w:r w:rsidRPr="003B5043">
        <w:rPr>
          <w:rStyle w:val="FootnoteReference"/>
        </w:rPr>
        <w:footnoteRef/>
      </w:r>
      <w:r>
        <w:rPr>
          <w:lang w:val="pt-PT"/>
        </w:rPr>
        <w:tab/>
      </w:r>
      <w:hyperlink r:id="rId48" w:history="1">
        <w:r w:rsidRPr="00FA48D3">
          <w:rPr>
            <w:rStyle w:val="Hyperlink"/>
            <w:lang w:val="pt-PT"/>
          </w:rPr>
          <w:t>COM/2020/66 final</w:t>
        </w:r>
      </w:hyperlink>
      <w:r w:rsidRPr="00F3634E">
        <w:rPr>
          <w:lang w:val="pt-PT"/>
        </w:rPr>
        <w:t>.</w:t>
      </w:r>
    </w:p>
  </w:footnote>
  <w:footnote w:id="41">
    <w:p w14:paraId="45B82E31" w14:textId="77777777" w:rsidR="006E51DA" w:rsidRPr="00F3634E" w:rsidRDefault="006E51DA" w:rsidP="0023412A">
      <w:pPr>
        <w:pStyle w:val="FootnoteText"/>
        <w:ind w:left="0" w:firstLine="0"/>
        <w:rPr>
          <w:b/>
          <w:lang w:val="pt-PT"/>
        </w:rPr>
      </w:pPr>
      <w:r w:rsidRPr="003B5043">
        <w:rPr>
          <w:rStyle w:val="FootnoteReference"/>
        </w:rPr>
        <w:footnoteRef/>
      </w:r>
      <w:r>
        <w:rPr>
          <w:lang w:val="pt-PT"/>
        </w:rPr>
        <w:tab/>
      </w:r>
      <w:hyperlink r:id="rId49" w:history="1">
        <w:r w:rsidRPr="00FA48D3">
          <w:rPr>
            <w:rStyle w:val="Hyperlink"/>
            <w:lang w:val="pt-PT"/>
          </w:rPr>
          <w:t>COM</w:t>
        </w:r>
        <w:r w:rsidRPr="00F3634E">
          <w:rPr>
            <w:rStyle w:val="Hyperlink"/>
            <w:rFonts w:eastAsia="Arial Unicode MS"/>
            <w:lang w:val="pt-PT"/>
          </w:rPr>
          <w:t>/</w:t>
        </w:r>
        <w:r w:rsidRPr="00FA48D3">
          <w:rPr>
            <w:rStyle w:val="Hyperlink"/>
            <w:lang w:val="pt-PT"/>
          </w:rPr>
          <w:t>2020</w:t>
        </w:r>
        <w:r w:rsidRPr="00F3634E">
          <w:rPr>
            <w:rStyle w:val="Hyperlink"/>
            <w:rFonts w:eastAsia="Arial Unicode MS"/>
            <w:lang w:val="pt-PT"/>
          </w:rPr>
          <w:t>/</w:t>
        </w:r>
        <w:r w:rsidRPr="00FA48D3">
          <w:rPr>
            <w:rStyle w:val="Hyperlink"/>
            <w:lang w:val="pt-PT"/>
          </w:rPr>
          <w:t>760 final</w:t>
        </w:r>
      </w:hyperlink>
      <w:r w:rsidRPr="00F3634E">
        <w:rPr>
          <w:rFonts w:eastAsia="Arial Unicode MS"/>
          <w:lang w:val="pt-PT"/>
        </w:rPr>
        <w:t>.</w:t>
      </w:r>
    </w:p>
  </w:footnote>
  <w:footnote w:id="42">
    <w:p w14:paraId="2268EE3F" w14:textId="59657910" w:rsidR="006E51DA" w:rsidRDefault="006E51DA" w:rsidP="009E26A7">
      <w:pPr>
        <w:pStyle w:val="FootnoteText"/>
      </w:pPr>
      <w:r w:rsidRPr="00001E29">
        <w:rPr>
          <w:rStyle w:val="FootnoteReference"/>
        </w:rPr>
        <w:footnoteRef/>
      </w:r>
      <w:r w:rsidR="00A93F14">
        <w:tab/>
      </w:r>
      <w:hyperlink r:id="rId50" w:history="1">
        <w:r w:rsidRPr="004E48FD">
          <w:rPr>
            <w:rStyle w:val="Hyperlink"/>
          </w:rPr>
          <w:t>COM/2021/102 final</w:t>
        </w:r>
      </w:hyperlink>
      <w:r>
        <w:t>.</w:t>
      </w:r>
    </w:p>
  </w:footnote>
  <w:footnote w:id="43">
    <w:p w14:paraId="45D0E9D0" w14:textId="33A1A1B3" w:rsidR="006E51DA" w:rsidRPr="008673B1" w:rsidRDefault="006E51DA" w:rsidP="0023412A">
      <w:pPr>
        <w:pStyle w:val="FootnoteText"/>
        <w:rPr>
          <w:lang w:val="en-IE"/>
        </w:rPr>
      </w:pPr>
      <w:r w:rsidRPr="00C56D22">
        <w:rPr>
          <w:rStyle w:val="FootnoteReference"/>
        </w:rPr>
        <w:footnoteRef/>
      </w:r>
      <w:r>
        <w:tab/>
      </w:r>
      <w:r w:rsidRPr="004F61A4">
        <w:t>OJ L 151, 7.6.2019</w:t>
      </w:r>
    </w:p>
  </w:footnote>
  <w:footnote w:id="44">
    <w:p w14:paraId="7AA6AC7F" w14:textId="77777777" w:rsidR="006E51DA" w:rsidRDefault="006E51DA" w:rsidP="0023412A">
      <w:pPr>
        <w:pStyle w:val="FootnoteText"/>
        <w:ind w:left="0" w:firstLine="0"/>
      </w:pPr>
      <w:r w:rsidRPr="00A23CE2">
        <w:rPr>
          <w:rStyle w:val="FootnoteReference"/>
        </w:rPr>
        <w:footnoteRef/>
      </w:r>
      <w:r>
        <w:tab/>
      </w:r>
      <w:hyperlink r:id="rId51" w:history="1">
        <w:r w:rsidRPr="00BC5B88">
          <w:rPr>
            <w:rStyle w:val="Hyperlink"/>
            <w:shd w:val="clear" w:color="auto" w:fill="FFFFFF"/>
            <w:lang w:val="en-IE"/>
          </w:rPr>
          <w:t>COM/2017/09 final</w:t>
        </w:r>
      </w:hyperlink>
      <w:r w:rsidRPr="00BC5B88">
        <w:rPr>
          <w:lang w:val="en-IE"/>
        </w:rPr>
        <w:t xml:space="preserve">; SWD(2018) 146 final, section 5.4.2; </w:t>
      </w:r>
      <w:r w:rsidRPr="002821A7">
        <w:rPr>
          <w:lang w:val="en-IE" w:eastAsia="en-GB"/>
        </w:rPr>
        <w:t>Study to Support an Impact</w:t>
      </w:r>
      <w:r>
        <w:rPr>
          <w:lang w:val="en-IE" w:eastAsia="en-GB"/>
        </w:rPr>
        <w:t xml:space="preserve"> </w:t>
      </w:r>
      <w:r w:rsidRPr="002821A7">
        <w:rPr>
          <w:lang w:val="en-IE" w:eastAsia="en-GB"/>
        </w:rPr>
        <w:t>Assessment for the Review of the Database Directive</w:t>
      </w:r>
      <w:r>
        <w:rPr>
          <w:lang w:val="en-IE" w:eastAsia="en-GB"/>
        </w:rPr>
        <w:t>.</w:t>
      </w:r>
    </w:p>
  </w:footnote>
  <w:footnote w:id="45">
    <w:p w14:paraId="67347F77" w14:textId="77777777" w:rsidR="006E51DA" w:rsidRPr="00FA48D3" w:rsidRDefault="006E51DA" w:rsidP="0023412A">
      <w:pPr>
        <w:pStyle w:val="FootnoteText"/>
        <w:rPr>
          <w:lang w:val="pt-PT"/>
        </w:rPr>
      </w:pPr>
      <w:r w:rsidRPr="003B5043">
        <w:rPr>
          <w:rStyle w:val="FootnoteReference"/>
        </w:rPr>
        <w:footnoteRef/>
      </w:r>
      <w:r>
        <w:rPr>
          <w:lang w:val="pt-PT"/>
        </w:rPr>
        <w:tab/>
      </w:r>
      <w:hyperlink r:id="rId52" w:history="1">
        <w:r w:rsidRPr="00FA48D3">
          <w:rPr>
            <w:rStyle w:val="Hyperlink"/>
            <w:shd w:val="clear" w:color="auto" w:fill="FFFFFF"/>
            <w:lang w:val="pt-PT"/>
          </w:rPr>
          <w:t>COM/2017/09 final</w:t>
        </w:r>
      </w:hyperlink>
      <w:r w:rsidRPr="00FA48D3">
        <w:rPr>
          <w:lang w:val="pt-PT"/>
        </w:rPr>
        <w:t xml:space="preserve">; </w:t>
      </w:r>
      <w:hyperlink r:id="rId53" w:history="1">
        <w:r w:rsidRPr="00FA48D3">
          <w:rPr>
            <w:rStyle w:val="Hyperlink"/>
            <w:lang w:val="pt-PT"/>
          </w:rPr>
          <w:t>COM</w:t>
        </w:r>
        <w:r w:rsidRPr="005B7A63">
          <w:rPr>
            <w:rStyle w:val="Hyperlink"/>
            <w:lang w:val="pt-PT"/>
          </w:rPr>
          <w:t>/</w:t>
        </w:r>
        <w:r w:rsidRPr="00FA48D3">
          <w:rPr>
            <w:rStyle w:val="Hyperlink"/>
            <w:lang w:val="pt-PT"/>
          </w:rPr>
          <w:t>2020</w:t>
        </w:r>
        <w:r w:rsidRPr="005B7A63">
          <w:rPr>
            <w:rStyle w:val="Hyperlink"/>
            <w:lang w:val="pt-PT"/>
          </w:rPr>
          <w:t>/</w:t>
        </w:r>
        <w:r w:rsidRPr="00FA48D3">
          <w:rPr>
            <w:rStyle w:val="Hyperlink"/>
            <w:lang w:val="pt-PT"/>
          </w:rPr>
          <w:t>66 final</w:t>
        </w:r>
      </w:hyperlink>
      <w:r w:rsidRPr="00FA48D3">
        <w:rPr>
          <w:lang w:val="pt-PT"/>
        </w:rPr>
        <w:t xml:space="preserve">; </w:t>
      </w:r>
      <w:hyperlink r:id="rId54" w:history="1">
        <w:r w:rsidRPr="00CA74B6">
          <w:rPr>
            <w:rStyle w:val="Hyperlink"/>
            <w:lang w:val="pt-PT"/>
          </w:rPr>
          <w:t>COM</w:t>
        </w:r>
        <w:r>
          <w:rPr>
            <w:rStyle w:val="Hyperlink"/>
            <w:lang w:val="pt-PT"/>
          </w:rPr>
          <w:t>/</w:t>
        </w:r>
        <w:r w:rsidRPr="00CA74B6">
          <w:rPr>
            <w:rStyle w:val="Hyperlink"/>
            <w:lang w:val="pt-PT"/>
          </w:rPr>
          <w:t>2020</w:t>
        </w:r>
        <w:r>
          <w:rPr>
            <w:rStyle w:val="Hyperlink"/>
            <w:lang w:val="pt-PT"/>
          </w:rPr>
          <w:t>/</w:t>
        </w:r>
        <w:r w:rsidRPr="00CA74B6">
          <w:rPr>
            <w:rStyle w:val="Hyperlink"/>
            <w:lang w:val="pt-PT"/>
          </w:rPr>
          <w:t>760 final</w:t>
        </w:r>
      </w:hyperlink>
      <w:r w:rsidRPr="00FA48D3">
        <w:rPr>
          <w:lang w:val="pt-PT"/>
        </w:rPr>
        <w:t>.</w:t>
      </w:r>
    </w:p>
  </w:footnote>
  <w:footnote w:id="46">
    <w:p w14:paraId="640AF7D5" w14:textId="2A9A3C27" w:rsidR="006E51DA" w:rsidRPr="00E056E6" w:rsidRDefault="006E51DA" w:rsidP="0023412A">
      <w:pPr>
        <w:pStyle w:val="FootnoteText"/>
        <w:ind w:left="0" w:firstLine="0"/>
      </w:pPr>
      <w:r w:rsidRPr="003B5043">
        <w:rPr>
          <w:rStyle w:val="FootnoteReference"/>
        </w:rPr>
        <w:footnoteRef/>
      </w:r>
      <w:r>
        <w:tab/>
      </w:r>
      <w:r w:rsidRPr="00E056E6">
        <w:t>Fixtures Marketing Ltd v. Oy Veikkaus Ab (C-46/02, 9/11/2004), Fixtures Marketing Ltd v. Svenska Spel Ab (C-338/02, 9/11/2004) British Horseracing Board Ltd v. William Hill (C-203/02, 9/11/2004) Fixtures Marketing Ltd v. OPAP (C-444/02, 9/11/2004)</w:t>
      </w:r>
      <w:r>
        <w:t>.</w:t>
      </w:r>
    </w:p>
  </w:footnote>
  <w:footnote w:id="47">
    <w:p w14:paraId="13D28D09" w14:textId="77777777" w:rsidR="006E51DA" w:rsidRPr="005A2852" w:rsidRDefault="006E51DA" w:rsidP="0023412A">
      <w:pPr>
        <w:pStyle w:val="FootnoteText"/>
        <w:rPr>
          <w:lang w:val="en-IE"/>
        </w:rPr>
      </w:pPr>
      <w:r w:rsidRPr="003B5043">
        <w:rPr>
          <w:rStyle w:val="FootnoteReference"/>
        </w:rPr>
        <w:footnoteRef/>
      </w:r>
      <w:r>
        <w:rPr>
          <w:lang w:val="en-IE"/>
        </w:rPr>
        <w:tab/>
      </w:r>
      <w:hyperlink r:id="rId55" w:history="1">
        <w:r w:rsidRPr="005A2852">
          <w:rPr>
            <w:rStyle w:val="Hyperlink"/>
            <w:shd w:val="clear" w:color="auto" w:fill="FFFFFF"/>
            <w:lang w:val="en-IE"/>
          </w:rPr>
          <w:t>COM/2017/09 final</w:t>
        </w:r>
      </w:hyperlink>
      <w:r w:rsidRPr="005A2852">
        <w:rPr>
          <w:shd w:val="clear" w:color="auto" w:fill="FFFFFF"/>
          <w:lang w:val="en-IE"/>
        </w:rPr>
        <w:t>.</w:t>
      </w:r>
    </w:p>
  </w:footnote>
  <w:footnote w:id="48">
    <w:p w14:paraId="0F793FE7" w14:textId="77777777" w:rsidR="006E51DA" w:rsidRPr="00E056E6" w:rsidRDefault="006E51DA" w:rsidP="0023412A">
      <w:pPr>
        <w:pStyle w:val="FootnoteText"/>
      </w:pPr>
      <w:r w:rsidRPr="003B5043">
        <w:rPr>
          <w:rStyle w:val="FootnoteReference"/>
        </w:rPr>
        <w:footnoteRef/>
      </w:r>
      <w:r>
        <w:rPr>
          <w:lang w:val="en-IE"/>
        </w:rPr>
        <w:tab/>
      </w:r>
      <w:r w:rsidRPr="005A2852">
        <w:rPr>
          <w:lang w:val="en-IE"/>
        </w:rPr>
        <w:t xml:space="preserve">European Commission (2020). </w:t>
      </w:r>
      <w:hyperlink r:id="rId56" w:history="1">
        <w:r w:rsidRPr="00E056E6">
          <w:rPr>
            <w:rStyle w:val="Hyperlink"/>
            <w:i/>
          </w:rPr>
          <w:t>Outcome of the online consultation on the European strategy for data</w:t>
        </w:r>
      </w:hyperlink>
      <w:r w:rsidRPr="00E056E6">
        <w:rPr>
          <w:rStyle w:val="Hyperlink"/>
          <w:i/>
        </w:rPr>
        <w:t>.</w:t>
      </w:r>
    </w:p>
  </w:footnote>
  <w:footnote w:id="49">
    <w:p w14:paraId="39954C26" w14:textId="77777777" w:rsidR="006E51DA" w:rsidRPr="00E056E6" w:rsidRDefault="006E51DA" w:rsidP="0023412A">
      <w:pPr>
        <w:pStyle w:val="FootnoteText"/>
      </w:pPr>
      <w:r w:rsidRPr="003B5043">
        <w:rPr>
          <w:rStyle w:val="FootnoteReference"/>
        </w:rPr>
        <w:footnoteRef/>
      </w:r>
      <w:r>
        <w:tab/>
      </w:r>
      <w:r w:rsidRPr="00E056E6">
        <w:t xml:space="preserve">European Commission </w:t>
      </w:r>
      <w:hyperlink r:id="rId57">
        <w:r w:rsidRPr="00E056E6">
          <w:rPr>
            <w:rStyle w:val="Hyperlink"/>
            <w:i/>
            <w:iCs/>
          </w:rPr>
          <w:t>webpage</w:t>
        </w:r>
      </w:hyperlink>
      <w:r w:rsidRPr="00E056E6">
        <w:t xml:space="preserve">: </w:t>
      </w:r>
      <w:r w:rsidRPr="00E056E6">
        <w:rPr>
          <w:i/>
          <w:iCs/>
        </w:rPr>
        <w:t>Have your Say - Data Act &amp; amended rules on the legal protection of databases.</w:t>
      </w:r>
    </w:p>
  </w:footnote>
  <w:footnote w:id="50">
    <w:p w14:paraId="2F970F5E" w14:textId="77777777" w:rsidR="006E51DA" w:rsidRPr="000C4966" w:rsidRDefault="006E51DA" w:rsidP="0023412A">
      <w:pPr>
        <w:pStyle w:val="FootnoteText"/>
      </w:pPr>
      <w:r w:rsidRPr="003B5043">
        <w:rPr>
          <w:rStyle w:val="FootnoteReference"/>
        </w:rPr>
        <w:footnoteRef/>
      </w:r>
      <w:r>
        <w:tab/>
        <w:t xml:space="preserve">European Commission (2021). </w:t>
      </w:r>
      <w:hyperlink r:id="rId58" w:history="1">
        <w:r w:rsidRPr="00B60167">
          <w:rPr>
            <w:rStyle w:val="Hyperlink"/>
            <w:i/>
          </w:rPr>
          <w:t>Public consultation on the Data Act: summary report</w:t>
        </w:r>
      </w:hyperlink>
      <w:r>
        <w:t>.</w:t>
      </w:r>
    </w:p>
  </w:footnote>
  <w:footnote w:id="51">
    <w:p w14:paraId="51356084" w14:textId="77777777" w:rsidR="006E51DA" w:rsidRPr="007F0EFB" w:rsidRDefault="006E51DA" w:rsidP="0023412A">
      <w:pPr>
        <w:pStyle w:val="FootnoteText"/>
      </w:pPr>
      <w:r w:rsidRPr="003B5043">
        <w:rPr>
          <w:rStyle w:val="FootnoteReference"/>
        </w:rPr>
        <w:footnoteRef/>
      </w:r>
      <w:r>
        <w:tab/>
      </w:r>
      <w:hyperlink r:id="rId59" w:history="1">
        <w:r w:rsidRPr="00C26246">
          <w:rPr>
            <w:rStyle w:val="Hyperlink"/>
          </w:rPr>
          <w:t>COM(2018)232 final</w:t>
        </w:r>
      </w:hyperlink>
      <w:r>
        <w:t xml:space="preserve">; </w:t>
      </w:r>
      <w:hyperlink r:id="rId60" w:history="1">
        <w:r w:rsidRPr="00C26246">
          <w:rPr>
            <w:rStyle w:val="Hyperlink"/>
          </w:rPr>
          <w:t>SWD(2018)125 final</w:t>
        </w:r>
      </w:hyperlink>
      <w:r w:rsidRPr="00840CAD">
        <w:t xml:space="preserve"> of 25.4.2018</w:t>
      </w:r>
      <w:r>
        <w:t xml:space="preserve">. </w:t>
      </w:r>
    </w:p>
  </w:footnote>
  <w:footnote w:id="52">
    <w:p w14:paraId="07C479DA" w14:textId="3A1E1BA0" w:rsidR="006E51DA" w:rsidRPr="00B60167" w:rsidRDefault="006E51DA" w:rsidP="0023412A">
      <w:pPr>
        <w:pStyle w:val="FootnoteText"/>
        <w:ind w:left="0" w:hanging="11"/>
        <w:rPr>
          <w:lang w:val="en-IE"/>
        </w:rPr>
      </w:pPr>
      <w:r w:rsidRPr="003B5043">
        <w:rPr>
          <w:rStyle w:val="FootnoteReference"/>
        </w:rPr>
        <w:footnoteRef/>
      </w:r>
      <w:r>
        <w:tab/>
      </w:r>
      <w:hyperlink r:id="rId61" w:history="1">
        <w:r w:rsidRPr="00C26246">
          <w:rPr>
            <w:rStyle w:val="Hyperlink"/>
          </w:rPr>
          <w:t>EDPS Opinion 3/2020 on the European Strategy for Data</w:t>
        </w:r>
      </w:hyperlink>
      <w:r>
        <w:t>.</w:t>
      </w:r>
      <w:r w:rsidRPr="00B60167">
        <w:rPr>
          <w:lang w:val="en-IE"/>
        </w:rPr>
        <w:t xml:space="preserve"> </w:t>
      </w:r>
    </w:p>
  </w:footnote>
  <w:footnote w:id="53">
    <w:p w14:paraId="17836821" w14:textId="77777777" w:rsidR="006E51DA" w:rsidRPr="00E056E6" w:rsidRDefault="006E51DA" w:rsidP="0023412A">
      <w:pPr>
        <w:pStyle w:val="FootnoteText"/>
        <w:ind w:left="0" w:firstLine="0"/>
        <w:rPr>
          <w:lang w:val="en-US"/>
        </w:rPr>
      </w:pPr>
      <w:r w:rsidRPr="003B5043">
        <w:rPr>
          <w:rStyle w:val="FootnoteReference"/>
        </w:rPr>
        <w:footnoteRef/>
      </w:r>
      <w:r>
        <w:tab/>
      </w:r>
      <w:r w:rsidRPr="00E056E6">
        <w:rPr>
          <w:b/>
        </w:rPr>
        <w:t>[</w:t>
      </w:r>
      <w:r w:rsidRPr="00E056E6">
        <w:rPr>
          <w:b/>
          <w:lang w:val="en-US"/>
        </w:rPr>
        <w:t>Links to final document and to the summary sheet to be added.]</w:t>
      </w:r>
    </w:p>
  </w:footnote>
  <w:footnote w:id="54">
    <w:p w14:paraId="273E7BDA" w14:textId="599BF30B" w:rsidR="006E51DA" w:rsidRDefault="006E51DA" w:rsidP="0023412A">
      <w:pPr>
        <w:pStyle w:val="FootnoteText"/>
      </w:pPr>
      <w:r w:rsidRPr="00891AC8">
        <w:rPr>
          <w:rStyle w:val="FootnoteReference"/>
        </w:rPr>
        <w:footnoteRef/>
      </w:r>
      <w:r>
        <w:tab/>
      </w:r>
      <w:hyperlink r:id="rId62" w:history="1">
        <w:r w:rsidRPr="008A28D5">
          <w:rPr>
            <w:rStyle w:val="Hyperlink"/>
          </w:rPr>
          <w:t>SWD(2021) 305 final</w:t>
        </w:r>
      </w:hyperlink>
      <w:r>
        <w:t>.</w:t>
      </w:r>
    </w:p>
  </w:footnote>
  <w:footnote w:id="55">
    <w:p w14:paraId="23222713" w14:textId="77777777" w:rsidR="006E51DA" w:rsidRPr="00225301" w:rsidRDefault="006E51DA" w:rsidP="0023412A">
      <w:pPr>
        <w:pStyle w:val="FootnoteText"/>
        <w:ind w:left="0" w:firstLine="0"/>
        <w:rPr>
          <w:lang w:val="en-IE"/>
        </w:rPr>
      </w:pPr>
      <w:r w:rsidRPr="003B5043">
        <w:rPr>
          <w:rStyle w:val="FootnoteReference"/>
        </w:rPr>
        <w:footnoteRef/>
      </w:r>
      <w:r>
        <w:tab/>
      </w:r>
      <w:r w:rsidRPr="00225301">
        <w:rPr>
          <w:lang w:val="en-IE"/>
        </w:rPr>
        <w:t>For more explanations on the unfairness test and the principle of contractual freedom see Impact Assessment, Annex 11.</w:t>
      </w:r>
    </w:p>
  </w:footnote>
  <w:footnote w:id="56">
    <w:p w14:paraId="7041C550" w14:textId="77777777" w:rsidR="006E51DA" w:rsidRPr="00987C1F" w:rsidRDefault="006E51DA" w:rsidP="0023412A">
      <w:pPr>
        <w:pStyle w:val="FootnoteText"/>
        <w:ind w:left="0" w:firstLine="0"/>
        <w:rPr>
          <w:lang w:val="en-IE"/>
        </w:rPr>
      </w:pPr>
      <w:r w:rsidRPr="003B5043">
        <w:rPr>
          <w:rStyle w:val="FootnoteReference"/>
        </w:rPr>
        <w:footnoteRef/>
      </w:r>
      <w:r>
        <w:tab/>
      </w:r>
      <w:r w:rsidRPr="00987C1F">
        <w:rPr>
          <w:lang w:val="en-IE"/>
        </w:rPr>
        <w:t>For more explanati</w:t>
      </w:r>
      <w:r w:rsidRPr="00346E4B">
        <w:rPr>
          <w:lang w:val="en-IE"/>
        </w:rPr>
        <w:t>ons on the unfairness test,</w:t>
      </w:r>
      <w:r w:rsidRPr="00987C1F">
        <w:rPr>
          <w:lang w:val="en-IE"/>
        </w:rPr>
        <w:t xml:space="preserve"> including on the functioning in practice, see Annex 11 of the Impact Assessment</w:t>
      </w:r>
      <w:r>
        <w:rPr>
          <w:lang w:val="en-IE"/>
        </w:rPr>
        <w:t>.</w:t>
      </w:r>
    </w:p>
  </w:footnote>
  <w:footnote w:id="57">
    <w:p w14:paraId="40C4281F" w14:textId="68280929" w:rsidR="006E51DA" w:rsidRDefault="006E51DA" w:rsidP="00A05AF1">
      <w:pPr>
        <w:pStyle w:val="FootnoteText"/>
      </w:pPr>
      <w:r>
        <w:rPr>
          <w:rStyle w:val="FootnoteReference"/>
        </w:rPr>
        <w:footnoteRef/>
      </w:r>
      <w:r>
        <w:tab/>
        <w:t>OJ C , , p. .</w:t>
      </w:r>
    </w:p>
  </w:footnote>
  <w:footnote w:id="58">
    <w:p w14:paraId="4043F50B" w14:textId="045C27F9" w:rsidR="006E51DA" w:rsidRDefault="006E51DA" w:rsidP="00A05AF1">
      <w:pPr>
        <w:pStyle w:val="FootnoteText"/>
      </w:pPr>
      <w:r>
        <w:rPr>
          <w:rStyle w:val="FootnoteReference"/>
        </w:rPr>
        <w:footnoteRef/>
      </w:r>
      <w:r>
        <w:tab/>
        <w:t>OJ C , , p. .</w:t>
      </w:r>
    </w:p>
  </w:footnote>
  <w:footnote w:id="59">
    <w:p w14:paraId="714F3B78" w14:textId="77777777" w:rsidR="006E51DA" w:rsidRPr="00E056E6" w:rsidRDefault="006E51DA" w:rsidP="0023412A">
      <w:pPr>
        <w:pStyle w:val="FootnoteText"/>
        <w:ind w:left="0" w:firstLine="0"/>
      </w:pPr>
      <w:r w:rsidRPr="003B5043">
        <w:rPr>
          <w:rStyle w:val="FootnoteReference"/>
        </w:rPr>
        <w:footnoteRef/>
      </w:r>
      <w:r>
        <w:tab/>
      </w:r>
      <w:r w:rsidRPr="00E056E6">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w:t>
      </w:r>
      <w:r w:rsidRPr="00053FFC">
        <w:t xml:space="preserve"> </w:t>
      </w:r>
      <w:r>
        <w:t>(</w:t>
      </w:r>
      <w:r w:rsidRPr="00504872">
        <w:t>OJ L 149, 11.6.2005, p. 22</w:t>
      </w:r>
      <w:r>
        <w:t>).</w:t>
      </w:r>
    </w:p>
  </w:footnote>
  <w:footnote w:id="60">
    <w:p w14:paraId="07A96BEC" w14:textId="77777777" w:rsidR="006E51DA" w:rsidRPr="00E056E6" w:rsidRDefault="006E51DA" w:rsidP="0023412A">
      <w:pPr>
        <w:pStyle w:val="FootnoteText"/>
        <w:ind w:left="0" w:firstLine="0"/>
        <w:rPr>
          <w:lang w:val="en-IE"/>
        </w:rPr>
      </w:pPr>
      <w:r w:rsidRPr="003B5043">
        <w:rPr>
          <w:rStyle w:val="FootnoteReference"/>
        </w:rPr>
        <w:footnoteRef/>
      </w:r>
      <w:r>
        <w:tab/>
      </w:r>
      <w:r w:rsidRPr="00E056E6">
        <w:t xml:space="preserve">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w:t>
      </w:r>
    </w:p>
  </w:footnote>
  <w:footnote w:id="61">
    <w:p w14:paraId="099E03FF" w14:textId="77777777" w:rsidR="006E51DA" w:rsidRPr="00E056E6" w:rsidRDefault="006E51DA" w:rsidP="0023412A">
      <w:pPr>
        <w:pStyle w:val="FootnoteText"/>
        <w:ind w:left="0" w:firstLine="0"/>
        <w:rPr>
          <w:lang w:val="en-IE"/>
        </w:rPr>
      </w:pPr>
      <w:r w:rsidRPr="003B5043">
        <w:rPr>
          <w:rStyle w:val="FootnoteReference"/>
        </w:rPr>
        <w:footnoteRef/>
      </w:r>
      <w:r>
        <w:tab/>
      </w:r>
      <w:r w:rsidRPr="00E056E6">
        <w:t>Council Directive 93/13/EEC of 5 April 1993 on unfair terms in consumer contracts. 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w:t>
      </w:r>
      <w:r>
        <w:t>.</w:t>
      </w:r>
    </w:p>
    <w:p w14:paraId="0E0BF726" w14:textId="77777777" w:rsidR="006E51DA" w:rsidRPr="00E056E6" w:rsidRDefault="006E51DA" w:rsidP="0023412A">
      <w:pPr>
        <w:pStyle w:val="FootnoteText"/>
        <w:ind w:left="0" w:firstLine="0"/>
        <w:rPr>
          <w:lang w:val="en-IE"/>
        </w:rPr>
      </w:pPr>
    </w:p>
  </w:footnote>
  <w:footnote w:id="62">
    <w:p w14:paraId="7C153867" w14:textId="61CA89E9" w:rsidR="006E51DA" w:rsidRPr="008673B1" w:rsidRDefault="006E51DA" w:rsidP="0023412A">
      <w:pPr>
        <w:pStyle w:val="FootnoteText"/>
        <w:rPr>
          <w:lang w:val="en-IE"/>
        </w:rPr>
      </w:pPr>
      <w:r w:rsidRPr="00891AC8">
        <w:rPr>
          <w:rStyle w:val="FootnoteReference"/>
        </w:rPr>
        <w:footnoteRef/>
      </w:r>
      <w:r>
        <w:tab/>
      </w:r>
      <w:r w:rsidRPr="004941DF">
        <w:t>Directive (EU) 2019/882 of the European Parliament and of the Council of 17 April 2019 on the accessibility requirements for products and services OJ L 151, 7.6.2019</w:t>
      </w:r>
    </w:p>
  </w:footnote>
  <w:footnote w:id="63">
    <w:p w14:paraId="5521D22F" w14:textId="77777777" w:rsidR="006E51DA" w:rsidRPr="005360FF" w:rsidRDefault="006E51DA" w:rsidP="0023412A">
      <w:pPr>
        <w:pStyle w:val="FootnoteText"/>
        <w:ind w:left="0" w:firstLine="0"/>
        <w:rPr>
          <w:lang w:val="en-IE"/>
        </w:rPr>
      </w:pPr>
      <w:r w:rsidRPr="003B5043">
        <w:rPr>
          <w:rStyle w:val="FootnoteReference"/>
        </w:rPr>
        <w:footnoteRef/>
      </w:r>
      <w:r>
        <w:tab/>
        <w:t xml:space="preserve">Commission Recommendation </w:t>
      </w:r>
      <w:r w:rsidRPr="00E27989">
        <w:t xml:space="preserve">2003/361/EC </w:t>
      </w:r>
      <w:r>
        <w:t>of 6 May 2003 concerning the definition of micro, small and medium-sized enterprises</w:t>
      </w:r>
    </w:p>
  </w:footnote>
  <w:footnote w:id="64">
    <w:p w14:paraId="0D893E34" w14:textId="77777777" w:rsidR="006E51DA" w:rsidRPr="00BC03BE" w:rsidRDefault="006E51DA" w:rsidP="0023412A">
      <w:pPr>
        <w:pStyle w:val="FootnoteText"/>
      </w:pPr>
      <w:r w:rsidRPr="003B5043">
        <w:rPr>
          <w:rStyle w:val="FootnoteReference"/>
        </w:rPr>
        <w:footnoteRef/>
      </w:r>
      <w:r>
        <w:tab/>
      </w:r>
      <w:hyperlink r:id="rId63" w:history="1">
        <w:r w:rsidRPr="00DF39FF">
          <w:rPr>
            <w:rStyle w:val="Hyperlink"/>
          </w:rPr>
          <w:t>OJ L 303, 28.11.2018, p. 59–68</w:t>
        </w:r>
      </w:hyperlink>
      <w:r>
        <w:t>.</w:t>
      </w:r>
    </w:p>
  </w:footnote>
  <w:footnote w:id="65">
    <w:p w14:paraId="6523FE4C" w14:textId="1D17798B" w:rsidR="006E51DA" w:rsidRPr="00EC2E0D" w:rsidRDefault="006E51DA" w:rsidP="0023412A">
      <w:pPr>
        <w:pStyle w:val="FootnoteText"/>
      </w:pPr>
      <w:r w:rsidRPr="00891AC8">
        <w:rPr>
          <w:rStyle w:val="FootnoteReference"/>
        </w:rPr>
        <w:footnoteRef/>
      </w:r>
      <w:r>
        <w:tab/>
      </w:r>
      <w:r w:rsidRPr="00EC2E0D">
        <w:t>Directive (EU) 2019/1024 of the European Parliament and of the Council of 20 June 2019 on open data and the re-use of public sector information</w:t>
      </w:r>
      <w:r>
        <w:t xml:space="preserve"> (OJ L 172, 26.6.2019, p. 56).</w:t>
      </w:r>
    </w:p>
  </w:footnote>
  <w:footnote w:id="66">
    <w:p w14:paraId="119D2240" w14:textId="77777777" w:rsidR="006E51DA" w:rsidRPr="00B96897" w:rsidRDefault="006E51DA" w:rsidP="00E15997">
      <w:pPr>
        <w:pStyle w:val="FootnoteText"/>
        <w:rPr>
          <w:lang w:val="en-IE"/>
        </w:rPr>
      </w:pPr>
      <w:r w:rsidRPr="00987A67">
        <w:rPr>
          <w:rStyle w:val="FootnoteReference"/>
        </w:rPr>
        <w:footnoteRef/>
      </w:r>
      <w:r>
        <w:tab/>
        <w:t>Directive 96/9/EC of the European Parliament and of the Council of 11 March 1996 on the legal protection of databases (OJ L 77, 27.3.1996, p. 20).</w:t>
      </w:r>
    </w:p>
  </w:footnote>
  <w:footnote w:id="67">
    <w:p w14:paraId="30DF864C" w14:textId="64F359B2" w:rsidR="006E51DA" w:rsidRPr="0033171E" w:rsidRDefault="006E51DA" w:rsidP="0023412A">
      <w:pPr>
        <w:pStyle w:val="FootnoteText"/>
        <w:ind w:left="0" w:firstLine="0"/>
        <w:rPr>
          <w:lang w:val="en-US"/>
        </w:rPr>
      </w:pPr>
      <w:r w:rsidRPr="00891AC8">
        <w:rPr>
          <w:rStyle w:val="FootnoteReference"/>
        </w:rPr>
        <w:footnoteRef/>
      </w:r>
      <w:r>
        <w:tab/>
      </w:r>
      <w:r w:rsidRPr="67A76221">
        <w:rPr>
          <w:rFonts w:eastAsia="Times New Roman"/>
        </w:rPr>
        <w:t>Directive (EU) 2019/770 of the European Parliament and of the Council of 20 May 2019 on certain aspects concerning contracts for the supply of digital content and digital services (OJ L 136, 22.5.2019, p. 1).</w:t>
      </w:r>
    </w:p>
  </w:footnote>
  <w:footnote w:id="68">
    <w:p w14:paraId="7848BC61" w14:textId="192C8CC0" w:rsidR="006E51DA" w:rsidRPr="00E13BB6" w:rsidRDefault="006E51DA" w:rsidP="005D0158">
      <w:pPr>
        <w:pStyle w:val="FootnoteText"/>
        <w:rPr>
          <w:lang w:val="en-US"/>
        </w:rPr>
      </w:pPr>
      <w:r w:rsidRPr="00A93F14">
        <w:rPr>
          <w:rStyle w:val="FootnoteReference"/>
        </w:rPr>
        <w:footnoteRef/>
      </w:r>
      <w:r w:rsidR="00A93F14">
        <w:tab/>
      </w:r>
      <w:r w:rsidRPr="00E13329">
        <w:t>Regulation (EU) 2017/2394 of the European Parliament and of the Council of 12 December 2017 on cooperation between national authorities responsible for the enforcement of consumer protection laws and repealing Regulation (EC) No 2006/2004 </w:t>
      </w:r>
      <w:r>
        <w:t>(OJ L 345, 27.12.2017, p. 1).</w:t>
      </w:r>
    </w:p>
    <w:p w14:paraId="196FDD16" w14:textId="77777777" w:rsidR="006E51DA" w:rsidRPr="00C02126" w:rsidRDefault="006E51DA" w:rsidP="005D0158">
      <w:pPr>
        <w:pStyle w:val="FootnoteText"/>
        <w:ind w:left="0" w:firstLine="0"/>
        <w:rPr>
          <w:lang w:val="en-US"/>
        </w:rPr>
      </w:pPr>
    </w:p>
  </w:footnote>
  <w:footnote w:id="69">
    <w:p w14:paraId="7381549A" w14:textId="3F13057B" w:rsidR="006E51DA" w:rsidRDefault="006E51DA" w:rsidP="005D0158">
      <w:pPr>
        <w:pStyle w:val="FootnoteText"/>
      </w:pPr>
      <w:r w:rsidRPr="00A93F14">
        <w:rPr>
          <w:rStyle w:val="FootnoteReference"/>
        </w:rPr>
        <w:footnoteRef/>
      </w:r>
      <w:r w:rsidR="00A93F14">
        <w:tab/>
      </w:r>
      <w:r w:rsidRPr="00E13329">
        <w:t>Directive (EU) 2020/1828 of the European Parliament and of the Council of 25 November 2020 on representative actions for the protection of the collective interests of consumers and repealing Directive 2009/22/EC</w:t>
      </w:r>
      <w:r>
        <w:t xml:space="preserve"> (OJ L 409, 4.12.2020, p. 1).</w:t>
      </w:r>
    </w:p>
  </w:footnote>
  <w:footnote w:id="70">
    <w:p w14:paraId="22598C8E" w14:textId="293CB481" w:rsidR="006E51DA" w:rsidRPr="009D68D8" w:rsidRDefault="006E51DA" w:rsidP="0023412A">
      <w:pPr>
        <w:pStyle w:val="FootnoteText"/>
        <w:rPr>
          <w:lang w:val="en-IE"/>
        </w:rPr>
      </w:pPr>
      <w:r w:rsidRPr="00891AC8">
        <w:rPr>
          <w:rStyle w:val="FootnoteReference"/>
        </w:rPr>
        <w:footnoteRef/>
      </w:r>
      <w:r w:rsidRPr="009D68D8">
        <w:rPr>
          <w:lang w:val="en-IE"/>
        </w:rPr>
        <w:tab/>
      </w:r>
      <w:hyperlink r:id="rId64" w:history="1">
        <w:r w:rsidRPr="009D68D8">
          <w:rPr>
            <w:rStyle w:val="Hyperlink"/>
            <w:lang w:val="en-IE"/>
          </w:rPr>
          <w:t>OJ L 123, 12.5.2016, p. 1</w:t>
        </w:r>
      </w:hyperlink>
      <w:r w:rsidRPr="009D68D8">
        <w:rPr>
          <w:lang w:val="en-IE"/>
        </w:rPr>
        <w:t>.</w:t>
      </w:r>
    </w:p>
  </w:footnote>
  <w:footnote w:id="71">
    <w:p w14:paraId="6071DC9B" w14:textId="77777777" w:rsidR="006E51DA" w:rsidRPr="00E43443" w:rsidRDefault="006E51DA" w:rsidP="0023412A">
      <w:pPr>
        <w:pStyle w:val="FootnoteText"/>
      </w:pPr>
      <w:r w:rsidRPr="006C49B6">
        <w:rPr>
          <w:rStyle w:val="FootnoteReference"/>
        </w:rPr>
        <w:footnoteRef/>
      </w:r>
      <w:r>
        <w:tab/>
      </w:r>
      <w:r w:rsidRPr="00E43443">
        <w:t>Regulation (EU) No 182/2011 of the European Parliament and of the Council of 16 February 2011 laying down the rules and general principles concerning mechanisms for control by the Member States of the Commission's exercise of implementing powers (OJ L 55, 28.2.2011, p.13).</w:t>
      </w:r>
    </w:p>
  </w:footnote>
  <w:footnote w:id="72">
    <w:p w14:paraId="2CD9FFD3" w14:textId="3537CEBE" w:rsidR="006E51DA" w:rsidRPr="008F41F7" w:rsidRDefault="006E51DA" w:rsidP="002E2088">
      <w:pPr>
        <w:pStyle w:val="FootnoteText"/>
        <w:rPr>
          <w:lang w:val="en-US"/>
        </w:rPr>
      </w:pPr>
      <w:r w:rsidRPr="00891AC8">
        <w:rPr>
          <w:rStyle w:val="FootnoteReference"/>
        </w:rPr>
        <w:footnoteRef/>
      </w:r>
      <w:r>
        <w:tab/>
      </w:r>
      <w:r w:rsidRPr="00D037A4">
        <w:rPr>
          <w:lang w:val="lt-LT"/>
        </w:rPr>
        <w:t xml:space="preserve">Regulation (EU) 2021/784 of the European Parliament and of the Council of 29 April 2021 on addressing the dissemination of terrorist content </w:t>
      </w:r>
      <w:r>
        <w:rPr>
          <w:lang w:val="lt-LT"/>
        </w:rPr>
        <w:t>online (</w:t>
      </w:r>
      <w:r w:rsidRPr="00D037A4">
        <w:rPr>
          <w:lang w:val="lt-LT"/>
        </w:rPr>
        <w:t>OJ L 172, 17.5.2021, p. 79</w:t>
      </w:r>
      <w:r>
        <w:rPr>
          <w:lang w:val="lt-LT"/>
        </w:rPr>
        <w:t>).</w:t>
      </w:r>
    </w:p>
  </w:footnote>
  <w:footnote w:id="73">
    <w:p w14:paraId="34BAAB99" w14:textId="0DD910C7" w:rsidR="006E51DA" w:rsidRPr="00105CFC" w:rsidRDefault="006E51DA" w:rsidP="000D7185">
      <w:pPr>
        <w:pStyle w:val="FootnoteText"/>
      </w:pPr>
      <w:r w:rsidRPr="00875CAA">
        <w:rPr>
          <w:rStyle w:val="FootnoteReference"/>
        </w:rPr>
        <w:footnoteRef/>
      </w:r>
      <w:r>
        <w:tab/>
        <w:t>OJ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E4FAA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FF87FF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D62EB1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9DE8AF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DE2E92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00E291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C6690E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020E4A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num>
  <w:num w:numId="72">
    <w:abstractNumId w:val="12"/>
  </w:num>
  <w:num w:numId="73">
    <w:abstractNumId w:val="21"/>
  </w:num>
  <w:num w:numId="74">
    <w:abstractNumId w:val="11"/>
  </w:num>
  <w:num w:numId="75">
    <w:abstractNumId w:val="13"/>
  </w:num>
  <w:num w:numId="76">
    <w:abstractNumId w:val="9"/>
  </w:num>
  <w:num w:numId="77">
    <w:abstractNumId w:val="20"/>
  </w:num>
  <w:num w:numId="78">
    <w:abstractNumId w:val="8"/>
  </w:num>
  <w:num w:numId="79">
    <w:abstractNumId w:val="15"/>
  </w:num>
  <w:num w:numId="80">
    <w:abstractNumId w:val="17"/>
  </w:num>
  <w:num w:numId="81">
    <w:abstractNumId w:val="18"/>
  </w:num>
  <w:num w:numId="82">
    <w:abstractNumId w:val="10"/>
  </w:num>
  <w:num w:numId="83">
    <w:abstractNumId w:val="16"/>
  </w:num>
  <w:num w:numId="84">
    <w:abstractNumId w:val="22"/>
  </w:num>
  <w:num w:numId="85">
    <w:abstractNumId w:val="20"/>
  </w:num>
  <w:num w:numId="86">
    <w:abstractNumId w:val="20"/>
  </w:num>
  <w:num w:numId="87">
    <w:abstractNumId w:val="20"/>
  </w:num>
  <w:num w:numId="88">
    <w:abstractNumId w:val="14"/>
  </w:num>
  <w:num w:numId="89">
    <w:abstractNumId w:val="9"/>
  </w:num>
  <w:num w:numId="90">
    <w:abstractNumId w:val="9"/>
  </w:num>
  <w:num w:numId="91">
    <w:abstractNumId w:val="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pt-PT" w:vendorID="64" w:dllVersion="131078" w:nlCheck="1" w:checkStyle="0"/>
  <w:activeWritingStyle w:appName="MSWord" w:lang="fi-FI" w:vendorID="64" w:dllVersion="131078" w:nlCheck="1" w:checkStyle="0"/>
  <w:attachedTemplate r:id="rId1"/>
  <w:revisionView w:markup="0"/>
  <w:defaultTabStop w:val="720"/>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2-22 16:31: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9"/>
    <w:docVar w:name="DQCResult_ModifiedMarkers" w:val="0;0"/>
    <w:docVar w:name="DQCResult_ModifiedNumbering" w:val="0;0"/>
    <w:docVar w:name="DQCResult_Objects" w:val="0;0"/>
    <w:docVar w:name="DQCResult_Sections" w:val="0;0"/>
    <w:docVar w:name="DQCResult_StructureCheck" w:val="0;0"/>
    <w:docVar w:name="DQCResult_SuperfluousWhitespace" w:val="0;10"/>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DF6FAC41-AE64-49A0-B105-4FD4A478AE7F"/>
    <w:docVar w:name="LW_COVERPAGE_TYPE" w:val="1"/>
    <w:docVar w:name="LW_CROSSREFERENCE" w:val="{SEC(2022) 81 final} - {SWD(2022) 34 final} - {SWD(2022) 35 final}"/>
    <w:docVar w:name="LW_DocType" w:val="COM"/>
    <w:docVar w:name="LW_EMISSION" w:val="23.2.2022"/>
    <w:docVar w:name="LW_EMISSION_ISODATE" w:val="2022-02-23"/>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47"/>
    <w:docVar w:name="LW_REF.II.NEW.CP_YEAR" w:val="2022"/>
    <w:docVar w:name="LW_REF.INST.NEW" w:val="COM"/>
    <w:docVar w:name="LW_REF.INST.NEW_ADOPTED" w:val="final"/>
    <w:docVar w:name="LW_REF.INST.NEW_TEXT" w:val="(2022) 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harmonised rules on fair access to and use of data_x000b_(Data Act)"/>
    <w:docVar w:name="LW_TYPE.DOC.CP" w:val="REGULATION OF THE EUROPEAN PARLIAMENT AND OF THE COUNCIL"/>
    <w:docVar w:name="LwApiVersions" w:val="LW4CoDe 1.23.2.0; LW 8.0, Build 20211117"/>
  </w:docVars>
  <w:rsids>
    <w:rsidRoot w:val="00A0188F"/>
    <w:rsid w:val="00001E29"/>
    <w:rsid w:val="00012664"/>
    <w:rsid w:val="00022DA4"/>
    <w:rsid w:val="000235E4"/>
    <w:rsid w:val="00023647"/>
    <w:rsid w:val="00033061"/>
    <w:rsid w:val="000336E4"/>
    <w:rsid w:val="00035A87"/>
    <w:rsid w:val="000366FF"/>
    <w:rsid w:val="00037082"/>
    <w:rsid w:val="0004220C"/>
    <w:rsid w:val="00044252"/>
    <w:rsid w:val="00044BC9"/>
    <w:rsid w:val="00051AD6"/>
    <w:rsid w:val="000566AD"/>
    <w:rsid w:val="0006523D"/>
    <w:rsid w:val="000662E1"/>
    <w:rsid w:val="00080D5D"/>
    <w:rsid w:val="00083FCB"/>
    <w:rsid w:val="000856CE"/>
    <w:rsid w:val="00090DDB"/>
    <w:rsid w:val="00097E5A"/>
    <w:rsid w:val="000A3828"/>
    <w:rsid w:val="000A6E59"/>
    <w:rsid w:val="000A7517"/>
    <w:rsid w:val="000B6302"/>
    <w:rsid w:val="000C00BA"/>
    <w:rsid w:val="000C2BB8"/>
    <w:rsid w:val="000C36C5"/>
    <w:rsid w:val="000D18D5"/>
    <w:rsid w:val="000D207E"/>
    <w:rsid w:val="000D7185"/>
    <w:rsid w:val="000E198E"/>
    <w:rsid w:val="000E7410"/>
    <w:rsid w:val="000F4A4E"/>
    <w:rsid w:val="000F5255"/>
    <w:rsid w:val="000F5633"/>
    <w:rsid w:val="000F7CEF"/>
    <w:rsid w:val="00101E63"/>
    <w:rsid w:val="001045D6"/>
    <w:rsid w:val="00104C0A"/>
    <w:rsid w:val="00104D6C"/>
    <w:rsid w:val="0010521C"/>
    <w:rsid w:val="00113BC9"/>
    <w:rsid w:val="001148BE"/>
    <w:rsid w:val="00116B4F"/>
    <w:rsid w:val="00121907"/>
    <w:rsid w:val="00122354"/>
    <w:rsid w:val="0013192C"/>
    <w:rsid w:val="001354F1"/>
    <w:rsid w:val="001421F6"/>
    <w:rsid w:val="00142E02"/>
    <w:rsid w:val="0014431C"/>
    <w:rsid w:val="0015756E"/>
    <w:rsid w:val="00170A97"/>
    <w:rsid w:val="00172446"/>
    <w:rsid w:val="00197C16"/>
    <w:rsid w:val="001A3C8F"/>
    <w:rsid w:val="001A5A7A"/>
    <w:rsid w:val="001A618D"/>
    <w:rsid w:val="001B1BAE"/>
    <w:rsid w:val="001B41B7"/>
    <w:rsid w:val="001B5B92"/>
    <w:rsid w:val="001C2816"/>
    <w:rsid w:val="001C49FC"/>
    <w:rsid w:val="001E074F"/>
    <w:rsid w:val="001E21BB"/>
    <w:rsid w:val="001E21CC"/>
    <w:rsid w:val="001E23EA"/>
    <w:rsid w:val="001E6F82"/>
    <w:rsid w:val="001F1DD9"/>
    <w:rsid w:val="001F4194"/>
    <w:rsid w:val="001F58F8"/>
    <w:rsid w:val="00201AC3"/>
    <w:rsid w:val="00203C43"/>
    <w:rsid w:val="00206858"/>
    <w:rsid w:val="00221BEB"/>
    <w:rsid w:val="00224B6D"/>
    <w:rsid w:val="00232E98"/>
    <w:rsid w:val="0023412A"/>
    <w:rsid w:val="00234FDF"/>
    <w:rsid w:val="00244EDA"/>
    <w:rsid w:val="002453DA"/>
    <w:rsid w:val="00253316"/>
    <w:rsid w:val="00253AE2"/>
    <w:rsid w:val="002675C7"/>
    <w:rsid w:val="00280967"/>
    <w:rsid w:val="002826AA"/>
    <w:rsid w:val="00282855"/>
    <w:rsid w:val="00293232"/>
    <w:rsid w:val="00294AB8"/>
    <w:rsid w:val="00297C54"/>
    <w:rsid w:val="002A2B89"/>
    <w:rsid w:val="002A524E"/>
    <w:rsid w:val="002B464D"/>
    <w:rsid w:val="002C3B71"/>
    <w:rsid w:val="002C6CC2"/>
    <w:rsid w:val="002D0A34"/>
    <w:rsid w:val="002D256A"/>
    <w:rsid w:val="002D7C8A"/>
    <w:rsid w:val="002E2088"/>
    <w:rsid w:val="003046D9"/>
    <w:rsid w:val="003067BC"/>
    <w:rsid w:val="00311CD6"/>
    <w:rsid w:val="00312846"/>
    <w:rsid w:val="00315B36"/>
    <w:rsid w:val="00322847"/>
    <w:rsid w:val="0032432C"/>
    <w:rsid w:val="0032799A"/>
    <w:rsid w:val="00331FF7"/>
    <w:rsid w:val="00350242"/>
    <w:rsid w:val="00355B1A"/>
    <w:rsid w:val="003624B0"/>
    <w:rsid w:val="0036644A"/>
    <w:rsid w:val="003672D3"/>
    <w:rsid w:val="00372129"/>
    <w:rsid w:val="003727E5"/>
    <w:rsid w:val="00375E75"/>
    <w:rsid w:val="0038184A"/>
    <w:rsid w:val="00385848"/>
    <w:rsid w:val="00397CDE"/>
    <w:rsid w:val="003B5043"/>
    <w:rsid w:val="003B5061"/>
    <w:rsid w:val="003C30E8"/>
    <w:rsid w:val="003E3905"/>
    <w:rsid w:val="003F0272"/>
    <w:rsid w:val="003F32C1"/>
    <w:rsid w:val="003F4310"/>
    <w:rsid w:val="004012EE"/>
    <w:rsid w:val="004035EB"/>
    <w:rsid w:val="00414AB6"/>
    <w:rsid w:val="00421F4C"/>
    <w:rsid w:val="00431784"/>
    <w:rsid w:val="004323DA"/>
    <w:rsid w:val="00435581"/>
    <w:rsid w:val="0044061F"/>
    <w:rsid w:val="00445DB3"/>
    <w:rsid w:val="0044669A"/>
    <w:rsid w:val="004713C3"/>
    <w:rsid w:val="00475832"/>
    <w:rsid w:val="004859F5"/>
    <w:rsid w:val="00495E8F"/>
    <w:rsid w:val="004978E1"/>
    <w:rsid w:val="004A47C5"/>
    <w:rsid w:val="004A4D3E"/>
    <w:rsid w:val="004B3ED6"/>
    <w:rsid w:val="004C02C5"/>
    <w:rsid w:val="004C0D6C"/>
    <w:rsid w:val="004C0F21"/>
    <w:rsid w:val="004C46A5"/>
    <w:rsid w:val="004D0703"/>
    <w:rsid w:val="0050350F"/>
    <w:rsid w:val="0050369E"/>
    <w:rsid w:val="00507A5E"/>
    <w:rsid w:val="00512754"/>
    <w:rsid w:val="00515428"/>
    <w:rsid w:val="00521340"/>
    <w:rsid w:val="00524C44"/>
    <w:rsid w:val="0052532A"/>
    <w:rsid w:val="00526E05"/>
    <w:rsid w:val="00532827"/>
    <w:rsid w:val="0053757E"/>
    <w:rsid w:val="0054335F"/>
    <w:rsid w:val="00543D29"/>
    <w:rsid w:val="005467FB"/>
    <w:rsid w:val="00546F57"/>
    <w:rsid w:val="005644AA"/>
    <w:rsid w:val="00580398"/>
    <w:rsid w:val="00586C6C"/>
    <w:rsid w:val="0059394E"/>
    <w:rsid w:val="00596628"/>
    <w:rsid w:val="005A1505"/>
    <w:rsid w:val="005A56E7"/>
    <w:rsid w:val="005B1F53"/>
    <w:rsid w:val="005C52DC"/>
    <w:rsid w:val="005D0158"/>
    <w:rsid w:val="005E05C4"/>
    <w:rsid w:val="005E76D7"/>
    <w:rsid w:val="005E7D1B"/>
    <w:rsid w:val="005F0A5D"/>
    <w:rsid w:val="005F46AF"/>
    <w:rsid w:val="00602C90"/>
    <w:rsid w:val="006079F6"/>
    <w:rsid w:val="006109E7"/>
    <w:rsid w:val="00613CA7"/>
    <w:rsid w:val="00641776"/>
    <w:rsid w:val="006429C1"/>
    <w:rsid w:val="0064424F"/>
    <w:rsid w:val="00644E38"/>
    <w:rsid w:val="00646028"/>
    <w:rsid w:val="00647C5E"/>
    <w:rsid w:val="00655A9E"/>
    <w:rsid w:val="006571DB"/>
    <w:rsid w:val="00670B6E"/>
    <w:rsid w:val="00674301"/>
    <w:rsid w:val="00675A45"/>
    <w:rsid w:val="00683D17"/>
    <w:rsid w:val="006858CF"/>
    <w:rsid w:val="00686918"/>
    <w:rsid w:val="00692A83"/>
    <w:rsid w:val="006A064B"/>
    <w:rsid w:val="006A2B80"/>
    <w:rsid w:val="006A3C8A"/>
    <w:rsid w:val="006B2E85"/>
    <w:rsid w:val="006C2AE2"/>
    <w:rsid w:val="006C4466"/>
    <w:rsid w:val="006C4580"/>
    <w:rsid w:val="006C4730"/>
    <w:rsid w:val="006C49B6"/>
    <w:rsid w:val="006E0D70"/>
    <w:rsid w:val="006E36D8"/>
    <w:rsid w:val="006E51DA"/>
    <w:rsid w:val="006F17B6"/>
    <w:rsid w:val="006F3701"/>
    <w:rsid w:val="006F3EEA"/>
    <w:rsid w:val="006F4ED5"/>
    <w:rsid w:val="006F6D96"/>
    <w:rsid w:val="007005B0"/>
    <w:rsid w:val="0070128F"/>
    <w:rsid w:val="00720AF3"/>
    <w:rsid w:val="00721451"/>
    <w:rsid w:val="00723A32"/>
    <w:rsid w:val="00740C23"/>
    <w:rsid w:val="00744BDE"/>
    <w:rsid w:val="00745100"/>
    <w:rsid w:val="00760DF7"/>
    <w:rsid w:val="0076393D"/>
    <w:rsid w:val="0077149E"/>
    <w:rsid w:val="00771B94"/>
    <w:rsid w:val="00785F6F"/>
    <w:rsid w:val="007906CF"/>
    <w:rsid w:val="00794058"/>
    <w:rsid w:val="00797E62"/>
    <w:rsid w:val="007A0C36"/>
    <w:rsid w:val="007B0B60"/>
    <w:rsid w:val="007B17FC"/>
    <w:rsid w:val="007C06F6"/>
    <w:rsid w:val="007C1251"/>
    <w:rsid w:val="007C233B"/>
    <w:rsid w:val="007D6D71"/>
    <w:rsid w:val="007E1591"/>
    <w:rsid w:val="007F2CE3"/>
    <w:rsid w:val="00805402"/>
    <w:rsid w:val="0080572F"/>
    <w:rsid w:val="008107FE"/>
    <w:rsid w:val="00810EDD"/>
    <w:rsid w:val="00812ADF"/>
    <w:rsid w:val="00820374"/>
    <w:rsid w:val="0082102D"/>
    <w:rsid w:val="00825268"/>
    <w:rsid w:val="00825D0A"/>
    <w:rsid w:val="00826D3A"/>
    <w:rsid w:val="00830C52"/>
    <w:rsid w:val="008401D0"/>
    <w:rsid w:val="00841EA4"/>
    <w:rsid w:val="008442DB"/>
    <w:rsid w:val="00853078"/>
    <w:rsid w:val="00867B92"/>
    <w:rsid w:val="00875CAA"/>
    <w:rsid w:val="00884BC7"/>
    <w:rsid w:val="00887283"/>
    <w:rsid w:val="00891AC8"/>
    <w:rsid w:val="008B40D6"/>
    <w:rsid w:val="008B6EC4"/>
    <w:rsid w:val="008B73A0"/>
    <w:rsid w:val="008C7FB7"/>
    <w:rsid w:val="008D32A4"/>
    <w:rsid w:val="008D5AAE"/>
    <w:rsid w:val="008D7853"/>
    <w:rsid w:val="008E7348"/>
    <w:rsid w:val="008F223D"/>
    <w:rsid w:val="008F61D5"/>
    <w:rsid w:val="00900075"/>
    <w:rsid w:val="00900873"/>
    <w:rsid w:val="0090194C"/>
    <w:rsid w:val="0090244D"/>
    <w:rsid w:val="00907202"/>
    <w:rsid w:val="00911A83"/>
    <w:rsid w:val="00915619"/>
    <w:rsid w:val="00936C96"/>
    <w:rsid w:val="009430F7"/>
    <w:rsid w:val="00943863"/>
    <w:rsid w:val="00946D1B"/>
    <w:rsid w:val="009505E0"/>
    <w:rsid w:val="009538E4"/>
    <w:rsid w:val="00960327"/>
    <w:rsid w:val="00964BA6"/>
    <w:rsid w:val="00964C9E"/>
    <w:rsid w:val="009665D5"/>
    <w:rsid w:val="00966F8D"/>
    <w:rsid w:val="009670DC"/>
    <w:rsid w:val="009770D5"/>
    <w:rsid w:val="00982B3F"/>
    <w:rsid w:val="00986B33"/>
    <w:rsid w:val="00987A67"/>
    <w:rsid w:val="00987AD5"/>
    <w:rsid w:val="0099249D"/>
    <w:rsid w:val="00993682"/>
    <w:rsid w:val="00993723"/>
    <w:rsid w:val="00995F3C"/>
    <w:rsid w:val="009A3DC6"/>
    <w:rsid w:val="009A46CD"/>
    <w:rsid w:val="009B0E04"/>
    <w:rsid w:val="009B0FA3"/>
    <w:rsid w:val="009B648A"/>
    <w:rsid w:val="009B7138"/>
    <w:rsid w:val="009C01BA"/>
    <w:rsid w:val="009C4319"/>
    <w:rsid w:val="009C5164"/>
    <w:rsid w:val="009D3B45"/>
    <w:rsid w:val="009D5B80"/>
    <w:rsid w:val="009D68D8"/>
    <w:rsid w:val="009E0FB4"/>
    <w:rsid w:val="009E26A7"/>
    <w:rsid w:val="009E7336"/>
    <w:rsid w:val="009E7432"/>
    <w:rsid w:val="009F05FC"/>
    <w:rsid w:val="00A0051C"/>
    <w:rsid w:val="00A0188F"/>
    <w:rsid w:val="00A01983"/>
    <w:rsid w:val="00A053AE"/>
    <w:rsid w:val="00A05AF1"/>
    <w:rsid w:val="00A161B3"/>
    <w:rsid w:val="00A16374"/>
    <w:rsid w:val="00A2041E"/>
    <w:rsid w:val="00A213FA"/>
    <w:rsid w:val="00A23CE2"/>
    <w:rsid w:val="00A30D9A"/>
    <w:rsid w:val="00A31134"/>
    <w:rsid w:val="00A34B32"/>
    <w:rsid w:val="00A52269"/>
    <w:rsid w:val="00A52726"/>
    <w:rsid w:val="00A54A76"/>
    <w:rsid w:val="00A57FD0"/>
    <w:rsid w:val="00A70F81"/>
    <w:rsid w:val="00A75097"/>
    <w:rsid w:val="00A817FF"/>
    <w:rsid w:val="00A8362B"/>
    <w:rsid w:val="00A85664"/>
    <w:rsid w:val="00A870AF"/>
    <w:rsid w:val="00A9257C"/>
    <w:rsid w:val="00A93F14"/>
    <w:rsid w:val="00AA213E"/>
    <w:rsid w:val="00AA26B4"/>
    <w:rsid w:val="00AA39A3"/>
    <w:rsid w:val="00AA3C2F"/>
    <w:rsid w:val="00AA4E45"/>
    <w:rsid w:val="00AA779B"/>
    <w:rsid w:val="00AB08BE"/>
    <w:rsid w:val="00AC2A76"/>
    <w:rsid w:val="00AC3077"/>
    <w:rsid w:val="00AC525B"/>
    <w:rsid w:val="00AE6043"/>
    <w:rsid w:val="00AE797B"/>
    <w:rsid w:val="00B0004D"/>
    <w:rsid w:val="00B06A3C"/>
    <w:rsid w:val="00B2523B"/>
    <w:rsid w:val="00B40685"/>
    <w:rsid w:val="00B42281"/>
    <w:rsid w:val="00B44783"/>
    <w:rsid w:val="00B45BEB"/>
    <w:rsid w:val="00B517CC"/>
    <w:rsid w:val="00B52242"/>
    <w:rsid w:val="00B52A61"/>
    <w:rsid w:val="00B54588"/>
    <w:rsid w:val="00B64643"/>
    <w:rsid w:val="00B70934"/>
    <w:rsid w:val="00B81C7F"/>
    <w:rsid w:val="00B822D5"/>
    <w:rsid w:val="00B82CC0"/>
    <w:rsid w:val="00B85ACD"/>
    <w:rsid w:val="00B85CE8"/>
    <w:rsid w:val="00B9277E"/>
    <w:rsid w:val="00B96897"/>
    <w:rsid w:val="00B9791E"/>
    <w:rsid w:val="00BA6C92"/>
    <w:rsid w:val="00BB0570"/>
    <w:rsid w:val="00BB0D3E"/>
    <w:rsid w:val="00BB47A4"/>
    <w:rsid w:val="00BC179B"/>
    <w:rsid w:val="00BD4BEA"/>
    <w:rsid w:val="00BE0E63"/>
    <w:rsid w:val="00BE246D"/>
    <w:rsid w:val="00BF17AA"/>
    <w:rsid w:val="00BF5CE0"/>
    <w:rsid w:val="00C0141F"/>
    <w:rsid w:val="00C01501"/>
    <w:rsid w:val="00C24556"/>
    <w:rsid w:val="00C2493F"/>
    <w:rsid w:val="00C3030C"/>
    <w:rsid w:val="00C32210"/>
    <w:rsid w:val="00C33333"/>
    <w:rsid w:val="00C56D22"/>
    <w:rsid w:val="00C62043"/>
    <w:rsid w:val="00C63892"/>
    <w:rsid w:val="00C64252"/>
    <w:rsid w:val="00C806D2"/>
    <w:rsid w:val="00C83280"/>
    <w:rsid w:val="00C84371"/>
    <w:rsid w:val="00C9748A"/>
    <w:rsid w:val="00C97F2B"/>
    <w:rsid w:val="00CA4580"/>
    <w:rsid w:val="00CC2D52"/>
    <w:rsid w:val="00CC76ED"/>
    <w:rsid w:val="00CD244F"/>
    <w:rsid w:val="00CD4172"/>
    <w:rsid w:val="00CE4904"/>
    <w:rsid w:val="00CE7509"/>
    <w:rsid w:val="00CF3234"/>
    <w:rsid w:val="00CF3A5F"/>
    <w:rsid w:val="00CF57DB"/>
    <w:rsid w:val="00D070D6"/>
    <w:rsid w:val="00D1224E"/>
    <w:rsid w:val="00D20267"/>
    <w:rsid w:val="00D206FC"/>
    <w:rsid w:val="00D21F22"/>
    <w:rsid w:val="00D33A94"/>
    <w:rsid w:val="00D34C0D"/>
    <w:rsid w:val="00D37B9C"/>
    <w:rsid w:val="00D41F53"/>
    <w:rsid w:val="00D51ACA"/>
    <w:rsid w:val="00D55988"/>
    <w:rsid w:val="00D72DB4"/>
    <w:rsid w:val="00D76A32"/>
    <w:rsid w:val="00D76A6A"/>
    <w:rsid w:val="00D770E4"/>
    <w:rsid w:val="00D81105"/>
    <w:rsid w:val="00D81AA6"/>
    <w:rsid w:val="00D84EC0"/>
    <w:rsid w:val="00D8585A"/>
    <w:rsid w:val="00D86682"/>
    <w:rsid w:val="00D91EB4"/>
    <w:rsid w:val="00D93729"/>
    <w:rsid w:val="00DA1958"/>
    <w:rsid w:val="00DA78C5"/>
    <w:rsid w:val="00DB74DE"/>
    <w:rsid w:val="00DB7CB0"/>
    <w:rsid w:val="00DB7E2F"/>
    <w:rsid w:val="00DC08D8"/>
    <w:rsid w:val="00DC210E"/>
    <w:rsid w:val="00DC53D4"/>
    <w:rsid w:val="00DD1586"/>
    <w:rsid w:val="00DE0D63"/>
    <w:rsid w:val="00DE3384"/>
    <w:rsid w:val="00DF2D96"/>
    <w:rsid w:val="00DF5172"/>
    <w:rsid w:val="00DF6A7A"/>
    <w:rsid w:val="00E05AD8"/>
    <w:rsid w:val="00E062CE"/>
    <w:rsid w:val="00E134FC"/>
    <w:rsid w:val="00E15997"/>
    <w:rsid w:val="00E212C5"/>
    <w:rsid w:val="00E40FDC"/>
    <w:rsid w:val="00E4186A"/>
    <w:rsid w:val="00E42F11"/>
    <w:rsid w:val="00E435A3"/>
    <w:rsid w:val="00E528D7"/>
    <w:rsid w:val="00E74F4B"/>
    <w:rsid w:val="00E77573"/>
    <w:rsid w:val="00E80604"/>
    <w:rsid w:val="00E81DB9"/>
    <w:rsid w:val="00E90BFF"/>
    <w:rsid w:val="00E91232"/>
    <w:rsid w:val="00E954DE"/>
    <w:rsid w:val="00E97431"/>
    <w:rsid w:val="00EB389E"/>
    <w:rsid w:val="00ED103B"/>
    <w:rsid w:val="00ED76AE"/>
    <w:rsid w:val="00EE1362"/>
    <w:rsid w:val="00EE2C06"/>
    <w:rsid w:val="00EE7B64"/>
    <w:rsid w:val="00F05D1B"/>
    <w:rsid w:val="00F10513"/>
    <w:rsid w:val="00F106A3"/>
    <w:rsid w:val="00F12269"/>
    <w:rsid w:val="00F15EF6"/>
    <w:rsid w:val="00F20062"/>
    <w:rsid w:val="00F27AC9"/>
    <w:rsid w:val="00F40621"/>
    <w:rsid w:val="00F42531"/>
    <w:rsid w:val="00F469FE"/>
    <w:rsid w:val="00F52308"/>
    <w:rsid w:val="00F53DAE"/>
    <w:rsid w:val="00F545E5"/>
    <w:rsid w:val="00F63E86"/>
    <w:rsid w:val="00F65353"/>
    <w:rsid w:val="00F74991"/>
    <w:rsid w:val="00F7592A"/>
    <w:rsid w:val="00F80330"/>
    <w:rsid w:val="00F82E6B"/>
    <w:rsid w:val="00F90B5F"/>
    <w:rsid w:val="00F950CD"/>
    <w:rsid w:val="00FB4ABE"/>
    <w:rsid w:val="00FD1854"/>
    <w:rsid w:val="00FD5FBF"/>
    <w:rsid w:val="00FE3A77"/>
    <w:rsid w:val="00FE523F"/>
    <w:rsid w:val="00FE675E"/>
    <w:rsid w:val="00F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3C58E781"/>
  <w15:docId w15:val="{BBA7CCFB-E37C-45E4-B90A-EB4B2EE9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8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8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8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8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A6C92"/>
    <w:pPr>
      <w:keepNext/>
      <w:numPr>
        <w:ilvl w:val="4"/>
        <w:numId w:val="87"/>
      </w:numPr>
      <w:outlineLvl w:val="4"/>
    </w:pPr>
    <w:rPr>
      <w:rFonts w:eastAsiaTheme="majorEastAsia"/>
    </w:rPr>
  </w:style>
  <w:style w:type="paragraph" w:styleId="Heading6">
    <w:name w:val="heading 6"/>
    <w:basedOn w:val="Normal"/>
    <w:next w:val="Text2"/>
    <w:link w:val="Heading6Char"/>
    <w:uiPriority w:val="9"/>
    <w:semiHidden/>
    <w:unhideWhenUsed/>
    <w:qFormat/>
    <w:rsid w:val="00BA6C92"/>
    <w:pPr>
      <w:keepNext/>
      <w:numPr>
        <w:ilvl w:val="5"/>
        <w:numId w:val="87"/>
      </w:numPr>
      <w:outlineLvl w:val="5"/>
    </w:pPr>
    <w:rPr>
      <w:rFonts w:eastAsiaTheme="majorEastAsia"/>
      <w:iCs/>
    </w:rPr>
  </w:style>
  <w:style w:type="paragraph" w:styleId="Heading7">
    <w:name w:val="heading 7"/>
    <w:basedOn w:val="Normal"/>
    <w:next w:val="Text2"/>
    <w:link w:val="Heading7Char"/>
    <w:uiPriority w:val="9"/>
    <w:semiHidden/>
    <w:unhideWhenUsed/>
    <w:qFormat/>
    <w:rsid w:val="00BA6C92"/>
    <w:pPr>
      <w:keepNext/>
      <w:numPr>
        <w:ilvl w:val="6"/>
        <w:numId w:val="8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5467FB"/>
    <w:pPr>
      <w:numPr>
        <w:numId w:val="1"/>
      </w:numPr>
      <w:contextualSpacing/>
    </w:pPr>
  </w:style>
  <w:style w:type="paragraph" w:styleId="ListBullet2">
    <w:name w:val="List Bullet 2"/>
    <w:basedOn w:val="Normal"/>
    <w:uiPriority w:val="99"/>
    <w:semiHidden/>
    <w:unhideWhenUsed/>
    <w:rsid w:val="005467FB"/>
    <w:pPr>
      <w:numPr>
        <w:numId w:val="2"/>
      </w:numPr>
      <w:contextualSpacing/>
    </w:pPr>
  </w:style>
  <w:style w:type="paragraph" w:styleId="ListBullet3">
    <w:name w:val="List Bullet 3"/>
    <w:basedOn w:val="Normal"/>
    <w:uiPriority w:val="99"/>
    <w:semiHidden/>
    <w:unhideWhenUsed/>
    <w:rsid w:val="005467FB"/>
    <w:pPr>
      <w:numPr>
        <w:numId w:val="3"/>
      </w:numPr>
      <w:contextualSpacing/>
    </w:pPr>
  </w:style>
  <w:style w:type="paragraph" w:styleId="ListBullet4">
    <w:name w:val="List Bullet 4"/>
    <w:basedOn w:val="Normal"/>
    <w:uiPriority w:val="99"/>
    <w:semiHidden/>
    <w:unhideWhenUsed/>
    <w:rsid w:val="005467FB"/>
    <w:pPr>
      <w:numPr>
        <w:numId w:val="4"/>
      </w:numPr>
      <w:contextualSpacing/>
    </w:pPr>
  </w:style>
  <w:style w:type="character" w:styleId="Hyperlink">
    <w:name w:val="Hyperlink"/>
    <w:uiPriority w:val="99"/>
    <w:rsid w:val="005467FB"/>
    <w:rPr>
      <w:color w:val="0000FF"/>
      <w:u w:val="single"/>
      <w:shd w:val="clear" w:color="auto" w:fill="auto"/>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FooterText Char,Bullet 1 List Char"/>
    <w:basedOn w:val="DefaultParagraphFont"/>
    <w:link w:val="ListParagraph"/>
    <w:uiPriority w:val="34"/>
    <w:locked/>
    <w:rsid w:val="005467FB"/>
    <w:rPr>
      <w:rFonts w:ascii="Times New Roman" w:hAnsi="Times New Roman" w:cs="Times New Roman"/>
      <w:sz w:val="24"/>
      <w:lang w:val="en-GB"/>
    </w:rPr>
  </w:style>
  <w:style w:type="paragraph" w:styleId="ListParagraph">
    <w:name w:val="List Paragraph"/>
    <w:aliases w:val="Llista Nivell1,Lista de nivel 1,Lettre d'introduction,Table of contents numbered,Paragraphe de liste PBLH,BULLET 1,List Bulletized,List Paragraph Char Char,FooterText,Paragraphe de liste1,List Paragraph (bulleted list),Bullet 1 List"/>
    <w:basedOn w:val="Normal"/>
    <w:link w:val="ListParagraphChar"/>
    <w:uiPriority w:val="34"/>
    <w:qFormat/>
    <w:rsid w:val="005467FB"/>
    <w:pPr>
      <w:ind w:left="720"/>
      <w:contextualSpacing/>
    </w:pPr>
  </w:style>
  <w:style w:type="character" w:customStyle="1" w:styleId="Hyperlink1">
    <w:name w:val="Hyperlink1"/>
    <w:basedOn w:val="DefaultParagraphFont"/>
    <w:uiPriority w:val="99"/>
    <w:qFormat/>
    <w:rsid w:val="005467FB"/>
    <w:rPr>
      <w:color w:val="0000FF"/>
      <w:u w:val="single"/>
    </w:rPr>
  </w:style>
  <w:style w:type="character" w:customStyle="1" w:styleId="italic">
    <w:name w:val="italic"/>
    <w:basedOn w:val="DefaultParagraphFont"/>
    <w:rsid w:val="00E90BFF"/>
  </w:style>
  <w:style w:type="character" w:styleId="CommentReference">
    <w:name w:val="annotation reference"/>
    <w:basedOn w:val="DefaultParagraphFont"/>
    <w:uiPriority w:val="99"/>
    <w:unhideWhenUsed/>
    <w:rsid w:val="00280967"/>
    <w:rPr>
      <w:sz w:val="16"/>
      <w:szCs w:val="16"/>
    </w:rPr>
  </w:style>
  <w:style w:type="paragraph" w:customStyle="1" w:styleId="titrearticle">
    <w:name w:val="titrearticle"/>
    <w:basedOn w:val="Normal"/>
    <w:rsid w:val="001A618D"/>
    <w:pPr>
      <w:spacing w:before="100" w:beforeAutospacing="1" w:after="100" w:afterAutospacing="1"/>
      <w:jc w:val="left"/>
    </w:pPr>
    <w:rPr>
      <w:rFonts w:eastAsia="Times New Roman"/>
      <w:szCs w:val="24"/>
      <w:lang w:val="en-US"/>
    </w:rPr>
  </w:style>
  <w:style w:type="paragraph" w:customStyle="1" w:styleId="Titrearticle0">
    <w:name w:val="Titre article"/>
    <w:basedOn w:val="Normal"/>
    <w:next w:val="Normal"/>
    <w:rsid w:val="009B7138"/>
    <w:pPr>
      <w:keepNext/>
      <w:spacing w:before="360"/>
      <w:jc w:val="center"/>
    </w:pPr>
    <w:rPr>
      <w:i/>
    </w:rPr>
  </w:style>
  <w:style w:type="paragraph" w:styleId="Caption">
    <w:name w:val="caption"/>
    <w:basedOn w:val="Normal"/>
    <w:next w:val="Normal"/>
    <w:uiPriority w:val="35"/>
    <w:semiHidden/>
    <w:unhideWhenUsed/>
    <w:qFormat/>
    <w:rsid w:val="00C3030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C3030C"/>
    <w:pPr>
      <w:spacing w:after="0"/>
    </w:pPr>
  </w:style>
  <w:style w:type="paragraph" w:styleId="ListNumber">
    <w:name w:val="List Number"/>
    <w:basedOn w:val="Normal"/>
    <w:uiPriority w:val="99"/>
    <w:semiHidden/>
    <w:unhideWhenUsed/>
    <w:rsid w:val="00C3030C"/>
    <w:pPr>
      <w:numPr>
        <w:numId w:val="5"/>
      </w:numPr>
      <w:contextualSpacing/>
    </w:pPr>
  </w:style>
  <w:style w:type="paragraph" w:styleId="ListNumber2">
    <w:name w:val="List Number 2"/>
    <w:basedOn w:val="Normal"/>
    <w:uiPriority w:val="99"/>
    <w:semiHidden/>
    <w:unhideWhenUsed/>
    <w:rsid w:val="00C3030C"/>
    <w:pPr>
      <w:numPr>
        <w:numId w:val="6"/>
      </w:numPr>
      <w:contextualSpacing/>
    </w:pPr>
  </w:style>
  <w:style w:type="paragraph" w:styleId="ListNumber3">
    <w:name w:val="List Number 3"/>
    <w:basedOn w:val="Normal"/>
    <w:uiPriority w:val="99"/>
    <w:semiHidden/>
    <w:unhideWhenUsed/>
    <w:rsid w:val="00C3030C"/>
    <w:pPr>
      <w:numPr>
        <w:numId w:val="7"/>
      </w:numPr>
      <w:contextualSpacing/>
    </w:pPr>
  </w:style>
  <w:style w:type="paragraph" w:styleId="ListNumber4">
    <w:name w:val="List Number 4"/>
    <w:basedOn w:val="Normal"/>
    <w:uiPriority w:val="99"/>
    <w:semiHidden/>
    <w:unhideWhenUsed/>
    <w:rsid w:val="00C3030C"/>
    <w:pPr>
      <w:numPr>
        <w:numId w:val="8"/>
      </w:numPr>
      <w:contextualSpacing/>
    </w:pPr>
  </w:style>
  <w:style w:type="paragraph" w:customStyle="1" w:styleId="Titrearticle1">
    <w:name w:val="Titre article"/>
    <w:basedOn w:val="Normal"/>
    <w:next w:val="Normal"/>
    <w:rsid w:val="009B7138"/>
    <w:pPr>
      <w:keepNext/>
      <w:spacing w:before="360"/>
      <w:jc w:val="center"/>
    </w:pPr>
    <w:rPr>
      <w:i/>
    </w:rPr>
  </w:style>
  <w:style w:type="paragraph" w:styleId="CommentText">
    <w:name w:val="annotation text"/>
    <w:basedOn w:val="Normal"/>
    <w:link w:val="CommentTextChar"/>
    <w:uiPriority w:val="99"/>
    <w:unhideWhenUsed/>
    <w:rsid w:val="00907202"/>
    <w:rPr>
      <w:sz w:val="20"/>
      <w:szCs w:val="20"/>
    </w:rPr>
  </w:style>
  <w:style w:type="character" w:customStyle="1" w:styleId="CommentTextChar">
    <w:name w:val="Comment Text Char"/>
    <w:basedOn w:val="DefaultParagraphFont"/>
    <w:link w:val="CommentText"/>
    <w:uiPriority w:val="99"/>
    <w:rsid w:val="0090720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07202"/>
    <w:rPr>
      <w:b/>
      <w:bCs/>
    </w:rPr>
  </w:style>
  <w:style w:type="character" w:customStyle="1" w:styleId="CommentSubjectChar">
    <w:name w:val="Comment Subject Char"/>
    <w:basedOn w:val="CommentTextChar"/>
    <w:link w:val="CommentSubject"/>
    <w:uiPriority w:val="99"/>
    <w:semiHidden/>
    <w:rsid w:val="00907202"/>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0720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202"/>
    <w:rPr>
      <w:rFonts w:ascii="Segoe UI" w:hAnsi="Segoe UI" w:cs="Segoe UI"/>
      <w:sz w:val="18"/>
      <w:szCs w:val="18"/>
      <w:lang w:val="en-GB"/>
    </w:rPr>
  </w:style>
  <w:style w:type="paragraph" w:customStyle="1" w:styleId="Titrearticle2">
    <w:name w:val="Titre article"/>
    <w:basedOn w:val="Normal"/>
    <w:next w:val="Normal"/>
    <w:rsid w:val="009B7138"/>
    <w:pPr>
      <w:keepNext/>
      <w:spacing w:before="360"/>
      <w:jc w:val="center"/>
    </w:pPr>
    <w:rPr>
      <w:i/>
    </w:rPr>
  </w:style>
  <w:style w:type="paragraph" w:customStyle="1" w:styleId="Titrearticle3">
    <w:name w:val="Titre article"/>
    <w:basedOn w:val="Normal"/>
    <w:next w:val="Normal"/>
    <w:rsid w:val="009B7138"/>
    <w:pPr>
      <w:keepNext/>
      <w:spacing w:before="360"/>
      <w:jc w:val="center"/>
    </w:pPr>
    <w:rPr>
      <w:i/>
    </w:rPr>
  </w:style>
  <w:style w:type="paragraph" w:customStyle="1" w:styleId="Titrearticle4">
    <w:name w:val="Titre article"/>
    <w:basedOn w:val="Normal"/>
    <w:next w:val="Normal"/>
    <w:rsid w:val="009B7138"/>
    <w:pPr>
      <w:keepNext/>
      <w:spacing w:before="360"/>
      <w:jc w:val="center"/>
    </w:pPr>
    <w:rPr>
      <w:i/>
    </w:rPr>
  </w:style>
  <w:style w:type="paragraph" w:customStyle="1" w:styleId="Titrearticle5">
    <w:name w:val="Titre article"/>
    <w:basedOn w:val="Normal"/>
    <w:next w:val="Normal"/>
    <w:rsid w:val="009B7138"/>
    <w:pPr>
      <w:keepNext/>
      <w:spacing w:before="360"/>
      <w:jc w:val="center"/>
    </w:pPr>
    <w:rPr>
      <w:i/>
    </w:rPr>
  </w:style>
  <w:style w:type="paragraph" w:customStyle="1" w:styleId="Titrearticle6">
    <w:name w:val="Titre article"/>
    <w:basedOn w:val="Normal"/>
    <w:next w:val="Normal"/>
    <w:rsid w:val="009B7138"/>
    <w:pPr>
      <w:keepNext/>
      <w:spacing w:before="360"/>
      <w:jc w:val="center"/>
    </w:pPr>
    <w:rPr>
      <w:i/>
    </w:rPr>
  </w:style>
  <w:style w:type="paragraph" w:customStyle="1" w:styleId="Titrearticle7">
    <w:name w:val="Titre article"/>
    <w:basedOn w:val="Normal"/>
    <w:next w:val="Normal"/>
    <w:rsid w:val="009B7138"/>
    <w:pPr>
      <w:keepNext/>
      <w:spacing w:before="360"/>
      <w:jc w:val="center"/>
    </w:pPr>
    <w:rPr>
      <w:i/>
    </w:rPr>
  </w:style>
  <w:style w:type="paragraph" w:customStyle="1" w:styleId="Titrearticle8">
    <w:name w:val="Titre article"/>
    <w:basedOn w:val="Normal"/>
    <w:next w:val="Normal"/>
    <w:rsid w:val="009B7138"/>
    <w:pPr>
      <w:keepNext/>
      <w:spacing w:before="360"/>
      <w:jc w:val="center"/>
    </w:pPr>
    <w:rPr>
      <w:i/>
    </w:rPr>
  </w:style>
  <w:style w:type="paragraph" w:customStyle="1" w:styleId="Titrearticle9">
    <w:name w:val="Titre article"/>
    <w:basedOn w:val="Normal"/>
    <w:next w:val="Normal"/>
    <w:rsid w:val="009B7138"/>
    <w:pPr>
      <w:keepNext/>
      <w:spacing w:before="360"/>
      <w:jc w:val="center"/>
    </w:pPr>
    <w:rPr>
      <w:i/>
    </w:rPr>
  </w:style>
  <w:style w:type="paragraph" w:customStyle="1" w:styleId="Titrearticlea">
    <w:name w:val="Titre article"/>
    <w:basedOn w:val="Normal"/>
    <w:next w:val="Normal"/>
    <w:rsid w:val="009B7138"/>
    <w:pPr>
      <w:keepNext/>
      <w:spacing w:before="360"/>
      <w:jc w:val="center"/>
    </w:pPr>
    <w:rPr>
      <w:i/>
    </w:rPr>
  </w:style>
  <w:style w:type="paragraph" w:customStyle="1" w:styleId="Default">
    <w:name w:val="Default"/>
    <w:uiPriority w:val="99"/>
    <w:rsid w:val="004859F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859F5"/>
    <w:pPr>
      <w:spacing w:before="0" w:after="0"/>
      <w:jc w:val="left"/>
    </w:pPr>
    <w:rPr>
      <w:szCs w:val="24"/>
      <w:lang w:val="en-US"/>
    </w:rPr>
  </w:style>
  <w:style w:type="paragraph" w:customStyle="1" w:styleId="Titrearticleb">
    <w:name w:val="Titre article"/>
    <w:basedOn w:val="Normal"/>
    <w:next w:val="Normal"/>
    <w:rsid w:val="009B7138"/>
    <w:pPr>
      <w:keepNext/>
      <w:spacing w:before="360"/>
      <w:jc w:val="center"/>
    </w:pPr>
    <w:rPr>
      <w:i/>
    </w:rPr>
  </w:style>
  <w:style w:type="paragraph" w:customStyle="1" w:styleId="Titrearticlec">
    <w:name w:val="Titre article"/>
    <w:basedOn w:val="Normal"/>
    <w:next w:val="Normal"/>
    <w:rsid w:val="009B7138"/>
    <w:pPr>
      <w:keepNext/>
      <w:spacing w:before="360"/>
      <w:jc w:val="center"/>
    </w:pPr>
    <w:rPr>
      <w:i/>
    </w:rPr>
  </w:style>
  <w:style w:type="paragraph" w:customStyle="1" w:styleId="Titrearticled">
    <w:name w:val="Titre article"/>
    <w:basedOn w:val="Normal"/>
    <w:next w:val="Normal"/>
    <w:rsid w:val="009B7138"/>
    <w:pPr>
      <w:keepNext/>
      <w:spacing w:before="360"/>
      <w:jc w:val="center"/>
    </w:pPr>
    <w:rPr>
      <w:i/>
    </w:rPr>
  </w:style>
  <w:style w:type="paragraph" w:customStyle="1" w:styleId="Titrearticlee">
    <w:name w:val="Titre article"/>
    <w:basedOn w:val="Normal"/>
    <w:next w:val="Normal"/>
    <w:rsid w:val="009B7138"/>
    <w:pPr>
      <w:keepNext/>
      <w:spacing w:before="360"/>
      <w:jc w:val="center"/>
    </w:pPr>
    <w:rPr>
      <w:i/>
    </w:rPr>
  </w:style>
  <w:style w:type="paragraph" w:customStyle="1" w:styleId="Titrearticlef">
    <w:name w:val="Titre article"/>
    <w:basedOn w:val="Normal"/>
    <w:next w:val="Normal"/>
    <w:rsid w:val="009B7138"/>
    <w:pPr>
      <w:keepNext/>
      <w:spacing w:before="360"/>
      <w:jc w:val="center"/>
    </w:pPr>
    <w:rPr>
      <w:i/>
    </w:rPr>
  </w:style>
  <w:style w:type="paragraph" w:customStyle="1" w:styleId="Titrearticlef0">
    <w:name w:val="Titre article"/>
    <w:basedOn w:val="Normal"/>
    <w:next w:val="Normal"/>
    <w:rsid w:val="009B7138"/>
    <w:pPr>
      <w:keepNext/>
      <w:spacing w:before="360"/>
      <w:jc w:val="center"/>
    </w:pPr>
    <w:rPr>
      <w:i/>
    </w:rPr>
  </w:style>
  <w:style w:type="paragraph" w:customStyle="1" w:styleId="Titrearticlef1">
    <w:name w:val="Titre article"/>
    <w:basedOn w:val="Normal"/>
    <w:next w:val="Normal"/>
    <w:rsid w:val="009B7138"/>
    <w:pPr>
      <w:keepNext/>
      <w:spacing w:before="360"/>
      <w:jc w:val="center"/>
    </w:pPr>
    <w:rPr>
      <w:i/>
    </w:rPr>
  </w:style>
  <w:style w:type="paragraph" w:customStyle="1" w:styleId="Titrearticlef2">
    <w:name w:val="Titre article"/>
    <w:basedOn w:val="Normal"/>
    <w:next w:val="Normal"/>
    <w:rsid w:val="009B7138"/>
    <w:pPr>
      <w:keepNext/>
      <w:spacing w:before="360"/>
      <w:jc w:val="center"/>
    </w:pPr>
    <w:rPr>
      <w:i/>
    </w:rPr>
  </w:style>
  <w:style w:type="paragraph" w:customStyle="1" w:styleId="Titrearticlef3">
    <w:name w:val="Titre article"/>
    <w:basedOn w:val="Normal"/>
    <w:next w:val="Normal"/>
    <w:rsid w:val="009B7138"/>
    <w:pPr>
      <w:keepNext/>
      <w:spacing w:before="360"/>
      <w:jc w:val="center"/>
    </w:pPr>
    <w:rPr>
      <w:i/>
    </w:rPr>
  </w:style>
  <w:style w:type="paragraph" w:customStyle="1" w:styleId="Titrearticlef4">
    <w:name w:val="Titre article"/>
    <w:basedOn w:val="Normal"/>
    <w:next w:val="Normal"/>
    <w:rsid w:val="009B7138"/>
    <w:pPr>
      <w:keepNext/>
      <w:spacing w:before="360"/>
      <w:jc w:val="center"/>
    </w:pPr>
    <w:rPr>
      <w:i/>
    </w:rPr>
  </w:style>
  <w:style w:type="paragraph" w:customStyle="1" w:styleId="Titrearticlef5">
    <w:name w:val="Titre article"/>
    <w:basedOn w:val="Normal"/>
    <w:next w:val="Normal"/>
    <w:rsid w:val="009B7138"/>
    <w:pPr>
      <w:keepNext/>
      <w:spacing w:before="360"/>
      <w:jc w:val="center"/>
    </w:pPr>
    <w:rPr>
      <w:i/>
    </w:rPr>
  </w:style>
  <w:style w:type="paragraph" w:customStyle="1" w:styleId="Titrearticlef6">
    <w:name w:val="Titre article"/>
    <w:basedOn w:val="Normal"/>
    <w:next w:val="Normal"/>
    <w:rsid w:val="009B7138"/>
    <w:pPr>
      <w:keepNext/>
      <w:spacing w:before="360"/>
      <w:jc w:val="center"/>
    </w:pPr>
    <w:rPr>
      <w:i/>
    </w:rPr>
  </w:style>
  <w:style w:type="paragraph" w:customStyle="1" w:styleId="Titrearticlef7">
    <w:name w:val="Titre article"/>
    <w:basedOn w:val="Normal"/>
    <w:next w:val="Normal"/>
    <w:rsid w:val="009B7138"/>
    <w:pPr>
      <w:keepNext/>
      <w:spacing w:before="360"/>
      <w:jc w:val="center"/>
    </w:pPr>
    <w:rPr>
      <w:i/>
    </w:rPr>
  </w:style>
  <w:style w:type="paragraph" w:customStyle="1" w:styleId="Titrearticlef8">
    <w:name w:val="Titre article"/>
    <w:basedOn w:val="Normal"/>
    <w:next w:val="Normal"/>
    <w:rsid w:val="009B7138"/>
    <w:pPr>
      <w:keepNext/>
      <w:spacing w:before="360"/>
      <w:jc w:val="center"/>
    </w:pPr>
    <w:rPr>
      <w:i/>
    </w:rPr>
  </w:style>
  <w:style w:type="paragraph" w:customStyle="1" w:styleId="Titrearticlef9">
    <w:name w:val="Titre article"/>
    <w:basedOn w:val="Normal"/>
    <w:next w:val="Normal"/>
    <w:rsid w:val="009B7138"/>
    <w:pPr>
      <w:keepNext/>
      <w:spacing w:before="360"/>
      <w:jc w:val="center"/>
    </w:pPr>
    <w:rPr>
      <w:i/>
    </w:rPr>
  </w:style>
  <w:style w:type="paragraph" w:customStyle="1" w:styleId="Titrearticlefa">
    <w:name w:val="Titre article"/>
    <w:basedOn w:val="Normal"/>
    <w:next w:val="Normal"/>
    <w:rsid w:val="009B7138"/>
    <w:pPr>
      <w:keepNext/>
      <w:spacing w:before="360"/>
      <w:jc w:val="center"/>
    </w:pPr>
    <w:rPr>
      <w:i/>
    </w:rPr>
  </w:style>
  <w:style w:type="paragraph" w:customStyle="1" w:styleId="Titrearticlefb">
    <w:name w:val="Titre article"/>
    <w:basedOn w:val="Normal"/>
    <w:next w:val="Normal"/>
    <w:rsid w:val="009B7138"/>
    <w:pPr>
      <w:keepNext/>
      <w:spacing w:before="360"/>
      <w:jc w:val="center"/>
    </w:pPr>
    <w:rPr>
      <w:i/>
    </w:rPr>
  </w:style>
  <w:style w:type="paragraph" w:customStyle="1" w:styleId="Titrearticlefc">
    <w:name w:val="Titre article"/>
    <w:basedOn w:val="Normal"/>
    <w:next w:val="Normal"/>
    <w:rsid w:val="009B7138"/>
    <w:pPr>
      <w:keepNext/>
      <w:spacing w:before="360"/>
      <w:jc w:val="center"/>
    </w:pPr>
    <w:rPr>
      <w:i/>
    </w:rPr>
  </w:style>
  <w:style w:type="paragraph" w:customStyle="1" w:styleId="Titrearticlefd">
    <w:name w:val="Titre article"/>
    <w:basedOn w:val="Normal"/>
    <w:next w:val="Normal"/>
    <w:rsid w:val="009B7138"/>
    <w:pPr>
      <w:keepNext/>
      <w:spacing w:before="360"/>
      <w:jc w:val="center"/>
    </w:pPr>
    <w:rPr>
      <w:i/>
    </w:rPr>
  </w:style>
  <w:style w:type="paragraph" w:styleId="Header">
    <w:name w:val="header"/>
    <w:basedOn w:val="Normal"/>
    <w:link w:val="HeaderChar"/>
    <w:uiPriority w:val="99"/>
    <w:unhideWhenUsed/>
    <w:rsid w:val="00E81DB9"/>
    <w:pPr>
      <w:tabs>
        <w:tab w:val="center" w:pos="4535"/>
        <w:tab w:val="right" w:pos="9071"/>
      </w:tabs>
      <w:spacing w:before="0"/>
    </w:pPr>
  </w:style>
  <w:style w:type="character" w:customStyle="1" w:styleId="HeaderChar">
    <w:name w:val="Header Char"/>
    <w:basedOn w:val="DefaultParagraphFont"/>
    <w:link w:val="Header"/>
    <w:uiPriority w:val="99"/>
    <w:rsid w:val="00E81DB9"/>
    <w:rPr>
      <w:rFonts w:ascii="Times New Roman" w:hAnsi="Times New Roman" w:cs="Times New Roman"/>
      <w:sz w:val="24"/>
      <w:lang w:val="en-GB"/>
    </w:rPr>
  </w:style>
  <w:style w:type="paragraph" w:styleId="Footer">
    <w:name w:val="footer"/>
    <w:basedOn w:val="Normal"/>
    <w:link w:val="FooterChar"/>
    <w:uiPriority w:val="99"/>
    <w:unhideWhenUsed/>
    <w:rsid w:val="00E81DB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81DB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E81DB9"/>
    <w:pPr>
      <w:tabs>
        <w:tab w:val="center" w:pos="7285"/>
        <w:tab w:val="right" w:pos="14003"/>
      </w:tabs>
      <w:spacing w:before="0"/>
    </w:pPr>
  </w:style>
  <w:style w:type="paragraph" w:customStyle="1" w:styleId="FooterLandscape">
    <w:name w:val="FooterLandscape"/>
    <w:basedOn w:val="Normal"/>
    <w:rsid w:val="00E81DB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E81DB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81DB9"/>
    <w:pPr>
      <w:spacing w:before="0"/>
      <w:jc w:val="right"/>
    </w:pPr>
    <w:rPr>
      <w:sz w:val="28"/>
    </w:rPr>
  </w:style>
  <w:style w:type="paragraph" w:customStyle="1" w:styleId="FooterSensitivity">
    <w:name w:val="Footer Sensitivity"/>
    <w:basedOn w:val="Normal"/>
    <w:rsid w:val="00E81DB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71"/>
      </w:numPr>
    </w:pPr>
  </w:style>
  <w:style w:type="paragraph" w:customStyle="1" w:styleId="Tiret1">
    <w:name w:val="Tiret 1"/>
    <w:basedOn w:val="Point1"/>
    <w:rsid w:val="009B7138"/>
    <w:pPr>
      <w:numPr>
        <w:numId w:val="72"/>
      </w:numPr>
    </w:pPr>
  </w:style>
  <w:style w:type="paragraph" w:customStyle="1" w:styleId="Tiret2">
    <w:name w:val="Tiret 2"/>
    <w:basedOn w:val="Point2"/>
    <w:rsid w:val="009B7138"/>
    <w:pPr>
      <w:numPr>
        <w:numId w:val="73"/>
      </w:numPr>
    </w:pPr>
  </w:style>
  <w:style w:type="paragraph" w:customStyle="1" w:styleId="Tiret3">
    <w:name w:val="Tiret 3"/>
    <w:basedOn w:val="Point3"/>
    <w:rsid w:val="009B7138"/>
    <w:pPr>
      <w:numPr>
        <w:numId w:val="74"/>
      </w:numPr>
    </w:pPr>
  </w:style>
  <w:style w:type="paragraph" w:customStyle="1" w:styleId="Tiret4">
    <w:name w:val="Tiret 4"/>
    <w:basedOn w:val="Point4"/>
    <w:rsid w:val="009B7138"/>
    <w:pPr>
      <w:numPr>
        <w:numId w:val="7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91"/>
      </w:numPr>
    </w:pPr>
  </w:style>
  <w:style w:type="paragraph" w:customStyle="1" w:styleId="NumPar2">
    <w:name w:val="NumPar 2"/>
    <w:basedOn w:val="Normal"/>
    <w:next w:val="Text1"/>
    <w:rsid w:val="009B7138"/>
    <w:pPr>
      <w:numPr>
        <w:ilvl w:val="1"/>
        <w:numId w:val="91"/>
      </w:numPr>
    </w:pPr>
  </w:style>
  <w:style w:type="paragraph" w:customStyle="1" w:styleId="NumPar3">
    <w:name w:val="NumPar 3"/>
    <w:basedOn w:val="Normal"/>
    <w:next w:val="Text1"/>
    <w:rsid w:val="009B7138"/>
    <w:pPr>
      <w:numPr>
        <w:ilvl w:val="2"/>
        <w:numId w:val="91"/>
      </w:numPr>
    </w:pPr>
  </w:style>
  <w:style w:type="paragraph" w:customStyle="1" w:styleId="NumPar4">
    <w:name w:val="NumPar 4"/>
    <w:basedOn w:val="Normal"/>
    <w:next w:val="Text1"/>
    <w:rsid w:val="009B7138"/>
    <w:pPr>
      <w:numPr>
        <w:ilvl w:val="3"/>
        <w:numId w:val="9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78"/>
      </w:numPr>
    </w:pPr>
  </w:style>
  <w:style w:type="paragraph" w:customStyle="1" w:styleId="Point1number">
    <w:name w:val="Point 1 (number)"/>
    <w:basedOn w:val="Normal"/>
    <w:rsid w:val="009B7138"/>
    <w:pPr>
      <w:numPr>
        <w:ilvl w:val="2"/>
        <w:numId w:val="78"/>
      </w:numPr>
    </w:pPr>
  </w:style>
  <w:style w:type="paragraph" w:customStyle="1" w:styleId="Point2number">
    <w:name w:val="Point 2 (number)"/>
    <w:basedOn w:val="Normal"/>
    <w:rsid w:val="009B7138"/>
    <w:pPr>
      <w:numPr>
        <w:ilvl w:val="4"/>
        <w:numId w:val="78"/>
      </w:numPr>
    </w:pPr>
  </w:style>
  <w:style w:type="paragraph" w:customStyle="1" w:styleId="Point3number">
    <w:name w:val="Point 3 (number)"/>
    <w:basedOn w:val="Normal"/>
    <w:rsid w:val="009B7138"/>
    <w:pPr>
      <w:numPr>
        <w:ilvl w:val="6"/>
        <w:numId w:val="78"/>
      </w:numPr>
    </w:pPr>
  </w:style>
  <w:style w:type="paragraph" w:customStyle="1" w:styleId="Point0letter">
    <w:name w:val="Point 0 (letter)"/>
    <w:basedOn w:val="Normal"/>
    <w:rsid w:val="009B7138"/>
    <w:pPr>
      <w:numPr>
        <w:ilvl w:val="1"/>
        <w:numId w:val="78"/>
      </w:numPr>
    </w:pPr>
  </w:style>
  <w:style w:type="paragraph" w:customStyle="1" w:styleId="Point1letter">
    <w:name w:val="Point 1 (letter)"/>
    <w:basedOn w:val="Normal"/>
    <w:rsid w:val="009B7138"/>
    <w:pPr>
      <w:numPr>
        <w:ilvl w:val="3"/>
        <w:numId w:val="78"/>
      </w:numPr>
    </w:pPr>
  </w:style>
  <w:style w:type="paragraph" w:customStyle="1" w:styleId="Point2letter">
    <w:name w:val="Point 2 (letter)"/>
    <w:basedOn w:val="Normal"/>
    <w:rsid w:val="009B7138"/>
    <w:pPr>
      <w:numPr>
        <w:ilvl w:val="5"/>
        <w:numId w:val="78"/>
      </w:numPr>
    </w:pPr>
  </w:style>
  <w:style w:type="paragraph" w:customStyle="1" w:styleId="Point3letter">
    <w:name w:val="Point 3 (letter)"/>
    <w:basedOn w:val="Normal"/>
    <w:rsid w:val="009B7138"/>
    <w:pPr>
      <w:numPr>
        <w:ilvl w:val="7"/>
        <w:numId w:val="78"/>
      </w:numPr>
    </w:pPr>
  </w:style>
  <w:style w:type="paragraph" w:customStyle="1" w:styleId="Point4letter">
    <w:name w:val="Point 4 (letter)"/>
    <w:basedOn w:val="Normal"/>
    <w:rsid w:val="009B7138"/>
    <w:pPr>
      <w:numPr>
        <w:ilvl w:val="8"/>
        <w:numId w:val="78"/>
      </w:numPr>
    </w:pPr>
  </w:style>
  <w:style w:type="paragraph" w:customStyle="1" w:styleId="Bullet0">
    <w:name w:val="Bullet 0"/>
    <w:basedOn w:val="Normal"/>
    <w:rsid w:val="009B7138"/>
    <w:pPr>
      <w:numPr>
        <w:numId w:val="79"/>
      </w:numPr>
    </w:pPr>
  </w:style>
  <w:style w:type="paragraph" w:customStyle="1" w:styleId="Bullet1">
    <w:name w:val="Bullet 1"/>
    <w:basedOn w:val="Normal"/>
    <w:rsid w:val="009B7138"/>
    <w:pPr>
      <w:numPr>
        <w:numId w:val="80"/>
      </w:numPr>
    </w:pPr>
  </w:style>
  <w:style w:type="paragraph" w:customStyle="1" w:styleId="Bullet2">
    <w:name w:val="Bullet 2"/>
    <w:basedOn w:val="Normal"/>
    <w:rsid w:val="009B7138"/>
    <w:pPr>
      <w:numPr>
        <w:numId w:val="81"/>
      </w:numPr>
    </w:pPr>
  </w:style>
  <w:style w:type="paragraph" w:customStyle="1" w:styleId="Bullet3">
    <w:name w:val="Bullet 3"/>
    <w:basedOn w:val="Normal"/>
    <w:rsid w:val="009B7138"/>
    <w:pPr>
      <w:numPr>
        <w:numId w:val="82"/>
      </w:numPr>
    </w:pPr>
  </w:style>
  <w:style w:type="paragraph" w:customStyle="1" w:styleId="Bullet4">
    <w:name w:val="Bullet 4"/>
    <w:basedOn w:val="Normal"/>
    <w:rsid w:val="009B7138"/>
    <w:pPr>
      <w:numPr>
        <w:numId w:val="8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8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f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f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f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BA6C92"/>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BA6C92"/>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BA6C92"/>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BA6C92"/>
    <w:pPr>
      <w:keepNext/>
      <w:tabs>
        <w:tab w:val="left" w:pos="1417"/>
      </w:tabs>
      <w:ind w:left="1417" w:hanging="1417"/>
      <w:outlineLvl w:val="4"/>
    </w:pPr>
  </w:style>
  <w:style w:type="paragraph" w:customStyle="1" w:styleId="ManualHeading6">
    <w:name w:val="Manual Heading 6"/>
    <w:basedOn w:val="Normal"/>
    <w:next w:val="Text2"/>
    <w:rsid w:val="00BA6C92"/>
    <w:pPr>
      <w:keepNext/>
      <w:tabs>
        <w:tab w:val="left" w:pos="1417"/>
      </w:tabs>
      <w:ind w:left="1417" w:hanging="1417"/>
      <w:outlineLvl w:val="5"/>
    </w:pPr>
  </w:style>
  <w:style w:type="paragraph" w:customStyle="1" w:styleId="ManualHeading7">
    <w:name w:val="Manual Heading 7"/>
    <w:basedOn w:val="Normal"/>
    <w:next w:val="Text2"/>
    <w:rsid w:val="00BA6C92"/>
    <w:pPr>
      <w:keepNext/>
      <w:tabs>
        <w:tab w:val="left" w:pos="1417"/>
      </w:tabs>
      <w:ind w:left="1417" w:hanging="1417"/>
      <w:outlineLvl w:val="6"/>
    </w:pPr>
  </w:style>
  <w:style w:type="paragraph" w:customStyle="1" w:styleId="Text5">
    <w:name w:val="Text 5"/>
    <w:basedOn w:val="Normal"/>
    <w:rsid w:val="00BA6C92"/>
    <w:pPr>
      <w:ind w:left="3118"/>
    </w:pPr>
  </w:style>
  <w:style w:type="paragraph" w:customStyle="1" w:styleId="Text6">
    <w:name w:val="Text 6"/>
    <w:basedOn w:val="Normal"/>
    <w:rsid w:val="00BA6C92"/>
    <w:pPr>
      <w:ind w:left="3685"/>
    </w:pPr>
  </w:style>
  <w:style w:type="paragraph" w:customStyle="1" w:styleId="Point5">
    <w:name w:val="Point 5"/>
    <w:basedOn w:val="Normal"/>
    <w:rsid w:val="00BA6C92"/>
    <w:pPr>
      <w:ind w:left="3685" w:hanging="567"/>
    </w:pPr>
  </w:style>
  <w:style w:type="paragraph" w:customStyle="1" w:styleId="Tiret5">
    <w:name w:val="Tiret 5"/>
    <w:basedOn w:val="Point5"/>
    <w:rsid w:val="00BA6C92"/>
    <w:pPr>
      <w:numPr>
        <w:numId w:val="88"/>
      </w:numPr>
    </w:pPr>
  </w:style>
  <w:style w:type="paragraph" w:customStyle="1" w:styleId="NumPar5">
    <w:name w:val="NumPar 5"/>
    <w:basedOn w:val="Normal"/>
    <w:next w:val="Text2"/>
    <w:rsid w:val="00BA6C92"/>
    <w:pPr>
      <w:numPr>
        <w:ilvl w:val="4"/>
        <w:numId w:val="91"/>
      </w:numPr>
    </w:pPr>
  </w:style>
  <w:style w:type="paragraph" w:customStyle="1" w:styleId="NumPar6">
    <w:name w:val="NumPar 6"/>
    <w:basedOn w:val="Normal"/>
    <w:next w:val="Text2"/>
    <w:rsid w:val="00BA6C92"/>
    <w:pPr>
      <w:numPr>
        <w:ilvl w:val="5"/>
        <w:numId w:val="91"/>
      </w:numPr>
    </w:pPr>
  </w:style>
  <w:style w:type="paragraph" w:customStyle="1" w:styleId="NumPar7">
    <w:name w:val="NumPar 7"/>
    <w:basedOn w:val="Normal"/>
    <w:next w:val="Text2"/>
    <w:rsid w:val="00BA6C92"/>
    <w:pPr>
      <w:numPr>
        <w:ilvl w:val="6"/>
        <w:numId w:val="91"/>
      </w:numPr>
    </w:pPr>
  </w:style>
  <w:style w:type="paragraph" w:customStyle="1" w:styleId="ManualNumPar5">
    <w:name w:val="Manual NumPar 5"/>
    <w:basedOn w:val="Normal"/>
    <w:next w:val="Text2"/>
    <w:rsid w:val="00BA6C92"/>
    <w:pPr>
      <w:ind w:left="1417" w:hanging="1417"/>
    </w:pPr>
  </w:style>
  <w:style w:type="paragraph" w:customStyle="1" w:styleId="ManualNumPar6">
    <w:name w:val="Manual NumPar 6"/>
    <w:basedOn w:val="Normal"/>
    <w:next w:val="Text2"/>
    <w:rsid w:val="00BA6C92"/>
    <w:pPr>
      <w:ind w:left="1417" w:hanging="1417"/>
    </w:pPr>
  </w:style>
  <w:style w:type="paragraph" w:customStyle="1" w:styleId="ManualNumPar7">
    <w:name w:val="Manual NumPar 7"/>
    <w:basedOn w:val="Normal"/>
    <w:next w:val="Text2"/>
    <w:rsid w:val="00BA6C92"/>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swipo.eu" TargetMode="External"/><Relationship Id="rId18" Type="http://schemas.openxmlformats.org/officeDocument/2006/relationships/hyperlink" Target="https://eur-lex.europa.eu/eli/dir/2019/1024/oj" TargetMode="External"/><Relationship Id="rId26" Type="http://schemas.openxmlformats.org/officeDocument/2006/relationships/hyperlink" Target="https://eur-lex.europa.eu/legal-content/EN/TXT/?uri=CELEX%3A32019L0944" TargetMode="External"/><Relationship Id="rId39" Type="http://schemas.openxmlformats.org/officeDocument/2006/relationships/hyperlink" Target="https://eur-lex.europa.eu/legal-content/EN/TXT/?uri=CELEX%3A32021R0241" TargetMode="External"/><Relationship Id="rId21" Type="http://schemas.openxmlformats.org/officeDocument/2006/relationships/hyperlink" Target="https://eur-lex.europa.eu/legal-content/EN/TXT/?uri=celex%3A32019R1150" TargetMode="External"/><Relationship Id="rId34" Type="http://schemas.openxmlformats.org/officeDocument/2006/relationships/hyperlink" Target="https://eur-lex.europa.eu/legal-content/EN/TXT/?uri=CELEX%3A32004R0551&amp;qid=1640002564589" TargetMode="External"/><Relationship Id="rId42" Type="http://schemas.openxmlformats.org/officeDocument/2006/relationships/hyperlink" Target="https://data.consilium.europa.eu/doc/document/ST-13957-2020-INIT/en/pdf" TargetMode="External"/><Relationship Id="rId47" Type="http://schemas.openxmlformats.org/officeDocument/2006/relationships/hyperlink" Target="https://eur-lex.europa.eu/legal-content/EN/TXT/?uri=COM:2021:350:FIN" TargetMode="External"/><Relationship Id="rId50" Type="http://schemas.openxmlformats.org/officeDocument/2006/relationships/hyperlink" Target="https://eur-lex.europa.eu/legal-content/EN/TXT/?uri=COM:2021:102:FIN" TargetMode="External"/><Relationship Id="rId55" Type="http://schemas.openxmlformats.org/officeDocument/2006/relationships/hyperlink" Target="https://eur-lex.europa.eu/legal-content/EN/TXT/?uri=COM%3A2017%3A9%3AFIN" TargetMode="External"/><Relationship Id="rId63" Type="http://schemas.openxmlformats.org/officeDocument/2006/relationships/hyperlink" Target="https://eur-lex.europa.eu/legal-content/EN/TXT/?uri=celex%3A32018R1807" TargetMode="External"/><Relationship Id="rId7" Type="http://schemas.openxmlformats.org/officeDocument/2006/relationships/hyperlink" Target="https://digital-strategy.ec.europa.eu/en/news/commission-welcomes-member-states-declaration-eu-cloud-federation" TargetMode="External"/><Relationship Id="rId2" Type="http://schemas.openxmlformats.org/officeDocument/2006/relationships/hyperlink" Target="https://www.google.com/url?sa=t&amp;rct=j&amp;q=&amp;esrc=s&amp;source=web&amp;cd=1&amp;ved=2ahUKEwjQ-fmluNjnAhVBC-wKHZGRBt8QFjAAegQIARAB&amp;url=https%3A%2F%2Fec.europa.eu%2Finfo%2Ffiles%2F2020-commission-work-programme-annex-1_en&amp;usg=AOvVaw23MKMPh4HaRF4NlfXJcc4G" TargetMode="External"/><Relationship Id="rId16" Type="http://schemas.openxmlformats.org/officeDocument/2006/relationships/hyperlink" Target="https://eur-lex.europa.eu/legal-content/EN/TXT/?uri=celex%3A31996L0009" TargetMode="External"/><Relationship Id="rId20" Type="http://schemas.openxmlformats.org/officeDocument/2006/relationships/hyperlink" Target="https://eur-lex.europa.eu/legal-content/EN/TXT/?uri=CELEX%3A52020PC0767" TargetMode="External"/><Relationship Id="rId29" Type="http://schemas.openxmlformats.org/officeDocument/2006/relationships/hyperlink" Target="https://eur-lex.europa.eu/legal-content/EN/TXT/?uri=CELEX%3A32018R0858" TargetMode="External"/><Relationship Id="rId41" Type="http://schemas.openxmlformats.org/officeDocument/2006/relationships/hyperlink" Target="https://eur-lex.europa.eu/legal-content/EN/TXT/?uri=COM%3A2019%3A640%3AFIN" TargetMode="External"/><Relationship Id="rId54" Type="http://schemas.openxmlformats.org/officeDocument/2006/relationships/hyperlink" Target="https://eur-lex.europa.eu/legal-content/EN/TXT/?uri=CELEX%3A52020DC0760" TargetMode="External"/><Relationship Id="rId62" Type="http://schemas.openxmlformats.org/officeDocument/2006/relationships/hyperlink" Target="https://ec.europa.eu/info/sites/default/files/swd2021_305_en.pdf" TargetMode="External"/><Relationship Id="rId1" Type="http://schemas.openxmlformats.org/officeDocument/2006/relationships/hyperlink" Target="https://ec.europa.eu/info/sites/default/files/political-guidelines-next-commission_en_0.pdf" TargetMode="External"/><Relationship Id="rId6" Type="http://schemas.openxmlformats.org/officeDocument/2006/relationships/hyperlink" Target="https://www.consilium.europa.eu/media/45910/021020-euco-final-conclusions.pdf" TargetMode="External"/><Relationship Id="rId11" Type="http://schemas.openxmlformats.org/officeDocument/2006/relationships/hyperlink" Target="https://eur-lex.europa.eu/legal-content/EN/ALL/?uri=CELEX%3A32002L0058" TargetMode="External"/><Relationship Id="rId24" Type="http://schemas.openxmlformats.org/officeDocument/2006/relationships/hyperlink" Target="https://eur-lex.europa.eu/legal-content/EN/TXT/?uri=CELEX%3A32007L0002&amp;qid=1640002336584" TargetMode="External"/><Relationship Id="rId32" Type="http://schemas.openxmlformats.org/officeDocument/2006/relationships/hyperlink" Target="https://eur-lex.europa.eu/legal-content/EN/ALL/?uri=CELEX:32004R0549" TargetMode="External"/><Relationship Id="rId37" Type="http://schemas.openxmlformats.org/officeDocument/2006/relationships/hyperlink" Target="https://eur-lex.europa.eu/legal-content/EN/ALL/?uri=COM:2021:559:FIN" TargetMode="External"/><Relationship Id="rId40" Type="http://schemas.openxmlformats.org/officeDocument/2006/relationships/hyperlink" Target="https://ec.europa.eu/environment/pdf/zero-pollution-action-plan/communication_en.pdf" TargetMode="External"/><Relationship Id="rId45" Type="http://schemas.openxmlformats.org/officeDocument/2006/relationships/hyperlink" Target="http://data.consilium.europa.eu/doc/document/ST-6650-2020-INIT/en/pdf" TargetMode="External"/><Relationship Id="rId53" Type="http://schemas.openxmlformats.org/officeDocument/2006/relationships/hyperlink" Target="https://eur-lex.europa.eu/legal-content/EN/TXT/?uri=CELEX%3A52020DC0066" TargetMode="External"/><Relationship Id="rId58" Type="http://schemas.openxmlformats.org/officeDocument/2006/relationships/hyperlink" Target="https://digital-strategy.ec.europa.eu/en/public-consultation-data-act-summary-report" TargetMode="External"/><Relationship Id="rId5" Type="http://schemas.openxmlformats.org/officeDocument/2006/relationships/hyperlink" Target="https://www.consilium.europa.eu/media/48976/250321-vtc-euco-statement-en.pdf" TargetMode="External"/><Relationship Id="rId15" Type="http://schemas.openxmlformats.org/officeDocument/2006/relationships/hyperlink" Target="https://eur-lex.europa.eu/legal-content/EN/ALL/?uri=celex%3A32010R1217" TargetMode="External"/><Relationship Id="rId23" Type="http://schemas.openxmlformats.org/officeDocument/2006/relationships/hyperlink" Target="https://www.europarl.europa.eu/legislative-train/theme-a-european-green-deal/file-revision-of-the-inspire-directive" TargetMode="External"/><Relationship Id="rId28" Type="http://schemas.openxmlformats.org/officeDocument/2006/relationships/hyperlink" Target="https://eur-lex.europa.eu/legal-content/EN/TXT/?uri=uriserv%3AOJ.L_.2015.337.01.0035.01.ENG&amp;toc=OJ%3AL%3A2015%3A337%3ATOC" TargetMode="External"/><Relationship Id="rId36" Type="http://schemas.openxmlformats.org/officeDocument/2006/relationships/hyperlink" Target="https://eur-lex.europa.eu/legal-content/en/ALL/?uri=CELEX:32016D0566" TargetMode="External"/><Relationship Id="rId49" Type="http://schemas.openxmlformats.org/officeDocument/2006/relationships/hyperlink" Target="https://eur-lex.europa.eu/legal-content/EN/TXT/?uri=CELEX%3A52020DC0760" TargetMode="External"/><Relationship Id="rId57" Type="http://schemas.openxmlformats.org/officeDocument/2006/relationships/hyperlink" Target="https://ec.europa.eu/info/law/better-regulation/have-your-say/initiatives/13045-Data-Act-&amp;-amended-rules-on-the-legal-protection-of-databases_en" TargetMode="External"/><Relationship Id="rId61" Type="http://schemas.openxmlformats.org/officeDocument/2006/relationships/hyperlink" Target="https://edps.europa.eu/sites/edp/files/publication/20-06-16_opinion_data_strategy_en.pdf" TargetMode="External"/><Relationship Id="rId10" Type="http://schemas.openxmlformats.org/officeDocument/2006/relationships/hyperlink" Target="https://eur-lex.europa.eu/eli/reg/2016/679/oj" TargetMode="External"/><Relationship Id="rId19" Type="http://schemas.openxmlformats.org/officeDocument/2006/relationships/hyperlink" Target="https://eur-lex.europa.eu/legal-content/EN/TXT/?uri=CELEX%3A32015D2240" TargetMode="External"/><Relationship Id="rId31" Type="http://schemas.openxmlformats.org/officeDocument/2006/relationships/hyperlink" Target="https://eur-lex.europa.eu/legal-content/EN/TXT/?uri=uriserv%3AOJ.L_.2010.207.01.0001.01.ENG&amp;toc=OJ%3AL%3A2010%3A207%3ATOC" TargetMode="External"/><Relationship Id="rId44" Type="http://schemas.openxmlformats.org/officeDocument/2006/relationships/hyperlink" Target="https://data.consilium.europa.eu/doc/document/ST-11829-2020-INIT/en/pdf" TargetMode="External"/><Relationship Id="rId52" Type="http://schemas.openxmlformats.org/officeDocument/2006/relationships/hyperlink" Target="https://eur-lex.europa.eu/legal-content/EN/TXT/?uri=COM%3A2017%3A9%3AFIN" TargetMode="External"/><Relationship Id="rId60" Type="http://schemas.openxmlformats.org/officeDocument/2006/relationships/hyperlink" Target="https://eur-lex.europa.eu/legal-content/EN/TXT/?uri=CELEX%3A52018SC0125" TargetMode="External"/><Relationship Id="rId4" Type="http://schemas.openxmlformats.org/officeDocument/2006/relationships/hyperlink" Target="https://www.consilium.europa.eu/media/52622/20211022-euco-conclusions-en.pdf" TargetMode="External"/><Relationship Id="rId9" Type="http://schemas.openxmlformats.org/officeDocument/2006/relationships/hyperlink" Target="https://eur-lex.europa.eu/legal-content/EN/TXT/?uri=celex%3A31996L0009" TargetMode="External"/><Relationship Id="rId14" Type="http://schemas.openxmlformats.org/officeDocument/2006/relationships/hyperlink" Target="https://eur-lex.europa.eu/legal-content/EN/TXT/?uri=celex%3A31993L0013" TargetMode="External"/><Relationship Id="rId22" Type="http://schemas.openxmlformats.org/officeDocument/2006/relationships/hyperlink" Target="https://eur-lex.europa.eu/legal-content/EN/TXT/?uri=COM:2020:98:FIN&amp;WT.mc_id=Twitter" TargetMode="External"/><Relationship Id="rId27" Type="http://schemas.openxmlformats.org/officeDocument/2006/relationships/hyperlink" Target="https://eur-lex.europa.eu/legal-content/EN/TXT/?uri=uriserv%3AOJ.L_.2015.337.01.0035.01.ENG&amp;toc=OJ%3AL%3A2015%3A337%3ATOC" TargetMode="External"/><Relationship Id="rId30" Type="http://schemas.openxmlformats.org/officeDocument/2006/relationships/hyperlink" Target="https://eur-lex.europa.eu/legal-content/EN/TXT/?uri=CELEX:32013R0167" TargetMode="External"/><Relationship Id="rId35" Type="http://schemas.openxmlformats.org/officeDocument/2006/relationships/hyperlink" Target="https://eur-lex.europa.eu/legal-content/EN/TXT/?uri=CELEX%3A32014L0100" TargetMode="External"/><Relationship Id="rId43" Type="http://schemas.openxmlformats.org/officeDocument/2006/relationships/hyperlink" Target="https://data.consilium.europa.eu/doc/document/ST-13852-2020-INIT/en/pdf" TargetMode="External"/><Relationship Id="rId48" Type="http://schemas.openxmlformats.org/officeDocument/2006/relationships/hyperlink" Target="https://eur-lex.europa.eu/legal-content/EN/TXT/?uri=CELEX%3A52020DC0066" TargetMode="External"/><Relationship Id="rId56" Type="http://schemas.openxmlformats.org/officeDocument/2006/relationships/hyperlink" Target="https://ec.europa.eu/digital-single-market/news-redirect/683573" TargetMode="External"/><Relationship Id="rId64" Type="http://schemas.openxmlformats.org/officeDocument/2006/relationships/hyperlink" Target="https://eur-lex.europa.eu/legal-content/EN/AUTO/?uri=OJ:L:2016:123:TOC" TargetMode="External"/><Relationship Id="rId8" Type="http://schemas.openxmlformats.org/officeDocument/2006/relationships/hyperlink" Target="https://www.europarl.europa.eu/doceo/document/TA-9-2021-0098_EN.pdf" TargetMode="External"/><Relationship Id="rId51" Type="http://schemas.openxmlformats.org/officeDocument/2006/relationships/hyperlink" Target="https://eur-lex.europa.eu/legal-content/EN/TXT/?uri=COM%3A2017%3A9%3AFIN" TargetMode="External"/><Relationship Id="rId3" Type="http://schemas.openxmlformats.org/officeDocument/2006/relationships/hyperlink" Target="https://eur-lex.europa.eu/legal-content/EN/TXT/?uri=CELEX%3A52020DC0066" TargetMode="External"/><Relationship Id="rId12" Type="http://schemas.openxmlformats.org/officeDocument/2006/relationships/hyperlink" Target="https://eur-lex.europa.eu/legal-content/EN/TXT/?uri=celex%3A32018R1807" TargetMode="External"/><Relationship Id="rId17" Type="http://schemas.openxmlformats.org/officeDocument/2006/relationships/hyperlink" Target="https://eur-lex.europa.eu/legal-content/EN/TXT/?uri=celex%3A32019R1150" TargetMode="External"/><Relationship Id="rId25" Type="http://schemas.openxmlformats.org/officeDocument/2006/relationships/hyperlink" Target="https://eur-lex.europa.eu/legal-content/EN/TXT/?uri=CELEX%3A32019R0943" TargetMode="External"/><Relationship Id="rId33" Type="http://schemas.openxmlformats.org/officeDocument/2006/relationships/hyperlink" Target="https://eur-lex.europa.eu/legal-content/EN/TXT/?uri=CELEX%3A32004R0550&amp;qid=1640002564589" TargetMode="External"/><Relationship Id="rId38" Type="http://schemas.openxmlformats.org/officeDocument/2006/relationships/hyperlink" Target="https://eur-lex.europa.eu/legal-content/en/TXT/?uri=CELEX:52020DC0067" TargetMode="External"/><Relationship Id="rId46" Type="http://schemas.openxmlformats.org/officeDocument/2006/relationships/hyperlink" Target="https://www.europarl.europa.eu/doceo/document/TA-9-2019-0078_EN.html" TargetMode="External"/><Relationship Id="rId59" Type="http://schemas.openxmlformats.org/officeDocument/2006/relationships/hyperlink" Target="https://eur-lex.europa.eu/legal-content/en/ALL/?uri=CELEX%3A52018DC02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1C597-DE3D-4452-84B5-E4D999CC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64</Pages>
  <Words>31471</Words>
  <Characters>170262</Characters>
  <Application>Microsoft Office Word</Application>
  <DocSecurity>0</DocSecurity>
  <Lines>2660</Lines>
  <Paragraphs>665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41</cp:revision>
  <dcterms:created xsi:type="dcterms:W3CDTF">2022-02-22T14:38:00Z</dcterms:created>
  <dcterms:modified xsi:type="dcterms:W3CDTF">2022-02-22T15:31:00Z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2022-02-15T18:48:48Z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8dcb691b-c1f3-45ff-b640-837df815152d</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