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1C76" w14:textId="1BDD4F4F" w:rsidR="00AF6ECE" w:rsidRPr="00FF1C3E" w:rsidRDefault="001E4E00" w:rsidP="001E4E00">
      <w:pPr>
        <w:pStyle w:val="Pagedecouverture"/>
        <w:rPr>
          <w:noProof/>
        </w:rPr>
      </w:pPr>
      <w:r>
        <w:rPr>
          <w:noProof/>
        </w:rPr>
        <w:pict w14:anchorId="035FB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0408A8B-972C-49AE-B1E3-B46C49DB8428" style="width:455.25pt;height:429pt">
            <v:imagedata r:id="rId8" o:title=""/>
          </v:shape>
        </w:pict>
      </w:r>
    </w:p>
    <w:p w14:paraId="53BF9C94" w14:textId="77777777" w:rsidR="00AF6ECE" w:rsidRPr="00FF1C3E" w:rsidRDefault="00AF6ECE" w:rsidP="00AF6ECE">
      <w:pPr>
        <w:rPr>
          <w:noProof/>
        </w:rPr>
        <w:sectPr w:rsidR="00AF6ECE" w:rsidRPr="00FF1C3E" w:rsidSect="001E4E0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8E6BF11" w14:textId="77777777" w:rsidR="00AF6ECE" w:rsidRPr="00FF1C3E" w:rsidRDefault="00AF6ECE" w:rsidP="00AF6ECE">
      <w:pPr>
        <w:pStyle w:val="Annexetitre"/>
        <w:rPr>
          <w:noProof/>
        </w:rPr>
      </w:pPr>
      <w:bookmarkStart w:id="0" w:name="_GoBack"/>
      <w:bookmarkEnd w:id="0"/>
      <w:r w:rsidRPr="00FF1C3E">
        <w:rPr>
          <w:noProof/>
          <w:color w:val="000000" w:themeColor="text1"/>
        </w:rPr>
        <w:lastRenderedPageBreak/>
        <w:t>BIJLAGE</w:t>
      </w:r>
    </w:p>
    <w:p w14:paraId="473CEAA8" w14:textId="77777777" w:rsidR="001C2816" w:rsidRPr="00FF1C3E" w:rsidRDefault="001C2816" w:rsidP="00AF6ECE">
      <w:pPr>
        <w:rPr>
          <w:noProof/>
        </w:rPr>
      </w:pPr>
    </w:p>
    <w:p w14:paraId="07031610" w14:textId="77777777" w:rsidR="003855A7" w:rsidRPr="00FF1C3E" w:rsidRDefault="003855A7" w:rsidP="003855A7">
      <w:pPr>
        <w:pStyle w:val="Typedudocument"/>
        <w:spacing w:before="120" w:line="276" w:lineRule="auto"/>
        <w:rPr>
          <w:rStyle w:val="TypedudocumentChar"/>
          <w:b/>
          <w:noProof/>
        </w:rPr>
      </w:pPr>
      <w:r w:rsidRPr="00FF1C3E">
        <w:rPr>
          <w:rStyle w:val="TypedudocumentChar"/>
          <w:b/>
          <w:noProof/>
        </w:rPr>
        <w:t>AANBEVELING Nr. xx/xx</w:t>
      </w:r>
    </w:p>
    <w:p w14:paraId="1C720DED" w14:textId="77777777" w:rsidR="003855A7" w:rsidRPr="00FF1C3E" w:rsidRDefault="003855A7" w:rsidP="003855A7">
      <w:pPr>
        <w:pStyle w:val="Typedudocument"/>
        <w:spacing w:before="120" w:line="276" w:lineRule="auto"/>
        <w:rPr>
          <w:noProof/>
        </w:rPr>
      </w:pPr>
      <w:r w:rsidRPr="00FF1C3E">
        <w:rPr>
          <w:noProof/>
        </w:rPr>
        <w:t>VAN DE ASSOCIATIERAAD EU-REPUBLIEK MOLDAVIË</w:t>
      </w:r>
    </w:p>
    <w:p w14:paraId="5E8CF3B8" w14:textId="25B59AE8" w:rsidR="003855A7" w:rsidRPr="00FF1C3E" w:rsidRDefault="00FF1C3E" w:rsidP="003855A7">
      <w:pPr>
        <w:pStyle w:val="Datedadoption"/>
        <w:spacing w:before="120" w:line="276" w:lineRule="auto"/>
        <w:rPr>
          <w:noProof/>
        </w:rPr>
      </w:pPr>
      <w:r>
        <w:rPr>
          <w:noProof/>
        </w:rPr>
        <w:t xml:space="preserve">van </w:t>
      </w:r>
      <w:r w:rsidR="00DB77A7">
        <w:rPr>
          <w:noProof/>
        </w:rPr>
        <w:t>dd/mm/jjjj</w:t>
      </w:r>
    </w:p>
    <w:p w14:paraId="606EC3A4" w14:textId="47594C4C" w:rsidR="003855A7" w:rsidRPr="00FF1C3E" w:rsidRDefault="003855A7" w:rsidP="003855A7">
      <w:pPr>
        <w:pStyle w:val="Titreobjet"/>
        <w:spacing w:before="120" w:after="0" w:line="276" w:lineRule="auto"/>
        <w:rPr>
          <w:noProof/>
        </w:rPr>
      </w:pPr>
      <w:r w:rsidRPr="00FF1C3E">
        <w:rPr>
          <w:noProof/>
        </w:rPr>
        <w:t>inzake de associatieagenda EU-Republiek Moldavië</w:t>
      </w:r>
    </w:p>
    <w:p w14:paraId="145456B4" w14:textId="77777777" w:rsidR="003855A7" w:rsidRPr="00FF1C3E" w:rsidRDefault="003855A7" w:rsidP="003855A7">
      <w:pPr>
        <w:spacing w:after="0" w:line="276" w:lineRule="auto"/>
        <w:rPr>
          <w:noProof/>
        </w:rPr>
      </w:pPr>
    </w:p>
    <w:p w14:paraId="028EEEFE" w14:textId="77777777" w:rsidR="003855A7" w:rsidRPr="00FF1C3E" w:rsidRDefault="003855A7" w:rsidP="003855A7">
      <w:pPr>
        <w:pStyle w:val="Institutionquiagit"/>
        <w:spacing w:before="120" w:after="0" w:line="276" w:lineRule="auto"/>
        <w:rPr>
          <w:noProof/>
        </w:rPr>
      </w:pPr>
      <w:r w:rsidRPr="00FF1C3E">
        <w:rPr>
          <w:noProof/>
        </w:rPr>
        <w:t>DE ASSOCIATIERAAD EU-REPUBLIEK MOLDAVIË,</w:t>
      </w:r>
    </w:p>
    <w:p w14:paraId="40733135" w14:textId="77777777" w:rsidR="003855A7" w:rsidRPr="00FF1C3E" w:rsidRDefault="003855A7" w:rsidP="003855A7">
      <w:pPr>
        <w:spacing w:after="0" w:line="276" w:lineRule="auto"/>
        <w:rPr>
          <w:noProof/>
        </w:rPr>
      </w:pPr>
      <w:r w:rsidRPr="00FF1C3E">
        <w:rPr>
          <w:noProof/>
        </w:rPr>
        <w:t>Gezien de associatieovereenkomst tussen de Europese Unie en de Europese Gemeenschap voor Atoomenergie en hun lidstaten enerzijds en de Republiek Moldavië anderzijds,</w:t>
      </w:r>
    </w:p>
    <w:p w14:paraId="1E339B2B" w14:textId="77777777" w:rsidR="003855A7" w:rsidRPr="00FF1C3E" w:rsidRDefault="003855A7" w:rsidP="003855A7">
      <w:pPr>
        <w:spacing w:after="0" w:line="276" w:lineRule="auto"/>
        <w:rPr>
          <w:noProof/>
        </w:rPr>
      </w:pPr>
      <w:r w:rsidRPr="00FF1C3E">
        <w:rPr>
          <w:noProof/>
        </w:rPr>
        <w:t>Overwegende hetgeen volgt:</w:t>
      </w:r>
    </w:p>
    <w:p w14:paraId="3CD49417"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De associatieovereenkomst tussen de Europese Unie en de Europese Gemeenschap voor Atoomenergie en hun lidstaten enerzijds en de Republiek Moldavië anderzijds</w:t>
      </w:r>
      <w:r w:rsidRPr="00FF1C3E">
        <w:rPr>
          <w:rStyle w:val="FootnoteReference"/>
          <w:noProof/>
        </w:rPr>
        <w:footnoteReference w:id="1"/>
      </w:r>
      <w:r w:rsidRPr="00FF1C3E">
        <w:rPr>
          <w:noProof/>
        </w:rPr>
        <w:t xml:space="preserve"> (de “overeenkomst”) is op 27 juni 2014 ondertekend en op 1 juli 2016 in werking getreden.</w:t>
      </w:r>
    </w:p>
    <w:p w14:paraId="42421D88"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Overeenkomstig artikel 436, lid 1, van de overeenkomst heeft de Associatieraad de bevoegdheid passende aanbevelingen vast te stellen om de doelstellingen van de overeenkomst te verwezenlijken.</w:t>
      </w:r>
    </w:p>
    <w:p w14:paraId="7D73C8D0"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Krachtens artikel 453, lid 1, van de overeenkomst treffen de partijen alle algemene en bijzondere maatregelen die vereist zijn om aan hun verplichtingen krachtens de overeenkomst te voldoen en zien zij erop toe dat de in de overeenkomst vastgelegde doelstellingen worden bereikt.</w:t>
      </w:r>
    </w:p>
    <w:p w14:paraId="5DEBCEAB"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Op grond van artikel 11 van het reglement van orde kan de Associatieraad tussen de vergaderingen in besluiten vaststellen via schriftelijke procedure, als beide partijen daarmee instemmen.</w:t>
      </w:r>
    </w:p>
    <w:p w14:paraId="3A6460BF"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 xml:space="preserve">De Unie en de Republiek Moldavië hebben afgesproken hun partnerschap te bestendigen door een aantal prioriteiten overeen te komen voor de periode 2021-2027 voor de gezamenlijke werkzaamheden ter verwezenlijking van de doelstellingen van politieke associatie en economische integratie, zoals vastgelegd in de overeenkomst. </w:t>
      </w:r>
    </w:p>
    <w:p w14:paraId="37E04512" w14:textId="77777777" w:rsidR="003855A7" w:rsidRPr="00FF1C3E" w:rsidRDefault="003855A7" w:rsidP="00A038EF">
      <w:pPr>
        <w:pStyle w:val="Considrant"/>
        <w:numPr>
          <w:ilvl w:val="0"/>
          <w:numId w:val="14"/>
        </w:numPr>
        <w:spacing w:after="0" w:line="276" w:lineRule="auto"/>
        <w:ind w:left="851" w:hanging="851"/>
        <w:rPr>
          <w:noProof/>
        </w:rPr>
      </w:pPr>
      <w:r w:rsidRPr="00FF1C3E">
        <w:rPr>
          <w:noProof/>
        </w:rPr>
        <w:t>De partijen bij de overeenkomst hebben overeenstemming bereikt over de tekst van de associatieagenda EU-Republiek Moldavië, die de uitvoering van de overeenkomst zal bevorderen en waarbij de nadruk ligt op samenwerking inzake gezamenlijk bepaalde gedeelde belangen,</w:t>
      </w:r>
    </w:p>
    <w:p w14:paraId="31C69A88" w14:textId="77777777" w:rsidR="003855A7" w:rsidRPr="00FF1C3E" w:rsidRDefault="003855A7" w:rsidP="003855A7">
      <w:pPr>
        <w:spacing w:after="0" w:line="276" w:lineRule="auto"/>
        <w:rPr>
          <w:noProof/>
        </w:rPr>
      </w:pPr>
    </w:p>
    <w:p w14:paraId="2B2328D3" w14:textId="77777777" w:rsidR="003855A7" w:rsidRPr="00FF1C3E" w:rsidRDefault="003855A7" w:rsidP="003855A7">
      <w:pPr>
        <w:pStyle w:val="Formuledadoption"/>
        <w:spacing w:after="0" w:line="276" w:lineRule="auto"/>
        <w:rPr>
          <w:noProof/>
        </w:rPr>
      </w:pPr>
      <w:r w:rsidRPr="00FF1C3E">
        <w:rPr>
          <w:noProof/>
        </w:rPr>
        <w:t>HEEFT DE VOLGENDE AANBEVELING VASTGESTELD:</w:t>
      </w:r>
    </w:p>
    <w:p w14:paraId="7EE2032F" w14:textId="77777777" w:rsidR="003855A7" w:rsidRPr="00FF1C3E" w:rsidRDefault="003855A7" w:rsidP="003855A7">
      <w:pPr>
        <w:pStyle w:val="Titrearticle"/>
        <w:spacing w:before="240" w:after="0" w:line="276" w:lineRule="auto"/>
        <w:rPr>
          <w:noProof/>
        </w:rPr>
      </w:pPr>
      <w:r w:rsidRPr="00FF1C3E">
        <w:rPr>
          <w:noProof/>
        </w:rPr>
        <w:t>Artikel 1</w:t>
      </w:r>
    </w:p>
    <w:p w14:paraId="3FA12ECA" w14:textId="77777777" w:rsidR="003855A7" w:rsidRPr="00FF1C3E" w:rsidRDefault="003855A7" w:rsidP="003855A7">
      <w:pPr>
        <w:spacing w:after="0" w:line="276" w:lineRule="auto"/>
        <w:rPr>
          <w:noProof/>
        </w:rPr>
      </w:pPr>
      <w:r w:rsidRPr="00FF1C3E">
        <w:rPr>
          <w:noProof/>
        </w:rPr>
        <w:t>De Associatieraad beveelt aan dat de partijen de in de bijlage opgenomen associatieagenda EU-Republiek Moldavië uitvoeren</w:t>
      </w:r>
      <w:r w:rsidRPr="00FF1C3E">
        <w:rPr>
          <w:rStyle w:val="FootnoteReference"/>
          <w:noProof/>
        </w:rPr>
        <w:footnoteReference w:customMarkFollows="1" w:id="2"/>
        <w:sym w:font="Symbol" w:char="F02A"/>
      </w:r>
      <w:r w:rsidRPr="00FF1C3E">
        <w:rPr>
          <w:noProof/>
        </w:rPr>
        <w:t>.</w:t>
      </w:r>
    </w:p>
    <w:p w14:paraId="258CDA05" w14:textId="77777777" w:rsidR="003855A7" w:rsidRPr="00FF1C3E" w:rsidRDefault="003855A7" w:rsidP="003855A7">
      <w:pPr>
        <w:pStyle w:val="Titrearticle"/>
        <w:spacing w:before="240" w:after="0" w:line="276" w:lineRule="auto"/>
        <w:rPr>
          <w:noProof/>
        </w:rPr>
      </w:pPr>
      <w:r w:rsidRPr="00FF1C3E">
        <w:rPr>
          <w:noProof/>
        </w:rPr>
        <w:t>Artikel 2</w:t>
      </w:r>
    </w:p>
    <w:p w14:paraId="2794B51B" w14:textId="77777777" w:rsidR="003855A7" w:rsidRPr="00FF1C3E" w:rsidRDefault="003855A7" w:rsidP="003855A7">
      <w:pPr>
        <w:spacing w:after="0" w:line="276" w:lineRule="auto"/>
        <w:rPr>
          <w:iCs/>
          <w:noProof/>
        </w:rPr>
      </w:pPr>
      <w:r w:rsidRPr="00FF1C3E">
        <w:rPr>
          <w:noProof/>
        </w:rPr>
        <w:t>De associatieagenda EU-Republiek Moldavië in de bijlage vervangt de associatieagenda EU-Republiek Moldavië die werd vastgesteld op 19 augustus 2017.</w:t>
      </w:r>
    </w:p>
    <w:p w14:paraId="0EF484A2" w14:textId="77777777" w:rsidR="003855A7" w:rsidRPr="00FF1C3E" w:rsidRDefault="003855A7" w:rsidP="003855A7">
      <w:pPr>
        <w:pStyle w:val="Titrearticle"/>
        <w:spacing w:before="240" w:after="0" w:line="276" w:lineRule="auto"/>
        <w:rPr>
          <w:noProof/>
        </w:rPr>
      </w:pPr>
      <w:r w:rsidRPr="00FF1C3E">
        <w:rPr>
          <w:noProof/>
        </w:rPr>
        <w:t>Artikel 3</w:t>
      </w:r>
    </w:p>
    <w:p w14:paraId="5590FAB1" w14:textId="77777777" w:rsidR="003855A7" w:rsidRPr="00FF1C3E" w:rsidRDefault="003855A7" w:rsidP="003855A7">
      <w:pPr>
        <w:spacing w:after="0" w:line="276" w:lineRule="auto"/>
        <w:rPr>
          <w:noProof/>
        </w:rPr>
      </w:pPr>
      <w:r w:rsidRPr="00FF1C3E">
        <w:rPr>
          <w:noProof/>
        </w:rPr>
        <w:t>Deze aanbeveling wordt van kracht op de dag waarop zij wordt vastgesteld.</w:t>
      </w:r>
    </w:p>
    <w:p w14:paraId="35EE28DA" w14:textId="77777777" w:rsidR="003855A7" w:rsidRPr="00FF1C3E" w:rsidRDefault="003855A7" w:rsidP="003855A7">
      <w:pPr>
        <w:pStyle w:val="Fait"/>
        <w:spacing w:line="276" w:lineRule="auto"/>
        <w:rPr>
          <w:noProof/>
        </w:rPr>
      </w:pPr>
      <w:r w:rsidRPr="00FF1C3E">
        <w:rPr>
          <w:noProof/>
        </w:rPr>
        <w:t>Gedaan te Brussel, [dag maand jaar].</w:t>
      </w:r>
    </w:p>
    <w:p w14:paraId="0CA1F0CA" w14:textId="77777777" w:rsidR="009B3096" w:rsidRPr="00FF1C3E" w:rsidRDefault="009B3096" w:rsidP="009B3096">
      <w:pPr>
        <w:spacing w:after="0" w:line="276" w:lineRule="auto"/>
        <w:rPr>
          <w:noProof/>
        </w:rPr>
      </w:pPr>
    </w:p>
    <w:p w14:paraId="3B9F34B3" w14:textId="77777777" w:rsidR="009B3096" w:rsidRPr="00FF1C3E" w:rsidRDefault="009B3096" w:rsidP="009B3096">
      <w:pPr>
        <w:spacing w:after="0" w:line="276" w:lineRule="auto"/>
        <w:rPr>
          <w:noProof/>
        </w:rPr>
      </w:pPr>
    </w:p>
    <w:p w14:paraId="65B57D29" w14:textId="77777777" w:rsidR="003855A7" w:rsidRPr="00FF1C3E" w:rsidRDefault="003855A7" w:rsidP="003855A7">
      <w:pPr>
        <w:pStyle w:val="Institutionquisigne"/>
        <w:spacing w:before="120" w:line="276" w:lineRule="auto"/>
        <w:rPr>
          <w:noProof/>
        </w:rPr>
      </w:pPr>
      <w:r w:rsidRPr="00FF1C3E">
        <w:rPr>
          <w:noProof/>
        </w:rPr>
        <w:tab/>
        <w:t>Voor de Associatieraad</w:t>
      </w:r>
    </w:p>
    <w:p w14:paraId="7E8F6854" w14:textId="77777777" w:rsidR="003855A7" w:rsidRPr="00FF1C3E" w:rsidRDefault="003855A7" w:rsidP="003855A7">
      <w:pPr>
        <w:pStyle w:val="Personnequisigne"/>
        <w:spacing w:before="120" w:line="276" w:lineRule="auto"/>
        <w:jc w:val="both"/>
        <w:rPr>
          <w:noProof/>
        </w:rPr>
      </w:pPr>
      <w:r w:rsidRPr="00FF1C3E">
        <w:rPr>
          <w:noProof/>
        </w:rPr>
        <w:tab/>
        <w:t>De voorzitter</w:t>
      </w:r>
    </w:p>
    <w:p w14:paraId="5DB888A4" w14:textId="3A4F7C7D" w:rsidR="00454815" w:rsidRPr="00FF1C3E" w:rsidRDefault="00454815" w:rsidP="003855A7">
      <w:pPr>
        <w:spacing w:before="0" w:after="200" w:line="276" w:lineRule="auto"/>
        <w:rPr>
          <w:noProof/>
        </w:rPr>
      </w:pPr>
    </w:p>
    <w:p w14:paraId="7361E710" w14:textId="77777777" w:rsidR="00454815" w:rsidRPr="00FF1C3E" w:rsidRDefault="00454815">
      <w:pPr>
        <w:spacing w:before="0" w:after="200" w:line="276" w:lineRule="auto"/>
        <w:jc w:val="left"/>
        <w:rPr>
          <w:noProof/>
        </w:rPr>
        <w:sectPr w:rsidR="00454815" w:rsidRPr="00FF1C3E" w:rsidSect="001E4E00">
          <w:footerReference w:type="default" r:id="rId15"/>
          <w:footerReference w:type="first" r:id="rId16"/>
          <w:pgSz w:w="11907" w:h="16839"/>
          <w:pgMar w:top="1134" w:right="1417" w:bottom="1134" w:left="1417" w:header="709" w:footer="709" w:gutter="0"/>
          <w:cols w:space="720"/>
          <w:docGrid w:linePitch="360"/>
        </w:sectPr>
      </w:pPr>
    </w:p>
    <w:p w14:paraId="0A31ECC0" w14:textId="77777777" w:rsidR="00454815" w:rsidRPr="00FF1C3E" w:rsidRDefault="00454815" w:rsidP="003855A7">
      <w:pPr>
        <w:spacing w:before="0" w:after="200" w:line="276" w:lineRule="auto"/>
        <w:rPr>
          <w:noProof/>
        </w:rPr>
      </w:pPr>
    </w:p>
    <w:p w14:paraId="177A1AC3" w14:textId="77777777" w:rsidR="003855A7" w:rsidRPr="00FF1C3E" w:rsidRDefault="003855A7" w:rsidP="00C76A34">
      <w:pPr>
        <w:jc w:val="center"/>
        <w:rPr>
          <w:b/>
          <w:noProof/>
          <w:u w:val="single"/>
        </w:rPr>
      </w:pPr>
      <w:r w:rsidRPr="00FF1C3E">
        <w:rPr>
          <w:b/>
          <w:noProof/>
          <w:u w:val="single"/>
        </w:rPr>
        <w:t>BIJLAGE</w:t>
      </w:r>
    </w:p>
    <w:p w14:paraId="426163A3" w14:textId="77777777" w:rsidR="003855A7" w:rsidRPr="00FF1C3E" w:rsidRDefault="003855A7" w:rsidP="003855A7">
      <w:pPr>
        <w:rPr>
          <w:noProof/>
        </w:rPr>
      </w:pPr>
    </w:p>
    <w:p w14:paraId="2D3831EB" w14:textId="77777777" w:rsidR="003855A7" w:rsidRPr="00FF1C3E" w:rsidRDefault="003855A7" w:rsidP="003855A7">
      <w:pPr>
        <w:spacing w:after="0"/>
        <w:jc w:val="center"/>
        <w:rPr>
          <w:rFonts w:eastAsia="Times New Roman"/>
          <w:b/>
          <w:smallCaps/>
          <w:noProof/>
          <w:sz w:val="32"/>
          <w:szCs w:val="32"/>
        </w:rPr>
      </w:pPr>
    </w:p>
    <w:p w14:paraId="5FDFC5B5" w14:textId="77777777" w:rsidR="003855A7" w:rsidRPr="00FF1C3E" w:rsidRDefault="003855A7" w:rsidP="003855A7">
      <w:pPr>
        <w:spacing w:after="0"/>
        <w:jc w:val="center"/>
        <w:rPr>
          <w:rFonts w:eastAsia="Times New Roman"/>
          <w:b/>
          <w:smallCaps/>
          <w:noProof/>
          <w:sz w:val="32"/>
          <w:szCs w:val="32"/>
        </w:rPr>
      </w:pPr>
    </w:p>
    <w:p w14:paraId="26B09995" w14:textId="77777777" w:rsidR="003855A7" w:rsidRPr="00FF1C3E" w:rsidRDefault="003855A7" w:rsidP="003855A7">
      <w:pPr>
        <w:spacing w:after="0"/>
        <w:jc w:val="center"/>
        <w:rPr>
          <w:rFonts w:eastAsia="Times New Roman"/>
          <w:b/>
          <w:smallCaps/>
          <w:noProof/>
          <w:sz w:val="32"/>
          <w:szCs w:val="32"/>
        </w:rPr>
      </w:pPr>
    </w:p>
    <w:p w14:paraId="6000A106" w14:textId="77777777" w:rsidR="003855A7" w:rsidRPr="00FF1C3E" w:rsidRDefault="003855A7" w:rsidP="003855A7">
      <w:pPr>
        <w:spacing w:after="0"/>
        <w:jc w:val="center"/>
        <w:rPr>
          <w:rFonts w:eastAsia="Times New Roman"/>
          <w:b/>
          <w:smallCaps/>
          <w:noProof/>
          <w:sz w:val="32"/>
          <w:szCs w:val="32"/>
        </w:rPr>
      </w:pPr>
    </w:p>
    <w:p w14:paraId="132E505A" w14:textId="77777777" w:rsidR="003855A7" w:rsidRPr="00FF1C3E" w:rsidRDefault="003855A7" w:rsidP="003855A7">
      <w:pPr>
        <w:spacing w:after="0"/>
        <w:jc w:val="center"/>
        <w:rPr>
          <w:rFonts w:eastAsia="Times New Roman"/>
          <w:b/>
          <w:smallCaps/>
          <w:noProof/>
          <w:sz w:val="32"/>
          <w:szCs w:val="32"/>
        </w:rPr>
      </w:pPr>
      <w:r w:rsidRPr="00FF1C3E">
        <w:rPr>
          <w:b/>
          <w:smallCaps/>
          <w:noProof/>
          <w:sz w:val="32"/>
          <w:szCs w:val="32"/>
        </w:rPr>
        <w:t>2021-2027</w:t>
      </w:r>
    </w:p>
    <w:p w14:paraId="72CD591F" w14:textId="77777777" w:rsidR="003855A7" w:rsidRPr="00FF1C3E" w:rsidRDefault="003855A7" w:rsidP="003855A7">
      <w:pPr>
        <w:spacing w:after="0"/>
        <w:jc w:val="center"/>
        <w:rPr>
          <w:rFonts w:eastAsia="Times New Roman"/>
          <w:b/>
          <w:smallCaps/>
          <w:noProof/>
          <w:sz w:val="32"/>
          <w:szCs w:val="32"/>
        </w:rPr>
      </w:pPr>
    </w:p>
    <w:p w14:paraId="4AE0DE97" w14:textId="77777777" w:rsidR="003855A7" w:rsidRPr="00FF1C3E" w:rsidRDefault="003855A7" w:rsidP="003855A7">
      <w:pPr>
        <w:jc w:val="center"/>
        <w:rPr>
          <w:rFonts w:eastAsia="Times New Roman"/>
          <w:b/>
          <w:smallCaps/>
          <w:noProof/>
          <w:sz w:val="32"/>
          <w:szCs w:val="32"/>
        </w:rPr>
      </w:pPr>
      <w:r w:rsidRPr="00FF1C3E">
        <w:rPr>
          <w:b/>
          <w:smallCaps/>
          <w:noProof/>
          <w:sz w:val="32"/>
          <w:szCs w:val="32"/>
        </w:rPr>
        <w:t>ASSOCIATIEAGENDA</w:t>
      </w:r>
    </w:p>
    <w:p w14:paraId="2FC82916" w14:textId="77777777" w:rsidR="003855A7" w:rsidRPr="00FF1C3E" w:rsidRDefault="003855A7" w:rsidP="003855A7">
      <w:pPr>
        <w:jc w:val="center"/>
        <w:rPr>
          <w:rFonts w:eastAsia="Times New Roman"/>
          <w:b/>
          <w:smallCaps/>
          <w:noProof/>
          <w:sz w:val="32"/>
          <w:szCs w:val="32"/>
        </w:rPr>
      </w:pPr>
      <w:r w:rsidRPr="00FF1C3E">
        <w:rPr>
          <w:b/>
          <w:smallCaps/>
          <w:noProof/>
          <w:sz w:val="32"/>
          <w:szCs w:val="32"/>
        </w:rPr>
        <w:t>TUSSEN</w:t>
      </w:r>
    </w:p>
    <w:p w14:paraId="2CDD0FDA" w14:textId="77777777" w:rsidR="003855A7" w:rsidRPr="00FF1C3E" w:rsidRDefault="003855A7" w:rsidP="003855A7">
      <w:pPr>
        <w:spacing w:before="240"/>
        <w:jc w:val="center"/>
        <w:rPr>
          <w:rFonts w:eastAsia="Times New Roman"/>
          <w:b/>
          <w:smallCaps/>
          <w:noProof/>
          <w:sz w:val="32"/>
          <w:szCs w:val="32"/>
        </w:rPr>
      </w:pPr>
      <w:r w:rsidRPr="00FF1C3E">
        <w:rPr>
          <w:b/>
          <w:smallCaps/>
          <w:noProof/>
          <w:sz w:val="32"/>
          <w:szCs w:val="32"/>
        </w:rPr>
        <w:t>DE EUROPESE UNIE</w:t>
      </w:r>
    </w:p>
    <w:p w14:paraId="37B5F663" w14:textId="77777777" w:rsidR="003855A7" w:rsidRPr="00FF1C3E" w:rsidRDefault="003855A7" w:rsidP="003855A7">
      <w:pPr>
        <w:spacing w:before="240"/>
        <w:jc w:val="center"/>
        <w:rPr>
          <w:rFonts w:eastAsia="Times New Roman"/>
          <w:b/>
          <w:smallCaps/>
          <w:noProof/>
          <w:sz w:val="32"/>
          <w:szCs w:val="32"/>
        </w:rPr>
      </w:pPr>
      <w:r w:rsidRPr="00FF1C3E">
        <w:rPr>
          <w:b/>
          <w:smallCaps/>
          <w:noProof/>
          <w:sz w:val="32"/>
          <w:szCs w:val="32"/>
        </w:rPr>
        <w:t>EN</w:t>
      </w:r>
    </w:p>
    <w:p w14:paraId="5ABA05C9" w14:textId="77777777" w:rsidR="003855A7" w:rsidRPr="00FF1C3E" w:rsidRDefault="003855A7" w:rsidP="003855A7">
      <w:pPr>
        <w:spacing w:before="240"/>
        <w:jc w:val="center"/>
        <w:rPr>
          <w:rFonts w:eastAsia="Times New Roman"/>
          <w:b/>
          <w:smallCaps/>
          <w:noProof/>
          <w:sz w:val="32"/>
          <w:szCs w:val="32"/>
        </w:rPr>
      </w:pPr>
      <w:r w:rsidRPr="00FF1C3E">
        <w:rPr>
          <w:b/>
          <w:smallCaps/>
          <w:noProof/>
          <w:sz w:val="32"/>
          <w:szCs w:val="32"/>
        </w:rPr>
        <w:t>DE REPUBLIEK MOLDAVIË</w:t>
      </w:r>
    </w:p>
    <w:p w14:paraId="2D7CD759" w14:textId="77777777" w:rsidR="003855A7" w:rsidRPr="00FF1C3E" w:rsidRDefault="003855A7" w:rsidP="003855A7">
      <w:pPr>
        <w:spacing w:before="240"/>
        <w:jc w:val="center"/>
        <w:rPr>
          <w:rFonts w:eastAsia="Times New Roman"/>
          <w:b/>
          <w:smallCaps/>
          <w:noProof/>
          <w:sz w:val="32"/>
          <w:szCs w:val="32"/>
        </w:rPr>
      </w:pPr>
    </w:p>
    <w:p w14:paraId="295E3751" w14:textId="77777777" w:rsidR="003855A7" w:rsidRPr="00FF1C3E" w:rsidRDefault="003855A7" w:rsidP="003855A7">
      <w:pPr>
        <w:rPr>
          <w:rFonts w:eastAsia="Times New Roman"/>
          <w:b/>
          <w:noProof/>
          <w:sz w:val="28"/>
          <w:szCs w:val="28"/>
        </w:rPr>
      </w:pPr>
      <w:r w:rsidRPr="00FF1C3E">
        <w:rPr>
          <w:noProof/>
        </w:rPr>
        <w:br w:type="page"/>
      </w:r>
    </w:p>
    <w:p w14:paraId="1E7CEAEE" w14:textId="77777777" w:rsidR="003855A7" w:rsidRPr="00FF1C3E" w:rsidRDefault="003855A7" w:rsidP="003855A7">
      <w:pPr>
        <w:rPr>
          <w:rFonts w:eastAsia="Times New Roman"/>
          <w:b/>
          <w:noProof/>
          <w:sz w:val="28"/>
          <w:szCs w:val="28"/>
        </w:rPr>
      </w:pPr>
    </w:p>
    <w:p w14:paraId="394D7165" w14:textId="77777777" w:rsidR="003855A7" w:rsidRPr="00FF1C3E" w:rsidRDefault="003855A7" w:rsidP="003855A7">
      <w:pPr>
        <w:jc w:val="center"/>
        <w:rPr>
          <w:rFonts w:eastAsia="Times New Roman"/>
          <w:b/>
          <w:noProof/>
          <w:sz w:val="28"/>
          <w:szCs w:val="28"/>
        </w:rPr>
      </w:pPr>
      <w:r w:rsidRPr="00FF1C3E">
        <w:rPr>
          <w:b/>
          <w:noProof/>
          <w:sz w:val="28"/>
          <w:szCs w:val="28"/>
        </w:rPr>
        <w:t>Inhoudsopgave</w:t>
      </w:r>
    </w:p>
    <w:p w14:paraId="6B040DB9" w14:textId="77777777" w:rsidR="003855A7" w:rsidRPr="00FF1C3E" w:rsidRDefault="003855A7" w:rsidP="003855A7">
      <w:pPr>
        <w:jc w:val="center"/>
        <w:rPr>
          <w:rFonts w:eastAsia="Times New Roman"/>
          <w:b/>
          <w:noProof/>
          <w:szCs w:val="24"/>
        </w:rPr>
      </w:pPr>
    </w:p>
    <w:p w14:paraId="158F70D7" w14:textId="287A4551" w:rsidR="003855A7" w:rsidRPr="00FF1C3E" w:rsidRDefault="003855A7" w:rsidP="003855A7">
      <w:pPr>
        <w:spacing w:before="0" w:after="0"/>
        <w:rPr>
          <w:rFonts w:eastAsia="Times New Roman"/>
          <w:b/>
          <w:noProof/>
          <w:sz w:val="22"/>
        </w:rPr>
      </w:pPr>
      <w:r w:rsidRPr="00FF1C3E">
        <w:rPr>
          <w:b/>
          <w:noProof/>
          <w:sz w:val="22"/>
        </w:rPr>
        <w:t>Inleiding</w:t>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0091630E" w:rsidRPr="00FF1C3E">
        <w:rPr>
          <w:b/>
          <w:noProof/>
          <w:sz w:val="22"/>
        </w:rPr>
        <w:t>5</w:t>
      </w:r>
    </w:p>
    <w:p w14:paraId="3AE89AAF" w14:textId="77777777" w:rsidR="003855A7" w:rsidRPr="00FF1C3E" w:rsidRDefault="003855A7" w:rsidP="003855A7">
      <w:pPr>
        <w:spacing w:before="0" w:after="0"/>
        <w:ind w:left="284" w:hanging="284"/>
        <w:rPr>
          <w:rFonts w:eastAsia="Times New Roman"/>
          <w:b/>
          <w:noProof/>
          <w:sz w:val="22"/>
        </w:rPr>
      </w:pPr>
    </w:p>
    <w:p w14:paraId="0882F65B" w14:textId="45145537" w:rsidR="003855A7" w:rsidRPr="00FF1C3E" w:rsidRDefault="003855A7" w:rsidP="003855A7">
      <w:pPr>
        <w:spacing w:before="0" w:after="0"/>
        <w:ind w:left="284" w:hanging="284"/>
        <w:rPr>
          <w:rFonts w:eastAsia="Times New Roman"/>
          <w:b/>
          <w:noProof/>
          <w:sz w:val="22"/>
        </w:rPr>
      </w:pPr>
      <w:r w:rsidRPr="00FF1C3E">
        <w:rPr>
          <w:b/>
          <w:noProof/>
          <w:sz w:val="22"/>
        </w:rPr>
        <w:t>1</w:t>
      </w:r>
      <w:r w:rsidRPr="00FF1C3E">
        <w:rPr>
          <w:b/>
          <w:noProof/>
          <w:sz w:val="22"/>
        </w:rPr>
        <w:tab/>
        <w:t xml:space="preserve">Beginselen, instrumenten en middelen voor de uitvoering van de associatieagenda </w:t>
      </w:r>
      <w:r w:rsidRPr="00FF1C3E">
        <w:rPr>
          <w:b/>
          <w:noProof/>
          <w:sz w:val="22"/>
        </w:rPr>
        <w:tab/>
      </w:r>
      <w:r w:rsidR="0091630E" w:rsidRPr="00FF1C3E">
        <w:rPr>
          <w:b/>
          <w:noProof/>
          <w:sz w:val="22"/>
        </w:rPr>
        <w:t>7</w:t>
      </w:r>
    </w:p>
    <w:p w14:paraId="2331BF2D" w14:textId="77777777" w:rsidR="003855A7" w:rsidRPr="00FF1C3E" w:rsidRDefault="003855A7" w:rsidP="003855A7">
      <w:pPr>
        <w:spacing w:before="0" w:after="0"/>
        <w:ind w:left="284" w:hanging="284"/>
        <w:rPr>
          <w:rFonts w:eastAsia="Times New Roman"/>
          <w:b/>
          <w:noProof/>
          <w:sz w:val="22"/>
        </w:rPr>
      </w:pPr>
    </w:p>
    <w:p w14:paraId="467FEB14" w14:textId="3903103E" w:rsidR="003855A7" w:rsidRPr="00FF1C3E" w:rsidRDefault="003855A7" w:rsidP="003855A7">
      <w:pPr>
        <w:spacing w:before="0" w:after="0"/>
        <w:ind w:left="284" w:hanging="284"/>
        <w:rPr>
          <w:rFonts w:eastAsia="Times New Roman"/>
          <w:b/>
          <w:noProof/>
          <w:sz w:val="22"/>
        </w:rPr>
      </w:pPr>
      <w:r w:rsidRPr="00FF1C3E">
        <w:rPr>
          <w:b/>
          <w:noProof/>
          <w:sz w:val="22"/>
        </w:rPr>
        <w:t>2</w:t>
      </w:r>
      <w:r w:rsidRPr="00FF1C3E">
        <w:rPr>
          <w:b/>
          <w:noProof/>
          <w:sz w:val="22"/>
        </w:rPr>
        <w:tab/>
        <w:t>Algemene doelstellingen voor de samenwerking tussen de EU en de Republiek Moldavië</w:t>
      </w:r>
      <w:r w:rsidRPr="00FF1C3E">
        <w:rPr>
          <w:b/>
          <w:noProof/>
          <w:sz w:val="22"/>
        </w:rPr>
        <w:tab/>
      </w:r>
      <w:r w:rsidR="0091630E" w:rsidRPr="00FF1C3E">
        <w:rPr>
          <w:b/>
          <w:noProof/>
          <w:sz w:val="22"/>
        </w:rPr>
        <w:t>9</w:t>
      </w:r>
    </w:p>
    <w:p w14:paraId="346A2DEA" w14:textId="77777777" w:rsidR="003855A7" w:rsidRPr="00FF1C3E" w:rsidRDefault="003855A7" w:rsidP="003855A7">
      <w:pPr>
        <w:spacing w:before="0" w:after="0"/>
        <w:ind w:left="284" w:hanging="284"/>
        <w:rPr>
          <w:rFonts w:eastAsia="Times New Roman"/>
          <w:b/>
          <w:noProof/>
          <w:sz w:val="22"/>
        </w:rPr>
      </w:pPr>
    </w:p>
    <w:p w14:paraId="68704711" w14:textId="77777777" w:rsidR="003855A7" w:rsidRPr="00FF1C3E" w:rsidRDefault="0015588D" w:rsidP="0015588D">
      <w:pPr>
        <w:pBdr>
          <w:top w:val="nil"/>
          <w:left w:val="nil"/>
          <w:bottom w:val="nil"/>
          <w:right w:val="nil"/>
          <w:between w:val="nil"/>
        </w:pBdr>
        <w:tabs>
          <w:tab w:val="left" w:pos="1134"/>
        </w:tabs>
        <w:spacing w:before="0" w:after="0"/>
        <w:ind w:left="709"/>
        <w:rPr>
          <w:rFonts w:eastAsia="Times New Roman"/>
          <w:b/>
          <w:i/>
          <w:noProof/>
          <w:color w:val="000000"/>
          <w:sz w:val="22"/>
        </w:rPr>
      </w:pPr>
      <w:r w:rsidRPr="00FF1C3E">
        <w:rPr>
          <w:b/>
          <w:i/>
          <w:noProof/>
          <w:color w:val="000000"/>
          <w:sz w:val="22"/>
        </w:rPr>
        <w:t xml:space="preserve">I. </w:t>
      </w:r>
      <w:r w:rsidRPr="00FF1C3E">
        <w:rPr>
          <w:noProof/>
          <w:sz w:val="22"/>
        </w:rPr>
        <w:tab/>
      </w:r>
      <w:r w:rsidRPr="00FF1C3E">
        <w:rPr>
          <w:b/>
          <w:i/>
          <w:noProof/>
          <w:color w:val="000000"/>
          <w:sz w:val="22"/>
        </w:rPr>
        <w:t>Veerkrachtige, duurzame en geïntegreerde economieën</w:t>
      </w:r>
    </w:p>
    <w:p w14:paraId="366347F2" w14:textId="77777777" w:rsidR="003855A7" w:rsidRPr="00FF1C3E" w:rsidRDefault="0015588D" w:rsidP="0015588D">
      <w:pPr>
        <w:pBdr>
          <w:top w:val="nil"/>
          <w:left w:val="nil"/>
          <w:bottom w:val="nil"/>
          <w:right w:val="nil"/>
          <w:between w:val="nil"/>
        </w:pBdr>
        <w:tabs>
          <w:tab w:val="left" w:pos="1134"/>
        </w:tabs>
        <w:spacing w:before="0" w:after="0"/>
        <w:ind w:left="709"/>
        <w:rPr>
          <w:rFonts w:eastAsia="Times New Roman"/>
          <w:b/>
          <w:i/>
          <w:noProof/>
          <w:color w:val="000000"/>
          <w:sz w:val="22"/>
        </w:rPr>
      </w:pPr>
      <w:r w:rsidRPr="00FF1C3E">
        <w:rPr>
          <w:b/>
          <w:i/>
          <w:noProof/>
          <w:color w:val="000000"/>
          <w:sz w:val="22"/>
        </w:rPr>
        <w:t xml:space="preserve">II. </w:t>
      </w:r>
      <w:r w:rsidRPr="00FF1C3E">
        <w:rPr>
          <w:noProof/>
          <w:sz w:val="22"/>
        </w:rPr>
        <w:tab/>
      </w:r>
      <w:r w:rsidRPr="00FF1C3E">
        <w:rPr>
          <w:b/>
          <w:i/>
          <w:noProof/>
          <w:color w:val="000000"/>
          <w:sz w:val="22"/>
        </w:rPr>
        <w:t>Verantwoordingsplichtige instellingen, de rechtsstaat en veiligheid</w:t>
      </w:r>
    </w:p>
    <w:p w14:paraId="19CBD08E" w14:textId="310DA366" w:rsidR="003855A7" w:rsidRPr="00FF1C3E" w:rsidRDefault="0015588D" w:rsidP="0015588D">
      <w:pPr>
        <w:pBdr>
          <w:top w:val="nil"/>
          <w:left w:val="nil"/>
          <w:bottom w:val="nil"/>
          <w:right w:val="nil"/>
          <w:between w:val="nil"/>
        </w:pBdr>
        <w:tabs>
          <w:tab w:val="left" w:pos="1134"/>
        </w:tabs>
        <w:spacing w:before="0" w:after="0"/>
        <w:ind w:left="709"/>
        <w:rPr>
          <w:rFonts w:eastAsia="Times New Roman"/>
          <w:b/>
          <w:i/>
          <w:noProof/>
          <w:color w:val="000000"/>
          <w:sz w:val="22"/>
        </w:rPr>
      </w:pPr>
      <w:r w:rsidRPr="00FF1C3E">
        <w:rPr>
          <w:b/>
          <w:i/>
          <w:noProof/>
          <w:color w:val="000000"/>
          <w:sz w:val="22"/>
        </w:rPr>
        <w:t>III.</w:t>
      </w:r>
      <w:r w:rsidR="003367E4" w:rsidRPr="00FF1C3E">
        <w:rPr>
          <w:b/>
          <w:i/>
          <w:noProof/>
          <w:color w:val="000000"/>
          <w:sz w:val="22"/>
        </w:rPr>
        <w:tab/>
      </w:r>
      <w:r w:rsidRPr="00FF1C3E">
        <w:rPr>
          <w:b/>
          <w:i/>
          <w:noProof/>
          <w:color w:val="000000"/>
          <w:sz w:val="22"/>
        </w:rPr>
        <w:t>Ecologische veerkracht en klimaatbestendigheid</w:t>
      </w:r>
    </w:p>
    <w:p w14:paraId="3B0C8F8F" w14:textId="77777777" w:rsidR="003855A7" w:rsidRPr="00FF1C3E" w:rsidRDefault="0015588D" w:rsidP="0015588D">
      <w:pPr>
        <w:pBdr>
          <w:top w:val="nil"/>
          <w:left w:val="nil"/>
          <w:bottom w:val="nil"/>
          <w:right w:val="nil"/>
          <w:between w:val="nil"/>
        </w:pBdr>
        <w:tabs>
          <w:tab w:val="left" w:pos="1134"/>
        </w:tabs>
        <w:spacing w:before="0" w:after="0"/>
        <w:ind w:left="709"/>
        <w:rPr>
          <w:rFonts w:eastAsia="Times New Roman"/>
          <w:b/>
          <w:i/>
          <w:noProof/>
          <w:color w:val="000000"/>
          <w:sz w:val="22"/>
        </w:rPr>
      </w:pPr>
      <w:r w:rsidRPr="00FF1C3E">
        <w:rPr>
          <w:b/>
          <w:i/>
          <w:noProof/>
          <w:color w:val="000000"/>
          <w:sz w:val="22"/>
        </w:rPr>
        <w:t xml:space="preserve">IV. </w:t>
      </w:r>
      <w:r w:rsidRPr="00FF1C3E">
        <w:rPr>
          <w:noProof/>
          <w:sz w:val="22"/>
        </w:rPr>
        <w:tab/>
      </w:r>
      <w:r w:rsidRPr="00FF1C3E">
        <w:rPr>
          <w:b/>
          <w:i/>
          <w:noProof/>
          <w:color w:val="000000"/>
          <w:sz w:val="22"/>
        </w:rPr>
        <w:t>Veerkrachtige digitale transformatie</w:t>
      </w:r>
    </w:p>
    <w:p w14:paraId="6BEC2EB9" w14:textId="77777777" w:rsidR="003855A7" w:rsidRPr="00FF1C3E" w:rsidRDefault="0015588D" w:rsidP="0015588D">
      <w:pPr>
        <w:pBdr>
          <w:top w:val="nil"/>
          <w:left w:val="nil"/>
          <w:bottom w:val="nil"/>
          <w:right w:val="nil"/>
          <w:between w:val="nil"/>
        </w:pBdr>
        <w:tabs>
          <w:tab w:val="left" w:pos="1134"/>
        </w:tabs>
        <w:spacing w:before="0" w:after="0"/>
        <w:ind w:left="709"/>
        <w:rPr>
          <w:rFonts w:eastAsia="Times New Roman"/>
          <w:b/>
          <w:i/>
          <w:noProof/>
          <w:color w:val="000000"/>
          <w:sz w:val="22"/>
        </w:rPr>
      </w:pPr>
      <w:r w:rsidRPr="00FF1C3E">
        <w:rPr>
          <w:b/>
          <w:i/>
          <w:noProof/>
          <w:color w:val="000000"/>
          <w:sz w:val="22"/>
        </w:rPr>
        <w:t xml:space="preserve">V. </w:t>
      </w:r>
      <w:r w:rsidRPr="00FF1C3E">
        <w:rPr>
          <w:noProof/>
          <w:sz w:val="22"/>
        </w:rPr>
        <w:tab/>
      </w:r>
      <w:r w:rsidRPr="00FF1C3E">
        <w:rPr>
          <w:b/>
          <w:i/>
          <w:noProof/>
          <w:color w:val="000000"/>
          <w:sz w:val="22"/>
        </w:rPr>
        <w:t>Veerkrachtige, eerlijke en inclusieve samenlevingen</w:t>
      </w:r>
    </w:p>
    <w:p w14:paraId="5EC95DE0" w14:textId="77777777" w:rsidR="003855A7" w:rsidRPr="00FF1C3E" w:rsidRDefault="003855A7" w:rsidP="003855A7">
      <w:pPr>
        <w:spacing w:before="0" w:after="0"/>
        <w:ind w:left="284" w:hanging="284"/>
        <w:rPr>
          <w:rFonts w:eastAsia="Times New Roman"/>
          <w:b/>
          <w:noProof/>
          <w:sz w:val="22"/>
        </w:rPr>
      </w:pPr>
    </w:p>
    <w:p w14:paraId="6E233F27" w14:textId="02D81863" w:rsidR="003855A7" w:rsidRPr="00FF1C3E" w:rsidRDefault="003855A7" w:rsidP="003855A7">
      <w:pPr>
        <w:spacing w:before="0" w:after="0"/>
        <w:ind w:left="284" w:hanging="284"/>
        <w:rPr>
          <w:rFonts w:eastAsia="Times New Roman"/>
          <w:b/>
          <w:noProof/>
          <w:sz w:val="22"/>
        </w:rPr>
      </w:pPr>
      <w:r w:rsidRPr="00FF1C3E">
        <w:rPr>
          <w:b/>
          <w:noProof/>
          <w:sz w:val="22"/>
        </w:rPr>
        <w:t>3</w:t>
      </w:r>
      <w:r w:rsidRPr="00FF1C3E">
        <w:rPr>
          <w:noProof/>
          <w:sz w:val="22"/>
        </w:rPr>
        <w:tab/>
      </w:r>
      <w:r w:rsidRPr="00FF1C3E">
        <w:rPr>
          <w:b/>
          <w:noProof/>
          <w:sz w:val="22"/>
        </w:rPr>
        <w:t>Prioriteiten op korte en lange termijn van de associatieagenda</w:t>
      </w:r>
      <w:r w:rsidRPr="00FF1C3E">
        <w:rPr>
          <w:noProof/>
          <w:sz w:val="22"/>
        </w:rPr>
        <w:tab/>
      </w:r>
      <w:r w:rsidRPr="00FF1C3E">
        <w:rPr>
          <w:noProof/>
          <w:sz w:val="22"/>
        </w:rPr>
        <w:tab/>
      </w:r>
      <w:r w:rsidRPr="00FF1C3E">
        <w:rPr>
          <w:noProof/>
          <w:sz w:val="22"/>
        </w:rPr>
        <w:tab/>
      </w:r>
      <w:r w:rsidRPr="00FF1C3E">
        <w:rPr>
          <w:noProof/>
          <w:sz w:val="22"/>
        </w:rPr>
        <w:tab/>
      </w:r>
      <w:r w:rsidRPr="00FF1C3E">
        <w:rPr>
          <w:b/>
          <w:noProof/>
          <w:sz w:val="22"/>
        </w:rPr>
        <w:t>1</w:t>
      </w:r>
      <w:r w:rsidR="0091630E" w:rsidRPr="00FF1C3E">
        <w:rPr>
          <w:b/>
          <w:noProof/>
          <w:sz w:val="22"/>
        </w:rPr>
        <w:t>4</w:t>
      </w:r>
    </w:p>
    <w:p w14:paraId="593AA0C5" w14:textId="77777777" w:rsidR="003855A7" w:rsidRPr="00FF1C3E" w:rsidRDefault="003855A7" w:rsidP="003855A7">
      <w:pPr>
        <w:spacing w:before="0" w:after="0"/>
        <w:ind w:left="284" w:hanging="284"/>
        <w:rPr>
          <w:rFonts w:eastAsia="Times New Roman"/>
          <w:b/>
          <w:noProof/>
          <w:sz w:val="22"/>
        </w:rPr>
      </w:pPr>
    </w:p>
    <w:p w14:paraId="39368B18" w14:textId="5A70C882" w:rsidR="003855A7" w:rsidRPr="00FF1C3E" w:rsidRDefault="0015588D" w:rsidP="0015588D">
      <w:pPr>
        <w:pBdr>
          <w:top w:val="nil"/>
          <w:left w:val="nil"/>
          <w:bottom w:val="nil"/>
          <w:right w:val="nil"/>
          <w:between w:val="nil"/>
        </w:pBdr>
        <w:tabs>
          <w:tab w:val="left" w:pos="1134"/>
        </w:tabs>
        <w:spacing w:before="0" w:after="0"/>
        <w:ind w:left="720"/>
        <w:rPr>
          <w:rFonts w:eastAsia="Times New Roman"/>
          <w:b/>
          <w:i/>
          <w:noProof/>
          <w:color w:val="000000"/>
          <w:sz w:val="22"/>
        </w:rPr>
      </w:pPr>
      <w:r w:rsidRPr="00FF1C3E">
        <w:rPr>
          <w:b/>
          <w:i/>
          <w:noProof/>
          <w:color w:val="000000"/>
          <w:sz w:val="22"/>
        </w:rPr>
        <w:t xml:space="preserve">I. </w:t>
      </w:r>
      <w:r w:rsidRPr="00FF1C3E">
        <w:rPr>
          <w:noProof/>
          <w:sz w:val="22"/>
        </w:rPr>
        <w:tab/>
      </w:r>
      <w:r w:rsidRPr="00FF1C3E">
        <w:rPr>
          <w:b/>
          <w:i/>
          <w:noProof/>
          <w:color w:val="000000"/>
          <w:sz w:val="22"/>
        </w:rPr>
        <w:t>Democratie, mensenrechten en goed bestuur</w:t>
      </w:r>
      <w:r w:rsidRPr="00FF1C3E">
        <w:rPr>
          <w:noProof/>
          <w:sz w:val="22"/>
        </w:rPr>
        <w:tab/>
      </w:r>
      <w:r w:rsidRPr="00FF1C3E">
        <w:rPr>
          <w:noProof/>
          <w:sz w:val="22"/>
        </w:rPr>
        <w:tab/>
      </w:r>
      <w:r w:rsidRPr="00FF1C3E">
        <w:rPr>
          <w:noProof/>
          <w:sz w:val="22"/>
        </w:rPr>
        <w:tab/>
      </w:r>
      <w:r w:rsidRPr="00FF1C3E">
        <w:rPr>
          <w:noProof/>
          <w:sz w:val="22"/>
        </w:rPr>
        <w:tab/>
      </w:r>
      <w:r w:rsidR="003367E4" w:rsidRPr="00FF1C3E">
        <w:rPr>
          <w:noProof/>
          <w:sz w:val="22"/>
        </w:rPr>
        <w:tab/>
      </w:r>
      <w:r w:rsidRPr="00FF1C3E">
        <w:rPr>
          <w:b/>
          <w:noProof/>
          <w:color w:val="000000"/>
          <w:sz w:val="22"/>
        </w:rPr>
        <w:t>1</w:t>
      </w:r>
      <w:r w:rsidR="0091630E" w:rsidRPr="00FF1C3E">
        <w:rPr>
          <w:b/>
          <w:noProof/>
          <w:color w:val="000000"/>
          <w:sz w:val="22"/>
        </w:rPr>
        <w:t>6</w:t>
      </w:r>
    </w:p>
    <w:p w14:paraId="7C82F646" w14:textId="77777777" w:rsidR="003855A7" w:rsidRPr="00FF1C3E" w:rsidRDefault="003855A7" w:rsidP="0015588D">
      <w:pPr>
        <w:pBdr>
          <w:top w:val="nil"/>
          <w:left w:val="nil"/>
          <w:bottom w:val="nil"/>
          <w:right w:val="nil"/>
          <w:between w:val="nil"/>
        </w:pBdr>
        <w:tabs>
          <w:tab w:val="left" w:pos="1134"/>
        </w:tabs>
        <w:spacing w:before="0" w:after="0"/>
        <w:ind w:left="720" w:hanging="153"/>
        <w:rPr>
          <w:rFonts w:eastAsia="Times New Roman"/>
          <w:b/>
          <w:noProof/>
          <w:color w:val="000000"/>
          <w:sz w:val="22"/>
        </w:rPr>
      </w:pPr>
    </w:p>
    <w:p w14:paraId="472EE479" w14:textId="59700B28" w:rsidR="003855A7" w:rsidRPr="00FF1C3E" w:rsidRDefault="0015588D" w:rsidP="0015588D">
      <w:pPr>
        <w:pBdr>
          <w:top w:val="nil"/>
          <w:left w:val="nil"/>
          <w:bottom w:val="nil"/>
          <w:right w:val="nil"/>
          <w:between w:val="nil"/>
        </w:pBdr>
        <w:tabs>
          <w:tab w:val="left" w:pos="1134"/>
        </w:tabs>
        <w:spacing w:before="0" w:after="0"/>
        <w:ind w:left="720"/>
        <w:rPr>
          <w:rFonts w:eastAsia="Times New Roman"/>
          <w:b/>
          <w:i/>
          <w:noProof/>
          <w:color w:val="000000"/>
          <w:sz w:val="22"/>
        </w:rPr>
      </w:pPr>
      <w:r w:rsidRPr="00FF1C3E">
        <w:rPr>
          <w:b/>
          <w:i/>
          <w:noProof/>
          <w:color w:val="000000"/>
          <w:sz w:val="22"/>
        </w:rPr>
        <w:t xml:space="preserve">II. </w:t>
      </w:r>
      <w:r w:rsidRPr="00FF1C3E">
        <w:rPr>
          <w:noProof/>
          <w:sz w:val="22"/>
        </w:rPr>
        <w:tab/>
      </w:r>
      <w:r w:rsidRPr="00FF1C3E">
        <w:rPr>
          <w:b/>
          <w:i/>
          <w:noProof/>
          <w:color w:val="000000"/>
          <w:sz w:val="22"/>
        </w:rPr>
        <w:t>Buitenlands en veiligheidsbeleid</w:t>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0091630E" w:rsidRPr="00FF1C3E">
        <w:rPr>
          <w:b/>
          <w:noProof/>
          <w:color w:val="000000"/>
          <w:sz w:val="22"/>
        </w:rPr>
        <w:t>24</w:t>
      </w:r>
    </w:p>
    <w:p w14:paraId="6CFFD856" w14:textId="77777777" w:rsidR="003855A7" w:rsidRPr="00FF1C3E" w:rsidRDefault="003855A7" w:rsidP="0015588D">
      <w:pPr>
        <w:pBdr>
          <w:top w:val="nil"/>
          <w:left w:val="nil"/>
          <w:bottom w:val="nil"/>
          <w:right w:val="nil"/>
          <w:between w:val="nil"/>
        </w:pBdr>
        <w:tabs>
          <w:tab w:val="left" w:pos="1134"/>
        </w:tabs>
        <w:spacing w:before="0" w:after="0"/>
        <w:ind w:left="720" w:hanging="153"/>
        <w:rPr>
          <w:rFonts w:eastAsia="Times New Roman"/>
          <w:b/>
          <w:i/>
          <w:noProof/>
          <w:color w:val="000000"/>
          <w:sz w:val="22"/>
        </w:rPr>
      </w:pPr>
    </w:p>
    <w:p w14:paraId="2E1B480A" w14:textId="580BB5ED" w:rsidR="003855A7" w:rsidRPr="00FF1C3E" w:rsidRDefault="0015588D" w:rsidP="0015588D">
      <w:pPr>
        <w:pBdr>
          <w:top w:val="nil"/>
          <w:left w:val="nil"/>
          <w:bottom w:val="nil"/>
          <w:right w:val="nil"/>
          <w:between w:val="nil"/>
        </w:pBdr>
        <w:tabs>
          <w:tab w:val="left" w:pos="1134"/>
        </w:tabs>
        <w:spacing w:before="0" w:after="0"/>
        <w:ind w:left="720"/>
        <w:rPr>
          <w:rFonts w:eastAsia="Times New Roman"/>
          <w:b/>
          <w:i/>
          <w:noProof/>
          <w:color w:val="000000"/>
          <w:sz w:val="22"/>
        </w:rPr>
      </w:pPr>
      <w:r w:rsidRPr="00FF1C3E">
        <w:rPr>
          <w:b/>
          <w:i/>
          <w:noProof/>
          <w:color w:val="000000"/>
          <w:sz w:val="22"/>
        </w:rPr>
        <w:t xml:space="preserve">III. </w:t>
      </w:r>
      <w:r w:rsidRPr="00FF1C3E">
        <w:rPr>
          <w:noProof/>
          <w:sz w:val="22"/>
        </w:rPr>
        <w:tab/>
      </w:r>
      <w:r w:rsidRPr="00FF1C3E">
        <w:rPr>
          <w:b/>
          <w:i/>
          <w:noProof/>
          <w:color w:val="000000"/>
          <w:sz w:val="22"/>
        </w:rPr>
        <w:t>Vrijheid, veiligheid en rechtvaardigheid</w:t>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0091630E" w:rsidRPr="00FF1C3E">
        <w:rPr>
          <w:b/>
          <w:noProof/>
          <w:color w:val="000000"/>
          <w:sz w:val="22"/>
        </w:rPr>
        <w:t>26</w:t>
      </w:r>
    </w:p>
    <w:p w14:paraId="67A77794" w14:textId="77777777" w:rsidR="003855A7" w:rsidRPr="00FF1C3E" w:rsidRDefault="003855A7" w:rsidP="0015588D">
      <w:pPr>
        <w:pBdr>
          <w:top w:val="nil"/>
          <w:left w:val="nil"/>
          <w:bottom w:val="nil"/>
          <w:right w:val="nil"/>
          <w:between w:val="nil"/>
        </w:pBdr>
        <w:tabs>
          <w:tab w:val="left" w:pos="1134"/>
        </w:tabs>
        <w:spacing w:before="0" w:after="0"/>
        <w:ind w:left="720" w:hanging="153"/>
        <w:rPr>
          <w:rFonts w:eastAsia="Times New Roman"/>
          <w:b/>
          <w:i/>
          <w:noProof/>
          <w:color w:val="000000"/>
          <w:sz w:val="22"/>
        </w:rPr>
      </w:pPr>
    </w:p>
    <w:p w14:paraId="1EA361B4" w14:textId="6C5583E3" w:rsidR="003855A7" w:rsidRPr="00FF1C3E" w:rsidRDefault="0015588D" w:rsidP="0015588D">
      <w:pPr>
        <w:pBdr>
          <w:top w:val="nil"/>
          <w:left w:val="nil"/>
          <w:bottom w:val="nil"/>
          <w:right w:val="nil"/>
          <w:between w:val="nil"/>
        </w:pBdr>
        <w:tabs>
          <w:tab w:val="left" w:pos="1134"/>
        </w:tabs>
        <w:spacing w:before="0" w:after="0"/>
        <w:ind w:left="720"/>
        <w:rPr>
          <w:rFonts w:eastAsia="Times New Roman"/>
          <w:b/>
          <w:i/>
          <w:noProof/>
          <w:color w:val="000000"/>
          <w:sz w:val="22"/>
        </w:rPr>
      </w:pPr>
      <w:r w:rsidRPr="00FF1C3E">
        <w:rPr>
          <w:b/>
          <w:i/>
          <w:noProof/>
          <w:color w:val="000000"/>
          <w:sz w:val="22"/>
        </w:rPr>
        <w:t xml:space="preserve">IV. </w:t>
      </w:r>
      <w:r w:rsidRPr="00FF1C3E">
        <w:rPr>
          <w:noProof/>
          <w:sz w:val="22"/>
        </w:rPr>
        <w:tab/>
      </w:r>
      <w:r w:rsidRPr="00FF1C3E">
        <w:rPr>
          <w:b/>
          <w:i/>
          <w:noProof/>
          <w:color w:val="000000"/>
          <w:sz w:val="22"/>
        </w:rPr>
        <w:t>Economische en sectorale samenwerking</w:t>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Pr="00FF1C3E">
        <w:rPr>
          <w:noProof/>
          <w:sz w:val="22"/>
        </w:rPr>
        <w:tab/>
      </w:r>
      <w:r w:rsidR="0091630E" w:rsidRPr="00FF1C3E">
        <w:rPr>
          <w:b/>
          <w:noProof/>
          <w:color w:val="000000"/>
          <w:sz w:val="22"/>
        </w:rPr>
        <w:t>34</w:t>
      </w:r>
    </w:p>
    <w:p w14:paraId="7CE7F04F" w14:textId="77777777" w:rsidR="003855A7" w:rsidRPr="00FF1C3E" w:rsidRDefault="003855A7" w:rsidP="0015588D">
      <w:pPr>
        <w:pBdr>
          <w:top w:val="nil"/>
          <w:left w:val="nil"/>
          <w:bottom w:val="nil"/>
          <w:right w:val="nil"/>
          <w:between w:val="nil"/>
        </w:pBdr>
        <w:tabs>
          <w:tab w:val="left" w:pos="1134"/>
        </w:tabs>
        <w:spacing w:before="0" w:after="0"/>
        <w:ind w:left="720" w:hanging="153"/>
        <w:rPr>
          <w:rFonts w:eastAsia="Times New Roman"/>
          <w:noProof/>
          <w:color w:val="000000"/>
          <w:sz w:val="22"/>
        </w:rPr>
      </w:pPr>
    </w:p>
    <w:p w14:paraId="68FAF032" w14:textId="6D4061AF" w:rsidR="003855A7" w:rsidRPr="00FF1C3E" w:rsidRDefault="0015588D" w:rsidP="0015588D">
      <w:pPr>
        <w:pBdr>
          <w:top w:val="nil"/>
          <w:left w:val="nil"/>
          <w:bottom w:val="nil"/>
          <w:right w:val="nil"/>
          <w:between w:val="nil"/>
        </w:pBdr>
        <w:tabs>
          <w:tab w:val="left" w:pos="1134"/>
        </w:tabs>
        <w:spacing w:before="0" w:after="0"/>
        <w:ind w:left="720"/>
        <w:rPr>
          <w:rFonts w:eastAsia="Times New Roman"/>
          <w:b/>
          <w:i/>
          <w:noProof/>
          <w:color w:val="000000"/>
          <w:szCs w:val="24"/>
        </w:rPr>
      </w:pPr>
      <w:r w:rsidRPr="00FF1C3E">
        <w:rPr>
          <w:b/>
          <w:i/>
          <w:noProof/>
          <w:color w:val="000000"/>
          <w:sz w:val="22"/>
        </w:rPr>
        <w:t xml:space="preserve">V. </w:t>
      </w:r>
      <w:r w:rsidRPr="00FF1C3E">
        <w:rPr>
          <w:noProof/>
          <w:sz w:val="22"/>
        </w:rPr>
        <w:tab/>
      </w:r>
      <w:r w:rsidRPr="00FF1C3E">
        <w:rPr>
          <w:b/>
          <w:i/>
          <w:noProof/>
          <w:color w:val="000000"/>
          <w:sz w:val="22"/>
        </w:rPr>
        <w:t>Handel en daarmee verband houdende aangelegenheden (DCFTA)</w:t>
      </w:r>
      <w:r w:rsidRPr="00FF1C3E">
        <w:rPr>
          <w:noProof/>
          <w:sz w:val="22"/>
        </w:rPr>
        <w:tab/>
      </w:r>
      <w:r w:rsidRPr="00FF1C3E">
        <w:rPr>
          <w:noProof/>
          <w:sz w:val="22"/>
        </w:rPr>
        <w:tab/>
      </w:r>
      <w:r w:rsidR="0091630E" w:rsidRPr="00FF1C3E">
        <w:rPr>
          <w:b/>
          <w:noProof/>
          <w:sz w:val="22"/>
        </w:rPr>
        <w:t>5</w:t>
      </w:r>
      <w:r w:rsidRPr="00FF1C3E">
        <w:rPr>
          <w:b/>
          <w:noProof/>
          <w:color w:val="000000"/>
          <w:sz w:val="22"/>
        </w:rPr>
        <w:t>6</w:t>
      </w:r>
    </w:p>
    <w:p w14:paraId="7DDDA4C6" w14:textId="77777777" w:rsidR="003855A7" w:rsidRPr="00FF1C3E" w:rsidRDefault="003855A7" w:rsidP="003855A7">
      <w:pPr>
        <w:spacing w:before="0" w:after="0"/>
        <w:rPr>
          <w:rFonts w:eastAsia="Times New Roman"/>
          <w:b/>
          <w:noProof/>
          <w:szCs w:val="24"/>
        </w:rPr>
      </w:pPr>
    </w:p>
    <w:p w14:paraId="3B072E60" w14:textId="77777777" w:rsidR="003855A7" w:rsidRPr="00FF1C3E" w:rsidRDefault="003855A7" w:rsidP="003855A7">
      <w:pPr>
        <w:rPr>
          <w:rFonts w:eastAsia="Times New Roman"/>
          <w:b/>
          <w:noProof/>
          <w:szCs w:val="24"/>
        </w:rPr>
      </w:pPr>
    </w:p>
    <w:p w14:paraId="1D8AE8D3" w14:textId="77777777" w:rsidR="003855A7" w:rsidRPr="00FF1C3E" w:rsidRDefault="003855A7" w:rsidP="003855A7">
      <w:pPr>
        <w:jc w:val="center"/>
        <w:rPr>
          <w:rFonts w:eastAsia="Times New Roman"/>
          <w:b/>
          <w:noProof/>
          <w:szCs w:val="24"/>
        </w:rPr>
      </w:pPr>
      <w:r w:rsidRPr="00FF1C3E">
        <w:rPr>
          <w:b/>
          <w:noProof/>
          <w:szCs w:val="24"/>
        </w:rPr>
        <w:t>__________</w:t>
      </w:r>
    </w:p>
    <w:p w14:paraId="7512B938" w14:textId="77777777" w:rsidR="003855A7" w:rsidRPr="00FF1C3E" w:rsidRDefault="003855A7" w:rsidP="003855A7">
      <w:pPr>
        <w:rPr>
          <w:rFonts w:eastAsia="Times New Roman"/>
          <w:b/>
          <w:noProof/>
          <w:szCs w:val="24"/>
        </w:rPr>
      </w:pPr>
    </w:p>
    <w:p w14:paraId="6A589FFD" w14:textId="77777777" w:rsidR="003855A7" w:rsidRPr="00FF1C3E" w:rsidRDefault="003855A7" w:rsidP="003855A7">
      <w:pPr>
        <w:rPr>
          <w:rFonts w:eastAsia="Times New Roman"/>
          <w:b/>
          <w:noProof/>
          <w:szCs w:val="24"/>
        </w:rPr>
      </w:pPr>
    </w:p>
    <w:p w14:paraId="64FE967B" w14:textId="77777777" w:rsidR="003855A7" w:rsidRPr="00FF1C3E" w:rsidRDefault="003855A7" w:rsidP="003855A7">
      <w:pPr>
        <w:rPr>
          <w:rFonts w:eastAsia="Times New Roman"/>
          <w:b/>
          <w:noProof/>
          <w:szCs w:val="24"/>
        </w:rPr>
      </w:pPr>
    </w:p>
    <w:p w14:paraId="15DFEA44" w14:textId="77777777" w:rsidR="003855A7" w:rsidRPr="00FF1C3E" w:rsidRDefault="003855A7" w:rsidP="003855A7">
      <w:pPr>
        <w:rPr>
          <w:rFonts w:eastAsia="Times New Roman"/>
          <w:b/>
          <w:noProof/>
          <w:szCs w:val="24"/>
        </w:rPr>
      </w:pPr>
      <w:r w:rsidRPr="00FF1C3E">
        <w:rPr>
          <w:noProof/>
        </w:rPr>
        <w:br w:type="page"/>
      </w:r>
    </w:p>
    <w:p w14:paraId="4A2AF6AA" w14:textId="77777777" w:rsidR="003855A7" w:rsidRPr="00FF1C3E" w:rsidRDefault="003855A7" w:rsidP="003855A7">
      <w:pPr>
        <w:jc w:val="center"/>
        <w:rPr>
          <w:rFonts w:eastAsia="Times New Roman"/>
          <w:b/>
          <w:noProof/>
          <w:szCs w:val="24"/>
        </w:rPr>
      </w:pPr>
      <w:r w:rsidRPr="00FF1C3E">
        <w:rPr>
          <w:b/>
          <w:noProof/>
          <w:sz w:val="28"/>
          <w:szCs w:val="28"/>
        </w:rPr>
        <w:t>Inleiding</w:t>
      </w:r>
    </w:p>
    <w:p w14:paraId="6D45A7EE" w14:textId="77777777" w:rsidR="003855A7" w:rsidRPr="00FF1C3E" w:rsidRDefault="003855A7" w:rsidP="003855A7">
      <w:pPr>
        <w:jc w:val="center"/>
        <w:rPr>
          <w:rFonts w:eastAsia="Times New Roman"/>
          <w:b/>
          <w:noProof/>
          <w:szCs w:val="24"/>
        </w:rPr>
      </w:pPr>
      <w:r w:rsidRPr="00FF1C3E">
        <w:rPr>
          <w:b/>
          <w:noProof/>
          <w:szCs w:val="24"/>
        </w:rPr>
        <w:t>Associatieagenda tussen de Europese Unie en de Republiek Moldavië</w:t>
      </w:r>
    </w:p>
    <w:p w14:paraId="24483CF0" w14:textId="30F6B0AD" w:rsidR="003855A7" w:rsidRPr="00FF1C3E" w:rsidRDefault="003855A7" w:rsidP="003855A7">
      <w:pPr>
        <w:pStyle w:val="NormalWeb"/>
        <w:spacing w:before="120" w:beforeAutospacing="0" w:after="120" w:afterAutospacing="0" w:line="276" w:lineRule="auto"/>
        <w:jc w:val="both"/>
        <w:rPr>
          <w:rFonts w:ascii="Times New Roman" w:eastAsia="Times New Roman" w:hAnsi="Times New Roman"/>
          <w:noProof/>
          <w:sz w:val="24"/>
          <w:szCs w:val="24"/>
        </w:rPr>
      </w:pPr>
      <w:r w:rsidRPr="00FF1C3E">
        <w:rPr>
          <w:rFonts w:ascii="Times New Roman" w:hAnsi="Times New Roman"/>
          <w:noProof/>
          <w:sz w:val="24"/>
          <w:szCs w:val="24"/>
        </w:rPr>
        <w:t xml:space="preserve">Op 27 juni 2014 hebben de Europese Unie, haar lidstaten en de Republiek Moldavië – “de partijen” – een ambitieuze en innovatieve associatieovereenkomst ondertekend, met inbegrip van een diepe en brede vrijhandelsruimte (DCFTA, Deep and Comprehensive Free Trade Area). De overeenkomst omvat bindende, op regelgeving gestoelde bepalingen en voorziet in nauwere samenwerking ter bevordering van politieke associatie en economische integratie, die verder reikt dan traditionele overeenkomsten en betrekking heeft op alle relevante gebieden. De overeenkomst was voorlopig van toepassing vanaf 1 september 2014 tot aan de afronding van het ratificatieproces, waarna de associatieovereenkomst volledig van toepassing werd met ingang van 1 juli 2016. </w:t>
      </w:r>
    </w:p>
    <w:p w14:paraId="02569730" w14:textId="77777777" w:rsidR="003855A7" w:rsidRPr="00FF1C3E" w:rsidRDefault="003855A7" w:rsidP="003855A7">
      <w:pPr>
        <w:spacing w:line="276" w:lineRule="auto"/>
        <w:rPr>
          <w:rFonts w:eastAsia="Times New Roman"/>
          <w:noProof/>
          <w:szCs w:val="24"/>
        </w:rPr>
      </w:pPr>
      <w:r w:rsidRPr="00FF1C3E">
        <w:rPr>
          <w:noProof/>
        </w:rPr>
        <w:t>De partijen zijn op 26 juni 2014 een associatieagenda overeengekomen, waarbij een lijst van prioriteiten voor de gezamenlijke werkzaamheden in de periode 2014-2016 werd vastgesteld. Op 4 augustus 2017 zijn de partijen overeengekomen de associatieagenda 2014-2016 te vervangen door een nieuwe associatieagenda voor de periode 2017-2019. De tussen de EU en de Republiek Moldavië overeengekomen associatieagenda’s zijn bedoeld ter voorbereiding op en vergemakkelijking van de uitvoering van de associatieovereenkomst.</w:t>
      </w:r>
    </w:p>
    <w:p w14:paraId="4EF2B14D" w14:textId="0933850C" w:rsidR="003855A7" w:rsidRPr="00FF1C3E" w:rsidRDefault="003855A7" w:rsidP="003855A7">
      <w:pPr>
        <w:spacing w:line="276" w:lineRule="auto"/>
        <w:rPr>
          <w:rFonts w:eastAsia="Times New Roman"/>
          <w:noProof/>
          <w:szCs w:val="24"/>
        </w:rPr>
      </w:pPr>
      <w:r w:rsidRPr="00FF1C3E">
        <w:rPr>
          <w:noProof/>
        </w:rPr>
        <w:t>Op 30 september 2019 zijn de EU en de Republiek Moldavië tijdens de 5e bijeenkomst van de Associatieraad overeengekomen de associatieagenda 2017-2019 gedurende een overgangsperiode van één jaar aan te houden en te beginnen met het opstellen van een lijst van prioriteiten om het uitvoeringsproces van de associatieovereenkomst/DCFTA de komende jaren af te stemmen op de gebieden die onder de associatieovereenkomst vallen. In dit document ter vervanging van de associatieagenda 2017-2019 worden de prioriteiten bijgestuurd en worden nieuwe kernprioriteiten vastgesteld voor gezamenlijke werkzaamheden met het oog op de verwezenlijking van de doelstellingen van politieke associatie en economische integratie, zoals vastgelegd in de associatieovereenkomst voor de periode 2021-2027.</w:t>
      </w:r>
      <w:r w:rsidR="00CF77FF" w:rsidRPr="00FF1C3E">
        <w:rPr>
          <w:noProof/>
        </w:rPr>
        <w:t xml:space="preserve"> </w:t>
      </w:r>
      <w:r w:rsidRPr="00FF1C3E">
        <w:rPr>
          <w:noProof/>
        </w:rPr>
        <w:t>Het richt zich op strategische doelstellingen en prioriteiten op lange termijn voor de gehele periode, terwijl de vaststelling van en het toezicht op concrete maatregelen op korte termijn, alsook operationele aspecten van de uitvoering, aan bod moeten komen binnen de institutionele structuur van het comité en de subcomités die in het kader van de associatieovereenkomst zijn opgericht. Deze agenda kan zo nodig worden herzien.</w:t>
      </w:r>
    </w:p>
    <w:p w14:paraId="4F88BEE6" w14:textId="77777777" w:rsidR="003855A7" w:rsidRPr="00FF1C3E" w:rsidRDefault="003855A7" w:rsidP="003855A7">
      <w:pPr>
        <w:spacing w:line="276" w:lineRule="auto"/>
        <w:rPr>
          <w:rFonts w:eastAsia="Times New Roman"/>
          <w:noProof/>
          <w:szCs w:val="24"/>
        </w:rPr>
      </w:pPr>
      <w:r w:rsidRPr="00FF1C3E">
        <w:rPr>
          <w:noProof/>
        </w:rPr>
        <w:t xml:space="preserve">Het feit dat de associatieagenda is toegespitst op een beperkt aantal prioriteiten heeft geen weerslag op de reikwijdte of het mandaat van de bestaande dialoog in het kader van andere toepasselijke overeenkomsten en partnerschappen of in het kader van het multilaterale traject van het Oostelijk Partnerschap. </w:t>
      </w:r>
    </w:p>
    <w:p w14:paraId="4C106BEC" w14:textId="77777777" w:rsidR="003855A7" w:rsidRPr="00FF1C3E" w:rsidRDefault="003855A7" w:rsidP="003855A7">
      <w:pPr>
        <w:spacing w:line="276" w:lineRule="auto"/>
        <w:rPr>
          <w:rFonts w:eastAsia="Times New Roman"/>
          <w:noProof/>
          <w:szCs w:val="24"/>
        </w:rPr>
      </w:pPr>
      <w:r w:rsidRPr="00FF1C3E">
        <w:rPr>
          <w:noProof/>
        </w:rPr>
        <w:t xml:space="preserve">Daarnaast kunnen burgers van de Republiek Moldavië die in het bezit zijn van een biometrisch paspoort sinds april 2014 visumvrij reizen naar Schengenlanden. De criteria van het actieplan voor visumliberalisering en de aanbevelingen in de periodieke verslagen over het visumopschortingsmechanisme van de Commissie moeten voortdurend worden nageleefd om de duurzaamheid van de visumvrije regeling te waarborgen en aldus bij te dragen tot mobiliteit en contacten tussen mensen tussen de EU en de Republiek Moldavië.  </w:t>
      </w:r>
    </w:p>
    <w:p w14:paraId="2D092BEE" w14:textId="77777777" w:rsidR="003855A7" w:rsidRPr="00FF1C3E" w:rsidRDefault="003855A7" w:rsidP="003855A7">
      <w:pPr>
        <w:spacing w:line="276" w:lineRule="auto"/>
        <w:rPr>
          <w:rFonts w:eastAsia="Times New Roman"/>
          <w:noProof/>
          <w:szCs w:val="24"/>
        </w:rPr>
      </w:pPr>
    </w:p>
    <w:p w14:paraId="53E71237" w14:textId="77777777" w:rsidR="003855A7" w:rsidRPr="00FF1C3E" w:rsidRDefault="003855A7" w:rsidP="003855A7">
      <w:pPr>
        <w:rPr>
          <w:rFonts w:eastAsia="Times New Roman"/>
          <w:noProof/>
          <w:szCs w:val="24"/>
        </w:rPr>
      </w:pPr>
      <w:r w:rsidRPr="00FF1C3E">
        <w:rPr>
          <w:noProof/>
        </w:rPr>
        <w:br w:type="page"/>
      </w:r>
    </w:p>
    <w:p w14:paraId="62B2B021" w14:textId="77777777" w:rsidR="003855A7" w:rsidRPr="00FF1C3E" w:rsidRDefault="003855A7" w:rsidP="00C56F91">
      <w:pPr>
        <w:ind w:left="567" w:hanging="567"/>
        <w:rPr>
          <w:rFonts w:eastAsia="Times New Roman"/>
          <w:b/>
          <w:noProof/>
          <w:sz w:val="28"/>
          <w:szCs w:val="28"/>
        </w:rPr>
      </w:pPr>
      <w:r w:rsidRPr="00FF1C3E">
        <w:rPr>
          <w:b/>
          <w:noProof/>
          <w:sz w:val="28"/>
          <w:szCs w:val="28"/>
        </w:rPr>
        <w:t>1</w:t>
      </w:r>
      <w:r w:rsidRPr="00FF1C3E">
        <w:rPr>
          <w:noProof/>
        </w:rPr>
        <w:tab/>
      </w:r>
      <w:r w:rsidRPr="00FF1C3E">
        <w:rPr>
          <w:b/>
          <w:noProof/>
          <w:sz w:val="28"/>
          <w:szCs w:val="28"/>
        </w:rPr>
        <w:t xml:space="preserve">Beginselen, instrumenten en middelen voor de uitvoering van de associatieagenda </w:t>
      </w:r>
    </w:p>
    <w:p w14:paraId="7C1BCE42" w14:textId="77777777" w:rsidR="003855A7" w:rsidRPr="00FF1C3E" w:rsidRDefault="003855A7" w:rsidP="003855A7">
      <w:pPr>
        <w:spacing w:line="276" w:lineRule="auto"/>
        <w:rPr>
          <w:noProof/>
        </w:rPr>
      </w:pPr>
      <w:r w:rsidRPr="00FF1C3E">
        <w:rPr>
          <w:noProof/>
        </w:rPr>
        <w:t xml:space="preserve">De volgende algemene beginselen zullen bij de uitvoering van deze associatieagenda als richtsnoer blijven dienen: </w:t>
      </w:r>
    </w:p>
    <w:p w14:paraId="51C4A5DF" w14:textId="77777777" w:rsidR="003855A7" w:rsidRPr="00FF1C3E" w:rsidRDefault="003855A7" w:rsidP="00AC1CAF">
      <w:pPr>
        <w:pStyle w:val="Bullet0"/>
        <w:numPr>
          <w:ilvl w:val="0"/>
          <w:numId w:val="15"/>
        </w:numPr>
        <w:ind w:hanging="424"/>
        <w:rPr>
          <w:noProof/>
        </w:rPr>
      </w:pPr>
      <w:r w:rsidRPr="00FF1C3E">
        <w:rPr>
          <w:noProof/>
        </w:rPr>
        <w:t>De in het kader van de associatieagenda genomen maatregelen moeten in het teken van de overkoepelende doelstellingen van politieke associatie en economische integratie worden uitgevoerd, met volledige inachtneming van de associatieovereenkomst/DCFTA, inclusief de preambule daarvan.</w:t>
      </w:r>
    </w:p>
    <w:p w14:paraId="001C4B6F" w14:textId="77777777" w:rsidR="003855A7" w:rsidRPr="00FF1C3E" w:rsidRDefault="003855A7" w:rsidP="003855A7">
      <w:pPr>
        <w:pStyle w:val="Bullet0"/>
        <w:ind w:hanging="424"/>
        <w:rPr>
          <w:noProof/>
        </w:rPr>
      </w:pPr>
      <w:r w:rsidRPr="00FF1C3E">
        <w:rPr>
          <w:noProof/>
        </w:rPr>
        <w:t>De prioriteiten van de associatieagenda weerspiegelen de verantwoordelijkheid van de EU en de Republiek Moldavië om de associatieovereenkomst volledig uit te voeren.</w:t>
      </w:r>
    </w:p>
    <w:p w14:paraId="5886989F" w14:textId="77777777" w:rsidR="003855A7" w:rsidRPr="00FF1C3E" w:rsidRDefault="003855A7" w:rsidP="003855A7">
      <w:pPr>
        <w:pStyle w:val="Bullet0"/>
        <w:ind w:hanging="424"/>
        <w:rPr>
          <w:noProof/>
        </w:rPr>
      </w:pPr>
      <w:r w:rsidRPr="00FF1C3E">
        <w:rPr>
          <w:noProof/>
        </w:rPr>
        <w:t>Beide partijen moeten worden betrokken bij de uitvoering van de associatieagenda, waarbij de beginselen van eigen verantwoordelijkheid, transparantie, verantwoordingsplicht en inclusie volledig worden nageleefd.</w:t>
      </w:r>
    </w:p>
    <w:p w14:paraId="3E99E78D" w14:textId="77777777" w:rsidR="003855A7" w:rsidRPr="00FF1C3E" w:rsidRDefault="003855A7" w:rsidP="003855A7">
      <w:pPr>
        <w:pStyle w:val="Bullet0"/>
        <w:ind w:hanging="424"/>
        <w:rPr>
          <w:noProof/>
        </w:rPr>
      </w:pPr>
      <w:r w:rsidRPr="00FF1C3E">
        <w:rPr>
          <w:noProof/>
        </w:rPr>
        <w:t>De associatieagenda betrekt de Republiek Moldavië verder bij de lopende dialoog over de met de associatie verband houdende hervormingen.</w:t>
      </w:r>
    </w:p>
    <w:p w14:paraId="3154E1A4" w14:textId="77777777" w:rsidR="003855A7" w:rsidRPr="00FF1C3E" w:rsidRDefault="003855A7" w:rsidP="003855A7">
      <w:pPr>
        <w:pStyle w:val="Bullet0"/>
        <w:ind w:hanging="424"/>
        <w:rPr>
          <w:noProof/>
        </w:rPr>
      </w:pPr>
      <w:r w:rsidRPr="00FF1C3E">
        <w:rPr>
          <w:noProof/>
        </w:rPr>
        <w:t>De associatieagenda heeft tot doel tastbare en duurzame resultaten te bereiken door de geleidelijke uitvoering van strategische prioriteiten via praktische maatregelen. Beide partijen zorgen er in het bijzonder voor dat wetgeving en strategische documenten die in het kader van de associatieagenda worden ontwikkeld, worden opgesteld en getrouw uitgevoerd volgens een inclusief, transparant en empirisch onderbouwd proces waarbij het maatschappelijk middenveld en andere belanghebbenden worden betrokken.</w:t>
      </w:r>
    </w:p>
    <w:p w14:paraId="20612D1E" w14:textId="77777777" w:rsidR="003855A7" w:rsidRPr="00FF1C3E" w:rsidRDefault="003855A7" w:rsidP="003855A7">
      <w:pPr>
        <w:pStyle w:val="Bullet0"/>
        <w:ind w:hanging="424"/>
        <w:rPr>
          <w:noProof/>
        </w:rPr>
      </w:pPr>
      <w:r w:rsidRPr="00FF1C3E">
        <w:rPr>
          <w:noProof/>
        </w:rPr>
        <w:t>De partijen erkennen het belang van ondersteuning van de overeengekomen prioriteiten door passende en toereikende nationale politieke, technische en financiële middelen ter beschikking te stellen.</w:t>
      </w:r>
    </w:p>
    <w:p w14:paraId="4B0C97E3" w14:textId="77777777" w:rsidR="003855A7" w:rsidRPr="00FF1C3E" w:rsidRDefault="003855A7" w:rsidP="003855A7">
      <w:pPr>
        <w:pStyle w:val="Bullet0"/>
        <w:ind w:hanging="424"/>
        <w:rPr>
          <w:noProof/>
        </w:rPr>
      </w:pPr>
      <w:r w:rsidRPr="00FF1C3E">
        <w:rPr>
          <w:noProof/>
        </w:rPr>
        <w:t>De uitvoering van de associatieagenda wordt onderworpen aan toezicht, jaarlijkse rapportage, onder andere over de algemene vooruitgang, en evaluatie, onder meer aan de hand van algemeen erkende indexen en gegevens over door de EU gefinancierde projecten. De geboekte vooruitgang wordt beoordeeld, ook tijdens de vergaderingen van de bij de associatieovereenkomst ingestelde bilaterale structuren. Maatschappelijke organisaties worden eveneens in staat gesteld om hun toezichtsactiviteiten toe te spitsen op de associatieagenda.</w:t>
      </w:r>
    </w:p>
    <w:p w14:paraId="3D2BBDF3" w14:textId="77777777" w:rsidR="003855A7" w:rsidRPr="00FF1C3E" w:rsidRDefault="003855A7" w:rsidP="003855A7">
      <w:pPr>
        <w:pStyle w:val="Bullet0"/>
        <w:ind w:hanging="424"/>
        <w:rPr>
          <w:noProof/>
        </w:rPr>
      </w:pPr>
      <w:r w:rsidRPr="00FF1C3E">
        <w:rPr>
          <w:noProof/>
        </w:rPr>
        <w:t>De Europese Unie zal de Republiek Moldavië ondersteunen bij de uitvoering van de doelstellingen en prioriteiten die in de associatieagenda zijn uiteengezet. Hiertoe zal de Unie alle beschikbare bronnen van EU-steunverlening aanbieden, deskundigheid en advies verstrekken, de uitwisseling van beste praktijken, knowhow en informatie bevorderen en capaciteitsopbouw en institutionele versterking ondersteunen. De Europese Unie zal eveneens steun van andere partners van de Republiek Moldavië aanmoedigen en streven naar coördinatie hiermee. Zij zal ook de gecoördineerde aanpak van de steun van Team Europa versterken, waarbij middelen van de EU, haar lidstaten en financiële instellingen worden gecombineerd. De Europese Unie zal een beroep doen op de financiële instrumenten waarover zij beschikt om de uitvoering van de associatieagenda te ondersteunen. Deze steun zal echter strikt voorwaardelijk blijven en gekoppeld worden aan concrete vooruitgang op het gebied van de hervormingsagenda, zoals overeengekomen met de EU, en met name op het gebied van democratie, justitie en corruptiebestrijding. De associatieagenda is bovendien geen document voor financiële programmering en evenmin een vervanging voor de financiële programmering die door de partijen wordt uitgevoerd.</w:t>
      </w:r>
    </w:p>
    <w:p w14:paraId="5222EEFD" w14:textId="142EB092" w:rsidR="003855A7" w:rsidRPr="00FF1C3E" w:rsidRDefault="003855A7" w:rsidP="003855A7">
      <w:pPr>
        <w:rPr>
          <w:noProof/>
        </w:rPr>
      </w:pPr>
      <w:r w:rsidRPr="00FF1C3E">
        <w:rPr>
          <w:noProof/>
        </w:rPr>
        <w:t>De in de associatieagenda vastgestelde prioriteiten zijn volledig in overeenstemming met de beleidsdoelstellingen op lange termijn die zijn uiteengezet in de gezamenlijke mededeling “Het beleid inzake het Oostelijk Partnerschap na 2020: de weerbaarheid versterken – een Oostelijk Partnerschap dat iedereen ten goede komt”, die samen met de inbreng van de lidstaten en de partnerlanden de basis vormde voor het gezamenlijk werkdocument (JSWD) over het Oostelijk Partnerschap na 2020, dat op 2 juli 2021 is gepubliceerd en tijdens de 6e top van het Oostelijk Partnerschap in 2021 is goedgekeurd</w:t>
      </w:r>
      <w:r w:rsidRPr="00FF1C3E">
        <w:rPr>
          <w:rStyle w:val="FootnoteReference"/>
          <w:noProof/>
        </w:rPr>
        <w:footnoteReference w:id="3"/>
      </w:r>
      <w:r w:rsidRPr="00FF1C3E">
        <w:rPr>
          <w:noProof/>
        </w:rPr>
        <w:t>. Het economisch investeringsplan en vijf vlaggenschipprojecten zullen het sociaal-economisch herstel van Moldavië ondersteunen en de veerkracht van het land versterken.</w:t>
      </w:r>
      <w:r w:rsidR="00CF77FF" w:rsidRPr="00FF1C3E">
        <w:rPr>
          <w:noProof/>
        </w:rPr>
        <w:t xml:space="preserve"> </w:t>
      </w:r>
      <w:r w:rsidRPr="00FF1C3E">
        <w:rPr>
          <w:noProof/>
        </w:rPr>
        <w:t xml:space="preserve">In de desbetreffende conclusies van de Raad van 11 mei 2020 werd nota genomen van de gezamenlijke mededeling.  </w:t>
      </w:r>
    </w:p>
    <w:p w14:paraId="21374657" w14:textId="77777777" w:rsidR="003855A7" w:rsidRPr="00FF1C3E" w:rsidRDefault="003855A7" w:rsidP="003855A7">
      <w:pPr>
        <w:rPr>
          <w:noProof/>
        </w:rPr>
      </w:pPr>
      <w:r w:rsidRPr="00FF1C3E">
        <w:rPr>
          <w:noProof/>
        </w:rPr>
        <w:t xml:space="preserve">De in de associatieagenda vastgestelde prioriteiten zullen ten grondslag liggen aan de bijstand van de EU aan de Republiek Moldavië, zoals uiteengezet in het instrument voor nabuurschapsbeleid, ontwikkeling en internationale samenwerking (NDICI), het meerjarig indicatief programma (MIP) en de meerlandenprogrammering die via het NDICI voor de Republiek Moldavië is opgesteld [nog goed te keuren]. Parallel daaraan heeft de EU op 2 juni een economisch herstelplan voor Moldavië gepubliceerd om het sociaal-economisch herstel op lange termijn te stimuleren, de groene en digitale transitie te bevorderen en het onbenutte economische potentieel van het land te ontsluiten. De EU kan ook bijstand verlenen uit andere EU-instrumenten, waaronder het instrument voor samenwerking op het gebied van nucleaire veiligheid. Elke vorm van steun wordt verleend met volledige inachtneming van de uitvoeringsvoorschriften en procedures voor externe steunverlening van de EU. Overeenkomstig deze procedures blijft alle steun van de EU aan de Republiek Moldavië onderworpen aan strikte voorwaarden, en de naleving daarvan wordt regelmatig gemonitord en geëvalueerd. </w:t>
      </w:r>
      <w:r w:rsidRPr="00FF1C3E">
        <w:rPr>
          <w:noProof/>
          <w:color w:val="000000"/>
        </w:rPr>
        <w:t>De partijen werken samen om nationale systemen en instellingen te versterken overeenkomstig de beste praktijken op het gebied van voorspelbaarheid en doeltreffendheid van hulp, en in overeenstemming met goedgekeurde strategieën en beleidsdocumenten van de overheid</w:t>
      </w:r>
      <w:r w:rsidRPr="00FF1C3E">
        <w:rPr>
          <w:noProof/>
        </w:rPr>
        <w:t>.</w:t>
      </w:r>
    </w:p>
    <w:p w14:paraId="609236B2" w14:textId="77777777" w:rsidR="003855A7" w:rsidRPr="00FF1C3E" w:rsidRDefault="003855A7" w:rsidP="003855A7">
      <w:pPr>
        <w:rPr>
          <w:noProof/>
        </w:rPr>
      </w:pPr>
      <w:r w:rsidRPr="00FF1C3E">
        <w:rPr>
          <w:noProof/>
        </w:rPr>
        <w:t>Deze associatieagenda is van toepassing vanaf het moment van de vaststelling ervan tot eind 2027. De associatieagenda kan op elk moment worden gewijzigd of geactualiseerd met instemming van de Associatieraad EU-Republiek Moldavië.</w:t>
      </w:r>
    </w:p>
    <w:p w14:paraId="64492241" w14:textId="77777777" w:rsidR="003855A7" w:rsidRPr="00FF1C3E" w:rsidRDefault="003855A7" w:rsidP="00C56F91">
      <w:pPr>
        <w:ind w:left="567" w:hanging="567"/>
        <w:rPr>
          <w:rFonts w:eastAsia="Times New Roman"/>
          <w:b/>
          <w:noProof/>
          <w:sz w:val="28"/>
          <w:szCs w:val="28"/>
        </w:rPr>
      </w:pPr>
      <w:r w:rsidRPr="00FF1C3E">
        <w:rPr>
          <w:noProof/>
        </w:rPr>
        <w:br w:type="page"/>
      </w:r>
      <w:r w:rsidRPr="00FF1C3E">
        <w:rPr>
          <w:b/>
          <w:noProof/>
          <w:sz w:val="28"/>
          <w:szCs w:val="28"/>
        </w:rPr>
        <w:t>2</w:t>
      </w:r>
      <w:r w:rsidRPr="00FF1C3E">
        <w:rPr>
          <w:noProof/>
        </w:rPr>
        <w:tab/>
      </w:r>
      <w:r w:rsidRPr="00FF1C3E">
        <w:rPr>
          <w:b/>
          <w:noProof/>
          <w:sz w:val="28"/>
          <w:szCs w:val="28"/>
        </w:rPr>
        <w:t xml:space="preserve">Algemene doelstellingen voor de samenwerking tussen de EU en de Republiek Moldavië </w:t>
      </w:r>
    </w:p>
    <w:p w14:paraId="64B3FE6A" w14:textId="77777777" w:rsidR="003855A7" w:rsidRPr="00FF1C3E" w:rsidRDefault="003855A7" w:rsidP="003855A7">
      <w:pPr>
        <w:tabs>
          <w:tab w:val="left" w:pos="0"/>
        </w:tabs>
        <w:spacing w:line="276" w:lineRule="auto"/>
        <w:rPr>
          <w:noProof/>
        </w:rPr>
      </w:pPr>
      <w:r w:rsidRPr="00FF1C3E">
        <w:rPr>
          <w:noProof/>
        </w:rPr>
        <w:t xml:space="preserve">De EU en de Republiek Moldavië beschouwen uitvoering van de associatieovereenkomst en de associatieagenda als kernprioriteit ter consolidering en bevordering van de door de EU en de Republiek Moldavië overeengekomen gedeelde waarden en beginselen. De associatieovereenkomst voorziet in een snellere politieke associatie en economische integratie met de Europese Unie in de geest van de Europese aspiraties en de Europese keuze van de Republiek Moldavië, zoals erkend in de verklaring van de top van het Oostelijk Partnerschap van 2017. </w:t>
      </w:r>
      <w:r w:rsidRPr="00FF1C3E">
        <w:rPr>
          <w:noProof/>
          <w:color w:val="000000"/>
        </w:rPr>
        <w:t>De EU spreekt opnieuw haar krachtige steun uit voor de soevereiniteit en territoriale integriteit van de Republiek Moldavië binnen haar internationaal erkende grenzen.</w:t>
      </w:r>
    </w:p>
    <w:p w14:paraId="68340A70" w14:textId="77777777" w:rsidR="003855A7" w:rsidRPr="00FF1C3E" w:rsidRDefault="003855A7" w:rsidP="003855A7">
      <w:pPr>
        <w:spacing w:line="276" w:lineRule="auto"/>
        <w:rPr>
          <w:noProof/>
        </w:rPr>
      </w:pPr>
      <w:r w:rsidRPr="00FF1C3E">
        <w:rPr>
          <w:noProof/>
        </w:rPr>
        <w:t xml:space="preserve">Sinds de ondertekening van de associatieovereenkomst heeft de Republiek Moldavië stappen ondernomen om hervormingen door te voeren met het oog op de doeltreffende uitvoering ervan. Beide partijen erkennen de vooruitgang die de Republiek Moldavië heeft geboekt in de richting van een diepere politieke associatie en economische integratie met de EU. Zij erkennen echter ook dat er nog verdere belangrijke stappen nodig zijn om substantiële en duurzame vooruitgang te boeken, zodat de burgers ten volle kunnen profiteren van de associatieovereenkomst tussen de EU en de Republiek Moldavië. </w:t>
      </w:r>
      <w:r w:rsidRPr="00FF1C3E">
        <w:rPr>
          <w:noProof/>
          <w:color w:val="000000"/>
        </w:rPr>
        <w:t xml:space="preserve"> </w:t>
      </w:r>
    </w:p>
    <w:p w14:paraId="2F81540A" w14:textId="77777777" w:rsidR="003855A7" w:rsidRPr="00FF1C3E" w:rsidRDefault="003855A7" w:rsidP="003855A7">
      <w:pPr>
        <w:tabs>
          <w:tab w:val="left" w:pos="0"/>
        </w:tabs>
        <w:spacing w:line="276" w:lineRule="auto"/>
        <w:rPr>
          <w:noProof/>
          <w:color w:val="000000"/>
        </w:rPr>
      </w:pPr>
      <w:r w:rsidRPr="00FF1C3E">
        <w:rPr>
          <w:noProof/>
          <w:color w:val="000000"/>
        </w:rPr>
        <w:t>De EU blijft steun verlenen aan de werkzaamheden van de permanente conferentie over politieke vraagstukken in het kader van het “5+2”-onderhandelingsproces voor de oplossing van het Transnistrische conflict; doel is te komen tot een alomvattende, vreedzame en duurzame oplossing van het conflict, gebaseerd op de soevereiniteit en territoriale integriteit van de Republiek Moldavië binnen haar internationaal erkende grenzen en de bepalingen van de ministeriële verklaring van de OVSE van december 2020.</w:t>
      </w:r>
    </w:p>
    <w:p w14:paraId="0F81C5F3" w14:textId="77777777" w:rsidR="003855A7" w:rsidRPr="00FF1C3E" w:rsidRDefault="003855A7" w:rsidP="003855A7">
      <w:pPr>
        <w:tabs>
          <w:tab w:val="left" w:pos="0"/>
        </w:tabs>
        <w:spacing w:line="276" w:lineRule="auto"/>
        <w:rPr>
          <w:noProof/>
        </w:rPr>
      </w:pPr>
      <w:r w:rsidRPr="00FF1C3E">
        <w:rPr>
          <w:noProof/>
        </w:rPr>
        <w:t xml:space="preserve">De samenwerking tussen de EU en de Republiek Moldavië is ook gericht op het ondersteunen van de verwezenlijking van mondiale beleidsdoelstellingen, waaronder de Overeenkomst van Parijs inzake klimaatverandering en de uitvoering van de Agenda 2030 voor duurzame ontwikkeling en de 17 duurzameontwikkelingsdoelstellingen waartoe beide partijen zich hebben verbonden. De samenwerking zal de internationale, op regels gebaseerde orde versterken en bijdragen tot de opbouw van een sterker Europa in de wereld. </w:t>
      </w:r>
    </w:p>
    <w:p w14:paraId="0093A53E" w14:textId="77777777" w:rsidR="003855A7" w:rsidRPr="00FF1C3E" w:rsidRDefault="003855A7" w:rsidP="003855A7">
      <w:pPr>
        <w:tabs>
          <w:tab w:val="left" w:pos="0"/>
        </w:tabs>
        <w:spacing w:line="276" w:lineRule="auto"/>
        <w:rPr>
          <w:noProof/>
        </w:rPr>
      </w:pPr>
      <w:r w:rsidRPr="00FF1C3E">
        <w:rPr>
          <w:noProof/>
        </w:rPr>
        <w:t>De Republiek Moldavië houdt terdege rekening met de volgende beleidsdoelstellingen op lange termijn van het Oostelijk Partnerschap na 2020, zoals uiteengezet in de gezamenlijke mededeling van maart 2020, bij het bepalen van de strategische richting van de hervormingen die de komende jaren moeten worden doorgevoerd. De partijen zullen samenwerken aan de communicatie over de voordelen van hun samenwerking.</w:t>
      </w:r>
    </w:p>
    <w:p w14:paraId="3B36E436" w14:textId="77777777" w:rsidR="003855A7" w:rsidRPr="00FF1C3E" w:rsidRDefault="00C56F91" w:rsidP="00C56F91">
      <w:pPr>
        <w:pBdr>
          <w:top w:val="nil"/>
          <w:left w:val="nil"/>
          <w:bottom w:val="nil"/>
          <w:right w:val="nil"/>
          <w:between w:val="nil"/>
        </w:pBdr>
        <w:spacing w:before="320" w:line="276" w:lineRule="auto"/>
        <w:rPr>
          <w:rFonts w:eastAsia="Times New Roman"/>
          <w:b/>
          <w:noProof/>
          <w:color w:val="000000"/>
          <w:szCs w:val="24"/>
        </w:rPr>
      </w:pPr>
      <w:r w:rsidRPr="00FF1C3E">
        <w:rPr>
          <w:b/>
          <w:noProof/>
          <w:color w:val="000000"/>
          <w:szCs w:val="24"/>
        </w:rPr>
        <w:t>I. Veerkrachtige, duurzame en geïntegreerde economieën</w:t>
      </w:r>
    </w:p>
    <w:p w14:paraId="43DDB74C" w14:textId="77777777" w:rsidR="003855A7" w:rsidRPr="00FF1C3E" w:rsidRDefault="003855A7" w:rsidP="003855A7">
      <w:pPr>
        <w:tabs>
          <w:tab w:val="left" w:pos="0"/>
        </w:tabs>
        <w:spacing w:line="276" w:lineRule="auto"/>
        <w:rPr>
          <w:noProof/>
          <w:color w:val="000000"/>
        </w:rPr>
      </w:pPr>
      <w:r w:rsidRPr="00FF1C3E">
        <w:rPr>
          <w:noProof/>
          <w:color w:val="000000"/>
        </w:rPr>
        <w:t xml:space="preserve">De partijen versterken hun samenwerking om de economische ontwikkeling en economische integratie tussen de Republiek Moldavië, de EU-lidstaten en de oostelijke partnerlanden te stimuleren ten behoeve van het welzijn van de Moldavische burgers. Dit zal bijdragen tot minder ongelijkheid op economisch en onderwijsgebied en betere arbeidsomstandigheden, en tegelijkertijd zorgen voor geleidelijke decarbonisatie en klimaatneutraliteit van de economie, in overeenstemming met de Europese Green Deal. Ook moet ervoor worden gezorgd dat het herstel na de COVID-19-pandemie groen is en geen afbreuk doet aan de milieu- en klimaatdoelstellingen. Het handhaven van arbeidsbescherming en het bevorderen van fatsoenlijk werk zullen ook van cruciaal belang zijn voor een duurzaam en billijk herstel. Het investeringsklimaat zal worden verbeterd door het opbouwen van investeringsabsorptiecapaciteit, het creëren van een gelijk speelveld voor ondernemers, het waarborgen van de rechtsstaat, transparantie en onafhankelijkheid van de rechterlijke macht, inspanningen op het gebied van corruptiebestrijding en doeltreffend bestuur.  </w:t>
      </w:r>
    </w:p>
    <w:p w14:paraId="2BCDAF15" w14:textId="77777777" w:rsidR="003855A7" w:rsidRPr="00FF1C3E" w:rsidRDefault="003855A7" w:rsidP="003855A7">
      <w:pPr>
        <w:tabs>
          <w:tab w:val="left" w:pos="0"/>
        </w:tabs>
        <w:spacing w:line="276" w:lineRule="auto"/>
        <w:rPr>
          <w:noProof/>
          <w:color w:val="000000"/>
        </w:rPr>
      </w:pPr>
      <w:r w:rsidRPr="00FF1C3E">
        <w:rPr>
          <w:noProof/>
          <w:color w:val="000000"/>
        </w:rPr>
        <w:t xml:space="preserve">De partijen werken ook samen om te investeren in mensen, met name jongeren, om hun inzetbaarheid te verbeteren en tegelijkertijd te zorgen voor fatsoenlijke banen en doeltreffende arbeidsbescherming, en ook onderwijs, onderzoek en innovatie beter te koppelen aan de behoeften van de particuliere sector. Onderzoeks- en innovatiebeleid zal worden ondersteund door slimme specialisatie en technologieoverdracht te bevorderen en mogelijk te maken, en door de associatie van de Republiek Moldavië met Horizon Europa, het kaderprogramma voor onderzoek en innovatie, te voltooien. De Republiek Moldavië zal haar onderwijsprestaties verbeteren door modernisering en een alomvattende hervorming van de onderwijssector, door deze efficiënter te maken wat betreft hulpbronnengebruik, te investeren in de goede kwaliteit van haar personele middelen en output overeenkomstig internationale kwaliteitsnormen, opleidingsstelsels en stelsels voor jeugdwerk, en door inclusiviteit te waarborgen. </w:t>
      </w:r>
    </w:p>
    <w:p w14:paraId="0CC2959E" w14:textId="4232EAF9" w:rsidR="003855A7" w:rsidRPr="00FF1C3E" w:rsidRDefault="003855A7" w:rsidP="003855A7">
      <w:pPr>
        <w:tabs>
          <w:tab w:val="left" w:pos="0"/>
        </w:tabs>
        <w:spacing w:line="276" w:lineRule="auto"/>
        <w:rPr>
          <w:noProof/>
          <w:color w:val="000000"/>
        </w:rPr>
      </w:pPr>
      <w:r w:rsidRPr="00FF1C3E">
        <w:rPr>
          <w:noProof/>
          <w:color w:val="000000"/>
        </w:rPr>
        <w:t>De partijen ondersteunen de Republiek Moldavië bij de totstandbrenging van een volledig functionerende en concurrerende markteconomie, waarbij het Moldavische beleid stapsgewijs meer in overeenstemming wordt gebracht met het beleid van de EU. Dit moet gebeuren in overeenstemming met de leidende beginselen van macro-economische stabiliteit, gezonde overheidsfinanciën, het waarborgen van een robuust financieel stelsel en een houdbare betalingsbalans.</w:t>
      </w:r>
      <w:r w:rsidR="00CF77FF" w:rsidRPr="00FF1C3E">
        <w:rPr>
          <w:noProof/>
          <w:color w:val="000000"/>
        </w:rPr>
        <w:t xml:space="preserve"> </w:t>
      </w:r>
      <w:r w:rsidRPr="00FF1C3E">
        <w:rPr>
          <w:noProof/>
          <w:color w:val="000000"/>
        </w:rPr>
        <w:t>Interne controles en audits zullen worden versterkt overeenkomstig Europese normen en praktijken. De partijen werken samen aan verdere consolidatie van hervormingen in de bankensector. Het zal prioritair zijn het regelgevingskader en het operationele klimaat voor kleine en middelgrote ondernemingen (kmo’s) te verbeteren en tegelijkertijd de Moldavische mededingingswetgeving te handhaven om de goede werking van de interne markt te waarborgen, onder meer door monopolistisch gedrag tegen te gaan. Privatiseringen zullen op transparante wijze plaatsvinden met screeningmechanismen voor strategische activa en kritieke infrastructuur. Het bestuur van staatsbedrijven moet worden verbeterd, evenals de onafhankelijkheid en verantwoordingsplicht van de autoriteit die bevoegd is voor het beheer van overheidseigendommen. Ook de onafhankelijkheid en verantwoordingsplicht van andere toezichthoudende/regelgevende overheidsinstellingen moeten worden gewaarborgd.</w:t>
      </w:r>
    </w:p>
    <w:p w14:paraId="1FF291D6" w14:textId="77777777" w:rsidR="003855A7" w:rsidRPr="00FF1C3E" w:rsidRDefault="003855A7" w:rsidP="003855A7">
      <w:pPr>
        <w:tabs>
          <w:tab w:val="left" w:pos="0"/>
        </w:tabs>
        <w:spacing w:line="276" w:lineRule="auto"/>
        <w:rPr>
          <w:noProof/>
          <w:color w:val="000000"/>
        </w:rPr>
      </w:pPr>
      <w:r w:rsidRPr="00FF1C3E">
        <w:rPr>
          <w:noProof/>
          <w:color w:val="000000"/>
        </w:rPr>
        <w:t>De effectieve uitvoering van de associatieovereenkomst en de daarbij behorende diepe en brede vrijhandelsruimte, in samenhang met het bredere proces van aanpassing van de regelgeving en de daarmee verband houdende noodzakelijke hervormingen, schept mede de voorwaarden voor nauwere economische en handelsbetrekkingen met de EU, hetgeen leidt tot verdere geleidelijke economische integratie van de Republiek Moldavië in de interne markt van de Europese Unie, zoals beoogd in de associatieovereenkomst.</w:t>
      </w:r>
    </w:p>
    <w:p w14:paraId="37D18480" w14:textId="77777777" w:rsidR="003855A7" w:rsidRPr="00FF1C3E" w:rsidRDefault="003855A7" w:rsidP="003855A7">
      <w:pPr>
        <w:tabs>
          <w:tab w:val="left" w:pos="0"/>
        </w:tabs>
        <w:spacing w:line="276" w:lineRule="auto"/>
        <w:rPr>
          <w:noProof/>
          <w:color w:val="000000"/>
        </w:rPr>
      </w:pPr>
      <w:r w:rsidRPr="00FF1C3E">
        <w:rPr>
          <w:noProof/>
          <w:color w:val="000000"/>
        </w:rPr>
        <w:t xml:space="preserve">De partijen werken samen om de verdere uitvoering van het EU-acquis voor alle vervoerswijzen die in de associatieovereenkomst zijn beschreven (luchtvervoer, wegvervoer, zeevervoer, spoorvervoer) te bevorderen, met een sterke nadruk op de verbetering van de fysieke connectiviteit, maar ook op veiligheidsaspecten. Dit omvat de ontwikkeling van economisch belangrijke infrastructuur en een grotere nadruk op groene vervoersoplossingen, onder meer door de ontwikkeling van het uitgebreide indicatieve TEN-T-netwerk en de bevordering van multimodale vervoersoplossingen. </w:t>
      </w:r>
    </w:p>
    <w:p w14:paraId="7BD50075" w14:textId="77777777" w:rsidR="003855A7" w:rsidRPr="00FF1C3E" w:rsidRDefault="003855A7" w:rsidP="003855A7">
      <w:pPr>
        <w:tabs>
          <w:tab w:val="left" w:pos="0"/>
        </w:tabs>
        <w:spacing w:line="276" w:lineRule="auto"/>
        <w:rPr>
          <w:noProof/>
          <w:color w:val="000000"/>
        </w:rPr>
      </w:pPr>
      <w:r w:rsidRPr="00FF1C3E">
        <w:rPr>
          <w:noProof/>
          <w:color w:val="000000"/>
        </w:rPr>
        <w:t>Gezien de omstandigheden is het van cruciaal belang de sociaal-economische gevolgen van de COVID-19-pandemie aan te pakken en tegelijkertijd de veerkracht op korte en lange termijn te vergroten.</w:t>
      </w:r>
    </w:p>
    <w:p w14:paraId="357F802A" w14:textId="77777777" w:rsidR="003855A7" w:rsidRPr="00FF1C3E" w:rsidRDefault="00C56F91" w:rsidP="00C56F91">
      <w:pPr>
        <w:pBdr>
          <w:top w:val="nil"/>
          <w:left w:val="nil"/>
          <w:bottom w:val="nil"/>
          <w:right w:val="nil"/>
          <w:between w:val="nil"/>
        </w:pBdr>
        <w:spacing w:before="320" w:line="276" w:lineRule="auto"/>
        <w:rPr>
          <w:rFonts w:eastAsia="Times New Roman"/>
          <w:b/>
          <w:noProof/>
          <w:color w:val="000000"/>
          <w:szCs w:val="24"/>
        </w:rPr>
      </w:pPr>
      <w:r w:rsidRPr="00FF1C3E">
        <w:rPr>
          <w:b/>
          <w:noProof/>
          <w:color w:val="000000"/>
          <w:szCs w:val="24"/>
        </w:rPr>
        <w:t>II. Verantwoordingsplichtige instellingen, de rechtsstaat en veiligheid</w:t>
      </w:r>
    </w:p>
    <w:p w14:paraId="7764A83E" w14:textId="77777777" w:rsidR="003855A7" w:rsidRPr="00FF1C3E" w:rsidRDefault="003855A7" w:rsidP="003855A7">
      <w:pPr>
        <w:spacing w:line="276" w:lineRule="auto"/>
        <w:rPr>
          <w:rFonts w:eastAsia="Times New Roman"/>
          <w:noProof/>
          <w:szCs w:val="24"/>
        </w:rPr>
      </w:pPr>
      <w:r w:rsidRPr="00FF1C3E">
        <w:rPr>
          <w:noProof/>
        </w:rPr>
        <w:t>De partijen werken samen om de beginselen van de rechtsstaat in acht te nemen, de universele mensenrechten te eerbiedigen en te zorgen voor goed functionerende democratische instellingen en inclusie. Er zal prioriteit worden gegeven aan de wetgeving inzake justitiële en rechtshandhavingsinstanties, met inbegrip van die voor corruptiebestrijding, en aan de uitvoering daarvan. De wetgeving moet waar nodig worden aangepast en er zullen passende personele en financiële middelen worden uitgetrokken om de onafhankelijkheid, verantwoordingsplicht, onpartijdigheid, integriteit, professionaliteit en efficiëntie van de rechterlijke macht, met inbegrip van het openbaar ministerie, te waarborgen, die vrij moet zijn van politieke of enige andere onrechtmatige inmenging. De EU is ingenomen met het besluit van de Republiek Moldavië om voorrang te geven aan rechtsstatelijke hervormingen. Nultolerantie voor corruptie moet worden nagestreefd om allerlei vormen van corrupt gedrag te voorkomen. Politieke corruptie zal worden aangepakt in overeenstemming met aanbevelingen van de Greco. De integriteit van de overheidssector moet worden versterkt, met de nadruk op effectieve vermogenscontrole en in overeenstemming met de beginselen van goed bestuur.</w:t>
      </w:r>
    </w:p>
    <w:p w14:paraId="6B973C52" w14:textId="77777777" w:rsidR="003855A7" w:rsidRPr="00FF1C3E" w:rsidRDefault="003855A7" w:rsidP="003855A7">
      <w:pPr>
        <w:pBdr>
          <w:top w:val="nil"/>
          <w:left w:val="nil"/>
          <w:bottom w:val="nil"/>
          <w:right w:val="nil"/>
          <w:between w:val="nil"/>
        </w:pBdr>
        <w:spacing w:line="276" w:lineRule="auto"/>
        <w:rPr>
          <w:rFonts w:eastAsia="Times New Roman"/>
          <w:noProof/>
          <w:szCs w:val="24"/>
        </w:rPr>
      </w:pPr>
      <w:r w:rsidRPr="00FF1C3E">
        <w:rPr>
          <w:noProof/>
        </w:rPr>
        <w:t>Het versterken van de nationale dienst voor de ontneming van vermogensbestanddelen en het verbeteren van de efficiëntie ervan zullen een prioriteit zijn. De Republiek Moldavië onderwerpt alle gevallen van fraude die zich in 2012-2014 voordeden in het banksysteem, en alle gevallen van het witwassen van geld, zoals de Laundromat-zaak, aan een diepgravend, onpartijdig en transparant onderzoek, ook met het oog op het terugvorderen van de ontvreemde gelden en het vervolgen van de verantwoordelijken. De samenwerking tussen Moldavische en Europese rechtshandhavingsinstanties moet worden versterkt.</w:t>
      </w:r>
      <w:r w:rsidRPr="00FF1C3E">
        <w:rPr>
          <w:b/>
          <w:noProof/>
          <w:szCs w:val="24"/>
        </w:rPr>
        <w:t xml:space="preserve"> </w:t>
      </w:r>
    </w:p>
    <w:p w14:paraId="23F201EA"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De Republiek Moldavië zorgt ervoor dat de presidents-, parlements- en lokale verkiezingen op democratische wijze plaatsvinden, in overeenstemming met internationaal overeengekomen en Europese normen, en dat er geen politieke druk wordt uitgeoefend op belanghebbenden die bij de verkiezingen betrokken zijn. De adviezen en aanbevelingen van internationale organisaties, waaronder de Raad van Europa en het Bureau voor Democratische Instellingen en Mensenrechten van de Organisatie voor Veiligheid en Samenwerking in Europa (OVSE/ODIHR), zullen worden geëerbiedigd en opgevolgd. </w:t>
      </w:r>
    </w:p>
    <w:p w14:paraId="164025AF"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De partijen werken samen om ervoor te zorgen dat de hervorming van de veiligheidssector wordt uitgevoerd en dat kaders en procedures worden vastgesteld op het gebied van crisisbeheersing, bescherming van kritieke infrastructuur en bestrijding van hybride bedreigingen, onder meer door de weerbaarheid van overheidsinstellingen tegen buitenlandse inmenging te ontwikkelen en de gevolgen van corruptie voor de nationale veiligheid aan te pakken.</w:t>
      </w:r>
    </w:p>
    <w:p w14:paraId="35F25C7A" w14:textId="77777777" w:rsidR="003855A7" w:rsidRPr="00FF1C3E" w:rsidRDefault="003855A7" w:rsidP="003855A7">
      <w:pPr>
        <w:spacing w:line="276" w:lineRule="auto"/>
        <w:rPr>
          <w:rFonts w:eastAsia="Times New Roman"/>
          <w:noProof/>
          <w:szCs w:val="24"/>
        </w:rPr>
      </w:pPr>
      <w:r w:rsidRPr="00FF1C3E">
        <w:rPr>
          <w:noProof/>
        </w:rPr>
        <w:t>Het ondersteunen van politiehervormingen en grenssamenwerking volgens de beste internationale en EU-normen blijft een belangrijke doelstelling. De nadruk zal liggen op de ondersteuning van de bestrijding van georganiseerde criminaliteit, grensoverschrijdende smokkel en het versterken van de samenwerking tussen justitiële en rechtshandhavingsinstanties in de EU.</w:t>
      </w:r>
    </w:p>
    <w:p w14:paraId="2DD28D1D" w14:textId="77777777" w:rsidR="003855A7" w:rsidRPr="00FF1C3E" w:rsidRDefault="003855A7" w:rsidP="003855A7">
      <w:pPr>
        <w:spacing w:line="276" w:lineRule="auto"/>
        <w:rPr>
          <w:rFonts w:eastAsia="Times New Roman"/>
          <w:noProof/>
          <w:szCs w:val="24"/>
        </w:rPr>
      </w:pPr>
      <w:r w:rsidRPr="00FF1C3E">
        <w:rPr>
          <w:noProof/>
        </w:rPr>
        <w:t xml:space="preserve">De Republiek Moldavië zorgt ervoor dat alle criteria van het actieplan voor visumliberalisering en de aanbevelingen van de Commissie in de verslagen over het visumopschortingsmechanisme constant worden nageleefd. </w:t>
      </w:r>
    </w:p>
    <w:p w14:paraId="017C4E62" w14:textId="77777777" w:rsidR="003855A7" w:rsidRPr="00FF1C3E" w:rsidRDefault="00C56F91" w:rsidP="00C56F91">
      <w:pPr>
        <w:pBdr>
          <w:top w:val="nil"/>
          <w:left w:val="nil"/>
          <w:bottom w:val="nil"/>
          <w:right w:val="nil"/>
          <w:between w:val="nil"/>
        </w:pBdr>
        <w:spacing w:before="320" w:line="276" w:lineRule="auto"/>
        <w:rPr>
          <w:rFonts w:eastAsia="Times New Roman"/>
          <w:b/>
          <w:noProof/>
          <w:color w:val="000000"/>
          <w:szCs w:val="24"/>
        </w:rPr>
      </w:pPr>
      <w:r w:rsidRPr="00FF1C3E">
        <w:rPr>
          <w:b/>
          <w:noProof/>
          <w:color w:val="000000"/>
          <w:szCs w:val="24"/>
        </w:rPr>
        <w:t>III. Ecologische veerkracht en klimaatbestendigheid</w:t>
      </w:r>
    </w:p>
    <w:p w14:paraId="18D7A599"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De partijen werken samen aan meer energiezekerheid door middel van meer diversificatie, alsmede meer energie-efficiëntie en het gebruik van hernieuwbare energie. De gemeenschappelijke doelstelling blijft het tot stand brengen van een concurrerende, corruptievrije en transparante energiemarkt in de Republiek Moldavië en de volledige integratie daarvan in de energiemarkt van de EU, met inbegrip van een grotere interconnectie tussen de Republiek Moldavië en de EU. Daartoe zorgt de Republiek Moldavië ervoor dat de regels, infrastructuurprojecten en connectiviteit gericht blijven op het verminderen van de energieafhankelijkheid, het versterken van de stabiliteit en veiligheid van energiesystemen en de continuïteit van de energievoorziening.</w:t>
      </w:r>
    </w:p>
    <w:p w14:paraId="23F8A791" w14:textId="77777777" w:rsidR="003855A7" w:rsidRPr="00FF1C3E" w:rsidRDefault="003855A7" w:rsidP="003855A7">
      <w:pPr>
        <w:spacing w:line="276" w:lineRule="auto"/>
        <w:rPr>
          <w:rFonts w:eastAsia="Times New Roman"/>
          <w:noProof/>
          <w:szCs w:val="24"/>
        </w:rPr>
      </w:pPr>
      <w:r w:rsidRPr="00FF1C3E">
        <w:rPr>
          <w:noProof/>
        </w:rPr>
        <w:t xml:space="preserve">Verder werken de partijen samen aan ecologische veerkracht en klimaatbestendigheid door een moderne, hulpbronnenefficiënte, schone en circulaire economie te bevorderen die leidt tot een vergroening van de economie en een duurzamer gebruik van natuurlijke hulpbronnen, in overeenstemming met de Europese Green Deal en ook in de context van het herstel na de COVID-19-pandemie. Dit zal onder meer worden bereikt door administratieve hervormingen voort te zetten en voldoende bestuurlijke capaciteit op te bouwen voor de uitvoering van de hoofdstukken inzake milieu en klimaatactie van de associatieovereenkomst, en om de erfenis van het verleden op het gebied van milieuwetgeving, beheerspraktijken en infrastructuur te overwinnen. Dit betekent ook integratie van de doelstellingen inzake lage emissies en klimaatbestendigheid overeenkomstig de Overeenkomst van Parijs om de gevolgen van de klimaatverandering voor het leven van burgers te beperken. Het ontwikkelen van steunprogramma’s voor de digitalisering van kmo’s en het verzamelen van indicatoren en statistische informatie op het gebied van de digitale economie zijn prioritair. </w:t>
      </w:r>
    </w:p>
    <w:p w14:paraId="15412182" w14:textId="77777777" w:rsidR="003855A7" w:rsidRPr="00FF1C3E" w:rsidRDefault="003855A7" w:rsidP="003855A7">
      <w:pPr>
        <w:spacing w:line="276" w:lineRule="auto"/>
        <w:rPr>
          <w:rFonts w:eastAsia="Times New Roman"/>
          <w:noProof/>
          <w:szCs w:val="24"/>
        </w:rPr>
      </w:pPr>
      <w:r w:rsidRPr="00FF1C3E">
        <w:rPr>
          <w:noProof/>
        </w:rPr>
        <w:t>Goed bestuur op milieugebied moet worden versterkt door middel van de goedkeuring en uitvoering van nieuwe wetgeving en door het waarborgen van de toegang van het publiek tot milieu-informatie en deelname van het publiek aan de besluitvorming. Ten slotte moet een grotere deelname aan acties op het gebied van onderzoek en innovatie met doelstellingen voor de beperking van de klimaatverandering de groene transitie verder ondersteunen.</w:t>
      </w:r>
    </w:p>
    <w:p w14:paraId="7EAF406B" w14:textId="77777777" w:rsidR="003855A7" w:rsidRPr="00FF1C3E" w:rsidRDefault="003855A7" w:rsidP="003855A7">
      <w:pPr>
        <w:spacing w:line="276" w:lineRule="auto"/>
        <w:rPr>
          <w:rFonts w:eastAsia="Times New Roman"/>
          <w:noProof/>
          <w:szCs w:val="24"/>
        </w:rPr>
      </w:pPr>
      <w:r w:rsidRPr="00FF1C3E">
        <w:rPr>
          <w:noProof/>
        </w:rPr>
        <w:t>Verbetering van de lucht- en waterkwaliteit, alsook beter afvalbeheer in overeenstemming met Europese normen, zullen hand in hand gaan met het bevorderen van duurzame landbouw en het behoud van biodiversiteit en ecosystemen.</w:t>
      </w:r>
    </w:p>
    <w:p w14:paraId="2447364E" w14:textId="77777777" w:rsidR="003855A7" w:rsidRPr="00FF1C3E" w:rsidRDefault="00C56F91" w:rsidP="00C56F91">
      <w:pPr>
        <w:pBdr>
          <w:top w:val="nil"/>
          <w:left w:val="nil"/>
          <w:bottom w:val="nil"/>
          <w:right w:val="nil"/>
          <w:between w:val="nil"/>
        </w:pBdr>
        <w:spacing w:before="320" w:line="276" w:lineRule="auto"/>
        <w:rPr>
          <w:rFonts w:eastAsia="Times New Roman"/>
          <w:b/>
          <w:noProof/>
          <w:color w:val="000000"/>
          <w:szCs w:val="24"/>
        </w:rPr>
      </w:pPr>
      <w:r w:rsidRPr="00FF1C3E">
        <w:rPr>
          <w:b/>
          <w:noProof/>
          <w:color w:val="000000"/>
          <w:szCs w:val="24"/>
        </w:rPr>
        <w:t>IV. Veerkrachtige digitale transformatie</w:t>
      </w:r>
    </w:p>
    <w:p w14:paraId="5AFB2015" w14:textId="77777777" w:rsidR="003855A7" w:rsidRPr="00FF1C3E" w:rsidRDefault="003855A7" w:rsidP="003855A7">
      <w:pPr>
        <w:spacing w:line="276" w:lineRule="auto"/>
        <w:rPr>
          <w:rFonts w:eastAsia="Times New Roman"/>
          <w:noProof/>
          <w:szCs w:val="24"/>
        </w:rPr>
      </w:pPr>
      <w:r w:rsidRPr="00FF1C3E">
        <w:rPr>
          <w:noProof/>
        </w:rPr>
        <w:t xml:space="preserve">De COVID-19-pandemie heeft de digitale kloof in samenlevingen aan het licht gebracht en duidelijk gemaakt dat de digitale transformatie dringend moet worden ondersteund. Oplossingen voor e-gezondheid, afstandsonderwijs, telegeneeskunde, het opsporen van virussen en het voorkomen van desinformatie zullen niet alleen helpen tijdens de pandemie, maar zullen de veerkracht en ontwikkeling van onze partners de komende jaren ondersteunen. Daarom werken de partijen samen om groei mogelijk te maken en duurzame ontwikkeling te stimuleren en verder te investeren in de digitale transformatie van de Republiek Moldavië, in overeenstemming met EU-wetgeving en beste praktijken. Het is van cruciaal belang te zorgen voor beleid dat gericht is op het stimuleren en diversifiëren van de IT-sector, het versterken van het concurrentievermogen ervan, het stimuleren van start-ups en digitaal onderzoek, en digitale innovatie in alle sectoren van de economie. Het ontwikkelen van steunprogramma’s voor de digitalisering van kmo’s en het verzamelen van indicatoren en statistische informatie op het gebied van de digitale economie zijn prioritair. Tegelijkertijd moeten e-governance en digitale diensten verder worden ontwikkeld om de toegankelijkheid, efficiëntie, transparantie en verantwoordingsplicht van het openbaar bestuur te verbeteren, onder meer wat betreft het kader voor overheidsinvesteringen en wat betreft overheidsdiensten. Dit moet gepaard gaan met de ontwikkeling en consolidatie van digitale vaardigheden en de digitale geletterdheid van de bredere bevolking. De EU ondersteunt de uitvoering van roaming- en spectrumovereenkomsten tussen de Republiek Moldavië en andere partnerlanden en, als langetermijndoelstelling, de verlaging van roamingtarieven met de EU. De Republiek Moldavië verbindt zich ertoe juridische en technische belemmeringen voor dergelijke overeenkomsten weg te nemen, verder te investeren in digitale transformatie en hoogwaardige toegang te bieden tot beveiligde communicatienetwerken en -diensten tegen betaalbare prijzen. De partijen werken samen om de verantwoordingsplicht, administratieve capaciteit en onafhankelijkheid van de nationale regelgevende autoriteit van de Republiek Moldavië op het gebied van elektronische communicatie te verbeteren – een essentiële voorwaarde voor de goede werking van de desbetreffende markt. De partijen werken ook samen om te zorgen voor solide juridische, beleids- en operationele kaders inzake cyberbeveiliging op basis van EU-wetgeving en beste praktijken.  </w:t>
      </w:r>
    </w:p>
    <w:p w14:paraId="6F0AA5FC" w14:textId="77777777" w:rsidR="003855A7" w:rsidRPr="00FF1C3E" w:rsidRDefault="00C56F91" w:rsidP="00C56F91">
      <w:pPr>
        <w:pBdr>
          <w:top w:val="nil"/>
          <w:left w:val="nil"/>
          <w:bottom w:val="nil"/>
          <w:right w:val="nil"/>
          <w:between w:val="nil"/>
        </w:pBdr>
        <w:spacing w:before="320" w:line="276" w:lineRule="auto"/>
        <w:rPr>
          <w:rFonts w:eastAsia="Times New Roman"/>
          <w:b/>
          <w:noProof/>
          <w:color w:val="000000"/>
          <w:szCs w:val="24"/>
        </w:rPr>
      </w:pPr>
      <w:r w:rsidRPr="00FF1C3E">
        <w:rPr>
          <w:b/>
          <w:noProof/>
          <w:color w:val="000000"/>
          <w:szCs w:val="24"/>
        </w:rPr>
        <w:t>V. Veerkrachtige, eerlijke en inclusieve samenlevingen</w:t>
      </w:r>
    </w:p>
    <w:p w14:paraId="068EA505"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De partijen werken samen om te zorgen voor transparant, burgergericht en verantwoordingsplichtig openbaar bestuur, en voor veilige, vrije en eerlijke verkiezingen.  </w:t>
      </w:r>
    </w:p>
    <w:p w14:paraId="295D56A8"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De Republiek Moldavië zet de uitvoering van de strategie voor de hervorming van het openbaar bestuur (Public Administration Reform – PAR) en de onderliggende strategieën verder. Dat betekent dat regeringsinstanties, administratieve autoriteiten en staatsbedrijven moeten worden gereorganiseerd om de verantwoordingsplicht, doeltreffendheid en doelmatigheid te vergroten. </w:t>
      </w:r>
      <w:r w:rsidRPr="00FF1C3E">
        <w:rPr>
          <w:noProof/>
          <w:color w:val="000000"/>
        </w:rPr>
        <w:t xml:space="preserve">Dit betekent verder dat het beleidsontwikkelings- en </w:t>
      </w:r>
      <w:r w:rsidRPr="00FF1C3E">
        <w:rPr>
          <w:noProof/>
          <w:color w:val="000000"/>
        </w:rPr>
        <w:noBreakHyphen/>
        <w:t>coördinatiesysteem, waar nodig met inbegrip van de benoemings- en ontslagprocedures, verder moet worden aangepast om de inclusiviteit, samenhang, efficiëntie, voorspelbaarheid en transparantie van het besluitvormingsproces te verbeteren.</w:t>
      </w:r>
      <w:r w:rsidRPr="00FF1C3E">
        <w:rPr>
          <w:noProof/>
          <w:color w:val="000000"/>
          <w:szCs w:val="24"/>
        </w:rPr>
        <w:t xml:space="preserve"> Een sterk, professioneel ambtenarenapparaat en een modern systeem voor personeelsbeheer moeten worden bevorderd. De Republiek Moldavië streeft ernaar zoveel mogelijk middelen op lokaal niveau ter beschikking van de burgers te stellen. De partijen werken samen om het toezicht op en de transparantie en verantwoordingsplicht van beleid en beheer inzake overheidsfinanciën te versterken. </w:t>
      </w:r>
      <w:r w:rsidRPr="00FF1C3E">
        <w:rPr>
          <w:noProof/>
          <w:color w:val="000000"/>
        </w:rPr>
        <w:t>De nadruk moet blijven liggen op voorzichtige budgettering, begrotingsdiscipline en begrotingsuitvoering om de verantwoordingsprocedures te verbeteren en meer op resultaten te sturen.</w:t>
      </w:r>
      <w:r w:rsidRPr="00FF1C3E">
        <w:rPr>
          <w:noProof/>
          <w:color w:val="000000"/>
          <w:szCs w:val="24"/>
        </w:rPr>
        <w:t xml:space="preserve"> Daartoe moet de hervorming van de parlementaire controle en het parlementaire toezicht op de begroting worden voortgezet.</w:t>
      </w:r>
    </w:p>
    <w:p w14:paraId="7CD23A74"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De partijen werken samen om de maatschappelijke veerkracht te versterken, de sociale cohesie en de sociale bescherming van de Moldavische samenleving te bevorderen, meer te doen op het gebied van vraagstukken die jongeren aangaan, braindrain te voorkomen, gendergelijkheid te waarborgen en huiselijk geweld te bestrijden. Aangezien de aanpak van het migratievraagstuk ook een gemeenschappelijke prioriteit is, blijven de partijen samenwerken om te zorgen voor mobiliteit en contacten tussen mensen in een veilige en goed beheerde omgeving, en bijstand te verlenen aan kwetsbare migranten en vluchtelingen. De succesvolle uitvoering van de bestaande overnameovereenkomst en de voortdurende naleving van de criteria van het actieplan voor visumliberalisering zijn van essentieel belang. Als aanvulling hierop zorgt het mobiliteitspartnerschap tussen de EU en Moldavië voor duurzaam engagement. Er zal worden nagedacht over initiatieven op het gebied van arbeidsmigratie, die erop gericht zijn de samenwerking en de kruisbestuiving van vaardigheden en competenties te verbeteren, rekening houdend met de gevolgen van braindrain voor het menselijk kapitaal van partnerlanden, met inachtneming van de bestaande nationale wetgeving en bevoegdheden. Om grensoverschrijdend verkeer van mensen en goederen mogelijk te maken, zal de technische en administratieve samenwerking op het gebied van geïntegreerd grensbeheer worden versterkt. Investeringen in sociale en economische transformatie op lokaal niveau, met inbegrip van betere toegang tot betere fysieke infrastructuur en openbare nutsvoorzieningen en betere levensomstandigheden, zullen een prioriteit zijn. De Republiek Moldavië waarborgt het grondrecht op toegang tot gezondheid, terwijl de EU de versterking van de volksgezondheidssector steunt. Dit is van cruciaal belang voor de ontwikkeling van doeltreffende mechanismen voor crisisrespons in de strijd tegen overdraagbare ziekten, onder meer om de gevolgen van de COVID-19-pandemie aan te pakken.</w:t>
      </w:r>
    </w:p>
    <w:p w14:paraId="281962A9"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Meer in het algemeen blijft de EU zich inzetten voor goed bestuur, mensenrechten, de rechtsstaat, non-discriminatie en fatsoenlijk werk, alsook voor fundamentele waarden en humanitaire beginselen bij de respons op de COVID-19-pandemie en het herstel ervan.  </w:t>
      </w:r>
    </w:p>
    <w:p w14:paraId="70EAC43C" w14:textId="77777777" w:rsidR="003855A7" w:rsidRPr="00FF1C3E" w:rsidRDefault="003855A7" w:rsidP="003855A7">
      <w:pPr>
        <w:spacing w:line="276" w:lineRule="auto"/>
        <w:rPr>
          <w:rFonts w:eastAsia="Times New Roman"/>
          <w:noProof/>
          <w:szCs w:val="24"/>
        </w:rPr>
      </w:pPr>
      <w:r w:rsidRPr="00FF1C3E">
        <w:rPr>
          <w:noProof/>
        </w:rPr>
        <w:t>De Republiek Moldavië zorgt voor een doeltreffend en geconsolideerd kader voor niet-gouvernementele organisaties (ngo’s) om vrij te opereren en maakt capaciteitsopbouw van de maatschappelijke organisaties mogelijk, met name de organisaties die op lokaal niveau actief zijn, zodat zij op zinvolle wijze kunnen deelnemen aan beleidsvormingsprocessen, wat hervormingen, openbare dienstverlening en publieke verantwoordingsplicht bevordert.</w:t>
      </w:r>
    </w:p>
    <w:p w14:paraId="79771FA3"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De Republiek Moldavië zal de vrijheid, onafhankelijkheid en pluriformiteit van de media ondersteunen, waarbij zij EU- en universele normen naleeft, voorwaarden voor vrije en gezonde mediaomgevingen waarborgt en kwaliteitsvolle media bevordert, ook op lokaal niveau. Er zal prioriteit worden gegeven aan het waarborgen van een functionerende, onpartijdige, doeltreffende en transparante audiovisuele raad. De Republiek Moldavië waarborgt en bevordert het recht op toegang tot informatie van algemeen belang en nauwkeurige, onpartijdige berichtgeving.</w:t>
      </w:r>
    </w:p>
    <w:p w14:paraId="6A05BB81"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De partijen bevorderen de uitwisseling van beste praktijken met betrekking tot beleidsinitiatieven die erop gericht zijn het niveau van mediageletterdheid in de samenleving te verhogen (zoals onderwijsprogramma’s en leerplannen).  </w:t>
      </w:r>
    </w:p>
    <w:p w14:paraId="78F73779" w14:textId="77777777" w:rsidR="003855A7" w:rsidRPr="00FF1C3E" w:rsidRDefault="003855A7" w:rsidP="003855A7">
      <w:pPr>
        <w:pBdr>
          <w:top w:val="nil"/>
          <w:left w:val="nil"/>
          <w:bottom w:val="nil"/>
          <w:right w:val="nil"/>
          <w:between w:val="nil"/>
        </w:pBdr>
        <w:spacing w:line="276" w:lineRule="auto"/>
        <w:rPr>
          <w:rFonts w:eastAsia="Times New Roman"/>
          <w:noProof/>
          <w:color w:val="000000"/>
          <w:szCs w:val="24"/>
        </w:rPr>
      </w:pPr>
      <w:r w:rsidRPr="00FF1C3E">
        <w:rPr>
          <w:noProof/>
          <w:color w:val="000000"/>
          <w:szCs w:val="24"/>
        </w:rPr>
        <w:t xml:space="preserve">De uitvoering van het nieuwe nationale actieplan voor de mensenrechten, met de nadruk op de meest kwetsbare groepen, zal een prioriteit zijn. De Republiek Moldavië waarborgt dat de uitspraken van het Europees Hof voor de Rechten van de Mens op effectieve wijze wordt uitgevoerd en creëert een efficiënt mechanisme voor het parlementair toezicht daarop. </w:t>
      </w:r>
    </w:p>
    <w:p w14:paraId="3F182793" w14:textId="77777777" w:rsidR="003855A7" w:rsidRPr="00FF1C3E" w:rsidRDefault="003855A7" w:rsidP="003855A7">
      <w:pPr>
        <w:spacing w:before="0" w:after="200" w:line="276" w:lineRule="auto"/>
        <w:rPr>
          <w:rFonts w:eastAsia="Times New Roman"/>
          <w:noProof/>
          <w:szCs w:val="24"/>
        </w:rPr>
      </w:pPr>
      <w:r w:rsidRPr="00FF1C3E">
        <w:rPr>
          <w:noProof/>
        </w:rPr>
        <w:br w:type="page"/>
      </w:r>
    </w:p>
    <w:p w14:paraId="1CB30DBE" w14:textId="77777777" w:rsidR="003855A7" w:rsidRPr="00FF1C3E" w:rsidRDefault="00C56F91" w:rsidP="00C56F91">
      <w:pPr>
        <w:ind w:left="567" w:hanging="567"/>
        <w:rPr>
          <w:rFonts w:eastAsia="Times New Roman"/>
          <w:b/>
          <w:noProof/>
          <w:sz w:val="28"/>
          <w:szCs w:val="28"/>
        </w:rPr>
      </w:pPr>
      <w:r w:rsidRPr="00FF1C3E">
        <w:rPr>
          <w:b/>
          <w:noProof/>
          <w:sz w:val="28"/>
          <w:szCs w:val="28"/>
        </w:rPr>
        <w:t>3 Prioriteiten op korte en lange termijn van de associatieagenda</w:t>
      </w:r>
    </w:p>
    <w:p w14:paraId="1C22F59C" w14:textId="77777777" w:rsidR="003855A7" w:rsidRPr="00FF1C3E" w:rsidRDefault="003855A7" w:rsidP="003855A7">
      <w:pPr>
        <w:widowControl w:val="0"/>
        <w:spacing w:line="276" w:lineRule="auto"/>
        <w:rPr>
          <w:rFonts w:eastAsia="Times New Roman"/>
          <w:noProof/>
          <w:szCs w:val="24"/>
        </w:rPr>
      </w:pPr>
      <w:r w:rsidRPr="00FF1C3E">
        <w:rPr>
          <w:noProof/>
        </w:rPr>
        <w:t>De partijen werken samen op de volgende terreinen:</w:t>
      </w:r>
    </w:p>
    <w:p w14:paraId="0435355F" w14:textId="77777777" w:rsidR="003855A7" w:rsidRPr="00FF1C3E" w:rsidRDefault="00C56F91" w:rsidP="00C56F91">
      <w:pPr>
        <w:pBdr>
          <w:top w:val="nil"/>
          <w:left w:val="nil"/>
          <w:bottom w:val="nil"/>
          <w:right w:val="nil"/>
          <w:between w:val="nil"/>
        </w:pBdr>
        <w:spacing w:before="240" w:after="0"/>
        <w:rPr>
          <w:rFonts w:eastAsia="Times New Roman"/>
          <w:b/>
          <w:i/>
          <w:noProof/>
          <w:color w:val="000000"/>
          <w:szCs w:val="24"/>
          <w:u w:val="single"/>
        </w:rPr>
      </w:pPr>
      <w:r w:rsidRPr="00FF1C3E">
        <w:rPr>
          <w:b/>
          <w:i/>
          <w:noProof/>
          <w:color w:val="000000"/>
          <w:szCs w:val="24"/>
          <w:u w:val="single"/>
        </w:rPr>
        <w:t>I. Democratie, mensenrechten en goed bestuur</w:t>
      </w:r>
    </w:p>
    <w:p w14:paraId="084D2CDF" w14:textId="77777777" w:rsidR="003855A7" w:rsidRPr="00FF1C3E" w:rsidRDefault="003855A7" w:rsidP="008D5227">
      <w:pPr>
        <w:pStyle w:val="NumPar1"/>
        <w:numPr>
          <w:ilvl w:val="0"/>
          <w:numId w:val="95"/>
        </w:numPr>
        <w:tabs>
          <w:tab w:val="clear" w:pos="850"/>
          <w:tab w:val="num" w:pos="567"/>
        </w:tabs>
        <w:ind w:left="567" w:hanging="567"/>
        <w:rPr>
          <w:noProof/>
          <w:u w:val="single"/>
        </w:rPr>
      </w:pPr>
      <w:bookmarkStart w:id="1" w:name="_Hlk61455733"/>
      <w:r w:rsidRPr="00FF1C3E">
        <w:rPr>
          <w:noProof/>
          <w:u w:val="single"/>
        </w:rPr>
        <w:t>Regels en instellingen die de democratie waarborgen</w:t>
      </w:r>
    </w:p>
    <w:bookmarkEnd w:id="1"/>
    <w:p w14:paraId="13BF12B3" w14:textId="77777777" w:rsidR="003855A7" w:rsidRPr="00FF1C3E" w:rsidRDefault="003855A7" w:rsidP="00AC1CAF">
      <w:pPr>
        <w:pStyle w:val="Bullet0"/>
        <w:numPr>
          <w:ilvl w:val="0"/>
          <w:numId w:val="16"/>
        </w:numPr>
        <w:ind w:hanging="283"/>
        <w:rPr>
          <w:noProof/>
        </w:rPr>
      </w:pPr>
      <w:r w:rsidRPr="00FF1C3E">
        <w:rPr>
          <w:noProof/>
        </w:rPr>
        <w:t>Waarborgen dat de presidentiële, parlementaire en lokale verkiezingen op een democratische wijze verlopen, overeenkomstig internationaal overeengekomen en Europese normen. Waarborgen van de onafhankelijkheid en professionaliteit van de centrale verkiezingscommissie.</w:t>
      </w:r>
    </w:p>
    <w:p w14:paraId="243D0C89" w14:textId="77777777" w:rsidR="003855A7" w:rsidRPr="00FF1C3E" w:rsidRDefault="003855A7" w:rsidP="00AC1CAF">
      <w:pPr>
        <w:pStyle w:val="Bullet0"/>
        <w:numPr>
          <w:ilvl w:val="0"/>
          <w:numId w:val="16"/>
        </w:numPr>
        <w:ind w:hanging="283"/>
        <w:rPr>
          <w:noProof/>
        </w:rPr>
      </w:pPr>
      <w:r w:rsidRPr="00FF1C3E">
        <w:rPr>
          <w:noProof/>
        </w:rPr>
        <w:t>Zorgen voor transparantie, verantwoordingsplicht en wettigheid van de financiering van politieke partijen en verkiezingscampagnes in overeenstemming met internationale normen en beste praktijken, alsook strikte, tijdige en deugdelijke toezichts- en sanctiemechanismen invoeren.</w:t>
      </w:r>
    </w:p>
    <w:p w14:paraId="55169D63" w14:textId="77777777" w:rsidR="003855A7" w:rsidRPr="00FF1C3E" w:rsidRDefault="003855A7" w:rsidP="00AC1CAF">
      <w:pPr>
        <w:pStyle w:val="Bullet0"/>
        <w:numPr>
          <w:ilvl w:val="0"/>
          <w:numId w:val="16"/>
        </w:numPr>
        <w:ind w:hanging="283"/>
        <w:rPr>
          <w:noProof/>
        </w:rPr>
      </w:pPr>
      <w:r w:rsidRPr="00FF1C3E">
        <w:rPr>
          <w:noProof/>
        </w:rPr>
        <w:t>Zorgen voor politiek pluralisme en vergemakkelijken van politieke vertegenwoordiging en inclusieve participatie van personen die tot kwetsbare groepen en minderheden behoren, waaronder het bereiken van het genderquotum van 40 % in verkiesbare functies en het streven naar een vergelijkbaar quotum voor benoemingen op centraal en rayonniveau.</w:t>
      </w:r>
    </w:p>
    <w:p w14:paraId="5FA0D2F4" w14:textId="77777777" w:rsidR="003855A7" w:rsidRPr="00FF1C3E" w:rsidRDefault="003855A7" w:rsidP="00AC1CAF">
      <w:pPr>
        <w:pStyle w:val="Bullet0"/>
        <w:numPr>
          <w:ilvl w:val="0"/>
          <w:numId w:val="16"/>
        </w:numPr>
        <w:ind w:hanging="283"/>
        <w:rPr>
          <w:noProof/>
        </w:rPr>
      </w:pPr>
      <w:r w:rsidRPr="00FF1C3E">
        <w:rPr>
          <w:noProof/>
        </w:rPr>
        <w:t>Zorgen voor verantwoordingsplichtige, transparante, efficiënte, doeltreffende en goed uitgeruste overheidsinstanties en administratieve autoriteiten op nationaal en lokaal niveau, vrij van corruptie en ongepaste beïnvloeding.</w:t>
      </w:r>
    </w:p>
    <w:p w14:paraId="37C9BB60" w14:textId="77777777" w:rsidR="003855A7" w:rsidRPr="00FF1C3E" w:rsidRDefault="003855A7" w:rsidP="00AC1CAF">
      <w:pPr>
        <w:pStyle w:val="Bullet0"/>
        <w:numPr>
          <w:ilvl w:val="0"/>
          <w:numId w:val="16"/>
        </w:numPr>
        <w:ind w:hanging="283"/>
        <w:rPr>
          <w:noProof/>
        </w:rPr>
      </w:pPr>
      <w:r w:rsidRPr="00FF1C3E">
        <w:rPr>
          <w:noProof/>
        </w:rPr>
        <w:t>Versterken van de rol en het functioneren van het parlement, onder meer door ervoor te zorgen dat de nodige maatregelen worden genomen om middelen toe te wijzen en mechanismen te verbeteren voor een volledig transparant, voorspelbaar en participatief wetgevingsproces, voor transparante benoemingen in overeenstemming met de beste internationale praktijken en voor een doeltreffender toezicht op en controle van de uitvoering van wetten.</w:t>
      </w:r>
    </w:p>
    <w:p w14:paraId="51261875" w14:textId="77777777" w:rsidR="003855A7" w:rsidRPr="00FF1C3E" w:rsidRDefault="003855A7" w:rsidP="00AC1CAF">
      <w:pPr>
        <w:pStyle w:val="Bullet0"/>
        <w:numPr>
          <w:ilvl w:val="0"/>
          <w:numId w:val="16"/>
        </w:numPr>
        <w:ind w:hanging="283"/>
        <w:rPr>
          <w:noProof/>
        </w:rPr>
      </w:pPr>
      <w:r w:rsidRPr="00FF1C3E">
        <w:rPr>
          <w:noProof/>
        </w:rPr>
        <w:t>Wijzigen van de wet inzake transparantie in de besluitvorming en van de verordening van het parlement om het mechanisme van de door het parlement gebruikte noodprocedure vast te stellen en te zorgen voor adequate deelname van het maatschappelijk middenveld.</w:t>
      </w:r>
    </w:p>
    <w:p w14:paraId="3D851E64" w14:textId="77777777" w:rsidR="003855A7" w:rsidRPr="00FF1C3E" w:rsidRDefault="003855A7" w:rsidP="00AC1CAF">
      <w:pPr>
        <w:pStyle w:val="Bullet0"/>
        <w:numPr>
          <w:ilvl w:val="0"/>
          <w:numId w:val="16"/>
        </w:numPr>
        <w:ind w:hanging="283"/>
        <w:rPr>
          <w:noProof/>
        </w:rPr>
      </w:pPr>
      <w:r w:rsidRPr="00FF1C3E">
        <w:rPr>
          <w:noProof/>
        </w:rPr>
        <w:t>Verder verbeteren van het platform inzake elektronische wetgeving en invoeren van elektronisch stemmen in het parlement.</w:t>
      </w:r>
    </w:p>
    <w:p w14:paraId="36EBACA8" w14:textId="77777777" w:rsidR="003855A7" w:rsidRPr="00FF1C3E" w:rsidRDefault="003855A7" w:rsidP="00AC1CAF">
      <w:pPr>
        <w:pStyle w:val="Bullet0"/>
        <w:numPr>
          <w:ilvl w:val="0"/>
          <w:numId w:val="16"/>
        </w:numPr>
        <w:ind w:hanging="283"/>
        <w:rPr>
          <w:noProof/>
        </w:rPr>
      </w:pPr>
      <w:r w:rsidRPr="00FF1C3E">
        <w:rPr>
          <w:noProof/>
        </w:rPr>
        <w:t xml:space="preserve">Waarborgen van de onafhankelijkheid en onpartijdigheid van de rechterlijke macht, in overeenstemming met Europese normen. </w:t>
      </w:r>
    </w:p>
    <w:p w14:paraId="0A4B8A11" w14:textId="77777777" w:rsidR="003855A7" w:rsidRPr="00FF1C3E" w:rsidRDefault="003855A7" w:rsidP="00AC1CAF">
      <w:pPr>
        <w:pStyle w:val="Bullet0"/>
        <w:numPr>
          <w:ilvl w:val="0"/>
          <w:numId w:val="16"/>
        </w:numPr>
        <w:ind w:hanging="283"/>
        <w:rPr>
          <w:noProof/>
        </w:rPr>
      </w:pPr>
      <w:r w:rsidRPr="00FF1C3E">
        <w:rPr>
          <w:noProof/>
        </w:rPr>
        <w:t>Versterken van de rol van het Grondwettelijk Hof door het rechtskader te verbeteren (onder meer door het Moldavische wetboek van grondwettelijke rechtspraak in te trekken) en institutionele mechanismen om het uitvoeringspercentage van beslissingen van het Grondwettelijk Hof te verhogen en het vertrouwen van het publiek te herstellen.</w:t>
      </w:r>
    </w:p>
    <w:p w14:paraId="0EFC6A46" w14:textId="77777777" w:rsidR="003855A7" w:rsidRPr="00FF1C3E" w:rsidRDefault="003855A7" w:rsidP="00AC1CAF">
      <w:pPr>
        <w:pStyle w:val="Bullet0"/>
        <w:numPr>
          <w:ilvl w:val="0"/>
          <w:numId w:val="16"/>
        </w:numPr>
        <w:ind w:hanging="283"/>
        <w:rPr>
          <w:noProof/>
        </w:rPr>
      </w:pPr>
      <w:r w:rsidRPr="00FF1C3E">
        <w:rPr>
          <w:noProof/>
        </w:rPr>
        <w:t>Zorgen voor een concurrerend salarisniveau en een transparant, op verdiensten gebaseerd systeem voor loopbaanontwikkeling in de overheidsdiensten om talent aan te trekken en te behouden.</w:t>
      </w:r>
    </w:p>
    <w:p w14:paraId="0485A679" w14:textId="77777777" w:rsidR="003602F3" w:rsidRPr="00FF1C3E" w:rsidRDefault="003602F3" w:rsidP="003602F3">
      <w:pPr>
        <w:rPr>
          <w:noProof/>
        </w:rPr>
      </w:pPr>
    </w:p>
    <w:p w14:paraId="1650156D" w14:textId="77777777" w:rsidR="003855A7" w:rsidRPr="00FF1C3E" w:rsidRDefault="003855A7" w:rsidP="003602F3">
      <w:pPr>
        <w:pStyle w:val="NumPar1"/>
        <w:tabs>
          <w:tab w:val="clear" w:pos="850"/>
          <w:tab w:val="num" w:pos="567"/>
        </w:tabs>
        <w:ind w:left="567" w:hanging="567"/>
        <w:rPr>
          <w:noProof/>
        </w:rPr>
      </w:pPr>
      <w:r w:rsidRPr="00FF1C3E">
        <w:rPr>
          <w:noProof/>
        </w:rPr>
        <w:t>Mensenrechten en fundamentele vrijheden</w:t>
      </w:r>
    </w:p>
    <w:p w14:paraId="1952A32F" w14:textId="77777777" w:rsidR="003855A7" w:rsidRPr="00FF1C3E" w:rsidRDefault="003855A7" w:rsidP="003855A7">
      <w:pPr>
        <w:spacing w:after="0"/>
        <w:rPr>
          <w:rFonts w:eastAsia="Times New Roman"/>
          <w:i/>
          <w:noProof/>
          <w:szCs w:val="24"/>
        </w:rPr>
      </w:pPr>
      <w:r w:rsidRPr="00FF1C3E">
        <w:rPr>
          <w:i/>
          <w:noProof/>
          <w:szCs w:val="24"/>
        </w:rPr>
        <w:t>– Binnen drie tot vier jaar:</w:t>
      </w:r>
    </w:p>
    <w:p w14:paraId="124AF87A" w14:textId="77777777" w:rsidR="003855A7" w:rsidRPr="00FF1C3E" w:rsidRDefault="003855A7" w:rsidP="00AC1CAF">
      <w:pPr>
        <w:pStyle w:val="Bullet0"/>
        <w:numPr>
          <w:ilvl w:val="0"/>
          <w:numId w:val="17"/>
        </w:numPr>
        <w:ind w:hanging="283"/>
        <w:rPr>
          <w:noProof/>
        </w:rPr>
      </w:pPr>
      <w:r w:rsidRPr="00FF1C3E">
        <w:rPr>
          <w:noProof/>
        </w:rPr>
        <w:t>zorgen voor een doeltreffend institutioneel kader voor de bescherming van de mensenrechten, dat met name voldoende personele en financiële middelen omvat;</w:t>
      </w:r>
    </w:p>
    <w:p w14:paraId="612B0ED9" w14:textId="77777777" w:rsidR="003855A7" w:rsidRPr="00FF1C3E" w:rsidRDefault="003855A7" w:rsidP="00AC1CAF">
      <w:pPr>
        <w:pStyle w:val="Bullet0"/>
        <w:numPr>
          <w:ilvl w:val="0"/>
          <w:numId w:val="17"/>
        </w:numPr>
        <w:ind w:hanging="283"/>
        <w:rPr>
          <w:noProof/>
        </w:rPr>
      </w:pPr>
      <w:r w:rsidRPr="00FF1C3E">
        <w:rPr>
          <w:noProof/>
        </w:rPr>
        <w:t>uitvoeren van het actieplan voor de mensenrechten voor 2018-2022 en ontwikkelen en uitvoeren van een nieuw beleidsdocument voor de periode na 2022;</w:t>
      </w:r>
    </w:p>
    <w:p w14:paraId="4BE59351" w14:textId="77777777" w:rsidR="003855A7" w:rsidRPr="00FF1C3E" w:rsidRDefault="003855A7" w:rsidP="00AC1CAF">
      <w:pPr>
        <w:pStyle w:val="Bullet0"/>
        <w:numPr>
          <w:ilvl w:val="0"/>
          <w:numId w:val="17"/>
        </w:numPr>
        <w:ind w:hanging="283"/>
        <w:rPr>
          <w:noProof/>
        </w:rPr>
      </w:pPr>
      <w:r w:rsidRPr="00FF1C3E">
        <w:rPr>
          <w:noProof/>
        </w:rPr>
        <w:t>ervoor zorgen dat de op mensenrechten gebaseerde aanpak daadwerkelijk wordt geïntegreerd in toekomstige beleidsdocumenten van de regering;</w:t>
      </w:r>
    </w:p>
    <w:p w14:paraId="41516743" w14:textId="77777777" w:rsidR="003855A7" w:rsidRPr="00FF1C3E" w:rsidRDefault="003855A7" w:rsidP="00AC1CAF">
      <w:pPr>
        <w:pStyle w:val="Bullet0"/>
        <w:numPr>
          <w:ilvl w:val="0"/>
          <w:numId w:val="17"/>
        </w:numPr>
        <w:ind w:hanging="283"/>
        <w:rPr>
          <w:noProof/>
        </w:rPr>
      </w:pPr>
      <w:r w:rsidRPr="00FF1C3E">
        <w:rPr>
          <w:noProof/>
        </w:rPr>
        <w:t>zorgen voor de goede werking van de Nationale Mensenrechtenraad en van het Permanent Secretariaat voor de mensenrechten, die van cruciaal belang zijn voor het toezicht op en de evaluatie van de uitvoering van het actieplan voor de mensenrechten en van de aanbevelingen van internationale mechanismen voor de bescherming van de mensenrechten;</w:t>
      </w:r>
    </w:p>
    <w:p w14:paraId="6AF35133" w14:textId="77777777" w:rsidR="003855A7" w:rsidRPr="00FF1C3E" w:rsidRDefault="003855A7" w:rsidP="00AC1CAF">
      <w:pPr>
        <w:pStyle w:val="Bullet0"/>
        <w:numPr>
          <w:ilvl w:val="0"/>
          <w:numId w:val="17"/>
        </w:numPr>
        <w:ind w:hanging="283"/>
        <w:rPr>
          <w:noProof/>
        </w:rPr>
      </w:pPr>
      <w:r w:rsidRPr="00FF1C3E">
        <w:rPr>
          <w:noProof/>
        </w:rPr>
        <w:t>versterken van het bureau van de Ombudsman, onder meer door wijzigingen in de wet op de Ombudsman en de wetgeving inzake klokkenluiders, door middel van passende personele en financiële middelen en kantoren, in overeenstemming met de bepalingen van het nationale actieplan voor de mensenrechten, om het bureau in staat te stellen zijn taken doeltreffend uit te voeren;</w:t>
      </w:r>
    </w:p>
    <w:p w14:paraId="137F05E5" w14:textId="77777777" w:rsidR="003855A7" w:rsidRPr="00FF1C3E" w:rsidRDefault="003855A7" w:rsidP="00AC1CAF">
      <w:pPr>
        <w:pStyle w:val="Bullet0"/>
        <w:numPr>
          <w:ilvl w:val="0"/>
          <w:numId w:val="17"/>
        </w:numPr>
        <w:ind w:hanging="283"/>
        <w:rPr>
          <w:noProof/>
        </w:rPr>
      </w:pPr>
      <w:r w:rsidRPr="00FF1C3E">
        <w:rPr>
          <w:noProof/>
        </w:rPr>
        <w:t>waarborgen van het functioneren en de volledige onafhankelijkheid van het nationale preventiemechanisme tegen foltering overeenkomstig artikel 18, lid 3, van het Facultatief Protocol bij het VN-Verdrag tegen foltering en andere wrede, onmenselijke of onterende behandeling of bestraffing;</w:t>
      </w:r>
    </w:p>
    <w:p w14:paraId="0B11D91E" w14:textId="77777777" w:rsidR="003855A7" w:rsidRPr="00FF1C3E" w:rsidRDefault="003855A7" w:rsidP="00AC1CAF">
      <w:pPr>
        <w:pStyle w:val="Bullet0"/>
        <w:numPr>
          <w:ilvl w:val="0"/>
          <w:numId w:val="17"/>
        </w:numPr>
        <w:ind w:hanging="283"/>
        <w:rPr>
          <w:noProof/>
        </w:rPr>
      </w:pPr>
      <w:r w:rsidRPr="00FF1C3E">
        <w:rPr>
          <w:noProof/>
        </w:rPr>
        <w:t xml:space="preserve">aanzienlijk verbeteren van de prestaties bij de uitvoering van beslissingen van het Europees Hof voor de Rechten van de Mens; </w:t>
      </w:r>
    </w:p>
    <w:p w14:paraId="46C30CD8" w14:textId="77777777" w:rsidR="003855A7" w:rsidRPr="00FF1C3E" w:rsidRDefault="003855A7" w:rsidP="00AC1CAF">
      <w:pPr>
        <w:pStyle w:val="Bullet0"/>
        <w:numPr>
          <w:ilvl w:val="0"/>
          <w:numId w:val="17"/>
        </w:numPr>
        <w:ind w:hanging="283"/>
        <w:rPr>
          <w:noProof/>
        </w:rPr>
      </w:pPr>
      <w:r w:rsidRPr="00FF1C3E">
        <w:rPr>
          <w:noProof/>
        </w:rPr>
        <w:t>ratificeren van Protocol nr. 12 bij het Verdrag tot bescherming van de rechten van de mens en de fundamentele vrijheden inzake het verbod op discriminatie;</w:t>
      </w:r>
    </w:p>
    <w:p w14:paraId="43D0961B" w14:textId="77777777" w:rsidR="003855A7" w:rsidRPr="00FF1C3E" w:rsidRDefault="003855A7" w:rsidP="00AC1CAF">
      <w:pPr>
        <w:pStyle w:val="Bullet0"/>
        <w:numPr>
          <w:ilvl w:val="0"/>
          <w:numId w:val="17"/>
        </w:numPr>
        <w:ind w:hanging="283"/>
        <w:rPr>
          <w:noProof/>
        </w:rPr>
      </w:pPr>
      <w:r w:rsidRPr="00FF1C3E">
        <w:rPr>
          <w:noProof/>
        </w:rPr>
        <w:t xml:space="preserve">goedkeuren en uitvoeren van de wijzigingen van de wetgeving inzake haatmisdrijven met het oog op aanpassing ervan aan de Europese normen; opvoeren van de inspanningen om haatzaaiende uitlatingen en haatmisdrijven te onderzoeken en ertegen op te treden en om doeltreffende toegang tot de rechter voor de slachtoffers te waarborgen; </w:t>
      </w:r>
    </w:p>
    <w:p w14:paraId="341B6945" w14:textId="77777777" w:rsidR="003855A7" w:rsidRPr="00FF1C3E" w:rsidRDefault="003855A7" w:rsidP="00AC1CAF">
      <w:pPr>
        <w:pStyle w:val="Bullet0"/>
        <w:numPr>
          <w:ilvl w:val="0"/>
          <w:numId w:val="17"/>
        </w:numPr>
        <w:ind w:hanging="283"/>
        <w:rPr>
          <w:noProof/>
        </w:rPr>
      </w:pPr>
      <w:r w:rsidRPr="00FF1C3E">
        <w:rPr>
          <w:noProof/>
        </w:rPr>
        <w:t>versterken van de capaciteit van de Raad voor het voorkomen en uitbannen van discriminatie en het waarborgen van gelijkheid (de “Gelijkheidsraad”) door middel van passende personele en financiële middelen alsook voldoende juridische bevoegdheden, en vergroten van de onafhankelijkheid en doeltreffendheid van dit orgaan overeenkomstig de aanbeveling van de Europese Commissie betreffende normen voor organen voor gelijke behandeling;</w:t>
      </w:r>
    </w:p>
    <w:p w14:paraId="1AA23F48" w14:textId="77777777" w:rsidR="003855A7" w:rsidRPr="00FF1C3E" w:rsidRDefault="003855A7" w:rsidP="00AC1CAF">
      <w:pPr>
        <w:pStyle w:val="Bullet0"/>
        <w:numPr>
          <w:ilvl w:val="0"/>
          <w:numId w:val="17"/>
        </w:numPr>
        <w:ind w:hanging="283"/>
        <w:rPr>
          <w:noProof/>
        </w:rPr>
      </w:pPr>
      <w:r w:rsidRPr="00FF1C3E">
        <w:rPr>
          <w:noProof/>
        </w:rPr>
        <w:t>ervoor zorgen dat de wet inzake gelijke behandeling en de toepassing van wet- en regelgeving tegen discriminatie op alle gronden worden gewijzigd, inclusief de wet ter waarborging van de gelijkheid;</w:t>
      </w:r>
    </w:p>
    <w:p w14:paraId="5D625E02" w14:textId="77777777" w:rsidR="003855A7" w:rsidRPr="00FF1C3E" w:rsidRDefault="003855A7" w:rsidP="00AC1CAF">
      <w:pPr>
        <w:pStyle w:val="Bullet0"/>
        <w:numPr>
          <w:ilvl w:val="0"/>
          <w:numId w:val="17"/>
        </w:numPr>
        <w:ind w:hanging="283"/>
        <w:rPr>
          <w:noProof/>
          <w:color w:val="000000"/>
        </w:rPr>
      </w:pPr>
      <w:r w:rsidRPr="00FF1C3E">
        <w:rPr>
          <w:noProof/>
        </w:rPr>
        <w:t>ondersteunen van de opbouw en versterking van de capaciteiten van de nationale instellingen, te beginnen met de nationale mensenrechtenstructuren, om hen toe te rusten om de gevolgen van het gebruik van AI het hoofd te bieden, in eerste instantie met algemene bewustmakingsactiviteiten met betrekking tot de bescherming van de mensenrechten in de digitale ruimte;</w:t>
      </w:r>
    </w:p>
    <w:p w14:paraId="21BD5D0D" w14:textId="77777777" w:rsidR="003855A7" w:rsidRPr="00FF1C3E" w:rsidRDefault="003855A7" w:rsidP="00AC1CAF">
      <w:pPr>
        <w:pStyle w:val="Bullet0"/>
        <w:numPr>
          <w:ilvl w:val="0"/>
          <w:numId w:val="17"/>
        </w:numPr>
        <w:ind w:hanging="283"/>
        <w:rPr>
          <w:noProof/>
        </w:rPr>
      </w:pPr>
      <w:r w:rsidRPr="00FF1C3E">
        <w:rPr>
          <w:noProof/>
        </w:rPr>
        <w:t>zorgen voor een veilig en gunstig klimaat voor mensenrechtenverdedigers.</w:t>
      </w:r>
    </w:p>
    <w:p w14:paraId="78A78BE5" w14:textId="77777777" w:rsidR="003855A7" w:rsidRPr="00FF1C3E" w:rsidRDefault="003855A7" w:rsidP="003855A7">
      <w:pPr>
        <w:spacing w:before="280" w:after="0"/>
        <w:rPr>
          <w:rFonts w:eastAsia="Times New Roman"/>
          <w:noProof/>
          <w:szCs w:val="24"/>
        </w:rPr>
      </w:pPr>
      <w:r w:rsidRPr="00FF1C3E">
        <w:rPr>
          <w:i/>
          <w:noProof/>
          <w:szCs w:val="24"/>
        </w:rPr>
        <w:t>– Binnen zeven jaar:</w:t>
      </w:r>
    </w:p>
    <w:p w14:paraId="4EAEB7AB" w14:textId="77777777" w:rsidR="003855A7" w:rsidRPr="00FF1C3E" w:rsidRDefault="003855A7" w:rsidP="00AC1CAF">
      <w:pPr>
        <w:pStyle w:val="Bullet0"/>
        <w:numPr>
          <w:ilvl w:val="0"/>
          <w:numId w:val="18"/>
        </w:numPr>
        <w:ind w:hanging="283"/>
        <w:rPr>
          <w:noProof/>
        </w:rPr>
      </w:pPr>
      <w:r w:rsidRPr="00FF1C3E">
        <w:rPr>
          <w:noProof/>
        </w:rPr>
        <w:t>zorgen voor de doeltreffende uitvoering van het kaderverdrag voor de bescherming van nationale minderheden van de Raad van Europa;</w:t>
      </w:r>
    </w:p>
    <w:p w14:paraId="1FC8EF1E" w14:textId="77777777" w:rsidR="003855A7" w:rsidRPr="00FF1C3E" w:rsidRDefault="003855A7" w:rsidP="00AC1CAF">
      <w:pPr>
        <w:pStyle w:val="Bullet0"/>
        <w:numPr>
          <w:ilvl w:val="0"/>
          <w:numId w:val="18"/>
        </w:numPr>
        <w:ind w:hanging="283"/>
        <w:rPr>
          <w:noProof/>
        </w:rPr>
      </w:pPr>
      <w:r w:rsidRPr="00FF1C3E">
        <w:rPr>
          <w:noProof/>
        </w:rPr>
        <w:t>uitvoeren van de strategie voor het bestendigen van interetnische betrekkingen in de Republiek Moldavië voor de periode 2017-2027;</w:t>
      </w:r>
    </w:p>
    <w:p w14:paraId="7A8A1D20" w14:textId="77777777" w:rsidR="003855A7" w:rsidRPr="00FF1C3E" w:rsidRDefault="003855A7" w:rsidP="00AC1CAF">
      <w:pPr>
        <w:pStyle w:val="Bullet0"/>
        <w:numPr>
          <w:ilvl w:val="0"/>
          <w:numId w:val="18"/>
        </w:numPr>
        <w:ind w:hanging="283"/>
        <w:rPr>
          <w:noProof/>
        </w:rPr>
      </w:pPr>
      <w:r w:rsidRPr="00FF1C3E">
        <w:rPr>
          <w:noProof/>
        </w:rPr>
        <w:t xml:space="preserve">verbeteren van de uitvoering van de wetgeving inzake de toegankelijkheid voor personen met een handicap; vergroten en verbeteren van de toegankelijkheid van openbare gebouwen, openbaar vervoer en openbare informatie voor personen met een handicap; </w:t>
      </w:r>
    </w:p>
    <w:p w14:paraId="1F8C3C8E" w14:textId="77777777" w:rsidR="003855A7" w:rsidRPr="00FF1C3E" w:rsidRDefault="003855A7" w:rsidP="00AC1CAF">
      <w:pPr>
        <w:pStyle w:val="Bullet0"/>
        <w:numPr>
          <w:ilvl w:val="0"/>
          <w:numId w:val="18"/>
        </w:numPr>
        <w:ind w:hanging="283"/>
        <w:rPr>
          <w:noProof/>
        </w:rPr>
      </w:pPr>
      <w:r w:rsidRPr="00FF1C3E">
        <w:rPr>
          <w:noProof/>
        </w:rPr>
        <w:t xml:space="preserve">waarborgen van de doeltreffende uitvoering van het Verdrag inzake de rechten van personen met een handicap; </w:t>
      </w:r>
    </w:p>
    <w:p w14:paraId="61FBC4AA" w14:textId="77777777" w:rsidR="003855A7" w:rsidRPr="00FF1C3E" w:rsidRDefault="003855A7" w:rsidP="00AC1CAF">
      <w:pPr>
        <w:pStyle w:val="Bullet0"/>
        <w:numPr>
          <w:ilvl w:val="0"/>
          <w:numId w:val="18"/>
        </w:numPr>
        <w:ind w:hanging="283"/>
        <w:rPr>
          <w:noProof/>
        </w:rPr>
      </w:pPr>
      <w:r w:rsidRPr="00FF1C3E">
        <w:rPr>
          <w:noProof/>
        </w:rPr>
        <w:t>ratificeren van het Facultatief Protocol bij het Verdrag inzake de rechten van personen met een handicap;</w:t>
      </w:r>
    </w:p>
    <w:p w14:paraId="12B486A0" w14:textId="77777777" w:rsidR="003855A7" w:rsidRPr="00FF1C3E" w:rsidRDefault="003855A7" w:rsidP="00AC1CAF">
      <w:pPr>
        <w:pStyle w:val="Bullet0"/>
        <w:numPr>
          <w:ilvl w:val="0"/>
          <w:numId w:val="18"/>
        </w:numPr>
        <w:ind w:hanging="283"/>
        <w:rPr>
          <w:noProof/>
        </w:rPr>
      </w:pPr>
      <w:r w:rsidRPr="00FF1C3E">
        <w:rPr>
          <w:noProof/>
        </w:rPr>
        <w:t>ervoor zorgen dat de internationale verbintenissen inzake de vrijheid van godsdienst of overtuiging worden nageleefd en uitgevoerd.</w:t>
      </w:r>
    </w:p>
    <w:p w14:paraId="329D6BF0" w14:textId="77777777" w:rsidR="003602F3" w:rsidRPr="00FF1C3E" w:rsidRDefault="003602F3" w:rsidP="003602F3">
      <w:pPr>
        <w:rPr>
          <w:noProof/>
        </w:rPr>
      </w:pPr>
    </w:p>
    <w:p w14:paraId="5C42986C"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Hervorming van het openbaar bestuur, inclusief het beheer van de overheidsfinanciën</w:t>
      </w:r>
    </w:p>
    <w:p w14:paraId="01DE56F5" w14:textId="77777777" w:rsidR="003855A7" w:rsidRPr="00FF1C3E" w:rsidRDefault="003855A7" w:rsidP="00AC1CAF">
      <w:pPr>
        <w:pStyle w:val="Bullet0"/>
        <w:numPr>
          <w:ilvl w:val="0"/>
          <w:numId w:val="19"/>
        </w:numPr>
        <w:ind w:hanging="283"/>
        <w:rPr>
          <w:noProof/>
        </w:rPr>
      </w:pPr>
      <w:r w:rsidRPr="00FF1C3E">
        <w:rPr>
          <w:noProof/>
        </w:rPr>
        <w:t>Beoordelen van de conclusies en de ontwikkeling van de situatie sinds de strategie voor de hervorming van het openbaar bestuur van 2016 en ondernemen van verdere stappen voor hervorming op basis van die beoordeling.</w:t>
      </w:r>
    </w:p>
    <w:p w14:paraId="49BAA1D0" w14:textId="77777777" w:rsidR="003855A7" w:rsidRPr="00FF1C3E" w:rsidRDefault="003855A7" w:rsidP="00AC1CAF">
      <w:pPr>
        <w:pStyle w:val="Bullet0"/>
        <w:numPr>
          <w:ilvl w:val="0"/>
          <w:numId w:val="19"/>
        </w:numPr>
        <w:ind w:hanging="283"/>
        <w:rPr>
          <w:noProof/>
        </w:rPr>
      </w:pPr>
      <w:r w:rsidRPr="00FF1C3E">
        <w:rPr>
          <w:noProof/>
        </w:rPr>
        <w:t>Voortzetten van het regelmatige gebruik van effectbeoordelingen vooraf en ervoor zorgen dat de kosten van hervormingen systematisch worden geraamd; versterken van de institutionele capaciteit voor beide activiteiten; zorgen voor de werking van interministeriële fora voor conflictoplossing, zowel op hoog bestuurlijk als politiek niveau.</w:t>
      </w:r>
    </w:p>
    <w:p w14:paraId="17DE73DF" w14:textId="77777777" w:rsidR="003855A7" w:rsidRPr="00FF1C3E" w:rsidRDefault="003855A7" w:rsidP="00AC1CAF">
      <w:pPr>
        <w:pStyle w:val="Bullet0"/>
        <w:numPr>
          <w:ilvl w:val="0"/>
          <w:numId w:val="19"/>
        </w:numPr>
        <w:ind w:hanging="283"/>
        <w:rPr>
          <w:noProof/>
        </w:rPr>
      </w:pPr>
      <w:r w:rsidRPr="00FF1C3E">
        <w:rPr>
          <w:noProof/>
        </w:rPr>
        <w:t xml:space="preserve">Voortzetten van het reorganiseren van regeringsinstanties, administratieve autoriteiten en staatsbedrijven om de verantwoordingsplicht, doeltreffendheid en doelmatigheid te vergroten; verder ontwikkelen van het systeem voor beleidsontwikkeling en </w:t>
      </w:r>
      <w:r w:rsidRPr="00FF1C3E">
        <w:rPr>
          <w:noProof/>
        </w:rPr>
        <w:noBreakHyphen/>
        <w:t xml:space="preserve">coördinatie ter bevordering van de inclusiviteit, coherentie, efficiëntie, voorspelbaarheid en transparantie van het besluitvormingsproces. </w:t>
      </w:r>
    </w:p>
    <w:p w14:paraId="4C0FEB2E" w14:textId="77777777" w:rsidR="003855A7" w:rsidRPr="00FF1C3E" w:rsidRDefault="003855A7" w:rsidP="00AC1CAF">
      <w:pPr>
        <w:pStyle w:val="Bullet0"/>
        <w:numPr>
          <w:ilvl w:val="0"/>
          <w:numId w:val="19"/>
        </w:numPr>
        <w:ind w:hanging="283"/>
        <w:rPr>
          <w:noProof/>
        </w:rPr>
      </w:pPr>
      <w:r w:rsidRPr="00FF1C3E">
        <w:rPr>
          <w:noProof/>
        </w:rPr>
        <w:t xml:space="preserve">Verder verbeteren van de kwaliteit en de toegankelijkheid van openbare diensten, onder meer door de digitalisering ervan te versterken en krachtige monitoringmechanismen en feedbackmechanismen voor gebruikerservaringen in te voeren; zorgen voor een professioneel ambtenarenapparaat en een modern systeem voor personeelsbeheer. </w:t>
      </w:r>
    </w:p>
    <w:p w14:paraId="19BE3442" w14:textId="77777777" w:rsidR="003855A7" w:rsidRPr="00FF1C3E" w:rsidRDefault="003855A7" w:rsidP="00AC1CAF">
      <w:pPr>
        <w:pStyle w:val="Bullet0"/>
        <w:numPr>
          <w:ilvl w:val="0"/>
          <w:numId w:val="19"/>
        </w:numPr>
        <w:ind w:hanging="283"/>
        <w:rPr>
          <w:noProof/>
        </w:rPr>
      </w:pPr>
      <w:r w:rsidRPr="00FF1C3E">
        <w:rPr>
          <w:noProof/>
        </w:rPr>
        <w:t>Voortzetten van de hervorming van het openbaar bestuur, overeenkomstig de Europese beginselen van openbaar bestuur, in samenspraak met en met toenemende betrokkenheid van het maatschappelijk middenveld, om een verantwoordingsplichtig, doelmatig, transparant, op aantoonbare professionele verdiensten gebaseerd ambtenarenapparaat op te bouwen met een eigen gedragscode, gevrijwaard van politieke druk.</w:t>
      </w:r>
    </w:p>
    <w:p w14:paraId="30E774B6" w14:textId="77777777" w:rsidR="003855A7" w:rsidRPr="00FF1C3E" w:rsidRDefault="003855A7" w:rsidP="00AC1CAF">
      <w:pPr>
        <w:pStyle w:val="Bullet0"/>
        <w:numPr>
          <w:ilvl w:val="0"/>
          <w:numId w:val="19"/>
        </w:numPr>
        <w:ind w:hanging="283"/>
        <w:rPr>
          <w:noProof/>
          <w:color w:val="000000"/>
        </w:rPr>
      </w:pPr>
      <w:r w:rsidRPr="00FF1C3E">
        <w:rPr>
          <w:noProof/>
        </w:rPr>
        <w:t>Uitvoeren van een analyse van de impact van de lokale overheidsdiensten op de belangen van de burgers; ontwikkelen van manieren om de lokale democratie, autonomie en decentralisatie te versterken in overeenstemming met alle internationale en Europese normen, teneinde de lokale participatie van burgers te waarborgen en de lokale dienstverlening aan burgers te verbeteren, onder meer door mogelijkheden voor een territoriale bestuurlijke hervorming te onderzoeken.</w:t>
      </w:r>
    </w:p>
    <w:p w14:paraId="3A752E74" w14:textId="77777777" w:rsidR="003855A7" w:rsidRPr="00FF1C3E" w:rsidRDefault="003855A7" w:rsidP="00AC1CAF">
      <w:pPr>
        <w:pStyle w:val="Bullet0"/>
        <w:numPr>
          <w:ilvl w:val="0"/>
          <w:numId w:val="19"/>
        </w:numPr>
        <w:ind w:hanging="283"/>
        <w:rPr>
          <w:noProof/>
          <w:color w:val="000000"/>
        </w:rPr>
      </w:pPr>
      <w:r w:rsidRPr="00FF1C3E">
        <w:rPr>
          <w:noProof/>
        </w:rPr>
        <w:t xml:space="preserve">Creëren van stimulanspakketten om vrijwillige samenvoeging en lokale sociaal-economische ontwikkeling te vergemakkelijken. </w:t>
      </w:r>
    </w:p>
    <w:p w14:paraId="3C83E4CB" w14:textId="77777777" w:rsidR="003855A7" w:rsidRPr="00FF1C3E" w:rsidRDefault="003855A7" w:rsidP="00AC1CAF">
      <w:pPr>
        <w:pStyle w:val="Bullet0"/>
        <w:numPr>
          <w:ilvl w:val="0"/>
          <w:numId w:val="19"/>
        </w:numPr>
        <w:ind w:hanging="283"/>
        <w:rPr>
          <w:noProof/>
        </w:rPr>
      </w:pPr>
      <w:r w:rsidRPr="00FF1C3E">
        <w:rPr>
          <w:noProof/>
        </w:rPr>
        <w:t>De EU zal de rol van de autonomie van Gagaoezië bij de uitvoering van overheidsbeleid overeenkomstig de wet van 1994 inzake de bijzondere juridische status van Gagaoezië blijven ondersteunen.</w:t>
      </w:r>
    </w:p>
    <w:p w14:paraId="2AED129E" w14:textId="77777777" w:rsidR="003855A7" w:rsidRPr="00FF1C3E" w:rsidRDefault="003855A7" w:rsidP="00AC1CAF">
      <w:pPr>
        <w:pStyle w:val="Bullet0"/>
        <w:numPr>
          <w:ilvl w:val="0"/>
          <w:numId w:val="19"/>
        </w:numPr>
        <w:ind w:hanging="283"/>
        <w:rPr>
          <w:noProof/>
        </w:rPr>
      </w:pPr>
      <w:r w:rsidRPr="00FF1C3E">
        <w:rPr>
          <w:noProof/>
        </w:rPr>
        <w:t>Verbeteren van de budgettaire governance door de hervorming van het beheer van de overheidsfinanciën op basis van een nationale beheerstrategie voor de overheidsfinanciën voort te zetten.</w:t>
      </w:r>
    </w:p>
    <w:p w14:paraId="63F00D31" w14:textId="77777777" w:rsidR="003855A7" w:rsidRPr="00FF1C3E" w:rsidRDefault="003855A7" w:rsidP="00AC1CAF">
      <w:pPr>
        <w:pStyle w:val="Bullet0"/>
        <w:numPr>
          <w:ilvl w:val="0"/>
          <w:numId w:val="19"/>
        </w:numPr>
        <w:ind w:hanging="283"/>
        <w:rPr>
          <w:noProof/>
        </w:rPr>
      </w:pPr>
      <w:r w:rsidRPr="00FF1C3E">
        <w:rPr>
          <w:noProof/>
        </w:rPr>
        <w:t>Verbeteren van het beheer van overheidsinvesteringen om de efficiëntie van overheidsinvesteringen te vergroten, onder meer door te zorgen voor transparante besluitvorming over de toewijzing van middelen, een reeks investeringsrijpe projecten te ontwikkelen, projectbeheercapaciteiten en monitoringsystemen te ontwikkelen om de besteding van middelen te verbeteren en een hoge kwaliteit van voltooide projecten te waarborgen.</w:t>
      </w:r>
    </w:p>
    <w:p w14:paraId="0B36E9D2" w14:textId="77777777" w:rsidR="003855A7" w:rsidRPr="00FF1C3E" w:rsidRDefault="003855A7" w:rsidP="00AC1CAF">
      <w:pPr>
        <w:pStyle w:val="Bullet0"/>
        <w:numPr>
          <w:ilvl w:val="0"/>
          <w:numId w:val="19"/>
        </w:numPr>
        <w:ind w:hanging="283"/>
        <w:rPr>
          <w:noProof/>
        </w:rPr>
      </w:pPr>
      <w:r w:rsidRPr="00FF1C3E">
        <w:rPr>
          <w:noProof/>
        </w:rPr>
        <w:t>De verantwoordingsplicht van beheerders in de overheidssector op basis van EU/Sigma-beginselen voor interne controle en audit op het gebied van overheidsfinanciën verder ontwikkelen.</w:t>
      </w:r>
    </w:p>
    <w:p w14:paraId="54B4C8AC" w14:textId="77777777" w:rsidR="003855A7" w:rsidRPr="00FF1C3E" w:rsidRDefault="003855A7" w:rsidP="00AC1CAF">
      <w:pPr>
        <w:pStyle w:val="Bullet0"/>
        <w:numPr>
          <w:ilvl w:val="0"/>
          <w:numId w:val="19"/>
        </w:numPr>
        <w:ind w:hanging="283"/>
        <w:rPr>
          <w:noProof/>
        </w:rPr>
      </w:pPr>
      <w:r w:rsidRPr="00FF1C3E">
        <w:rPr>
          <w:noProof/>
        </w:rPr>
        <w:t>Ervoor zorgen dat de openbare externe controle verder wordt afgestemd op de normen van de Internationale Organisatie van Hoge Controle-instanties, verbeteren van de kwaliteit en impact van de werkzaamheden van de hoge controle-instanties en versterken van de controle en het toezicht op de overheidsfinanciën door het parlement.</w:t>
      </w:r>
    </w:p>
    <w:p w14:paraId="36834ED8" w14:textId="77777777" w:rsidR="003602F3" w:rsidRPr="00FF1C3E" w:rsidRDefault="003602F3" w:rsidP="003602F3">
      <w:pPr>
        <w:rPr>
          <w:noProof/>
        </w:rPr>
      </w:pPr>
    </w:p>
    <w:p w14:paraId="66747E92"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Vrijheid van meningsuiting</w:t>
      </w:r>
    </w:p>
    <w:p w14:paraId="1E289988" w14:textId="77777777" w:rsidR="003855A7" w:rsidRPr="00FF1C3E" w:rsidRDefault="003855A7" w:rsidP="00AC1CAF">
      <w:pPr>
        <w:pStyle w:val="Bullet0"/>
        <w:numPr>
          <w:ilvl w:val="0"/>
          <w:numId w:val="20"/>
        </w:numPr>
        <w:ind w:hanging="283"/>
        <w:rPr>
          <w:noProof/>
        </w:rPr>
      </w:pPr>
      <w:r w:rsidRPr="00FF1C3E">
        <w:rPr>
          <w:noProof/>
        </w:rPr>
        <w:t>Voortzetten van de werkzaamheden inzake het waarborgen van de vrijheid van meningsuiting, zowel offline als online, en de onafhankelijkheid van de media, overeenkomstig de aanbevelingen van de Raad van Europa, de Europese Unie en de OVSE.</w:t>
      </w:r>
    </w:p>
    <w:p w14:paraId="1696BEDD" w14:textId="77777777" w:rsidR="003855A7" w:rsidRPr="00FF1C3E" w:rsidRDefault="003855A7" w:rsidP="00AC1CAF">
      <w:pPr>
        <w:pStyle w:val="Bullet0"/>
        <w:numPr>
          <w:ilvl w:val="0"/>
          <w:numId w:val="20"/>
        </w:numPr>
        <w:ind w:hanging="283"/>
        <w:rPr>
          <w:noProof/>
        </w:rPr>
      </w:pPr>
      <w:r w:rsidRPr="00FF1C3E">
        <w:rPr>
          <w:noProof/>
        </w:rPr>
        <w:t>Voortzetten van de dialoog voor de uitwisseling van beste praktijken inzake vrijheid van de media, pluriformiteit in de media, decriminalisering van laster, bescherming van journalistieke bronnen en culturele diversiteit in de media.</w:t>
      </w:r>
    </w:p>
    <w:p w14:paraId="3024F090" w14:textId="77777777" w:rsidR="003855A7" w:rsidRPr="00FF1C3E" w:rsidRDefault="003855A7" w:rsidP="00AC1CAF">
      <w:pPr>
        <w:pStyle w:val="Bullet0"/>
        <w:numPr>
          <w:ilvl w:val="0"/>
          <w:numId w:val="20"/>
        </w:numPr>
        <w:ind w:hanging="283"/>
        <w:rPr>
          <w:noProof/>
        </w:rPr>
      </w:pPr>
      <w:r w:rsidRPr="00FF1C3E">
        <w:rPr>
          <w:noProof/>
        </w:rPr>
        <w:t>Vaststellen van nieuwe wetgeving ter verbetering van de toegang tot informatie over reclame, alsmede steunmaatregelen voor massamedia, onder meer voor de productie en verspreiding van berichten van algemeen belang.</w:t>
      </w:r>
    </w:p>
    <w:p w14:paraId="142D9AB5" w14:textId="77777777" w:rsidR="003855A7" w:rsidRPr="00FF1C3E" w:rsidRDefault="003855A7" w:rsidP="00AC1CAF">
      <w:pPr>
        <w:pStyle w:val="Bullet0"/>
        <w:numPr>
          <w:ilvl w:val="0"/>
          <w:numId w:val="20"/>
        </w:numPr>
        <w:ind w:hanging="283"/>
        <w:rPr>
          <w:noProof/>
        </w:rPr>
      </w:pPr>
      <w:r w:rsidRPr="00FF1C3E">
        <w:rPr>
          <w:noProof/>
        </w:rPr>
        <w:t xml:space="preserve">Op basis van het massamediaconcept een strategie en het bijbehorende programma van maatregelen vaststellen en uitvoeren, onder meer door de ontwikkeling van monitoringmechanismen en -capaciteiten. </w:t>
      </w:r>
    </w:p>
    <w:p w14:paraId="3494D5CA" w14:textId="77777777" w:rsidR="003855A7" w:rsidRPr="00FF1C3E" w:rsidRDefault="003855A7" w:rsidP="00AC1CAF">
      <w:pPr>
        <w:pStyle w:val="Bullet0"/>
        <w:numPr>
          <w:ilvl w:val="0"/>
          <w:numId w:val="20"/>
        </w:numPr>
        <w:ind w:hanging="283"/>
        <w:rPr>
          <w:noProof/>
        </w:rPr>
      </w:pPr>
      <w:r w:rsidRPr="00FF1C3E">
        <w:rPr>
          <w:noProof/>
        </w:rPr>
        <w:t>Aanpakken van haatzaaiende uitlatingen in de massamedia, met inbegrip van de online- en sociale media, en tegengaan van desinformatie.</w:t>
      </w:r>
    </w:p>
    <w:p w14:paraId="4CDA7D86" w14:textId="77777777" w:rsidR="003855A7" w:rsidRPr="00FF1C3E" w:rsidRDefault="003855A7" w:rsidP="00AC1CAF">
      <w:pPr>
        <w:pStyle w:val="Bullet0"/>
        <w:numPr>
          <w:ilvl w:val="0"/>
          <w:numId w:val="20"/>
        </w:numPr>
        <w:ind w:hanging="283"/>
        <w:rPr>
          <w:noProof/>
        </w:rPr>
      </w:pPr>
      <w:r w:rsidRPr="00FF1C3E">
        <w:rPr>
          <w:noProof/>
        </w:rPr>
        <w:t xml:space="preserve">Scheppen van voorwaarden voor volledige onafhankelijkheid, professionaliteit, werking en verantwoordingsplicht van de audiovisuele toezichthoudende instantie (Audiovisuele Raad) en de publieke omroepen. </w:t>
      </w:r>
    </w:p>
    <w:p w14:paraId="750E6108" w14:textId="77777777" w:rsidR="003855A7" w:rsidRPr="00FF1C3E" w:rsidRDefault="003855A7" w:rsidP="00AC1CAF">
      <w:pPr>
        <w:pStyle w:val="Bullet0"/>
        <w:numPr>
          <w:ilvl w:val="0"/>
          <w:numId w:val="20"/>
        </w:numPr>
        <w:ind w:hanging="283"/>
        <w:rPr>
          <w:noProof/>
        </w:rPr>
      </w:pPr>
      <w:r w:rsidRPr="00FF1C3E">
        <w:rPr>
          <w:noProof/>
        </w:rPr>
        <w:t>Ondersteunen van de zelfregulerende instanties in de geschreven pers en nemen van maatregelen ter ondersteuning van de lokale en regionale media.</w:t>
      </w:r>
    </w:p>
    <w:p w14:paraId="43AD6A90" w14:textId="77777777" w:rsidR="003855A7" w:rsidRPr="00FF1C3E" w:rsidRDefault="003855A7" w:rsidP="00AC1CAF">
      <w:pPr>
        <w:pStyle w:val="Bullet0"/>
        <w:numPr>
          <w:ilvl w:val="0"/>
          <w:numId w:val="20"/>
        </w:numPr>
        <w:ind w:hanging="283"/>
        <w:rPr>
          <w:noProof/>
        </w:rPr>
      </w:pPr>
      <w:r w:rsidRPr="00FF1C3E">
        <w:rPr>
          <w:noProof/>
        </w:rPr>
        <w:t xml:space="preserve">Waarborgen van het concurrentievermogen op de reclamemarkt en zorgen voor transparantie over uiteindelijke begunstigden en politieke banden. </w:t>
      </w:r>
    </w:p>
    <w:p w14:paraId="6EDDFD7C" w14:textId="77777777" w:rsidR="003855A7" w:rsidRPr="00FF1C3E" w:rsidRDefault="003855A7" w:rsidP="00AC1CAF">
      <w:pPr>
        <w:pStyle w:val="Bullet0"/>
        <w:numPr>
          <w:ilvl w:val="0"/>
          <w:numId w:val="20"/>
        </w:numPr>
        <w:ind w:hanging="283"/>
        <w:rPr>
          <w:noProof/>
        </w:rPr>
      </w:pPr>
      <w:r w:rsidRPr="00FF1C3E">
        <w:rPr>
          <w:noProof/>
        </w:rPr>
        <w:t xml:space="preserve">Creëren van efficiënte en effectieve instrumenten voor het aanpakken van monopolisering van reclamemarkten. </w:t>
      </w:r>
    </w:p>
    <w:p w14:paraId="555282D2" w14:textId="77777777" w:rsidR="003602F3" w:rsidRPr="00FF1C3E" w:rsidRDefault="003602F3" w:rsidP="003602F3">
      <w:pPr>
        <w:rPr>
          <w:noProof/>
        </w:rPr>
      </w:pPr>
    </w:p>
    <w:p w14:paraId="59718708"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Mishandeling en foltering</w:t>
      </w:r>
    </w:p>
    <w:p w14:paraId="73562874" w14:textId="77777777" w:rsidR="003855A7" w:rsidRPr="00FF1C3E" w:rsidRDefault="003855A7" w:rsidP="003855A7">
      <w:pPr>
        <w:spacing w:after="0"/>
        <w:rPr>
          <w:rFonts w:eastAsia="Times New Roman"/>
          <w:i/>
          <w:noProof/>
          <w:szCs w:val="24"/>
        </w:rPr>
      </w:pPr>
      <w:r w:rsidRPr="00FF1C3E">
        <w:rPr>
          <w:i/>
          <w:noProof/>
          <w:szCs w:val="24"/>
        </w:rPr>
        <w:t>– Binnen drie tot vier jaar:</w:t>
      </w:r>
    </w:p>
    <w:p w14:paraId="4B5ACF38" w14:textId="77777777" w:rsidR="003855A7" w:rsidRPr="00FF1C3E" w:rsidRDefault="003855A7" w:rsidP="00AC1CAF">
      <w:pPr>
        <w:pStyle w:val="Bullet0"/>
        <w:numPr>
          <w:ilvl w:val="0"/>
          <w:numId w:val="21"/>
        </w:numPr>
        <w:ind w:hanging="283"/>
        <w:rPr>
          <w:noProof/>
        </w:rPr>
      </w:pPr>
      <w:r w:rsidRPr="00FF1C3E">
        <w:rPr>
          <w:noProof/>
        </w:rPr>
        <w:t>verbeteren van de detentieomstandigheden om deze in overeenstemming te brengen met Europese normen; blijven verbeteren van de omstandigheden in tijdelijke detentielocaties;</w:t>
      </w:r>
    </w:p>
    <w:p w14:paraId="75CC7287" w14:textId="77777777" w:rsidR="003855A7" w:rsidRPr="00FF1C3E" w:rsidRDefault="003855A7" w:rsidP="00AC1CAF">
      <w:pPr>
        <w:pStyle w:val="Bullet0"/>
        <w:numPr>
          <w:ilvl w:val="0"/>
          <w:numId w:val="21"/>
        </w:numPr>
        <w:ind w:hanging="283"/>
        <w:rPr>
          <w:noProof/>
        </w:rPr>
      </w:pPr>
      <w:r w:rsidRPr="00FF1C3E">
        <w:rPr>
          <w:noProof/>
        </w:rPr>
        <w:t>uitvoeren van concrete acties om de informele hiërarchie van gevangenen in het Moldavische gevangeniswezen te bestrijden teneinde de beveiliging en veiligheid van gevangenen te waarborgen en gevangenen na hun vrijlating in staat te stellen zich in de maatschappij te redden;</w:t>
      </w:r>
    </w:p>
    <w:p w14:paraId="3F52A76B" w14:textId="77777777" w:rsidR="003855A7" w:rsidRPr="00FF1C3E" w:rsidRDefault="003855A7" w:rsidP="00AC1CAF">
      <w:pPr>
        <w:pStyle w:val="Bullet0"/>
        <w:numPr>
          <w:ilvl w:val="0"/>
          <w:numId w:val="21"/>
        </w:numPr>
        <w:ind w:hanging="283"/>
        <w:rPr>
          <w:noProof/>
        </w:rPr>
      </w:pPr>
      <w:r w:rsidRPr="00FF1C3E">
        <w:rPr>
          <w:noProof/>
        </w:rPr>
        <w:t>opzetten van een systeem voor de juiste verdeling en indeling van gevangenen door het opzetten van een doeltreffend systeem voor werving en opleiding van gevangenispersoneel en het waarborgen van permanent toezicht van personeel (ook ’s nachts) in bewaringsfaciliteiten;</w:t>
      </w:r>
    </w:p>
    <w:p w14:paraId="60ED8FCE" w14:textId="77777777" w:rsidR="003855A7" w:rsidRPr="00FF1C3E" w:rsidRDefault="003855A7" w:rsidP="00AC1CAF">
      <w:pPr>
        <w:pStyle w:val="Bullet0"/>
        <w:numPr>
          <w:ilvl w:val="0"/>
          <w:numId w:val="21"/>
        </w:numPr>
        <w:ind w:hanging="283"/>
        <w:rPr>
          <w:noProof/>
        </w:rPr>
      </w:pPr>
      <w:r w:rsidRPr="00FF1C3E">
        <w:rPr>
          <w:noProof/>
        </w:rPr>
        <w:t>zorgen voor adequate medische behandeling van gedetineerden (ook voor personen in voorarrest);</w:t>
      </w:r>
    </w:p>
    <w:p w14:paraId="14B2CD2C" w14:textId="77777777" w:rsidR="003855A7" w:rsidRPr="00FF1C3E" w:rsidRDefault="003855A7" w:rsidP="00AC1CAF">
      <w:pPr>
        <w:pStyle w:val="Bullet0"/>
        <w:numPr>
          <w:ilvl w:val="0"/>
          <w:numId w:val="21"/>
        </w:numPr>
        <w:ind w:hanging="283"/>
        <w:rPr>
          <w:noProof/>
        </w:rPr>
      </w:pPr>
      <w:r w:rsidRPr="00FF1C3E">
        <w:rPr>
          <w:noProof/>
        </w:rPr>
        <w:t>versterken van de toepassing van niet tot vrijheidsbeneming strekkende preventieve maatregelen en sancties in afwachting van het proces;</w:t>
      </w:r>
    </w:p>
    <w:p w14:paraId="2A75C3B6" w14:textId="77777777" w:rsidR="003855A7" w:rsidRPr="00FF1C3E" w:rsidRDefault="003855A7" w:rsidP="00AC1CAF">
      <w:pPr>
        <w:pStyle w:val="Bullet0"/>
        <w:numPr>
          <w:ilvl w:val="0"/>
          <w:numId w:val="21"/>
        </w:numPr>
        <w:ind w:hanging="283"/>
        <w:rPr>
          <w:noProof/>
        </w:rPr>
      </w:pPr>
      <w:r w:rsidRPr="00FF1C3E">
        <w:rPr>
          <w:noProof/>
        </w:rPr>
        <w:t xml:space="preserve">waarborgen dat gemelde gevallen van foltering en mishandeling effectief worden onderzocht en bestraft; </w:t>
      </w:r>
    </w:p>
    <w:p w14:paraId="02E1F5D6" w14:textId="77777777" w:rsidR="003855A7" w:rsidRPr="00FF1C3E" w:rsidRDefault="003855A7" w:rsidP="00AC1CAF">
      <w:pPr>
        <w:pStyle w:val="Bullet0"/>
        <w:numPr>
          <w:ilvl w:val="0"/>
          <w:numId w:val="21"/>
        </w:numPr>
        <w:ind w:hanging="283"/>
        <w:rPr>
          <w:noProof/>
        </w:rPr>
      </w:pPr>
      <w:r w:rsidRPr="00FF1C3E">
        <w:rPr>
          <w:noProof/>
        </w:rPr>
        <w:t>aanpakken en voorkomen van foltering en mishandeling in psychiatrische instellingen en inrichtingen voor voorlopige hechtenis.</w:t>
      </w:r>
    </w:p>
    <w:p w14:paraId="31A0C89E" w14:textId="77777777" w:rsidR="003855A7" w:rsidRPr="00FF1C3E" w:rsidRDefault="003855A7" w:rsidP="003855A7">
      <w:pPr>
        <w:spacing w:before="280" w:after="0"/>
        <w:rPr>
          <w:rFonts w:eastAsia="Times New Roman"/>
          <w:i/>
          <w:noProof/>
          <w:szCs w:val="24"/>
        </w:rPr>
      </w:pPr>
      <w:r w:rsidRPr="00FF1C3E">
        <w:rPr>
          <w:i/>
          <w:noProof/>
          <w:szCs w:val="24"/>
        </w:rPr>
        <w:t>– Binnen zeven jaar:</w:t>
      </w:r>
    </w:p>
    <w:p w14:paraId="003D1FE2" w14:textId="77777777" w:rsidR="003855A7" w:rsidRPr="00FF1C3E" w:rsidRDefault="003855A7" w:rsidP="00AC1CAF">
      <w:pPr>
        <w:pStyle w:val="Bullet0"/>
        <w:numPr>
          <w:ilvl w:val="0"/>
          <w:numId w:val="22"/>
        </w:numPr>
        <w:ind w:hanging="283"/>
        <w:rPr>
          <w:noProof/>
        </w:rPr>
      </w:pPr>
      <w:r w:rsidRPr="00FF1C3E">
        <w:rPr>
          <w:noProof/>
        </w:rPr>
        <w:t>ontwikkelen van een verantwoordingsplichtig, efficiënt, transparant, professioneel en voldoende toegerust gevangenissysteem dat vrij is van corruptie;</w:t>
      </w:r>
    </w:p>
    <w:p w14:paraId="43FCDA59" w14:textId="77777777" w:rsidR="003855A7" w:rsidRPr="00FF1C3E" w:rsidRDefault="003855A7" w:rsidP="00AC1CAF">
      <w:pPr>
        <w:pStyle w:val="Bullet0"/>
        <w:numPr>
          <w:ilvl w:val="0"/>
          <w:numId w:val="22"/>
        </w:numPr>
        <w:ind w:hanging="283"/>
        <w:rPr>
          <w:noProof/>
        </w:rPr>
      </w:pPr>
      <w:r w:rsidRPr="00FF1C3E">
        <w:rPr>
          <w:noProof/>
        </w:rPr>
        <w:t xml:space="preserve">oprichten van een nieuw penitentiair stelsel van hoog niveau; </w:t>
      </w:r>
    </w:p>
    <w:p w14:paraId="5651597B" w14:textId="77777777" w:rsidR="003855A7" w:rsidRPr="00FF1C3E" w:rsidRDefault="003855A7" w:rsidP="00AC1CAF">
      <w:pPr>
        <w:pStyle w:val="Bullet0"/>
        <w:numPr>
          <w:ilvl w:val="0"/>
          <w:numId w:val="22"/>
        </w:numPr>
        <w:ind w:hanging="283"/>
        <w:rPr>
          <w:noProof/>
        </w:rPr>
      </w:pPr>
      <w:r w:rsidRPr="00FF1C3E">
        <w:rPr>
          <w:noProof/>
        </w:rPr>
        <w:t>invoeren van een progressief systeem voor de uitvoering van straffen in overeenstemming met Europese en internationale normen en beste praktijken;</w:t>
      </w:r>
    </w:p>
    <w:p w14:paraId="09E2A10C" w14:textId="77777777" w:rsidR="003855A7" w:rsidRPr="00FF1C3E" w:rsidRDefault="003855A7" w:rsidP="00AC1CAF">
      <w:pPr>
        <w:pStyle w:val="Bullet0"/>
        <w:numPr>
          <w:ilvl w:val="0"/>
          <w:numId w:val="22"/>
        </w:numPr>
        <w:ind w:hanging="283"/>
        <w:rPr>
          <w:noProof/>
        </w:rPr>
      </w:pPr>
      <w:r w:rsidRPr="00FF1C3E">
        <w:rPr>
          <w:noProof/>
        </w:rPr>
        <w:t>creëren en inrichten, binnen de territoriale subdivisies van de politie, van ruimten voor verhoor en line-ups, van ruimten voor vertrouwelijke besprekingen tussen personen die verdacht of beschuldigd worden en hun advocaat, en van wachtruimten (transit), overeenkomstig EU-normen;</w:t>
      </w:r>
    </w:p>
    <w:p w14:paraId="56490946" w14:textId="77777777" w:rsidR="003855A7" w:rsidRPr="00FF1C3E" w:rsidRDefault="003855A7" w:rsidP="00AC1CAF">
      <w:pPr>
        <w:pStyle w:val="Bullet0"/>
        <w:numPr>
          <w:ilvl w:val="0"/>
          <w:numId w:val="22"/>
        </w:numPr>
        <w:ind w:hanging="283"/>
        <w:rPr>
          <w:noProof/>
        </w:rPr>
      </w:pPr>
      <w:r w:rsidRPr="00FF1C3E">
        <w:rPr>
          <w:noProof/>
        </w:rPr>
        <w:t xml:space="preserve">ontwikkelen van de penitentiaire sector. </w:t>
      </w:r>
    </w:p>
    <w:p w14:paraId="4AF599F2" w14:textId="77777777" w:rsidR="003602F3" w:rsidRPr="00FF1C3E" w:rsidRDefault="003602F3" w:rsidP="003602F3">
      <w:pPr>
        <w:rPr>
          <w:noProof/>
        </w:rPr>
      </w:pPr>
    </w:p>
    <w:p w14:paraId="4B1FB8BF" w14:textId="3DB903A5" w:rsidR="003855A7" w:rsidRPr="00FF1C3E" w:rsidRDefault="00930635" w:rsidP="003602F3">
      <w:pPr>
        <w:pStyle w:val="NumPar1"/>
        <w:tabs>
          <w:tab w:val="clear" w:pos="850"/>
          <w:tab w:val="num" w:pos="567"/>
        </w:tabs>
        <w:ind w:left="567" w:hanging="567"/>
        <w:rPr>
          <w:noProof/>
          <w:u w:val="single"/>
        </w:rPr>
      </w:pPr>
      <w:r w:rsidRPr="00FF1C3E">
        <w:rPr>
          <w:noProof/>
          <w:u w:val="single"/>
        </w:rPr>
        <w:t>S</w:t>
      </w:r>
      <w:r w:rsidR="003855A7" w:rsidRPr="00FF1C3E">
        <w:rPr>
          <w:noProof/>
          <w:u w:val="single"/>
        </w:rPr>
        <w:t>amenwerking</w:t>
      </w:r>
      <w:r w:rsidRPr="00FF1C3E">
        <w:rPr>
          <w:noProof/>
          <w:u w:val="single"/>
        </w:rPr>
        <w:t xml:space="preserve"> met het maatschappelijk middenveld</w:t>
      </w:r>
    </w:p>
    <w:p w14:paraId="1AFF5D71" w14:textId="77777777" w:rsidR="003855A7" w:rsidRPr="00FF1C3E" w:rsidRDefault="003855A7" w:rsidP="00AC1CAF">
      <w:pPr>
        <w:pStyle w:val="Bullet0"/>
        <w:numPr>
          <w:ilvl w:val="0"/>
          <w:numId w:val="23"/>
        </w:numPr>
        <w:ind w:hanging="283"/>
        <w:rPr>
          <w:noProof/>
        </w:rPr>
      </w:pPr>
      <w:r w:rsidRPr="00FF1C3E">
        <w:rPr>
          <w:noProof/>
        </w:rPr>
        <w:t xml:space="preserve">Zorgen voor de uitvoering van de wet inzake niet-commerciële organisaties, die tot doel heeft het rechtskader voor de effectieve deelname van het maatschappelijk middenveld aan het besluitvormingsproces te verbeteren. </w:t>
      </w:r>
    </w:p>
    <w:p w14:paraId="51B07AA9" w14:textId="77777777" w:rsidR="003855A7" w:rsidRPr="00FF1C3E" w:rsidRDefault="003855A7" w:rsidP="00AC1CAF">
      <w:pPr>
        <w:pStyle w:val="Bullet0"/>
        <w:numPr>
          <w:ilvl w:val="0"/>
          <w:numId w:val="23"/>
        </w:numPr>
        <w:ind w:hanging="283"/>
        <w:rPr>
          <w:noProof/>
        </w:rPr>
      </w:pPr>
      <w:r w:rsidRPr="00FF1C3E">
        <w:rPr>
          <w:noProof/>
        </w:rPr>
        <w:t xml:space="preserve">Goedkeuren en uitvoeren van een nieuw beleidsdocument voor de ontwikkeling van het maatschappelijk middenveld. </w:t>
      </w:r>
    </w:p>
    <w:p w14:paraId="7A5E9196" w14:textId="77777777" w:rsidR="003855A7" w:rsidRPr="00FF1C3E" w:rsidRDefault="003855A7" w:rsidP="00AC1CAF">
      <w:pPr>
        <w:pStyle w:val="Bullet0"/>
        <w:numPr>
          <w:ilvl w:val="0"/>
          <w:numId w:val="23"/>
        </w:numPr>
        <w:ind w:hanging="283"/>
        <w:rPr>
          <w:noProof/>
        </w:rPr>
      </w:pPr>
      <w:r w:rsidRPr="00FF1C3E">
        <w:rPr>
          <w:noProof/>
        </w:rPr>
        <w:t xml:space="preserve">Blijven bevorderen en beschermen van een gunstig klimaat voor het maatschappelijk middenveld; reageren op systematische lastercampagnes en aanvallen op maatschappelijke organisaties. </w:t>
      </w:r>
    </w:p>
    <w:p w14:paraId="190432C9" w14:textId="77777777" w:rsidR="003855A7" w:rsidRPr="00FF1C3E" w:rsidRDefault="003855A7" w:rsidP="00AC1CAF">
      <w:pPr>
        <w:pStyle w:val="Bullet0"/>
        <w:numPr>
          <w:ilvl w:val="0"/>
          <w:numId w:val="23"/>
        </w:numPr>
        <w:ind w:hanging="283"/>
        <w:rPr>
          <w:noProof/>
        </w:rPr>
      </w:pPr>
      <w:r w:rsidRPr="00FF1C3E">
        <w:rPr>
          <w:noProof/>
        </w:rPr>
        <w:t xml:space="preserve">Versterken van het kader voor de deelname van maatschappelijke organisaties aan de ontwikkeling en bewaking van de uitvoering van overheidsbeleid. </w:t>
      </w:r>
    </w:p>
    <w:p w14:paraId="511D1645" w14:textId="77777777" w:rsidR="003855A7" w:rsidRPr="00FF1C3E" w:rsidRDefault="003855A7" w:rsidP="00AC1CAF">
      <w:pPr>
        <w:pStyle w:val="Bullet0"/>
        <w:numPr>
          <w:ilvl w:val="0"/>
          <w:numId w:val="23"/>
        </w:numPr>
        <w:ind w:hanging="283"/>
        <w:rPr>
          <w:noProof/>
        </w:rPr>
      </w:pPr>
      <w:r w:rsidRPr="00FF1C3E">
        <w:rPr>
          <w:noProof/>
        </w:rPr>
        <w:t>Bevorderen en versterken van de financiële duurzaamheid van maatschappelijke organisaties; invoeren van een functioneel mechanisme om te zorgen voor een transparante en op verdienste gebaseerde toewijzing van middelen van de staat aan maatschappelijke organisaties, met inbegrip van voorlichtingscampagnes door de overheid.</w:t>
      </w:r>
    </w:p>
    <w:p w14:paraId="63EC3952" w14:textId="77777777" w:rsidR="003855A7" w:rsidRPr="00FF1C3E" w:rsidRDefault="003855A7" w:rsidP="00AC1CAF">
      <w:pPr>
        <w:pStyle w:val="Bullet0"/>
        <w:numPr>
          <w:ilvl w:val="0"/>
          <w:numId w:val="23"/>
        </w:numPr>
        <w:ind w:hanging="283"/>
        <w:rPr>
          <w:noProof/>
        </w:rPr>
      </w:pPr>
      <w:r w:rsidRPr="00FF1C3E">
        <w:rPr>
          <w:noProof/>
        </w:rPr>
        <w:t xml:space="preserve">Ondersteunen van de actieve burgerzin, de vrijwilligersgeest en sociaal ondernemerschap. </w:t>
      </w:r>
    </w:p>
    <w:p w14:paraId="785FD9F9" w14:textId="77777777" w:rsidR="003855A7" w:rsidRPr="00FF1C3E" w:rsidRDefault="003855A7" w:rsidP="00AC1CAF">
      <w:pPr>
        <w:pStyle w:val="Bullet0"/>
        <w:numPr>
          <w:ilvl w:val="0"/>
          <w:numId w:val="23"/>
        </w:numPr>
        <w:ind w:hanging="283"/>
        <w:rPr>
          <w:noProof/>
        </w:rPr>
      </w:pPr>
      <w:r w:rsidRPr="00FF1C3E">
        <w:rPr>
          <w:noProof/>
        </w:rPr>
        <w:t xml:space="preserve">Organiseren van publieksvoorlichtingscampagnes om nauwkeurige informatie over de rol en het belang van het maatschappelijk middenveld te verspreiden en mensen in staat te stellen zich bezig te houden met en deel te nemen aan burgerinitiatieven.  </w:t>
      </w:r>
    </w:p>
    <w:p w14:paraId="103A27D6" w14:textId="77777777" w:rsidR="003602F3" w:rsidRPr="00FF1C3E" w:rsidRDefault="003602F3" w:rsidP="003602F3">
      <w:pPr>
        <w:rPr>
          <w:noProof/>
        </w:rPr>
      </w:pPr>
    </w:p>
    <w:p w14:paraId="2216F251"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Rechten van het kind</w:t>
      </w:r>
    </w:p>
    <w:p w14:paraId="655AE264" w14:textId="77777777" w:rsidR="003855A7" w:rsidRPr="00FF1C3E" w:rsidRDefault="003855A7" w:rsidP="00AC1CAF">
      <w:pPr>
        <w:pStyle w:val="Bullet0"/>
        <w:numPr>
          <w:ilvl w:val="0"/>
          <w:numId w:val="24"/>
        </w:numPr>
        <w:ind w:hanging="283"/>
        <w:rPr>
          <w:noProof/>
        </w:rPr>
      </w:pPr>
      <w:r w:rsidRPr="00FF1C3E">
        <w:rPr>
          <w:noProof/>
        </w:rPr>
        <w:t>Voortzetten van de de-institutionalisering van kinderen en ervoor zorgen dat het aantal kinderen in instellingen geleidelijk wordt teruggebracht tot nul, terwijl alternatieve vormen van zorg worden ontwikkeld;</w:t>
      </w:r>
    </w:p>
    <w:p w14:paraId="6AAC15C7" w14:textId="77777777" w:rsidR="003855A7" w:rsidRPr="00FF1C3E" w:rsidRDefault="003855A7" w:rsidP="00AC1CAF">
      <w:pPr>
        <w:pStyle w:val="Bullet0"/>
        <w:numPr>
          <w:ilvl w:val="0"/>
          <w:numId w:val="24"/>
        </w:numPr>
        <w:ind w:hanging="283"/>
        <w:rPr>
          <w:noProof/>
        </w:rPr>
      </w:pPr>
      <w:r w:rsidRPr="00FF1C3E">
        <w:rPr>
          <w:noProof/>
        </w:rPr>
        <w:t>vaststellen van het “Kinderbeschermingsprogramma” overeenkomstig regeringsbesluit nr. 386/2020 en het bijbehorende actieplan.</w:t>
      </w:r>
    </w:p>
    <w:p w14:paraId="66CC725F" w14:textId="77777777" w:rsidR="003855A7" w:rsidRPr="00FF1C3E" w:rsidRDefault="003855A7" w:rsidP="00AC1CAF">
      <w:pPr>
        <w:pStyle w:val="Bullet0"/>
        <w:numPr>
          <w:ilvl w:val="0"/>
          <w:numId w:val="24"/>
        </w:numPr>
        <w:ind w:hanging="283"/>
        <w:rPr>
          <w:noProof/>
        </w:rPr>
      </w:pPr>
      <w:r w:rsidRPr="00FF1C3E">
        <w:rPr>
          <w:noProof/>
        </w:rPr>
        <w:t>Verbeteren van de bescherming van kinderen die als gevolg van migratie achterblijven, met inbegrip van het verstrekken van sociale en psychologische ondersteuning.</w:t>
      </w:r>
    </w:p>
    <w:p w14:paraId="4C4C82BF" w14:textId="77777777" w:rsidR="003855A7" w:rsidRPr="00FF1C3E" w:rsidRDefault="003855A7" w:rsidP="00AC1CAF">
      <w:pPr>
        <w:pStyle w:val="Bullet0"/>
        <w:numPr>
          <w:ilvl w:val="0"/>
          <w:numId w:val="24"/>
        </w:numPr>
        <w:ind w:hanging="283"/>
        <w:rPr>
          <w:noProof/>
        </w:rPr>
      </w:pPr>
      <w:r w:rsidRPr="00FF1C3E">
        <w:rPr>
          <w:noProof/>
        </w:rPr>
        <w:t>De preventie van jeugdcriminaliteit aanpakken onder de paraplu van het kinderbeschermingsprogramma.</w:t>
      </w:r>
    </w:p>
    <w:p w14:paraId="2E40CA3B" w14:textId="77777777" w:rsidR="003855A7" w:rsidRPr="00FF1C3E" w:rsidRDefault="003855A7" w:rsidP="00AC1CAF">
      <w:pPr>
        <w:pStyle w:val="Bullet0"/>
        <w:numPr>
          <w:ilvl w:val="0"/>
          <w:numId w:val="24"/>
        </w:numPr>
        <w:ind w:hanging="283"/>
        <w:rPr>
          <w:noProof/>
        </w:rPr>
      </w:pPr>
      <w:r w:rsidRPr="00FF1C3E">
        <w:rPr>
          <w:noProof/>
        </w:rPr>
        <w:t>Aanpakken van het probleem van kinderen die op straat leven door middel van socialebeschermingsmechanismen, rehabilitatie- en re-integratieprogramma’s.</w:t>
      </w:r>
    </w:p>
    <w:p w14:paraId="069B020B" w14:textId="77777777" w:rsidR="003855A7" w:rsidRPr="00FF1C3E" w:rsidRDefault="003855A7" w:rsidP="00AC1CAF">
      <w:pPr>
        <w:pStyle w:val="Bullet0"/>
        <w:numPr>
          <w:ilvl w:val="0"/>
          <w:numId w:val="24"/>
        </w:numPr>
        <w:ind w:hanging="283"/>
        <w:rPr>
          <w:noProof/>
        </w:rPr>
      </w:pPr>
      <w:r w:rsidRPr="00FF1C3E">
        <w:rPr>
          <w:noProof/>
        </w:rPr>
        <w:t>Voorkomen en uitbannen van alle geweld tegen kinderen en van verwaarlozing, misbruik, uitbuiting en kinderarbeid, onder meer door te zorgen voor de doeltreffende uitvoering van het Verdrag van de Raad van Europa inzake de bescherming van kinderen tegen seksuele uitbuiting en seksueel misbruik en andere internationale mechanismen.</w:t>
      </w:r>
    </w:p>
    <w:p w14:paraId="03AA13DA" w14:textId="77777777" w:rsidR="003855A7" w:rsidRPr="00FF1C3E" w:rsidRDefault="003855A7" w:rsidP="00AC1CAF">
      <w:pPr>
        <w:pStyle w:val="Bullet0"/>
        <w:numPr>
          <w:ilvl w:val="0"/>
          <w:numId w:val="24"/>
        </w:numPr>
        <w:ind w:hanging="283"/>
        <w:rPr>
          <w:noProof/>
        </w:rPr>
      </w:pPr>
      <w:r w:rsidRPr="00FF1C3E">
        <w:rPr>
          <w:noProof/>
        </w:rPr>
        <w:t>Voorkomen dat gezinsleden van elkaar gescheiden raken en versterken van de re-integratie en de-institutionalisering van gezinnen.</w:t>
      </w:r>
    </w:p>
    <w:p w14:paraId="2EC839FC" w14:textId="77777777" w:rsidR="003855A7" w:rsidRPr="00FF1C3E" w:rsidRDefault="003855A7" w:rsidP="00AC1CAF">
      <w:pPr>
        <w:pStyle w:val="Bullet0"/>
        <w:numPr>
          <w:ilvl w:val="0"/>
          <w:numId w:val="24"/>
        </w:numPr>
        <w:ind w:hanging="283"/>
        <w:rPr>
          <w:noProof/>
        </w:rPr>
      </w:pPr>
      <w:r w:rsidRPr="00FF1C3E">
        <w:rPr>
          <w:noProof/>
        </w:rPr>
        <w:t>Zorgen voor kindvriendelijke justitie, re-integratie en ondersteuning voor inclusie (daders, slachtoffers en getuigen).</w:t>
      </w:r>
    </w:p>
    <w:p w14:paraId="52653D55" w14:textId="77777777" w:rsidR="003855A7" w:rsidRPr="00FF1C3E" w:rsidRDefault="003855A7" w:rsidP="00AC1CAF">
      <w:pPr>
        <w:pStyle w:val="Bullet0"/>
        <w:numPr>
          <w:ilvl w:val="0"/>
          <w:numId w:val="24"/>
        </w:numPr>
        <w:ind w:hanging="283"/>
        <w:rPr>
          <w:noProof/>
        </w:rPr>
      </w:pPr>
      <w:r w:rsidRPr="00FF1C3E">
        <w:rPr>
          <w:noProof/>
        </w:rPr>
        <w:t>Versterken en ondersteunen van sectoroverschrijdende benaderingen bij het verlenen van diensten aan kinderen en gezinnen op lokaal en regionaal niveau.</w:t>
      </w:r>
    </w:p>
    <w:p w14:paraId="10EEB5FB" w14:textId="77777777" w:rsidR="003855A7" w:rsidRPr="00FF1C3E" w:rsidRDefault="003855A7" w:rsidP="00AC1CAF">
      <w:pPr>
        <w:pStyle w:val="Bullet0"/>
        <w:numPr>
          <w:ilvl w:val="0"/>
          <w:numId w:val="24"/>
        </w:numPr>
        <w:ind w:hanging="283"/>
        <w:rPr>
          <w:noProof/>
        </w:rPr>
      </w:pPr>
      <w:r w:rsidRPr="00FF1C3E">
        <w:rPr>
          <w:noProof/>
        </w:rPr>
        <w:t>Uitvoeren van de slotopmerkingen van het VN-Comité voor de Rechten van het Kind en versterken van de samenwerking tussen het maatschappelijk middenveld en onafhankelijke mensenrechteninstellingen (ombudspersoon voor kinderrechten).</w:t>
      </w:r>
    </w:p>
    <w:p w14:paraId="30C81854" w14:textId="77777777" w:rsidR="003855A7" w:rsidRPr="00FF1C3E" w:rsidRDefault="003855A7" w:rsidP="00AC1CAF">
      <w:pPr>
        <w:pStyle w:val="Bullet0"/>
        <w:numPr>
          <w:ilvl w:val="0"/>
          <w:numId w:val="24"/>
        </w:numPr>
        <w:ind w:hanging="283"/>
        <w:rPr>
          <w:noProof/>
        </w:rPr>
      </w:pPr>
      <w:r w:rsidRPr="00FF1C3E">
        <w:rPr>
          <w:noProof/>
        </w:rPr>
        <w:t>Zorgen voor sociale inclusie van kinderen in kwetsbare situaties en kinderen met een handicap (welzijn, onderwijs, ontwikkeling, bescherming en gezondheid).</w:t>
      </w:r>
    </w:p>
    <w:p w14:paraId="075A268F" w14:textId="77777777" w:rsidR="003855A7" w:rsidRPr="00FF1C3E" w:rsidRDefault="003855A7" w:rsidP="00AC1CAF">
      <w:pPr>
        <w:pStyle w:val="Bullet0"/>
        <w:numPr>
          <w:ilvl w:val="0"/>
          <w:numId w:val="24"/>
        </w:numPr>
        <w:ind w:hanging="283"/>
        <w:rPr>
          <w:noProof/>
        </w:rPr>
      </w:pPr>
      <w:r w:rsidRPr="00FF1C3E">
        <w:rPr>
          <w:noProof/>
        </w:rPr>
        <w:t>Versterken van positief ouderschap om ervoor te zorgen dat de rechten van kinderen en adolescenten worden geëerbiedigd en beschermd.</w:t>
      </w:r>
    </w:p>
    <w:p w14:paraId="2885FFD6" w14:textId="77777777" w:rsidR="003855A7" w:rsidRPr="00FF1C3E" w:rsidRDefault="003855A7" w:rsidP="00AC1CAF">
      <w:pPr>
        <w:pStyle w:val="Bullet0"/>
        <w:numPr>
          <w:ilvl w:val="0"/>
          <w:numId w:val="24"/>
        </w:numPr>
        <w:ind w:hanging="283"/>
        <w:rPr>
          <w:noProof/>
        </w:rPr>
      </w:pPr>
      <w:r w:rsidRPr="00FF1C3E">
        <w:rPr>
          <w:noProof/>
        </w:rPr>
        <w:t>Versterken van gezond gedrag bij kinderen, adolescenten en jongeren (voeding, lichaamsbeweging, preventie van drugsmisbruik, seksuele en reproductieve gezondheid, psychologische ondersteuning bij overdraagbare ziekten enz.).</w:t>
      </w:r>
    </w:p>
    <w:p w14:paraId="37B47DF3" w14:textId="77777777" w:rsidR="003855A7" w:rsidRPr="00FF1C3E" w:rsidRDefault="003855A7" w:rsidP="00AC1CAF">
      <w:pPr>
        <w:pStyle w:val="Bullet0"/>
        <w:numPr>
          <w:ilvl w:val="0"/>
          <w:numId w:val="24"/>
        </w:numPr>
        <w:ind w:hanging="283"/>
        <w:rPr>
          <w:noProof/>
        </w:rPr>
      </w:pPr>
      <w:r w:rsidRPr="00FF1C3E">
        <w:rPr>
          <w:noProof/>
        </w:rPr>
        <w:t>Versterken van de deelname van kinderen, adolescenten en jongeren aan besluitvorming op verschillende niveaus.</w:t>
      </w:r>
    </w:p>
    <w:p w14:paraId="22509883" w14:textId="77777777" w:rsidR="003855A7" w:rsidRPr="00FF1C3E" w:rsidRDefault="003855A7" w:rsidP="00AC1CAF">
      <w:pPr>
        <w:pStyle w:val="Bullet0"/>
        <w:numPr>
          <w:ilvl w:val="0"/>
          <w:numId w:val="24"/>
        </w:numPr>
        <w:ind w:hanging="283"/>
        <w:rPr>
          <w:noProof/>
        </w:rPr>
      </w:pPr>
      <w:r w:rsidRPr="00FF1C3E">
        <w:rPr>
          <w:noProof/>
        </w:rPr>
        <w:t>Versterken en ondersteunen van inclusief formeel en niet-formeel onderwijs door middel van op kinderen gerichte benaderingen.</w:t>
      </w:r>
    </w:p>
    <w:p w14:paraId="08F7AD23" w14:textId="77777777" w:rsidR="003855A7" w:rsidRPr="00FF1C3E" w:rsidRDefault="003855A7" w:rsidP="00AC1CAF">
      <w:pPr>
        <w:pStyle w:val="Bullet0"/>
        <w:numPr>
          <w:ilvl w:val="0"/>
          <w:numId w:val="24"/>
        </w:numPr>
        <w:ind w:hanging="283"/>
        <w:rPr>
          <w:noProof/>
        </w:rPr>
      </w:pPr>
      <w:r w:rsidRPr="00FF1C3E">
        <w:rPr>
          <w:noProof/>
        </w:rPr>
        <w:t xml:space="preserve">Vergroten van het bewustzijn en de digitale veerkracht van kinderen, adolescenten en jongeren en waarborgen van de veiligheid van kinderen online. </w:t>
      </w:r>
    </w:p>
    <w:p w14:paraId="20B9DF80" w14:textId="77777777" w:rsidR="003855A7" w:rsidRPr="00FF1C3E" w:rsidRDefault="003855A7" w:rsidP="00AC1CAF">
      <w:pPr>
        <w:pStyle w:val="Bullet0"/>
        <w:numPr>
          <w:ilvl w:val="0"/>
          <w:numId w:val="24"/>
        </w:numPr>
        <w:ind w:hanging="283"/>
        <w:rPr>
          <w:noProof/>
        </w:rPr>
      </w:pPr>
      <w:r w:rsidRPr="00FF1C3E">
        <w:rPr>
          <w:noProof/>
        </w:rPr>
        <w:t>Voorzien in een uitgebreide en gespecialiseerde opleiding van beroepsbeoefenaren die met kinderen werken (rechtshandhaving, rechterlijke macht, gezondheidszorg, sociale sector enz.).</w:t>
      </w:r>
    </w:p>
    <w:p w14:paraId="15BFE56E" w14:textId="77777777" w:rsidR="003602F3" w:rsidRPr="00FF1C3E" w:rsidRDefault="003602F3" w:rsidP="003602F3">
      <w:pPr>
        <w:rPr>
          <w:noProof/>
        </w:rPr>
      </w:pPr>
    </w:p>
    <w:p w14:paraId="7DD15BB6"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Gendergerelateerd geweld</w:t>
      </w:r>
    </w:p>
    <w:p w14:paraId="63B86281" w14:textId="77777777" w:rsidR="003855A7" w:rsidRPr="00FF1C3E" w:rsidRDefault="003855A7" w:rsidP="00C56F91">
      <w:pPr>
        <w:pStyle w:val="Bullet0"/>
        <w:ind w:hanging="283"/>
        <w:rPr>
          <w:noProof/>
        </w:rPr>
      </w:pPr>
      <w:r w:rsidRPr="00FF1C3E">
        <w:rPr>
          <w:noProof/>
        </w:rPr>
        <w:t xml:space="preserve">Beschermen van vrouwen tegen alle vormen van geweld en voorkomen, vervolgen en uitbannen van geweld tegen vrouwen en huiselijk geweld, onder meer door het Verdrag van de Raad van Europa inzake het voorkomen en bestrijden van geweld tegen vrouwen en huiselijk geweld (Verdrag van Istanbul) te ratificeren en volledig uit te voeren. </w:t>
      </w:r>
    </w:p>
    <w:p w14:paraId="33A7E5C7" w14:textId="77777777" w:rsidR="003855A7" w:rsidRPr="00FF1C3E" w:rsidRDefault="003855A7" w:rsidP="00C56F91">
      <w:pPr>
        <w:pStyle w:val="Bullet0"/>
        <w:ind w:hanging="283"/>
        <w:rPr>
          <w:noProof/>
        </w:rPr>
      </w:pPr>
      <w:r w:rsidRPr="00FF1C3E">
        <w:rPr>
          <w:noProof/>
        </w:rPr>
        <w:t>Werken aan veranderende percepties rond genderstereotypen en patriarchale normen die de rechten van vrouwen beperken.</w:t>
      </w:r>
    </w:p>
    <w:p w14:paraId="4B26C0E2" w14:textId="77777777" w:rsidR="003855A7" w:rsidRPr="00FF1C3E" w:rsidRDefault="003855A7" w:rsidP="00C56F91">
      <w:pPr>
        <w:pStyle w:val="Bullet0"/>
        <w:ind w:hanging="283"/>
        <w:rPr>
          <w:noProof/>
        </w:rPr>
      </w:pPr>
      <w:r w:rsidRPr="00FF1C3E">
        <w:rPr>
          <w:noProof/>
        </w:rPr>
        <w:t xml:space="preserve">Ondersteunen van de betrokkenheid van mannen bij de zorg voor kinderen door bewustmaking omtrent vaderschap. </w:t>
      </w:r>
    </w:p>
    <w:p w14:paraId="28C283C8" w14:textId="77777777" w:rsidR="003855A7" w:rsidRPr="00FF1C3E" w:rsidRDefault="003855A7" w:rsidP="00C56F91">
      <w:pPr>
        <w:pStyle w:val="Bullet0"/>
        <w:ind w:hanging="283"/>
        <w:rPr>
          <w:noProof/>
        </w:rPr>
      </w:pPr>
      <w:r w:rsidRPr="00FF1C3E">
        <w:rPr>
          <w:noProof/>
        </w:rPr>
        <w:t>Samenwerken met daders op basis van internationale beste praktijken om geweld tegen vrouwen terug te dringen en te voorkomen.</w:t>
      </w:r>
    </w:p>
    <w:p w14:paraId="494655CA" w14:textId="77777777" w:rsidR="003855A7" w:rsidRPr="00FF1C3E" w:rsidRDefault="003855A7" w:rsidP="00C56F91">
      <w:pPr>
        <w:pStyle w:val="Bullet0"/>
        <w:ind w:hanging="283"/>
        <w:rPr>
          <w:noProof/>
        </w:rPr>
      </w:pPr>
      <w:r w:rsidRPr="00FF1C3E">
        <w:rPr>
          <w:noProof/>
        </w:rPr>
        <w:t>Ontwikkelen van huisvestingsprogramma’s en gespecialiseerde bijstand aan slachtoffers van huiselijk en seksueel geweld.</w:t>
      </w:r>
    </w:p>
    <w:p w14:paraId="2A5600D3" w14:textId="77777777" w:rsidR="003855A7" w:rsidRPr="00FF1C3E" w:rsidRDefault="003855A7" w:rsidP="00C56F91">
      <w:pPr>
        <w:pStyle w:val="Bullet0"/>
        <w:ind w:hanging="283"/>
        <w:rPr>
          <w:noProof/>
        </w:rPr>
      </w:pPr>
      <w:r w:rsidRPr="00FF1C3E">
        <w:rPr>
          <w:noProof/>
        </w:rPr>
        <w:t>Voorzien in een proactieve rol van de overheid bij de bescherming en bevordering van de rechten van vrouwen.</w:t>
      </w:r>
    </w:p>
    <w:p w14:paraId="406A5B58" w14:textId="77777777" w:rsidR="003855A7" w:rsidRPr="00FF1C3E" w:rsidRDefault="003855A7" w:rsidP="00C56F91">
      <w:pPr>
        <w:pStyle w:val="Bullet0"/>
        <w:ind w:hanging="283"/>
        <w:rPr>
          <w:noProof/>
        </w:rPr>
      </w:pPr>
      <w:r w:rsidRPr="00FF1C3E">
        <w:rPr>
          <w:noProof/>
        </w:rPr>
        <w:t xml:space="preserve">Bijzondere prioriteit wordt gegeven aan de preventie van alle vormen van gendergerelateerd geweld en aan de ondersteuning van het versterken en vergroten van de deelname van vrouwen aan conflictpreventie en vredesprocessen. </w:t>
      </w:r>
    </w:p>
    <w:p w14:paraId="4B3F1DC1" w14:textId="77777777" w:rsidR="003855A7" w:rsidRPr="00FF1C3E" w:rsidRDefault="003855A7" w:rsidP="00C56F91">
      <w:pPr>
        <w:pStyle w:val="Bullet0"/>
        <w:ind w:hanging="283"/>
        <w:rPr>
          <w:noProof/>
        </w:rPr>
      </w:pPr>
      <w:r w:rsidRPr="00FF1C3E">
        <w:rPr>
          <w:noProof/>
        </w:rPr>
        <w:t xml:space="preserve">Uitvoeren van de slotopmerkingen van het VN-Comité inzake de uitbanning van alle vormen van discriminatie van vrouwen. </w:t>
      </w:r>
    </w:p>
    <w:p w14:paraId="4F654656" w14:textId="77777777" w:rsidR="003855A7" w:rsidRPr="00FF1C3E" w:rsidRDefault="003855A7" w:rsidP="00C56F91">
      <w:pPr>
        <w:pStyle w:val="Bullet0"/>
        <w:ind w:hanging="283"/>
        <w:rPr>
          <w:noProof/>
        </w:rPr>
      </w:pPr>
      <w:r w:rsidRPr="00FF1C3E">
        <w:rPr>
          <w:noProof/>
        </w:rPr>
        <w:t>Ontwikkelen van programma’s en diensten voor psychologisch advies voor daders, gericht op het veranderen van gedrag en het bevorderen van een anti-geweldcultuur.</w:t>
      </w:r>
    </w:p>
    <w:p w14:paraId="7B48272F" w14:textId="77777777" w:rsidR="003602F3" w:rsidRPr="00FF1C3E" w:rsidRDefault="003602F3" w:rsidP="003602F3">
      <w:pPr>
        <w:rPr>
          <w:noProof/>
        </w:rPr>
      </w:pPr>
    </w:p>
    <w:p w14:paraId="1A141D07" w14:textId="77777777" w:rsidR="003855A7" w:rsidRPr="00FF1C3E" w:rsidRDefault="003855A7" w:rsidP="003602F3">
      <w:pPr>
        <w:pStyle w:val="NumPar1"/>
        <w:tabs>
          <w:tab w:val="clear" w:pos="850"/>
          <w:tab w:val="num" w:pos="567"/>
        </w:tabs>
        <w:ind w:left="567" w:hanging="567"/>
        <w:rPr>
          <w:noProof/>
          <w:u w:val="single"/>
        </w:rPr>
      </w:pPr>
      <w:bookmarkStart w:id="2" w:name="_Hlk57828102"/>
      <w:r w:rsidRPr="00FF1C3E">
        <w:rPr>
          <w:noProof/>
          <w:u w:val="single"/>
        </w:rPr>
        <w:t>Gelijke behandeling</w:t>
      </w:r>
    </w:p>
    <w:p w14:paraId="10AA5F33" w14:textId="77777777" w:rsidR="003855A7" w:rsidRPr="00FF1C3E" w:rsidRDefault="003855A7" w:rsidP="00AC1CAF">
      <w:pPr>
        <w:pStyle w:val="Bullet0"/>
        <w:numPr>
          <w:ilvl w:val="0"/>
          <w:numId w:val="25"/>
        </w:numPr>
        <w:ind w:hanging="283"/>
        <w:rPr>
          <w:noProof/>
        </w:rPr>
      </w:pPr>
      <w:r w:rsidRPr="00FF1C3E">
        <w:rPr>
          <w:noProof/>
        </w:rPr>
        <w:t>Blijven nemen van maatregelen om gelijkheid voor iedereen te waarborgen en discriminatie op welke grond dan ook te bestrijden, ongeacht geslacht/gender, ras of etnische afkomst, godsdienst of overtuiging, handicap, leeftijd, taal, seksuele gerichtheid of vermogen, in het sociale, politieke en economische leven, teneinde iedereen gelijke en eerlijke kansen te bieden.</w:t>
      </w:r>
    </w:p>
    <w:p w14:paraId="7312F034" w14:textId="77777777" w:rsidR="003855A7" w:rsidRPr="00FF1C3E" w:rsidRDefault="003855A7" w:rsidP="00AC1CAF">
      <w:pPr>
        <w:pStyle w:val="Bullet0"/>
        <w:numPr>
          <w:ilvl w:val="0"/>
          <w:numId w:val="25"/>
        </w:numPr>
        <w:ind w:hanging="283"/>
        <w:rPr>
          <w:noProof/>
        </w:rPr>
      </w:pPr>
      <w:r w:rsidRPr="00FF1C3E">
        <w:rPr>
          <w:noProof/>
        </w:rPr>
        <w:t>Uitvoeren van en toezicht houden op de nationale wetgeving die is aangepast aan de richtlijn inzake rassengelijkheid (Richtlijn 2000/43/EG van de Raad van 29 juni 2000).</w:t>
      </w:r>
    </w:p>
    <w:p w14:paraId="38960270" w14:textId="77777777" w:rsidR="003855A7" w:rsidRPr="00FF1C3E" w:rsidRDefault="003855A7" w:rsidP="00AC1CAF">
      <w:pPr>
        <w:pStyle w:val="Bullet0"/>
        <w:numPr>
          <w:ilvl w:val="0"/>
          <w:numId w:val="25"/>
        </w:numPr>
        <w:ind w:hanging="283"/>
        <w:rPr>
          <w:noProof/>
        </w:rPr>
      </w:pPr>
      <w:r w:rsidRPr="00FF1C3E">
        <w:rPr>
          <w:noProof/>
        </w:rPr>
        <w:t>Zorgen voor de doeltreffende uitvoering van het VN-Verdrag inzake de uitbanning van alle vormen van rassendiscriminatie.</w:t>
      </w:r>
    </w:p>
    <w:p w14:paraId="6DE84CCA" w14:textId="77777777" w:rsidR="003855A7" w:rsidRPr="00FF1C3E" w:rsidRDefault="003855A7" w:rsidP="00AC1CAF">
      <w:pPr>
        <w:pStyle w:val="Bullet0"/>
        <w:numPr>
          <w:ilvl w:val="0"/>
          <w:numId w:val="25"/>
        </w:numPr>
        <w:ind w:hanging="283"/>
        <w:rPr>
          <w:noProof/>
        </w:rPr>
      </w:pPr>
      <w:r w:rsidRPr="00FF1C3E">
        <w:rPr>
          <w:noProof/>
        </w:rPr>
        <w:t>Bestrijden van discriminatie van alle etnische minderheden in de Republiek Moldavië, met name van de Romagemeenschap.</w:t>
      </w:r>
    </w:p>
    <w:p w14:paraId="03D6D3E1" w14:textId="77777777" w:rsidR="003855A7" w:rsidRPr="00FF1C3E" w:rsidRDefault="003855A7" w:rsidP="00AC1CAF">
      <w:pPr>
        <w:pStyle w:val="Bullet0"/>
        <w:numPr>
          <w:ilvl w:val="0"/>
          <w:numId w:val="25"/>
        </w:numPr>
        <w:ind w:hanging="283"/>
        <w:rPr>
          <w:noProof/>
        </w:rPr>
      </w:pPr>
      <w:r w:rsidRPr="00FF1C3E">
        <w:rPr>
          <w:noProof/>
        </w:rPr>
        <w:t>Verbeteren van de inclusie en gelijke kansen voor de Roma en bestrijden van zigeunerhaat.</w:t>
      </w:r>
    </w:p>
    <w:p w14:paraId="638B00D4" w14:textId="77777777" w:rsidR="003855A7" w:rsidRPr="00FF1C3E" w:rsidRDefault="003855A7" w:rsidP="00AC1CAF">
      <w:pPr>
        <w:pStyle w:val="Bullet0"/>
        <w:numPr>
          <w:ilvl w:val="0"/>
          <w:numId w:val="25"/>
        </w:numPr>
        <w:ind w:hanging="283"/>
        <w:rPr>
          <w:noProof/>
        </w:rPr>
      </w:pPr>
      <w:bookmarkStart w:id="3" w:name="_30j0zll"/>
      <w:bookmarkEnd w:id="3"/>
      <w:r w:rsidRPr="00FF1C3E">
        <w:rPr>
          <w:noProof/>
        </w:rPr>
        <w:t>Zorgen voor een doeltreffend mechanisme voor gendercoördinatie op regeringsniveau.</w:t>
      </w:r>
    </w:p>
    <w:p w14:paraId="66ABB7A7" w14:textId="77777777" w:rsidR="003855A7" w:rsidRPr="00FF1C3E" w:rsidRDefault="003855A7" w:rsidP="00AC1CAF">
      <w:pPr>
        <w:pStyle w:val="Bullet0"/>
        <w:numPr>
          <w:ilvl w:val="0"/>
          <w:numId w:val="25"/>
        </w:numPr>
        <w:ind w:hanging="283"/>
        <w:rPr>
          <w:noProof/>
        </w:rPr>
      </w:pPr>
      <w:r w:rsidRPr="00FF1C3E">
        <w:rPr>
          <w:noProof/>
        </w:rPr>
        <w:t>Zorgen voor naar geslacht en leeftijd uitgesplitste gegevens op nationaal niveau ter ondersteuning van de besluitvorming (ex-ante), beleidsuitvoering in verschillende stadia, monitoring en evaluatie (ex-post)</w:t>
      </w:r>
      <w:r w:rsidRPr="00FF1C3E">
        <w:rPr>
          <w:rStyle w:val="FootnoteReference"/>
          <w:noProof/>
        </w:rPr>
        <w:footnoteReference w:id="4"/>
      </w:r>
      <w:r w:rsidRPr="00FF1C3E">
        <w:rPr>
          <w:noProof/>
        </w:rPr>
        <w:t>.</w:t>
      </w:r>
    </w:p>
    <w:p w14:paraId="64B17E6C" w14:textId="77777777" w:rsidR="003855A7" w:rsidRPr="00FF1C3E" w:rsidRDefault="003855A7" w:rsidP="00AC1CAF">
      <w:pPr>
        <w:pStyle w:val="Bullet0"/>
        <w:numPr>
          <w:ilvl w:val="0"/>
          <w:numId w:val="25"/>
        </w:numPr>
        <w:ind w:hanging="283"/>
        <w:rPr>
          <w:noProof/>
        </w:rPr>
      </w:pPr>
      <w:r w:rsidRPr="00FF1C3E">
        <w:rPr>
          <w:noProof/>
        </w:rPr>
        <w:t>Zorgen voor een evenwichtige verdeling van vrouwen en mannen</w:t>
      </w:r>
      <w:r w:rsidRPr="00FF1C3E">
        <w:rPr>
          <w:rStyle w:val="FootnoteReference"/>
          <w:noProof/>
        </w:rPr>
        <w:footnoteReference w:id="5"/>
      </w:r>
      <w:r w:rsidRPr="00FF1C3E">
        <w:rPr>
          <w:noProof/>
        </w:rPr>
        <w:t xml:space="preserve"> in leidinggevende functies in de wetgevende macht en het bestuur (overheidsinstellingen, -organen en -agentschappen) en voor genderevenwicht in de besluitvorming op nationaal en lokaal niveau.</w:t>
      </w:r>
    </w:p>
    <w:p w14:paraId="084BDFA3" w14:textId="77777777" w:rsidR="003855A7" w:rsidRPr="00FF1C3E" w:rsidRDefault="003855A7" w:rsidP="00AC1CAF">
      <w:pPr>
        <w:pStyle w:val="Bullet0"/>
        <w:numPr>
          <w:ilvl w:val="0"/>
          <w:numId w:val="25"/>
        </w:numPr>
        <w:ind w:hanging="283"/>
        <w:rPr>
          <w:noProof/>
        </w:rPr>
      </w:pPr>
      <w:bookmarkStart w:id="4" w:name="_1fob9te"/>
      <w:bookmarkEnd w:id="4"/>
      <w:r w:rsidRPr="00FF1C3E">
        <w:rPr>
          <w:noProof/>
        </w:rPr>
        <w:t>Verhogen van het aandeel vrouwen in de particuliere sector, verbeteren van de arbeidsomstandigheden van vrouwen, bestrijden van de uitbuiting van vrouwen, onder meer in de landbouw en de informele zorg, en ontwikkelen van het ondernemerschap van vrouwen in plattelandsgebieden.</w:t>
      </w:r>
    </w:p>
    <w:p w14:paraId="61CF20FE" w14:textId="77777777" w:rsidR="003855A7" w:rsidRPr="00FF1C3E" w:rsidRDefault="003855A7" w:rsidP="00AC1CAF">
      <w:pPr>
        <w:pStyle w:val="Bullet0"/>
        <w:numPr>
          <w:ilvl w:val="0"/>
          <w:numId w:val="25"/>
        </w:numPr>
        <w:ind w:hanging="283"/>
        <w:rPr>
          <w:noProof/>
        </w:rPr>
      </w:pPr>
      <w:r w:rsidRPr="00FF1C3E">
        <w:rPr>
          <w:noProof/>
        </w:rPr>
        <w:t>Uitbannen van discriminatie, mishandeling en geweld jegens vrouwen in de gezondheidszorg.</w:t>
      </w:r>
    </w:p>
    <w:p w14:paraId="623193A0" w14:textId="77777777" w:rsidR="003855A7" w:rsidRPr="00FF1C3E" w:rsidRDefault="003855A7" w:rsidP="00AC1CAF">
      <w:pPr>
        <w:pStyle w:val="Bullet0"/>
        <w:numPr>
          <w:ilvl w:val="0"/>
          <w:numId w:val="25"/>
        </w:numPr>
        <w:ind w:hanging="283"/>
        <w:rPr>
          <w:noProof/>
        </w:rPr>
      </w:pPr>
      <w:r w:rsidRPr="00FF1C3E">
        <w:rPr>
          <w:noProof/>
        </w:rPr>
        <w:t>Integreren van een gendergelijkheidscomponent in de werkzaamheden van vakbonden, zodat deze de belangrijkste voorvechters van gendergelijkheid op de werkplek en in het kader van het sociaal partnerschap worden.</w:t>
      </w:r>
    </w:p>
    <w:p w14:paraId="22F95BC9" w14:textId="77777777" w:rsidR="003855A7" w:rsidRPr="00FF1C3E" w:rsidRDefault="003855A7" w:rsidP="00AC1CAF">
      <w:pPr>
        <w:pStyle w:val="Bullet0"/>
        <w:numPr>
          <w:ilvl w:val="0"/>
          <w:numId w:val="25"/>
        </w:numPr>
        <w:ind w:hanging="283"/>
        <w:rPr>
          <w:noProof/>
        </w:rPr>
      </w:pPr>
      <w:r w:rsidRPr="00FF1C3E">
        <w:rPr>
          <w:noProof/>
        </w:rPr>
        <w:t>Ervoor zorgen dat verkiezingscampagnes vrouwen en mannen op respectvolle en nauwkeurige wijze weergeven, waarbij genderstereotypen actief worden aangepakt.</w:t>
      </w:r>
    </w:p>
    <w:p w14:paraId="5342EEC2" w14:textId="77777777" w:rsidR="003855A7" w:rsidRPr="00FF1C3E" w:rsidRDefault="003855A7" w:rsidP="00AC1CAF">
      <w:pPr>
        <w:pStyle w:val="Bullet0"/>
        <w:numPr>
          <w:ilvl w:val="0"/>
          <w:numId w:val="25"/>
        </w:numPr>
        <w:ind w:hanging="283"/>
        <w:rPr>
          <w:noProof/>
        </w:rPr>
      </w:pPr>
      <w:r w:rsidRPr="00FF1C3E">
        <w:rPr>
          <w:noProof/>
        </w:rPr>
        <w:t>Aanpakken van genderstereotypen en zigeunerhaat in media-inhoud.</w:t>
      </w:r>
    </w:p>
    <w:p w14:paraId="49CE5FEB" w14:textId="77777777" w:rsidR="003602F3" w:rsidRPr="00FF1C3E" w:rsidRDefault="003602F3" w:rsidP="003602F3">
      <w:pPr>
        <w:rPr>
          <w:noProof/>
        </w:rPr>
      </w:pPr>
    </w:p>
    <w:bookmarkEnd w:id="2"/>
    <w:p w14:paraId="0D42933D" w14:textId="77777777" w:rsidR="003855A7" w:rsidRPr="00FF1C3E" w:rsidRDefault="003855A7" w:rsidP="003602F3">
      <w:pPr>
        <w:pStyle w:val="NumPar1"/>
        <w:tabs>
          <w:tab w:val="clear" w:pos="850"/>
          <w:tab w:val="num" w:pos="567"/>
        </w:tabs>
        <w:ind w:left="567" w:hanging="567"/>
        <w:rPr>
          <w:noProof/>
          <w:u w:val="single"/>
        </w:rPr>
      </w:pPr>
      <w:r w:rsidRPr="00FF1C3E">
        <w:rPr>
          <w:noProof/>
          <w:u w:val="single"/>
        </w:rPr>
        <w:t>Vakbondsrechten en fundamentele arbeidsvoorwaarden</w:t>
      </w:r>
    </w:p>
    <w:p w14:paraId="4E174EF8" w14:textId="77777777" w:rsidR="003855A7" w:rsidRPr="00FF1C3E" w:rsidRDefault="003855A7" w:rsidP="003855A7">
      <w:pPr>
        <w:spacing w:after="0"/>
        <w:rPr>
          <w:rFonts w:eastAsia="Times New Roman"/>
          <w:noProof/>
          <w:szCs w:val="24"/>
        </w:rPr>
      </w:pPr>
      <w:r w:rsidRPr="00FF1C3E">
        <w:rPr>
          <w:i/>
          <w:noProof/>
          <w:szCs w:val="24"/>
        </w:rPr>
        <w:t>– Binnen drie tot vier jaar:</w:t>
      </w:r>
    </w:p>
    <w:p w14:paraId="6F3D68B1" w14:textId="77777777" w:rsidR="003855A7" w:rsidRPr="00FF1C3E" w:rsidRDefault="003855A7" w:rsidP="00AC1CAF">
      <w:pPr>
        <w:pStyle w:val="Bullet0"/>
        <w:numPr>
          <w:ilvl w:val="0"/>
          <w:numId w:val="26"/>
        </w:numPr>
        <w:ind w:hanging="283"/>
        <w:rPr>
          <w:noProof/>
        </w:rPr>
      </w:pPr>
      <w:r w:rsidRPr="00FF1C3E">
        <w:rPr>
          <w:noProof/>
        </w:rPr>
        <w:t>ervoor zorgen dat vakbondsrechten en fundamentele arbeidsvoorwaarden worden nageleefd overeenkomstig de Europese normen en de verdragen van de Internationale Arbeidsorganisatie (IAO);</w:t>
      </w:r>
    </w:p>
    <w:p w14:paraId="21E63E05" w14:textId="77777777" w:rsidR="003855A7" w:rsidRPr="00FF1C3E" w:rsidRDefault="003855A7" w:rsidP="00AC1CAF">
      <w:pPr>
        <w:pStyle w:val="Bullet0"/>
        <w:numPr>
          <w:ilvl w:val="0"/>
          <w:numId w:val="26"/>
        </w:numPr>
        <w:ind w:hanging="283"/>
        <w:rPr>
          <w:noProof/>
        </w:rPr>
      </w:pPr>
      <w:r w:rsidRPr="00FF1C3E">
        <w:rPr>
          <w:noProof/>
        </w:rPr>
        <w:t>uitstippelen van een aanpak om kinderarbeid uit te bannen;</w:t>
      </w:r>
    </w:p>
    <w:p w14:paraId="18E61910" w14:textId="77777777" w:rsidR="003855A7" w:rsidRPr="00FF1C3E" w:rsidRDefault="003855A7" w:rsidP="00AC1CAF">
      <w:pPr>
        <w:pStyle w:val="Bullet0"/>
        <w:numPr>
          <w:ilvl w:val="0"/>
          <w:numId w:val="26"/>
        </w:numPr>
        <w:ind w:hanging="283"/>
        <w:rPr>
          <w:noProof/>
        </w:rPr>
      </w:pPr>
      <w:r w:rsidRPr="00FF1C3E">
        <w:rPr>
          <w:noProof/>
        </w:rPr>
        <w:t>ondersteunen van de ontwikkeling van de structuur van werkgeversorganisaties, bestendigen van hun lidmaatschap en oprichten van regionale structuren van werkgeversorganisaties.</w:t>
      </w:r>
    </w:p>
    <w:p w14:paraId="4E5C4D15" w14:textId="77777777" w:rsidR="003855A7" w:rsidRPr="00FF1C3E" w:rsidRDefault="003855A7" w:rsidP="003855A7">
      <w:pPr>
        <w:spacing w:before="280" w:after="0"/>
        <w:rPr>
          <w:rFonts w:eastAsia="Times New Roman"/>
          <w:noProof/>
          <w:szCs w:val="24"/>
        </w:rPr>
      </w:pPr>
      <w:r w:rsidRPr="00FF1C3E">
        <w:rPr>
          <w:i/>
          <w:noProof/>
          <w:szCs w:val="24"/>
        </w:rPr>
        <w:t>– Binnen zeven jaar:</w:t>
      </w:r>
    </w:p>
    <w:p w14:paraId="46060967" w14:textId="77777777" w:rsidR="003855A7" w:rsidRPr="00FF1C3E" w:rsidRDefault="003855A7" w:rsidP="00AC1CAF">
      <w:pPr>
        <w:pStyle w:val="Bullet0"/>
        <w:numPr>
          <w:ilvl w:val="0"/>
          <w:numId w:val="27"/>
        </w:numPr>
        <w:ind w:hanging="283"/>
        <w:rPr>
          <w:noProof/>
        </w:rPr>
      </w:pPr>
      <w:r w:rsidRPr="00FF1C3E">
        <w:rPr>
          <w:noProof/>
        </w:rPr>
        <w:t>uitvoeren en monitoren van de aanpak om kinderarbeid uit te bannen;</w:t>
      </w:r>
    </w:p>
    <w:p w14:paraId="70A38809" w14:textId="77777777" w:rsidR="003855A7" w:rsidRPr="00FF1C3E" w:rsidRDefault="003855A7" w:rsidP="00AC1CAF">
      <w:pPr>
        <w:pStyle w:val="Bullet0"/>
        <w:numPr>
          <w:ilvl w:val="0"/>
          <w:numId w:val="27"/>
        </w:numPr>
        <w:ind w:hanging="283"/>
        <w:rPr>
          <w:noProof/>
        </w:rPr>
      </w:pPr>
      <w:r w:rsidRPr="00FF1C3E">
        <w:rPr>
          <w:noProof/>
        </w:rPr>
        <w:t>boeken van vooruitgang bij het waarborgen van gelijkheid en non-discriminatie op de arbeidsmarkt.</w:t>
      </w:r>
    </w:p>
    <w:p w14:paraId="50D6B24A" w14:textId="7F04F05F" w:rsidR="00AC4A03" w:rsidRPr="00FF1C3E" w:rsidRDefault="00AC4A03" w:rsidP="00AC4A03">
      <w:pPr>
        <w:rPr>
          <w:noProof/>
        </w:rPr>
      </w:pPr>
    </w:p>
    <w:p w14:paraId="4CA6B662" w14:textId="48A5CE84" w:rsidR="003855A7" w:rsidRPr="00FF1C3E" w:rsidRDefault="00AC4A03" w:rsidP="00AC4A03">
      <w:pPr>
        <w:rPr>
          <w:b/>
          <w:i/>
          <w:noProof/>
          <w:u w:val="single"/>
        </w:rPr>
      </w:pPr>
      <w:r w:rsidRPr="00FF1C3E">
        <w:rPr>
          <w:b/>
          <w:i/>
          <w:noProof/>
          <w:u w:val="single"/>
        </w:rPr>
        <w:t>II. Buitenlands en veiligheidsbeleid</w:t>
      </w:r>
    </w:p>
    <w:p w14:paraId="32AFA3D8" w14:textId="77777777" w:rsidR="003855A7" w:rsidRPr="00FF1C3E" w:rsidRDefault="003855A7" w:rsidP="003855A7">
      <w:pPr>
        <w:spacing w:after="360" w:line="276" w:lineRule="auto"/>
        <w:rPr>
          <w:rFonts w:eastAsia="Times New Roman"/>
          <w:noProof/>
          <w:szCs w:val="24"/>
        </w:rPr>
      </w:pPr>
      <w:r w:rsidRPr="00FF1C3E">
        <w:rPr>
          <w:noProof/>
        </w:rPr>
        <w:t>De dialoog en de samenwerking op het gebied van het gemeenschappelijk buitenlands en veiligheidsbeleid (GBVB) moeten verder worden versterkt, teneinde de convergentie tussen de EU en de Republiek Moldavië op het gebied van buitenlandse en veiligheidskwesties te bevorderen. Deze werkzaamheden hebben onder meer betrekking op de volgende punten:</w:t>
      </w:r>
    </w:p>
    <w:p w14:paraId="172D71EF" w14:textId="67A88DD5" w:rsidR="003855A7" w:rsidRPr="00FF1C3E" w:rsidRDefault="00CF77FF" w:rsidP="00AC1CAF">
      <w:pPr>
        <w:pStyle w:val="Bullet0"/>
        <w:numPr>
          <w:ilvl w:val="0"/>
          <w:numId w:val="28"/>
        </w:numPr>
        <w:ind w:hanging="283"/>
        <w:rPr>
          <w:noProof/>
        </w:rPr>
      </w:pPr>
      <w:r w:rsidRPr="00FF1C3E">
        <w:rPr>
          <w:noProof/>
        </w:rPr>
        <w:t>v</w:t>
      </w:r>
      <w:r w:rsidR="003855A7" w:rsidRPr="00FF1C3E">
        <w:rPr>
          <w:noProof/>
        </w:rPr>
        <w:t xml:space="preserve">erder uitbreiden van de samenwerking en de afstemming op het gebied van het buitenlands en veiligheidsbeleid, met inbegrip van het gemeenschappelijk veiligheids- en defensiebeleid (GVDB), waarbij met name aandacht wordt besteed aan conflictpreventie en crisisbeheersing, regionale stabiliteit, ontwapening, non-proliferatie, wapenbeheersing en controle op de uitvoer, waarbij gebruik wordt gemaakt van bilaterale, internationale en regionale fora;  </w:t>
      </w:r>
    </w:p>
    <w:p w14:paraId="457896D8" w14:textId="77777777" w:rsidR="003855A7" w:rsidRPr="00FF1C3E" w:rsidRDefault="003855A7" w:rsidP="00AC1CAF">
      <w:pPr>
        <w:pStyle w:val="Bullet0"/>
        <w:numPr>
          <w:ilvl w:val="0"/>
          <w:numId w:val="28"/>
        </w:numPr>
        <w:ind w:hanging="283"/>
        <w:rPr>
          <w:noProof/>
          <w:color w:val="000000"/>
        </w:rPr>
      </w:pPr>
      <w:r w:rsidRPr="00FF1C3E">
        <w:rPr>
          <w:noProof/>
        </w:rPr>
        <w:t>voortzetten van het overleg om capaciteiten te ontwikkelen om bij te dragen aan crisisbeheersing op nationaal en internationaal niveau en mogelijk aan internationale vredeshandhavingsoperaties;</w:t>
      </w:r>
    </w:p>
    <w:p w14:paraId="3E3FBF13" w14:textId="77777777" w:rsidR="003855A7" w:rsidRPr="00FF1C3E" w:rsidRDefault="003855A7" w:rsidP="00AC1CAF">
      <w:pPr>
        <w:pStyle w:val="Bullet0"/>
        <w:numPr>
          <w:ilvl w:val="0"/>
          <w:numId w:val="28"/>
        </w:numPr>
        <w:ind w:hanging="283"/>
        <w:rPr>
          <w:b/>
          <w:noProof/>
        </w:rPr>
      </w:pPr>
      <w:r w:rsidRPr="00FF1C3E">
        <w:rPr>
          <w:noProof/>
        </w:rPr>
        <w:t>integreren van gender in de veiligheidssector en bevorderen van de deelname van vrouwen aan vredesonderhandelingen en vredesprocessen;</w:t>
      </w:r>
    </w:p>
    <w:p w14:paraId="2E92173E" w14:textId="77777777" w:rsidR="003855A7" w:rsidRPr="00FF1C3E" w:rsidRDefault="003855A7" w:rsidP="00AC1CAF">
      <w:pPr>
        <w:pStyle w:val="Bullet0"/>
        <w:numPr>
          <w:ilvl w:val="0"/>
          <w:numId w:val="28"/>
        </w:numPr>
        <w:ind w:hanging="283"/>
        <w:rPr>
          <w:noProof/>
        </w:rPr>
      </w:pPr>
      <w:r w:rsidRPr="00FF1C3E">
        <w:rPr>
          <w:noProof/>
        </w:rPr>
        <w:t>verder versterken van de samenwerking tussen de Republiek Moldavië en de EU op het gebied van veiligheid, met name wat betreft de bestrijding van hybride bedreigingen, de versterking van cyberbeveiliging en de bestrijding van desinformatie;</w:t>
      </w:r>
    </w:p>
    <w:p w14:paraId="3592691C" w14:textId="77777777" w:rsidR="003855A7" w:rsidRPr="00FF1C3E" w:rsidRDefault="003855A7" w:rsidP="00AC1CAF">
      <w:pPr>
        <w:pStyle w:val="Bullet0"/>
        <w:numPr>
          <w:ilvl w:val="0"/>
          <w:numId w:val="28"/>
        </w:numPr>
        <w:ind w:hanging="283"/>
        <w:rPr>
          <w:noProof/>
        </w:rPr>
      </w:pPr>
      <w:r w:rsidRPr="00FF1C3E">
        <w:rPr>
          <w:noProof/>
        </w:rPr>
        <w:t>op het gebied van de opbouw van capaciteit tegen hybride bedreigingen, bijstaan van de Republiek Moldavië bij: het ontwikkelen van het operationele protocol voor de bestrijding van hybride bedreigingen, het opzetten van een capaciteit voor vroegtijdige waarschuwing, het vergroten van het bewustzijn over hybride bedreigingen door het aanbieden van opleidingen en het uitvoeren van proefstresstests;</w:t>
      </w:r>
    </w:p>
    <w:p w14:paraId="4CD72ADE" w14:textId="77777777" w:rsidR="003855A7" w:rsidRPr="00FF1C3E" w:rsidRDefault="003855A7" w:rsidP="00AC1CAF">
      <w:pPr>
        <w:pStyle w:val="Bullet0"/>
        <w:numPr>
          <w:ilvl w:val="0"/>
          <w:numId w:val="28"/>
        </w:numPr>
        <w:ind w:hanging="283"/>
        <w:rPr>
          <w:noProof/>
        </w:rPr>
      </w:pPr>
      <w:r w:rsidRPr="00FF1C3E">
        <w:rPr>
          <w:noProof/>
        </w:rPr>
        <w:t>in overeenstemming brengen met de normen van de EU-richtlijnen inzake kritieke infrastructuur; ondersteunen van inspanningen om de energiesector beter bestand te maken tegen cyberaanvallen; ondersteunen van de verbetering van de connectiviteit tussen overheden, met inbegrip van de fysieke infrastructuur die nodig is voor gegevensuitwisseling, en de verbetering van de nationale capaciteit om doeltreffend bescherming te bieden tegen cyberaanvallen;</w:t>
      </w:r>
    </w:p>
    <w:p w14:paraId="75945C5D" w14:textId="77777777" w:rsidR="003855A7" w:rsidRPr="00FF1C3E" w:rsidRDefault="003855A7" w:rsidP="00AC1CAF">
      <w:pPr>
        <w:pStyle w:val="Bullet0"/>
        <w:numPr>
          <w:ilvl w:val="0"/>
          <w:numId w:val="28"/>
        </w:numPr>
        <w:ind w:hanging="283"/>
        <w:rPr>
          <w:noProof/>
        </w:rPr>
      </w:pPr>
      <w:r w:rsidRPr="00FF1C3E">
        <w:rPr>
          <w:noProof/>
        </w:rPr>
        <w:t>verder versterken van de samenwerking bij de ontwikkeling van strategische communicatiecapaciteiten, waaronder het tegengaan van desinformatie, het ondersteunen van de versterking van de vrijheid en de pluriformiteit van de media, en het helpen bij de bescherming van de Moldavische informatie-omgeving tegen desinformatie;</w:t>
      </w:r>
    </w:p>
    <w:p w14:paraId="57A85432" w14:textId="77777777" w:rsidR="003855A7" w:rsidRPr="00FF1C3E" w:rsidRDefault="003855A7" w:rsidP="00AC1CAF">
      <w:pPr>
        <w:pStyle w:val="Bullet0"/>
        <w:numPr>
          <w:ilvl w:val="0"/>
          <w:numId w:val="28"/>
        </w:numPr>
        <w:ind w:hanging="283"/>
        <w:rPr>
          <w:noProof/>
        </w:rPr>
      </w:pPr>
      <w:r w:rsidRPr="00FF1C3E">
        <w:rPr>
          <w:noProof/>
        </w:rPr>
        <w:t xml:space="preserve">bevorderen van de praktische samenwerking op het gebied van conflictpreventie en crisisbeheersing door de deelname van de Republiek Moldavië aan door de EU geleide civiele en militaire crisisbeheersingsoperaties te vergemakkelijken en opleidingsactiviteiten op GVDB-gebied te bieden; </w:t>
      </w:r>
    </w:p>
    <w:p w14:paraId="6FB2D81B" w14:textId="77777777" w:rsidR="003855A7" w:rsidRPr="00FF1C3E" w:rsidRDefault="003855A7" w:rsidP="00AC1CAF">
      <w:pPr>
        <w:pStyle w:val="Bullet0"/>
        <w:numPr>
          <w:ilvl w:val="0"/>
          <w:numId w:val="28"/>
        </w:numPr>
        <w:ind w:hanging="283"/>
        <w:rPr>
          <w:noProof/>
        </w:rPr>
      </w:pPr>
      <w:r w:rsidRPr="00FF1C3E">
        <w:rPr>
          <w:noProof/>
        </w:rPr>
        <w:t>versterken van de samenwerking in multilaterale fora met als doel een op internationale regels gebaseerde orde te handhaven, ook met het oog op een betere afstemming op de standpunten van de EU in multilaterale fora.</w:t>
      </w:r>
    </w:p>
    <w:p w14:paraId="5921847E" w14:textId="77777777" w:rsidR="003855A7" w:rsidRPr="00FF1C3E" w:rsidRDefault="003855A7" w:rsidP="003855A7">
      <w:pPr>
        <w:tabs>
          <w:tab w:val="left" w:pos="0"/>
        </w:tabs>
        <w:spacing w:before="360" w:after="0"/>
        <w:rPr>
          <w:i/>
          <w:noProof/>
        </w:rPr>
      </w:pPr>
      <w:r w:rsidRPr="00FF1C3E">
        <w:rPr>
          <w:i/>
          <w:noProof/>
        </w:rPr>
        <w:t>Terrorisme, non-proliferatie van massavernietigingswapens en illegale wapenoverdrachten</w:t>
      </w:r>
    </w:p>
    <w:p w14:paraId="75E4C4D0" w14:textId="77777777" w:rsidR="003855A7" w:rsidRPr="00FF1C3E" w:rsidRDefault="003855A7" w:rsidP="00AC1CAF">
      <w:pPr>
        <w:pStyle w:val="Bullet0"/>
        <w:numPr>
          <w:ilvl w:val="0"/>
          <w:numId w:val="29"/>
        </w:numPr>
        <w:ind w:hanging="283"/>
        <w:rPr>
          <w:noProof/>
        </w:rPr>
      </w:pPr>
      <w:r w:rsidRPr="00FF1C3E">
        <w:rPr>
          <w:noProof/>
        </w:rPr>
        <w:t>Bevorderen van het uitwisselen van informatie over terroristische organisaties en groeperingen, hun activiteiten en hun ondersteunende netwerken, overeenkomstig het internationale recht en de wetgeving die is vastgesteld door de partijen, onder meer via de overeenkomst inzake operationele en strategische samenwerking tussen de Republiek Moldavië en Europol, alsmede via de samenwerkingsovereenkomst tussen de Republiek Moldavië en Eurojust.</w:t>
      </w:r>
    </w:p>
    <w:p w14:paraId="645F671B" w14:textId="77777777" w:rsidR="003855A7" w:rsidRPr="00FF1C3E" w:rsidRDefault="003855A7" w:rsidP="00AC1CAF">
      <w:pPr>
        <w:pStyle w:val="Bullet0"/>
        <w:numPr>
          <w:ilvl w:val="0"/>
          <w:numId w:val="29"/>
        </w:numPr>
        <w:ind w:hanging="283"/>
        <w:rPr>
          <w:noProof/>
        </w:rPr>
      </w:pPr>
      <w:r w:rsidRPr="00FF1C3E">
        <w:rPr>
          <w:noProof/>
        </w:rPr>
        <w:t>Voortgaan met de uitvoering van resolutie 2396 van de Veiligheidsraad van de Verenigde Naties, en met name uitwisselen van informatie over verdachten van terrorisme, teneinde buitenlandse terroristische strijders te identificeren, op te sporen en te vervolgen.</w:t>
      </w:r>
    </w:p>
    <w:p w14:paraId="3B036747" w14:textId="77777777" w:rsidR="003855A7" w:rsidRPr="00FF1C3E" w:rsidRDefault="003855A7" w:rsidP="00AC1CAF">
      <w:pPr>
        <w:pStyle w:val="Bullet0"/>
        <w:numPr>
          <w:ilvl w:val="0"/>
          <w:numId w:val="29"/>
        </w:numPr>
        <w:ind w:hanging="283"/>
        <w:rPr>
          <w:noProof/>
        </w:rPr>
      </w:pPr>
      <w:r w:rsidRPr="00FF1C3E">
        <w:rPr>
          <w:noProof/>
        </w:rPr>
        <w:t>Versterken van de samenwerking op het gebied van CBRN-gerelateerde kwesties (CBRN – chemisch, biologisch, radiologisch en nucleair) vanuit het oogpunt van terrorismebestrijding, hybride bedreigingen en rampenrisicovermindering, na de goedkeuring van de nationale strategie voor de non-proliferatie van massavernietigingswapens en beperking van CBRN-risico’s en door steun te verlenen voor de versterking van de nationale capaciteit voor het voorkomen en bestrijden van de handel in CBRN-materiaal, onder meer door ervoor te zorgen dat nationale deskundigen deelnemen aan opleidingen en uitwisselingen.</w:t>
      </w:r>
    </w:p>
    <w:p w14:paraId="0C9DDAEC" w14:textId="77777777" w:rsidR="003855A7" w:rsidRPr="00FF1C3E" w:rsidRDefault="003855A7" w:rsidP="00AC1CAF">
      <w:pPr>
        <w:pStyle w:val="Bullet0"/>
        <w:numPr>
          <w:ilvl w:val="0"/>
          <w:numId w:val="29"/>
        </w:numPr>
        <w:ind w:hanging="283"/>
        <w:rPr>
          <w:noProof/>
        </w:rPr>
      </w:pPr>
      <w:r w:rsidRPr="00FF1C3E">
        <w:rPr>
          <w:noProof/>
        </w:rPr>
        <w:t>Ondersteunen door de EU van samenwerking op maat bij de bestrijding van de handel in vuurwapens.</w:t>
      </w:r>
    </w:p>
    <w:p w14:paraId="1EE45831" w14:textId="77777777" w:rsidR="003855A7" w:rsidRPr="00FF1C3E" w:rsidRDefault="003855A7" w:rsidP="00AC1CAF">
      <w:pPr>
        <w:pStyle w:val="Bullet0"/>
        <w:numPr>
          <w:ilvl w:val="0"/>
          <w:numId w:val="29"/>
        </w:numPr>
        <w:ind w:hanging="283"/>
        <w:rPr>
          <w:noProof/>
        </w:rPr>
      </w:pPr>
      <w:r w:rsidRPr="00FF1C3E">
        <w:rPr>
          <w:noProof/>
        </w:rPr>
        <w:t>Volgen van de uitvoering van de aanbevelingen van Moneyval inzake non-proliferatie.</w:t>
      </w:r>
    </w:p>
    <w:p w14:paraId="39181C14" w14:textId="77777777" w:rsidR="003855A7" w:rsidRPr="00FF1C3E" w:rsidRDefault="003855A7" w:rsidP="00AC1CAF">
      <w:pPr>
        <w:pStyle w:val="Bullet0"/>
        <w:numPr>
          <w:ilvl w:val="0"/>
          <w:numId w:val="29"/>
        </w:numPr>
        <w:ind w:hanging="283"/>
        <w:rPr>
          <w:noProof/>
        </w:rPr>
      </w:pPr>
      <w:r w:rsidRPr="00FF1C3E">
        <w:rPr>
          <w:noProof/>
        </w:rPr>
        <w:t>Versterken van de nationale wetgevende, strategische en operationele capaciteit om de illegale vervaardiging, overdracht en verplaatsing van handvuurwapens en lichte wapens (SALW) te voorkomen, op te sporen en tegen te gaan.</w:t>
      </w:r>
    </w:p>
    <w:p w14:paraId="6CFA01A8" w14:textId="77777777" w:rsidR="003855A7" w:rsidRPr="00FF1C3E" w:rsidRDefault="003855A7" w:rsidP="003855A7">
      <w:pPr>
        <w:tabs>
          <w:tab w:val="left" w:pos="0"/>
        </w:tabs>
        <w:spacing w:before="360" w:after="0"/>
        <w:rPr>
          <w:i/>
          <w:noProof/>
        </w:rPr>
      </w:pPr>
      <w:r w:rsidRPr="00FF1C3E">
        <w:rPr>
          <w:i/>
          <w:noProof/>
        </w:rPr>
        <w:t>Het Transnistrische conflict</w:t>
      </w:r>
    </w:p>
    <w:p w14:paraId="4E1E746E" w14:textId="77777777" w:rsidR="003855A7" w:rsidRPr="00FF1C3E" w:rsidRDefault="003855A7" w:rsidP="003855A7">
      <w:pPr>
        <w:spacing w:line="276" w:lineRule="auto"/>
        <w:rPr>
          <w:rFonts w:eastAsia="Times New Roman"/>
          <w:noProof/>
          <w:szCs w:val="24"/>
        </w:rPr>
      </w:pPr>
      <w:r w:rsidRPr="00FF1C3E">
        <w:rPr>
          <w:noProof/>
        </w:rPr>
        <w:t>De partijen werken samen aan de vreedzame, alomvattende en duurzame oplossing van het Transnistrische conflict, op basis van de soevereiniteit en de territoriale integriteit van de Republiek Moldavië binnen haar internationaal erkende grenzen. De samenwerking wordt gericht op de volgende aspecten:</w:t>
      </w:r>
    </w:p>
    <w:p w14:paraId="0165771B" w14:textId="77777777" w:rsidR="003855A7" w:rsidRPr="00FF1C3E" w:rsidRDefault="003855A7" w:rsidP="00AC1CAF">
      <w:pPr>
        <w:pStyle w:val="Bullet0"/>
        <w:numPr>
          <w:ilvl w:val="0"/>
          <w:numId w:val="30"/>
        </w:numPr>
        <w:ind w:hanging="283"/>
        <w:rPr>
          <w:noProof/>
        </w:rPr>
      </w:pPr>
      <w:r w:rsidRPr="00FF1C3E">
        <w:rPr>
          <w:noProof/>
        </w:rPr>
        <w:t>het Transnistrische conflict centraal blijven stellen op de agenda van de politieke dialoog en in de samenwerking tussen de partijen, in afwachting van de oplossing ervan en onverminderd de vastgestelde onderhandelingsvorm;</w:t>
      </w:r>
    </w:p>
    <w:p w14:paraId="2C9703CD" w14:textId="77777777" w:rsidR="003855A7" w:rsidRPr="00FF1C3E" w:rsidRDefault="003855A7" w:rsidP="00AC1CAF">
      <w:pPr>
        <w:pStyle w:val="Bullet0"/>
        <w:numPr>
          <w:ilvl w:val="0"/>
          <w:numId w:val="30"/>
        </w:numPr>
        <w:ind w:hanging="283"/>
        <w:rPr>
          <w:noProof/>
        </w:rPr>
      </w:pPr>
      <w:r w:rsidRPr="00FF1C3E">
        <w:rPr>
          <w:noProof/>
        </w:rPr>
        <w:t xml:space="preserve">ontwikkelen van een uniforme, alomvattende en coherente aanpak tussen instanties om een re-integratiebeleid te ontwikkelen en uit te voeren;  </w:t>
      </w:r>
    </w:p>
    <w:p w14:paraId="3879A3C5" w14:textId="77777777" w:rsidR="003855A7" w:rsidRPr="00FF1C3E" w:rsidRDefault="003855A7" w:rsidP="00AC1CAF">
      <w:pPr>
        <w:pStyle w:val="Bullet0"/>
        <w:numPr>
          <w:ilvl w:val="0"/>
          <w:numId w:val="30"/>
        </w:numPr>
        <w:ind w:hanging="283"/>
        <w:rPr>
          <w:noProof/>
        </w:rPr>
      </w:pPr>
      <w:r w:rsidRPr="00FF1C3E">
        <w:rPr>
          <w:noProof/>
        </w:rPr>
        <w:t>versterken van de uitvoering van activiteiten in het kader van de vertrouwenwekkende maatregelen;</w:t>
      </w:r>
    </w:p>
    <w:p w14:paraId="2D8C88CF" w14:textId="77777777" w:rsidR="003855A7" w:rsidRPr="00FF1C3E" w:rsidRDefault="003855A7" w:rsidP="00AC1CAF">
      <w:pPr>
        <w:pStyle w:val="Bullet0"/>
        <w:numPr>
          <w:ilvl w:val="0"/>
          <w:numId w:val="30"/>
        </w:numPr>
        <w:ind w:hanging="283"/>
        <w:rPr>
          <w:noProof/>
        </w:rPr>
      </w:pPr>
      <w:r w:rsidRPr="00FF1C3E">
        <w:rPr>
          <w:noProof/>
        </w:rPr>
        <w:t xml:space="preserve">voortzetten van constructieve gesprekken over de situatie in het centrale (Transnistrische) deel van het grensgebied Republiek Moldavië-Oekraïne met alle betrokken gesprekspartners en, in voorkomend geval, in samenwerking met de missie van de EU voor bijstandsverlening inzake grensbeheer (EU BAM). </w:t>
      </w:r>
    </w:p>
    <w:p w14:paraId="2D282F32" w14:textId="77777777" w:rsidR="00AC4A03" w:rsidRPr="00FF1C3E" w:rsidRDefault="00AC4A03" w:rsidP="00AC4A03">
      <w:pPr>
        <w:rPr>
          <w:noProof/>
        </w:rPr>
      </w:pPr>
    </w:p>
    <w:p w14:paraId="03692CE4" w14:textId="790E00ED" w:rsidR="003855A7" w:rsidRPr="00FF1C3E" w:rsidRDefault="00AC4A03" w:rsidP="00AC4A03">
      <w:pPr>
        <w:rPr>
          <w:b/>
          <w:i/>
          <w:noProof/>
          <w:u w:val="single"/>
        </w:rPr>
      </w:pPr>
      <w:r w:rsidRPr="00FF1C3E">
        <w:rPr>
          <w:b/>
          <w:i/>
          <w:noProof/>
          <w:u w:val="single"/>
        </w:rPr>
        <w:t>III. Vrijheid, veiligheid en rechtvaardigheid</w:t>
      </w:r>
    </w:p>
    <w:p w14:paraId="74EBE970" w14:textId="77777777" w:rsidR="003855A7" w:rsidRPr="00FF1C3E" w:rsidRDefault="003855A7" w:rsidP="003855A7">
      <w:pPr>
        <w:widowControl w:val="0"/>
        <w:spacing w:after="0"/>
        <w:rPr>
          <w:rFonts w:eastAsia="Times New Roman"/>
          <w:noProof/>
          <w:szCs w:val="24"/>
        </w:rPr>
      </w:pPr>
      <w:r w:rsidRPr="00FF1C3E">
        <w:rPr>
          <w:noProof/>
        </w:rPr>
        <w:t>De partijen werken samen op de volgende terreinen:</w:t>
      </w:r>
    </w:p>
    <w:p w14:paraId="196759E3" w14:textId="77777777" w:rsidR="003855A7" w:rsidRPr="00FF1C3E" w:rsidRDefault="003855A7" w:rsidP="003855A7">
      <w:pPr>
        <w:tabs>
          <w:tab w:val="left" w:pos="0"/>
        </w:tabs>
        <w:spacing w:before="360" w:after="0"/>
        <w:rPr>
          <w:i/>
          <w:noProof/>
        </w:rPr>
      </w:pPr>
      <w:r w:rsidRPr="00FF1C3E">
        <w:rPr>
          <w:i/>
          <w:noProof/>
        </w:rPr>
        <w:t>Onafhankelijkheid van de rechterlijke macht</w:t>
      </w:r>
    </w:p>
    <w:p w14:paraId="2CF01808" w14:textId="77777777" w:rsidR="003855A7" w:rsidRPr="00FF1C3E" w:rsidRDefault="003855A7" w:rsidP="00AC1CAF">
      <w:pPr>
        <w:pStyle w:val="Bullet0"/>
        <w:numPr>
          <w:ilvl w:val="0"/>
          <w:numId w:val="31"/>
        </w:numPr>
        <w:ind w:hanging="283"/>
        <w:rPr>
          <w:noProof/>
        </w:rPr>
      </w:pPr>
      <w:r w:rsidRPr="00FF1C3E">
        <w:rPr>
          <w:noProof/>
        </w:rPr>
        <w:t>Verder ontwikkelen, aannemen en uitvoeren van de wetgeving op het gebied van justitiële en rechtshandhavingsinstanties om de onafhankelijkheid, verantwoordingsplicht, onpartijdigheid, integriteit, professionaliteit en doelmatigheid te waarborgen van de rechterlijke macht, met inbegrip van het openbaar ministerie, die gevrijwaard zou moeten zijn van politieke of enige andere vorm van ongeoorloofde inmenging, en om te zorgen voor nultolerantie ten aanzien van corruptie en alle soorten corrupt gedrag te voorkomen.</w:t>
      </w:r>
    </w:p>
    <w:p w14:paraId="11D6B816" w14:textId="77777777" w:rsidR="003855A7" w:rsidRPr="00FF1C3E" w:rsidRDefault="003855A7" w:rsidP="00AC1CAF">
      <w:pPr>
        <w:pStyle w:val="Bullet0"/>
        <w:numPr>
          <w:ilvl w:val="0"/>
          <w:numId w:val="31"/>
        </w:numPr>
        <w:ind w:hanging="283"/>
        <w:rPr>
          <w:noProof/>
        </w:rPr>
      </w:pPr>
      <w:r w:rsidRPr="00FF1C3E">
        <w:rPr>
          <w:noProof/>
        </w:rPr>
        <w:t>Zorgen voor de uitvoering van de strategie ter waarborging van de onafhankelijkheid en integriteit in de justitiële sector voor 2021-2024 en het bijbehorende actieplan.</w:t>
      </w:r>
    </w:p>
    <w:p w14:paraId="7560DAE9" w14:textId="77777777" w:rsidR="003855A7" w:rsidRPr="00FF1C3E" w:rsidRDefault="003855A7" w:rsidP="00AC1CAF">
      <w:pPr>
        <w:pStyle w:val="Bullet0"/>
        <w:numPr>
          <w:ilvl w:val="0"/>
          <w:numId w:val="31"/>
        </w:numPr>
        <w:ind w:hanging="283"/>
        <w:rPr>
          <w:noProof/>
        </w:rPr>
      </w:pPr>
      <w:r w:rsidRPr="00FF1C3E">
        <w:rPr>
          <w:noProof/>
        </w:rPr>
        <w:t>Waarborgen van de onafhankelijkheid en verantwoordingsplicht van de autonome organen voor de rechterlijke macht en het openbaar ministerie, met name door het wetgevingskader voor de samenstelling van de hoge raad van aanklagers en de hoge raad voor de magistratuur aan te passen aan de Europese normen, onder meer door middel van grondwetswijzigingen.</w:t>
      </w:r>
    </w:p>
    <w:p w14:paraId="1FBB2252" w14:textId="77777777" w:rsidR="003855A7" w:rsidRPr="00FF1C3E" w:rsidRDefault="003855A7" w:rsidP="00AC1CAF">
      <w:pPr>
        <w:pStyle w:val="Bullet0"/>
        <w:numPr>
          <w:ilvl w:val="0"/>
          <w:numId w:val="31"/>
        </w:numPr>
        <w:ind w:hanging="283"/>
        <w:rPr>
          <w:noProof/>
        </w:rPr>
      </w:pPr>
      <w:r w:rsidRPr="00FF1C3E">
        <w:rPr>
          <w:noProof/>
        </w:rPr>
        <w:t>Verbeteren van de correcte toepassing van het concept van onafhankelijkheid van de rechterlijke macht en het begrip autonomie van het openbaar ministerie, teneinde de institutionele en individuele verantwoordingsplicht te handhaven, maar ongepaste invloed van buitenaf te voorkomen, met name in individuele gevallen.</w:t>
      </w:r>
    </w:p>
    <w:p w14:paraId="69205910" w14:textId="77777777" w:rsidR="003855A7" w:rsidRPr="00FF1C3E" w:rsidRDefault="003855A7" w:rsidP="00AC1CAF">
      <w:pPr>
        <w:pStyle w:val="Bullet0"/>
        <w:numPr>
          <w:ilvl w:val="0"/>
          <w:numId w:val="31"/>
        </w:numPr>
        <w:ind w:hanging="283"/>
        <w:rPr>
          <w:noProof/>
        </w:rPr>
      </w:pPr>
      <w:r w:rsidRPr="00FF1C3E">
        <w:rPr>
          <w:noProof/>
        </w:rPr>
        <w:t xml:space="preserve">Zorgen voor functionele onafhankelijkheid van de twee gespecialiseerde openbare ministeries – voor de bestrijding van corruptie op hoog niveau en voor de bestrijding van de georganiseerde misdaad. </w:t>
      </w:r>
    </w:p>
    <w:p w14:paraId="19059A46" w14:textId="77777777" w:rsidR="003855A7" w:rsidRPr="00FF1C3E" w:rsidRDefault="003855A7" w:rsidP="00AC1CAF">
      <w:pPr>
        <w:pStyle w:val="Bullet0"/>
        <w:numPr>
          <w:ilvl w:val="0"/>
          <w:numId w:val="31"/>
        </w:numPr>
        <w:ind w:hanging="283"/>
        <w:rPr>
          <w:noProof/>
        </w:rPr>
      </w:pPr>
      <w:r w:rsidRPr="00FF1C3E">
        <w:rPr>
          <w:noProof/>
        </w:rPr>
        <w:t xml:space="preserve">Uitvoeren van regels betreffende onschendbaarheid van rechters en openbare aanklagers bij de uitoefening van het ambt, in overeenstemming met Europese normen en beste internationale praktijken. </w:t>
      </w:r>
    </w:p>
    <w:p w14:paraId="06FC32A5" w14:textId="77777777" w:rsidR="003855A7" w:rsidRPr="00FF1C3E" w:rsidRDefault="003855A7" w:rsidP="00AC1CAF">
      <w:pPr>
        <w:pStyle w:val="Bullet0"/>
        <w:numPr>
          <w:ilvl w:val="0"/>
          <w:numId w:val="31"/>
        </w:numPr>
        <w:ind w:hanging="283"/>
        <w:rPr>
          <w:noProof/>
        </w:rPr>
      </w:pPr>
      <w:r w:rsidRPr="00FF1C3E">
        <w:rPr>
          <w:noProof/>
        </w:rPr>
        <w:t>Vergroten van de integriteit van rechters en openbare aanklagers, onder meer door het versterken van bestaande mechanismen zoals controles van vermogens- en persoonlijke belangenverklaringen en objectieve, efficiënte en transparante tuchtprocedures.</w:t>
      </w:r>
    </w:p>
    <w:p w14:paraId="142F94CC" w14:textId="77777777" w:rsidR="003855A7" w:rsidRPr="00FF1C3E" w:rsidRDefault="003855A7" w:rsidP="00AC1CAF">
      <w:pPr>
        <w:pStyle w:val="Bullet0"/>
        <w:numPr>
          <w:ilvl w:val="0"/>
          <w:numId w:val="31"/>
        </w:numPr>
        <w:ind w:hanging="283"/>
        <w:rPr>
          <w:noProof/>
        </w:rPr>
      </w:pPr>
      <w:r w:rsidRPr="00FF1C3E">
        <w:rPr>
          <w:noProof/>
        </w:rPr>
        <w:t xml:space="preserve">Ervoor zorgen dat de benoeming van kandidaten voor de ambten van justitie en het openbaar ministerie en de bevordering van rechters en openbare aanklagers worden uitgevoerd door een onafhankelijke autoriteit, door middel van een transparante en louter op verdiensten gebaseerde procedure op basis van objectieve, bij wet vastgestelde criteria en in overeenstemming met Europese normen. </w:t>
      </w:r>
    </w:p>
    <w:p w14:paraId="006C1A13" w14:textId="77777777" w:rsidR="003855A7" w:rsidRPr="00FF1C3E" w:rsidRDefault="003855A7" w:rsidP="00AC1CAF">
      <w:pPr>
        <w:pStyle w:val="Bullet0"/>
        <w:numPr>
          <w:ilvl w:val="0"/>
          <w:numId w:val="31"/>
        </w:numPr>
        <w:ind w:hanging="283"/>
        <w:rPr>
          <w:noProof/>
        </w:rPr>
      </w:pPr>
      <w:r w:rsidRPr="00FF1C3E">
        <w:rPr>
          <w:noProof/>
        </w:rPr>
        <w:t>Verder verbeteren van de systemen voor evaluatie van de prestaties van rechters en openbare aanklagers overeenkomstig Europese normen en beste praktijken.</w:t>
      </w:r>
    </w:p>
    <w:p w14:paraId="4E30F4B6" w14:textId="77777777" w:rsidR="003855A7" w:rsidRPr="00FF1C3E" w:rsidRDefault="003855A7" w:rsidP="00AC1CAF">
      <w:pPr>
        <w:pStyle w:val="Bullet0"/>
        <w:numPr>
          <w:ilvl w:val="0"/>
          <w:numId w:val="31"/>
        </w:numPr>
        <w:ind w:hanging="283"/>
        <w:rPr>
          <w:noProof/>
        </w:rPr>
      </w:pPr>
      <w:r w:rsidRPr="00FF1C3E">
        <w:rPr>
          <w:noProof/>
        </w:rPr>
        <w:t>Verder ontwikkelen van justitiële opleiding als multidisciplinaire en praktische opleiding, in aanvulling op juridisch onderwijs, die hoofdzakelijk bedoeld is voor de overdracht van professionele technieken en waarden, waarbij de nadruk ligt op de rechterlijke macht.</w:t>
      </w:r>
    </w:p>
    <w:p w14:paraId="4728D198" w14:textId="77777777" w:rsidR="003855A7" w:rsidRPr="00FF1C3E" w:rsidRDefault="003855A7" w:rsidP="00AC1CAF">
      <w:pPr>
        <w:pStyle w:val="Bullet0"/>
        <w:numPr>
          <w:ilvl w:val="0"/>
          <w:numId w:val="31"/>
        </w:numPr>
        <w:ind w:hanging="283"/>
        <w:rPr>
          <w:noProof/>
        </w:rPr>
      </w:pPr>
      <w:r w:rsidRPr="00FF1C3E">
        <w:rPr>
          <w:noProof/>
        </w:rPr>
        <w:t>Voltooien van het proces van gerechtelijke territoriale reorganisatie en evaluatie van de haalbaarheid van de optimalisering van de diensten van openbare aanklagers.</w:t>
      </w:r>
    </w:p>
    <w:p w14:paraId="03FD939B"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Preventie en bestrijding van fraude en corruptie; waarborgen van de ontneming van vermogensbestanddelen</w:t>
      </w:r>
    </w:p>
    <w:p w14:paraId="32145D8D" w14:textId="77777777" w:rsidR="003855A7" w:rsidRPr="00FF1C3E" w:rsidRDefault="003855A7" w:rsidP="00AC1CAF">
      <w:pPr>
        <w:pStyle w:val="Bullet0"/>
        <w:numPr>
          <w:ilvl w:val="0"/>
          <w:numId w:val="32"/>
        </w:numPr>
        <w:ind w:hanging="283"/>
        <w:rPr>
          <w:noProof/>
        </w:rPr>
      </w:pPr>
      <w:r w:rsidRPr="00FF1C3E">
        <w:rPr>
          <w:noProof/>
        </w:rPr>
        <w:t>Versterken van de financiële, operationele en personele capaciteit van de corruptiebestrijdingsinstanties, waarborgen van de toegang tot databanken en verbeteren van de coördinatie en samenwerking tussen de agentschappen, met een duidelijke afbakening van bevoegdheden en taken.</w:t>
      </w:r>
    </w:p>
    <w:p w14:paraId="5255C58F" w14:textId="77777777" w:rsidR="003855A7" w:rsidRPr="00FF1C3E" w:rsidRDefault="003855A7" w:rsidP="00AC1CAF">
      <w:pPr>
        <w:pStyle w:val="Bullet0"/>
        <w:numPr>
          <w:ilvl w:val="0"/>
          <w:numId w:val="32"/>
        </w:numPr>
        <w:ind w:hanging="283"/>
        <w:rPr>
          <w:noProof/>
        </w:rPr>
      </w:pPr>
      <w:r w:rsidRPr="00FF1C3E">
        <w:rPr>
          <w:noProof/>
        </w:rPr>
        <w:t xml:space="preserve">Stroomlijnen met het oog op het waarborgen van een zo doeltreffend mogelijke verdeling van de bevoegdheden van de corruptiebestrijdingsinstanties, met de nadruk op het verbeteren van de capaciteit om corruptie op hoog niveau aan te pakken. </w:t>
      </w:r>
    </w:p>
    <w:p w14:paraId="3F88E8E6" w14:textId="77777777" w:rsidR="003855A7" w:rsidRPr="00FF1C3E" w:rsidRDefault="003855A7" w:rsidP="00AC1CAF">
      <w:pPr>
        <w:pStyle w:val="Bullet0"/>
        <w:numPr>
          <w:ilvl w:val="0"/>
          <w:numId w:val="32"/>
        </w:numPr>
        <w:ind w:hanging="283"/>
        <w:rPr>
          <w:noProof/>
        </w:rPr>
      </w:pPr>
      <w:r w:rsidRPr="00FF1C3E">
        <w:rPr>
          <w:noProof/>
        </w:rPr>
        <w:t xml:space="preserve">Regelgeving opstellen voor een verplicht mechanisme voor samenwerking tussen corruptiebestrijdingsinstanties. </w:t>
      </w:r>
    </w:p>
    <w:p w14:paraId="025B9341" w14:textId="77777777" w:rsidR="003855A7" w:rsidRPr="00FF1C3E" w:rsidRDefault="003855A7" w:rsidP="00AC1CAF">
      <w:pPr>
        <w:pStyle w:val="Bullet0"/>
        <w:numPr>
          <w:ilvl w:val="0"/>
          <w:numId w:val="32"/>
        </w:numPr>
        <w:ind w:hanging="283"/>
        <w:rPr>
          <w:noProof/>
        </w:rPr>
      </w:pPr>
      <w:r w:rsidRPr="00FF1C3E">
        <w:rPr>
          <w:noProof/>
        </w:rPr>
        <w:t>Versterken van de internationale juridische en operationele samenwerking door middel van gezamenlijke onderzoeksteams, wederzijdse rechtshulp en taskforcemechanismen om te zorgen voor efficiënte en doeltreffende transnationale (grensoverschrijdende) onderzoeken naar corruptie op hoog niveau.</w:t>
      </w:r>
    </w:p>
    <w:p w14:paraId="0E2CD3F9" w14:textId="77777777" w:rsidR="003855A7" w:rsidRPr="00FF1C3E" w:rsidRDefault="003855A7" w:rsidP="00AC1CAF">
      <w:pPr>
        <w:pStyle w:val="Bullet0"/>
        <w:numPr>
          <w:ilvl w:val="0"/>
          <w:numId w:val="32"/>
        </w:numPr>
        <w:ind w:hanging="283"/>
        <w:rPr>
          <w:noProof/>
        </w:rPr>
      </w:pPr>
      <w:r w:rsidRPr="00FF1C3E">
        <w:rPr>
          <w:noProof/>
        </w:rPr>
        <w:t>Versterken van het systeem voor elektronische verklaringen, met inbegrip van de component e-leren, en andere operationele en analytische capaciteiten van de nationale instantie voor de integriteitsbewaking, onder meer door de organisatiestructuur van deze instantie binnen het bestaande personeelsbestand te herconfigureren, en verbeteren van het rechtskader voor vermogensverklaringen en verklaringen inzake belangenconflicten en de controle ervan, met inbegrip van het verlenen van de nodige officiële toestemmingen en het erkennen van elektronische gegevens die tijdens integriteitscontroles door rechtspersonen worden aangevraagd of ingediend.</w:t>
      </w:r>
    </w:p>
    <w:p w14:paraId="68CCA324" w14:textId="77777777" w:rsidR="003855A7" w:rsidRPr="00FF1C3E" w:rsidRDefault="003855A7" w:rsidP="00AC1CAF">
      <w:pPr>
        <w:pStyle w:val="Bullet0"/>
        <w:numPr>
          <w:ilvl w:val="0"/>
          <w:numId w:val="32"/>
        </w:numPr>
        <w:ind w:hanging="283"/>
        <w:rPr>
          <w:noProof/>
        </w:rPr>
      </w:pPr>
      <w:r w:rsidRPr="00FF1C3E">
        <w:rPr>
          <w:noProof/>
        </w:rPr>
        <w:t>Zorgen voor de doeltreffende uitvoering, monitoring en actualisering van de strategie inzake de ontneming van vermogensbestanddelen bij bankfraude.</w:t>
      </w:r>
    </w:p>
    <w:p w14:paraId="0D9B88F4" w14:textId="77777777" w:rsidR="003855A7" w:rsidRPr="00FF1C3E" w:rsidRDefault="003855A7" w:rsidP="00AC1CAF">
      <w:pPr>
        <w:pStyle w:val="Bullet0"/>
        <w:numPr>
          <w:ilvl w:val="0"/>
          <w:numId w:val="32"/>
        </w:numPr>
        <w:ind w:hanging="283"/>
        <w:rPr>
          <w:noProof/>
        </w:rPr>
      </w:pPr>
      <w:r w:rsidRPr="00FF1C3E">
        <w:rPr>
          <w:noProof/>
        </w:rPr>
        <w:t>Versterken van de capaciteit en vermogens van het agentschap voor de ontneming van criminele vermogensbestanddelen en verbeteren van de prestaties op het gebied van inbeslagneming, confiscatie, beheer en definitieve ontneming van criminele vermogensbestanddelen.</w:t>
      </w:r>
    </w:p>
    <w:p w14:paraId="22E1A932" w14:textId="77777777" w:rsidR="003855A7" w:rsidRPr="00FF1C3E" w:rsidRDefault="003855A7" w:rsidP="00AC1CAF">
      <w:pPr>
        <w:pStyle w:val="Bullet0"/>
        <w:numPr>
          <w:ilvl w:val="0"/>
          <w:numId w:val="32"/>
        </w:numPr>
        <w:ind w:hanging="283"/>
        <w:rPr>
          <w:noProof/>
        </w:rPr>
      </w:pPr>
      <w:r w:rsidRPr="00FF1C3E">
        <w:rPr>
          <w:noProof/>
        </w:rPr>
        <w:t>Bevorderen van beste praktijken bij de toepassing van ruimere confiscatie bij corruptie op hoog niveau, zware en georganiseerde misdaad en witwaszaken.</w:t>
      </w:r>
    </w:p>
    <w:p w14:paraId="4624B19D" w14:textId="77777777" w:rsidR="003855A7" w:rsidRPr="00FF1C3E" w:rsidRDefault="003855A7" w:rsidP="00AC1CAF">
      <w:pPr>
        <w:pStyle w:val="Bullet0"/>
        <w:numPr>
          <w:ilvl w:val="0"/>
          <w:numId w:val="32"/>
        </w:numPr>
        <w:ind w:hanging="283"/>
        <w:rPr>
          <w:noProof/>
        </w:rPr>
      </w:pPr>
      <w:r w:rsidRPr="00FF1C3E">
        <w:rPr>
          <w:noProof/>
        </w:rPr>
        <w:t xml:space="preserve">Zorgen voor de goedkeuring en uitvoering van de nieuwe nationale anticorruptiestrategie als essentieel instrument voor het voorkomen en bestrijden van corruptie op alle niveaus. </w:t>
      </w:r>
    </w:p>
    <w:p w14:paraId="08BEB4B2" w14:textId="77777777" w:rsidR="003855A7" w:rsidRPr="00FF1C3E" w:rsidRDefault="003855A7" w:rsidP="00AC1CAF">
      <w:pPr>
        <w:pStyle w:val="Bullet0"/>
        <w:numPr>
          <w:ilvl w:val="0"/>
          <w:numId w:val="32"/>
        </w:numPr>
        <w:ind w:hanging="283"/>
        <w:rPr>
          <w:noProof/>
        </w:rPr>
      </w:pPr>
      <w:r w:rsidRPr="00FF1C3E">
        <w:rPr>
          <w:noProof/>
        </w:rPr>
        <w:t>Blijven creëren van bewustzijn over de verschillende typen en verschijningsvormen van corruptie en hoe deze te voorkomen.</w:t>
      </w:r>
    </w:p>
    <w:p w14:paraId="1726D048" w14:textId="77777777" w:rsidR="003855A7" w:rsidRPr="00FF1C3E" w:rsidRDefault="003855A7" w:rsidP="00AC1CAF">
      <w:pPr>
        <w:pStyle w:val="Bullet0"/>
        <w:numPr>
          <w:ilvl w:val="0"/>
          <w:numId w:val="32"/>
        </w:numPr>
        <w:ind w:hanging="283"/>
        <w:rPr>
          <w:noProof/>
        </w:rPr>
      </w:pPr>
      <w:r w:rsidRPr="00FF1C3E">
        <w:rPr>
          <w:noProof/>
        </w:rPr>
        <w:t>Verbeteren van het systeem voor het onderzoek naar en de vervolging van hooggeplaatste ambtenaren in corruptiezaken, waardoor wordt gezorgd voor transparante en onpartijdige gerechtelijke procedures, door onder meer voorwaarden te scheppen voor een open mediaverslaggeving; in dit verband dient het bureau voor corruptiebestrijding van het openbaar ministerie zich toe te spitsen op corruptie door hooggeplaatste personen en dienen de capaciteiten voor de bestrijding van corruptie door hooggeplaatste personen versterkt te worden.</w:t>
      </w:r>
    </w:p>
    <w:p w14:paraId="471115CD" w14:textId="77777777" w:rsidR="003855A7" w:rsidRPr="00FF1C3E" w:rsidRDefault="003855A7" w:rsidP="00AC1CAF">
      <w:pPr>
        <w:pStyle w:val="Bullet0"/>
        <w:numPr>
          <w:ilvl w:val="0"/>
          <w:numId w:val="32"/>
        </w:numPr>
        <w:ind w:hanging="283"/>
        <w:rPr>
          <w:noProof/>
        </w:rPr>
      </w:pPr>
      <w:r w:rsidRPr="00FF1C3E">
        <w:rPr>
          <w:noProof/>
        </w:rPr>
        <w:t>Het bureau voor corruptiebestrijding moet de internationale juridische samenwerking met zijn buitenlandse tegenhangers bij het onderzoek naar corruptie- en witwaszaken op hoog niveau bevorderen, met name gezien het transnationale karakter van de misdrijven.</w:t>
      </w:r>
    </w:p>
    <w:p w14:paraId="757E236D" w14:textId="77777777" w:rsidR="003855A7" w:rsidRPr="00FF1C3E" w:rsidRDefault="003855A7" w:rsidP="00AC1CAF">
      <w:pPr>
        <w:pStyle w:val="Bullet0"/>
        <w:numPr>
          <w:ilvl w:val="0"/>
          <w:numId w:val="32"/>
        </w:numPr>
        <w:ind w:hanging="283"/>
        <w:rPr>
          <w:noProof/>
        </w:rPr>
      </w:pPr>
      <w:r w:rsidRPr="00FF1C3E">
        <w:rPr>
          <w:noProof/>
        </w:rPr>
        <w:t>Behalen van meer tastbare resultaten op het gebied van corruptiebestrijding door middel van onderbouwde onderzoeken, alsook meer afschrikkende sancties en de tenuitvoerlegging van vonnissen, met name tegen hoge ambtenaren.</w:t>
      </w:r>
    </w:p>
    <w:p w14:paraId="0321F128" w14:textId="77777777" w:rsidR="003855A7" w:rsidRPr="00FF1C3E" w:rsidRDefault="003855A7" w:rsidP="00AC1CAF">
      <w:pPr>
        <w:pStyle w:val="Bullet0"/>
        <w:numPr>
          <w:ilvl w:val="0"/>
          <w:numId w:val="32"/>
        </w:numPr>
        <w:ind w:hanging="283"/>
        <w:rPr>
          <w:noProof/>
        </w:rPr>
      </w:pPr>
      <w:r w:rsidRPr="00FF1C3E">
        <w:rPr>
          <w:noProof/>
        </w:rPr>
        <w:t>Zorgen voor een doeltreffende samenwerking met en bijstand aan de betrokken instellingen en organen van de EU, waaronder het Europees Bureau voor fraudebestrijding (OLAF), voor controles en inspecties ter plaatse met betrekking tot het beheer en de controle op de besteding van EU-gelden, en het Europees openbaar ministerie (EOM) voor zijn onderzoeken en vervolgingen met betrekking tot strafbare feiten die de financiële belangen van de Unie schaden, overeenkomstig de geldende regels en procedures.</w:t>
      </w:r>
    </w:p>
    <w:p w14:paraId="482D3604" w14:textId="77777777" w:rsidR="003855A7" w:rsidRPr="00FF1C3E" w:rsidRDefault="003855A7" w:rsidP="00AC1CAF">
      <w:pPr>
        <w:pStyle w:val="Bullet0"/>
        <w:numPr>
          <w:ilvl w:val="0"/>
          <w:numId w:val="32"/>
        </w:numPr>
        <w:ind w:hanging="283"/>
        <w:rPr>
          <w:noProof/>
        </w:rPr>
      </w:pPr>
      <w:r w:rsidRPr="00FF1C3E">
        <w:rPr>
          <w:noProof/>
        </w:rPr>
        <w:t>Voortzetten van de aanpassing van de wetgeving van de Republiek Moldavië aan het EU-acquis op het gebied van fraudebestrijding en uitvoeren van de bepalingen van de EU-wetgeving zoals bedoeld in de desbetreffende bijlagen bij de associatieovereenkomst.</w:t>
      </w:r>
    </w:p>
    <w:p w14:paraId="097E10EC"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Bestrijding van witwassen, financiering van terrorisme en financiële misdrijven</w:t>
      </w:r>
    </w:p>
    <w:p w14:paraId="445BF391" w14:textId="77777777" w:rsidR="003855A7" w:rsidRPr="00FF1C3E" w:rsidRDefault="003855A7" w:rsidP="00AC1CAF">
      <w:pPr>
        <w:pStyle w:val="Bullet0"/>
        <w:numPr>
          <w:ilvl w:val="0"/>
          <w:numId w:val="33"/>
        </w:numPr>
        <w:ind w:hanging="283"/>
        <w:rPr>
          <w:noProof/>
        </w:rPr>
      </w:pPr>
      <w:r w:rsidRPr="00FF1C3E">
        <w:rPr>
          <w:noProof/>
        </w:rPr>
        <w:t>Zorgen voor een goede uitvoering en volledige naleving van het rechtskader inzake bestrijding van witwassen en financiering van terrorisme in overeenstemming met het desbetreffende EU-rechtskader en de normen van de Financiële-actiegroep (FATF).</w:t>
      </w:r>
    </w:p>
    <w:p w14:paraId="169BE69B" w14:textId="77777777" w:rsidR="003855A7" w:rsidRPr="00FF1C3E" w:rsidRDefault="003855A7" w:rsidP="00AC1CAF">
      <w:pPr>
        <w:pStyle w:val="Bullet0"/>
        <w:numPr>
          <w:ilvl w:val="0"/>
          <w:numId w:val="33"/>
        </w:numPr>
        <w:ind w:hanging="283"/>
        <w:rPr>
          <w:noProof/>
        </w:rPr>
      </w:pPr>
      <w:r w:rsidRPr="00FF1C3E">
        <w:rPr>
          <w:noProof/>
        </w:rPr>
        <w:t xml:space="preserve">Volgen van de uitvoering van de aanbevelingen van Moneyval in de vijfde ronde van het proces van wederzijdse beoordeling. </w:t>
      </w:r>
    </w:p>
    <w:p w14:paraId="75EA957B" w14:textId="77777777" w:rsidR="003855A7" w:rsidRPr="00FF1C3E" w:rsidRDefault="003855A7" w:rsidP="00AC1CAF">
      <w:pPr>
        <w:pStyle w:val="Bullet0"/>
        <w:numPr>
          <w:ilvl w:val="0"/>
          <w:numId w:val="33"/>
        </w:numPr>
        <w:ind w:hanging="283"/>
        <w:rPr>
          <w:noProof/>
        </w:rPr>
      </w:pPr>
      <w:r w:rsidRPr="00FF1C3E">
        <w:rPr>
          <w:noProof/>
        </w:rPr>
        <w:t>Aannemen van een geactualiseerde nationale strategie inzake de bestrijding van witwassen en financiering van terrorisme en ervoor zorgen dat deze effectief wordt uitgevoerd om het systeem ter zake te verbeteren overeenkomstig de aanbevelingen van Moneyval en de FATF.</w:t>
      </w:r>
    </w:p>
    <w:p w14:paraId="43759355" w14:textId="77777777" w:rsidR="003855A7" w:rsidRPr="00FF1C3E" w:rsidRDefault="003855A7" w:rsidP="00AC1CAF">
      <w:pPr>
        <w:pStyle w:val="Bullet0"/>
        <w:numPr>
          <w:ilvl w:val="0"/>
          <w:numId w:val="33"/>
        </w:numPr>
        <w:ind w:hanging="283"/>
        <w:rPr>
          <w:noProof/>
        </w:rPr>
      </w:pPr>
      <w:r w:rsidRPr="00FF1C3E">
        <w:rPr>
          <w:noProof/>
        </w:rPr>
        <w:t>Verder versterken van de capaciteit van de financiële inlichtingendienst en zorgen voor een goede samenwerking met de tegenhangers van de EU-lidstaten.</w:t>
      </w:r>
    </w:p>
    <w:p w14:paraId="10A20344" w14:textId="77777777" w:rsidR="003855A7" w:rsidRPr="00FF1C3E" w:rsidRDefault="003855A7" w:rsidP="00AC1CAF">
      <w:pPr>
        <w:pStyle w:val="Bullet0"/>
        <w:numPr>
          <w:ilvl w:val="0"/>
          <w:numId w:val="33"/>
        </w:numPr>
        <w:ind w:hanging="283"/>
        <w:rPr>
          <w:noProof/>
        </w:rPr>
      </w:pPr>
      <w:r w:rsidRPr="00FF1C3E">
        <w:rPr>
          <w:noProof/>
        </w:rPr>
        <w:t xml:space="preserve">Zorgen voor transparantie door: </w:t>
      </w:r>
    </w:p>
    <w:p w14:paraId="326403F2" w14:textId="77777777" w:rsidR="003855A7" w:rsidRPr="00FF1C3E" w:rsidRDefault="003855A7" w:rsidP="00AC1CAF">
      <w:pPr>
        <w:pStyle w:val="Point2letter"/>
        <w:numPr>
          <w:ilvl w:val="5"/>
          <w:numId w:val="47"/>
        </w:numPr>
        <w:rPr>
          <w:noProof/>
        </w:rPr>
      </w:pPr>
      <w:r w:rsidRPr="00FF1C3E">
        <w:rPr>
          <w:noProof/>
        </w:rPr>
        <w:t>efficiënte identificatie door middel van coherente verificatie in het register van uiteindelijke begunstigden tijdens de registratie van juridische entiteiten;</w:t>
      </w:r>
    </w:p>
    <w:p w14:paraId="41F83640" w14:textId="77777777" w:rsidR="003855A7" w:rsidRPr="00FF1C3E" w:rsidRDefault="003855A7" w:rsidP="0048696A">
      <w:pPr>
        <w:pStyle w:val="Point2letter"/>
        <w:rPr>
          <w:noProof/>
        </w:rPr>
      </w:pPr>
      <w:r w:rsidRPr="00FF1C3E">
        <w:rPr>
          <w:noProof/>
        </w:rPr>
        <w:t>waarborgen van openbare toegang tot de basisgegevens van het register van uiteindelijke begunstigden en tot de basisgegevens over juridische entiteiten;</w:t>
      </w:r>
    </w:p>
    <w:p w14:paraId="6A461F32" w14:textId="77777777" w:rsidR="003855A7" w:rsidRPr="00FF1C3E" w:rsidRDefault="003855A7" w:rsidP="0048696A">
      <w:pPr>
        <w:pStyle w:val="Point2letter"/>
        <w:rPr>
          <w:noProof/>
        </w:rPr>
      </w:pPr>
      <w:r w:rsidRPr="00FF1C3E">
        <w:rPr>
          <w:noProof/>
        </w:rPr>
        <w:t>waarborgen van onlinetoegang voor nationale rechtshandhavingsinstanties en functionarissen voor de ontneming van vermogensbestanddelen tot het register van betaalrekeningen, overeenkomstig de EU- en FATF-vereisten.</w:t>
      </w:r>
    </w:p>
    <w:p w14:paraId="1F27BB39" w14:textId="77777777" w:rsidR="003855A7" w:rsidRPr="00FF1C3E" w:rsidRDefault="003855A7" w:rsidP="00AC1CAF">
      <w:pPr>
        <w:pStyle w:val="Bullet0"/>
        <w:numPr>
          <w:ilvl w:val="0"/>
          <w:numId w:val="34"/>
        </w:numPr>
        <w:ind w:hanging="283"/>
        <w:rPr>
          <w:noProof/>
        </w:rPr>
      </w:pPr>
      <w:r w:rsidRPr="00FF1C3E">
        <w:rPr>
          <w:noProof/>
        </w:rPr>
        <w:t>Versterken van de internationale juridische en operationele samenwerking door middel van gezamenlijke onderzoeksteams, wederzijdse rechtshulp en taskforcemechanismen om te zorgen voor efficiënte en doeltreffende transnationale (grensoverschrijdende) onderzoeken naar witwaszaken op hoog niveau.</w:t>
      </w:r>
    </w:p>
    <w:p w14:paraId="52464F6D"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Preventie en bestrijding van georganiseerde criminaliteit</w:t>
      </w:r>
    </w:p>
    <w:p w14:paraId="6E61DAA4" w14:textId="77777777" w:rsidR="003855A7" w:rsidRPr="00FF1C3E" w:rsidRDefault="003855A7" w:rsidP="00AC1CAF">
      <w:pPr>
        <w:pStyle w:val="Bullet0"/>
        <w:numPr>
          <w:ilvl w:val="0"/>
          <w:numId w:val="35"/>
        </w:numPr>
        <w:ind w:hanging="283"/>
        <w:rPr>
          <w:i/>
          <w:noProof/>
        </w:rPr>
      </w:pPr>
      <w:r w:rsidRPr="00FF1C3E">
        <w:rPr>
          <w:noProof/>
        </w:rPr>
        <w:t>Ontwikkelen van een nieuw en alomvattend beleidsdocument voor de preventie en bestrijding van georganiseerde criminaliteit, op basis van de vorige strategie 2011-2019.</w:t>
      </w:r>
    </w:p>
    <w:p w14:paraId="3B0DC1CF" w14:textId="77777777" w:rsidR="003855A7" w:rsidRPr="00FF1C3E" w:rsidRDefault="003855A7" w:rsidP="00AC1CAF">
      <w:pPr>
        <w:pStyle w:val="Bullet0"/>
        <w:numPr>
          <w:ilvl w:val="0"/>
          <w:numId w:val="35"/>
        </w:numPr>
        <w:ind w:hanging="283"/>
        <w:rPr>
          <w:i/>
          <w:noProof/>
        </w:rPr>
      </w:pPr>
      <w:r w:rsidRPr="00FF1C3E">
        <w:rPr>
          <w:noProof/>
        </w:rPr>
        <w:t>Opzetten en effectief bevorderen van een systeem voor financieel onderzoek met het oog op het identificeren, bevriezen en confisqueren van door de georganiseerde criminaliteit gegenereerde vermogensbestanddelen.</w:t>
      </w:r>
    </w:p>
    <w:p w14:paraId="19D10256" w14:textId="77777777" w:rsidR="003855A7" w:rsidRPr="00FF1C3E" w:rsidRDefault="003855A7" w:rsidP="00AC1CAF">
      <w:pPr>
        <w:pStyle w:val="Bullet0"/>
        <w:numPr>
          <w:ilvl w:val="0"/>
          <w:numId w:val="35"/>
        </w:numPr>
        <w:ind w:hanging="283"/>
        <w:rPr>
          <w:i/>
          <w:noProof/>
        </w:rPr>
      </w:pPr>
      <w:r w:rsidRPr="00FF1C3E">
        <w:rPr>
          <w:noProof/>
        </w:rPr>
        <w:t xml:space="preserve">Ontwikkelen van een doeltreffend samenwerkingssysteem met Europol, Eurojust en andere internationale partners bij het onderzoeken van georganiseerde criminele groepen, de identificatie, bevriezing en confiscatie van vermogensbestanddelen die door georganiseerde criminaliteit zijn gegenereerd en die zich in het buitenland bevinden.  </w:t>
      </w:r>
    </w:p>
    <w:p w14:paraId="02535272" w14:textId="77777777" w:rsidR="003855A7" w:rsidRPr="00FF1C3E" w:rsidRDefault="003855A7" w:rsidP="00AC1CAF">
      <w:pPr>
        <w:pStyle w:val="Bullet0"/>
        <w:numPr>
          <w:ilvl w:val="0"/>
          <w:numId w:val="35"/>
        </w:numPr>
        <w:ind w:hanging="283"/>
        <w:rPr>
          <w:noProof/>
        </w:rPr>
      </w:pPr>
      <w:r w:rsidRPr="00FF1C3E">
        <w:rPr>
          <w:noProof/>
        </w:rPr>
        <w:t>Stroomlijnen met het oog op een zo doeltreffend mogelijke verdeling van bevoegdheden inzake fiscale en economische misdrijven tussen de verschillende autoriteiten.</w:t>
      </w:r>
    </w:p>
    <w:p w14:paraId="518E918A" w14:textId="77777777" w:rsidR="003855A7" w:rsidRPr="00FF1C3E" w:rsidRDefault="003855A7" w:rsidP="00AC1CAF">
      <w:pPr>
        <w:pStyle w:val="Bullet0"/>
        <w:numPr>
          <w:ilvl w:val="0"/>
          <w:numId w:val="35"/>
        </w:numPr>
        <w:ind w:hanging="283"/>
        <w:rPr>
          <w:noProof/>
        </w:rPr>
      </w:pPr>
      <w:r w:rsidRPr="00FF1C3E">
        <w:rPr>
          <w:noProof/>
        </w:rPr>
        <w:t>Versterken van de deelname van de Moldavische autoriteiten aan het analyseproject voor georganiseerde criminaliteit in Oost-Europa.</w:t>
      </w:r>
    </w:p>
    <w:p w14:paraId="657248D4" w14:textId="77777777" w:rsidR="003855A7" w:rsidRPr="00FF1C3E" w:rsidRDefault="003855A7" w:rsidP="00AC1CAF">
      <w:pPr>
        <w:pStyle w:val="Bullet0"/>
        <w:numPr>
          <w:ilvl w:val="0"/>
          <w:numId w:val="35"/>
        </w:numPr>
        <w:ind w:hanging="283"/>
        <w:rPr>
          <w:noProof/>
        </w:rPr>
      </w:pPr>
      <w:r w:rsidRPr="00FF1C3E">
        <w:rPr>
          <w:noProof/>
        </w:rPr>
        <w:t>Ontwikkelen van de capaciteiten en vermogens van het Centrum voor justitiële en forensische deskundigen overeenkomstig de Europese normen en beste praktijken op lokaal en nationaal niveau.</w:t>
      </w:r>
    </w:p>
    <w:p w14:paraId="6C60DADC"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Politie/rechtshandhaving</w:t>
      </w:r>
    </w:p>
    <w:p w14:paraId="5AB90EB3" w14:textId="77777777" w:rsidR="003855A7" w:rsidRPr="00FF1C3E" w:rsidRDefault="003855A7" w:rsidP="00AC1CAF">
      <w:pPr>
        <w:pStyle w:val="Bullet0"/>
        <w:numPr>
          <w:ilvl w:val="0"/>
          <w:numId w:val="36"/>
        </w:numPr>
        <w:ind w:hanging="283"/>
        <w:rPr>
          <w:noProof/>
        </w:rPr>
      </w:pPr>
      <w:r w:rsidRPr="00FF1C3E">
        <w:rPr>
          <w:noProof/>
        </w:rPr>
        <w:t>Ontwikkelen van een nieuw beleidsdocument over openbare orde en veiligheid waarin de rollen en het mandaat van de betrokken instellingen (met inbegrip van de politie en de marechaussee) onder het ministerie van Binnenlandse Zaken worden omschreven, rekening houdend met de bestaande uitdagingen en goede internationale praktijken.</w:t>
      </w:r>
    </w:p>
    <w:p w14:paraId="0875CEB5" w14:textId="77777777" w:rsidR="003855A7" w:rsidRPr="00FF1C3E" w:rsidRDefault="003855A7" w:rsidP="00AC1CAF">
      <w:pPr>
        <w:pStyle w:val="Bullet0"/>
        <w:numPr>
          <w:ilvl w:val="0"/>
          <w:numId w:val="36"/>
        </w:numPr>
        <w:ind w:hanging="283"/>
        <w:rPr>
          <w:noProof/>
        </w:rPr>
      </w:pPr>
      <w:r w:rsidRPr="00FF1C3E">
        <w:rPr>
          <w:noProof/>
        </w:rPr>
        <w:t>Bevorderen van de operationele en strategische samenwerking met Europol, onder meer door operationele en strategische informatie te delen.</w:t>
      </w:r>
    </w:p>
    <w:p w14:paraId="2A87BBE3" w14:textId="77777777" w:rsidR="003855A7" w:rsidRPr="00FF1C3E" w:rsidRDefault="003855A7" w:rsidP="00AC1CAF">
      <w:pPr>
        <w:pStyle w:val="Bullet0"/>
        <w:numPr>
          <w:ilvl w:val="0"/>
          <w:numId w:val="36"/>
        </w:numPr>
        <w:ind w:hanging="283"/>
        <w:rPr>
          <w:noProof/>
        </w:rPr>
      </w:pPr>
      <w:r w:rsidRPr="00FF1C3E">
        <w:rPr>
          <w:noProof/>
        </w:rPr>
        <w:t xml:space="preserve">Zorgen voor grotere betrokkenheid bij de EU-beleidscyclus voor georganiseerde en zware internationale criminaliteit/Empact. </w:t>
      </w:r>
    </w:p>
    <w:p w14:paraId="343FCDE8" w14:textId="77777777" w:rsidR="003855A7" w:rsidRPr="00FF1C3E" w:rsidRDefault="003855A7" w:rsidP="00AC1CAF">
      <w:pPr>
        <w:pStyle w:val="Bullet0"/>
        <w:numPr>
          <w:ilvl w:val="0"/>
          <w:numId w:val="36"/>
        </w:numPr>
        <w:ind w:hanging="283"/>
        <w:rPr>
          <w:noProof/>
        </w:rPr>
      </w:pPr>
      <w:r w:rsidRPr="00FF1C3E">
        <w:rPr>
          <w:noProof/>
        </w:rPr>
        <w:t>Voortgaan met de alomvattende hervorming van de politie, in overeenstemming met de Europese normen en beste praktijken, teneinde een toegankelijke, verantwoordingsplichtige, efficiënte, transparante, corruptievrije, professionele en van voldoende middelen voorziene politiemacht op nationaal en lokaal niveau verder te ontwikkelen.</w:t>
      </w:r>
    </w:p>
    <w:p w14:paraId="0ECAF9FA" w14:textId="77777777" w:rsidR="003855A7" w:rsidRPr="00FF1C3E" w:rsidRDefault="003855A7" w:rsidP="00AC1CAF">
      <w:pPr>
        <w:pStyle w:val="Bullet0"/>
        <w:numPr>
          <w:ilvl w:val="0"/>
          <w:numId w:val="36"/>
        </w:numPr>
        <w:ind w:hanging="283"/>
        <w:rPr>
          <w:noProof/>
        </w:rPr>
      </w:pPr>
      <w:r w:rsidRPr="00FF1C3E">
        <w:rPr>
          <w:noProof/>
        </w:rPr>
        <w:t>Versterken van de verantwoordingsplicht en ervoor zorgen dat de politie niet op ongepaste wijze wordt beïnvloed.</w:t>
      </w:r>
    </w:p>
    <w:p w14:paraId="1BE4A43E" w14:textId="77777777" w:rsidR="003855A7" w:rsidRPr="00FF1C3E" w:rsidRDefault="003855A7" w:rsidP="00AC1CAF">
      <w:pPr>
        <w:pStyle w:val="Bullet0"/>
        <w:numPr>
          <w:ilvl w:val="0"/>
          <w:numId w:val="36"/>
        </w:numPr>
        <w:ind w:hanging="283"/>
        <w:rPr>
          <w:noProof/>
        </w:rPr>
      </w:pPr>
      <w:r w:rsidRPr="00FF1C3E">
        <w:rPr>
          <w:noProof/>
        </w:rPr>
        <w:t>Bevorderen van de operationele samenwerking (interoperabiliteit) tussen de financiële-inlichtingendienst, de politie, de financiële inspectie, de belastingdienst en de douane via interoperabiliteit en gegevensuitwisseling (bijvoorbeeld op basis van overeenkomsten op maat over gegevensuitwisseling); ter bevordering van de operationele samenwerking dienen er verbindingsfunctionarissen aangesteld te worden; Er moet worden gedacht aan tijdelijke uitwisselingen van personeel ten behoeve van opleiding.</w:t>
      </w:r>
    </w:p>
    <w:p w14:paraId="2D7DAFBF" w14:textId="77777777" w:rsidR="003855A7" w:rsidRPr="00FF1C3E" w:rsidRDefault="003855A7" w:rsidP="00AC1CAF">
      <w:pPr>
        <w:pStyle w:val="Bullet0"/>
        <w:numPr>
          <w:ilvl w:val="0"/>
          <w:numId w:val="36"/>
        </w:numPr>
        <w:ind w:hanging="283"/>
        <w:rPr>
          <w:noProof/>
        </w:rPr>
      </w:pPr>
      <w:r w:rsidRPr="00FF1C3E">
        <w:rPr>
          <w:noProof/>
        </w:rPr>
        <w:t>Voortzetten van de ontwikkeling van het gezamenlijk opleidingscentrum voor wetshandhaving (JLETC, Joint Law Enforcement Training Centre) als een functioneel autonome entiteit binnen het “Ștefan cel Mare”-opleidingsinstituut om te zorgen voor een adequate basisopleiding en gespecialiseerde bijscholing, waar nodig met inbegrip van zeer gespecialiseerde opleidingen; op basis van de werkovereenkomst uit 2012 tussen de Republiek Moldavië en het agentschap van de Europese Unie voor opleiding op het gebied van rechtshandhaving (Cepol) zal het opleidingscentrum een nauwe operationele relatie ontwikkelen met Cepol en politieopleidingsinstellingen van de EU-lidstaten.</w:t>
      </w:r>
    </w:p>
    <w:p w14:paraId="49CC0854"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Drugs</w:t>
      </w:r>
    </w:p>
    <w:p w14:paraId="33686578" w14:textId="77777777" w:rsidR="003855A7" w:rsidRPr="00FF1C3E" w:rsidRDefault="003855A7" w:rsidP="00AC1CAF">
      <w:pPr>
        <w:pStyle w:val="Bullet0"/>
        <w:numPr>
          <w:ilvl w:val="0"/>
          <w:numId w:val="37"/>
        </w:numPr>
        <w:ind w:hanging="283"/>
        <w:rPr>
          <w:noProof/>
        </w:rPr>
      </w:pPr>
      <w:r w:rsidRPr="00FF1C3E">
        <w:rPr>
          <w:noProof/>
        </w:rPr>
        <w:t>Voortzetten van de samenwerking op het gebied van drugspreventie via regionale projecten en programma’s en door het drugsbeleid volledig af te stemmen op de standpunten van de EU; zorgen voor de uitvoering van de nationale strategie voor drugsbestrijding 2020-2027 en zorgen voor volledige deelname aan het programma EU4Monitoring Drugs, dat wordt beheerd door het Europees Waarnemingscentrum voor drugs en drugsverslaving.</w:t>
      </w:r>
    </w:p>
    <w:p w14:paraId="47097619" w14:textId="77777777" w:rsidR="003855A7" w:rsidRPr="00FF1C3E" w:rsidRDefault="003855A7" w:rsidP="00AC1CAF">
      <w:pPr>
        <w:pStyle w:val="Bullet0"/>
        <w:numPr>
          <w:ilvl w:val="0"/>
          <w:numId w:val="37"/>
        </w:numPr>
        <w:ind w:hanging="283"/>
        <w:rPr>
          <w:noProof/>
        </w:rPr>
      </w:pPr>
      <w:r w:rsidRPr="00FF1C3E">
        <w:rPr>
          <w:noProof/>
        </w:rPr>
        <w:t>Oprichten van het nationaal agentschap voor drugsbestrijding en zorgen dat het operationeel is.</w:t>
      </w:r>
    </w:p>
    <w:p w14:paraId="51047E30"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Mensenhandel</w:t>
      </w:r>
    </w:p>
    <w:p w14:paraId="3469E0DD" w14:textId="77777777" w:rsidR="003855A7" w:rsidRPr="00FF1C3E" w:rsidRDefault="003855A7" w:rsidP="00AC1CAF">
      <w:pPr>
        <w:pStyle w:val="Bullet0"/>
        <w:numPr>
          <w:ilvl w:val="0"/>
          <w:numId w:val="38"/>
        </w:numPr>
        <w:ind w:hanging="283"/>
        <w:rPr>
          <w:noProof/>
        </w:rPr>
      </w:pPr>
      <w:r w:rsidRPr="00FF1C3E">
        <w:rPr>
          <w:noProof/>
        </w:rPr>
        <w:t>Zorgen voor de verdere uitvoering van de nationale strategie voor de preventie en bestrijding van mensenhandel voor de jaren 2018-2023.</w:t>
      </w:r>
    </w:p>
    <w:p w14:paraId="5CE44790" w14:textId="77777777" w:rsidR="003855A7" w:rsidRPr="00FF1C3E" w:rsidRDefault="003855A7" w:rsidP="00AC1CAF">
      <w:pPr>
        <w:pStyle w:val="Bullet0"/>
        <w:numPr>
          <w:ilvl w:val="0"/>
          <w:numId w:val="38"/>
        </w:numPr>
        <w:ind w:hanging="283"/>
        <w:rPr>
          <w:noProof/>
        </w:rPr>
      </w:pPr>
      <w:r w:rsidRPr="00FF1C3E">
        <w:rPr>
          <w:noProof/>
        </w:rPr>
        <w:t>Zorgen voor capaciteitsopbouw in rechtshandhavingsinstanties, het openbaar ministerie en justitiële instellingen om de samenwerking met EU-agentschappen EU en de EU-lidstaten bij het voorkomen en bestrijden van mensenhandel te garanderen.</w:t>
      </w:r>
    </w:p>
    <w:p w14:paraId="3C9A51E1" w14:textId="77777777" w:rsidR="003855A7" w:rsidRPr="00FF1C3E" w:rsidRDefault="003855A7" w:rsidP="00AC1CAF">
      <w:pPr>
        <w:pStyle w:val="Bullet0"/>
        <w:numPr>
          <w:ilvl w:val="0"/>
          <w:numId w:val="38"/>
        </w:numPr>
        <w:ind w:hanging="283"/>
        <w:rPr>
          <w:noProof/>
        </w:rPr>
      </w:pPr>
      <w:r w:rsidRPr="00FF1C3E">
        <w:rPr>
          <w:noProof/>
        </w:rPr>
        <w:t>Versterken van de capaciteiten om te zorgen voor vroegtijdige identificatie en het verlenen van doeltreffende/goede bijstand en ondersteuning aan alle slachtoffers of potentiële slachtoffers van mensenhandel, met inbegrip van juridische, medische, psychologische en sociale bijstand via professionele autoriteiten/ngo’s, waarbij rekening wordt gehouden met genderspecifieke aspecten en de behoeften van kinderen.</w:t>
      </w:r>
    </w:p>
    <w:p w14:paraId="0743F42B"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Cybercriminaliteit</w:t>
      </w:r>
    </w:p>
    <w:p w14:paraId="54FAB76A" w14:textId="77777777" w:rsidR="003855A7" w:rsidRPr="00FF1C3E" w:rsidRDefault="003855A7" w:rsidP="00AC1CAF">
      <w:pPr>
        <w:pStyle w:val="Bullet0"/>
        <w:numPr>
          <w:ilvl w:val="0"/>
          <w:numId w:val="39"/>
        </w:numPr>
        <w:ind w:hanging="283"/>
        <w:rPr>
          <w:noProof/>
        </w:rPr>
      </w:pPr>
      <w:r w:rsidRPr="00FF1C3E">
        <w:rPr>
          <w:noProof/>
        </w:rPr>
        <w:t>Opvoeren van de inspanningen op het gebied van de bestrijding van cybercriminaliteit, onder meer door een alomvattend juridisch en institutioneel kader in overeenstemming met het Verdrag van Boedapest tot stand te brengen.</w:t>
      </w:r>
    </w:p>
    <w:p w14:paraId="315B3447" w14:textId="77777777" w:rsidR="003855A7" w:rsidRPr="00FF1C3E" w:rsidRDefault="003855A7" w:rsidP="00AC1CAF">
      <w:pPr>
        <w:pStyle w:val="Bullet0"/>
        <w:numPr>
          <w:ilvl w:val="0"/>
          <w:numId w:val="39"/>
        </w:numPr>
        <w:ind w:hanging="283"/>
        <w:rPr>
          <w:noProof/>
        </w:rPr>
      </w:pPr>
      <w:r w:rsidRPr="00FF1C3E">
        <w:rPr>
          <w:noProof/>
        </w:rPr>
        <w:t>Samenwerken met de EU-partnerinstellingen op het gebied van opleidingscapaciteiten en de opbouw van technische capaciteiten om cybercriminaliteit doeltreffend te bestrijden.</w:t>
      </w:r>
    </w:p>
    <w:p w14:paraId="12F1484F"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 xml:space="preserve">Cyberbeveiliging </w:t>
      </w:r>
    </w:p>
    <w:p w14:paraId="4D6FC13C" w14:textId="77777777" w:rsidR="003855A7" w:rsidRPr="00FF1C3E" w:rsidRDefault="003855A7" w:rsidP="00AC1CAF">
      <w:pPr>
        <w:pStyle w:val="Bullet0"/>
        <w:numPr>
          <w:ilvl w:val="0"/>
          <w:numId w:val="40"/>
        </w:numPr>
        <w:ind w:hanging="283"/>
        <w:rPr>
          <w:noProof/>
        </w:rPr>
      </w:pPr>
      <w:r w:rsidRPr="00FF1C3E">
        <w:rPr>
          <w:noProof/>
        </w:rPr>
        <w:t>Zorgen voor de uitvoering van de maatregelen in verband met de cyberbeveiligingscomponent van de strategie voor informatiebeveiliging van de Republiek Moldavië voor de jaren 2019-2024 en het bijbehorende actieplan.</w:t>
      </w:r>
    </w:p>
    <w:p w14:paraId="53550006" w14:textId="77777777" w:rsidR="003855A7" w:rsidRPr="00FF1C3E" w:rsidRDefault="003855A7" w:rsidP="00AC1CAF">
      <w:pPr>
        <w:pStyle w:val="Bullet0"/>
        <w:numPr>
          <w:ilvl w:val="0"/>
          <w:numId w:val="40"/>
        </w:numPr>
        <w:ind w:hanging="283"/>
        <w:rPr>
          <w:noProof/>
        </w:rPr>
      </w:pPr>
      <w:r w:rsidRPr="00FF1C3E">
        <w:rPr>
          <w:noProof/>
        </w:rPr>
        <w:t>Versterken van de cyberbeveiliging door vastlegging in nationaal recht van Richtlijn (EU) 2016/1148 van het Europees Parlement en de Raad van 6 juli 2016 houdende maatregelen voor een hoog gemeenschappelijk niveau van beveiliging van netwerk- en informatiesystemen in de Unie (NIS-richtlijn).</w:t>
      </w:r>
    </w:p>
    <w:p w14:paraId="7EEECF3A" w14:textId="77777777" w:rsidR="003855A7" w:rsidRPr="00FF1C3E" w:rsidRDefault="003855A7" w:rsidP="00AC1CAF">
      <w:pPr>
        <w:pStyle w:val="Bullet0"/>
        <w:numPr>
          <w:ilvl w:val="0"/>
          <w:numId w:val="40"/>
        </w:numPr>
        <w:ind w:hanging="283"/>
        <w:rPr>
          <w:noProof/>
        </w:rPr>
      </w:pPr>
      <w:r w:rsidRPr="00FF1C3E">
        <w:rPr>
          <w:noProof/>
        </w:rPr>
        <w:t>In kaart brengen en formeel aanwijzen van een nationaal computercrisisteam (CERT) en tot stand brengen van een duidelijke verdeling van taken en bevoegdheden tussen de instanties die betrokken zijn bij het waarborgen van cyberbeveiliging.</w:t>
      </w:r>
    </w:p>
    <w:p w14:paraId="2A90D73D" w14:textId="77777777" w:rsidR="003855A7" w:rsidRPr="00FF1C3E" w:rsidRDefault="003855A7" w:rsidP="00AC1CAF">
      <w:pPr>
        <w:pStyle w:val="Bullet0"/>
        <w:numPr>
          <w:ilvl w:val="0"/>
          <w:numId w:val="40"/>
        </w:numPr>
        <w:ind w:hanging="283"/>
        <w:rPr>
          <w:noProof/>
          <w:color w:val="000000"/>
          <w:sz w:val="28"/>
          <w:szCs w:val="24"/>
        </w:rPr>
      </w:pPr>
      <w:r w:rsidRPr="00FF1C3E">
        <w:rPr>
          <w:noProof/>
        </w:rPr>
        <w:t xml:space="preserve">Ontwikkelen van een aanpak om de samenwerking op het gebied van cyberbeveiliging te verbeteren via de uitwisseling van informatie en beste praktijken, met name wat betreft het gebruik van het door de EU ontwikkelde instrumentarium inzake 5G-cyberbeveiliging. </w:t>
      </w:r>
    </w:p>
    <w:p w14:paraId="119DF9AF" w14:textId="77777777" w:rsidR="003855A7" w:rsidRPr="00FF1C3E" w:rsidRDefault="003855A7" w:rsidP="003855A7">
      <w:pPr>
        <w:tabs>
          <w:tab w:val="left" w:pos="0"/>
        </w:tabs>
        <w:spacing w:before="360" w:after="0"/>
        <w:rPr>
          <w:i/>
          <w:noProof/>
        </w:rPr>
      </w:pPr>
      <w:r w:rsidRPr="00FF1C3E">
        <w:rPr>
          <w:i/>
          <w:noProof/>
        </w:rPr>
        <w:t xml:space="preserve">Gegevensbescherming </w:t>
      </w:r>
    </w:p>
    <w:p w14:paraId="74805CBA" w14:textId="77777777" w:rsidR="003855A7" w:rsidRPr="00FF1C3E" w:rsidRDefault="003855A7" w:rsidP="00AC1CAF">
      <w:pPr>
        <w:pStyle w:val="Bullet0"/>
        <w:numPr>
          <w:ilvl w:val="0"/>
          <w:numId w:val="41"/>
        </w:numPr>
        <w:ind w:hanging="283"/>
        <w:rPr>
          <w:noProof/>
        </w:rPr>
      </w:pPr>
      <w:r w:rsidRPr="00FF1C3E">
        <w:rPr>
          <w:noProof/>
        </w:rPr>
        <w:t>Verder in overeenstemming brengen van het nationale rechtskader ter bescherming van persoonsgegevens met de EU-wetgeving, met bijzondere aandacht voor Verordening (EU) 2016/679 van het Europees Parlement en de Raad en Richtlijn (EU) 2016/680 van het Europees Parlement en de Raad.</w:t>
      </w:r>
    </w:p>
    <w:p w14:paraId="7B724793" w14:textId="77777777" w:rsidR="003855A7" w:rsidRPr="00FF1C3E" w:rsidRDefault="003855A7" w:rsidP="00AC1CAF">
      <w:pPr>
        <w:pStyle w:val="Bullet0"/>
        <w:numPr>
          <w:ilvl w:val="0"/>
          <w:numId w:val="41"/>
        </w:numPr>
        <w:ind w:hanging="283"/>
        <w:rPr>
          <w:noProof/>
          <w:color w:val="000000"/>
        </w:rPr>
      </w:pPr>
      <w:r w:rsidRPr="00FF1C3E">
        <w:rPr>
          <w:noProof/>
        </w:rPr>
        <w:t>Doorgaan met de uitvoering van het rechtskader ter bescherming van persoonsgegevens in alle sectoren, teneinde een hoog niveau van bescherming van persoonsgegevens effectief te handhaven overeenkomstig de Europese en internationale instrumenten en normen.</w:t>
      </w:r>
    </w:p>
    <w:p w14:paraId="6A30C3EB"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Mobiliteit, migratie, asiel en grensbeheer</w:t>
      </w:r>
    </w:p>
    <w:p w14:paraId="6BD8EF67" w14:textId="77777777" w:rsidR="003855A7" w:rsidRPr="00FF1C3E" w:rsidRDefault="003855A7" w:rsidP="003855A7">
      <w:pPr>
        <w:spacing w:after="0"/>
        <w:rPr>
          <w:rFonts w:eastAsia="Times New Roman"/>
          <w:i/>
          <w:noProof/>
          <w:szCs w:val="24"/>
        </w:rPr>
      </w:pPr>
      <w:r w:rsidRPr="00FF1C3E">
        <w:rPr>
          <w:i/>
          <w:noProof/>
          <w:szCs w:val="24"/>
        </w:rPr>
        <w:t>– Binnen drie tot vier jaar:</w:t>
      </w:r>
    </w:p>
    <w:p w14:paraId="7C6524DF" w14:textId="77777777" w:rsidR="003855A7" w:rsidRPr="00FF1C3E" w:rsidRDefault="003855A7" w:rsidP="00AC1CAF">
      <w:pPr>
        <w:pStyle w:val="Bullet0"/>
        <w:numPr>
          <w:ilvl w:val="0"/>
          <w:numId w:val="42"/>
        </w:numPr>
        <w:ind w:hanging="283"/>
        <w:rPr>
          <w:noProof/>
        </w:rPr>
      </w:pPr>
      <w:r w:rsidRPr="00FF1C3E">
        <w:rPr>
          <w:noProof/>
        </w:rPr>
        <w:t>ervoor zorgen dat alle criteria van het actieplan voor visumliberalisering, alsook de aanbevelingen van de Commissie in de verslagen over het visumopschortingsmechanisme, constant worden nageleefd;</w:t>
      </w:r>
    </w:p>
    <w:p w14:paraId="4F4472ED" w14:textId="77777777" w:rsidR="003855A7" w:rsidRPr="00FF1C3E" w:rsidRDefault="003855A7" w:rsidP="00AC1CAF">
      <w:pPr>
        <w:pStyle w:val="Bullet0"/>
        <w:numPr>
          <w:ilvl w:val="0"/>
          <w:numId w:val="42"/>
        </w:numPr>
        <w:ind w:hanging="283"/>
        <w:rPr>
          <w:noProof/>
          <w:color w:val="000000"/>
        </w:rPr>
      </w:pPr>
      <w:r w:rsidRPr="00FF1C3E">
        <w:rPr>
          <w:noProof/>
        </w:rPr>
        <w:t>blijven toezien op de effectieve uitvoering van de overnameovereenkomst tussen de EU en de Republiek Moldavië;</w:t>
      </w:r>
    </w:p>
    <w:p w14:paraId="0FF9C7F1" w14:textId="77777777" w:rsidR="003855A7" w:rsidRPr="00FF1C3E" w:rsidRDefault="003855A7" w:rsidP="00AC1CAF">
      <w:pPr>
        <w:pStyle w:val="Bullet0"/>
        <w:numPr>
          <w:ilvl w:val="0"/>
          <w:numId w:val="42"/>
        </w:numPr>
        <w:ind w:hanging="283"/>
        <w:rPr>
          <w:noProof/>
        </w:rPr>
      </w:pPr>
      <w:r w:rsidRPr="00FF1C3E">
        <w:rPr>
          <w:noProof/>
        </w:rPr>
        <w:t xml:space="preserve">versterken van de operationele samenwerking om te komen tot een snelle afname van het aantal ongegronde asielverzoeken die worden ingediend door Moldavische onderdanen in het Schengen+-gebied; </w:t>
      </w:r>
    </w:p>
    <w:p w14:paraId="7C7813DB" w14:textId="77777777" w:rsidR="003855A7" w:rsidRPr="00FF1C3E" w:rsidRDefault="003855A7" w:rsidP="00AC1CAF">
      <w:pPr>
        <w:pStyle w:val="Bullet0"/>
        <w:numPr>
          <w:ilvl w:val="0"/>
          <w:numId w:val="42"/>
        </w:numPr>
        <w:ind w:hanging="283"/>
        <w:rPr>
          <w:noProof/>
          <w:color w:val="000000"/>
        </w:rPr>
      </w:pPr>
      <w:r w:rsidRPr="00FF1C3E">
        <w:rPr>
          <w:noProof/>
        </w:rPr>
        <w:t xml:space="preserve">doorgaan met het organiseren van voorlichtings- en bewustmakingscampagnes over de rechten en plichten in verband met visumvrij reizen; </w:t>
      </w:r>
    </w:p>
    <w:p w14:paraId="259EB850" w14:textId="77777777" w:rsidR="003855A7" w:rsidRPr="00FF1C3E" w:rsidRDefault="003855A7" w:rsidP="00AC1CAF">
      <w:pPr>
        <w:pStyle w:val="Bullet0"/>
        <w:numPr>
          <w:ilvl w:val="0"/>
          <w:numId w:val="42"/>
        </w:numPr>
        <w:ind w:hanging="283"/>
        <w:rPr>
          <w:noProof/>
          <w:color w:val="000000"/>
        </w:rPr>
      </w:pPr>
      <w:r w:rsidRPr="00FF1C3E">
        <w:rPr>
          <w:noProof/>
        </w:rPr>
        <w:t>verder versterken van het grensbeheer, met inbegrip van doeltreffende samenwerking tussen de bevoegde nationale autoriteiten (bv. grenswachten en douane) en handhaven van de hoge kwaliteit van grenscontroles en grensbewaking;</w:t>
      </w:r>
    </w:p>
    <w:p w14:paraId="5511A35D" w14:textId="77777777" w:rsidR="003855A7" w:rsidRPr="00FF1C3E" w:rsidRDefault="003855A7" w:rsidP="00AC1CAF">
      <w:pPr>
        <w:pStyle w:val="Bullet0"/>
        <w:numPr>
          <w:ilvl w:val="0"/>
          <w:numId w:val="42"/>
        </w:numPr>
        <w:ind w:hanging="283"/>
        <w:rPr>
          <w:noProof/>
        </w:rPr>
      </w:pPr>
      <w:r w:rsidRPr="00FF1C3E">
        <w:rPr>
          <w:noProof/>
        </w:rPr>
        <w:t xml:space="preserve">verbeteren van de operationele samenwerking op het gebied van grensbeheer langs de grens tussen de EU en de Republiek Moldavië, met inbegrip van, maar niet beperkt tot, het versterken van de uitwisseling van strategische en operationele informatie; </w:t>
      </w:r>
    </w:p>
    <w:p w14:paraId="20B4F982" w14:textId="77777777" w:rsidR="003855A7" w:rsidRPr="00FF1C3E" w:rsidRDefault="003855A7" w:rsidP="00AC1CAF">
      <w:pPr>
        <w:pStyle w:val="Bullet0"/>
        <w:numPr>
          <w:ilvl w:val="0"/>
          <w:numId w:val="42"/>
        </w:numPr>
        <w:ind w:hanging="283"/>
        <w:rPr>
          <w:noProof/>
        </w:rPr>
      </w:pPr>
      <w:r w:rsidRPr="00FF1C3E">
        <w:rPr>
          <w:noProof/>
        </w:rPr>
        <w:t>blijven versterken van de samenwerking met het Europees Grens- en kustwachtagentschap (Frontex), met inbegrip van samenwerking op het gebied van geïntegreerd grensbeheer, opleiding, waarnemers uit de regio bij gezamenlijke operaties en informatie-uitwisseling via het netwerk voor risicoanalyse van het Oostelijk Partnerschap (Eastern Partnership-RAN);</w:t>
      </w:r>
    </w:p>
    <w:p w14:paraId="59D4B815" w14:textId="77777777" w:rsidR="003855A7" w:rsidRPr="00FF1C3E" w:rsidRDefault="003855A7" w:rsidP="00AC1CAF">
      <w:pPr>
        <w:pStyle w:val="Bullet0"/>
        <w:numPr>
          <w:ilvl w:val="0"/>
          <w:numId w:val="42"/>
        </w:numPr>
        <w:ind w:hanging="283"/>
        <w:rPr>
          <w:noProof/>
        </w:rPr>
      </w:pPr>
      <w:r w:rsidRPr="00FF1C3E">
        <w:rPr>
          <w:noProof/>
        </w:rPr>
        <w:t xml:space="preserve">uitwerken van een nieuw concept van strategische ontwikkeling op het gebied van migratie en asiel om de regeringsdoelstellingen uit te voeren die zijn vastgelegd in de nationale ontwikkelingsstrategie en die van het mondiaal pact inzake migratie;  </w:t>
      </w:r>
    </w:p>
    <w:p w14:paraId="50A6DEE3" w14:textId="77777777" w:rsidR="003855A7" w:rsidRPr="00FF1C3E" w:rsidRDefault="003855A7" w:rsidP="00AC1CAF">
      <w:pPr>
        <w:pStyle w:val="Bullet0"/>
        <w:numPr>
          <w:ilvl w:val="0"/>
          <w:numId w:val="42"/>
        </w:numPr>
        <w:ind w:hanging="283"/>
        <w:rPr>
          <w:noProof/>
        </w:rPr>
      </w:pPr>
      <w:r w:rsidRPr="00FF1C3E">
        <w:rPr>
          <w:noProof/>
        </w:rPr>
        <w:t>opstellen en uitvoeren van een nieuw beleidsdocument inzake migratie en asiel (op basis van de lessen die zijn getrokken uit de vorige strategie voor 2011-2020 en de huidige uitdagingen);</w:t>
      </w:r>
    </w:p>
    <w:p w14:paraId="2CC17B77" w14:textId="77777777" w:rsidR="003855A7" w:rsidRPr="00FF1C3E" w:rsidRDefault="003855A7" w:rsidP="00AC1CAF">
      <w:pPr>
        <w:pStyle w:val="Bullet0"/>
        <w:numPr>
          <w:ilvl w:val="0"/>
          <w:numId w:val="42"/>
        </w:numPr>
        <w:ind w:hanging="283"/>
        <w:rPr>
          <w:noProof/>
        </w:rPr>
      </w:pPr>
      <w:r w:rsidRPr="00FF1C3E">
        <w:rPr>
          <w:noProof/>
        </w:rPr>
        <w:t>blijven verlenen van steun voor de re-integratie van burgers van de Republiek Moldavië en ontwikkelen van een nieuw beleidsdocument ter ondersteuning van de re-integratie van Moldavische onderdanen die uit het buitenland terugkeren (op basis van opkomende behoeften en lering die is getrokken uit de uitvoering van het bijbehorende actieplan voor 2017-2020), alsook voor de integratie van mensen die tot kwetsbare en gemarginaliseerde gemeenschappen behoren, terwijl tegelijkertijd de onderliggende oorzaken van irreguliere migratie onder die specifieke groepen worden aangepakt;</w:t>
      </w:r>
    </w:p>
    <w:p w14:paraId="15AA4545" w14:textId="77777777" w:rsidR="003855A7" w:rsidRPr="00FF1C3E" w:rsidRDefault="003855A7" w:rsidP="00AC1CAF">
      <w:pPr>
        <w:pStyle w:val="Bullet0"/>
        <w:numPr>
          <w:ilvl w:val="0"/>
          <w:numId w:val="42"/>
        </w:numPr>
        <w:ind w:hanging="283"/>
        <w:rPr>
          <w:noProof/>
        </w:rPr>
      </w:pPr>
      <w:r w:rsidRPr="00FF1C3E">
        <w:rPr>
          <w:noProof/>
        </w:rPr>
        <w:t>doorgaan met de ontwikkeling van een praktische samenwerking in het kader van het mobiliteitspartnerschap tussen de EU en de Republiek Moldavië;</w:t>
      </w:r>
    </w:p>
    <w:p w14:paraId="40303505" w14:textId="77777777" w:rsidR="003855A7" w:rsidRPr="00FF1C3E" w:rsidRDefault="003855A7" w:rsidP="00AC1CAF">
      <w:pPr>
        <w:pStyle w:val="Bullet0"/>
        <w:numPr>
          <w:ilvl w:val="0"/>
          <w:numId w:val="42"/>
        </w:numPr>
        <w:ind w:hanging="283"/>
        <w:rPr>
          <w:noProof/>
        </w:rPr>
      </w:pPr>
      <w:r w:rsidRPr="00FF1C3E">
        <w:rPr>
          <w:noProof/>
        </w:rPr>
        <w:t>verbeteren van de uitwisseling van informatie in het kader van het nieuwe migratie- en asielpact.</w:t>
      </w:r>
    </w:p>
    <w:p w14:paraId="146EC933" w14:textId="77777777" w:rsidR="003855A7" w:rsidRPr="00FF1C3E" w:rsidRDefault="003855A7" w:rsidP="003855A7">
      <w:pPr>
        <w:spacing w:before="360" w:after="0"/>
        <w:rPr>
          <w:rFonts w:eastAsia="Times New Roman"/>
          <w:i/>
          <w:noProof/>
          <w:szCs w:val="24"/>
        </w:rPr>
      </w:pPr>
      <w:r w:rsidRPr="00FF1C3E">
        <w:rPr>
          <w:i/>
          <w:noProof/>
          <w:szCs w:val="24"/>
        </w:rPr>
        <w:t>– Binnen zeven jaar:</w:t>
      </w:r>
    </w:p>
    <w:p w14:paraId="79296ED5" w14:textId="77777777" w:rsidR="003855A7" w:rsidRPr="00FF1C3E" w:rsidRDefault="003855A7" w:rsidP="00AC1CAF">
      <w:pPr>
        <w:pStyle w:val="Bullet0"/>
        <w:numPr>
          <w:ilvl w:val="0"/>
          <w:numId w:val="43"/>
        </w:numPr>
        <w:ind w:hanging="283"/>
        <w:rPr>
          <w:noProof/>
        </w:rPr>
      </w:pPr>
      <w:r w:rsidRPr="00FF1C3E">
        <w:rPr>
          <w:noProof/>
        </w:rPr>
        <w:t>blijven voorzien in adequate infrastructuur, technische uitrusting, IT-systemen en financiële en personele middelen, overeenkomstig de strategie voor geïntegreerd grensbeheer (IBM, Integrated Border Management) en bijbehorend actieplan van de Republiek Moldavië;</w:t>
      </w:r>
    </w:p>
    <w:p w14:paraId="458DE241" w14:textId="77777777" w:rsidR="003855A7" w:rsidRPr="00FF1C3E" w:rsidRDefault="003855A7" w:rsidP="00AC1CAF">
      <w:pPr>
        <w:pStyle w:val="Bullet0"/>
        <w:numPr>
          <w:ilvl w:val="0"/>
          <w:numId w:val="43"/>
        </w:numPr>
        <w:ind w:hanging="283"/>
        <w:rPr>
          <w:noProof/>
        </w:rPr>
      </w:pPr>
      <w:r w:rsidRPr="00FF1C3E">
        <w:rPr>
          <w:noProof/>
        </w:rPr>
        <w:t>ontwikkelen en uitvoeren van het 4e beleidsdocument over nationaal geïntegreerd grensbeheer (op basis van de lessen die zijn getrokken uit de vorige strategie 2018-2023);</w:t>
      </w:r>
    </w:p>
    <w:p w14:paraId="6F2DC1A2" w14:textId="77777777" w:rsidR="003855A7" w:rsidRPr="00FF1C3E" w:rsidRDefault="003855A7" w:rsidP="00AC1CAF">
      <w:pPr>
        <w:pStyle w:val="Bullet0"/>
        <w:numPr>
          <w:ilvl w:val="0"/>
          <w:numId w:val="43"/>
        </w:numPr>
        <w:ind w:hanging="283"/>
        <w:rPr>
          <w:noProof/>
        </w:rPr>
      </w:pPr>
      <w:r w:rsidRPr="00FF1C3E">
        <w:rPr>
          <w:noProof/>
        </w:rPr>
        <w:t>versterken van de bestaande infrastructuur (inclusief detentiecentra) en de personeelsbezetting van de bevoegde organen om de daadwerkelijke terugkeer van illegaal verblijvende onderdanen van derde landen en/of onderdanen van derde landen op doorreis vanuit het grondgebied van de Republiek Moldavië te garanderen, alsmede ervoor zorgen dat de mensenrechten van migranten in administratieve detentie worden geëerbiedigd;</w:t>
      </w:r>
    </w:p>
    <w:p w14:paraId="496A64E1" w14:textId="77777777" w:rsidR="003855A7" w:rsidRPr="00FF1C3E" w:rsidRDefault="003855A7" w:rsidP="00AC1CAF">
      <w:pPr>
        <w:pStyle w:val="Bullet0"/>
        <w:numPr>
          <w:ilvl w:val="0"/>
          <w:numId w:val="43"/>
        </w:numPr>
        <w:ind w:hanging="283"/>
        <w:rPr>
          <w:noProof/>
        </w:rPr>
      </w:pPr>
      <w:r w:rsidRPr="00FF1C3E">
        <w:rPr>
          <w:noProof/>
        </w:rPr>
        <w:t>blijven versterken van het bestaande integratiekader door middel van integratiecentra en met name bevorderen van de integratie van personen die tot kwetsbare en gemarginaliseerde gemeenschappen behoren en aanpakken van de onderliggende oorzaken van irreguliere migratie onder deze specifieke groepen;</w:t>
      </w:r>
    </w:p>
    <w:p w14:paraId="11ACDD7D" w14:textId="77777777" w:rsidR="003855A7" w:rsidRPr="00FF1C3E" w:rsidRDefault="003855A7" w:rsidP="00AC1CAF">
      <w:pPr>
        <w:pStyle w:val="Bullet0"/>
        <w:numPr>
          <w:ilvl w:val="0"/>
          <w:numId w:val="43"/>
        </w:numPr>
        <w:ind w:hanging="283"/>
        <w:rPr>
          <w:noProof/>
        </w:rPr>
      </w:pPr>
      <w:r w:rsidRPr="00FF1C3E">
        <w:rPr>
          <w:noProof/>
        </w:rPr>
        <w:t>doorgaan met de effectieve uitvoering van de wetgeving inzake asiel, die een solide kader vormt voor het beschermen van degenen die internationale bescherming nodig hebben, waardoor de infrastructuur van het opvangcentrum wordt versterkt;</w:t>
      </w:r>
    </w:p>
    <w:p w14:paraId="2FB9BE68" w14:textId="77777777" w:rsidR="003855A7" w:rsidRPr="00FF1C3E" w:rsidRDefault="003855A7" w:rsidP="00AC1CAF">
      <w:pPr>
        <w:pStyle w:val="Bullet0"/>
        <w:numPr>
          <w:ilvl w:val="0"/>
          <w:numId w:val="43"/>
        </w:numPr>
        <w:ind w:hanging="283"/>
        <w:rPr>
          <w:noProof/>
        </w:rPr>
      </w:pPr>
      <w:r w:rsidRPr="00FF1C3E">
        <w:rPr>
          <w:noProof/>
        </w:rPr>
        <w:t xml:space="preserve">nastreven van een geïntegreerde benadering van de diaspora en consolideren van de capaciteiten van nationale en lokale autoriteiten inzake diasporagerelateerde aangelegenheden; </w:t>
      </w:r>
    </w:p>
    <w:p w14:paraId="03CA65E4" w14:textId="77777777" w:rsidR="003855A7" w:rsidRPr="00FF1C3E" w:rsidRDefault="003855A7" w:rsidP="00AC1CAF">
      <w:pPr>
        <w:pStyle w:val="Bullet0"/>
        <w:numPr>
          <w:ilvl w:val="0"/>
          <w:numId w:val="43"/>
        </w:numPr>
        <w:ind w:hanging="283"/>
        <w:rPr>
          <w:b/>
          <w:noProof/>
        </w:rPr>
      </w:pPr>
      <w:r w:rsidRPr="00FF1C3E">
        <w:rPr>
          <w:rStyle w:val="Strong"/>
          <w:b w:val="0"/>
          <w:noProof/>
          <w:color w:val="000000"/>
          <w:szCs w:val="24"/>
          <w:shd w:val="clear" w:color="auto" w:fill="FCFDFE"/>
        </w:rPr>
        <w:t>ontwikkelen van doeltreffendere manieren om legale en circulaire migratie te bevorderen, met inbegrip van regelingen voor arbeidsmigratie, met inachtneming van de bestaande nationale wetgeving en bevoegdheden en met volledige eerbiediging van de mensenrechten van alle migrerende werknemers.</w:t>
      </w:r>
    </w:p>
    <w:p w14:paraId="06B38199" w14:textId="77777777" w:rsidR="003855A7" w:rsidRPr="00FF1C3E" w:rsidRDefault="003855A7" w:rsidP="003855A7">
      <w:pPr>
        <w:tabs>
          <w:tab w:val="left" w:pos="0"/>
        </w:tabs>
        <w:spacing w:before="360" w:after="0"/>
        <w:rPr>
          <w:rFonts w:eastAsia="Times New Roman"/>
          <w:i/>
          <w:noProof/>
          <w:szCs w:val="24"/>
        </w:rPr>
      </w:pPr>
      <w:r w:rsidRPr="00FF1C3E">
        <w:rPr>
          <w:i/>
          <w:noProof/>
          <w:szCs w:val="24"/>
        </w:rPr>
        <w:t>Juridische samenwerking</w:t>
      </w:r>
    </w:p>
    <w:p w14:paraId="2F7F6CAD" w14:textId="77777777" w:rsidR="003855A7" w:rsidRPr="00FF1C3E" w:rsidRDefault="003855A7" w:rsidP="00AC1CAF">
      <w:pPr>
        <w:pStyle w:val="Bullet0"/>
        <w:numPr>
          <w:ilvl w:val="0"/>
          <w:numId w:val="44"/>
        </w:numPr>
        <w:ind w:hanging="283"/>
        <w:rPr>
          <w:noProof/>
        </w:rPr>
      </w:pPr>
      <w:r w:rsidRPr="00FF1C3E">
        <w:rPr>
          <w:noProof/>
        </w:rPr>
        <w:t>Intensiveren van de samenwerking tussen de Republiek Moldavië en Eurojust.</w:t>
      </w:r>
    </w:p>
    <w:p w14:paraId="4678F520" w14:textId="77777777" w:rsidR="003855A7" w:rsidRPr="00FF1C3E" w:rsidRDefault="003855A7" w:rsidP="00AC1CAF">
      <w:pPr>
        <w:pStyle w:val="Bullet0"/>
        <w:numPr>
          <w:ilvl w:val="0"/>
          <w:numId w:val="44"/>
        </w:numPr>
        <w:ind w:hanging="283"/>
        <w:rPr>
          <w:noProof/>
        </w:rPr>
      </w:pPr>
      <w:r w:rsidRPr="00FF1C3E">
        <w:rPr>
          <w:noProof/>
        </w:rPr>
        <w:t xml:space="preserve">Toetreden tot en uitvoeren van multilaterale verdragen inzake justitiële samenwerking in burgerlijke zaken, in het bijzonder het Verdrag van 1970 inzake de verkrijging van bewijs in het buitenland in burgerlijke en in handelszaken. </w:t>
      </w:r>
    </w:p>
    <w:p w14:paraId="2960A305" w14:textId="77777777" w:rsidR="003855A7" w:rsidRPr="00FF1C3E" w:rsidRDefault="003855A7" w:rsidP="00AC1CAF">
      <w:pPr>
        <w:pStyle w:val="Bullet0"/>
        <w:numPr>
          <w:ilvl w:val="0"/>
          <w:numId w:val="44"/>
        </w:numPr>
        <w:ind w:hanging="283"/>
        <w:rPr>
          <w:noProof/>
        </w:rPr>
      </w:pPr>
      <w:r w:rsidRPr="00FF1C3E">
        <w:rPr>
          <w:noProof/>
        </w:rPr>
        <w:t>Streven naar toetreding tot en uitvoering van multilaterale verdragen inzake de bescherming van kinderen, in het bijzonder de verdragen van de Haagse Conferentie voor Internationaal Privaatrecht op het gebied van familierecht, zoals het Verdrag van 1996 inzake de bevoegdheid, het toepasselijke recht, de erkenning, de uitvoering en de samenwerking op het gebied van ouderlijke verantwoordelijkheid en maatregelen ter bescherming van kinderen en het Verdrag van 2007 inzake de internationale inning van levensonderhoud voor kinderen en andere familieleden, op basis van de resultaten van de uit te voeren haalbaarheidsstudies.</w:t>
      </w:r>
    </w:p>
    <w:p w14:paraId="7B5ABAD9" w14:textId="77777777" w:rsidR="003855A7" w:rsidRPr="00FF1C3E" w:rsidRDefault="003855A7" w:rsidP="003855A7">
      <w:pPr>
        <w:pBdr>
          <w:top w:val="nil"/>
          <w:left w:val="nil"/>
          <w:bottom w:val="nil"/>
          <w:right w:val="nil"/>
          <w:between w:val="nil"/>
        </w:pBdr>
        <w:spacing w:after="0"/>
        <w:ind w:left="720"/>
        <w:rPr>
          <w:rFonts w:eastAsia="Times New Roman"/>
          <w:noProof/>
          <w:color w:val="000000"/>
          <w:szCs w:val="24"/>
        </w:rPr>
      </w:pPr>
    </w:p>
    <w:p w14:paraId="62BF1456" w14:textId="66D70677" w:rsidR="003855A7" w:rsidRPr="00FF1C3E" w:rsidRDefault="00AC4A03" w:rsidP="00AC4A03">
      <w:pPr>
        <w:rPr>
          <w:b/>
          <w:i/>
          <w:noProof/>
          <w:u w:val="single"/>
        </w:rPr>
      </w:pPr>
      <w:r w:rsidRPr="00FF1C3E">
        <w:rPr>
          <w:b/>
          <w:i/>
          <w:noProof/>
          <w:u w:val="single"/>
        </w:rPr>
        <w:t>IV. Economische en sectorale samenwerking</w:t>
      </w:r>
    </w:p>
    <w:p w14:paraId="577C0AAC" w14:textId="7DB0BB29" w:rsidR="003855A7" w:rsidRPr="00FF1C3E" w:rsidRDefault="003855A7" w:rsidP="003855A7">
      <w:pPr>
        <w:spacing w:after="0" w:line="276" w:lineRule="auto"/>
        <w:rPr>
          <w:rFonts w:eastAsia="Times New Roman"/>
          <w:noProof/>
          <w:szCs w:val="24"/>
        </w:rPr>
      </w:pPr>
      <w:r w:rsidRPr="00FF1C3E">
        <w:rPr>
          <w:noProof/>
        </w:rPr>
        <w:t>De partijen werken samen om de economische ontwikkeling en economische integratie te stimuleren door middel van intensievere sectorale samenwerking. De Republiek Moldavië informeert de EU regelmatig over de stand van zaken met betrekking tot de afstemming via de gespecialiseerde subcomités en, in voorkomend geval, en met instemming van beide partijen, verleent de EU bijstand en deskundigheid om de Republiek Moldavië bij dit proces te helpen.</w:t>
      </w:r>
    </w:p>
    <w:p w14:paraId="00090364" w14:textId="77777777" w:rsidR="00D35DCC" w:rsidRPr="00FF1C3E" w:rsidRDefault="00D35DCC" w:rsidP="003855A7">
      <w:pPr>
        <w:spacing w:after="0" w:line="276" w:lineRule="auto"/>
        <w:rPr>
          <w:rFonts w:eastAsia="Times New Roman"/>
          <w:noProof/>
          <w:szCs w:val="24"/>
        </w:rPr>
      </w:pPr>
    </w:p>
    <w:p w14:paraId="4CB243BF" w14:textId="77777777" w:rsidR="003855A7" w:rsidRPr="00FF1C3E" w:rsidRDefault="003855A7" w:rsidP="00D95F1C">
      <w:pPr>
        <w:pStyle w:val="NumPar1"/>
        <w:numPr>
          <w:ilvl w:val="0"/>
          <w:numId w:val="93"/>
        </w:numPr>
        <w:tabs>
          <w:tab w:val="clear" w:pos="850"/>
          <w:tab w:val="num" w:pos="567"/>
        </w:tabs>
        <w:ind w:left="567" w:hanging="567"/>
        <w:rPr>
          <w:noProof/>
          <w:u w:val="single"/>
        </w:rPr>
      </w:pPr>
      <w:bookmarkStart w:id="5" w:name="_Hlk61343122"/>
      <w:r w:rsidRPr="00FF1C3E">
        <w:rPr>
          <w:noProof/>
          <w:u w:val="single"/>
        </w:rPr>
        <w:t>Klimaatactie</w:t>
      </w:r>
    </w:p>
    <w:bookmarkEnd w:id="5"/>
    <w:p w14:paraId="6DDDD95D" w14:textId="77777777" w:rsidR="003855A7" w:rsidRPr="00FF1C3E" w:rsidRDefault="003855A7" w:rsidP="003855A7">
      <w:pPr>
        <w:spacing w:after="0"/>
        <w:rPr>
          <w:rFonts w:eastAsia="Times New Roman"/>
          <w:noProof/>
          <w:szCs w:val="24"/>
        </w:rPr>
      </w:pPr>
      <w:r w:rsidRPr="00FF1C3E">
        <w:rPr>
          <w:noProof/>
        </w:rPr>
        <w:t>De partijen werken samen om de dialoog en samenwerking op het vlak van klimaatverandering te versterken, waarbij het met name gaat om:</w:t>
      </w:r>
    </w:p>
    <w:p w14:paraId="72E8C2F6" w14:textId="77777777" w:rsidR="003855A7" w:rsidRPr="00FF1C3E" w:rsidRDefault="003855A7" w:rsidP="003855A7">
      <w:pPr>
        <w:spacing w:after="0"/>
        <w:rPr>
          <w:rFonts w:eastAsia="Times New Roman"/>
          <w:noProof/>
          <w:szCs w:val="24"/>
        </w:rPr>
      </w:pPr>
      <w:r w:rsidRPr="00FF1C3E">
        <w:rPr>
          <w:i/>
          <w:noProof/>
          <w:szCs w:val="24"/>
        </w:rPr>
        <w:t>– binnen drie tot vier jaar:</w:t>
      </w:r>
    </w:p>
    <w:p w14:paraId="668C5312" w14:textId="77777777" w:rsidR="003855A7" w:rsidRPr="00FF1C3E" w:rsidRDefault="003855A7" w:rsidP="00AC1CAF">
      <w:pPr>
        <w:pStyle w:val="Bullet0"/>
        <w:numPr>
          <w:ilvl w:val="0"/>
          <w:numId w:val="45"/>
        </w:numPr>
        <w:ind w:hanging="283"/>
        <w:rPr>
          <w:noProof/>
        </w:rPr>
      </w:pPr>
      <w:r w:rsidRPr="00FF1C3E">
        <w:rPr>
          <w:noProof/>
        </w:rPr>
        <w:t>samenwerken met de Republiek Moldavië bij de ontwikkeling en uitvoering van een beleidsdocument inzake lage broeikasgasemissies op de lange termijn waarin de economische aanpak van de Europese Green Deal tot uiting komt;</w:t>
      </w:r>
    </w:p>
    <w:p w14:paraId="305BD58C" w14:textId="77777777" w:rsidR="003855A7" w:rsidRPr="00FF1C3E" w:rsidRDefault="003855A7" w:rsidP="00AC1CAF">
      <w:pPr>
        <w:pStyle w:val="Bullet0"/>
        <w:numPr>
          <w:ilvl w:val="0"/>
          <w:numId w:val="45"/>
        </w:numPr>
        <w:ind w:hanging="283"/>
        <w:rPr>
          <w:noProof/>
        </w:rPr>
      </w:pPr>
      <w:r w:rsidRPr="00FF1C3E">
        <w:rPr>
          <w:noProof/>
        </w:rPr>
        <w:t xml:space="preserve">voorzetten van de samenwerking met en verlenen van bijstand aan de Republiek Moldavië bij het overnemen van de doelstellingen van de Europese Green Deal; </w:t>
      </w:r>
    </w:p>
    <w:p w14:paraId="4E1C26F0" w14:textId="77777777" w:rsidR="003855A7" w:rsidRPr="00FF1C3E" w:rsidRDefault="003855A7" w:rsidP="00AC1CAF">
      <w:pPr>
        <w:pStyle w:val="Bullet0"/>
        <w:numPr>
          <w:ilvl w:val="0"/>
          <w:numId w:val="45"/>
        </w:numPr>
        <w:ind w:hanging="283"/>
        <w:rPr>
          <w:noProof/>
        </w:rPr>
      </w:pPr>
      <w:r w:rsidRPr="00FF1C3E">
        <w:rPr>
          <w:noProof/>
        </w:rPr>
        <w:t xml:space="preserve">samenwerken met het maatschappelijk middenveld, jongeren en lokale belanghebbenden om het bewustzijn over de gevolgen van klimaatverandering te vergroten en zo positieve gedragsveranderingen teweeg te brengen; </w:t>
      </w:r>
    </w:p>
    <w:p w14:paraId="290E9F2E" w14:textId="77777777" w:rsidR="003855A7" w:rsidRPr="00FF1C3E" w:rsidRDefault="003855A7" w:rsidP="00AC1CAF">
      <w:pPr>
        <w:pStyle w:val="Bullet0"/>
        <w:numPr>
          <w:ilvl w:val="0"/>
          <w:numId w:val="45"/>
        </w:numPr>
        <w:ind w:hanging="283"/>
        <w:rPr>
          <w:noProof/>
        </w:rPr>
      </w:pPr>
      <w:r w:rsidRPr="00FF1C3E">
        <w:rPr>
          <w:noProof/>
        </w:rPr>
        <w:t>voortzetten van de aanpassing van de wetgeving aan de EU-wetgeving inzake klimaatactie die is opgenomen in de associatieovereenkomst en in het kader van de Energiegemeenschap;</w:t>
      </w:r>
    </w:p>
    <w:p w14:paraId="30FD60F5" w14:textId="77777777" w:rsidR="003855A7" w:rsidRPr="00FF1C3E" w:rsidRDefault="003855A7" w:rsidP="00AC1CAF">
      <w:pPr>
        <w:pStyle w:val="Bullet0"/>
        <w:numPr>
          <w:ilvl w:val="0"/>
          <w:numId w:val="45"/>
        </w:numPr>
        <w:ind w:hanging="283"/>
        <w:rPr>
          <w:noProof/>
        </w:rPr>
      </w:pPr>
      <w:r w:rsidRPr="00FF1C3E">
        <w:rPr>
          <w:noProof/>
        </w:rPr>
        <w:t>samenwerken op het gebied van de uitvoering van de Overeenkomst van Parijs;</w:t>
      </w:r>
    </w:p>
    <w:p w14:paraId="037D6828" w14:textId="77777777" w:rsidR="003855A7" w:rsidRPr="00FF1C3E" w:rsidRDefault="003855A7" w:rsidP="00AC1CAF">
      <w:pPr>
        <w:pStyle w:val="Bullet0"/>
        <w:numPr>
          <w:ilvl w:val="0"/>
          <w:numId w:val="45"/>
        </w:numPr>
        <w:ind w:hanging="283"/>
        <w:rPr>
          <w:noProof/>
        </w:rPr>
      </w:pPr>
      <w:r w:rsidRPr="00FF1C3E">
        <w:rPr>
          <w:noProof/>
        </w:rPr>
        <w:t>er in het kader van de maatregelen voor groen herstel na de COVID-19-pandemie naar streven de economie klimaatbestendig en groener te maken en milieu- en klimaatdoelstellingen te bereiken;</w:t>
      </w:r>
    </w:p>
    <w:p w14:paraId="7D116F24" w14:textId="77777777" w:rsidR="003855A7" w:rsidRPr="00FF1C3E" w:rsidRDefault="003855A7" w:rsidP="003855A7">
      <w:pPr>
        <w:spacing w:before="240" w:after="0"/>
        <w:rPr>
          <w:rFonts w:eastAsia="Times New Roman"/>
          <w:noProof/>
          <w:szCs w:val="24"/>
        </w:rPr>
      </w:pPr>
      <w:bookmarkStart w:id="6" w:name="_Hlk61343207"/>
      <w:r w:rsidRPr="00FF1C3E">
        <w:rPr>
          <w:i/>
          <w:noProof/>
          <w:szCs w:val="24"/>
        </w:rPr>
        <w:t>– binnen zeven jaar:</w:t>
      </w:r>
    </w:p>
    <w:p w14:paraId="20E1A327" w14:textId="77777777" w:rsidR="003855A7" w:rsidRPr="00FF1C3E" w:rsidRDefault="003855A7" w:rsidP="00AC1CAF">
      <w:pPr>
        <w:pStyle w:val="Bullet0"/>
        <w:numPr>
          <w:ilvl w:val="0"/>
          <w:numId w:val="46"/>
        </w:numPr>
        <w:ind w:hanging="283"/>
        <w:rPr>
          <w:noProof/>
        </w:rPr>
      </w:pPr>
      <w:r w:rsidRPr="00FF1C3E">
        <w:rPr>
          <w:noProof/>
        </w:rPr>
        <w:t>samenwerken met de Republiek Moldavië bij de ontwikkeling van een emissiehandelssysteem of andere mechanismen voor koolstofbeprijzing;</w:t>
      </w:r>
    </w:p>
    <w:bookmarkEnd w:id="6"/>
    <w:p w14:paraId="0B3CD860" w14:textId="2919AFC4" w:rsidR="003855A7" w:rsidRPr="00FF1C3E" w:rsidRDefault="003855A7" w:rsidP="00AC1CAF">
      <w:pPr>
        <w:pStyle w:val="Bullet0"/>
        <w:numPr>
          <w:ilvl w:val="0"/>
          <w:numId w:val="46"/>
        </w:numPr>
        <w:ind w:hanging="283"/>
        <w:rPr>
          <w:noProof/>
        </w:rPr>
      </w:pPr>
      <w:r w:rsidRPr="00FF1C3E">
        <w:rPr>
          <w:noProof/>
        </w:rPr>
        <w:t xml:space="preserve">samenwerken met de Republiek Moldavië om tegen 2050 klimaatneutraliteit van haar economie te bereiken. </w:t>
      </w:r>
    </w:p>
    <w:p w14:paraId="5978B616" w14:textId="77777777" w:rsidR="00D35DCC" w:rsidRPr="00FF1C3E" w:rsidRDefault="00D35DCC" w:rsidP="00D35DCC">
      <w:pPr>
        <w:rPr>
          <w:noProof/>
        </w:rPr>
      </w:pPr>
    </w:p>
    <w:p w14:paraId="3845A01C" w14:textId="77777777" w:rsidR="003855A7" w:rsidRPr="00FF1C3E" w:rsidRDefault="003855A7" w:rsidP="00D35DCC">
      <w:pPr>
        <w:pStyle w:val="NumPar1"/>
        <w:rPr>
          <w:noProof/>
          <w:u w:val="single"/>
        </w:rPr>
      </w:pPr>
      <w:bookmarkStart w:id="7" w:name="_Hlk63947648"/>
      <w:r w:rsidRPr="00FF1C3E">
        <w:rPr>
          <w:noProof/>
          <w:u w:val="single"/>
        </w:rPr>
        <w:t>Milieu</w:t>
      </w:r>
    </w:p>
    <w:bookmarkEnd w:id="7"/>
    <w:p w14:paraId="621C25B7" w14:textId="77777777" w:rsidR="003855A7" w:rsidRPr="00FF1C3E" w:rsidRDefault="003855A7" w:rsidP="003855A7">
      <w:pPr>
        <w:spacing w:after="0"/>
        <w:rPr>
          <w:rFonts w:eastAsia="Times New Roman"/>
          <w:noProof/>
          <w:szCs w:val="24"/>
        </w:rPr>
      </w:pPr>
      <w:r w:rsidRPr="00FF1C3E">
        <w:rPr>
          <w:noProof/>
        </w:rPr>
        <w:t>De partijen werken samen met het oog op de volgende punten:</w:t>
      </w:r>
    </w:p>
    <w:p w14:paraId="6CDFCB9F" w14:textId="77777777" w:rsidR="003855A7" w:rsidRPr="00FF1C3E" w:rsidRDefault="003855A7" w:rsidP="003855A7">
      <w:pPr>
        <w:spacing w:after="0"/>
        <w:rPr>
          <w:rFonts w:eastAsia="Times New Roman"/>
          <w:i/>
          <w:noProof/>
          <w:szCs w:val="24"/>
        </w:rPr>
      </w:pPr>
      <w:r w:rsidRPr="00FF1C3E">
        <w:rPr>
          <w:i/>
          <w:noProof/>
          <w:szCs w:val="24"/>
        </w:rPr>
        <w:t>– binnen drie tot vier jaar:</w:t>
      </w:r>
    </w:p>
    <w:p w14:paraId="60939369" w14:textId="77777777" w:rsidR="003855A7" w:rsidRPr="00FF1C3E" w:rsidRDefault="003855A7" w:rsidP="00AC1CAF">
      <w:pPr>
        <w:pStyle w:val="Bullet0"/>
        <w:numPr>
          <w:ilvl w:val="0"/>
          <w:numId w:val="48"/>
        </w:numPr>
        <w:ind w:hanging="283"/>
        <w:rPr>
          <w:noProof/>
        </w:rPr>
      </w:pPr>
      <w:r w:rsidRPr="00FF1C3E">
        <w:rPr>
          <w:noProof/>
        </w:rPr>
        <w:t>voortzetten van de aanpassing aan de EU-milieuwetgeving op het gebied van beleidsdocumenten, wetten en secundaire wetgeving, met name inzake afvalbeheer, behandeling van afvalwater, duurzaam waterbeheer, industriële verontreiniging, chemische stoffen, natuurbescherming, ontwikkeling en beheer van bossen, luchtkwaliteit en klimaatverandering;</w:t>
      </w:r>
    </w:p>
    <w:p w14:paraId="188B1EB4" w14:textId="77777777" w:rsidR="003855A7" w:rsidRPr="00FF1C3E" w:rsidRDefault="003855A7" w:rsidP="00AC1CAF">
      <w:pPr>
        <w:pStyle w:val="Bullet0"/>
        <w:numPr>
          <w:ilvl w:val="0"/>
          <w:numId w:val="48"/>
        </w:numPr>
        <w:ind w:hanging="283"/>
        <w:rPr>
          <w:noProof/>
        </w:rPr>
      </w:pPr>
      <w:r w:rsidRPr="00FF1C3E">
        <w:rPr>
          <w:noProof/>
        </w:rPr>
        <w:t>voltooien van de institutionele hervorming in de sector met het oog op de opbouw van degelijk milieubeheer, inclusief de nodige begrotingstoewijzingen en personeel om het milieuacquis van de EU uit te voeren en te handhaven; ontwikkelen en uitvoeren van economische instrumenten op milieugebied;</w:t>
      </w:r>
    </w:p>
    <w:p w14:paraId="2C25A706" w14:textId="77777777" w:rsidR="003855A7" w:rsidRPr="00FF1C3E" w:rsidRDefault="003855A7" w:rsidP="00AC1CAF">
      <w:pPr>
        <w:pStyle w:val="Bullet0"/>
        <w:numPr>
          <w:ilvl w:val="0"/>
          <w:numId w:val="48"/>
        </w:numPr>
        <w:ind w:hanging="283"/>
        <w:rPr>
          <w:noProof/>
        </w:rPr>
      </w:pPr>
      <w:r w:rsidRPr="00FF1C3E">
        <w:rPr>
          <w:noProof/>
        </w:rPr>
        <w:t>samenwerken met de Republiek Moldavië bij de ontwikkeling van een groene en circulaire economie en waarborgen van duurzaam beheer van natuurlijke hulpbronnen en aldus bijdragen tot de verwezenlijking van de doelstellingen van de Europese Green Deal;</w:t>
      </w:r>
    </w:p>
    <w:p w14:paraId="3B855D88" w14:textId="77777777" w:rsidR="003855A7" w:rsidRPr="00FF1C3E" w:rsidRDefault="003855A7" w:rsidP="00AC1CAF">
      <w:pPr>
        <w:pStyle w:val="Bullet0"/>
        <w:numPr>
          <w:ilvl w:val="0"/>
          <w:numId w:val="48"/>
        </w:numPr>
        <w:ind w:hanging="283"/>
        <w:rPr>
          <w:i/>
          <w:noProof/>
        </w:rPr>
      </w:pPr>
      <w:r w:rsidRPr="00FF1C3E">
        <w:rPr>
          <w:noProof/>
        </w:rPr>
        <w:t>inleiden van het proces ter bevordering van het milieubeheer- en milieuauditsysteem (EMAS) om organisaties en overheidsinstellingen aan te moedigen hun prestaties op het gebied van milieu en duurzame ontwikkeling te verbeteren;</w:t>
      </w:r>
    </w:p>
    <w:p w14:paraId="066207C5" w14:textId="77777777" w:rsidR="003855A7" w:rsidRPr="00FF1C3E" w:rsidRDefault="003855A7" w:rsidP="00AC1CAF">
      <w:pPr>
        <w:pStyle w:val="Bullet0"/>
        <w:numPr>
          <w:ilvl w:val="0"/>
          <w:numId w:val="48"/>
        </w:numPr>
        <w:ind w:hanging="283"/>
        <w:rPr>
          <w:noProof/>
        </w:rPr>
      </w:pPr>
      <w:r w:rsidRPr="00FF1C3E">
        <w:rPr>
          <w:noProof/>
        </w:rPr>
        <w:t>samenwerken bij de uitvoering van multilaterale milieuovereenkomsten waarbij de EU en de Republiek Moldavië partij zijn;</w:t>
      </w:r>
    </w:p>
    <w:p w14:paraId="79D0D07A" w14:textId="77777777" w:rsidR="003855A7" w:rsidRPr="00FF1C3E" w:rsidRDefault="003855A7" w:rsidP="00AC1CAF">
      <w:pPr>
        <w:pStyle w:val="Bullet0"/>
        <w:numPr>
          <w:ilvl w:val="0"/>
          <w:numId w:val="48"/>
        </w:numPr>
        <w:ind w:hanging="283"/>
        <w:rPr>
          <w:noProof/>
        </w:rPr>
      </w:pPr>
      <w:r w:rsidRPr="00FF1C3E">
        <w:rPr>
          <w:noProof/>
        </w:rPr>
        <w:t>samenwerken op specifieke gebieden zoals versnelling van (her)bebossing en duurzame bosbouw, bescherming van de biodiversiteit en passend beheer van beschermde gebieden;</w:t>
      </w:r>
    </w:p>
    <w:p w14:paraId="5ADAD633" w14:textId="77777777" w:rsidR="003855A7" w:rsidRPr="00FF1C3E" w:rsidRDefault="003855A7" w:rsidP="00AC1CAF">
      <w:pPr>
        <w:pStyle w:val="Bullet0"/>
        <w:numPr>
          <w:ilvl w:val="0"/>
          <w:numId w:val="48"/>
        </w:numPr>
        <w:ind w:hanging="283"/>
        <w:rPr>
          <w:noProof/>
        </w:rPr>
      </w:pPr>
      <w:bookmarkStart w:id="8" w:name="_Hlk63947678"/>
      <w:bookmarkStart w:id="9" w:name="_Hlk59189773"/>
      <w:r w:rsidRPr="00FF1C3E">
        <w:rPr>
          <w:noProof/>
        </w:rPr>
        <w:t>samenwerken om het waterbeheer van de Republiek Moldavië te versterken in een grensoverschrijdende context, door de beste praktijken op EU-niveau te hanteren;</w:t>
      </w:r>
      <w:bookmarkEnd w:id="8"/>
    </w:p>
    <w:p w14:paraId="1858425D" w14:textId="77777777" w:rsidR="003855A7" w:rsidRPr="00FF1C3E" w:rsidRDefault="003855A7" w:rsidP="00AC1CAF">
      <w:pPr>
        <w:pStyle w:val="Bullet0"/>
        <w:numPr>
          <w:ilvl w:val="0"/>
          <w:numId w:val="48"/>
        </w:numPr>
        <w:ind w:hanging="283"/>
        <w:rPr>
          <w:noProof/>
        </w:rPr>
      </w:pPr>
      <w:r w:rsidRPr="00FF1C3E">
        <w:rPr>
          <w:noProof/>
        </w:rPr>
        <w:t>samenwerken bij de uitvoering van beleidsmaatregelen die gericht zijn op duurzaam beheer van de watervoorraden van de rivier de Nistru, waar nodig op stroomgebiedniveau;</w:t>
      </w:r>
    </w:p>
    <w:bookmarkEnd w:id="9"/>
    <w:p w14:paraId="0CF6A97A" w14:textId="77777777" w:rsidR="003855A7" w:rsidRPr="00FF1C3E" w:rsidRDefault="003855A7" w:rsidP="00AC1CAF">
      <w:pPr>
        <w:pStyle w:val="Bullet0"/>
        <w:numPr>
          <w:ilvl w:val="0"/>
          <w:numId w:val="48"/>
        </w:numPr>
        <w:ind w:hanging="283"/>
        <w:rPr>
          <w:i/>
          <w:noProof/>
          <w:shd w:val="clear" w:color="auto" w:fill="93C47D"/>
        </w:rPr>
      </w:pPr>
      <w:r w:rsidRPr="00FF1C3E">
        <w:rPr>
          <w:noProof/>
        </w:rPr>
        <w:t>bevorderen van een doeltreffend netwerk van maatschappelijke organisaties op het gebied van milieuvraagstukken, met sterke capaciteiten om effectief deel te nemen aan het besluitvormingsproces;</w:t>
      </w:r>
    </w:p>
    <w:p w14:paraId="6DD06FEE" w14:textId="77777777" w:rsidR="003855A7" w:rsidRPr="00FF1C3E" w:rsidRDefault="003855A7" w:rsidP="00AC1CAF">
      <w:pPr>
        <w:pStyle w:val="Bullet0"/>
        <w:numPr>
          <w:ilvl w:val="0"/>
          <w:numId w:val="48"/>
        </w:numPr>
        <w:ind w:hanging="283"/>
        <w:rPr>
          <w:i/>
          <w:noProof/>
          <w:shd w:val="clear" w:color="auto" w:fill="93C47D"/>
        </w:rPr>
      </w:pPr>
      <w:r w:rsidRPr="00FF1C3E">
        <w:rPr>
          <w:noProof/>
        </w:rPr>
        <w:t>zorgen voor efficiënte handhaving van de milieuwetgeving;</w:t>
      </w:r>
    </w:p>
    <w:p w14:paraId="7062E9A8" w14:textId="77777777" w:rsidR="003855A7" w:rsidRPr="00FF1C3E" w:rsidRDefault="003855A7" w:rsidP="003855A7">
      <w:pPr>
        <w:spacing w:before="240" w:after="0"/>
        <w:rPr>
          <w:rFonts w:eastAsia="Times New Roman"/>
          <w:i/>
          <w:noProof/>
          <w:szCs w:val="24"/>
        </w:rPr>
      </w:pPr>
      <w:r w:rsidRPr="00FF1C3E">
        <w:rPr>
          <w:i/>
          <w:noProof/>
          <w:szCs w:val="24"/>
        </w:rPr>
        <w:t>– binnen zeven jaar:</w:t>
      </w:r>
    </w:p>
    <w:p w14:paraId="1DAAB6F6" w14:textId="59620A4B" w:rsidR="003855A7" w:rsidRPr="00FF1C3E" w:rsidRDefault="003855A7" w:rsidP="00AC1CAF">
      <w:pPr>
        <w:pStyle w:val="Bullet0"/>
        <w:numPr>
          <w:ilvl w:val="0"/>
          <w:numId w:val="49"/>
        </w:numPr>
        <w:ind w:hanging="283"/>
        <w:rPr>
          <w:noProof/>
        </w:rPr>
      </w:pPr>
      <w:r w:rsidRPr="00FF1C3E">
        <w:rPr>
          <w:noProof/>
        </w:rPr>
        <w:t>samenwerken met de Republiek Moldavië bij het verder tot stand brengen van een moderne, hulpbronnenefficiënte en concurrerende economie in overeenstemming met de beginselen van de ontwikkeling van de circulaire economie met geringe emissies en de doelstellingen van de Europese Green Deal, onder meer door milieuoverwegingen in alle sectoren van de economie te integreren.</w:t>
      </w:r>
    </w:p>
    <w:p w14:paraId="2131B45E" w14:textId="77777777" w:rsidR="00D35DCC" w:rsidRPr="00FF1C3E" w:rsidRDefault="00D35DCC" w:rsidP="00D35DCC">
      <w:pPr>
        <w:rPr>
          <w:noProof/>
        </w:rPr>
      </w:pPr>
    </w:p>
    <w:p w14:paraId="3939C89E" w14:textId="77777777" w:rsidR="003855A7" w:rsidRPr="00FF1C3E" w:rsidRDefault="003855A7" w:rsidP="00D35DCC">
      <w:pPr>
        <w:pStyle w:val="NumPar1"/>
        <w:tabs>
          <w:tab w:val="clear" w:pos="850"/>
          <w:tab w:val="num" w:pos="567"/>
        </w:tabs>
        <w:ind w:left="567" w:hanging="567"/>
        <w:rPr>
          <w:noProof/>
          <w:u w:val="single"/>
        </w:rPr>
      </w:pPr>
      <w:bookmarkStart w:id="10" w:name="_Hlk63947710"/>
      <w:r w:rsidRPr="00FF1C3E">
        <w:rPr>
          <w:noProof/>
          <w:u w:val="single"/>
        </w:rPr>
        <w:t>Digitale economie en samenleving</w:t>
      </w:r>
    </w:p>
    <w:bookmarkEnd w:id="10"/>
    <w:p w14:paraId="78D239A6" w14:textId="31BDE028" w:rsidR="003855A7" w:rsidRPr="00FF1C3E" w:rsidRDefault="003855A7" w:rsidP="003855A7">
      <w:pPr>
        <w:spacing w:after="0" w:line="276" w:lineRule="auto"/>
        <w:rPr>
          <w:noProof/>
        </w:rPr>
      </w:pPr>
      <w:r w:rsidRPr="00FF1C3E">
        <w:rPr>
          <w:noProof/>
        </w:rPr>
        <w:t>De partijen werken waar nodig samen om te komen tot een tijdige en volledige uitvoering van de in de desbetreffende bijlagen bij de associatieovereenkomst tussen de EU en de Republiek Moldavië vermelde EU-wetgeving. Voorts werken de partijen samen om de harmonisatie van digitale markten met de EU en tussen de landen van het Oostelijk Partnerschap te versterken en initiatieven op nationaal niveau in de Republiek Moldavië te bevorderen. De partijen stimuleren het gebruik van de vrije en open gegevens en diensten die worden aangeboden door het ruimtevaartprogramma van de EU, met name Galileo, Copernicus en Egnos (European Geostationary Navigation Overlay Service</w:t>
      </w:r>
      <w:r w:rsidR="00CF77FF" w:rsidRPr="00FF1C3E">
        <w:rPr>
          <w:noProof/>
        </w:rPr>
        <w:t>)</w:t>
      </w:r>
      <w:r w:rsidRPr="00FF1C3E">
        <w:rPr>
          <w:noProof/>
        </w:rPr>
        <w:t>, en die van groot waarde kunnen zijn voor de digitale economie en voor empirisch onderbouwde beleidsvorming. De samenwerking tussen de partijen heeft betrekking op de volgende punten:</w:t>
      </w:r>
    </w:p>
    <w:p w14:paraId="33FA96DB" w14:textId="77777777" w:rsidR="003855A7" w:rsidRPr="00FF1C3E" w:rsidRDefault="003855A7" w:rsidP="003855A7">
      <w:pPr>
        <w:spacing w:before="240" w:after="0"/>
        <w:rPr>
          <w:rFonts w:eastAsia="Times New Roman"/>
          <w:i/>
          <w:noProof/>
          <w:szCs w:val="24"/>
        </w:rPr>
      </w:pPr>
      <w:r w:rsidRPr="00FF1C3E">
        <w:rPr>
          <w:i/>
          <w:noProof/>
          <w:szCs w:val="24"/>
        </w:rPr>
        <w:t>– binnen drie tot vier jaar:</w:t>
      </w:r>
    </w:p>
    <w:p w14:paraId="2F7A2BA6" w14:textId="77777777" w:rsidR="003855A7" w:rsidRPr="00FF1C3E" w:rsidRDefault="003855A7" w:rsidP="00AC1CAF">
      <w:pPr>
        <w:pStyle w:val="Bullet0"/>
        <w:numPr>
          <w:ilvl w:val="0"/>
          <w:numId w:val="50"/>
        </w:numPr>
        <w:ind w:hanging="283"/>
        <w:rPr>
          <w:noProof/>
        </w:rPr>
      </w:pPr>
      <w:r w:rsidRPr="00FF1C3E">
        <w:rPr>
          <w:noProof/>
        </w:rPr>
        <w:t>voortzetten van de aanpassing van de Moldavische wetgeving aan de EU-wetgeving op het gebied van elektronische communicatie en infrastructuur voor ruimtelijke gegevens;</w:t>
      </w:r>
    </w:p>
    <w:p w14:paraId="7CE93BD8" w14:textId="77777777" w:rsidR="003855A7" w:rsidRPr="00FF1C3E" w:rsidRDefault="003855A7" w:rsidP="00AC1CAF">
      <w:pPr>
        <w:pStyle w:val="Bullet0"/>
        <w:numPr>
          <w:ilvl w:val="0"/>
          <w:numId w:val="50"/>
        </w:numPr>
        <w:ind w:hanging="283"/>
        <w:rPr>
          <w:noProof/>
        </w:rPr>
      </w:pPr>
      <w:r w:rsidRPr="00FF1C3E">
        <w:rPr>
          <w:noProof/>
        </w:rPr>
        <w:t>zorgen voor eventuele wederzijdse erkenning van elektronische vertrouwensdiensten met de EU, als belangrijkste output van het EU4Digital-project;</w:t>
      </w:r>
    </w:p>
    <w:p w14:paraId="1AA9C4AF" w14:textId="77777777" w:rsidR="003855A7" w:rsidRPr="00FF1C3E" w:rsidRDefault="003855A7" w:rsidP="00AC1CAF">
      <w:pPr>
        <w:pStyle w:val="Bullet0"/>
        <w:numPr>
          <w:ilvl w:val="0"/>
          <w:numId w:val="50"/>
        </w:numPr>
        <w:ind w:hanging="283"/>
        <w:rPr>
          <w:noProof/>
        </w:rPr>
      </w:pPr>
      <w:r w:rsidRPr="00FF1C3E">
        <w:rPr>
          <w:noProof/>
        </w:rPr>
        <w:t>uitvoeren in de Republiek Moldavië van de regionale roamingovereenkomst en de regionale spectrumovereenkomst tussen de zes landen van het Oostelijk Partnerschap;</w:t>
      </w:r>
    </w:p>
    <w:p w14:paraId="7DEB20BF" w14:textId="77777777" w:rsidR="003855A7" w:rsidRPr="00FF1C3E" w:rsidRDefault="003855A7" w:rsidP="00AC1CAF">
      <w:pPr>
        <w:pStyle w:val="Bullet0"/>
        <w:numPr>
          <w:ilvl w:val="0"/>
          <w:numId w:val="50"/>
        </w:numPr>
        <w:ind w:hanging="283"/>
        <w:rPr>
          <w:noProof/>
        </w:rPr>
      </w:pPr>
      <w:r w:rsidRPr="00FF1C3E">
        <w:rPr>
          <w:noProof/>
        </w:rPr>
        <w:t>uitvoeren in de Republiek Moldavië van de nationale breedbandstrategie overeenkomstig de EU-wetgeving en beste praktijken, met name op het gebied van de beveiliging van digitale infrastructuur;</w:t>
      </w:r>
    </w:p>
    <w:p w14:paraId="405441EA" w14:textId="77777777" w:rsidR="003855A7" w:rsidRPr="00FF1C3E" w:rsidRDefault="003855A7" w:rsidP="00AC1CAF">
      <w:pPr>
        <w:pStyle w:val="Bullet0"/>
        <w:numPr>
          <w:ilvl w:val="0"/>
          <w:numId w:val="50"/>
        </w:numPr>
        <w:ind w:hanging="283"/>
        <w:rPr>
          <w:noProof/>
        </w:rPr>
      </w:pPr>
      <w:r w:rsidRPr="00FF1C3E">
        <w:rPr>
          <w:noProof/>
        </w:rPr>
        <w:t>ondersteunen van de uitvoering van de agenda voor e-overheid, met de nadruk op grensoverschrijdende elektronische dienstverlening voor burgers en bedrijven, als belangrijke output van het EU4Digital-project;</w:t>
      </w:r>
    </w:p>
    <w:p w14:paraId="7B7171AA" w14:textId="77777777" w:rsidR="003855A7" w:rsidRPr="00FF1C3E" w:rsidRDefault="003855A7" w:rsidP="003855A7">
      <w:pPr>
        <w:spacing w:before="240" w:after="0"/>
        <w:rPr>
          <w:rFonts w:eastAsia="Times New Roman"/>
          <w:i/>
          <w:noProof/>
          <w:szCs w:val="24"/>
        </w:rPr>
      </w:pPr>
      <w:r w:rsidRPr="00FF1C3E">
        <w:rPr>
          <w:i/>
          <w:noProof/>
          <w:szCs w:val="24"/>
        </w:rPr>
        <w:t>– binnen zeven jaar:</w:t>
      </w:r>
    </w:p>
    <w:p w14:paraId="4A2287C9" w14:textId="77777777" w:rsidR="003855A7" w:rsidRPr="00FF1C3E" w:rsidRDefault="003855A7" w:rsidP="00AC1CAF">
      <w:pPr>
        <w:pStyle w:val="Bullet0"/>
        <w:numPr>
          <w:ilvl w:val="0"/>
          <w:numId w:val="51"/>
        </w:numPr>
        <w:ind w:hanging="283"/>
        <w:rPr>
          <w:noProof/>
        </w:rPr>
      </w:pPr>
      <w:r w:rsidRPr="00FF1C3E">
        <w:rPr>
          <w:noProof/>
        </w:rPr>
        <w:t>verbeteren van de digitale economie in de Republiek Moldavië, met name wat betreft digitale vaardigheden, ICT-onderwijsprogramma’s, het gebruik van satellietgegevens en -diensten, digitale innovatie en ecosystemen voor startende bedrijven en cyberbeveiliging;</w:t>
      </w:r>
    </w:p>
    <w:p w14:paraId="29BFFBC5" w14:textId="069917F7" w:rsidR="003855A7" w:rsidRPr="00FF1C3E" w:rsidRDefault="003855A7" w:rsidP="00AC1CAF">
      <w:pPr>
        <w:pStyle w:val="Bullet0"/>
        <w:numPr>
          <w:ilvl w:val="0"/>
          <w:numId w:val="51"/>
        </w:numPr>
        <w:ind w:hanging="283"/>
        <w:rPr>
          <w:noProof/>
        </w:rPr>
      </w:pPr>
      <w:r w:rsidRPr="00FF1C3E">
        <w:rPr>
          <w:noProof/>
        </w:rPr>
        <w:t>faciliteren van digitale governance door standaardisering van ruimtegegevens voor digitale transformatie overeenkomstig de beste praktijken van de EU.</w:t>
      </w:r>
    </w:p>
    <w:p w14:paraId="3A391D4C" w14:textId="77777777" w:rsidR="00D35DCC" w:rsidRPr="00FF1C3E" w:rsidRDefault="00D35DCC" w:rsidP="00D35DCC">
      <w:pPr>
        <w:rPr>
          <w:noProof/>
        </w:rPr>
      </w:pPr>
    </w:p>
    <w:p w14:paraId="452A6E90" w14:textId="77777777" w:rsidR="003855A7" w:rsidRPr="00FF1C3E" w:rsidRDefault="003855A7" w:rsidP="00D35DCC">
      <w:pPr>
        <w:pStyle w:val="NumPar1"/>
        <w:tabs>
          <w:tab w:val="clear" w:pos="850"/>
          <w:tab w:val="num" w:pos="567"/>
        </w:tabs>
        <w:ind w:left="567" w:hanging="567"/>
        <w:rPr>
          <w:noProof/>
          <w:u w:val="single"/>
        </w:rPr>
      </w:pPr>
      <w:r w:rsidRPr="00FF1C3E">
        <w:rPr>
          <w:noProof/>
          <w:u w:val="single"/>
        </w:rPr>
        <w:t>Onderwijs, opleiding, jeugdzaken en sport</w:t>
      </w:r>
    </w:p>
    <w:p w14:paraId="07E0546C" w14:textId="77777777" w:rsidR="003855A7" w:rsidRPr="00FF1C3E" w:rsidRDefault="003855A7" w:rsidP="003855A7">
      <w:pPr>
        <w:spacing w:line="276" w:lineRule="auto"/>
        <w:rPr>
          <w:rFonts w:eastAsia="Times New Roman"/>
          <w:noProof/>
          <w:szCs w:val="24"/>
        </w:rPr>
      </w:pPr>
      <w:r w:rsidRPr="00FF1C3E">
        <w:rPr>
          <w:noProof/>
        </w:rPr>
        <w:t>De partijen werken samen aan de algehele modernisering en kwaliteit van de onderwijs- en opleidingsstelsels. Deze samenwerking omvat onderstaande werkzaamheden:</w:t>
      </w:r>
    </w:p>
    <w:p w14:paraId="44135900" w14:textId="77777777" w:rsidR="003855A7" w:rsidRPr="00FF1C3E" w:rsidRDefault="003855A7" w:rsidP="00AC1CAF">
      <w:pPr>
        <w:pStyle w:val="Bullet0"/>
        <w:numPr>
          <w:ilvl w:val="0"/>
          <w:numId w:val="52"/>
        </w:numPr>
        <w:ind w:hanging="283"/>
        <w:rPr>
          <w:noProof/>
        </w:rPr>
      </w:pPr>
      <w:r w:rsidRPr="00FF1C3E">
        <w:rPr>
          <w:noProof/>
        </w:rPr>
        <w:t>verder doorvoeren van onderwijshervormingen om de efficiëntie en relevantie van het onderwijs te vergroten;</w:t>
      </w:r>
    </w:p>
    <w:p w14:paraId="354A1D75" w14:textId="77777777" w:rsidR="003855A7" w:rsidRPr="00FF1C3E" w:rsidRDefault="003855A7" w:rsidP="00AC1CAF">
      <w:pPr>
        <w:pStyle w:val="Bullet0"/>
        <w:numPr>
          <w:ilvl w:val="0"/>
          <w:numId w:val="52"/>
        </w:numPr>
        <w:ind w:hanging="283"/>
        <w:rPr>
          <w:noProof/>
        </w:rPr>
      </w:pPr>
      <w:r w:rsidRPr="00FF1C3E">
        <w:rPr>
          <w:noProof/>
        </w:rPr>
        <w:t>ontwikkelen en uitvoeren van een nieuwe nationale onderwijsstrategie “Onderwijs 2030” en het bijbehorende uitvoeringsprogramma;</w:t>
      </w:r>
    </w:p>
    <w:p w14:paraId="7758DDC7" w14:textId="77777777" w:rsidR="003855A7" w:rsidRPr="00FF1C3E" w:rsidRDefault="003855A7" w:rsidP="00AC1CAF">
      <w:pPr>
        <w:pStyle w:val="Bullet0"/>
        <w:numPr>
          <w:ilvl w:val="0"/>
          <w:numId w:val="52"/>
        </w:numPr>
        <w:ind w:hanging="283"/>
        <w:rPr>
          <w:noProof/>
        </w:rPr>
      </w:pPr>
      <w:r w:rsidRPr="00FF1C3E">
        <w:rPr>
          <w:noProof/>
        </w:rPr>
        <w:t>digitaliseren van het onderwijsproces; integreren van innovatie en digitale technologie in alle leeromgevingen;</w:t>
      </w:r>
    </w:p>
    <w:p w14:paraId="2741180D" w14:textId="77777777" w:rsidR="003855A7" w:rsidRPr="00FF1C3E" w:rsidRDefault="003855A7" w:rsidP="00AC1CAF">
      <w:pPr>
        <w:pStyle w:val="Bullet0"/>
        <w:numPr>
          <w:ilvl w:val="0"/>
          <w:numId w:val="52"/>
        </w:numPr>
        <w:ind w:hanging="283"/>
        <w:rPr>
          <w:noProof/>
        </w:rPr>
      </w:pPr>
      <w:r w:rsidRPr="00FF1C3E">
        <w:rPr>
          <w:noProof/>
        </w:rPr>
        <w:t>beter met elkaar verbinden en integreren van onderwijs, onderzoek en innovatie om de economische en sociale ontwikkeling van de Republiek Moldavië te dienen;</w:t>
      </w:r>
    </w:p>
    <w:p w14:paraId="07446ED6" w14:textId="77777777" w:rsidR="003855A7" w:rsidRPr="00FF1C3E" w:rsidRDefault="003855A7" w:rsidP="00AC1CAF">
      <w:pPr>
        <w:pStyle w:val="Bullet0"/>
        <w:numPr>
          <w:ilvl w:val="0"/>
          <w:numId w:val="52"/>
        </w:numPr>
        <w:ind w:hanging="283"/>
        <w:rPr>
          <w:noProof/>
        </w:rPr>
      </w:pPr>
      <w:r w:rsidRPr="00FF1C3E">
        <w:rPr>
          <w:noProof/>
        </w:rPr>
        <w:t>aanmoedigen van een strategische aanpak van beroepsonderwijs en -opleiding om de toegankelijkheid, kwaliteit en relevantie ervan te waarborgen;</w:t>
      </w:r>
    </w:p>
    <w:p w14:paraId="675CBF7D" w14:textId="77777777" w:rsidR="003855A7" w:rsidRPr="00FF1C3E" w:rsidRDefault="003855A7" w:rsidP="00AC1CAF">
      <w:pPr>
        <w:pStyle w:val="Bullet0"/>
        <w:numPr>
          <w:ilvl w:val="0"/>
          <w:numId w:val="52"/>
        </w:numPr>
        <w:ind w:hanging="283"/>
        <w:rPr>
          <w:noProof/>
        </w:rPr>
      </w:pPr>
      <w:r w:rsidRPr="00FF1C3E">
        <w:rPr>
          <w:noProof/>
        </w:rPr>
        <w:t>versterken van samenwerking, capaciteitsopbouw en mobiliteit door middel van EU-programma’s en -initiatieven en bevorderen van de actieve deelname van de Republiek Moldavië aan de programma’s Erasmus+ en het Europees Solidariteitskorps;</w:t>
      </w:r>
    </w:p>
    <w:p w14:paraId="6C2AFDA4" w14:textId="77777777" w:rsidR="003855A7" w:rsidRPr="00FF1C3E" w:rsidRDefault="003855A7" w:rsidP="00AC1CAF">
      <w:pPr>
        <w:pStyle w:val="Bullet0"/>
        <w:numPr>
          <w:ilvl w:val="0"/>
          <w:numId w:val="52"/>
        </w:numPr>
        <w:ind w:hanging="283"/>
        <w:rPr>
          <w:noProof/>
        </w:rPr>
      </w:pPr>
      <w:r w:rsidRPr="00FF1C3E">
        <w:rPr>
          <w:noProof/>
        </w:rPr>
        <w:t>verbeteren van de kwaliteit van de basisopleiding en bijscholing voor leerkrachten, vergroten van de aantrekkelijkheid van banen in de onderwijssector en verbeteren van de loopbaanontwikkeling van leerkrachten;</w:t>
      </w:r>
    </w:p>
    <w:p w14:paraId="4851779C" w14:textId="77777777" w:rsidR="003855A7" w:rsidRPr="00FF1C3E" w:rsidRDefault="003855A7" w:rsidP="00AC1CAF">
      <w:pPr>
        <w:pStyle w:val="Bullet0"/>
        <w:numPr>
          <w:ilvl w:val="0"/>
          <w:numId w:val="52"/>
        </w:numPr>
        <w:ind w:hanging="283"/>
        <w:rPr>
          <w:noProof/>
        </w:rPr>
      </w:pPr>
      <w:r w:rsidRPr="00FF1C3E">
        <w:rPr>
          <w:noProof/>
        </w:rPr>
        <w:t>verbeteren van de kwaliteit van onderwijsmateriaal, waaronder schoolboeken die zijn aangepast aan de nieuwe leerplannen;</w:t>
      </w:r>
    </w:p>
    <w:p w14:paraId="78667F66" w14:textId="77777777" w:rsidR="003855A7" w:rsidRPr="00FF1C3E" w:rsidRDefault="003855A7" w:rsidP="00AC1CAF">
      <w:pPr>
        <w:pStyle w:val="Bullet0"/>
        <w:numPr>
          <w:ilvl w:val="0"/>
          <w:numId w:val="52"/>
        </w:numPr>
        <w:ind w:hanging="283"/>
        <w:rPr>
          <w:noProof/>
        </w:rPr>
      </w:pPr>
      <w:r w:rsidRPr="00FF1C3E">
        <w:rPr>
          <w:noProof/>
        </w:rPr>
        <w:t>versterken van een strategische benadering van jeugdbeleid, bevorderen van uitwisselingen en samenwerking op het gebied van niet-formeel onderwijs;</w:t>
      </w:r>
    </w:p>
    <w:p w14:paraId="0F326332" w14:textId="77777777" w:rsidR="003855A7" w:rsidRPr="00FF1C3E" w:rsidRDefault="003855A7" w:rsidP="00AC1CAF">
      <w:pPr>
        <w:pStyle w:val="Bullet0"/>
        <w:numPr>
          <w:ilvl w:val="0"/>
          <w:numId w:val="52"/>
        </w:numPr>
        <w:ind w:hanging="283"/>
        <w:rPr>
          <w:noProof/>
        </w:rPr>
      </w:pPr>
      <w:r w:rsidRPr="00FF1C3E">
        <w:rPr>
          <w:noProof/>
        </w:rPr>
        <w:t>versterken van inclusief onderwijs en opleiding op alle niveaus;</w:t>
      </w:r>
    </w:p>
    <w:p w14:paraId="1B142173" w14:textId="77777777" w:rsidR="003855A7" w:rsidRPr="00FF1C3E" w:rsidRDefault="003855A7" w:rsidP="00AC1CAF">
      <w:pPr>
        <w:pStyle w:val="Bullet0"/>
        <w:numPr>
          <w:ilvl w:val="0"/>
          <w:numId w:val="52"/>
        </w:numPr>
        <w:ind w:hanging="283"/>
        <w:rPr>
          <w:noProof/>
        </w:rPr>
      </w:pPr>
      <w:r w:rsidRPr="00FF1C3E">
        <w:rPr>
          <w:noProof/>
        </w:rPr>
        <w:t xml:space="preserve">creëren van een ecosysteem voor een leven lang leren, inclusief functionele validatie van eerdere beroepservaring. </w:t>
      </w:r>
    </w:p>
    <w:p w14:paraId="6E53F9AA" w14:textId="77777777" w:rsidR="003855A7" w:rsidRPr="00FF1C3E" w:rsidRDefault="003855A7" w:rsidP="003855A7">
      <w:pPr>
        <w:spacing w:line="276" w:lineRule="auto"/>
        <w:rPr>
          <w:rFonts w:eastAsia="Times New Roman"/>
          <w:noProof/>
          <w:szCs w:val="24"/>
        </w:rPr>
      </w:pPr>
      <w:r w:rsidRPr="00FF1C3E">
        <w:rPr>
          <w:noProof/>
        </w:rPr>
        <w:t>In het kader van de algemene inspanningen om de kwaliteit en de relevantie van het onderwijsstelsel te verbeteren en de banden met de arbeidsmarkt aan te halen, werken de partijen samen op de volgende punten:</w:t>
      </w:r>
    </w:p>
    <w:p w14:paraId="269DD423" w14:textId="77777777" w:rsidR="003855A7" w:rsidRPr="00FF1C3E" w:rsidRDefault="003855A7" w:rsidP="003855A7">
      <w:pPr>
        <w:spacing w:before="240" w:after="0"/>
        <w:rPr>
          <w:noProof/>
        </w:rPr>
      </w:pPr>
      <w:r w:rsidRPr="00FF1C3E">
        <w:rPr>
          <w:i/>
          <w:noProof/>
          <w:szCs w:val="24"/>
        </w:rPr>
        <w:t>– binnen drie tot vier jaar:</w:t>
      </w:r>
    </w:p>
    <w:p w14:paraId="0FE0136A" w14:textId="77777777" w:rsidR="003855A7" w:rsidRPr="00FF1C3E" w:rsidRDefault="003855A7" w:rsidP="00AC1CAF">
      <w:pPr>
        <w:pStyle w:val="Bullet0"/>
        <w:numPr>
          <w:ilvl w:val="0"/>
          <w:numId w:val="53"/>
        </w:numPr>
        <w:ind w:hanging="283"/>
        <w:rPr>
          <w:noProof/>
        </w:rPr>
      </w:pPr>
      <w:r w:rsidRPr="00FF1C3E">
        <w:rPr>
          <w:noProof/>
        </w:rPr>
        <w:t>voortzetten van de aanpassing van het beroepsonderwijs en het universitair onderwijs, met inbegrip van gebieden zoals medisch onderwijs, aan Europese minimumeisen inzake opleiding;</w:t>
      </w:r>
    </w:p>
    <w:p w14:paraId="2255950A" w14:textId="77777777" w:rsidR="003855A7" w:rsidRPr="00FF1C3E" w:rsidRDefault="003855A7" w:rsidP="00AC1CAF">
      <w:pPr>
        <w:pStyle w:val="Bullet0"/>
        <w:numPr>
          <w:ilvl w:val="0"/>
          <w:numId w:val="53"/>
        </w:numPr>
        <w:ind w:hanging="283"/>
        <w:rPr>
          <w:noProof/>
        </w:rPr>
      </w:pPr>
      <w:r w:rsidRPr="00FF1C3E">
        <w:rPr>
          <w:noProof/>
        </w:rPr>
        <w:t>hervormen van Moldavische universiteiten, met name pedagogische universiteiten, zowel wat betreft de optimalisering van middelen als wat betreft relevantie en inhoud van studieprogramma’s;</w:t>
      </w:r>
    </w:p>
    <w:p w14:paraId="484357B4" w14:textId="77777777" w:rsidR="003855A7" w:rsidRPr="00FF1C3E" w:rsidRDefault="003855A7" w:rsidP="00AC1CAF">
      <w:pPr>
        <w:pStyle w:val="Bullet0"/>
        <w:numPr>
          <w:ilvl w:val="0"/>
          <w:numId w:val="53"/>
        </w:numPr>
        <w:ind w:hanging="283"/>
        <w:rPr>
          <w:noProof/>
        </w:rPr>
      </w:pPr>
      <w:r w:rsidRPr="00FF1C3E">
        <w:rPr>
          <w:noProof/>
        </w:rPr>
        <w:t>consolideren van het kwaliteitscontrolesysteem, onder meer door internationalisering van de evaluatie;</w:t>
      </w:r>
    </w:p>
    <w:p w14:paraId="5A8881A3" w14:textId="77777777" w:rsidR="003855A7" w:rsidRPr="00FF1C3E" w:rsidRDefault="003855A7" w:rsidP="00AC1CAF">
      <w:pPr>
        <w:pStyle w:val="Bullet0"/>
        <w:numPr>
          <w:ilvl w:val="0"/>
          <w:numId w:val="53"/>
        </w:numPr>
        <w:ind w:hanging="283"/>
        <w:rPr>
          <w:noProof/>
        </w:rPr>
      </w:pPr>
      <w:r w:rsidRPr="00FF1C3E">
        <w:rPr>
          <w:noProof/>
        </w:rPr>
        <w:t>blijven versterken van anticorruptiemaatregelen over de gehele linie;</w:t>
      </w:r>
    </w:p>
    <w:p w14:paraId="41E21D9C" w14:textId="77777777" w:rsidR="003855A7" w:rsidRPr="00FF1C3E" w:rsidRDefault="003855A7" w:rsidP="00AC1CAF">
      <w:pPr>
        <w:pStyle w:val="Bullet0"/>
        <w:numPr>
          <w:ilvl w:val="0"/>
          <w:numId w:val="53"/>
        </w:numPr>
        <w:ind w:hanging="283"/>
        <w:rPr>
          <w:noProof/>
        </w:rPr>
      </w:pPr>
      <w:r w:rsidRPr="00FF1C3E">
        <w:rPr>
          <w:noProof/>
        </w:rPr>
        <w:t>integreren van beroepsopleiding op school en duaal beroepsonderwijs, om de relevantie en inzetbaarheid te vergroten;</w:t>
      </w:r>
    </w:p>
    <w:p w14:paraId="1A96C9E2" w14:textId="77777777" w:rsidR="003855A7" w:rsidRPr="00FF1C3E" w:rsidRDefault="003855A7" w:rsidP="00AC1CAF">
      <w:pPr>
        <w:pStyle w:val="Bullet0"/>
        <w:numPr>
          <w:ilvl w:val="0"/>
          <w:numId w:val="53"/>
        </w:numPr>
        <w:ind w:hanging="283"/>
        <w:rPr>
          <w:noProof/>
        </w:rPr>
      </w:pPr>
      <w:r w:rsidRPr="00FF1C3E">
        <w:rPr>
          <w:noProof/>
        </w:rPr>
        <w:t>realiseren van een volledige reeks lerarenopleidingen volgens de nieuwe leerplannen;</w:t>
      </w:r>
    </w:p>
    <w:p w14:paraId="25CB9F45" w14:textId="77777777" w:rsidR="003855A7" w:rsidRPr="00FF1C3E" w:rsidRDefault="003855A7" w:rsidP="00AC1CAF">
      <w:pPr>
        <w:pStyle w:val="Bullet0"/>
        <w:numPr>
          <w:ilvl w:val="0"/>
          <w:numId w:val="53"/>
        </w:numPr>
        <w:ind w:hanging="283"/>
        <w:rPr>
          <w:noProof/>
        </w:rPr>
      </w:pPr>
      <w:r w:rsidRPr="00FF1C3E">
        <w:rPr>
          <w:noProof/>
        </w:rPr>
        <w:t>tot stand brengen van een betrouwbare databank op het gebied van onderwijs om op feiten gebaseerde hervormingen te kunnen doorvoeren, gevolgd door een evaluatie van de genomen maatregelen;</w:t>
      </w:r>
    </w:p>
    <w:p w14:paraId="0FA9EE70" w14:textId="77777777" w:rsidR="003855A7" w:rsidRPr="00FF1C3E" w:rsidRDefault="003855A7" w:rsidP="00AC1CAF">
      <w:pPr>
        <w:pStyle w:val="Bullet0"/>
        <w:numPr>
          <w:ilvl w:val="0"/>
          <w:numId w:val="53"/>
        </w:numPr>
        <w:ind w:hanging="283"/>
        <w:rPr>
          <w:noProof/>
        </w:rPr>
      </w:pPr>
      <w:r w:rsidRPr="00FF1C3E">
        <w:rPr>
          <w:noProof/>
        </w:rPr>
        <w:t>actualiseren van het beleidskader op het gebied van onderwijs in overeenstemming met de geleerde lessen;</w:t>
      </w:r>
    </w:p>
    <w:p w14:paraId="052D0666" w14:textId="77777777" w:rsidR="003855A7" w:rsidRPr="00FF1C3E" w:rsidRDefault="003855A7" w:rsidP="00AC1CAF">
      <w:pPr>
        <w:pStyle w:val="Bullet0"/>
        <w:numPr>
          <w:ilvl w:val="0"/>
          <w:numId w:val="53"/>
        </w:numPr>
        <w:ind w:hanging="283"/>
        <w:rPr>
          <w:noProof/>
        </w:rPr>
      </w:pPr>
      <w:r w:rsidRPr="00FF1C3E">
        <w:rPr>
          <w:noProof/>
        </w:rPr>
        <w:t>blijven uitbreiden van de institutionele capaciteit van alle overheidsdiensten en agentschappen die betrokken zijn bij onderwijsgovernance.</w:t>
      </w:r>
    </w:p>
    <w:p w14:paraId="62816054" w14:textId="77777777" w:rsidR="003855A7" w:rsidRPr="00FF1C3E" w:rsidRDefault="003855A7" w:rsidP="003855A7">
      <w:pPr>
        <w:spacing w:after="0"/>
        <w:rPr>
          <w:rFonts w:eastAsia="Times New Roman"/>
          <w:noProof/>
          <w:color w:val="000000"/>
        </w:rPr>
      </w:pPr>
      <w:r w:rsidRPr="00FF1C3E">
        <w:rPr>
          <w:noProof/>
          <w:color w:val="000000"/>
        </w:rPr>
        <w:t>De samenwerking tussen de partijen heeft ook betrekking op de volgende punten:</w:t>
      </w:r>
    </w:p>
    <w:p w14:paraId="18595D2C" w14:textId="77777777" w:rsidR="003855A7" w:rsidRPr="00FF1C3E" w:rsidRDefault="003855A7" w:rsidP="00AC1CAF">
      <w:pPr>
        <w:pStyle w:val="Bullet0"/>
        <w:numPr>
          <w:ilvl w:val="0"/>
          <w:numId w:val="54"/>
        </w:numPr>
        <w:ind w:hanging="283"/>
        <w:rPr>
          <w:noProof/>
        </w:rPr>
      </w:pPr>
      <w:r w:rsidRPr="00FF1C3E">
        <w:rPr>
          <w:noProof/>
        </w:rPr>
        <w:t>uitwisselen van informatie en goede werkwijzen op het gebied van sport en fysieke activiteiten, met name gericht op een gezonde levensstijl, het milieu, de sociale en educatieve waarden van sport en goed bestuur in de sport;</w:t>
      </w:r>
    </w:p>
    <w:p w14:paraId="37580E9E" w14:textId="33E908DD" w:rsidR="003855A7" w:rsidRPr="00FF1C3E" w:rsidRDefault="003855A7" w:rsidP="00AC1CAF">
      <w:pPr>
        <w:pStyle w:val="Bullet0"/>
        <w:numPr>
          <w:ilvl w:val="0"/>
          <w:numId w:val="54"/>
        </w:numPr>
        <w:ind w:hanging="283"/>
        <w:rPr>
          <w:noProof/>
        </w:rPr>
      </w:pPr>
      <w:r w:rsidRPr="00FF1C3E">
        <w:rPr>
          <w:noProof/>
        </w:rPr>
        <w:t xml:space="preserve">voortzetten van de samenwerking in de jaarlijkse Europese week van de sport. </w:t>
      </w:r>
    </w:p>
    <w:p w14:paraId="0E05E1DA" w14:textId="77777777" w:rsidR="00DD35BD" w:rsidRPr="00FF1C3E" w:rsidRDefault="00DD35BD" w:rsidP="00DD35BD">
      <w:pPr>
        <w:rPr>
          <w:noProof/>
        </w:rPr>
      </w:pPr>
    </w:p>
    <w:p w14:paraId="48358EA0" w14:textId="77777777" w:rsidR="003855A7" w:rsidRPr="00FF1C3E" w:rsidRDefault="003855A7" w:rsidP="00DD35BD">
      <w:pPr>
        <w:pStyle w:val="NumPar1"/>
        <w:tabs>
          <w:tab w:val="clear" w:pos="850"/>
          <w:tab w:val="num" w:pos="567"/>
        </w:tabs>
        <w:ind w:left="567" w:hanging="567"/>
        <w:rPr>
          <w:noProof/>
          <w:u w:val="single"/>
        </w:rPr>
      </w:pPr>
      <w:bookmarkStart w:id="11" w:name="_Hlk63948518"/>
      <w:r w:rsidRPr="00FF1C3E">
        <w:rPr>
          <w:noProof/>
          <w:u w:val="single"/>
        </w:rPr>
        <w:t>Volksgezondheid</w:t>
      </w:r>
    </w:p>
    <w:bookmarkEnd w:id="11"/>
    <w:p w14:paraId="49AD780D" w14:textId="77777777" w:rsidR="003855A7" w:rsidRPr="00FF1C3E" w:rsidRDefault="003855A7" w:rsidP="003855A7">
      <w:pPr>
        <w:spacing w:after="0"/>
        <w:rPr>
          <w:rFonts w:eastAsia="Times New Roman"/>
          <w:noProof/>
          <w:szCs w:val="24"/>
        </w:rPr>
      </w:pPr>
      <w:r w:rsidRPr="00FF1C3E">
        <w:rPr>
          <w:noProof/>
        </w:rPr>
        <w:t>De samenwerking tussen de partijen heeft betrekking op de volgende punten:</w:t>
      </w:r>
    </w:p>
    <w:p w14:paraId="1EE36217" w14:textId="77777777" w:rsidR="003855A7" w:rsidRPr="00FF1C3E" w:rsidRDefault="003855A7" w:rsidP="00AC1CAF">
      <w:pPr>
        <w:pStyle w:val="Bullet0"/>
        <w:numPr>
          <w:ilvl w:val="0"/>
          <w:numId w:val="55"/>
        </w:numPr>
        <w:ind w:hanging="283"/>
        <w:rPr>
          <w:noProof/>
        </w:rPr>
      </w:pPr>
      <w:r w:rsidRPr="00FF1C3E">
        <w:rPr>
          <w:noProof/>
        </w:rPr>
        <w:t>ontwikkelen van een nieuw beleidsdocument inzake gezondheid, inclusief een e-gezondheidscomponent, om de toegang tot en de kwaliteit van gezondheidsdiensten te verbeteren;</w:t>
      </w:r>
    </w:p>
    <w:p w14:paraId="1436DE41" w14:textId="77777777" w:rsidR="003855A7" w:rsidRPr="00FF1C3E" w:rsidRDefault="003855A7" w:rsidP="00AC1CAF">
      <w:pPr>
        <w:pStyle w:val="Bullet0"/>
        <w:numPr>
          <w:ilvl w:val="0"/>
          <w:numId w:val="55"/>
        </w:numPr>
        <w:ind w:hanging="283"/>
        <w:rPr>
          <w:noProof/>
        </w:rPr>
      </w:pPr>
      <w:r w:rsidRPr="00FF1C3E">
        <w:rPr>
          <w:noProof/>
        </w:rPr>
        <w:t>aanpakken van genderaspecten van gezondheid, met name door rekening te houden met specifieke gezondheidsrisico’s en ziekten bij vrouwen;</w:t>
      </w:r>
    </w:p>
    <w:p w14:paraId="17F92B8C" w14:textId="77777777" w:rsidR="003855A7" w:rsidRPr="00FF1C3E" w:rsidRDefault="003855A7" w:rsidP="00AC1CAF">
      <w:pPr>
        <w:pStyle w:val="Bullet0"/>
        <w:numPr>
          <w:ilvl w:val="0"/>
          <w:numId w:val="55"/>
        </w:numPr>
        <w:ind w:hanging="283"/>
        <w:rPr>
          <w:noProof/>
        </w:rPr>
      </w:pPr>
      <w:r w:rsidRPr="00FF1C3E">
        <w:rPr>
          <w:noProof/>
        </w:rPr>
        <w:t xml:space="preserve">ontwikkelen en uitvoeren van het meerjarenplan voor de institutionele ontwikkeling van de volksgezondheid; </w:t>
      </w:r>
    </w:p>
    <w:p w14:paraId="4D085BB9" w14:textId="77777777" w:rsidR="003855A7" w:rsidRPr="00FF1C3E" w:rsidRDefault="003855A7" w:rsidP="00AC1CAF">
      <w:pPr>
        <w:pStyle w:val="Bullet0"/>
        <w:numPr>
          <w:ilvl w:val="0"/>
          <w:numId w:val="55"/>
        </w:numPr>
        <w:ind w:hanging="283"/>
        <w:rPr>
          <w:noProof/>
        </w:rPr>
      </w:pPr>
      <w:r w:rsidRPr="00FF1C3E">
        <w:rPr>
          <w:noProof/>
        </w:rPr>
        <w:t xml:space="preserve">uitvoeren van een nieuw nationaal programma voor de preventie en bestrijding van niet-overdraagbare ziekten ter vermindering van de ziektelast, ter vermindering van de prevalentie van risicofactoren en ter verbetering van de ziektebestrijding, overeenkomstig de SDG-agenda 2030; </w:t>
      </w:r>
    </w:p>
    <w:p w14:paraId="54B39515" w14:textId="77777777" w:rsidR="003855A7" w:rsidRPr="00FF1C3E" w:rsidRDefault="003855A7" w:rsidP="00AC1CAF">
      <w:pPr>
        <w:pStyle w:val="Bullet0"/>
        <w:numPr>
          <w:ilvl w:val="0"/>
          <w:numId w:val="55"/>
        </w:numPr>
        <w:ind w:hanging="283"/>
        <w:rPr>
          <w:noProof/>
        </w:rPr>
      </w:pPr>
      <w:r w:rsidRPr="00FF1C3E">
        <w:rPr>
          <w:noProof/>
        </w:rPr>
        <w:t>bevorderen van gezondheidskennis, zodat gemeenschappen en burgers gezonder gaan leven;</w:t>
      </w:r>
    </w:p>
    <w:p w14:paraId="086B2E69" w14:textId="77777777" w:rsidR="003855A7" w:rsidRPr="00FF1C3E" w:rsidRDefault="003855A7" w:rsidP="00AC1CAF">
      <w:pPr>
        <w:pStyle w:val="Bullet0"/>
        <w:numPr>
          <w:ilvl w:val="0"/>
          <w:numId w:val="55"/>
        </w:numPr>
        <w:ind w:hanging="283"/>
        <w:rPr>
          <w:noProof/>
        </w:rPr>
      </w:pPr>
      <w:r w:rsidRPr="00FF1C3E">
        <w:rPr>
          <w:noProof/>
        </w:rPr>
        <w:t>versterken van de samenwerking op het gebied van volksgezondheid, met name met het oog op een betere paraatheid bij pandemieën en de uitvoering van de internationale gezondheidsvoorschriften, en de versterking van de gezondheidsstelsels;</w:t>
      </w:r>
    </w:p>
    <w:p w14:paraId="12E01537" w14:textId="77777777" w:rsidR="003855A7" w:rsidRPr="00FF1C3E" w:rsidRDefault="003855A7" w:rsidP="00AC1CAF">
      <w:pPr>
        <w:pStyle w:val="Bullet0"/>
        <w:numPr>
          <w:ilvl w:val="0"/>
          <w:numId w:val="55"/>
        </w:numPr>
        <w:ind w:hanging="283"/>
        <w:rPr>
          <w:noProof/>
        </w:rPr>
      </w:pPr>
      <w:r w:rsidRPr="00FF1C3E">
        <w:rPr>
          <w:noProof/>
        </w:rPr>
        <w:t xml:space="preserve">voortzetten van de aanpassing aan de EU-wetgeving op het gebied van overdraagbare ziekten en de kwaliteit en veiligheid van voor transplantatie bestemde menselijke organen; </w:t>
      </w:r>
    </w:p>
    <w:p w14:paraId="399A92C2" w14:textId="54D668D2" w:rsidR="003855A7" w:rsidRPr="00FF1C3E" w:rsidRDefault="003855A7" w:rsidP="00AC1CAF">
      <w:pPr>
        <w:pStyle w:val="Bullet0"/>
        <w:numPr>
          <w:ilvl w:val="0"/>
          <w:numId w:val="55"/>
        </w:numPr>
        <w:ind w:hanging="283"/>
        <w:rPr>
          <w:noProof/>
          <w:sz w:val="28"/>
          <w:szCs w:val="24"/>
        </w:rPr>
      </w:pPr>
      <w:r w:rsidRPr="00FF1C3E">
        <w:rPr>
          <w:noProof/>
        </w:rPr>
        <w:t>voorbereiden en uitvoeren van de richtsnoeren van de internationale raad voor harmonisatie van technische voorschriften voor geneesmiddelen voor menselijk gebruik.</w:t>
      </w:r>
    </w:p>
    <w:p w14:paraId="40801C87" w14:textId="77777777" w:rsidR="00DD35BD" w:rsidRPr="00FF1C3E" w:rsidRDefault="00DD35BD" w:rsidP="00DD35BD">
      <w:pPr>
        <w:rPr>
          <w:noProof/>
        </w:rPr>
      </w:pPr>
    </w:p>
    <w:p w14:paraId="79FCE3A8" w14:textId="77777777" w:rsidR="003855A7" w:rsidRPr="00FF1C3E" w:rsidRDefault="003855A7" w:rsidP="00DD35BD">
      <w:pPr>
        <w:pStyle w:val="NumPar1"/>
        <w:tabs>
          <w:tab w:val="clear" w:pos="850"/>
          <w:tab w:val="num" w:pos="567"/>
        </w:tabs>
        <w:ind w:left="567" w:hanging="567"/>
        <w:rPr>
          <w:noProof/>
          <w:u w:val="single"/>
        </w:rPr>
      </w:pPr>
      <w:r w:rsidRPr="00FF1C3E">
        <w:rPr>
          <w:noProof/>
          <w:u w:val="single"/>
        </w:rPr>
        <w:t>Economische ontwikkeling en marktkansen</w:t>
      </w:r>
    </w:p>
    <w:p w14:paraId="75B6934C" w14:textId="77777777" w:rsidR="003855A7" w:rsidRPr="00FF1C3E" w:rsidRDefault="003855A7" w:rsidP="003855A7">
      <w:pPr>
        <w:spacing w:line="276" w:lineRule="auto"/>
        <w:rPr>
          <w:rFonts w:eastAsia="Times New Roman"/>
          <w:noProof/>
          <w:szCs w:val="24"/>
        </w:rPr>
      </w:pPr>
      <w:r w:rsidRPr="00FF1C3E">
        <w:rPr>
          <w:noProof/>
        </w:rPr>
        <w:t xml:space="preserve">De partijen ondersteunen de Republiek Moldavië bij de totstandbrenging van een volledig functionerende markteconomie, waarbij het Moldavische beleid stapsgewijs meer in overeenstemming wordt gebracht met het beleid van de EU, overeenkomstig de leidende beginselen van macro-economische stabiliteit, gezonde overheidsfinanciën, een robuust financieel stelsel en een houdbare betalingsbalans. Deze samenwerking zal met name bijdragen tot het behalen van de volgende doelstellingen: </w:t>
      </w:r>
    </w:p>
    <w:p w14:paraId="783DC0C5" w14:textId="77777777" w:rsidR="003855A7" w:rsidRPr="00FF1C3E" w:rsidRDefault="003855A7" w:rsidP="00AC1CAF">
      <w:pPr>
        <w:pStyle w:val="Bullet0"/>
        <w:numPr>
          <w:ilvl w:val="0"/>
          <w:numId w:val="56"/>
        </w:numPr>
        <w:ind w:hanging="283"/>
        <w:rPr>
          <w:noProof/>
        </w:rPr>
      </w:pPr>
      <w:r w:rsidRPr="00FF1C3E">
        <w:rPr>
          <w:noProof/>
        </w:rPr>
        <w:t>bewaken van de macro-economische ontwikkelingen, bespreken van de belangrijkste beleidsuitdagingen en uitwisselen van informatie over beste praktijken, door het versterken van de reguliere macro-economische dialoog, teneinde de kwaliteit van de economische beleidsvorming te verbeteren;</w:t>
      </w:r>
    </w:p>
    <w:p w14:paraId="741930A3" w14:textId="77777777" w:rsidR="003855A7" w:rsidRPr="00FF1C3E" w:rsidRDefault="003855A7" w:rsidP="00AC1CAF">
      <w:pPr>
        <w:pStyle w:val="Bullet0"/>
        <w:numPr>
          <w:ilvl w:val="0"/>
          <w:numId w:val="56"/>
        </w:numPr>
        <w:ind w:hanging="283"/>
        <w:rPr>
          <w:noProof/>
        </w:rPr>
      </w:pPr>
      <w:r w:rsidRPr="00FF1C3E">
        <w:rPr>
          <w:noProof/>
        </w:rPr>
        <w:t>blijven versterken van de onafhankelijkheid, de regelgevende bevoegdheden en de capaciteitsopbouw van de Nationale Bank van Moldavië en de nationale commissie voor financiële markten met betrekking tot de regulering van de financiële sector en beleidsmaatregelen inzake toezicht, teneinde de robuustheid van de financiële sector te waarborgen;</w:t>
      </w:r>
    </w:p>
    <w:p w14:paraId="056BCCC9" w14:textId="77777777" w:rsidR="003855A7" w:rsidRPr="00FF1C3E" w:rsidRDefault="003855A7" w:rsidP="00AC1CAF">
      <w:pPr>
        <w:pStyle w:val="Bullet0"/>
        <w:numPr>
          <w:ilvl w:val="0"/>
          <w:numId w:val="56"/>
        </w:numPr>
        <w:ind w:hanging="283"/>
        <w:rPr>
          <w:noProof/>
        </w:rPr>
      </w:pPr>
      <w:r w:rsidRPr="00FF1C3E">
        <w:rPr>
          <w:noProof/>
        </w:rPr>
        <w:t>delen van de ervaringen van de EU op het gebied van monetair en wisselkoersbeleid, onder meer met betrekking tot de internationale rol van de euro, om de vermogens van de Republiek Moldavië op deze gebieden verder te ontwikkelen;</w:t>
      </w:r>
    </w:p>
    <w:p w14:paraId="139C0055" w14:textId="77777777" w:rsidR="003855A7" w:rsidRPr="00FF1C3E" w:rsidRDefault="003855A7" w:rsidP="00AC1CAF">
      <w:pPr>
        <w:pStyle w:val="Bullet0"/>
        <w:numPr>
          <w:ilvl w:val="0"/>
          <w:numId w:val="56"/>
        </w:numPr>
        <w:ind w:hanging="283"/>
        <w:rPr>
          <w:noProof/>
        </w:rPr>
      </w:pPr>
      <w:r w:rsidRPr="00FF1C3E">
        <w:rPr>
          <w:noProof/>
        </w:rPr>
        <w:t>versterken van het eigendomsbeleid van de staat om de efficiëntie van staatsbedrijven te vergroten en begrotingsrisico’s te verminderen, alsook open, concurrerende en transparante privatisering af te wijzen overeenkomstig de beste praktijken van de EU;</w:t>
      </w:r>
    </w:p>
    <w:p w14:paraId="62C57107" w14:textId="77777777" w:rsidR="003855A7" w:rsidRPr="00FF1C3E" w:rsidRDefault="003855A7" w:rsidP="00AC1CAF">
      <w:pPr>
        <w:pStyle w:val="Bullet0"/>
        <w:numPr>
          <w:ilvl w:val="0"/>
          <w:numId w:val="56"/>
        </w:numPr>
        <w:ind w:hanging="283"/>
        <w:rPr>
          <w:noProof/>
        </w:rPr>
      </w:pPr>
      <w:r w:rsidRPr="00FF1C3E">
        <w:rPr>
          <w:noProof/>
        </w:rPr>
        <w:t>voldoen aan de criteria om uiteindelijk toe te treden tot de gemeenschappelijke eurobetalingsruimte (SEPA);</w:t>
      </w:r>
    </w:p>
    <w:p w14:paraId="4B8E0391" w14:textId="1859B037" w:rsidR="003855A7" w:rsidRPr="00FF1C3E" w:rsidRDefault="003855A7" w:rsidP="00AC1CAF">
      <w:pPr>
        <w:pStyle w:val="Bullet0"/>
        <w:numPr>
          <w:ilvl w:val="0"/>
          <w:numId w:val="56"/>
        </w:numPr>
        <w:ind w:hanging="283"/>
        <w:rPr>
          <w:noProof/>
        </w:rPr>
      </w:pPr>
      <w:r w:rsidRPr="00FF1C3E">
        <w:rPr>
          <w:noProof/>
        </w:rPr>
        <w:t>verbeteren van de institutionele capaciteit, efficiëntie, transparantie en het regelgevingskader inzake mededinging.</w:t>
      </w:r>
    </w:p>
    <w:p w14:paraId="43C9F876" w14:textId="77777777" w:rsidR="00DD35BD" w:rsidRPr="00FF1C3E" w:rsidRDefault="00DD35BD" w:rsidP="00DD35BD">
      <w:pPr>
        <w:rPr>
          <w:noProof/>
        </w:rPr>
      </w:pPr>
    </w:p>
    <w:p w14:paraId="222BAC57" w14:textId="77777777" w:rsidR="003855A7" w:rsidRPr="00FF1C3E" w:rsidRDefault="003855A7" w:rsidP="00DD35BD">
      <w:pPr>
        <w:pStyle w:val="NumPar1"/>
        <w:tabs>
          <w:tab w:val="clear" w:pos="850"/>
          <w:tab w:val="num" w:pos="567"/>
        </w:tabs>
        <w:ind w:left="567" w:hanging="567"/>
        <w:rPr>
          <w:noProof/>
          <w:u w:val="single"/>
        </w:rPr>
      </w:pPr>
      <w:bookmarkStart w:id="12" w:name="_Hlk61345385"/>
      <w:r w:rsidRPr="00FF1C3E">
        <w:rPr>
          <w:noProof/>
          <w:u w:val="single"/>
        </w:rPr>
        <w:t>Vennootschapsrecht, financiële verslaglegging en boekhoudkundige controle en corporate governance</w:t>
      </w:r>
    </w:p>
    <w:bookmarkEnd w:id="12"/>
    <w:p w14:paraId="007F5735" w14:textId="77777777" w:rsidR="003855A7" w:rsidRPr="00FF1C3E" w:rsidRDefault="003855A7" w:rsidP="003855A7">
      <w:pPr>
        <w:spacing w:line="276" w:lineRule="auto"/>
        <w:rPr>
          <w:rFonts w:eastAsia="Times New Roman"/>
          <w:noProof/>
          <w:szCs w:val="24"/>
        </w:rPr>
      </w:pPr>
      <w:r w:rsidRPr="00FF1C3E">
        <w:rPr>
          <w:noProof/>
        </w:rPr>
        <w:t xml:space="preserve">De partijen werken samen om de Republiek Moldavië voor te bereiden op de uitvoering van de EU-wetgeving en de internationale instrumenten die zijn opgenomen in desbetreffende bijlagen bij de associatieovereenkomst, waarbij het met name gaat om de volgende werkzaamheden: </w:t>
      </w:r>
    </w:p>
    <w:p w14:paraId="30413850" w14:textId="77777777" w:rsidR="003855A7" w:rsidRPr="00FF1C3E" w:rsidRDefault="003855A7" w:rsidP="00AC1CAF">
      <w:pPr>
        <w:pStyle w:val="Bullet0"/>
        <w:numPr>
          <w:ilvl w:val="0"/>
          <w:numId w:val="57"/>
        </w:numPr>
        <w:ind w:hanging="283"/>
        <w:rPr>
          <w:noProof/>
        </w:rPr>
      </w:pPr>
      <w:r w:rsidRPr="00FF1C3E">
        <w:rPr>
          <w:noProof/>
        </w:rPr>
        <w:t>voortzetten van de aanpassing van de wetgeving van de Republiek Moldavië inzake financiële verslaglegging en boekhoudkundige controle aan EU- en internationale instrumenten als vermeld in bijlage II bij de associatieovereenkomst;</w:t>
      </w:r>
    </w:p>
    <w:p w14:paraId="511A2769" w14:textId="77777777" w:rsidR="003855A7" w:rsidRPr="00FF1C3E" w:rsidRDefault="003855A7" w:rsidP="00AC1CAF">
      <w:pPr>
        <w:pStyle w:val="Bullet0"/>
        <w:numPr>
          <w:ilvl w:val="0"/>
          <w:numId w:val="57"/>
        </w:numPr>
        <w:ind w:hanging="283"/>
        <w:rPr>
          <w:noProof/>
        </w:rPr>
      </w:pPr>
      <w:r w:rsidRPr="00FF1C3E">
        <w:rPr>
          <w:noProof/>
        </w:rPr>
        <w:t>tijdig uitwisselen van relevante en nauwkeurige informatie over de stand van de bestaande wetgeving en de overeenstemming daarvan met de EU-wetgeving, op basis van de door de partijen overeengekomen formule, om de EU-wetgeving uit te voeren overeenkomstig het overeengekomen tijdschema;</w:t>
      </w:r>
    </w:p>
    <w:p w14:paraId="7366BE05" w14:textId="77777777" w:rsidR="003855A7" w:rsidRPr="00FF1C3E" w:rsidRDefault="003855A7" w:rsidP="00AC1CAF">
      <w:pPr>
        <w:pStyle w:val="Bullet0"/>
        <w:numPr>
          <w:ilvl w:val="0"/>
          <w:numId w:val="57"/>
        </w:numPr>
        <w:ind w:hanging="283"/>
        <w:rPr>
          <w:noProof/>
        </w:rPr>
      </w:pPr>
      <w:r w:rsidRPr="00FF1C3E">
        <w:rPr>
          <w:noProof/>
        </w:rPr>
        <w:t>in kaart brengen van de terreinen waarop opleiding, capaciteitsopbouw en deskundigheid nodig zijn;</w:t>
      </w:r>
    </w:p>
    <w:p w14:paraId="4794CA4A" w14:textId="77777777" w:rsidR="003855A7" w:rsidRPr="00FF1C3E" w:rsidRDefault="003855A7" w:rsidP="00AC1CAF">
      <w:pPr>
        <w:pStyle w:val="Bullet0"/>
        <w:numPr>
          <w:ilvl w:val="0"/>
          <w:numId w:val="57"/>
        </w:numPr>
        <w:ind w:hanging="283"/>
        <w:rPr>
          <w:noProof/>
        </w:rPr>
      </w:pPr>
      <w:r w:rsidRPr="00FF1C3E">
        <w:rPr>
          <w:noProof/>
        </w:rPr>
        <w:t xml:space="preserve">voortzetten van de hervorming van het inspectiesysteem en de verschillende inspectieautoriteiten, om de doelmatigheid te vergroten en de mogelijkheden voor corruptie te beperken, met als uiteindelijke doelstelling het bevorderen van het ondernemingsklimaat en van de naleving van wetten en normen; </w:t>
      </w:r>
    </w:p>
    <w:p w14:paraId="3221581E" w14:textId="77777777" w:rsidR="003855A7" w:rsidRPr="00FF1C3E" w:rsidRDefault="003855A7" w:rsidP="00AC1CAF">
      <w:pPr>
        <w:pStyle w:val="Bullet0"/>
        <w:numPr>
          <w:ilvl w:val="0"/>
          <w:numId w:val="57"/>
        </w:numPr>
        <w:ind w:hanging="283"/>
        <w:rPr>
          <w:noProof/>
        </w:rPr>
      </w:pPr>
      <w:r w:rsidRPr="00FF1C3E">
        <w:rPr>
          <w:noProof/>
        </w:rPr>
        <w:t>ontwikkelen van de administratieve capaciteit van de overheidsinstellingen van de Republiek Moldavië die zijn betrokken bij de uitvoering van het vennootschapsrecht, financiële verslaglegging en boekhoudkundige controle en corporate governance;</w:t>
      </w:r>
    </w:p>
    <w:p w14:paraId="443E4B91" w14:textId="77777777" w:rsidR="003855A7" w:rsidRPr="00FF1C3E" w:rsidRDefault="003855A7" w:rsidP="00AC1CAF">
      <w:pPr>
        <w:pStyle w:val="Bullet0"/>
        <w:numPr>
          <w:ilvl w:val="0"/>
          <w:numId w:val="57"/>
        </w:numPr>
        <w:ind w:hanging="283"/>
        <w:rPr>
          <w:noProof/>
        </w:rPr>
      </w:pPr>
      <w:r w:rsidRPr="00FF1C3E">
        <w:rPr>
          <w:noProof/>
        </w:rPr>
        <w:t>op gang brengen van besprekingen over de totstandbrenging van een register van uiteindelijke begunstigden voor ondernemingen;</w:t>
      </w:r>
    </w:p>
    <w:p w14:paraId="24E5DD42" w14:textId="6E79272C" w:rsidR="003855A7" w:rsidRPr="00FF1C3E" w:rsidRDefault="003855A7" w:rsidP="00AC1CAF">
      <w:pPr>
        <w:pStyle w:val="Bullet0"/>
        <w:numPr>
          <w:ilvl w:val="0"/>
          <w:numId w:val="57"/>
        </w:numPr>
        <w:ind w:hanging="283"/>
        <w:rPr>
          <w:noProof/>
        </w:rPr>
      </w:pPr>
      <w:r w:rsidRPr="00FF1C3E">
        <w:rPr>
          <w:noProof/>
        </w:rPr>
        <w:t>verbeteren van het regelgevingskader voor de afwikkeling van insolventie/bedrijfssluiting.</w:t>
      </w:r>
    </w:p>
    <w:p w14:paraId="38E0AE3F" w14:textId="77777777" w:rsidR="00DD35BD" w:rsidRPr="00FF1C3E" w:rsidRDefault="00DD35BD" w:rsidP="00DD35BD">
      <w:pPr>
        <w:rPr>
          <w:noProof/>
        </w:rPr>
      </w:pPr>
    </w:p>
    <w:p w14:paraId="2165EFD1" w14:textId="77777777" w:rsidR="003855A7" w:rsidRPr="00FF1C3E" w:rsidRDefault="003855A7" w:rsidP="00DD35BD">
      <w:pPr>
        <w:pStyle w:val="NumPar1"/>
        <w:tabs>
          <w:tab w:val="clear" w:pos="850"/>
          <w:tab w:val="num" w:pos="567"/>
        </w:tabs>
        <w:ind w:left="567" w:hanging="567"/>
        <w:rPr>
          <w:noProof/>
          <w:u w:val="single"/>
        </w:rPr>
      </w:pPr>
      <w:bookmarkStart w:id="13" w:name="_Hlk63947938"/>
      <w:r w:rsidRPr="00FF1C3E">
        <w:rPr>
          <w:noProof/>
          <w:u w:val="single"/>
        </w:rPr>
        <w:t>Werkgelegenheid, sociaal beleid en gelijke kansen</w:t>
      </w:r>
    </w:p>
    <w:bookmarkEnd w:id="13"/>
    <w:p w14:paraId="5EADD94D" w14:textId="77777777" w:rsidR="003855A7" w:rsidRPr="00FF1C3E" w:rsidRDefault="003855A7" w:rsidP="003855A7">
      <w:pPr>
        <w:spacing w:line="276" w:lineRule="auto"/>
        <w:rPr>
          <w:rFonts w:eastAsia="Times New Roman"/>
          <w:noProof/>
          <w:szCs w:val="24"/>
        </w:rPr>
      </w:pPr>
      <w:r w:rsidRPr="00FF1C3E">
        <w:rPr>
          <w:noProof/>
        </w:rPr>
        <w:t>De partijen werken samen om fatsoenlijk werk en eerlijke arbeidsvoorwaarden voor iedereen te waarborgen, gelijke kansen en toegang tot de arbeidsmarkt te versterken en armoede en sociale uitsluiting te bestrijden. De partijen werken samen om fatsoenlijk werk en eerlijke arbeidsomstandigheden te waarborgen aan de hand van de onderstaande punten:</w:t>
      </w:r>
    </w:p>
    <w:p w14:paraId="4E76378A" w14:textId="77777777" w:rsidR="003855A7" w:rsidRPr="00FF1C3E" w:rsidRDefault="003855A7" w:rsidP="003855A7">
      <w:pPr>
        <w:spacing w:before="240" w:after="0"/>
        <w:rPr>
          <w:noProof/>
        </w:rPr>
      </w:pPr>
      <w:r w:rsidRPr="00FF1C3E">
        <w:rPr>
          <w:i/>
          <w:noProof/>
          <w:szCs w:val="24"/>
        </w:rPr>
        <w:t>– binnen drie tot vier jaar:</w:t>
      </w:r>
    </w:p>
    <w:p w14:paraId="283D776F" w14:textId="77777777" w:rsidR="003855A7" w:rsidRPr="00FF1C3E" w:rsidRDefault="003855A7" w:rsidP="00AC1CAF">
      <w:pPr>
        <w:pStyle w:val="Bullet0"/>
        <w:numPr>
          <w:ilvl w:val="0"/>
          <w:numId w:val="58"/>
        </w:numPr>
        <w:ind w:hanging="283"/>
        <w:rPr>
          <w:noProof/>
        </w:rPr>
      </w:pPr>
      <w:r w:rsidRPr="00FF1C3E">
        <w:rPr>
          <w:noProof/>
        </w:rPr>
        <w:t>voltooien van de aanpassing van de Moldavische wetgeving aan de EU-arbeidswetgeving en EU-wetgeving inzake gezondheid en veiligheid op het werk in overeenstemming met de tijdschema’s van de associatieovereenkomst en ervoor zorgen dat de normen van de Internationale Arbeidsorganisatie (IAO) worden nageleefd;</w:t>
      </w:r>
    </w:p>
    <w:p w14:paraId="591BB00B" w14:textId="77777777" w:rsidR="003855A7" w:rsidRPr="00FF1C3E" w:rsidRDefault="003855A7" w:rsidP="00AC1CAF">
      <w:pPr>
        <w:pStyle w:val="Bullet0"/>
        <w:numPr>
          <w:ilvl w:val="0"/>
          <w:numId w:val="58"/>
        </w:numPr>
        <w:ind w:hanging="283"/>
        <w:rPr>
          <w:noProof/>
        </w:rPr>
      </w:pPr>
      <w:r w:rsidRPr="00FF1C3E">
        <w:rPr>
          <w:noProof/>
        </w:rPr>
        <w:t>opzetten van een doeltreffend arbeidsinspectiesysteem voor gezondheid en veiligheid op het werk en arbeidsrechten en -voorwaarden en in overeenstemming brengen ervan met de IAO-normen (rechtskader en capaciteit);</w:t>
      </w:r>
    </w:p>
    <w:p w14:paraId="163D8438" w14:textId="77777777" w:rsidR="003855A7" w:rsidRPr="00FF1C3E" w:rsidRDefault="003855A7" w:rsidP="00AC1CAF">
      <w:pPr>
        <w:pStyle w:val="Bullet0"/>
        <w:numPr>
          <w:ilvl w:val="0"/>
          <w:numId w:val="58"/>
        </w:numPr>
        <w:ind w:hanging="283"/>
        <w:rPr>
          <w:noProof/>
        </w:rPr>
      </w:pPr>
      <w:r w:rsidRPr="00FF1C3E">
        <w:rPr>
          <w:noProof/>
        </w:rPr>
        <w:t>ontwikkelen van een aanpak inzake zwartwerk en informele arbeid;</w:t>
      </w:r>
    </w:p>
    <w:p w14:paraId="5106133D" w14:textId="77777777" w:rsidR="003855A7" w:rsidRPr="00FF1C3E" w:rsidRDefault="003855A7" w:rsidP="00AC1CAF">
      <w:pPr>
        <w:pStyle w:val="Bullet0"/>
        <w:numPr>
          <w:ilvl w:val="0"/>
          <w:numId w:val="58"/>
        </w:numPr>
        <w:ind w:hanging="283"/>
        <w:rPr>
          <w:noProof/>
        </w:rPr>
      </w:pPr>
      <w:r w:rsidRPr="00FF1C3E">
        <w:rPr>
          <w:noProof/>
        </w:rPr>
        <w:t>versterken van de capaciteiten van de waarnemingspost Arbeidsmarkt;</w:t>
      </w:r>
    </w:p>
    <w:p w14:paraId="711CDC28" w14:textId="77777777" w:rsidR="003855A7" w:rsidRPr="00FF1C3E" w:rsidRDefault="003855A7" w:rsidP="00AC1CAF">
      <w:pPr>
        <w:pStyle w:val="Bullet0"/>
        <w:numPr>
          <w:ilvl w:val="0"/>
          <w:numId w:val="58"/>
        </w:numPr>
        <w:ind w:hanging="283"/>
        <w:rPr>
          <w:noProof/>
        </w:rPr>
      </w:pPr>
      <w:r w:rsidRPr="00FF1C3E">
        <w:rPr>
          <w:noProof/>
        </w:rPr>
        <w:t xml:space="preserve">zorgen voor een doeltreffende sociale dialoog en collectieve onderhandelingen; </w:t>
      </w:r>
    </w:p>
    <w:p w14:paraId="7B36D1EE" w14:textId="77777777" w:rsidR="003855A7" w:rsidRPr="00FF1C3E" w:rsidRDefault="003855A7" w:rsidP="003855A7">
      <w:pPr>
        <w:spacing w:before="240" w:after="0"/>
        <w:rPr>
          <w:noProof/>
        </w:rPr>
      </w:pPr>
      <w:r w:rsidRPr="00FF1C3E">
        <w:rPr>
          <w:i/>
          <w:noProof/>
          <w:szCs w:val="24"/>
        </w:rPr>
        <w:t>– binnen zeven jaar:</w:t>
      </w:r>
    </w:p>
    <w:p w14:paraId="01208AC8" w14:textId="77777777" w:rsidR="003855A7" w:rsidRPr="00FF1C3E" w:rsidRDefault="003855A7" w:rsidP="00AC1CAF">
      <w:pPr>
        <w:pStyle w:val="Bullet0"/>
        <w:numPr>
          <w:ilvl w:val="0"/>
          <w:numId w:val="59"/>
        </w:numPr>
        <w:ind w:hanging="283"/>
        <w:rPr>
          <w:noProof/>
        </w:rPr>
      </w:pPr>
      <w:r w:rsidRPr="00FF1C3E">
        <w:rPr>
          <w:noProof/>
        </w:rPr>
        <w:t xml:space="preserve">doeltreffend uitvoeren van de arbeidswetgeving en wetgeving inzake gezondheid en veiligheid op het werk, met name door:  </w:t>
      </w:r>
    </w:p>
    <w:p w14:paraId="5878BCBF" w14:textId="77777777" w:rsidR="003855A7" w:rsidRPr="00FF1C3E" w:rsidRDefault="003855A7" w:rsidP="00D95F1C">
      <w:pPr>
        <w:pStyle w:val="Tiret1"/>
        <w:numPr>
          <w:ilvl w:val="0"/>
          <w:numId w:val="92"/>
        </w:numPr>
        <w:ind w:hanging="283"/>
        <w:rPr>
          <w:noProof/>
        </w:rPr>
      </w:pPr>
      <w:r w:rsidRPr="00FF1C3E">
        <w:rPr>
          <w:noProof/>
        </w:rPr>
        <w:t>versterking van de bestuurlijke en handhavingscapaciteit, met name de arbeidsinspectie en de bevoegde rechterlijke instanties;</w:t>
      </w:r>
    </w:p>
    <w:p w14:paraId="2AEDDE08" w14:textId="77777777" w:rsidR="003855A7" w:rsidRPr="00FF1C3E" w:rsidRDefault="003855A7" w:rsidP="00D364A8">
      <w:pPr>
        <w:pStyle w:val="Tiret1"/>
        <w:ind w:hanging="283"/>
        <w:rPr>
          <w:noProof/>
        </w:rPr>
      </w:pPr>
      <w:r w:rsidRPr="00FF1C3E">
        <w:rPr>
          <w:noProof/>
        </w:rPr>
        <w:t>opleiding van de sociale partners en andere belanghebbenden, rechters, enz. en bewustmaking;</w:t>
      </w:r>
    </w:p>
    <w:p w14:paraId="026B9467" w14:textId="77777777" w:rsidR="003855A7" w:rsidRPr="00FF1C3E" w:rsidRDefault="003855A7" w:rsidP="00AC1CAF">
      <w:pPr>
        <w:pStyle w:val="Bullet0"/>
        <w:numPr>
          <w:ilvl w:val="0"/>
          <w:numId w:val="60"/>
        </w:numPr>
        <w:ind w:hanging="283"/>
        <w:rPr>
          <w:noProof/>
        </w:rPr>
      </w:pPr>
      <w:r w:rsidRPr="00FF1C3E">
        <w:rPr>
          <w:noProof/>
        </w:rPr>
        <w:t>uitvoeren en monitoren van de aanpak van zwartwerk en informele arbeid.</w:t>
      </w:r>
    </w:p>
    <w:p w14:paraId="7428EF6F" w14:textId="77777777" w:rsidR="003855A7" w:rsidRPr="00FF1C3E" w:rsidRDefault="003855A7" w:rsidP="003855A7">
      <w:pPr>
        <w:spacing w:before="240" w:after="0"/>
        <w:rPr>
          <w:rFonts w:eastAsia="Times New Roman"/>
          <w:i/>
          <w:noProof/>
          <w:szCs w:val="24"/>
        </w:rPr>
      </w:pPr>
      <w:r w:rsidRPr="00FF1C3E">
        <w:rPr>
          <w:i/>
          <w:noProof/>
          <w:szCs w:val="24"/>
        </w:rPr>
        <w:t xml:space="preserve">Versterking van gelijke kansen en toegang tot de arbeidsmarkt </w:t>
      </w:r>
    </w:p>
    <w:p w14:paraId="6176621F" w14:textId="77777777" w:rsidR="003855A7" w:rsidRPr="00FF1C3E" w:rsidRDefault="003855A7" w:rsidP="003855A7">
      <w:pPr>
        <w:spacing w:before="240" w:after="0"/>
        <w:rPr>
          <w:noProof/>
        </w:rPr>
      </w:pPr>
      <w:r w:rsidRPr="00FF1C3E">
        <w:rPr>
          <w:i/>
          <w:noProof/>
          <w:szCs w:val="24"/>
        </w:rPr>
        <w:t>– Binnen drie tot vier jaar:</w:t>
      </w:r>
    </w:p>
    <w:p w14:paraId="159F264B" w14:textId="77777777" w:rsidR="003855A7" w:rsidRPr="00FF1C3E" w:rsidRDefault="003855A7" w:rsidP="00AC1CAF">
      <w:pPr>
        <w:pStyle w:val="Bullet0"/>
        <w:numPr>
          <w:ilvl w:val="0"/>
          <w:numId w:val="61"/>
        </w:numPr>
        <w:ind w:hanging="283"/>
        <w:rPr>
          <w:noProof/>
        </w:rPr>
      </w:pPr>
      <w:r w:rsidRPr="00FF1C3E">
        <w:rPr>
          <w:noProof/>
        </w:rPr>
        <w:t>uitwerken van een beleidsaanpak om een hogere arbeidsmarktparticipatie te bevorderen;</w:t>
      </w:r>
    </w:p>
    <w:p w14:paraId="158CB55C" w14:textId="77777777" w:rsidR="003855A7" w:rsidRPr="00FF1C3E" w:rsidRDefault="003855A7" w:rsidP="00AC1CAF">
      <w:pPr>
        <w:pStyle w:val="Bullet0"/>
        <w:numPr>
          <w:ilvl w:val="0"/>
          <w:numId w:val="61"/>
        </w:numPr>
        <w:ind w:hanging="283"/>
        <w:rPr>
          <w:noProof/>
        </w:rPr>
      </w:pPr>
      <w:r w:rsidRPr="00FF1C3E">
        <w:rPr>
          <w:noProof/>
        </w:rPr>
        <w:t>verbeteren van beleidsbenaderingen om jongeren te helpen bij hun toetreding tot de arbeidsmarkt;</w:t>
      </w:r>
    </w:p>
    <w:p w14:paraId="5216410B" w14:textId="77777777" w:rsidR="003855A7" w:rsidRPr="00FF1C3E" w:rsidRDefault="003855A7" w:rsidP="00AC1CAF">
      <w:pPr>
        <w:pStyle w:val="Bullet0"/>
        <w:numPr>
          <w:ilvl w:val="0"/>
          <w:numId w:val="61"/>
        </w:numPr>
        <w:ind w:hanging="283"/>
        <w:rPr>
          <w:noProof/>
        </w:rPr>
      </w:pPr>
      <w:r w:rsidRPr="00FF1C3E">
        <w:rPr>
          <w:noProof/>
        </w:rPr>
        <w:t>versterken van de capaciteit van de overheidsdiensten en de instellingen die belast zijn met de ontwikkeling en uitvoering van werkgelegenheids- en sociaal beleid, met name diensten voor arbeidsvoorziening en sociale diensten;</w:t>
      </w:r>
    </w:p>
    <w:p w14:paraId="3ACA2CCC" w14:textId="77777777" w:rsidR="003855A7" w:rsidRPr="00FF1C3E" w:rsidRDefault="003855A7" w:rsidP="00AC1CAF">
      <w:pPr>
        <w:pStyle w:val="Bullet0"/>
        <w:numPr>
          <w:ilvl w:val="0"/>
          <w:numId w:val="61"/>
        </w:numPr>
        <w:ind w:hanging="283"/>
        <w:rPr>
          <w:noProof/>
        </w:rPr>
      </w:pPr>
      <w:r w:rsidRPr="00FF1C3E">
        <w:rPr>
          <w:noProof/>
        </w:rPr>
        <w:t>verbeteren van de gelijke toegang van vrouwen tot de arbeidsmarkt en streven naar gelijkheid tussen vrouwen en mannen wat betreft betaald werk, onder meer door zwangere werkneemsters op passende wijze te beschermen en te zorgen voor gelijke salarissen voor vrouwen en mannen.</w:t>
      </w:r>
    </w:p>
    <w:p w14:paraId="792553DD" w14:textId="62B44FEF" w:rsidR="003855A7" w:rsidRPr="00FF1C3E" w:rsidRDefault="002E12B8" w:rsidP="003855A7">
      <w:pPr>
        <w:spacing w:before="240" w:after="0"/>
        <w:rPr>
          <w:noProof/>
        </w:rPr>
      </w:pPr>
      <w:r w:rsidRPr="00FF1C3E">
        <w:rPr>
          <w:i/>
          <w:noProof/>
          <w:szCs w:val="24"/>
        </w:rPr>
        <w:t>– B</w:t>
      </w:r>
      <w:r w:rsidR="003855A7" w:rsidRPr="00FF1C3E">
        <w:rPr>
          <w:i/>
          <w:noProof/>
          <w:szCs w:val="24"/>
        </w:rPr>
        <w:t>innen zeven jaar:</w:t>
      </w:r>
    </w:p>
    <w:p w14:paraId="280F499C" w14:textId="77777777" w:rsidR="003855A7" w:rsidRPr="00FF1C3E" w:rsidRDefault="003855A7" w:rsidP="00AC1CAF">
      <w:pPr>
        <w:pStyle w:val="Bullet0"/>
        <w:numPr>
          <w:ilvl w:val="0"/>
          <w:numId w:val="62"/>
        </w:numPr>
        <w:ind w:hanging="283"/>
        <w:rPr>
          <w:noProof/>
        </w:rPr>
      </w:pPr>
      <w:r w:rsidRPr="00FF1C3E">
        <w:rPr>
          <w:noProof/>
        </w:rPr>
        <w:t>versterken van de capaciteit van de overheidsdiensten en de instellingen die belast zijn met de ontwikkeling en uitvoering van werkgelegenheids- en sociaal beleid, met name diensten voor arbeidsvoorziening en sociale diensten.</w:t>
      </w:r>
    </w:p>
    <w:p w14:paraId="6D87B71E" w14:textId="77777777" w:rsidR="003855A7" w:rsidRPr="00FF1C3E" w:rsidRDefault="003855A7" w:rsidP="003855A7">
      <w:pPr>
        <w:spacing w:before="240" w:after="0"/>
        <w:rPr>
          <w:rFonts w:eastAsia="Times New Roman"/>
          <w:i/>
          <w:noProof/>
          <w:szCs w:val="24"/>
        </w:rPr>
      </w:pPr>
      <w:r w:rsidRPr="00FF1C3E">
        <w:rPr>
          <w:i/>
          <w:noProof/>
          <w:szCs w:val="24"/>
        </w:rPr>
        <w:t>De strijd tegen armoede en sociale exclusie</w:t>
      </w:r>
    </w:p>
    <w:p w14:paraId="0A88E4C0" w14:textId="77777777" w:rsidR="003855A7" w:rsidRPr="00FF1C3E" w:rsidRDefault="003855A7" w:rsidP="003855A7">
      <w:pPr>
        <w:spacing w:before="240" w:after="0"/>
        <w:rPr>
          <w:noProof/>
        </w:rPr>
      </w:pPr>
      <w:r w:rsidRPr="00FF1C3E">
        <w:rPr>
          <w:i/>
          <w:noProof/>
          <w:szCs w:val="24"/>
        </w:rPr>
        <w:t>– Binnen drie tot vier jaar:</w:t>
      </w:r>
    </w:p>
    <w:p w14:paraId="40BC4E20" w14:textId="0532F80F" w:rsidR="003855A7" w:rsidRPr="00FF1C3E" w:rsidRDefault="003855A7" w:rsidP="00AC1CAF">
      <w:pPr>
        <w:pStyle w:val="Bullet0"/>
        <w:numPr>
          <w:ilvl w:val="0"/>
          <w:numId w:val="63"/>
        </w:numPr>
        <w:ind w:hanging="283"/>
        <w:rPr>
          <w:noProof/>
        </w:rPr>
      </w:pPr>
      <w:r w:rsidRPr="00FF1C3E">
        <w:rPr>
          <w:noProof/>
        </w:rPr>
        <w:t>ervoor zorgen dat het socialezekerheidssysteem arbeidsmarktparticipatie stimuleert (activering) en waarborgen van de toereikendheid en houdbaarheid van sociale bijstand en pensioenregelingen.</w:t>
      </w:r>
    </w:p>
    <w:p w14:paraId="0F62FFD7" w14:textId="77777777" w:rsidR="00DD35BD" w:rsidRPr="00FF1C3E" w:rsidRDefault="00DD35BD" w:rsidP="00DD35BD">
      <w:pPr>
        <w:rPr>
          <w:noProof/>
        </w:rPr>
      </w:pPr>
    </w:p>
    <w:p w14:paraId="130DFA31" w14:textId="77777777" w:rsidR="003855A7" w:rsidRPr="00FF1C3E" w:rsidRDefault="003855A7" w:rsidP="00DD35BD">
      <w:pPr>
        <w:pStyle w:val="NumPar1"/>
        <w:tabs>
          <w:tab w:val="clear" w:pos="850"/>
          <w:tab w:val="num" w:pos="567"/>
        </w:tabs>
        <w:ind w:left="567" w:hanging="567"/>
        <w:rPr>
          <w:noProof/>
          <w:u w:val="single"/>
        </w:rPr>
      </w:pPr>
      <w:bookmarkStart w:id="14" w:name="_Hlk61347672"/>
      <w:r w:rsidRPr="00FF1C3E">
        <w:rPr>
          <w:noProof/>
          <w:u w:val="single"/>
        </w:rPr>
        <w:t xml:space="preserve">Consumentenbescherming </w:t>
      </w:r>
    </w:p>
    <w:bookmarkEnd w:id="14"/>
    <w:p w14:paraId="1A43F81A" w14:textId="77777777" w:rsidR="003855A7" w:rsidRPr="00FF1C3E" w:rsidRDefault="003855A7" w:rsidP="003855A7">
      <w:pPr>
        <w:spacing w:line="276" w:lineRule="auto"/>
        <w:rPr>
          <w:rFonts w:eastAsia="Times New Roman"/>
          <w:noProof/>
          <w:szCs w:val="24"/>
        </w:rPr>
      </w:pPr>
      <w:r w:rsidRPr="00FF1C3E">
        <w:rPr>
          <w:noProof/>
        </w:rPr>
        <w:t xml:space="preserve">Ter voorbereiding op de uitvoering van de EU-wetgeving en de internationale instrumenten vermeld in de desbetreffende bijlage bij de associatieovereenkomst, werken de partijen op de volgende terreinen samen: </w:t>
      </w:r>
    </w:p>
    <w:p w14:paraId="3C91D02B" w14:textId="77777777" w:rsidR="003855A7" w:rsidRPr="00FF1C3E" w:rsidRDefault="003855A7" w:rsidP="003855A7">
      <w:pPr>
        <w:spacing w:before="240" w:after="0"/>
        <w:rPr>
          <w:rFonts w:eastAsia="Times New Roman"/>
          <w:i/>
          <w:noProof/>
          <w:szCs w:val="24"/>
        </w:rPr>
      </w:pPr>
      <w:r w:rsidRPr="00FF1C3E">
        <w:rPr>
          <w:i/>
          <w:noProof/>
          <w:szCs w:val="24"/>
        </w:rPr>
        <w:t xml:space="preserve">– binnen drie tot vier jaar: </w:t>
      </w:r>
    </w:p>
    <w:p w14:paraId="40EBC97A" w14:textId="77777777" w:rsidR="003855A7" w:rsidRPr="00FF1C3E" w:rsidRDefault="003855A7" w:rsidP="00AC1CAF">
      <w:pPr>
        <w:pStyle w:val="Bullet0"/>
        <w:numPr>
          <w:ilvl w:val="0"/>
          <w:numId w:val="64"/>
        </w:numPr>
        <w:ind w:hanging="283"/>
        <w:rPr>
          <w:noProof/>
        </w:rPr>
      </w:pPr>
      <w:r w:rsidRPr="00FF1C3E">
        <w:rPr>
          <w:noProof/>
        </w:rPr>
        <w:t xml:space="preserve">uitvoeren van het meerjarenplan voor de institutionele ontwikkeling van het agentschap voor consumentenbescherming; </w:t>
      </w:r>
    </w:p>
    <w:p w14:paraId="309D2E94" w14:textId="77777777" w:rsidR="003855A7" w:rsidRPr="00FF1C3E" w:rsidRDefault="003855A7" w:rsidP="00AC1CAF">
      <w:pPr>
        <w:pStyle w:val="Bullet0"/>
        <w:numPr>
          <w:ilvl w:val="0"/>
          <w:numId w:val="64"/>
        </w:numPr>
        <w:ind w:hanging="283"/>
        <w:rPr>
          <w:noProof/>
        </w:rPr>
      </w:pPr>
      <w:r w:rsidRPr="00FF1C3E">
        <w:rPr>
          <w:noProof/>
        </w:rPr>
        <w:t xml:space="preserve">uitvoeren van het meerjarenplan voor de institutionele ontwikkeling van het nationaal agentschap voor voedselveiligheid; </w:t>
      </w:r>
    </w:p>
    <w:p w14:paraId="1910B4C4" w14:textId="77777777" w:rsidR="003855A7" w:rsidRPr="00FF1C3E" w:rsidRDefault="003855A7" w:rsidP="00AC1CAF">
      <w:pPr>
        <w:pStyle w:val="Bullet0"/>
        <w:numPr>
          <w:ilvl w:val="0"/>
          <w:numId w:val="64"/>
        </w:numPr>
        <w:ind w:hanging="283"/>
        <w:rPr>
          <w:noProof/>
          <w:color w:val="000000" w:themeColor="text1"/>
        </w:rPr>
      </w:pPr>
      <w:r w:rsidRPr="00FF1C3E">
        <w:rPr>
          <w:noProof/>
        </w:rPr>
        <w:t>herzien van de omzetting van Verordening (EG) nr. 2006/2004 betreffende samenwerking met betrekking tot consumentenbescherming in het licht van de vervanging ervan door Verordening (EU) 2017/2394 van 17 januari 2020, waarbij aanvullende minimumbevoegdheden en vereisten voor bevoegde autoriteiten en andere bepalingen zijn ingevoerd;</w:t>
      </w:r>
    </w:p>
    <w:p w14:paraId="30F3843E" w14:textId="65206E63" w:rsidR="003855A7" w:rsidRPr="00FF1C3E" w:rsidRDefault="003855A7" w:rsidP="00AC1CAF">
      <w:pPr>
        <w:pStyle w:val="Bullet0"/>
        <w:numPr>
          <w:ilvl w:val="0"/>
          <w:numId w:val="64"/>
        </w:numPr>
        <w:ind w:hanging="283"/>
        <w:rPr>
          <w:noProof/>
        </w:rPr>
      </w:pPr>
      <w:r w:rsidRPr="00FF1C3E">
        <w:rPr>
          <w:noProof/>
        </w:rPr>
        <w:t xml:space="preserve">ermee instemmen om Richtlijn 2013/11/EU betreffende alternatieve beslechting van consumentengeschillen (richtlijn ADR consumenten) toe te voegen aan de lijst van het EU-acquis inzake consumentenrecht waaraan de Moldavische </w:t>
      </w:r>
      <w:r w:rsidR="00CF77FF" w:rsidRPr="00FF1C3E">
        <w:rPr>
          <w:noProof/>
        </w:rPr>
        <w:t>wetgeving moet worden aangepast;</w:t>
      </w:r>
    </w:p>
    <w:p w14:paraId="09250B7A" w14:textId="77777777" w:rsidR="003855A7" w:rsidRPr="00FF1C3E" w:rsidRDefault="003855A7" w:rsidP="003855A7">
      <w:pPr>
        <w:spacing w:before="240" w:after="0"/>
        <w:rPr>
          <w:rFonts w:eastAsia="Times New Roman"/>
          <w:i/>
          <w:noProof/>
          <w:szCs w:val="24"/>
        </w:rPr>
      </w:pPr>
      <w:r w:rsidRPr="00FF1C3E">
        <w:rPr>
          <w:i/>
          <w:noProof/>
          <w:szCs w:val="24"/>
        </w:rPr>
        <w:t xml:space="preserve">– binnen zeven jaar: </w:t>
      </w:r>
    </w:p>
    <w:p w14:paraId="6D360FB3" w14:textId="77777777" w:rsidR="003855A7" w:rsidRPr="00FF1C3E" w:rsidRDefault="003855A7" w:rsidP="00AC1CAF">
      <w:pPr>
        <w:pStyle w:val="Bullet0"/>
        <w:numPr>
          <w:ilvl w:val="0"/>
          <w:numId w:val="65"/>
        </w:numPr>
        <w:ind w:hanging="283"/>
        <w:rPr>
          <w:noProof/>
        </w:rPr>
      </w:pPr>
      <w:r w:rsidRPr="00FF1C3E">
        <w:rPr>
          <w:noProof/>
        </w:rPr>
        <w:t xml:space="preserve">tot stand brengen en activeren van een nationaal systeem voor doelmatige communicatie tussen nationale belanghebbenden over gevaarlijke non-foodconsumentenproducten en het terugroepen hiervan, geïnspireerd op het EU-systeem voor snelle uitwisseling van informatie (Rapex); </w:t>
      </w:r>
    </w:p>
    <w:p w14:paraId="4E0531B3" w14:textId="77777777" w:rsidR="003855A7" w:rsidRPr="00FF1C3E" w:rsidRDefault="003855A7" w:rsidP="00AC1CAF">
      <w:pPr>
        <w:pStyle w:val="Bullet0"/>
        <w:numPr>
          <w:ilvl w:val="0"/>
          <w:numId w:val="65"/>
        </w:numPr>
        <w:ind w:hanging="283"/>
        <w:rPr>
          <w:noProof/>
        </w:rPr>
      </w:pPr>
      <w:r w:rsidRPr="00FF1C3E">
        <w:rPr>
          <w:noProof/>
        </w:rPr>
        <w:t>op basis van de beoordeling door de EU van de conformiteit van het respectieve nationale systeem met de richtlijn algemene productveiligheid bespreken de partijen de mogelijke stappen die bij hun samenwerking moeten worden gevolgd;</w:t>
      </w:r>
    </w:p>
    <w:p w14:paraId="38507A9E" w14:textId="77777777" w:rsidR="003855A7" w:rsidRPr="00FF1C3E" w:rsidRDefault="003855A7" w:rsidP="00AC1CAF">
      <w:pPr>
        <w:pStyle w:val="Bullet0"/>
        <w:numPr>
          <w:ilvl w:val="0"/>
          <w:numId w:val="65"/>
        </w:numPr>
        <w:ind w:hanging="283"/>
        <w:rPr>
          <w:noProof/>
        </w:rPr>
      </w:pPr>
      <w:r w:rsidRPr="00FF1C3E">
        <w:rPr>
          <w:noProof/>
        </w:rPr>
        <w:t xml:space="preserve">tot stand brengen en activeren van een mechanisme voor het uitwisselen van informatie over gevaarlijke levensmiddelen, gebaseerd op een systeem naar EU-model voor snelle waarschuwingen over levensmiddelen en diervoeders; </w:t>
      </w:r>
    </w:p>
    <w:p w14:paraId="027CCA08" w14:textId="77777777" w:rsidR="003855A7" w:rsidRPr="00FF1C3E" w:rsidRDefault="003855A7" w:rsidP="00AC1CAF">
      <w:pPr>
        <w:pStyle w:val="Bullet0"/>
        <w:numPr>
          <w:ilvl w:val="0"/>
          <w:numId w:val="65"/>
        </w:numPr>
        <w:ind w:hanging="283"/>
        <w:rPr>
          <w:noProof/>
        </w:rPr>
      </w:pPr>
      <w:r w:rsidRPr="00FF1C3E">
        <w:rPr>
          <w:noProof/>
        </w:rPr>
        <w:t xml:space="preserve">samenvoegen van de verschillende controlepunten van voedselveiligheid (grenscontroleposten, plantgezondheids- en diergezondheidsdiensten en het nationaal centrum voor de controle en certificering van bodem en gewas) tot een geïntegreerd en beheerd informatiebeheersysteem; </w:t>
      </w:r>
    </w:p>
    <w:p w14:paraId="085F4517" w14:textId="77777777" w:rsidR="003855A7" w:rsidRPr="00FF1C3E" w:rsidRDefault="003855A7" w:rsidP="00AC1CAF">
      <w:pPr>
        <w:pStyle w:val="Bullet0"/>
        <w:numPr>
          <w:ilvl w:val="0"/>
          <w:numId w:val="65"/>
        </w:numPr>
        <w:ind w:hanging="283"/>
        <w:rPr>
          <w:noProof/>
        </w:rPr>
      </w:pPr>
      <w:r w:rsidRPr="00FF1C3E">
        <w:rPr>
          <w:noProof/>
        </w:rPr>
        <w:t xml:space="preserve">verder ontwikkelen en handhaven van op risico gebaseerde controleprocedures voor de beheersanalyse voor levensmiddelen en non-foodproducten; </w:t>
      </w:r>
    </w:p>
    <w:p w14:paraId="49EA2EF7" w14:textId="77777777" w:rsidR="003855A7" w:rsidRPr="00FF1C3E" w:rsidRDefault="003855A7" w:rsidP="00AC1CAF">
      <w:pPr>
        <w:pStyle w:val="Bullet0"/>
        <w:numPr>
          <w:ilvl w:val="0"/>
          <w:numId w:val="65"/>
        </w:numPr>
        <w:ind w:hanging="283"/>
        <w:rPr>
          <w:noProof/>
        </w:rPr>
      </w:pPr>
      <w:r w:rsidRPr="00FF1C3E">
        <w:rPr>
          <w:noProof/>
        </w:rPr>
        <w:t xml:space="preserve">periodiek beoordelen, en eventueel herzien, van het meerjarenplan voor de institutionele ontwikkeling van het agentschap voor consumentenbescherming; </w:t>
      </w:r>
    </w:p>
    <w:p w14:paraId="38189FA0" w14:textId="77777777" w:rsidR="003855A7" w:rsidRPr="00FF1C3E" w:rsidRDefault="003855A7" w:rsidP="00AC1CAF">
      <w:pPr>
        <w:pStyle w:val="Bullet0"/>
        <w:numPr>
          <w:ilvl w:val="0"/>
          <w:numId w:val="65"/>
        </w:numPr>
        <w:ind w:hanging="283"/>
        <w:rPr>
          <w:noProof/>
        </w:rPr>
      </w:pPr>
      <w:r w:rsidRPr="00FF1C3E">
        <w:rPr>
          <w:noProof/>
        </w:rPr>
        <w:t xml:space="preserve">periodiek beoordelen, en eventueel herzien, van het meerjarenplan voor de institutionele ontwikkeling van het nationaal agentschap voor voedselveiligheid; </w:t>
      </w:r>
    </w:p>
    <w:p w14:paraId="23B088E1" w14:textId="77777777" w:rsidR="003855A7" w:rsidRPr="00FF1C3E" w:rsidRDefault="003855A7" w:rsidP="00AC1CAF">
      <w:pPr>
        <w:pStyle w:val="Bullet0"/>
        <w:numPr>
          <w:ilvl w:val="0"/>
          <w:numId w:val="65"/>
        </w:numPr>
        <w:ind w:hanging="283"/>
        <w:rPr>
          <w:noProof/>
        </w:rPr>
      </w:pPr>
      <w:r w:rsidRPr="00FF1C3E">
        <w:rPr>
          <w:noProof/>
        </w:rPr>
        <w:t xml:space="preserve">verder afstemmen van het sanitaire en fytosanitaire wetgevings- en normatieve kader van de Republiek Moldavië op het acquis van de EU; </w:t>
      </w:r>
    </w:p>
    <w:p w14:paraId="467FEBB7" w14:textId="77777777" w:rsidR="003855A7" w:rsidRPr="00FF1C3E" w:rsidRDefault="003855A7" w:rsidP="00AC1CAF">
      <w:pPr>
        <w:pStyle w:val="Bullet0"/>
        <w:numPr>
          <w:ilvl w:val="0"/>
          <w:numId w:val="65"/>
        </w:numPr>
        <w:ind w:hanging="283"/>
        <w:rPr>
          <w:noProof/>
        </w:rPr>
      </w:pPr>
      <w:r w:rsidRPr="00FF1C3E">
        <w:rPr>
          <w:noProof/>
        </w:rPr>
        <w:t>geleidelijk blijven aanpassen van de wetgeving van de Republiek Moldavië aan de desbetreffende EU-wetgeving en internationale instrumenten;</w:t>
      </w:r>
    </w:p>
    <w:p w14:paraId="3482AC5D" w14:textId="77777777" w:rsidR="003855A7" w:rsidRPr="00FF1C3E" w:rsidRDefault="003855A7" w:rsidP="00AC1CAF">
      <w:pPr>
        <w:pStyle w:val="Bullet0"/>
        <w:numPr>
          <w:ilvl w:val="0"/>
          <w:numId w:val="65"/>
        </w:numPr>
        <w:ind w:hanging="283"/>
        <w:rPr>
          <w:noProof/>
        </w:rPr>
      </w:pPr>
      <w:r w:rsidRPr="00FF1C3E">
        <w:rPr>
          <w:noProof/>
        </w:rPr>
        <w:t>bevorderen van de ontwikkeling van onafhankelijke consumentenverenigingen, met inbegrip van niet-gouvernementele consumentenorganisaties (ngo’s), en van contacten tussen consumentenvertegenwoordigers, alsook samenwerking tussen de autoriteiten en ngo’s op het gebied van consumentenbescherming;</w:t>
      </w:r>
    </w:p>
    <w:p w14:paraId="141B404F" w14:textId="674F5AC5" w:rsidR="003855A7" w:rsidRPr="00FF1C3E" w:rsidRDefault="003855A7" w:rsidP="00AC1CAF">
      <w:pPr>
        <w:pStyle w:val="Bullet0"/>
        <w:numPr>
          <w:ilvl w:val="0"/>
          <w:numId w:val="65"/>
        </w:numPr>
        <w:ind w:hanging="283"/>
        <w:rPr>
          <w:noProof/>
        </w:rPr>
      </w:pPr>
      <w:r w:rsidRPr="00FF1C3E">
        <w:rPr>
          <w:noProof/>
        </w:rPr>
        <w:t>versterken van de administratieve capaciteit van de handhaving van consumentenbescherming in de Republiek Moldavië, in het bijzonder door opleidingen te verstrekken aan overheidsfunctionarissen en andere behartigers van consumentenbelangen over de omzetting van EU-wetgeving en de daaropvolgende uitvoering en handhaving.</w:t>
      </w:r>
    </w:p>
    <w:p w14:paraId="6A5A1DEB" w14:textId="77777777" w:rsidR="00DD35BD" w:rsidRPr="00FF1C3E" w:rsidRDefault="00DD35BD" w:rsidP="00DD35BD">
      <w:pPr>
        <w:rPr>
          <w:noProof/>
        </w:rPr>
      </w:pPr>
    </w:p>
    <w:p w14:paraId="747EC5FA" w14:textId="77777777" w:rsidR="003855A7" w:rsidRPr="00FF1C3E" w:rsidRDefault="003855A7" w:rsidP="00DD35BD">
      <w:pPr>
        <w:pStyle w:val="NumPar1"/>
        <w:tabs>
          <w:tab w:val="clear" w:pos="850"/>
          <w:tab w:val="num" w:pos="567"/>
        </w:tabs>
        <w:ind w:left="567" w:hanging="567"/>
        <w:rPr>
          <w:noProof/>
          <w:u w:val="single"/>
        </w:rPr>
      </w:pPr>
      <w:r w:rsidRPr="00FF1C3E">
        <w:rPr>
          <w:noProof/>
          <w:u w:val="single"/>
        </w:rPr>
        <w:t>Statistiek</w:t>
      </w:r>
    </w:p>
    <w:p w14:paraId="3E7DF943" w14:textId="77777777" w:rsidR="003855A7" w:rsidRPr="00FF1C3E" w:rsidRDefault="003855A7" w:rsidP="003855A7">
      <w:pPr>
        <w:spacing w:line="276" w:lineRule="auto"/>
        <w:rPr>
          <w:rFonts w:eastAsia="Times New Roman"/>
          <w:noProof/>
          <w:szCs w:val="24"/>
        </w:rPr>
      </w:pPr>
      <w:r w:rsidRPr="00FF1C3E">
        <w:rPr>
          <w:noProof/>
        </w:rPr>
        <w:t>De partijen werken samen om ervoor te zorgen dat het nationale statistische stelsel van de Republiek Moldavië voldoet aan de EU-wetgeving inzake statistiek zoals opgenomen in het compendium statistische vereisten van Eurostat, en dat de Praktijkcode Europese statistieken, waarin de beginselen voor de ontwikkeling, productie en verspreiding van statistieken in het Europees statistisch systeem zijn vastgelegd, in acht wordt genomen. De partijen werken met name samen op de volgende punten:</w:t>
      </w:r>
    </w:p>
    <w:p w14:paraId="01D0597C" w14:textId="77777777" w:rsidR="003855A7" w:rsidRPr="00FF1C3E" w:rsidRDefault="003855A7" w:rsidP="003855A7">
      <w:pPr>
        <w:spacing w:before="240" w:after="0"/>
        <w:rPr>
          <w:rFonts w:eastAsia="Times New Roman"/>
          <w:i/>
          <w:noProof/>
          <w:szCs w:val="24"/>
        </w:rPr>
      </w:pPr>
      <w:r w:rsidRPr="00FF1C3E">
        <w:rPr>
          <w:i/>
          <w:noProof/>
          <w:szCs w:val="24"/>
        </w:rPr>
        <w:t>– binnen drie tot vier jaar:</w:t>
      </w:r>
    </w:p>
    <w:p w14:paraId="31058ADE" w14:textId="77777777" w:rsidR="003855A7" w:rsidRPr="00FF1C3E" w:rsidRDefault="003855A7" w:rsidP="00AC1CAF">
      <w:pPr>
        <w:pStyle w:val="Bullet0"/>
        <w:numPr>
          <w:ilvl w:val="0"/>
          <w:numId w:val="66"/>
        </w:numPr>
        <w:ind w:hanging="283"/>
        <w:rPr>
          <w:noProof/>
        </w:rPr>
      </w:pPr>
      <w:r w:rsidRPr="00FF1C3E">
        <w:rPr>
          <w:noProof/>
        </w:rPr>
        <w:t>zorgen voor professionele onafhankelijkheid van het nationale bureau voor de statistiek en andere nationale autoriteiten (producenten van officiële statistieken);</w:t>
      </w:r>
    </w:p>
    <w:p w14:paraId="3CAD2F8E" w14:textId="77777777" w:rsidR="003855A7" w:rsidRPr="00FF1C3E" w:rsidRDefault="003855A7" w:rsidP="00AC1CAF">
      <w:pPr>
        <w:pStyle w:val="Bullet0"/>
        <w:numPr>
          <w:ilvl w:val="0"/>
          <w:numId w:val="66"/>
        </w:numPr>
        <w:ind w:hanging="283"/>
        <w:rPr>
          <w:noProof/>
        </w:rPr>
      </w:pPr>
      <w:r w:rsidRPr="00FF1C3E">
        <w:rPr>
          <w:noProof/>
        </w:rPr>
        <w:t>ontwikkelen van de capaciteit van het nationale bureau voor de statistiek, de Nationale Bank van Moldavië en andere nationale producenten van officiële statistieken;</w:t>
      </w:r>
    </w:p>
    <w:p w14:paraId="5B064150" w14:textId="77777777" w:rsidR="003855A7" w:rsidRPr="00FF1C3E" w:rsidRDefault="003855A7" w:rsidP="00AC1CAF">
      <w:pPr>
        <w:pStyle w:val="Bullet0"/>
        <w:numPr>
          <w:ilvl w:val="0"/>
          <w:numId w:val="66"/>
        </w:numPr>
        <w:ind w:hanging="283"/>
        <w:rPr>
          <w:noProof/>
        </w:rPr>
      </w:pPr>
      <w:r w:rsidRPr="00FF1C3E">
        <w:rPr>
          <w:noProof/>
        </w:rPr>
        <w:t>moderniseren van de informatietechnologiesystemen van het nationale bureau voor de statistiek en de Nationale Bank van Moldavië; de modernisering moet bestaan in het consolideren van de ICT-infrastructuur (voor het nationale bureau voor de statistiek) binnen het bestaande rechtskader en het implementeren van nieuwe technologieën, geactualiseerde methoden en methodologieën in het statistische productieproces en de verspreiding van gegevens;</w:t>
      </w:r>
    </w:p>
    <w:p w14:paraId="1A047507" w14:textId="77777777" w:rsidR="003855A7" w:rsidRPr="00FF1C3E" w:rsidRDefault="003855A7" w:rsidP="00AC1CAF">
      <w:pPr>
        <w:pStyle w:val="Bullet0"/>
        <w:numPr>
          <w:ilvl w:val="0"/>
          <w:numId w:val="66"/>
        </w:numPr>
        <w:ind w:hanging="283"/>
        <w:rPr>
          <w:noProof/>
        </w:rPr>
      </w:pPr>
      <w:r w:rsidRPr="00FF1C3E">
        <w:rPr>
          <w:noProof/>
        </w:rPr>
        <w:t>versterken van de coördinatie in het nationale statistische stelsel, met inbegrip van de identificatie, goedkeuring en formalisering van de andere nationale autoriteiten (producenten van officiële statistieken);</w:t>
      </w:r>
    </w:p>
    <w:p w14:paraId="380A54A7" w14:textId="77777777" w:rsidR="003855A7" w:rsidRPr="00FF1C3E" w:rsidRDefault="003855A7" w:rsidP="00AC1CAF">
      <w:pPr>
        <w:pStyle w:val="Bullet0"/>
        <w:numPr>
          <w:ilvl w:val="0"/>
          <w:numId w:val="66"/>
        </w:numPr>
        <w:ind w:hanging="283"/>
        <w:rPr>
          <w:noProof/>
        </w:rPr>
      </w:pPr>
      <w:r w:rsidRPr="00FF1C3E">
        <w:rPr>
          <w:noProof/>
        </w:rPr>
        <w:t>versterken van het kwaliteitsbeheer, in overeenstemming met de Europese kwaliteitsnormen, en werken aan de versterking van de capaciteit van het nationale bureau voor de statistiek voor de goedkeuring van een kwaliteitsbeheersysteem;</w:t>
      </w:r>
    </w:p>
    <w:p w14:paraId="7F5E4C9A" w14:textId="77777777" w:rsidR="003855A7" w:rsidRPr="00FF1C3E" w:rsidRDefault="003855A7" w:rsidP="00AC1CAF">
      <w:pPr>
        <w:pStyle w:val="Bullet0"/>
        <w:numPr>
          <w:ilvl w:val="0"/>
          <w:numId w:val="66"/>
        </w:numPr>
        <w:ind w:hanging="283"/>
        <w:rPr>
          <w:noProof/>
        </w:rPr>
      </w:pPr>
      <w:r w:rsidRPr="00FF1C3E">
        <w:rPr>
          <w:noProof/>
        </w:rPr>
        <w:t>ontwikkelen van richtsnoeren voor systematische kwaliteitsbeoordeling en -rapportage in overeenstemming met de Europese kwaliteitsnormen;</w:t>
      </w:r>
    </w:p>
    <w:p w14:paraId="5FADAA27" w14:textId="77777777" w:rsidR="003855A7" w:rsidRPr="00FF1C3E" w:rsidRDefault="003855A7" w:rsidP="00AC1CAF">
      <w:pPr>
        <w:pStyle w:val="Bullet0"/>
        <w:numPr>
          <w:ilvl w:val="0"/>
          <w:numId w:val="66"/>
        </w:numPr>
        <w:ind w:hanging="283"/>
        <w:rPr>
          <w:noProof/>
        </w:rPr>
      </w:pPr>
      <w:r w:rsidRPr="00FF1C3E">
        <w:rPr>
          <w:noProof/>
        </w:rPr>
        <w:t>standaardiseren van de classificatie van non-respons in alle enquêtes onder huishoudens;</w:t>
      </w:r>
    </w:p>
    <w:p w14:paraId="24657DE6" w14:textId="77777777" w:rsidR="003855A7" w:rsidRPr="00FF1C3E" w:rsidRDefault="003855A7" w:rsidP="00AC1CAF">
      <w:pPr>
        <w:pStyle w:val="Bullet0"/>
        <w:numPr>
          <w:ilvl w:val="0"/>
          <w:numId w:val="66"/>
        </w:numPr>
        <w:ind w:hanging="283"/>
        <w:rPr>
          <w:noProof/>
        </w:rPr>
      </w:pPr>
      <w:r w:rsidRPr="00FF1C3E">
        <w:rPr>
          <w:noProof/>
        </w:rPr>
        <w:t>ontwikkelen van een plan voor de uitvoering van de bepalingen van de wet inzake statistieken over kosteloze toegang tot administratieve gegevensbronnen voor statistische doeleinden en het opzetten van formele mechanismen om de bestaande belemmeringen voor het verkrijgen van toegang tot individuele gegevens voor statistische doeleinden weg te nemen;</w:t>
      </w:r>
    </w:p>
    <w:p w14:paraId="649BB153" w14:textId="77777777" w:rsidR="003855A7" w:rsidRPr="00FF1C3E" w:rsidRDefault="003855A7" w:rsidP="00AC1CAF">
      <w:pPr>
        <w:pStyle w:val="Bullet0"/>
        <w:numPr>
          <w:ilvl w:val="0"/>
          <w:numId w:val="66"/>
        </w:numPr>
        <w:ind w:hanging="283"/>
        <w:rPr>
          <w:noProof/>
        </w:rPr>
      </w:pPr>
      <w:r w:rsidRPr="00FF1C3E">
        <w:rPr>
          <w:noProof/>
        </w:rPr>
        <w:t>actualiseren en verbeteren van het verspreidings- en communicatiebeleid;</w:t>
      </w:r>
    </w:p>
    <w:p w14:paraId="43EEB603" w14:textId="77777777" w:rsidR="003855A7" w:rsidRPr="00FF1C3E" w:rsidRDefault="003855A7" w:rsidP="00AC1CAF">
      <w:pPr>
        <w:pStyle w:val="Bullet0"/>
        <w:numPr>
          <w:ilvl w:val="0"/>
          <w:numId w:val="66"/>
        </w:numPr>
        <w:ind w:hanging="283"/>
        <w:rPr>
          <w:noProof/>
        </w:rPr>
      </w:pPr>
      <w:r w:rsidRPr="00FF1C3E">
        <w:rPr>
          <w:noProof/>
        </w:rPr>
        <w:t xml:space="preserve">voorbereiden en uitvoeren van de volks- en woningtelling van 2020; </w:t>
      </w:r>
    </w:p>
    <w:p w14:paraId="37C96A68" w14:textId="77777777" w:rsidR="003855A7" w:rsidRPr="00FF1C3E" w:rsidRDefault="003855A7" w:rsidP="00AC1CAF">
      <w:pPr>
        <w:pStyle w:val="Bullet0"/>
        <w:numPr>
          <w:ilvl w:val="0"/>
          <w:numId w:val="66"/>
        </w:numPr>
        <w:ind w:hanging="283"/>
        <w:rPr>
          <w:noProof/>
        </w:rPr>
      </w:pPr>
      <w:r w:rsidRPr="00FF1C3E">
        <w:rPr>
          <w:noProof/>
          <w:shd w:val="clear" w:color="auto" w:fill="FFFFFF"/>
        </w:rPr>
        <w:t>verder versterken van de opleidingscapaciteit van het nationale bureau voor de statistiek, onder meer door de ontwikkeling van een centrum voor permanente statistische opleiding;</w:t>
      </w:r>
    </w:p>
    <w:p w14:paraId="4503DF0A" w14:textId="77777777" w:rsidR="003855A7" w:rsidRPr="00FF1C3E" w:rsidRDefault="003855A7" w:rsidP="003855A7">
      <w:pPr>
        <w:spacing w:before="240" w:after="0"/>
        <w:rPr>
          <w:rFonts w:eastAsia="Times New Roman"/>
          <w:i/>
          <w:noProof/>
          <w:szCs w:val="24"/>
        </w:rPr>
      </w:pPr>
      <w:r w:rsidRPr="00FF1C3E">
        <w:rPr>
          <w:i/>
          <w:noProof/>
          <w:szCs w:val="24"/>
        </w:rPr>
        <w:t>– binnen zeven jaar:</w:t>
      </w:r>
    </w:p>
    <w:p w14:paraId="40905282" w14:textId="77777777" w:rsidR="003855A7" w:rsidRPr="00FF1C3E" w:rsidRDefault="003855A7" w:rsidP="00AC1CAF">
      <w:pPr>
        <w:pStyle w:val="Bullet0"/>
        <w:numPr>
          <w:ilvl w:val="0"/>
          <w:numId w:val="67"/>
        </w:numPr>
        <w:ind w:hanging="283"/>
        <w:rPr>
          <w:noProof/>
        </w:rPr>
      </w:pPr>
      <w:r w:rsidRPr="00FF1C3E">
        <w:rPr>
          <w:noProof/>
        </w:rPr>
        <w:t xml:space="preserve">ontwikkelen van voldoende en robuuste gegevens om de Republiek Moldavië in staat te stellen zich aan te sluiten bij het Europees innovatiescorebord; </w:t>
      </w:r>
    </w:p>
    <w:p w14:paraId="7BBA10D3" w14:textId="77777777" w:rsidR="003855A7" w:rsidRPr="00FF1C3E" w:rsidRDefault="003855A7" w:rsidP="00AC1CAF">
      <w:pPr>
        <w:pStyle w:val="Bullet0"/>
        <w:numPr>
          <w:ilvl w:val="0"/>
          <w:numId w:val="67"/>
        </w:numPr>
        <w:ind w:hanging="283"/>
        <w:rPr>
          <w:noProof/>
        </w:rPr>
      </w:pPr>
      <w:r w:rsidRPr="00FF1C3E">
        <w:rPr>
          <w:noProof/>
        </w:rPr>
        <w:t>uitvoeren van sectorale beoordeling van specifieke statistische gebieden (ten minste vijf) aan de hand van de conformiteit met de Europese statistische normen en aanpassing van de productie en verspreiding van gegevens overeenkomstig aanbevelingen;</w:t>
      </w:r>
    </w:p>
    <w:p w14:paraId="2C24796C" w14:textId="0EA7ADCB" w:rsidR="003855A7" w:rsidRPr="00FF1C3E" w:rsidRDefault="003855A7" w:rsidP="00AC1CAF">
      <w:pPr>
        <w:pStyle w:val="Bullet0"/>
        <w:numPr>
          <w:ilvl w:val="0"/>
          <w:numId w:val="67"/>
        </w:numPr>
        <w:ind w:hanging="283"/>
        <w:rPr>
          <w:noProof/>
        </w:rPr>
      </w:pPr>
      <w:r w:rsidRPr="00FF1C3E">
        <w:rPr>
          <w:noProof/>
        </w:rPr>
        <w:t>verbeteren van de procedures voor de bescherming van persoonsgegevens in het kader van het vertrouwelijkheidsbeleid en de bijbehorende richtsnoeren, in overeenstemming met de wet inzake statistieken en de EU-normen.</w:t>
      </w:r>
    </w:p>
    <w:p w14:paraId="51C2F00E" w14:textId="77777777" w:rsidR="00DC24D2" w:rsidRPr="00FF1C3E" w:rsidRDefault="00DC24D2" w:rsidP="00DC24D2">
      <w:pPr>
        <w:rPr>
          <w:noProof/>
        </w:rPr>
      </w:pPr>
    </w:p>
    <w:p w14:paraId="0E52E700"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Belastingen en douane</w:t>
      </w:r>
    </w:p>
    <w:p w14:paraId="1D749869" w14:textId="77777777" w:rsidR="003855A7" w:rsidRPr="00FF1C3E" w:rsidRDefault="003855A7" w:rsidP="003855A7">
      <w:pPr>
        <w:spacing w:line="276" w:lineRule="auto"/>
        <w:rPr>
          <w:rFonts w:eastAsia="Times New Roman"/>
          <w:noProof/>
          <w:szCs w:val="24"/>
        </w:rPr>
      </w:pPr>
      <w:r w:rsidRPr="00FF1C3E">
        <w:rPr>
          <w:noProof/>
        </w:rPr>
        <w:t>De partijen blijven samenwerken op het gebied van douane- en belastingaangelegenheden. De samenwerking omvat werkzaamheden op korte en middellange termijn op de volgende gebieden:</w:t>
      </w:r>
    </w:p>
    <w:p w14:paraId="1D07AA78" w14:textId="77777777" w:rsidR="003855A7" w:rsidRPr="00FF1C3E" w:rsidRDefault="003855A7" w:rsidP="00AC1CAF">
      <w:pPr>
        <w:pStyle w:val="Bullet0"/>
        <w:numPr>
          <w:ilvl w:val="0"/>
          <w:numId w:val="68"/>
        </w:numPr>
        <w:ind w:hanging="283"/>
        <w:rPr>
          <w:noProof/>
        </w:rPr>
      </w:pPr>
      <w:r w:rsidRPr="00FF1C3E">
        <w:rPr>
          <w:noProof/>
        </w:rPr>
        <w:t>voortzetten van de aanpassing van de wetgeving op douanegebied door de toepassing van het douanewetboek van 2021, overeenkomstig het douanewetboek van de Unie en andere in bijlage XXVI bij de associatieovereenkomst vermelde handelingen;</w:t>
      </w:r>
    </w:p>
    <w:p w14:paraId="4A238B85" w14:textId="77777777" w:rsidR="003855A7" w:rsidRPr="00FF1C3E" w:rsidRDefault="003855A7" w:rsidP="00AC1CAF">
      <w:pPr>
        <w:pStyle w:val="Bullet0"/>
        <w:numPr>
          <w:ilvl w:val="0"/>
          <w:numId w:val="68"/>
        </w:numPr>
        <w:ind w:hanging="283"/>
        <w:rPr>
          <w:noProof/>
        </w:rPr>
      </w:pPr>
      <w:r w:rsidRPr="00FF1C3E">
        <w:rPr>
          <w:noProof/>
        </w:rPr>
        <w:t>uitvoeren van fase 5 van het nieuw geautomatiseerd systeem voor douanevervoer (NCTS) en toetreden tot de Overeenkomst betreffende een gemeenschappelijke regeling inzake douanevervoer (momenteel alleen de status van waarnemer);</w:t>
      </w:r>
    </w:p>
    <w:p w14:paraId="50AC438F" w14:textId="77777777" w:rsidR="003855A7" w:rsidRPr="00FF1C3E" w:rsidRDefault="003855A7" w:rsidP="00AC1CAF">
      <w:pPr>
        <w:pStyle w:val="Bullet0"/>
        <w:numPr>
          <w:ilvl w:val="0"/>
          <w:numId w:val="68"/>
        </w:numPr>
        <w:ind w:hanging="283"/>
        <w:rPr>
          <w:noProof/>
        </w:rPr>
      </w:pPr>
      <w:r w:rsidRPr="00FF1C3E">
        <w:rPr>
          <w:noProof/>
        </w:rPr>
        <w:t>blijven waarborgen van de wederzijdse erkenning van geautoriseerde marktdeelnemers;</w:t>
      </w:r>
    </w:p>
    <w:p w14:paraId="7BA8A168" w14:textId="77777777" w:rsidR="003855A7" w:rsidRPr="00FF1C3E" w:rsidRDefault="003855A7" w:rsidP="00AC1CAF">
      <w:pPr>
        <w:pStyle w:val="Bullet0"/>
        <w:numPr>
          <w:ilvl w:val="0"/>
          <w:numId w:val="68"/>
        </w:numPr>
        <w:ind w:hanging="283"/>
        <w:rPr>
          <w:noProof/>
          <w:u w:val="single"/>
        </w:rPr>
      </w:pPr>
      <w:r w:rsidRPr="00FF1C3E">
        <w:rPr>
          <w:noProof/>
        </w:rPr>
        <w:t xml:space="preserve">uitvoeren van een efficiënt controlesysteem voor invoer van accijnsgoederen (alcohol en tabaksproducten) die zijn vrijgesteld van douanerechten, accijnzen en btw; de voorgestelde maatregelen betreffen het aanbrengen van een merkteken en het verlagen van de drempelwaarde voor het aanmerken van smokkel als misdrijf met het oog op de toepassing van strafrechtelijke aansprakelijkheid; </w:t>
      </w:r>
    </w:p>
    <w:p w14:paraId="0F451888" w14:textId="77777777" w:rsidR="003855A7" w:rsidRPr="00FF1C3E" w:rsidRDefault="003855A7" w:rsidP="00AC1CAF">
      <w:pPr>
        <w:pStyle w:val="Bullet0"/>
        <w:numPr>
          <w:ilvl w:val="0"/>
          <w:numId w:val="68"/>
        </w:numPr>
        <w:ind w:hanging="283"/>
        <w:rPr>
          <w:noProof/>
          <w:u w:val="single"/>
        </w:rPr>
      </w:pPr>
      <w:r w:rsidRPr="00FF1C3E">
        <w:rPr>
          <w:noProof/>
        </w:rPr>
        <w:t>verbeteren van de capaciteit van de belastingdienst om de accumulatie van achterstallen te voorkomen, een doeltreffende belastinginning te waarborgen en de strijd tegen belastingfraude en belastingontwijking op te voeren;</w:t>
      </w:r>
    </w:p>
    <w:p w14:paraId="68CAD5B9" w14:textId="77777777" w:rsidR="003855A7" w:rsidRPr="00FF1C3E" w:rsidRDefault="003855A7" w:rsidP="00AC1CAF">
      <w:pPr>
        <w:pStyle w:val="Bullet0"/>
        <w:numPr>
          <w:ilvl w:val="0"/>
          <w:numId w:val="68"/>
        </w:numPr>
        <w:ind w:hanging="283"/>
        <w:rPr>
          <w:noProof/>
        </w:rPr>
      </w:pPr>
      <w:r w:rsidRPr="00FF1C3E">
        <w:rPr>
          <w:noProof/>
        </w:rPr>
        <w:t xml:space="preserve">verder ontwikkelen van de samenwerking met de Organisatie voor Economische Samenwerking en Ontwikkeling (OESO) en met belastingdiensten van de lidstaten van de EU, door het uitwisselen van nieuwe ervaringen en ontwikkelingen op het gebied van belastingen. </w:t>
      </w:r>
    </w:p>
    <w:p w14:paraId="4875FC83" w14:textId="77777777" w:rsidR="003855A7" w:rsidRPr="00FF1C3E" w:rsidRDefault="003855A7" w:rsidP="00AC1CAF">
      <w:pPr>
        <w:pStyle w:val="Bullet0"/>
        <w:numPr>
          <w:ilvl w:val="0"/>
          <w:numId w:val="68"/>
        </w:numPr>
        <w:ind w:hanging="283"/>
        <w:rPr>
          <w:noProof/>
        </w:rPr>
      </w:pPr>
      <w:r w:rsidRPr="00FF1C3E">
        <w:rPr>
          <w:noProof/>
        </w:rPr>
        <w:t>zorgen voor de uitvoering van de aanbevelingen van deskundigen van het Mondiaal Forum van de OESO inzake transparantie en informatie-uitwisseling in belastingzaken;</w:t>
      </w:r>
    </w:p>
    <w:p w14:paraId="7165136A" w14:textId="77777777" w:rsidR="003855A7" w:rsidRPr="00FF1C3E" w:rsidRDefault="003855A7" w:rsidP="00AC1CAF">
      <w:pPr>
        <w:pStyle w:val="Bullet0"/>
        <w:numPr>
          <w:ilvl w:val="0"/>
          <w:numId w:val="68"/>
        </w:numPr>
        <w:ind w:hanging="283"/>
        <w:rPr>
          <w:noProof/>
        </w:rPr>
      </w:pPr>
      <w:r w:rsidRPr="00FF1C3E">
        <w:rPr>
          <w:noProof/>
        </w:rPr>
        <w:t>ervoor zorgen dat de regelgeving inzake belastingvrije winkels volledig in overeenstemming is met die van de EU, waardoor de belastingvrije verkoop wordt beperkt tot reizigers die via de lucht of over zee naar het buitenland vertrekken;</w:t>
      </w:r>
    </w:p>
    <w:p w14:paraId="4DA6C3F1" w14:textId="77777777" w:rsidR="003855A7" w:rsidRPr="00FF1C3E" w:rsidRDefault="003855A7" w:rsidP="00AC1CAF">
      <w:pPr>
        <w:pStyle w:val="Bullet0"/>
        <w:numPr>
          <w:ilvl w:val="0"/>
          <w:numId w:val="68"/>
        </w:numPr>
        <w:ind w:hanging="283"/>
        <w:rPr>
          <w:noProof/>
        </w:rPr>
      </w:pPr>
      <w:r w:rsidRPr="00FF1C3E">
        <w:rPr>
          <w:noProof/>
        </w:rPr>
        <w:t>versterken van de samenwerking met het Europees Bureau voor fraudebestrijding en het Europees openbaar ministerie bij de bestrijding van sigarettensmokkel;</w:t>
      </w:r>
    </w:p>
    <w:p w14:paraId="11B7C6E6" w14:textId="77777777" w:rsidR="003855A7" w:rsidRPr="00FF1C3E" w:rsidRDefault="003855A7" w:rsidP="00AC1CAF">
      <w:pPr>
        <w:pStyle w:val="Bullet0"/>
        <w:numPr>
          <w:ilvl w:val="0"/>
          <w:numId w:val="68"/>
        </w:numPr>
        <w:ind w:hanging="283"/>
        <w:rPr>
          <w:noProof/>
        </w:rPr>
      </w:pPr>
      <w:r w:rsidRPr="00FF1C3E">
        <w:rPr>
          <w:noProof/>
        </w:rPr>
        <w:t>herzien en aanscherpen van sancties van het wetboek van strafrecht en het wetboek van overtredingen om te zorgen voor een adequaat afschrikkend effect bij de preventie en bestrijding van smokkel en belastingontduiking;</w:t>
      </w:r>
    </w:p>
    <w:p w14:paraId="525630EF" w14:textId="77777777" w:rsidR="003855A7" w:rsidRPr="00FF1C3E" w:rsidRDefault="003855A7" w:rsidP="00AC1CAF">
      <w:pPr>
        <w:pStyle w:val="Bullet0"/>
        <w:numPr>
          <w:ilvl w:val="0"/>
          <w:numId w:val="68"/>
        </w:numPr>
        <w:ind w:hanging="283"/>
        <w:rPr>
          <w:noProof/>
        </w:rPr>
      </w:pPr>
      <w:r w:rsidRPr="00FF1C3E">
        <w:rPr>
          <w:noProof/>
        </w:rPr>
        <w:t>toetreden tot het Kaderverdrag van de Wereldgezondheidsorganisatie inzake tabaksontmoediging, teneinde de illegale handel in tabaksproducten uit te bannen;</w:t>
      </w:r>
    </w:p>
    <w:p w14:paraId="4FA01053" w14:textId="77777777" w:rsidR="003855A7" w:rsidRPr="00FF1C3E" w:rsidRDefault="003855A7" w:rsidP="00AC1CAF">
      <w:pPr>
        <w:pStyle w:val="Bullet0"/>
        <w:numPr>
          <w:ilvl w:val="0"/>
          <w:numId w:val="68"/>
        </w:numPr>
        <w:ind w:hanging="283"/>
        <w:rPr>
          <w:noProof/>
        </w:rPr>
      </w:pPr>
      <w:r w:rsidRPr="00FF1C3E">
        <w:rPr>
          <w:noProof/>
        </w:rPr>
        <w:t>afstemmen van de nationale wetgeving op de bepalingen van het EU-recht overeenkomstig de desbetreffende bijlage bij de associatieovereenkomst, namelijk de bepalingen inzake btw en accijnzen:</w:t>
      </w:r>
    </w:p>
    <w:p w14:paraId="4A9F0F47" w14:textId="77777777" w:rsidR="003855A7" w:rsidRPr="00FF1C3E" w:rsidRDefault="003855A7" w:rsidP="00D364A8">
      <w:pPr>
        <w:spacing w:after="0"/>
        <w:ind w:firstLine="851"/>
        <w:rPr>
          <w:rFonts w:eastAsia="Times New Roman"/>
          <w:i/>
          <w:noProof/>
          <w:szCs w:val="24"/>
        </w:rPr>
      </w:pPr>
      <w:r w:rsidRPr="00FF1C3E">
        <w:rPr>
          <w:i/>
          <w:noProof/>
          <w:szCs w:val="24"/>
        </w:rPr>
        <w:t>tabaksproducten</w:t>
      </w:r>
    </w:p>
    <w:p w14:paraId="5319E970" w14:textId="77777777" w:rsidR="003855A7" w:rsidRPr="00FF1C3E" w:rsidRDefault="003855A7" w:rsidP="00D364A8">
      <w:pPr>
        <w:pStyle w:val="Tiret1"/>
        <w:ind w:hanging="283"/>
        <w:rPr>
          <w:i/>
          <w:noProof/>
        </w:rPr>
      </w:pPr>
      <w:r w:rsidRPr="00FF1C3E">
        <w:rPr>
          <w:noProof/>
        </w:rPr>
        <w:t xml:space="preserve">geleidelijk verhogen van de accijnzen op tabak tot de minimumdrempel van de EU, in overeenstemming met de associatieovereenkomst; </w:t>
      </w:r>
    </w:p>
    <w:p w14:paraId="241D54F1" w14:textId="77777777" w:rsidR="003855A7" w:rsidRPr="00FF1C3E" w:rsidRDefault="003855A7" w:rsidP="00D364A8">
      <w:pPr>
        <w:spacing w:after="0"/>
        <w:ind w:firstLine="851"/>
        <w:rPr>
          <w:rFonts w:eastAsia="Times New Roman"/>
          <w:i/>
          <w:noProof/>
          <w:szCs w:val="24"/>
        </w:rPr>
      </w:pPr>
      <w:r w:rsidRPr="00FF1C3E">
        <w:rPr>
          <w:i/>
          <w:noProof/>
          <w:szCs w:val="24"/>
        </w:rPr>
        <w:t xml:space="preserve">accijnzen op alcohol </w:t>
      </w:r>
    </w:p>
    <w:p w14:paraId="14506092" w14:textId="77777777" w:rsidR="003855A7" w:rsidRPr="00FF1C3E" w:rsidRDefault="003855A7" w:rsidP="00D364A8">
      <w:pPr>
        <w:pStyle w:val="Tiret1"/>
        <w:ind w:hanging="283"/>
        <w:rPr>
          <w:i/>
          <w:noProof/>
        </w:rPr>
      </w:pPr>
      <w:r w:rsidRPr="00FF1C3E">
        <w:rPr>
          <w:noProof/>
        </w:rPr>
        <w:t>in overeenstemming brengen van de wetgeving met de EU-richtlijn betreffende de structuur van de accijns op alcohol en alcoholhoudende dranken en zorgen voor aanpassing aan de EU-structuur;</w:t>
      </w:r>
    </w:p>
    <w:p w14:paraId="6A956B4C" w14:textId="77777777" w:rsidR="003855A7" w:rsidRPr="00FF1C3E" w:rsidRDefault="003855A7" w:rsidP="00D364A8">
      <w:pPr>
        <w:spacing w:after="0"/>
        <w:ind w:firstLine="851"/>
        <w:rPr>
          <w:rFonts w:eastAsia="Times New Roman"/>
          <w:i/>
          <w:noProof/>
          <w:szCs w:val="24"/>
        </w:rPr>
      </w:pPr>
      <w:r w:rsidRPr="00FF1C3E">
        <w:rPr>
          <w:i/>
          <w:noProof/>
          <w:szCs w:val="24"/>
        </w:rPr>
        <w:t xml:space="preserve">belasting op energieproducten en elektriciteit </w:t>
      </w:r>
    </w:p>
    <w:p w14:paraId="01422D89" w14:textId="1D13B283" w:rsidR="003855A7" w:rsidRPr="00FF1C3E" w:rsidRDefault="003855A7" w:rsidP="00D364A8">
      <w:pPr>
        <w:pStyle w:val="Tiret1"/>
        <w:ind w:hanging="283"/>
        <w:rPr>
          <w:i/>
          <w:noProof/>
        </w:rPr>
      </w:pPr>
      <w:r w:rsidRPr="00FF1C3E">
        <w:rPr>
          <w:noProof/>
        </w:rPr>
        <w:t>in overeenstemming brengen van de wetgeving met de bepalingen in de desbetreffende bijlage bij de associatieovereenkomst en zorgen voor aanpassing aan de EU-minimumdrempel.</w:t>
      </w:r>
    </w:p>
    <w:p w14:paraId="17B40F1A" w14:textId="77777777" w:rsidR="00DC24D2" w:rsidRPr="00FF1C3E" w:rsidRDefault="00DC24D2" w:rsidP="00DC24D2">
      <w:pPr>
        <w:rPr>
          <w:noProof/>
        </w:rPr>
      </w:pPr>
    </w:p>
    <w:p w14:paraId="62D99BF6" w14:textId="77777777" w:rsidR="003855A7" w:rsidRPr="00FF1C3E" w:rsidRDefault="003855A7" w:rsidP="00DC24D2">
      <w:pPr>
        <w:pStyle w:val="NumPar1"/>
        <w:tabs>
          <w:tab w:val="clear" w:pos="850"/>
          <w:tab w:val="num" w:pos="567"/>
        </w:tabs>
        <w:ind w:left="567" w:hanging="567"/>
        <w:rPr>
          <w:noProof/>
          <w:u w:val="single"/>
        </w:rPr>
      </w:pPr>
      <w:bookmarkStart w:id="15" w:name="_Hlk63948862"/>
      <w:bookmarkStart w:id="16" w:name="_Hlk61347487"/>
      <w:r w:rsidRPr="00FF1C3E">
        <w:rPr>
          <w:noProof/>
          <w:u w:val="single"/>
        </w:rPr>
        <w:t xml:space="preserve">Industrie- en ondernemingsbeleid </w:t>
      </w:r>
      <w:bookmarkEnd w:id="15"/>
    </w:p>
    <w:bookmarkEnd w:id="16"/>
    <w:p w14:paraId="5141193D" w14:textId="77777777" w:rsidR="003855A7" w:rsidRPr="00FF1C3E" w:rsidRDefault="003855A7" w:rsidP="003855A7">
      <w:pPr>
        <w:spacing w:line="276" w:lineRule="auto"/>
        <w:rPr>
          <w:rFonts w:eastAsia="Times New Roman"/>
          <w:noProof/>
          <w:szCs w:val="24"/>
        </w:rPr>
      </w:pPr>
      <w:r w:rsidRPr="00FF1C3E">
        <w:rPr>
          <w:noProof/>
        </w:rPr>
        <w:t>De partijen werken samen om het ondernemingsklimaat en het regelgevingskader in de Republiek Moldavië verder te verbeteren en investeringen en bedrijfsactiviteiten door alle soorten ondernemingen aan te moedigen, met de nadruk op kmo’s, inclusief micro-ondernemingen. Deze samenwerking omvat, maar is niet beperkt tot de volgende gebieden:</w:t>
      </w:r>
    </w:p>
    <w:p w14:paraId="49721B8A" w14:textId="77777777" w:rsidR="003855A7" w:rsidRPr="00FF1C3E" w:rsidRDefault="003855A7" w:rsidP="00AC1CAF">
      <w:pPr>
        <w:pStyle w:val="Bullet0"/>
        <w:numPr>
          <w:ilvl w:val="0"/>
          <w:numId w:val="69"/>
        </w:numPr>
        <w:ind w:hanging="283"/>
        <w:rPr>
          <w:noProof/>
        </w:rPr>
      </w:pPr>
      <w:r w:rsidRPr="00FF1C3E">
        <w:rPr>
          <w:noProof/>
        </w:rPr>
        <w:t>vaststellen en uitvoeren van een nieuw programma voor de ontwikkeling van de kmo-sector voor de periode 2021-2025, op basis van de meest recente beoordeling van de Small Business Act;</w:t>
      </w:r>
    </w:p>
    <w:p w14:paraId="399769EE" w14:textId="77777777" w:rsidR="003855A7" w:rsidRPr="00FF1C3E" w:rsidRDefault="003855A7" w:rsidP="00AC1CAF">
      <w:pPr>
        <w:pStyle w:val="Bullet0"/>
        <w:numPr>
          <w:ilvl w:val="0"/>
          <w:numId w:val="69"/>
        </w:numPr>
        <w:ind w:hanging="283"/>
        <w:rPr>
          <w:noProof/>
        </w:rPr>
      </w:pPr>
      <w:r w:rsidRPr="00FF1C3E">
        <w:rPr>
          <w:noProof/>
        </w:rPr>
        <w:t>versterken van de capaciteit van de Organisatie voor de ontwikkeling van kleine en middelgrote ondernemingen (ODIMM) om steunprogramma’s voor kmo’s uit te voeren;</w:t>
      </w:r>
    </w:p>
    <w:p w14:paraId="00C79F6A" w14:textId="77777777" w:rsidR="003855A7" w:rsidRPr="00FF1C3E" w:rsidRDefault="003855A7" w:rsidP="00AC1CAF">
      <w:pPr>
        <w:pStyle w:val="Bullet0"/>
        <w:numPr>
          <w:ilvl w:val="0"/>
          <w:numId w:val="69"/>
        </w:numPr>
        <w:ind w:hanging="283"/>
        <w:rPr>
          <w:noProof/>
        </w:rPr>
      </w:pPr>
      <w:r w:rsidRPr="00FF1C3E">
        <w:rPr>
          <w:noProof/>
        </w:rPr>
        <w:t>vergemakkelijken van de deelname van de Republiek Moldavië aan het nieuwe programma voor de eengemaakte markt, het concurrentievermogen en het bedrijfsleven (deel van het programma voor het concurrentievermogen van ondernemingen en kleine en middelgrote ondernemingen (Cosme), met inbegrip van de follow-upacties van het Enterprise Europe Network (EEN) en Erasmus voor jonge ondernemers);</w:t>
      </w:r>
    </w:p>
    <w:p w14:paraId="053B51B8" w14:textId="77777777" w:rsidR="003855A7" w:rsidRPr="00FF1C3E" w:rsidRDefault="003855A7" w:rsidP="00AC1CAF">
      <w:pPr>
        <w:pStyle w:val="Bullet0"/>
        <w:numPr>
          <w:ilvl w:val="0"/>
          <w:numId w:val="69"/>
        </w:numPr>
        <w:ind w:hanging="283"/>
        <w:rPr>
          <w:noProof/>
        </w:rPr>
      </w:pPr>
      <w:r w:rsidRPr="00FF1C3E">
        <w:rPr>
          <w:noProof/>
        </w:rPr>
        <w:t>versterken van de bedrijfsverenigingen (met inbegrip van sectorale verenigingen) om de publiek-private dialoog te verbeteren;</w:t>
      </w:r>
    </w:p>
    <w:p w14:paraId="4FBAB9C4" w14:textId="77777777" w:rsidR="003855A7" w:rsidRPr="00FF1C3E" w:rsidRDefault="003855A7" w:rsidP="00AC1CAF">
      <w:pPr>
        <w:pStyle w:val="Bullet0"/>
        <w:numPr>
          <w:ilvl w:val="0"/>
          <w:numId w:val="69"/>
        </w:numPr>
        <w:ind w:hanging="283"/>
        <w:rPr>
          <w:noProof/>
        </w:rPr>
      </w:pPr>
      <w:r w:rsidRPr="00FF1C3E">
        <w:rPr>
          <w:noProof/>
        </w:rPr>
        <w:t>samenwerken, onder meer met internationale financiële instellingen, om de toegang tot financiering voor kmo’s verder te verbeteren;</w:t>
      </w:r>
    </w:p>
    <w:p w14:paraId="497562D6" w14:textId="77777777" w:rsidR="003855A7" w:rsidRPr="00FF1C3E" w:rsidRDefault="003855A7" w:rsidP="00AC1CAF">
      <w:pPr>
        <w:pStyle w:val="Bullet0"/>
        <w:numPr>
          <w:ilvl w:val="0"/>
          <w:numId w:val="69"/>
        </w:numPr>
        <w:ind w:hanging="283"/>
        <w:rPr>
          <w:noProof/>
        </w:rPr>
      </w:pPr>
      <w:r w:rsidRPr="00FF1C3E">
        <w:rPr>
          <w:noProof/>
        </w:rPr>
        <w:t>versterken van de positie van aanbieders van bedrijfsontwikkelingsdiensten;</w:t>
      </w:r>
    </w:p>
    <w:p w14:paraId="375D8309" w14:textId="77777777" w:rsidR="003855A7" w:rsidRPr="00FF1C3E" w:rsidRDefault="003855A7" w:rsidP="00AC1CAF">
      <w:pPr>
        <w:pStyle w:val="Bullet0"/>
        <w:numPr>
          <w:ilvl w:val="0"/>
          <w:numId w:val="69"/>
        </w:numPr>
        <w:ind w:hanging="283"/>
        <w:rPr>
          <w:noProof/>
        </w:rPr>
      </w:pPr>
      <w:r w:rsidRPr="00FF1C3E">
        <w:rPr>
          <w:noProof/>
        </w:rPr>
        <w:t xml:space="preserve">kmo’s stimuleren groene praktijken in hun werkprocessen te integreren voor een efficiënt gebruik van hulpbronnen en een duurzame economie; </w:t>
      </w:r>
    </w:p>
    <w:p w14:paraId="1978BB33" w14:textId="77777777" w:rsidR="003855A7" w:rsidRPr="00FF1C3E" w:rsidRDefault="003855A7" w:rsidP="00AC1CAF">
      <w:pPr>
        <w:pStyle w:val="Bullet0"/>
        <w:numPr>
          <w:ilvl w:val="0"/>
          <w:numId w:val="69"/>
        </w:numPr>
        <w:ind w:hanging="283"/>
        <w:rPr>
          <w:noProof/>
        </w:rPr>
      </w:pPr>
      <w:r w:rsidRPr="00FF1C3E">
        <w:rPr>
          <w:noProof/>
        </w:rPr>
        <w:t>stimuleren van de ontwikkeling van programma’s en instrumenten om het concurrentievermogen van kmo’s te vergroten, waarbij wordt uitgegaan van nationale en regionale ontwikkeling op basis van slimme specialisatie;</w:t>
      </w:r>
    </w:p>
    <w:p w14:paraId="47B25F94" w14:textId="77777777" w:rsidR="003855A7" w:rsidRPr="00FF1C3E" w:rsidRDefault="003855A7" w:rsidP="00AC1CAF">
      <w:pPr>
        <w:pStyle w:val="Bullet0"/>
        <w:numPr>
          <w:ilvl w:val="0"/>
          <w:numId w:val="69"/>
        </w:numPr>
        <w:ind w:hanging="283"/>
        <w:rPr>
          <w:noProof/>
        </w:rPr>
      </w:pPr>
      <w:r w:rsidRPr="00FF1C3E">
        <w:rPr>
          <w:noProof/>
        </w:rPr>
        <w:t xml:space="preserve">vergemakkelijken van de overdracht van technologie en vergroten van de kennis, capaciteiten en bereidheid van kmo’s om innovaties door te voeren; </w:t>
      </w:r>
    </w:p>
    <w:p w14:paraId="2109989E" w14:textId="77777777" w:rsidR="003855A7" w:rsidRPr="00FF1C3E" w:rsidRDefault="003855A7" w:rsidP="00AC1CAF">
      <w:pPr>
        <w:pStyle w:val="Bullet0"/>
        <w:numPr>
          <w:ilvl w:val="0"/>
          <w:numId w:val="69"/>
        </w:numPr>
        <w:ind w:hanging="283"/>
        <w:rPr>
          <w:noProof/>
        </w:rPr>
      </w:pPr>
      <w:r w:rsidRPr="00FF1C3E">
        <w:rPr>
          <w:noProof/>
        </w:rPr>
        <w:t>ondersteunen van de digitale transformatie van de particuliere sector door het bevorderen van digitale geletterdheid, het stimuleren van automatisering en het gebruik van artificiële intelligentie;</w:t>
      </w:r>
    </w:p>
    <w:p w14:paraId="0830B5CD" w14:textId="77777777" w:rsidR="003855A7" w:rsidRPr="00FF1C3E" w:rsidRDefault="003855A7" w:rsidP="00AC1CAF">
      <w:pPr>
        <w:pStyle w:val="Bullet0"/>
        <w:numPr>
          <w:ilvl w:val="0"/>
          <w:numId w:val="69"/>
        </w:numPr>
        <w:ind w:hanging="283"/>
        <w:rPr>
          <w:noProof/>
        </w:rPr>
      </w:pPr>
      <w:r w:rsidRPr="00FF1C3E">
        <w:rPr>
          <w:noProof/>
        </w:rPr>
        <w:t>versterken van het sociaal ondernemerschap, met name in de plattelandsgebieden, als haalbare zakelijke aanpak voor Moldavische kmo’s om sociale ongelijkheden te verminderen, banen te scheppen en de toegang van kansarme groepen tot economische kansen te vergemakkelijken;</w:t>
      </w:r>
    </w:p>
    <w:p w14:paraId="4FBB2920" w14:textId="5616FCC0" w:rsidR="003855A7" w:rsidRPr="00FF1C3E" w:rsidRDefault="003855A7" w:rsidP="00AC1CAF">
      <w:pPr>
        <w:pStyle w:val="Bullet0"/>
        <w:numPr>
          <w:ilvl w:val="0"/>
          <w:numId w:val="69"/>
        </w:numPr>
        <w:ind w:hanging="283"/>
        <w:rPr>
          <w:noProof/>
        </w:rPr>
      </w:pPr>
      <w:r w:rsidRPr="00FF1C3E">
        <w:rPr>
          <w:noProof/>
        </w:rPr>
        <w:t>samenwerken met en steun verlenen aan de Republiek Moldavië om empirisch onderbouwde en doeltreffende maatregelen te nemen ter ondersteuning van Moldavische kmo’s en werknemers tijdens de COVID-19-pandemie en in de herstelfase na de pandemie.</w:t>
      </w:r>
    </w:p>
    <w:p w14:paraId="4AEB4344" w14:textId="77777777" w:rsidR="00DC24D2" w:rsidRPr="00FF1C3E" w:rsidRDefault="00DC24D2" w:rsidP="00DC24D2">
      <w:pPr>
        <w:rPr>
          <w:noProof/>
        </w:rPr>
      </w:pPr>
    </w:p>
    <w:p w14:paraId="5A259E8B"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Landbouw en plattelandsontwikkeling</w:t>
      </w:r>
    </w:p>
    <w:p w14:paraId="7040263E" w14:textId="77777777" w:rsidR="003855A7" w:rsidRPr="00FF1C3E" w:rsidRDefault="003855A7" w:rsidP="003855A7">
      <w:pPr>
        <w:spacing w:line="276" w:lineRule="auto"/>
        <w:rPr>
          <w:rFonts w:eastAsia="Times New Roman"/>
          <w:noProof/>
          <w:szCs w:val="24"/>
        </w:rPr>
      </w:pPr>
      <w:r w:rsidRPr="00FF1C3E">
        <w:rPr>
          <w:noProof/>
        </w:rPr>
        <w:t>De partijen werken samen bij de aanpassing van het beleid en de wetgeving aan het gemeenschappelijk landbouwbeleid (GLB) van de EU, met name op de volgende gebieden:</w:t>
      </w:r>
    </w:p>
    <w:p w14:paraId="6807FA01" w14:textId="77777777" w:rsidR="003855A7" w:rsidRPr="00FF1C3E" w:rsidRDefault="003855A7" w:rsidP="00AC1CAF">
      <w:pPr>
        <w:pStyle w:val="Bullet0"/>
        <w:numPr>
          <w:ilvl w:val="0"/>
          <w:numId w:val="70"/>
        </w:numPr>
        <w:ind w:hanging="283"/>
        <w:rPr>
          <w:noProof/>
        </w:rPr>
      </w:pPr>
      <w:r w:rsidRPr="00FF1C3E">
        <w:rPr>
          <w:noProof/>
        </w:rPr>
        <w:t>bevorderen van de modernisering van de landbouw, de ontwikkeling van sectoren met toegevoegde waarde en een exportpotentieel en tegelijkertijd waarborgen van de overdracht van kennis aan landbouwers;</w:t>
      </w:r>
    </w:p>
    <w:p w14:paraId="150EDE58" w14:textId="77777777" w:rsidR="003855A7" w:rsidRPr="00FF1C3E" w:rsidRDefault="003855A7" w:rsidP="00AC1CAF">
      <w:pPr>
        <w:pStyle w:val="Bullet0"/>
        <w:numPr>
          <w:ilvl w:val="0"/>
          <w:numId w:val="70"/>
        </w:numPr>
        <w:ind w:hanging="283"/>
        <w:rPr>
          <w:noProof/>
        </w:rPr>
      </w:pPr>
      <w:r w:rsidRPr="00FF1C3E">
        <w:rPr>
          <w:noProof/>
        </w:rPr>
        <w:t>zorgen voor duurzaam beheer van natuurlijke hulpbronnen, met name optreden tegen bodemerosie, ondersteuning van biologische landbouw en uitvoering van klimaatgerelateerde acties;</w:t>
      </w:r>
    </w:p>
    <w:p w14:paraId="7674919C" w14:textId="77777777" w:rsidR="003855A7" w:rsidRPr="00FF1C3E" w:rsidRDefault="003855A7" w:rsidP="00AC1CAF">
      <w:pPr>
        <w:pStyle w:val="Bullet0"/>
        <w:numPr>
          <w:ilvl w:val="0"/>
          <w:numId w:val="70"/>
        </w:numPr>
        <w:ind w:hanging="283"/>
        <w:rPr>
          <w:noProof/>
        </w:rPr>
      </w:pPr>
      <w:r w:rsidRPr="00FF1C3E">
        <w:rPr>
          <w:noProof/>
        </w:rPr>
        <w:t>verminderen van de kwetsbaarheid van de landbouwsector voor klimatologische risico’s;</w:t>
      </w:r>
    </w:p>
    <w:p w14:paraId="7102FDFD" w14:textId="77777777" w:rsidR="003855A7" w:rsidRPr="00FF1C3E" w:rsidRDefault="003855A7" w:rsidP="00AC1CAF">
      <w:pPr>
        <w:pStyle w:val="Bullet0"/>
        <w:numPr>
          <w:ilvl w:val="0"/>
          <w:numId w:val="70"/>
        </w:numPr>
        <w:ind w:hanging="283"/>
        <w:rPr>
          <w:noProof/>
        </w:rPr>
      </w:pPr>
      <w:r w:rsidRPr="00FF1C3E">
        <w:rPr>
          <w:noProof/>
        </w:rPr>
        <w:t>verbeteren van de levenskwaliteit in plattelandsgebieden, onder meer door diversificatie van de economische activiteiten in plattelandsgebieden en de ontwikkeling van plattelandstoerisme;</w:t>
      </w:r>
    </w:p>
    <w:p w14:paraId="1AD6B78B" w14:textId="77777777" w:rsidR="003855A7" w:rsidRPr="00FF1C3E" w:rsidRDefault="003855A7" w:rsidP="00AC1CAF">
      <w:pPr>
        <w:pStyle w:val="Bullet0"/>
        <w:numPr>
          <w:ilvl w:val="0"/>
          <w:numId w:val="70"/>
        </w:numPr>
        <w:ind w:hanging="283"/>
        <w:rPr>
          <w:noProof/>
        </w:rPr>
      </w:pPr>
      <w:r w:rsidRPr="00FF1C3E">
        <w:rPr>
          <w:noProof/>
        </w:rPr>
        <w:t>verder uitrollen van de aanpak inzake samenwerking voor plattelandsontwikkeling (Leader) en uitbreiden van de samenwerking met lokale actiegroepen; integreren ervan in het nationale beleid voor plattelandsontwikkeling;</w:t>
      </w:r>
    </w:p>
    <w:p w14:paraId="3A4C00E0" w14:textId="77777777" w:rsidR="003855A7" w:rsidRPr="00FF1C3E" w:rsidRDefault="003855A7" w:rsidP="00AC1CAF">
      <w:pPr>
        <w:pStyle w:val="Bullet0"/>
        <w:numPr>
          <w:ilvl w:val="0"/>
          <w:numId w:val="70"/>
        </w:numPr>
        <w:ind w:hanging="283"/>
        <w:rPr>
          <w:noProof/>
        </w:rPr>
      </w:pPr>
      <w:r w:rsidRPr="00FF1C3E">
        <w:rPr>
          <w:noProof/>
        </w:rPr>
        <w:t>ontwikkelen, bevorderen en uitvoeren van sectorale programma’s voor specifieke subsectoren van de landbouw;</w:t>
      </w:r>
    </w:p>
    <w:p w14:paraId="10CA5FC1" w14:textId="77777777" w:rsidR="003855A7" w:rsidRPr="00FF1C3E" w:rsidRDefault="003855A7" w:rsidP="00AC1CAF">
      <w:pPr>
        <w:pStyle w:val="Bullet0"/>
        <w:numPr>
          <w:ilvl w:val="0"/>
          <w:numId w:val="70"/>
        </w:numPr>
        <w:ind w:hanging="283"/>
        <w:rPr>
          <w:noProof/>
        </w:rPr>
      </w:pPr>
      <w:r w:rsidRPr="00FF1C3E">
        <w:rPr>
          <w:noProof/>
        </w:rPr>
        <w:t xml:space="preserve">ontwikkelen van de capaciteiten van centrale en lokale overheden ten aanzien van het plattelandsontwikkelingsbeleid; </w:t>
      </w:r>
    </w:p>
    <w:p w14:paraId="3EC82271" w14:textId="77777777" w:rsidR="003855A7" w:rsidRPr="00FF1C3E" w:rsidRDefault="003855A7" w:rsidP="00AC1CAF">
      <w:pPr>
        <w:pStyle w:val="Bullet0"/>
        <w:numPr>
          <w:ilvl w:val="0"/>
          <w:numId w:val="70"/>
        </w:numPr>
        <w:ind w:hanging="283"/>
        <w:rPr>
          <w:noProof/>
        </w:rPr>
      </w:pPr>
      <w:r w:rsidRPr="00FF1C3E">
        <w:rPr>
          <w:noProof/>
        </w:rPr>
        <w:t xml:space="preserve">versterken van de capaciteit van het interventie- en betaalorgaan voor de landbouw om de transparantie, doelmatigheid en voorspelbaarheid van de verstrekte overheidssteun te garanderen; </w:t>
      </w:r>
    </w:p>
    <w:p w14:paraId="1EDE0CCA" w14:textId="54B32BD3" w:rsidR="003855A7" w:rsidRPr="00FF1C3E" w:rsidRDefault="003855A7" w:rsidP="00AC1CAF">
      <w:pPr>
        <w:pStyle w:val="Bullet0"/>
        <w:numPr>
          <w:ilvl w:val="0"/>
          <w:numId w:val="70"/>
        </w:numPr>
        <w:ind w:hanging="283"/>
        <w:rPr>
          <w:noProof/>
        </w:rPr>
      </w:pPr>
      <w:r w:rsidRPr="00FF1C3E">
        <w:rPr>
          <w:noProof/>
        </w:rPr>
        <w:t>ontwikkelen en uitvoeren van het “Nards 2020+”-programma.</w:t>
      </w:r>
    </w:p>
    <w:p w14:paraId="78A510BF" w14:textId="77777777" w:rsidR="00DC24D2" w:rsidRPr="00FF1C3E" w:rsidRDefault="00DC24D2" w:rsidP="00DC24D2">
      <w:pPr>
        <w:rPr>
          <w:noProof/>
        </w:rPr>
      </w:pPr>
    </w:p>
    <w:p w14:paraId="479D5CA7"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Visserij en maritiem beleid</w:t>
      </w:r>
    </w:p>
    <w:p w14:paraId="7AF84024" w14:textId="77777777" w:rsidR="003855A7" w:rsidRPr="00FF1C3E" w:rsidRDefault="003855A7" w:rsidP="003855A7">
      <w:pPr>
        <w:spacing w:line="276" w:lineRule="auto"/>
        <w:rPr>
          <w:rFonts w:eastAsia="Times New Roman"/>
          <w:noProof/>
          <w:szCs w:val="24"/>
        </w:rPr>
      </w:pPr>
      <w:r w:rsidRPr="00FF1C3E">
        <w:rPr>
          <w:noProof/>
        </w:rPr>
        <w:t>De samenwerking tussen de partijen heeft betrekking op de volgende punten:</w:t>
      </w:r>
    </w:p>
    <w:p w14:paraId="20C19E3D" w14:textId="77777777" w:rsidR="003855A7" w:rsidRPr="00FF1C3E" w:rsidRDefault="003855A7" w:rsidP="003855A7">
      <w:pPr>
        <w:spacing w:before="240" w:after="0"/>
        <w:rPr>
          <w:rFonts w:eastAsia="Times New Roman"/>
          <w:i/>
          <w:noProof/>
          <w:szCs w:val="24"/>
        </w:rPr>
      </w:pPr>
      <w:r w:rsidRPr="00FF1C3E">
        <w:rPr>
          <w:i/>
          <w:noProof/>
          <w:szCs w:val="24"/>
        </w:rPr>
        <w:t>– binnen drie tot vier jaar:</w:t>
      </w:r>
    </w:p>
    <w:p w14:paraId="3EE0590F" w14:textId="77777777" w:rsidR="003855A7" w:rsidRPr="00FF1C3E" w:rsidRDefault="003855A7" w:rsidP="00AC1CAF">
      <w:pPr>
        <w:pStyle w:val="Bullet0"/>
        <w:numPr>
          <w:ilvl w:val="0"/>
          <w:numId w:val="71"/>
        </w:numPr>
        <w:ind w:hanging="283"/>
        <w:rPr>
          <w:noProof/>
        </w:rPr>
      </w:pPr>
      <w:r w:rsidRPr="00FF1C3E">
        <w:rPr>
          <w:noProof/>
        </w:rPr>
        <w:t>bevorderen van een geïntegreerde aanpak van water-, mariene en maritieme aangelegenheden door de instelling van een interministerieel coördinatiemechanisme voor maritieme aangelegenheden, bestaande uit de bevoegde ministeries en diensten, om het voortouw te nemen bij de uitvoering van de gemeenschappelijke maritieme agenda voor de Zwarte Zee en de EU-strategie voor het Donaugebied, en om synergieën tussen die instanties tot stand te brengen;</w:t>
      </w:r>
    </w:p>
    <w:p w14:paraId="3FC5788E" w14:textId="77777777" w:rsidR="003855A7" w:rsidRPr="00FF1C3E" w:rsidRDefault="003855A7" w:rsidP="00AC1CAF">
      <w:pPr>
        <w:pStyle w:val="Bullet0"/>
        <w:numPr>
          <w:ilvl w:val="0"/>
          <w:numId w:val="71"/>
        </w:numPr>
        <w:ind w:hanging="283"/>
        <w:rPr>
          <w:noProof/>
        </w:rPr>
      </w:pPr>
      <w:r w:rsidRPr="00FF1C3E">
        <w:rPr>
          <w:noProof/>
        </w:rPr>
        <w:t>actief bijdragen aan de uitvoering van de gemeenschappelijke maritieme agenda voor de Zwarte Zee, verlenen van steun voor de identificatie van voor banken aanvaardbare projecten en deelnemen aan de regelmatige vergaderingen van de stuurgroep;</w:t>
      </w:r>
    </w:p>
    <w:p w14:paraId="15AEACD7" w14:textId="77777777" w:rsidR="003855A7" w:rsidRPr="00FF1C3E" w:rsidRDefault="003855A7" w:rsidP="00AC1CAF">
      <w:pPr>
        <w:pStyle w:val="Bullet0"/>
        <w:numPr>
          <w:ilvl w:val="0"/>
          <w:numId w:val="71"/>
        </w:numPr>
        <w:ind w:hanging="283"/>
        <w:rPr>
          <w:noProof/>
        </w:rPr>
      </w:pPr>
      <w:r w:rsidRPr="00FF1C3E">
        <w:rPr>
          <w:noProof/>
        </w:rPr>
        <w:t xml:space="preserve">versterken van de bilaterale en multilaterale samenwerking en ondersteunen van de werkzaamheden in het kader van de Algemene Visserijcommissie voor de Middellandse Zee (GFCM) met het oog op verdere vooruitgang op het gebied van de duurzaamheid van visserij en de nakoming van internationale verplichtingen voor visserij en aquacultuur; </w:t>
      </w:r>
    </w:p>
    <w:p w14:paraId="692971FE" w14:textId="77777777" w:rsidR="003855A7" w:rsidRPr="00FF1C3E" w:rsidRDefault="003855A7" w:rsidP="00AC1CAF">
      <w:pPr>
        <w:pStyle w:val="Bullet0"/>
        <w:numPr>
          <w:ilvl w:val="0"/>
          <w:numId w:val="71"/>
        </w:numPr>
        <w:ind w:hanging="283"/>
        <w:rPr>
          <w:noProof/>
        </w:rPr>
      </w:pPr>
      <w:r w:rsidRPr="00FF1C3E">
        <w:rPr>
          <w:noProof/>
        </w:rPr>
        <w:t xml:space="preserve">ondersteunen van de uitvoering van de ministeriële verklaring van Sofia van 2018 over de duurzaamheid van visserij in de Zwarte Zee en de duurzame ontwikkeling van aquacultuur, en van de nieuwe GFCM-strategie voor 2030;  </w:t>
      </w:r>
    </w:p>
    <w:p w14:paraId="76071ED2" w14:textId="77777777" w:rsidR="003855A7" w:rsidRPr="00FF1C3E" w:rsidRDefault="003855A7" w:rsidP="00AC1CAF">
      <w:pPr>
        <w:pStyle w:val="Bullet0"/>
        <w:numPr>
          <w:ilvl w:val="0"/>
          <w:numId w:val="71"/>
        </w:numPr>
        <w:ind w:hanging="283"/>
        <w:rPr>
          <w:noProof/>
        </w:rPr>
      </w:pPr>
      <w:r w:rsidRPr="00FF1C3E">
        <w:rPr>
          <w:noProof/>
        </w:rPr>
        <w:t>versterken van de technische en wetenschappelijke samenwerking binnen de aquacultuurfora van de GFCM, met name de aquacultuurcentra in de Zwarte Zee, teneinde de duurzame ontwikkeling van aquacultuur te stimuleren;</w:t>
      </w:r>
    </w:p>
    <w:p w14:paraId="0A3660AB" w14:textId="77777777" w:rsidR="003855A7" w:rsidRPr="00FF1C3E" w:rsidRDefault="003855A7" w:rsidP="00AC1CAF">
      <w:pPr>
        <w:pStyle w:val="Bullet0"/>
        <w:numPr>
          <w:ilvl w:val="0"/>
          <w:numId w:val="71"/>
        </w:numPr>
        <w:ind w:hanging="283"/>
        <w:rPr>
          <w:noProof/>
        </w:rPr>
      </w:pPr>
      <w:r w:rsidRPr="00FF1C3E">
        <w:rPr>
          <w:noProof/>
        </w:rPr>
        <w:t>ervoor zorgen dat vaartuigen die worden vermeld op de lijst van illegale, ongemelde en ongereglementeerde visserij (IOO) van regionale organisaties voor visserijbeheer, niet in het staatsscheepsregister van de Republiek Moldavië worden geregistreerd;</w:t>
      </w:r>
    </w:p>
    <w:p w14:paraId="632735B1" w14:textId="77777777" w:rsidR="003855A7" w:rsidRPr="00FF1C3E" w:rsidRDefault="003855A7" w:rsidP="00AC1CAF">
      <w:pPr>
        <w:pStyle w:val="Bullet0"/>
        <w:numPr>
          <w:ilvl w:val="0"/>
          <w:numId w:val="71"/>
        </w:numPr>
        <w:ind w:hanging="283"/>
        <w:rPr>
          <w:noProof/>
        </w:rPr>
      </w:pPr>
      <w:r w:rsidRPr="00FF1C3E">
        <w:rPr>
          <w:noProof/>
        </w:rPr>
        <w:t>ervoor zorgen dat alle vaartuigen die visserij- en visserijgerelateerde activiteiten verrichten, met inbegrip van het vangen, verwerken, leveren of vervoeren van vis, als vissersvaartuigen worden beschouwd en niet langer onder de vlag van de Republiek Moldavië worden geregistreerd; de in de nationale wetgeving van de Republiek Moldavië gebruikte term “vissersvaartuig” moet in overeenstemming zijn met de internationale instrumenten voor visserij in dit verband;</w:t>
      </w:r>
    </w:p>
    <w:p w14:paraId="7243C2A1" w14:textId="77777777" w:rsidR="003855A7" w:rsidRPr="00FF1C3E" w:rsidRDefault="003855A7" w:rsidP="00AC1CAF">
      <w:pPr>
        <w:pStyle w:val="Bullet0"/>
        <w:numPr>
          <w:ilvl w:val="0"/>
          <w:numId w:val="71"/>
        </w:numPr>
        <w:ind w:hanging="283"/>
        <w:rPr>
          <w:noProof/>
        </w:rPr>
      </w:pPr>
      <w:r w:rsidRPr="00FF1C3E">
        <w:rPr>
          <w:noProof/>
        </w:rPr>
        <w:t xml:space="preserve">actief samenwerken bij de bestrijding van IOO-visserij; </w:t>
      </w:r>
    </w:p>
    <w:p w14:paraId="2C8E99F1" w14:textId="77777777" w:rsidR="003855A7" w:rsidRPr="00FF1C3E" w:rsidRDefault="003855A7" w:rsidP="003855A7">
      <w:pPr>
        <w:spacing w:before="240" w:after="0"/>
        <w:rPr>
          <w:noProof/>
        </w:rPr>
      </w:pPr>
      <w:r w:rsidRPr="00FF1C3E">
        <w:rPr>
          <w:i/>
          <w:noProof/>
          <w:szCs w:val="24"/>
        </w:rPr>
        <w:t>– binnen zeven jaar:</w:t>
      </w:r>
    </w:p>
    <w:p w14:paraId="75B48B56" w14:textId="77777777" w:rsidR="003855A7" w:rsidRPr="00FF1C3E" w:rsidRDefault="003855A7" w:rsidP="00AC1CAF">
      <w:pPr>
        <w:pStyle w:val="Bullet0"/>
        <w:numPr>
          <w:ilvl w:val="0"/>
          <w:numId w:val="72"/>
        </w:numPr>
        <w:ind w:hanging="283"/>
        <w:rPr>
          <w:noProof/>
        </w:rPr>
      </w:pPr>
      <w:r w:rsidRPr="00FF1C3E">
        <w:rPr>
          <w:noProof/>
        </w:rPr>
        <w:t>bevorderen van duurzaam beheer van aquacultuurhulpbronnen en boeken van vooruitgang met de verzameling van gegevens over aquacultuur;</w:t>
      </w:r>
    </w:p>
    <w:p w14:paraId="2A526BD0" w14:textId="77777777" w:rsidR="003855A7" w:rsidRPr="00FF1C3E" w:rsidRDefault="003855A7" w:rsidP="00AC1CAF">
      <w:pPr>
        <w:pStyle w:val="Bullet0"/>
        <w:numPr>
          <w:ilvl w:val="0"/>
          <w:numId w:val="72"/>
        </w:numPr>
        <w:ind w:hanging="283"/>
        <w:rPr>
          <w:noProof/>
        </w:rPr>
      </w:pPr>
      <w:r w:rsidRPr="00FF1C3E">
        <w:rPr>
          <w:noProof/>
        </w:rPr>
        <w:t>verbeteren van de efficiëntie van de markten met handelsnormen en van de traceerbaarheid van visserijproducten.</w:t>
      </w:r>
    </w:p>
    <w:p w14:paraId="36FED0EC" w14:textId="4FF463F1" w:rsidR="003855A7" w:rsidRPr="00FF1C3E" w:rsidRDefault="003855A7" w:rsidP="00AC1CAF">
      <w:pPr>
        <w:pStyle w:val="Bullet0"/>
        <w:numPr>
          <w:ilvl w:val="0"/>
          <w:numId w:val="72"/>
        </w:numPr>
        <w:ind w:hanging="283"/>
        <w:rPr>
          <w:noProof/>
        </w:rPr>
      </w:pPr>
      <w:r w:rsidRPr="00FF1C3E">
        <w:rPr>
          <w:noProof/>
        </w:rPr>
        <w:t>verder uitvoeren van de gemeenschappelijke maritieme agenda voor het Zwarte Zeegebied en de ontwikkelingen daarvan, door middel van concrete projecten en beleidsverbintenissen inzake duurzame blauwe economie, zowel op nationaal als op regionaal niveau.</w:t>
      </w:r>
    </w:p>
    <w:p w14:paraId="6DAAF8CD" w14:textId="77777777" w:rsidR="00DC24D2" w:rsidRPr="00FF1C3E" w:rsidRDefault="00DC24D2" w:rsidP="00DC24D2">
      <w:pPr>
        <w:rPr>
          <w:noProof/>
        </w:rPr>
      </w:pPr>
    </w:p>
    <w:p w14:paraId="68A1B6B6"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Energie</w:t>
      </w:r>
    </w:p>
    <w:p w14:paraId="1EEB612D" w14:textId="77777777" w:rsidR="003855A7" w:rsidRPr="00FF1C3E" w:rsidRDefault="003855A7" w:rsidP="003855A7">
      <w:pPr>
        <w:spacing w:line="276" w:lineRule="auto"/>
        <w:rPr>
          <w:rFonts w:eastAsia="Times New Roman"/>
          <w:noProof/>
          <w:szCs w:val="24"/>
        </w:rPr>
      </w:pPr>
      <w:r w:rsidRPr="00FF1C3E">
        <w:rPr>
          <w:noProof/>
        </w:rPr>
        <w:t>De partijen blijven nauw samenwerken met het oog op betere energiezekerheid in de Republiek Moldavië, mede door middel van grotere energie-efficiëntie en diversificatie van aanvoerroutes en bronnen. De gemeenschappelijke doelstelling blijft het tot stand brengen van een concurrerende en transparante energiemarkt in de Republiek Moldavië en de integratie daarvan in de energiemarkt van de EU door geleidelijke aanpassing aan de EU-energiewetgeving. De Republiek Moldavië dient prioriteit te geven aan hernieuwbare energie en energie-efficiëntie als basis voor de schone en milieuvriendelijke energietransitie van het land, in overeenstemming met de EU-doelstelling van klimaatneutraliteit tegen 2050. De samenwerking tussen de partijen heeft met name betrekking op de volgende punten:</w:t>
      </w:r>
    </w:p>
    <w:p w14:paraId="46FBB4E4" w14:textId="77777777" w:rsidR="003855A7" w:rsidRPr="00FF1C3E" w:rsidRDefault="003855A7" w:rsidP="003855A7">
      <w:pPr>
        <w:spacing w:after="0"/>
        <w:rPr>
          <w:rFonts w:eastAsia="Times New Roman"/>
          <w:i/>
          <w:noProof/>
          <w:szCs w:val="24"/>
        </w:rPr>
      </w:pPr>
      <w:r w:rsidRPr="00FF1C3E">
        <w:rPr>
          <w:i/>
          <w:noProof/>
          <w:szCs w:val="24"/>
        </w:rPr>
        <w:t xml:space="preserve">energiezekerheid </w:t>
      </w:r>
    </w:p>
    <w:p w14:paraId="41577BD9" w14:textId="77777777" w:rsidR="003855A7" w:rsidRPr="00FF1C3E" w:rsidRDefault="003855A7" w:rsidP="00AC1CAF">
      <w:pPr>
        <w:pStyle w:val="Bullet0"/>
        <w:numPr>
          <w:ilvl w:val="0"/>
          <w:numId w:val="73"/>
        </w:numPr>
        <w:ind w:hanging="283"/>
        <w:rPr>
          <w:noProof/>
        </w:rPr>
      </w:pPr>
      <w:r w:rsidRPr="00FF1C3E">
        <w:rPr>
          <w:noProof/>
        </w:rPr>
        <w:t>verbeteren van de energiezekerheid door een grotere diversificatie van aanvoerroutes en energiebronnen, zoals de verdere ontwikkeling van lokale hernieuwbare energiebronnen en het voltooien en versterken van energie-interconnecties met de EU; er wordt met name aandacht besteed aan de volgende punten:</w:t>
      </w:r>
    </w:p>
    <w:p w14:paraId="543718AF" w14:textId="77777777" w:rsidR="003855A7" w:rsidRPr="00FF1C3E" w:rsidRDefault="003855A7" w:rsidP="00C726D0">
      <w:pPr>
        <w:pStyle w:val="Tiret1"/>
        <w:ind w:hanging="283"/>
        <w:rPr>
          <w:noProof/>
        </w:rPr>
      </w:pPr>
      <w:r w:rsidRPr="00FF1C3E">
        <w:rPr>
          <w:noProof/>
        </w:rPr>
        <w:t xml:space="preserve">vergemakkelijken van het optimale gebruik op de gasmarkt van de onlangs voltooide pijpleiding Ungheni-Chisinau door te zorgen voor een correcte toepassing van de desbetreffende wettelijke bepalingen in de primaire en secundaire wetgeving, met inbegrip van gasnetcodes, om extra leveringen op concurrerende basis mogelijk te maken en de interconnectiviteit met de EU te vergroten; </w:t>
      </w:r>
    </w:p>
    <w:p w14:paraId="60BADE25" w14:textId="77777777" w:rsidR="003855A7" w:rsidRPr="00FF1C3E" w:rsidRDefault="003855A7" w:rsidP="00C726D0">
      <w:pPr>
        <w:pStyle w:val="Tiret1"/>
        <w:ind w:hanging="283"/>
        <w:rPr>
          <w:noProof/>
        </w:rPr>
      </w:pPr>
      <w:r w:rsidRPr="00FF1C3E">
        <w:rPr>
          <w:noProof/>
        </w:rPr>
        <w:t>voltooien van de interconnectie met het Roemeense elektriciteitsnet om de elektriciteitsvoorziening aan de Republiek Moldavië te diversifiëren;</w:t>
      </w:r>
    </w:p>
    <w:p w14:paraId="7BE912D8" w14:textId="1A037711" w:rsidR="003855A7" w:rsidRPr="00FF1C3E" w:rsidRDefault="003855A7" w:rsidP="003855A7">
      <w:pPr>
        <w:pBdr>
          <w:top w:val="nil"/>
          <w:left w:val="nil"/>
          <w:bottom w:val="nil"/>
          <w:right w:val="nil"/>
          <w:between w:val="nil"/>
        </w:pBdr>
        <w:spacing w:after="0"/>
        <w:rPr>
          <w:rFonts w:eastAsia="Times New Roman"/>
          <w:noProof/>
          <w:color w:val="000000"/>
          <w:szCs w:val="24"/>
        </w:rPr>
      </w:pPr>
      <w:r w:rsidRPr="00FF1C3E">
        <w:rPr>
          <w:i/>
          <w:noProof/>
          <w:color w:val="000000"/>
          <w:szCs w:val="24"/>
        </w:rPr>
        <w:t>– binnen drie tot vier jaar</w:t>
      </w:r>
      <w:r w:rsidR="002E12B8" w:rsidRPr="00FF1C3E">
        <w:rPr>
          <w:i/>
          <w:noProof/>
          <w:color w:val="000000"/>
          <w:szCs w:val="24"/>
        </w:rPr>
        <w:t>:</w:t>
      </w:r>
    </w:p>
    <w:p w14:paraId="3784EDC4" w14:textId="77777777" w:rsidR="003855A7" w:rsidRPr="00FF1C3E" w:rsidRDefault="003855A7" w:rsidP="003855A7">
      <w:pPr>
        <w:spacing w:after="0"/>
        <w:rPr>
          <w:rFonts w:eastAsia="Times New Roman"/>
          <w:i/>
          <w:noProof/>
          <w:szCs w:val="24"/>
        </w:rPr>
      </w:pPr>
      <w:r w:rsidRPr="00FF1C3E">
        <w:rPr>
          <w:i/>
          <w:noProof/>
          <w:szCs w:val="24"/>
        </w:rPr>
        <w:t>integratie van energiemarkten</w:t>
      </w:r>
    </w:p>
    <w:p w14:paraId="01A25771" w14:textId="77777777" w:rsidR="003855A7" w:rsidRPr="00FF1C3E" w:rsidRDefault="003855A7" w:rsidP="00AC1CAF">
      <w:pPr>
        <w:pStyle w:val="Bullet0"/>
        <w:numPr>
          <w:ilvl w:val="0"/>
          <w:numId w:val="74"/>
        </w:numPr>
        <w:ind w:hanging="283"/>
        <w:rPr>
          <w:noProof/>
        </w:rPr>
      </w:pPr>
      <w:r w:rsidRPr="00FF1C3E">
        <w:rPr>
          <w:noProof/>
        </w:rPr>
        <w:t>blijven ontplooien van initiatieven voor de verdere integratie van de energiemarkt van de Republiek Moldavië met die van de EU;</w:t>
      </w:r>
    </w:p>
    <w:p w14:paraId="4C01385B" w14:textId="77777777" w:rsidR="003855A7" w:rsidRPr="00FF1C3E" w:rsidRDefault="003855A7" w:rsidP="00AC1CAF">
      <w:pPr>
        <w:pStyle w:val="Bullet0"/>
        <w:numPr>
          <w:ilvl w:val="0"/>
          <w:numId w:val="74"/>
        </w:numPr>
        <w:ind w:hanging="283"/>
        <w:rPr>
          <w:noProof/>
        </w:rPr>
      </w:pPr>
      <w:r w:rsidRPr="00FF1C3E">
        <w:rPr>
          <w:noProof/>
        </w:rPr>
        <w:t xml:space="preserve">de energiewetgeving van de Republiek Moldavië geleidelijk steeds verder aanpassen aan de EU-wetgeving, overeenkomstig (de herziene) bijlage VIII bij de associatieovereenkomst en de verplichtingen uit hoofde van het Verdrag tot oprichting van de Energiegemeenschap; </w:t>
      </w:r>
    </w:p>
    <w:p w14:paraId="65DBDEA3" w14:textId="77777777" w:rsidR="003855A7" w:rsidRPr="00FF1C3E" w:rsidRDefault="003855A7" w:rsidP="00AC1CAF">
      <w:pPr>
        <w:pStyle w:val="Bullet0"/>
        <w:numPr>
          <w:ilvl w:val="0"/>
          <w:numId w:val="74"/>
        </w:numPr>
        <w:ind w:hanging="283"/>
        <w:rPr>
          <w:noProof/>
        </w:rPr>
      </w:pPr>
      <w:r w:rsidRPr="00FF1C3E">
        <w:rPr>
          <w:noProof/>
        </w:rPr>
        <w:t>volledig uitvoeren van het derde energiepakket; daarom zo spoedig mogelijk afronden van de ontvlechting in de elektriciteits- en gassector, overeenkomstig de verbintenissen van het Energiegemeenschapsverdrag en in nauw overleg met het secretariaat van de Energiegemeenschap, teneinde vooruitgang te boeken met de liberalisering van de markt, daadwerkelijke toegang van derden en openstelling van de markt mogelijk te maken en de onafhankelijkheid en de verantwoordingsplicht van de nationale regelgevende instantie te waarborgen om te zorgen voor een transparant en stabiel regelgevingskader;</w:t>
      </w:r>
    </w:p>
    <w:p w14:paraId="3EF907E1" w14:textId="77777777" w:rsidR="003855A7" w:rsidRPr="00FF1C3E" w:rsidRDefault="003855A7" w:rsidP="00AC1CAF">
      <w:pPr>
        <w:pStyle w:val="Bullet0"/>
        <w:numPr>
          <w:ilvl w:val="0"/>
          <w:numId w:val="74"/>
        </w:numPr>
        <w:ind w:hanging="283"/>
        <w:rPr>
          <w:noProof/>
        </w:rPr>
      </w:pPr>
      <w:r w:rsidRPr="00FF1C3E">
        <w:rPr>
          <w:noProof/>
        </w:rPr>
        <w:t xml:space="preserve">vergroten van de transparantie in de elektriciteitssector om een aantrekkelijk en stabiel investeringsklimaat te ontwikkelen door institutionele, juridische, fiscale en andere factoren aan te pakken; </w:t>
      </w:r>
    </w:p>
    <w:p w14:paraId="72B01575" w14:textId="77777777" w:rsidR="003855A7" w:rsidRPr="00FF1C3E" w:rsidRDefault="003855A7" w:rsidP="003855A7">
      <w:pPr>
        <w:spacing w:before="280" w:after="0"/>
        <w:rPr>
          <w:rFonts w:eastAsia="Times New Roman"/>
          <w:i/>
          <w:noProof/>
          <w:szCs w:val="24"/>
        </w:rPr>
      </w:pPr>
      <w:r w:rsidRPr="00FF1C3E">
        <w:rPr>
          <w:i/>
          <w:noProof/>
          <w:szCs w:val="24"/>
        </w:rPr>
        <w:t>energie-efficiëntie, hernieuwbare energie – de transitie naar schone energie</w:t>
      </w:r>
    </w:p>
    <w:p w14:paraId="683417B9" w14:textId="77777777" w:rsidR="003855A7" w:rsidRPr="00FF1C3E" w:rsidRDefault="003855A7" w:rsidP="00AC1CAF">
      <w:pPr>
        <w:pStyle w:val="Bullet0"/>
        <w:numPr>
          <w:ilvl w:val="0"/>
          <w:numId w:val="75"/>
        </w:numPr>
        <w:ind w:hanging="283"/>
        <w:rPr>
          <w:noProof/>
        </w:rPr>
      </w:pPr>
      <w:r w:rsidRPr="00FF1C3E">
        <w:rPr>
          <w:noProof/>
        </w:rPr>
        <w:t xml:space="preserve">verbeteren van de energie-efficiëntie in het algemeen, maar met de bouwsector als prioriteit; </w:t>
      </w:r>
    </w:p>
    <w:p w14:paraId="317EF58A" w14:textId="77777777" w:rsidR="003855A7" w:rsidRPr="00FF1C3E" w:rsidRDefault="003855A7" w:rsidP="00AC1CAF">
      <w:pPr>
        <w:pStyle w:val="Bullet0"/>
        <w:numPr>
          <w:ilvl w:val="0"/>
          <w:numId w:val="75"/>
        </w:numPr>
        <w:ind w:hanging="283"/>
        <w:rPr>
          <w:noProof/>
        </w:rPr>
      </w:pPr>
      <w:r w:rsidRPr="00FF1C3E">
        <w:rPr>
          <w:noProof/>
        </w:rPr>
        <w:t>verhogen van het aandeel hernieuwbare energiebronnen in de energiesector en ervoor zorgen dat de energievoorziening betrouwbaar en betaalbaar blijft voor consumenten en bedrijven; daartoe is het van essentieel belang dat de energiemarkt volledig geïntegreerd, onderling verbonden en geleidelijk gedigitaliseerd wordt;</w:t>
      </w:r>
    </w:p>
    <w:p w14:paraId="6E9E8719" w14:textId="77777777" w:rsidR="003855A7" w:rsidRPr="00FF1C3E" w:rsidRDefault="003855A7" w:rsidP="00AC1CAF">
      <w:pPr>
        <w:pStyle w:val="Bullet0"/>
        <w:numPr>
          <w:ilvl w:val="0"/>
          <w:numId w:val="75"/>
        </w:numPr>
        <w:ind w:hanging="283"/>
        <w:rPr>
          <w:noProof/>
        </w:rPr>
      </w:pPr>
      <w:r w:rsidRPr="00FF1C3E">
        <w:rPr>
          <w:noProof/>
        </w:rPr>
        <w:t>op basis van de wet ter bevordering van het gebruik van energie uit hernieuwbare bronnen ontwikkelen van steunregelingen, administratieve regels en andere maatregelen om een groter gebruik van hernieuwbare energiebronnen te bevorderen en tegelijkertijd te waarborgen dat de energievoorziening betrouwbaar en betaalbaar blijft voor consumenten en bedrijven;</w:t>
      </w:r>
    </w:p>
    <w:p w14:paraId="52B1AD5C" w14:textId="77777777" w:rsidR="003855A7" w:rsidRPr="00FF1C3E" w:rsidRDefault="003855A7" w:rsidP="00AC1CAF">
      <w:pPr>
        <w:pStyle w:val="Bullet0"/>
        <w:numPr>
          <w:ilvl w:val="0"/>
          <w:numId w:val="75"/>
        </w:numPr>
        <w:ind w:hanging="283"/>
        <w:rPr>
          <w:noProof/>
        </w:rPr>
      </w:pPr>
      <w:r w:rsidRPr="00FF1C3E">
        <w:rPr>
          <w:noProof/>
        </w:rPr>
        <w:t>creëren van een gunstig en stabiel op de markt gebaseerd investeringskader voor meer investeringen in hernieuwbare energie, met gebruikmaking van de beste praktijken van de EU;</w:t>
      </w:r>
    </w:p>
    <w:p w14:paraId="05549631" w14:textId="77777777" w:rsidR="003855A7" w:rsidRPr="00FF1C3E" w:rsidRDefault="003855A7" w:rsidP="00AC1CAF">
      <w:pPr>
        <w:pStyle w:val="Bullet0"/>
        <w:numPr>
          <w:ilvl w:val="0"/>
          <w:numId w:val="75"/>
        </w:numPr>
        <w:ind w:hanging="283"/>
        <w:rPr>
          <w:noProof/>
        </w:rPr>
      </w:pPr>
      <w:r w:rsidRPr="00FF1C3E">
        <w:rPr>
          <w:noProof/>
        </w:rPr>
        <w:t>ervoor zorgen dat de economie tegen de laagst mogelijke kosten koolstofvrij wordt door slimme integratie van hernieuwbare energiebronnen, energie-efficiëntie en andere duurzame oplossingen in alle sectoren.</w:t>
      </w:r>
    </w:p>
    <w:p w14:paraId="19127B45" w14:textId="77777777" w:rsidR="003855A7" w:rsidRPr="00FF1C3E" w:rsidRDefault="003855A7" w:rsidP="003855A7">
      <w:pPr>
        <w:spacing w:before="280" w:after="0"/>
        <w:rPr>
          <w:rFonts w:eastAsia="Times New Roman"/>
          <w:i/>
          <w:noProof/>
          <w:szCs w:val="24"/>
        </w:rPr>
      </w:pPr>
      <w:r w:rsidRPr="00FF1C3E">
        <w:rPr>
          <w:i/>
          <w:noProof/>
          <w:szCs w:val="24"/>
        </w:rPr>
        <w:t>Nucleaire veiligheid</w:t>
      </w:r>
    </w:p>
    <w:p w14:paraId="750FB2A5" w14:textId="6C73B2C3" w:rsidR="003855A7" w:rsidRPr="00FF1C3E" w:rsidRDefault="003855A7" w:rsidP="003855A7">
      <w:pPr>
        <w:pBdr>
          <w:top w:val="nil"/>
          <w:left w:val="nil"/>
          <w:bottom w:val="nil"/>
          <w:right w:val="nil"/>
          <w:between w:val="nil"/>
        </w:pBdr>
        <w:spacing w:after="0"/>
        <w:rPr>
          <w:rFonts w:eastAsia="Times New Roman"/>
          <w:i/>
          <w:noProof/>
          <w:color w:val="000000"/>
          <w:szCs w:val="24"/>
        </w:rPr>
      </w:pPr>
      <w:r w:rsidRPr="00FF1C3E">
        <w:rPr>
          <w:i/>
          <w:noProof/>
          <w:color w:val="000000"/>
          <w:szCs w:val="24"/>
        </w:rPr>
        <w:t>– binnen zeven jaar</w:t>
      </w:r>
      <w:r w:rsidR="002E12B8" w:rsidRPr="00FF1C3E">
        <w:rPr>
          <w:i/>
          <w:noProof/>
          <w:color w:val="000000"/>
          <w:szCs w:val="24"/>
        </w:rPr>
        <w:t>:</w:t>
      </w:r>
    </w:p>
    <w:p w14:paraId="76456710" w14:textId="228C1B5F" w:rsidR="003855A7" w:rsidRPr="00FF1C3E" w:rsidRDefault="003855A7" w:rsidP="00AC1CAF">
      <w:pPr>
        <w:pStyle w:val="Bullet0"/>
        <w:numPr>
          <w:ilvl w:val="0"/>
          <w:numId w:val="76"/>
        </w:numPr>
        <w:ind w:hanging="283"/>
        <w:rPr>
          <w:noProof/>
        </w:rPr>
      </w:pPr>
      <w:r w:rsidRPr="00FF1C3E">
        <w:rPr>
          <w:noProof/>
        </w:rPr>
        <w:t xml:space="preserve">samenwerking aan het veilige beheer van radioactief afval in de Republiek Moldavië door de uitvoering te ondersteunen van de nationale strategie voor het beheer van radioactief afval van 2017.  </w:t>
      </w:r>
    </w:p>
    <w:p w14:paraId="7402DDA1" w14:textId="77777777" w:rsidR="00DC24D2" w:rsidRPr="00FF1C3E" w:rsidRDefault="00DC24D2" w:rsidP="00DC24D2">
      <w:pPr>
        <w:rPr>
          <w:noProof/>
        </w:rPr>
      </w:pPr>
    </w:p>
    <w:p w14:paraId="5F8FCC38" w14:textId="77777777" w:rsidR="003855A7" w:rsidRPr="00FF1C3E" w:rsidRDefault="003855A7" w:rsidP="00DC24D2">
      <w:pPr>
        <w:pStyle w:val="NumPar1"/>
        <w:tabs>
          <w:tab w:val="clear" w:pos="850"/>
          <w:tab w:val="num" w:pos="567"/>
        </w:tabs>
        <w:ind w:left="567" w:hanging="567"/>
        <w:rPr>
          <w:noProof/>
          <w:u w:val="single"/>
        </w:rPr>
      </w:pPr>
      <w:bookmarkStart w:id="17" w:name="_Hlk63947778"/>
      <w:r w:rsidRPr="00FF1C3E">
        <w:rPr>
          <w:noProof/>
          <w:u w:val="single"/>
        </w:rPr>
        <w:t>Vervoer</w:t>
      </w:r>
    </w:p>
    <w:bookmarkEnd w:id="17"/>
    <w:p w14:paraId="2A9A607A" w14:textId="77777777" w:rsidR="003855A7" w:rsidRPr="00FF1C3E" w:rsidRDefault="003855A7" w:rsidP="003855A7">
      <w:pPr>
        <w:spacing w:line="276" w:lineRule="auto"/>
        <w:rPr>
          <w:rFonts w:eastAsia="Times New Roman"/>
          <w:noProof/>
          <w:szCs w:val="24"/>
        </w:rPr>
      </w:pPr>
      <w:r w:rsidRPr="00FF1C3E">
        <w:rPr>
          <w:noProof/>
        </w:rPr>
        <w:t>De partijen werken samen om de verdere uitvoering van de EU-wetgeving die is opgenomen in de bijlagen bij de associatieovereenkomst te waarborgen en de Republiek Moldavië te ondersteunen met de nadruk op connectiviteit, verkeersveiligheid en duurzame vervoerssystemen. Deze samenwerking omvat onderstaande werkzaamheden:</w:t>
      </w:r>
    </w:p>
    <w:p w14:paraId="7F7403E1" w14:textId="77777777" w:rsidR="003855A7" w:rsidRPr="00FF1C3E" w:rsidRDefault="003855A7" w:rsidP="003855A7">
      <w:pPr>
        <w:spacing w:after="0"/>
        <w:rPr>
          <w:rFonts w:eastAsia="Times New Roman"/>
          <w:i/>
          <w:noProof/>
          <w:szCs w:val="24"/>
        </w:rPr>
      </w:pPr>
      <w:r w:rsidRPr="00FF1C3E">
        <w:rPr>
          <w:i/>
          <w:noProof/>
          <w:szCs w:val="24"/>
        </w:rPr>
        <w:t>– op het gebied van connectiviteit:</w:t>
      </w:r>
    </w:p>
    <w:p w14:paraId="20C5CD98" w14:textId="77777777" w:rsidR="003855A7" w:rsidRPr="00FF1C3E" w:rsidRDefault="003855A7" w:rsidP="00AC1CAF">
      <w:pPr>
        <w:pStyle w:val="Bullet0"/>
        <w:numPr>
          <w:ilvl w:val="0"/>
          <w:numId w:val="77"/>
        </w:numPr>
        <w:ind w:hanging="283"/>
        <w:rPr>
          <w:noProof/>
        </w:rPr>
      </w:pPr>
      <w:r w:rsidRPr="00FF1C3E">
        <w:rPr>
          <w:noProof/>
        </w:rPr>
        <w:t xml:space="preserve">uitvoeren van de bepalingen van de gemeenschappelijke luchtvaartovereenkomst tussen de EU en de Republiek Moldavië, die het potentieel heeft het toerisme en dus de economische ontwikkeling van het land te stimuleren; </w:t>
      </w:r>
    </w:p>
    <w:p w14:paraId="5F6D07A0" w14:textId="77777777" w:rsidR="003855A7" w:rsidRPr="00FF1C3E" w:rsidRDefault="003855A7" w:rsidP="00AC1CAF">
      <w:pPr>
        <w:pStyle w:val="Bullet0"/>
        <w:numPr>
          <w:ilvl w:val="0"/>
          <w:numId w:val="77"/>
        </w:numPr>
        <w:ind w:hanging="283"/>
        <w:rPr>
          <w:noProof/>
        </w:rPr>
      </w:pPr>
      <w:r w:rsidRPr="00FF1C3E">
        <w:rPr>
          <w:noProof/>
        </w:rPr>
        <w:t>samenwerken met de Republiek Moldavië bij de ontwikkeling en uitvoering van een nieuw nationaal beleidsdocument inzake vervoer (mobiliteit), met inbegrip van een nationaal document inzake maritiem beleid;</w:t>
      </w:r>
    </w:p>
    <w:p w14:paraId="74CA62EF" w14:textId="77777777" w:rsidR="003855A7" w:rsidRPr="00FF1C3E" w:rsidRDefault="003855A7" w:rsidP="00AC1CAF">
      <w:pPr>
        <w:pStyle w:val="Bullet0"/>
        <w:numPr>
          <w:ilvl w:val="0"/>
          <w:numId w:val="77"/>
        </w:numPr>
        <w:ind w:hanging="283"/>
        <w:rPr>
          <w:noProof/>
          <w:szCs w:val="24"/>
        </w:rPr>
      </w:pPr>
      <w:r w:rsidRPr="00FF1C3E">
        <w:rPr>
          <w:noProof/>
        </w:rPr>
        <w:t>aanscherpen van de normen inzake veiligheid, beveiliging en het mariene milieu, wat zou leiden tot betere prestaties van de Republiek Moldavië als vlaggenstaat in het kader van het memorandum van overeenstemming van Parijs inzake havenstaatcontrole;</w:t>
      </w:r>
    </w:p>
    <w:p w14:paraId="1342548D" w14:textId="77777777" w:rsidR="003855A7" w:rsidRPr="00FF1C3E" w:rsidRDefault="003855A7" w:rsidP="00AC1CAF">
      <w:pPr>
        <w:pStyle w:val="Bullet0"/>
        <w:numPr>
          <w:ilvl w:val="0"/>
          <w:numId w:val="77"/>
        </w:numPr>
        <w:ind w:hanging="283"/>
        <w:rPr>
          <w:noProof/>
        </w:rPr>
      </w:pPr>
      <w:r w:rsidRPr="00FF1C3E">
        <w:rPr>
          <w:noProof/>
        </w:rPr>
        <w:t>samenwerken met de Republiek Moldavië bij de hervorming van de binnenvaartsector, onder meer door middel van capaciteitsopbouw en institutionele opbouw;</w:t>
      </w:r>
    </w:p>
    <w:p w14:paraId="72B26416" w14:textId="77777777" w:rsidR="003855A7" w:rsidRPr="00FF1C3E" w:rsidRDefault="003855A7" w:rsidP="00AC1CAF">
      <w:pPr>
        <w:pStyle w:val="Bullet0"/>
        <w:numPr>
          <w:ilvl w:val="0"/>
          <w:numId w:val="77"/>
        </w:numPr>
        <w:ind w:hanging="283"/>
        <w:rPr>
          <w:noProof/>
        </w:rPr>
      </w:pPr>
      <w:r w:rsidRPr="00FF1C3E">
        <w:rPr>
          <w:noProof/>
        </w:rPr>
        <w:t xml:space="preserve">uitvoeren van infrastructuurprojecten die zijn vastgesteld door de uitbreiding van het indicatieve TEN-T-kernnetwerk en zijn opgenomen in het indicatieve TEN-T-investeringsactieplan van de Commissie van januari 2019; de uitvoering van prioritaire projecten die in het actieplan zijn vastgesteld, moet uitmonden in de voltooiing van het indicatieve TEN-T-kernnetwerk tegen 2030, wat moet leiden tot betere, efficiëntere en veiligere vervoersverbindingen tussen de EU en de Republiek Moldavië; overwegen van de verdere ontwikkeling van de brugfunctie van het Zwarte-Zeebekken op het gebied van connectiviteit;  </w:t>
      </w:r>
    </w:p>
    <w:p w14:paraId="40B6890B" w14:textId="77777777" w:rsidR="003855A7" w:rsidRPr="00FF1C3E" w:rsidRDefault="003855A7" w:rsidP="003855A7">
      <w:pPr>
        <w:spacing w:before="280" w:after="0"/>
        <w:rPr>
          <w:rFonts w:eastAsia="Times New Roman"/>
          <w:i/>
          <w:noProof/>
          <w:szCs w:val="24"/>
        </w:rPr>
      </w:pPr>
      <w:r w:rsidRPr="00FF1C3E">
        <w:rPr>
          <w:i/>
          <w:noProof/>
          <w:szCs w:val="24"/>
        </w:rPr>
        <w:t>– op het gebied van verkeersveiligheid:</w:t>
      </w:r>
    </w:p>
    <w:p w14:paraId="35B437F3" w14:textId="77777777" w:rsidR="003855A7" w:rsidRPr="00FF1C3E" w:rsidRDefault="003855A7" w:rsidP="00AC1CAF">
      <w:pPr>
        <w:pStyle w:val="Bullet0"/>
        <w:numPr>
          <w:ilvl w:val="0"/>
          <w:numId w:val="78"/>
        </w:numPr>
        <w:ind w:hanging="283"/>
        <w:rPr>
          <w:noProof/>
        </w:rPr>
      </w:pPr>
      <w:r w:rsidRPr="00FF1C3E">
        <w:rPr>
          <w:noProof/>
        </w:rPr>
        <w:t xml:space="preserve">verbeteren van het huidige systeem voor de verzameling van verkeersveiligheidsgegevens van de Republiek Moldavië door de ontwikkeling van een nationale verkeersveiligheidsdatabank die kan dienen als basis voor een meer op maat gesneden verkeersveiligheidsbeleid (documenten inzake verkeersveiligheidsbeleid en planning van de uitvoering); </w:t>
      </w:r>
    </w:p>
    <w:p w14:paraId="5DD32DA8" w14:textId="77777777" w:rsidR="003855A7" w:rsidRPr="00FF1C3E" w:rsidRDefault="003855A7" w:rsidP="003855A7">
      <w:pPr>
        <w:spacing w:before="280" w:after="0"/>
        <w:rPr>
          <w:rFonts w:eastAsia="Times New Roman"/>
          <w:i/>
          <w:noProof/>
          <w:szCs w:val="24"/>
        </w:rPr>
      </w:pPr>
      <w:r w:rsidRPr="00FF1C3E">
        <w:rPr>
          <w:i/>
          <w:noProof/>
          <w:szCs w:val="24"/>
        </w:rPr>
        <w:t>– op het gebied van duurzame vervoerssystemen:</w:t>
      </w:r>
    </w:p>
    <w:p w14:paraId="098B71B5" w14:textId="77777777" w:rsidR="003855A7" w:rsidRPr="00FF1C3E" w:rsidRDefault="003855A7" w:rsidP="00AC1CAF">
      <w:pPr>
        <w:pStyle w:val="Bullet0"/>
        <w:numPr>
          <w:ilvl w:val="0"/>
          <w:numId w:val="79"/>
        </w:numPr>
        <w:ind w:hanging="283"/>
        <w:rPr>
          <w:noProof/>
        </w:rPr>
      </w:pPr>
      <w:r w:rsidRPr="00FF1C3E">
        <w:rPr>
          <w:noProof/>
        </w:rPr>
        <w:t xml:space="preserve">hervormen van de spoorwegsector met het oog op concurrerende, betrouwbare en veilige spoorwegdiensten die kunnen bijdragen tot een verschuiving van het goederenvervoer over de weg naar het spoor en aldus bijdragen tot een duurzamere vervoerssector; </w:t>
      </w:r>
    </w:p>
    <w:p w14:paraId="4595E0E7" w14:textId="77777777" w:rsidR="003855A7" w:rsidRPr="00FF1C3E" w:rsidRDefault="003855A7" w:rsidP="00AC1CAF">
      <w:pPr>
        <w:pStyle w:val="Bullet0"/>
        <w:numPr>
          <w:ilvl w:val="0"/>
          <w:numId w:val="79"/>
        </w:numPr>
        <w:ind w:hanging="283"/>
        <w:rPr>
          <w:noProof/>
        </w:rPr>
      </w:pPr>
      <w:r w:rsidRPr="00FF1C3E">
        <w:rPr>
          <w:noProof/>
        </w:rPr>
        <w:t xml:space="preserve">verbeteren van de stedelijke mobiliteit met het oog op het koolstofvrij maken van de vervoerssector en het ontwikkelen van nauwere samenwerking op het gebied van duurzame stedelijke mobiliteitsplanning; </w:t>
      </w:r>
    </w:p>
    <w:p w14:paraId="21E1E7F2" w14:textId="77777777" w:rsidR="003855A7" w:rsidRPr="00FF1C3E" w:rsidRDefault="003855A7" w:rsidP="00AC1CAF">
      <w:pPr>
        <w:pStyle w:val="Bullet0"/>
        <w:numPr>
          <w:ilvl w:val="0"/>
          <w:numId w:val="79"/>
        </w:numPr>
        <w:ind w:hanging="283"/>
        <w:rPr>
          <w:noProof/>
        </w:rPr>
      </w:pPr>
      <w:r w:rsidRPr="00FF1C3E">
        <w:rPr>
          <w:noProof/>
        </w:rPr>
        <w:t xml:space="preserve">gezamenlijk uitvoeren van voorlichtingscampagnes om burgers bewust te maken van alternatieve manieren van mobiliteit in steden zoals fietsen en openbaar vervoer, om vervuiling en files te verminderen; </w:t>
      </w:r>
    </w:p>
    <w:p w14:paraId="728BE336" w14:textId="77777777" w:rsidR="003855A7" w:rsidRPr="00FF1C3E" w:rsidRDefault="003855A7" w:rsidP="00AC1CAF">
      <w:pPr>
        <w:pStyle w:val="Bullet0"/>
        <w:numPr>
          <w:ilvl w:val="0"/>
          <w:numId w:val="79"/>
        </w:numPr>
        <w:ind w:hanging="283"/>
        <w:rPr>
          <w:noProof/>
        </w:rPr>
      </w:pPr>
      <w:r w:rsidRPr="00FF1C3E">
        <w:rPr>
          <w:noProof/>
        </w:rPr>
        <w:t>steun verlenen voor het gebruik van energie-efficiënte voertuigen om de vervuiling te verminderen en de milieuprestaties van de vervoerssector te verbeteren;</w:t>
      </w:r>
    </w:p>
    <w:p w14:paraId="7B988693" w14:textId="388A1EDC" w:rsidR="003855A7" w:rsidRPr="00FF1C3E" w:rsidRDefault="003855A7" w:rsidP="00AC1CAF">
      <w:pPr>
        <w:pStyle w:val="Bullet0"/>
        <w:numPr>
          <w:ilvl w:val="0"/>
          <w:numId w:val="79"/>
        </w:numPr>
        <w:ind w:hanging="283"/>
        <w:rPr>
          <w:noProof/>
        </w:rPr>
      </w:pPr>
      <w:r w:rsidRPr="00FF1C3E">
        <w:rPr>
          <w:noProof/>
          <w:shd w:val="clear" w:color="auto" w:fill="FFFFFF"/>
        </w:rPr>
        <w:t>de EU-lidstaten uitnodigen om de markt voor het wegtransport stapsgewijs open te stellen op basis van de door de Republiek Moldavië geboekte vooruitgang bij het omzetten van het desbetreffende acquis van de EU.</w:t>
      </w:r>
    </w:p>
    <w:p w14:paraId="25CEB1EB" w14:textId="77777777" w:rsidR="00DC24D2" w:rsidRPr="00FF1C3E" w:rsidRDefault="00DC24D2" w:rsidP="00DC24D2">
      <w:pPr>
        <w:rPr>
          <w:noProof/>
        </w:rPr>
      </w:pPr>
    </w:p>
    <w:p w14:paraId="256FAE43"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 xml:space="preserve">Toerisme </w:t>
      </w:r>
    </w:p>
    <w:p w14:paraId="487D19BB" w14:textId="3E2B329A" w:rsidR="003855A7" w:rsidRPr="00FF1C3E" w:rsidRDefault="003855A7" w:rsidP="003855A7">
      <w:pPr>
        <w:spacing w:line="276" w:lineRule="auto"/>
        <w:rPr>
          <w:rFonts w:eastAsia="Times New Roman"/>
          <w:noProof/>
          <w:szCs w:val="24"/>
        </w:rPr>
      </w:pPr>
      <w:r w:rsidRPr="00FF1C3E">
        <w:rPr>
          <w:noProof/>
        </w:rPr>
        <w:t>De partijen werken samen om de ontwikkeling van een concurrerende en duurzame toeristische sector te versterken, om economische groei en werkgelegenheid te genereren.</w:t>
      </w:r>
    </w:p>
    <w:p w14:paraId="1A410F78" w14:textId="77777777" w:rsidR="00DC24D2" w:rsidRPr="00FF1C3E" w:rsidRDefault="00DC24D2" w:rsidP="003855A7">
      <w:pPr>
        <w:spacing w:line="276" w:lineRule="auto"/>
        <w:rPr>
          <w:rFonts w:eastAsia="Times New Roman"/>
          <w:noProof/>
          <w:szCs w:val="24"/>
        </w:rPr>
      </w:pPr>
    </w:p>
    <w:p w14:paraId="0250E92A" w14:textId="77777777" w:rsidR="003855A7" w:rsidRPr="00FF1C3E" w:rsidRDefault="003855A7" w:rsidP="00DC24D2">
      <w:pPr>
        <w:pStyle w:val="NumPar1"/>
        <w:tabs>
          <w:tab w:val="clear" w:pos="850"/>
          <w:tab w:val="num" w:pos="567"/>
        </w:tabs>
        <w:ind w:left="567" w:hanging="567"/>
        <w:rPr>
          <w:noProof/>
          <w:u w:val="single"/>
        </w:rPr>
      </w:pPr>
      <w:bookmarkStart w:id="18" w:name="_Hlk61347077"/>
      <w:r w:rsidRPr="00FF1C3E">
        <w:rPr>
          <w:noProof/>
          <w:u w:val="single"/>
        </w:rPr>
        <w:t>Regionale ontwikkeling</w:t>
      </w:r>
    </w:p>
    <w:bookmarkEnd w:id="18"/>
    <w:p w14:paraId="750D95A5" w14:textId="77777777" w:rsidR="003855A7" w:rsidRPr="00FF1C3E" w:rsidRDefault="003855A7" w:rsidP="003855A7">
      <w:pPr>
        <w:spacing w:line="276" w:lineRule="auto"/>
        <w:rPr>
          <w:noProof/>
        </w:rPr>
      </w:pPr>
      <w:r w:rsidRPr="00FF1C3E">
        <w:rPr>
          <w:noProof/>
        </w:rPr>
        <w:t>De partijen werken samen voor regionale ontwikkeling in de Republiek Moldavië en streven naar economische, sociale en territoriale cohesie met de EU. Bijzondere aandacht gaat uit naar het vergroten van het concurrentievermogen en de duurzame ontwikkeling van de regio’s, het verkleinen van de ongelijkheden en het verbeteren van de levenskwaliteit van de burgers, het gebruik van samenwerkingsmogelijkheden en de focus op de ontwikkeling en uitvoering van de strategie voor slimme specialisatie, de uitvoering van de macroregionale strategie van de EU voor het Donaugebied en de samenwerking in transnationale en grensoverschrijdende programma’s van de EU met de lidstaten.</w:t>
      </w:r>
    </w:p>
    <w:p w14:paraId="2532CD49" w14:textId="77777777" w:rsidR="003855A7" w:rsidRPr="00FF1C3E" w:rsidRDefault="003855A7" w:rsidP="003855A7">
      <w:pPr>
        <w:spacing w:after="0"/>
        <w:rPr>
          <w:rFonts w:eastAsia="Times New Roman"/>
          <w:noProof/>
          <w:szCs w:val="24"/>
        </w:rPr>
      </w:pPr>
      <w:r w:rsidRPr="00FF1C3E">
        <w:rPr>
          <w:noProof/>
        </w:rPr>
        <w:t>De samenwerking tussen de partijen heeft betrekking op de volgende punten:</w:t>
      </w:r>
    </w:p>
    <w:p w14:paraId="28FA3B1E" w14:textId="77777777" w:rsidR="003855A7" w:rsidRPr="00FF1C3E" w:rsidRDefault="003855A7" w:rsidP="003855A7">
      <w:pPr>
        <w:pBdr>
          <w:top w:val="nil"/>
          <w:left w:val="nil"/>
          <w:bottom w:val="nil"/>
          <w:right w:val="nil"/>
          <w:between w:val="nil"/>
        </w:pBdr>
        <w:spacing w:after="0"/>
        <w:rPr>
          <w:rFonts w:eastAsia="Times New Roman"/>
          <w:noProof/>
          <w:szCs w:val="24"/>
        </w:rPr>
      </w:pPr>
      <w:r w:rsidRPr="00FF1C3E">
        <w:rPr>
          <w:i/>
          <w:noProof/>
          <w:color w:val="000000"/>
        </w:rPr>
        <w:t>– binnen drie tot vier jaar:</w:t>
      </w:r>
      <w:r w:rsidRPr="00FF1C3E">
        <w:rPr>
          <w:noProof/>
        </w:rPr>
        <w:tab/>
      </w:r>
    </w:p>
    <w:p w14:paraId="22BAC052" w14:textId="77777777" w:rsidR="003855A7" w:rsidRPr="00FF1C3E" w:rsidRDefault="003855A7" w:rsidP="00AC1CAF">
      <w:pPr>
        <w:pStyle w:val="Bullet0"/>
        <w:numPr>
          <w:ilvl w:val="0"/>
          <w:numId w:val="80"/>
        </w:numPr>
        <w:ind w:hanging="283"/>
        <w:rPr>
          <w:noProof/>
        </w:rPr>
      </w:pPr>
      <w:r w:rsidRPr="00FF1C3E">
        <w:rPr>
          <w:noProof/>
        </w:rPr>
        <w:t>verder bevorderen van de deelname van de Republiek Moldavië aan de EU-strategie voor het Donaugebied, teneinde profijt te trekken van de uitwisseling van ervaringen en beste praktijken met deelnemende regio’s uit de lidstaten van de EU;</w:t>
      </w:r>
    </w:p>
    <w:p w14:paraId="7170DC22" w14:textId="77777777" w:rsidR="003855A7" w:rsidRPr="00FF1C3E" w:rsidRDefault="003855A7" w:rsidP="00AC1CAF">
      <w:pPr>
        <w:pStyle w:val="Bullet0"/>
        <w:numPr>
          <w:ilvl w:val="0"/>
          <w:numId w:val="80"/>
        </w:numPr>
        <w:ind w:hanging="283"/>
        <w:rPr>
          <w:noProof/>
        </w:rPr>
      </w:pPr>
      <w:r w:rsidRPr="00FF1C3E">
        <w:rPr>
          <w:noProof/>
        </w:rPr>
        <w:t>opbouwen van voldoende capaciteit op nationaal/regionaal/lokaal niveau om deel te nemen aan alle programma’s voor grensoverschrijdende samenwerking;</w:t>
      </w:r>
    </w:p>
    <w:p w14:paraId="11B9F619" w14:textId="77777777" w:rsidR="003855A7" w:rsidRPr="00FF1C3E" w:rsidRDefault="003855A7" w:rsidP="00AC1CAF">
      <w:pPr>
        <w:pStyle w:val="Bullet0"/>
        <w:numPr>
          <w:ilvl w:val="0"/>
          <w:numId w:val="80"/>
        </w:numPr>
        <w:ind w:hanging="283"/>
        <w:rPr>
          <w:noProof/>
        </w:rPr>
      </w:pPr>
      <w:r w:rsidRPr="00FF1C3E">
        <w:rPr>
          <w:noProof/>
        </w:rPr>
        <w:t>proactief deelnemen aan de ontwikkeling van de NEXT-programma’s van Interreg voor grensoverschrijdende samenwerking 2021-2027 (Roemenië/Republiek Moldavië en het Zwarte-Zeebekken) en het Donau-programma van Interreg 2021-2027, met inbegrip van het versterken van de capaciteit van de nodige beheers- en controlestructuren;</w:t>
      </w:r>
    </w:p>
    <w:p w14:paraId="2622C65F" w14:textId="77777777" w:rsidR="003855A7" w:rsidRPr="00FF1C3E" w:rsidRDefault="003855A7" w:rsidP="00AC1CAF">
      <w:pPr>
        <w:pStyle w:val="Bullet0"/>
        <w:numPr>
          <w:ilvl w:val="0"/>
          <w:numId w:val="80"/>
        </w:numPr>
        <w:ind w:hanging="283"/>
        <w:rPr>
          <w:noProof/>
        </w:rPr>
      </w:pPr>
      <w:r w:rsidRPr="00FF1C3E">
        <w:rPr>
          <w:noProof/>
        </w:rPr>
        <w:t>doorgaan met de uitvoering van ENI-programma’s voor grensoverschrijdende samenwerking 2014-2020 en de komende programma’s voor grensoverschrijdende samenwerking 2021-2027 (gezamenlijk operationeel programma Roemenië/Republiek Moldavië en gezamenlijk operationeel programma Zwarte Zee) en het Interreg V-B-programma voor transnationale samenwerking in het Donaugebied;</w:t>
      </w:r>
    </w:p>
    <w:p w14:paraId="1F20E136" w14:textId="77777777" w:rsidR="003855A7" w:rsidRPr="00FF1C3E" w:rsidRDefault="003855A7" w:rsidP="00AC1CAF">
      <w:pPr>
        <w:pStyle w:val="Bullet0"/>
        <w:numPr>
          <w:ilvl w:val="0"/>
          <w:numId w:val="80"/>
        </w:numPr>
        <w:ind w:hanging="283"/>
        <w:rPr>
          <w:noProof/>
        </w:rPr>
      </w:pPr>
      <w:r w:rsidRPr="00FF1C3E">
        <w:rPr>
          <w:noProof/>
        </w:rPr>
        <w:t>voortzetten van de werkzaamheden inzake de strategie voor slimme specialisatie (S3) en voltooien van het ontdekkingsproces voor ondernemerschap in 2020; toepassen van S3 op beleidsterreinen die relevant zijn voor het vaststellen van investeringsbesluiten voor onderzoek en innovatie; voorts investeren in capaciteitsopbouw en het beheer van de strategie, met name door de instelling van een interministerieel coördinatiemechanisme en een degelijk uitvoeringskader;</w:t>
      </w:r>
    </w:p>
    <w:p w14:paraId="4B6C9F05" w14:textId="691C9769" w:rsidR="003855A7" w:rsidRPr="00FF1C3E" w:rsidRDefault="003855A7" w:rsidP="003855A7">
      <w:pPr>
        <w:pBdr>
          <w:top w:val="nil"/>
          <w:left w:val="nil"/>
          <w:bottom w:val="nil"/>
          <w:right w:val="nil"/>
          <w:between w:val="nil"/>
        </w:pBdr>
        <w:spacing w:after="0"/>
        <w:rPr>
          <w:i/>
          <w:noProof/>
          <w:color w:val="000000"/>
        </w:rPr>
      </w:pPr>
      <w:r w:rsidRPr="00FF1C3E">
        <w:rPr>
          <w:i/>
          <w:noProof/>
          <w:color w:val="000000"/>
        </w:rPr>
        <w:t>– binnen zeven jaar</w:t>
      </w:r>
      <w:r w:rsidR="002E12B8" w:rsidRPr="00FF1C3E">
        <w:rPr>
          <w:i/>
          <w:noProof/>
          <w:color w:val="000000"/>
        </w:rPr>
        <w:t>:</w:t>
      </w:r>
    </w:p>
    <w:p w14:paraId="211D6AD2" w14:textId="77777777" w:rsidR="003855A7" w:rsidRPr="00FF1C3E" w:rsidRDefault="003855A7" w:rsidP="00AC1CAF">
      <w:pPr>
        <w:pStyle w:val="Bullet0"/>
        <w:numPr>
          <w:ilvl w:val="0"/>
          <w:numId w:val="81"/>
        </w:numPr>
        <w:ind w:hanging="283"/>
        <w:rPr>
          <w:noProof/>
        </w:rPr>
      </w:pPr>
      <w:r w:rsidRPr="00FF1C3E">
        <w:rPr>
          <w:noProof/>
        </w:rPr>
        <w:t>uitwerken van een nieuw beleidsdocument voor regionale ontwikkeling op het gehele grondgebied van het land om een evenwichtigere groei van het land als geheel te ondersteunen;</w:t>
      </w:r>
    </w:p>
    <w:p w14:paraId="0097B244" w14:textId="77777777" w:rsidR="003855A7" w:rsidRPr="00FF1C3E" w:rsidRDefault="003855A7" w:rsidP="00AC1CAF">
      <w:pPr>
        <w:pStyle w:val="Bullet0"/>
        <w:numPr>
          <w:ilvl w:val="0"/>
          <w:numId w:val="81"/>
        </w:numPr>
        <w:ind w:hanging="283"/>
        <w:rPr>
          <w:noProof/>
        </w:rPr>
      </w:pPr>
      <w:r w:rsidRPr="00FF1C3E">
        <w:rPr>
          <w:noProof/>
        </w:rPr>
        <w:t xml:space="preserve">benutten van de mogelijkheden van de S3-prioriteiten bij de verwezenlijking van de nationale doelstellingen van het beleid ter ondersteuning van stedelijke ontwikkeling, ondernemerschap, menselijk kapitaal, ontwikkeling van nieuwe vaardigheden, steun voor innovatie (ondernemerschap), onderzoek en ontwikkeling, economisch en industriebeleid, om aan te sluiten op de praktijk in de EU-lidstaten; S3-prioriteiten zijn empirisch onderbouwd en komen voort uit een participatief proces dat wordt begeleid door de door het desbetreffende Gemeenschappelijk Centrum voor onderzoek van de Commissie); toepassen van de S3-prioriteiten op relevante beleidsterreinen, met name in het nationale regionale beleid, in het onderzoeks- en innovatiebeleid en in het bijzonder bij de programmering van fondsen van het NDICI – Europa in de wereld; toezicht houden op de toepassing van de strategie en regelmatig herzien van het ontdekkingsproces voor ondernemerschap; samenwerken met de betrokken EU-lidstaten en partners van het Oostelijk Partnerschap op het gebied van S3-prioriteiten, teneinde de ontwikkeling en modernisering van handels- en transnationale waardeketens te bevorderen; aansluiten bij het S3-platform om de ervaring te consolideren en te verdiepen; </w:t>
      </w:r>
    </w:p>
    <w:p w14:paraId="569E821D" w14:textId="77777777" w:rsidR="003855A7" w:rsidRPr="00FF1C3E" w:rsidRDefault="003855A7" w:rsidP="00AC1CAF">
      <w:pPr>
        <w:pStyle w:val="Bullet0"/>
        <w:numPr>
          <w:ilvl w:val="0"/>
          <w:numId w:val="81"/>
        </w:numPr>
        <w:ind w:hanging="283"/>
        <w:rPr>
          <w:noProof/>
        </w:rPr>
      </w:pPr>
      <w:r w:rsidRPr="00FF1C3E">
        <w:rPr>
          <w:noProof/>
        </w:rPr>
        <w:t>samenwerken om de voorwaarden te scheppen voor basisinfrastructuur om het niveau van particuliere investeringen in de economie te verhogen en om ondernemerschap op regionaal niveau te ontwikkelen;</w:t>
      </w:r>
    </w:p>
    <w:p w14:paraId="19F28135" w14:textId="77777777" w:rsidR="003855A7" w:rsidRPr="00FF1C3E" w:rsidRDefault="003855A7" w:rsidP="00AC1CAF">
      <w:pPr>
        <w:pStyle w:val="Bullet0"/>
        <w:numPr>
          <w:ilvl w:val="0"/>
          <w:numId w:val="81"/>
        </w:numPr>
        <w:ind w:hanging="283"/>
        <w:rPr>
          <w:noProof/>
        </w:rPr>
      </w:pPr>
      <w:r w:rsidRPr="00FF1C3E">
        <w:rPr>
          <w:noProof/>
        </w:rPr>
        <w:t>tot stand brengen van volledige governance die ervoor zorgt dat S3 wordt toegepast als basis voor het vaststellen van investeringsbesluiten in onderzoek en innovatie, teneinde het innovatiepotentieel van regio’s en van het hele land te vergroten; regelmatig evalueren van de strategie voor slimme specialisatie en de uitvoering ervan; ten minste om de vijf jaar actualiseren van de strategie, of eerder wanneer de omstandigheden dit vereisen;</w:t>
      </w:r>
    </w:p>
    <w:p w14:paraId="07539810" w14:textId="77777777" w:rsidR="003855A7" w:rsidRPr="00FF1C3E" w:rsidRDefault="003855A7" w:rsidP="00AC1CAF">
      <w:pPr>
        <w:pStyle w:val="Bullet0"/>
        <w:numPr>
          <w:ilvl w:val="0"/>
          <w:numId w:val="81"/>
        </w:numPr>
        <w:ind w:hanging="283"/>
        <w:rPr>
          <w:noProof/>
        </w:rPr>
      </w:pPr>
      <w:r w:rsidRPr="00FF1C3E">
        <w:rPr>
          <w:noProof/>
        </w:rPr>
        <w:t xml:space="preserve">vergroten van de betrokkenheid van belanghebbenden en het maatschappelijk middenveld bij de besluitvorming door de Europese gedragscode inzake partnerschap toe te passen en consolideren van het partnerschap tussen alle betrokkenen; </w:t>
      </w:r>
    </w:p>
    <w:p w14:paraId="2CFD4E11" w14:textId="6F163D1C" w:rsidR="003855A7" w:rsidRPr="00FF1C3E" w:rsidRDefault="003855A7" w:rsidP="00AC1CAF">
      <w:pPr>
        <w:pStyle w:val="Bullet0"/>
        <w:numPr>
          <w:ilvl w:val="0"/>
          <w:numId w:val="81"/>
        </w:numPr>
        <w:ind w:hanging="283"/>
        <w:rPr>
          <w:noProof/>
        </w:rPr>
      </w:pPr>
      <w:r w:rsidRPr="00FF1C3E">
        <w:rPr>
          <w:noProof/>
        </w:rPr>
        <w:t>versterken van de institutionele en operationele capaciteit van de nationale, regionale en lokale instellingen op het gebied van regionale ontwikkeling, inclusief werkzaamheden met betrekking tot de ontwikkeling van een doeltreffend systeem van meerlagig bestuur en een duidelijke taakverdeling.</w:t>
      </w:r>
    </w:p>
    <w:p w14:paraId="43335741" w14:textId="77777777" w:rsidR="00DC24D2" w:rsidRPr="00FF1C3E" w:rsidRDefault="00DC24D2" w:rsidP="00DC24D2">
      <w:pPr>
        <w:rPr>
          <w:noProof/>
        </w:rPr>
      </w:pPr>
    </w:p>
    <w:p w14:paraId="0CA8BB1E"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Civiele bescherming</w:t>
      </w:r>
    </w:p>
    <w:p w14:paraId="401F38AD" w14:textId="77777777" w:rsidR="003855A7" w:rsidRPr="00FF1C3E" w:rsidRDefault="003855A7" w:rsidP="003855A7">
      <w:pPr>
        <w:spacing w:line="276" w:lineRule="auto"/>
        <w:rPr>
          <w:rFonts w:eastAsia="Times New Roman"/>
          <w:noProof/>
          <w:szCs w:val="24"/>
        </w:rPr>
      </w:pPr>
      <w:r w:rsidRPr="00FF1C3E">
        <w:rPr>
          <w:noProof/>
        </w:rPr>
        <w:t>De partijen werken samen om de samenwerking tussen de EU en de Republiek Moldavië op het gebied van preventie van, paraatheid voor en reactie op rampen te versterken aan de hand van de onderstaande punten:</w:t>
      </w:r>
    </w:p>
    <w:p w14:paraId="08CE2955" w14:textId="77777777" w:rsidR="003855A7" w:rsidRPr="00FF1C3E" w:rsidRDefault="003855A7" w:rsidP="003855A7">
      <w:pPr>
        <w:spacing w:after="0"/>
        <w:rPr>
          <w:rFonts w:eastAsia="Times New Roman"/>
          <w:i/>
          <w:noProof/>
          <w:szCs w:val="24"/>
        </w:rPr>
      </w:pPr>
      <w:r w:rsidRPr="00FF1C3E">
        <w:rPr>
          <w:i/>
          <w:noProof/>
          <w:szCs w:val="24"/>
        </w:rPr>
        <w:t xml:space="preserve">preventie: </w:t>
      </w:r>
    </w:p>
    <w:p w14:paraId="6814453E" w14:textId="77777777" w:rsidR="003855A7" w:rsidRPr="00FF1C3E" w:rsidRDefault="003855A7" w:rsidP="00AC1CAF">
      <w:pPr>
        <w:pStyle w:val="Bullet0"/>
        <w:numPr>
          <w:ilvl w:val="0"/>
          <w:numId w:val="82"/>
        </w:numPr>
        <w:ind w:hanging="283"/>
        <w:rPr>
          <w:noProof/>
        </w:rPr>
      </w:pPr>
      <w:r w:rsidRPr="00FF1C3E">
        <w:rPr>
          <w:noProof/>
        </w:rPr>
        <w:t>versterken van een multirisico-, multistakeholder- en geïntegreerde aanpak van risicobeheer in verband met rampen;</w:t>
      </w:r>
    </w:p>
    <w:p w14:paraId="6CB15188" w14:textId="77777777" w:rsidR="003855A7" w:rsidRPr="00FF1C3E" w:rsidRDefault="003855A7" w:rsidP="00AC1CAF">
      <w:pPr>
        <w:pStyle w:val="Bullet0"/>
        <w:numPr>
          <w:ilvl w:val="0"/>
          <w:numId w:val="82"/>
        </w:numPr>
        <w:ind w:hanging="283"/>
        <w:rPr>
          <w:noProof/>
        </w:rPr>
      </w:pPr>
      <w:r w:rsidRPr="00FF1C3E">
        <w:rPr>
          <w:noProof/>
        </w:rPr>
        <w:t>versterken van het verband tussen rampenrisicovermindering en klimaatbestendigheid en aanpassing aan klimaatverandering;</w:t>
      </w:r>
    </w:p>
    <w:p w14:paraId="6991D1D4" w14:textId="77777777" w:rsidR="003855A7" w:rsidRPr="00FF1C3E" w:rsidRDefault="003855A7" w:rsidP="00AC1CAF">
      <w:pPr>
        <w:pStyle w:val="Bullet0"/>
        <w:numPr>
          <w:ilvl w:val="0"/>
          <w:numId w:val="82"/>
        </w:numPr>
        <w:ind w:hanging="283"/>
        <w:rPr>
          <w:noProof/>
        </w:rPr>
      </w:pPr>
      <w:r w:rsidRPr="00FF1C3E">
        <w:rPr>
          <w:noProof/>
        </w:rPr>
        <w:t>versterken van systemen voor multirisico- en multisectorale prognoses en vroegtijdige waarschuwing, alsmede communicatiemechanismen inzake het risico op rampen en noodgevallen;</w:t>
      </w:r>
    </w:p>
    <w:p w14:paraId="1A2BA2EF" w14:textId="77777777" w:rsidR="003855A7" w:rsidRPr="00FF1C3E" w:rsidRDefault="003855A7" w:rsidP="00AC1CAF">
      <w:pPr>
        <w:pStyle w:val="Bullet0"/>
        <w:numPr>
          <w:ilvl w:val="0"/>
          <w:numId w:val="82"/>
        </w:numPr>
        <w:ind w:hanging="283"/>
        <w:rPr>
          <w:noProof/>
        </w:rPr>
      </w:pPr>
      <w:r w:rsidRPr="00FF1C3E">
        <w:rPr>
          <w:noProof/>
        </w:rPr>
        <w:t xml:space="preserve">vergroten van het inzicht in risico’s door het verzamelen en delen van basisgegevens over verlies en schade;  </w:t>
      </w:r>
    </w:p>
    <w:p w14:paraId="17167A67" w14:textId="77777777" w:rsidR="003855A7" w:rsidRPr="00FF1C3E" w:rsidRDefault="003855A7" w:rsidP="003855A7">
      <w:pPr>
        <w:spacing w:before="240" w:after="0"/>
        <w:rPr>
          <w:rFonts w:eastAsia="Times New Roman"/>
          <w:i/>
          <w:noProof/>
          <w:szCs w:val="24"/>
        </w:rPr>
      </w:pPr>
      <w:r w:rsidRPr="00FF1C3E">
        <w:rPr>
          <w:i/>
          <w:noProof/>
          <w:szCs w:val="24"/>
        </w:rPr>
        <w:t xml:space="preserve">paraatheid: </w:t>
      </w:r>
    </w:p>
    <w:p w14:paraId="54627125" w14:textId="77777777" w:rsidR="003855A7" w:rsidRPr="00FF1C3E" w:rsidRDefault="003855A7" w:rsidP="00AC1CAF">
      <w:pPr>
        <w:pStyle w:val="Bullet0"/>
        <w:numPr>
          <w:ilvl w:val="0"/>
          <w:numId w:val="83"/>
        </w:numPr>
        <w:ind w:hanging="283"/>
        <w:rPr>
          <w:noProof/>
        </w:rPr>
      </w:pPr>
      <w:r w:rsidRPr="00FF1C3E">
        <w:rPr>
          <w:noProof/>
        </w:rPr>
        <w:t>verbeteren van rampenparaatheid voor een doeltreffende respons door de uitwisseling van deskundigheid en beste praktijken, opleidingen, oefeningen en andere initiatieven voor capaciteitsopbouw;</w:t>
      </w:r>
    </w:p>
    <w:p w14:paraId="5F9B8D54" w14:textId="77777777" w:rsidR="003855A7" w:rsidRPr="00FF1C3E" w:rsidRDefault="003855A7" w:rsidP="00AC1CAF">
      <w:pPr>
        <w:pStyle w:val="Bullet0"/>
        <w:numPr>
          <w:ilvl w:val="0"/>
          <w:numId w:val="83"/>
        </w:numPr>
        <w:ind w:hanging="283"/>
        <w:rPr>
          <w:noProof/>
        </w:rPr>
      </w:pPr>
      <w:r w:rsidRPr="00FF1C3E">
        <w:rPr>
          <w:noProof/>
        </w:rPr>
        <w:t>de capaciteitsopbouw afstemmen op capaciteitstekorten;</w:t>
      </w:r>
    </w:p>
    <w:p w14:paraId="6D89B724" w14:textId="77777777" w:rsidR="003855A7" w:rsidRPr="00FF1C3E" w:rsidRDefault="003855A7" w:rsidP="00AC1CAF">
      <w:pPr>
        <w:pStyle w:val="Bullet0"/>
        <w:numPr>
          <w:ilvl w:val="0"/>
          <w:numId w:val="83"/>
        </w:numPr>
        <w:ind w:hanging="283"/>
        <w:rPr>
          <w:noProof/>
        </w:rPr>
      </w:pPr>
      <w:r w:rsidRPr="00FF1C3E">
        <w:rPr>
          <w:noProof/>
        </w:rPr>
        <w:t>ondersteunen van het doeltreffende gebruik van systemen voor vroegtijdige waarschuwing;</w:t>
      </w:r>
    </w:p>
    <w:p w14:paraId="5743C1EF" w14:textId="77777777" w:rsidR="003855A7" w:rsidRPr="00FF1C3E" w:rsidRDefault="003855A7" w:rsidP="00AC1CAF">
      <w:pPr>
        <w:pStyle w:val="Bullet0"/>
        <w:numPr>
          <w:ilvl w:val="0"/>
          <w:numId w:val="83"/>
        </w:numPr>
        <w:ind w:hanging="283"/>
        <w:rPr>
          <w:noProof/>
        </w:rPr>
      </w:pPr>
      <w:r w:rsidRPr="00FF1C3E">
        <w:rPr>
          <w:noProof/>
        </w:rPr>
        <w:t>versterken van de banden tussen de wetenschappelijke gemeenschap en het werkveld, alsook met besluitvormers om kennis- en technologielacunes op het gebied van rampenrisicobeheersing aan te pakken;</w:t>
      </w:r>
    </w:p>
    <w:p w14:paraId="5D73D05A" w14:textId="77777777" w:rsidR="003855A7" w:rsidRPr="00FF1C3E" w:rsidRDefault="003855A7" w:rsidP="00AC1CAF">
      <w:pPr>
        <w:pStyle w:val="Bullet0"/>
        <w:numPr>
          <w:ilvl w:val="0"/>
          <w:numId w:val="83"/>
        </w:numPr>
        <w:ind w:hanging="283"/>
        <w:rPr>
          <w:noProof/>
        </w:rPr>
      </w:pPr>
      <w:r w:rsidRPr="00FF1C3E">
        <w:rPr>
          <w:noProof/>
        </w:rPr>
        <w:t>beter bewust maken van de bevolking omtrent het risico op rampen en de onderliggende risico’s;</w:t>
      </w:r>
    </w:p>
    <w:p w14:paraId="3F0D076E" w14:textId="77777777" w:rsidR="003855A7" w:rsidRPr="00FF1C3E" w:rsidRDefault="003855A7" w:rsidP="003855A7">
      <w:pPr>
        <w:spacing w:before="240" w:after="0"/>
        <w:rPr>
          <w:rFonts w:eastAsia="Times New Roman"/>
          <w:i/>
          <w:noProof/>
          <w:szCs w:val="24"/>
        </w:rPr>
      </w:pPr>
      <w:r w:rsidRPr="00FF1C3E">
        <w:rPr>
          <w:i/>
          <w:noProof/>
          <w:szCs w:val="24"/>
        </w:rPr>
        <w:t xml:space="preserve">respons: </w:t>
      </w:r>
    </w:p>
    <w:p w14:paraId="71E2CEAA" w14:textId="77777777" w:rsidR="003855A7" w:rsidRPr="00FF1C3E" w:rsidRDefault="003855A7" w:rsidP="00AC1CAF">
      <w:pPr>
        <w:pStyle w:val="Bullet0"/>
        <w:numPr>
          <w:ilvl w:val="0"/>
          <w:numId w:val="84"/>
        </w:numPr>
        <w:ind w:hanging="283"/>
        <w:rPr>
          <w:noProof/>
        </w:rPr>
      </w:pPr>
      <w:r w:rsidRPr="00FF1C3E">
        <w:rPr>
          <w:noProof/>
        </w:rPr>
        <w:t>waarborgen van doeltreffende communicatie, 24 uur per dag, inclusief de uitwisseling van vroegtijdige waarschuwingen en informatie over grootschalige noodsituaties waarmee de EU en de Republiek Moldavië worden geconfronteerd, alsook derde landen waarin een van de partijen betrokken is bij de rampenbestrijding;</w:t>
      </w:r>
    </w:p>
    <w:p w14:paraId="251F4971" w14:textId="77777777" w:rsidR="003855A7" w:rsidRPr="00FF1C3E" w:rsidRDefault="003855A7" w:rsidP="00AC1CAF">
      <w:pPr>
        <w:pStyle w:val="Bullet0"/>
        <w:numPr>
          <w:ilvl w:val="0"/>
          <w:numId w:val="84"/>
        </w:numPr>
        <w:ind w:hanging="283"/>
        <w:rPr>
          <w:noProof/>
        </w:rPr>
      </w:pPr>
      <w:r w:rsidRPr="00FF1C3E">
        <w:rPr>
          <w:noProof/>
        </w:rPr>
        <w:t>bevorderen van wederzijdse en regionale bijstand, met name via het Uniemechanisme voor civiele bescherming, in het geval van ernstige noodsituaties, indien gepast en afhankelijk van de beschikbaarheid van afdoende middelen;</w:t>
      </w:r>
    </w:p>
    <w:p w14:paraId="3C514D4A" w14:textId="77777777" w:rsidR="003855A7" w:rsidRPr="00FF1C3E" w:rsidRDefault="003855A7" w:rsidP="00AC1CAF">
      <w:pPr>
        <w:pStyle w:val="Bullet0"/>
        <w:numPr>
          <w:ilvl w:val="0"/>
          <w:numId w:val="84"/>
        </w:numPr>
        <w:ind w:hanging="283"/>
        <w:rPr>
          <w:noProof/>
        </w:rPr>
      </w:pPr>
      <w:r w:rsidRPr="00FF1C3E">
        <w:rPr>
          <w:noProof/>
        </w:rPr>
        <w:t>bevorderen van de uitvoering van de wetgeving inzake door het gastland te leveren steun;</w:t>
      </w:r>
    </w:p>
    <w:p w14:paraId="160EF68A" w14:textId="77777777" w:rsidR="003855A7" w:rsidRPr="00FF1C3E" w:rsidRDefault="003855A7" w:rsidP="00AC1CAF">
      <w:pPr>
        <w:pStyle w:val="Bullet0"/>
        <w:numPr>
          <w:ilvl w:val="0"/>
          <w:numId w:val="84"/>
        </w:numPr>
        <w:ind w:hanging="283"/>
        <w:rPr>
          <w:noProof/>
        </w:rPr>
      </w:pPr>
      <w:r w:rsidRPr="00FF1C3E">
        <w:rPr>
          <w:noProof/>
        </w:rPr>
        <w:t>aanmoedigen van doeltreffende interinstitutionele coördinatie en sectoroverschrijdende koppelingen om internationale bijstand bij rampenbestrijdingsoperaties te vergemakkelijken;</w:t>
      </w:r>
    </w:p>
    <w:p w14:paraId="5714B9C3" w14:textId="6593D1FC" w:rsidR="003855A7" w:rsidRPr="00FF1C3E" w:rsidRDefault="003855A7" w:rsidP="00AC1CAF">
      <w:pPr>
        <w:pStyle w:val="Bullet0"/>
        <w:numPr>
          <w:ilvl w:val="0"/>
          <w:numId w:val="84"/>
        </w:numPr>
        <w:ind w:hanging="283"/>
        <w:rPr>
          <w:noProof/>
        </w:rPr>
      </w:pPr>
      <w:r w:rsidRPr="00FF1C3E">
        <w:rPr>
          <w:noProof/>
        </w:rPr>
        <w:t>verder vergroten van het vermogen om internationale bijstand te ontvangen en te verlenen.</w:t>
      </w:r>
    </w:p>
    <w:p w14:paraId="72EBA1C3" w14:textId="77777777" w:rsidR="00DC24D2" w:rsidRPr="00FF1C3E" w:rsidRDefault="00DC24D2" w:rsidP="00DC24D2">
      <w:pPr>
        <w:rPr>
          <w:noProof/>
        </w:rPr>
      </w:pPr>
    </w:p>
    <w:p w14:paraId="51275F6E" w14:textId="77777777" w:rsidR="003855A7" w:rsidRPr="00FF1C3E" w:rsidRDefault="003855A7" w:rsidP="00DC24D2">
      <w:pPr>
        <w:pStyle w:val="NumPar1"/>
        <w:tabs>
          <w:tab w:val="clear" w:pos="850"/>
          <w:tab w:val="num" w:pos="567"/>
        </w:tabs>
        <w:ind w:left="567" w:hanging="567"/>
        <w:rPr>
          <w:noProof/>
          <w:u w:val="single"/>
        </w:rPr>
      </w:pPr>
      <w:r w:rsidRPr="00FF1C3E">
        <w:rPr>
          <w:noProof/>
          <w:u w:val="single"/>
        </w:rPr>
        <w:t>Onderzoek en innovatie</w:t>
      </w:r>
    </w:p>
    <w:p w14:paraId="6E84E6E2" w14:textId="77777777" w:rsidR="003855A7" w:rsidRPr="00FF1C3E" w:rsidRDefault="003855A7" w:rsidP="003855A7">
      <w:pPr>
        <w:spacing w:after="0"/>
        <w:rPr>
          <w:rFonts w:eastAsia="Times New Roman"/>
          <w:noProof/>
          <w:szCs w:val="24"/>
        </w:rPr>
      </w:pPr>
      <w:r w:rsidRPr="00FF1C3E">
        <w:rPr>
          <w:noProof/>
        </w:rPr>
        <w:t xml:space="preserve">De samenwerking tussen de partijen heeft betrekking op de volgende punten: </w:t>
      </w:r>
    </w:p>
    <w:p w14:paraId="7B9A69D4" w14:textId="77777777" w:rsidR="003855A7" w:rsidRPr="00FF1C3E" w:rsidRDefault="003855A7" w:rsidP="003855A7">
      <w:pPr>
        <w:pBdr>
          <w:top w:val="nil"/>
          <w:left w:val="nil"/>
          <w:bottom w:val="nil"/>
          <w:right w:val="nil"/>
          <w:between w:val="nil"/>
        </w:pBdr>
        <w:spacing w:after="0"/>
        <w:rPr>
          <w:i/>
          <w:noProof/>
          <w:color w:val="000000"/>
        </w:rPr>
      </w:pPr>
      <w:r w:rsidRPr="00FF1C3E">
        <w:rPr>
          <w:i/>
          <w:noProof/>
          <w:color w:val="000000"/>
        </w:rPr>
        <w:t>– binnen drie tot vier jaar:</w:t>
      </w:r>
    </w:p>
    <w:p w14:paraId="6DDAE26C" w14:textId="77777777" w:rsidR="003855A7" w:rsidRPr="00FF1C3E" w:rsidRDefault="003855A7" w:rsidP="00AC1CAF">
      <w:pPr>
        <w:pStyle w:val="Bullet0"/>
        <w:numPr>
          <w:ilvl w:val="0"/>
          <w:numId w:val="85"/>
        </w:numPr>
        <w:ind w:hanging="283"/>
        <w:rPr>
          <w:noProof/>
        </w:rPr>
      </w:pPr>
      <w:r w:rsidRPr="00FF1C3E">
        <w:rPr>
          <w:noProof/>
        </w:rPr>
        <w:t>uitvoeren van de strategische agenda voor onderzoek en innovatie voor het Zwarte Zeegebied, een regionale agenda van de Synergie voor het Zwarte Zeegebied;</w:t>
      </w:r>
    </w:p>
    <w:p w14:paraId="012D458B" w14:textId="77777777" w:rsidR="003855A7" w:rsidRPr="00FF1C3E" w:rsidRDefault="003855A7" w:rsidP="00AC1CAF">
      <w:pPr>
        <w:pStyle w:val="Bullet0"/>
        <w:numPr>
          <w:ilvl w:val="0"/>
          <w:numId w:val="85"/>
        </w:numPr>
        <w:ind w:hanging="283"/>
        <w:rPr>
          <w:noProof/>
        </w:rPr>
      </w:pPr>
      <w:r w:rsidRPr="00FF1C3E">
        <w:rPr>
          <w:noProof/>
        </w:rPr>
        <w:t>verhogen van de financiële middelen voor openbare onderzoeks- en innovatie-entiteiten uit de overheidsbegroting en stimuleren van het aantrekken van particuliere middelen;</w:t>
      </w:r>
    </w:p>
    <w:p w14:paraId="40D1A629" w14:textId="77777777" w:rsidR="003855A7" w:rsidRPr="00FF1C3E" w:rsidRDefault="003855A7" w:rsidP="00AC1CAF">
      <w:pPr>
        <w:pStyle w:val="Bullet0"/>
        <w:numPr>
          <w:ilvl w:val="0"/>
          <w:numId w:val="85"/>
        </w:numPr>
        <w:ind w:hanging="283"/>
        <w:rPr>
          <w:noProof/>
        </w:rPr>
      </w:pPr>
      <w:r w:rsidRPr="00FF1C3E">
        <w:rPr>
          <w:noProof/>
        </w:rPr>
        <w:t>uitvoeren van de institutionele evaluatie van organisaties op het gebied van onderzoek en innovatie zoals bepaald in de code inzake wetenschap en innovatie, gevolgd door concentratie van middelen in uitvoerende organisaties op het gebied van onderzoek en innovatie;</w:t>
      </w:r>
    </w:p>
    <w:p w14:paraId="45E0435E" w14:textId="77777777" w:rsidR="003855A7" w:rsidRPr="00FF1C3E" w:rsidRDefault="003855A7" w:rsidP="00AC1CAF">
      <w:pPr>
        <w:pStyle w:val="Bullet0"/>
        <w:numPr>
          <w:ilvl w:val="0"/>
          <w:numId w:val="85"/>
        </w:numPr>
        <w:ind w:hanging="283"/>
        <w:rPr>
          <w:noProof/>
        </w:rPr>
      </w:pPr>
      <w:r w:rsidRPr="00FF1C3E">
        <w:rPr>
          <w:noProof/>
        </w:rPr>
        <w:t>benutten van het volledige potentieel van het nationale programma voor onderzoek en innovatie voor 2020-2023;</w:t>
      </w:r>
    </w:p>
    <w:p w14:paraId="47855599" w14:textId="77777777" w:rsidR="003855A7" w:rsidRPr="00FF1C3E" w:rsidRDefault="003855A7" w:rsidP="00AC1CAF">
      <w:pPr>
        <w:pStyle w:val="Bullet0"/>
        <w:numPr>
          <w:ilvl w:val="0"/>
          <w:numId w:val="85"/>
        </w:numPr>
        <w:ind w:hanging="283"/>
        <w:rPr>
          <w:noProof/>
        </w:rPr>
      </w:pPr>
      <w:r w:rsidRPr="00FF1C3E">
        <w:rPr>
          <w:noProof/>
        </w:rPr>
        <w:t>vergroten van de deelname van de wetenschappelijke gemeenschap/onderzoeksentiteiten aan het programma Horizon Europa;</w:t>
      </w:r>
    </w:p>
    <w:p w14:paraId="6131B05D" w14:textId="77777777" w:rsidR="003855A7" w:rsidRPr="00FF1C3E" w:rsidRDefault="003855A7" w:rsidP="00AC1CAF">
      <w:pPr>
        <w:pStyle w:val="Bullet0"/>
        <w:numPr>
          <w:ilvl w:val="0"/>
          <w:numId w:val="85"/>
        </w:numPr>
        <w:ind w:hanging="283"/>
        <w:rPr>
          <w:noProof/>
        </w:rPr>
      </w:pPr>
      <w:r w:rsidRPr="00FF1C3E">
        <w:rPr>
          <w:noProof/>
        </w:rPr>
        <w:t>toepassen van internationale beoordelingsnormen voor onderzoeksprojecten en belangrijke wetenschappelijke initiatieven; betrekken van buitenlandse deskundigen bij de evaluatie en beoordeling van projectvoorstellen;</w:t>
      </w:r>
    </w:p>
    <w:p w14:paraId="4A47BB33" w14:textId="77777777" w:rsidR="003855A7" w:rsidRPr="00FF1C3E" w:rsidRDefault="003855A7" w:rsidP="003855A7">
      <w:pPr>
        <w:pBdr>
          <w:top w:val="nil"/>
          <w:left w:val="nil"/>
          <w:bottom w:val="nil"/>
          <w:right w:val="nil"/>
          <w:between w:val="nil"/>
        </w:pBdr>
        <w:spacing w:after="0"/>
        <w:rPr>
          <w:i/>
          <w:noProof/>
          <w:color w:val="000000"/>
        </w:rPr>
      </w:pPr>
      <w:r w:rsidRPr="00FF1C3E">
        <w:rPr>
          <w:i/>
          <w:noProof/>
          <w:color w:val="000000"/>
        </w:rPr>
        <w:t>– binnen zeven jaar:</w:t>
      </w:r>
    </w:p>
    <w:p w14:paraId="3CE55E15" w14:textId="77777777" w:rsidR="003855A7" w:rsidRPr="00FF1C3E" w:rsidRDefault="003855A7" w:rsidP="00AC1CAF">
      <w:pPr>
        <w:pStyle w:val="Bullet0"/>
        <w:numPr>
          <w:ilvl w:val="0"/>
          <w:numId w:val="86"/>
        </w:numPr>
        <w:ind w:hanging="283"/>
        <w:rPr>
          <w:noProof/>
        </w:rPr>
      </w:pPr>
      <w:r w:rsidRPr="00FF1C3E">
        <w:rPr>
          <w:noProof/>
        </w:rPr>
        <w:t>uitvoeren van de overeenkomst tussen de Europese Unie en de Republiek Moldavië inzake de deelname van de Republiek Moldavië aan het programma Horizon Europa – het EU-kaderprogramma voor onderzoek en innovatie;</w:t>
      </w:r>
    </w:p>
    <w:p w14:paraId="46571B34" w14:textId="77777777" w:rsidR="003855A7" w:rsidRPr="00FF1C3E" w:rsidRDefault="003855A7" w:rsidP="00AC1CAF">
      <w:pPr>
        <w:pStyle w:val="Bullet0"/>
        <w:numPr>
          <w:ilvl w:val="0"/>
          <w:numId w:val="86"/>
        </w:numPr>
        <w:ind w:hanging="283"/>
        <w:rPr>
          <w:noProof/>
        </w:rPr>
      </w:pPr>
      <w:r w:rsidRPr="00FF1C3E">
        <w:rPr>
          <w:noProof/>
        </w:rPr>
        <w:t>vergroten van het concurrentievermogen van de Moldavische economie door innovatie: ondersteunen van de prestaties van marktdeelnemers en de overgang van op kosten gebaseerd naar op innovatie gebaseerd concurrentievermogen;</w:t>
      </w:r>
    </w:p>
    <w:p w14:paraId="16BB6FFC" w14:textId="77777777" w:rsidR="003855A7" w:rsidRPr="00FF1C3E" w:rsidRDefault="003855A7" w:rsidP="00AC1CAF">
      <w:pPr>
        <w:pStyle w:val="Bullet0"/>
        <w:numPr>
          <w:ilvl w:val="0"/>
          <w:numId w:val="86"/>
        </w:numPr>
        <w:ind w:hanging="283"/>
        <w:rPr>
          <w:noProof/>
        </w:rPr>
      </w:pPr>
      <w:r w:rsidRPr="00FF1C3E">
        <w:rPr>
          <w:noProof/>
        </w:rPr>
        <w:t>versterken van de rol en de status van het nationale onderzoeks- en innovatiesysteem als hulpbron voor ontwikkeling en welzijn en bevorderen van excellentie in onderzoek in het kader van de prioriteiten van de Europese Onderzoeksruimte (EOR);</w:t>
      </w:r>
    </w:p>
    <w:p w14:paraId="2FC3E513" w14:textId="77777777" w:rsidR="003855A7" w:rsidRPr="00FF1C3E" w:rsidRDefault="003855A7" w:rsidP="00AC1CAF">
      <w:pPr>
        <w:pStyle w:val="Bullet0"/>
        <w:numPr>
          <w:ilvl w:val="0"/>
          <w:numId w:val="86"/>
        </w:numPr>
        <w:ind w:hanging="283"/>
        <w:rPr>
          <w:noProof/>
        </w:rPr>
      </w:pPr>
      <w:r w:rsidRPr="00FF1C3E">
        <w:rPr>
          <w:noProof/>
        </w:rPr>
        <w:t>ontwikkelen van hoogwaardige onderzoeksorganisaties die regionale actoren kunnen worden;</w:t>
      </w:r>
    </w:p>
    <w:p w14:paraId="0937CB2B" w14:textId="77777777" w:rsidR="003855A7" w:rsidRPr="00FF1C3E" w:rsidRDefault="003855A7" w:rsidP="00AC1CAF">
      <w:pPr>
        <w:pStyle w:val="Bullet0"/>
        <w:numPr>
          <w:ilvl w:val="0"/>
          <w:numId w:val="86"/>
        </w:numPr>
        <w:ind w:hanging="283"/>
        <w:rPr>
          <w:noProof/>
        </w:rPr>
      </w:pPr>
      <w:r w:rsidRPr="00FF1C3E">
        <w:rPr>
          <w:noProof/>
        </w:rPr>
        <w:t>zorgen voor nauwe en systematische samenwerking van de onderzoeksinstellingen uit de Republiek Moldavië en de wetenschappelijke en academische wereld met de particuliere en economische omgeving, op basis van wederzijds voordeel;</w:t>
      </w:r>
    </w:p>
    <w:p w14:paraId="3C79EC1D" w14:textId="77777777" w:rsidR="003855A7" w:rsidRPr="00FF1C3E" w:rsidRDefault="003855A7" w:rsidP="00AC1CAF">
      <w:pPr>
        <w:pStyle w:val="Bullet0"/>
        <w:numPr>
          <w:ilvl w:val="0"/>
          <w:numId w:val="86"/>
        </w:numPr>
        <w:ind w:hanging="283"/>
        <w:rPr>
          <w:noProof/>
        </w:rPr>
      </w:pPr>
      <w:r w:rsidRPr="00FF1C3E">
        <w:rPr>
          <w:noProof/>
        </w:rPr>
        <w:t>tot stand brengen van samenwerking tussen de besluitvormers (centrale, lokale overheden) en de onderzoeksgemeenschap en innovatie-instellingen;</w:t>
      </w:r>
    </w:p>
    <w:p w14:paraId="2C63F6EB" w14:textId="77777777" w:rsidR="003855A7" w:rsidRPr="00FF1C3E" w:rsidRDefault="003855A7" w:rsidP="00AC1CAF">
      <w:pPr>
        <w:pStyle w:val="Bullet0"/>
        <w:numPr>
          <w:ilvl w:val="0"/>
          <w:numId w:val="86"/>
        </w:numPr>
        <w:ind w:hanging="283"/>
        <w:rPr>
          <w:noProof/>
        </w:rPr>
      </w:pPr>
      <w:r w:rsidRPr="00FF1C3E">
        <w:rPr>
          <w:noProof/>
        </w:rPr>
        <w:t>opbouwen van een kritische massa van onderzoekers die nodig is om de onderzoeks- en innovatiegebieden om te vormen tot een factor van economische groei, waarbij aandacht wordt besteed aan de betrokkenheid van jongeren bij wetenschappelijke activiteiten en aan de verbetering van het imago van de onderzoeker in de samenleving;</w:t>
      </w:r>
    </w:p>
    <w:p w14:paraId="12045BCF" w14:textId="2729A36D" w:rsidR="003855A7" w:rsidRPr="00FF1C3E" w:rsidRDefault="003855A7" w:rsidP="00AC1CAF">
      <w:pPr>
        <w:pStyle w:val="Bullet0"/>
        <w:numPr>
          <w:ilvl w:val="0"/>
          <w:numId w:val="86"/>
        </w:numPr>
        <w:ind w:hanging="283"/>
        <w:rPr>
          <w:noProof/>
        </w:rPr>
      </w:pPr>
      <w:r w:rsidRPr="00FF1C3E">
        <w:rPr>
          <w:noProof/>
        </w:rPr>
        <w:t>richten van een aanzienlijk deel van de onderzoeks- en innovatieactiviteiten op maatschappelijke kwesties om de capaciteit van het openbare onderzoeks- en innovatiesysteem te ontwikkelen om de lokale behoeften van de samenleving en de werkelijke uitdagingen op mondiaal niveau te identificeren en daarop in te spelen.</w:t>
      </w:r>
    </w:p>
    <w:p w14:paraId="036F670A" w14:textId="77777777" w:rsidR="00DC24D2" w:rsidRPr="00FF1C3E" w:rsidRDefault="00DC24D2" w:rsidP="00DC24D2">
      <w:pPr>
        <w:rPr>
          <w:noProof/>
        </w:rPr>
      </w:pPr>
    </w:p>
    <w:p w14:paraId="4C42BDC9" w14:textId="77777777" w:rsidR="003855A7" w:rsidRPr="00FF1C3E" w:rsidRDefault="003855A7" w:rsidP="00DC24D2">
      <w:pPr>
        <w:pStyle w:val="NumPar1"/>
        <w:tabs>
          <w:tab w:val="clear" w:pos="850"/>
          <w:tab w:val="num" w:pos="567"/>
        </w:tabs>
        <w:ind w:left="567" w:hanging="567"/>
        <w:rPr>
          <w:noProof/>
          <w:u w:val="single"/>
        </w:rPr>
      </w:pPr>
      <w:bookmarkStart w:id="19" w:name="_Hlk61347535"/>
      <w:r w:rsidRPr="00FF1C3E">
        <w:rPr>
          <w:noProof/>
          <w:u w:val="single"/>
        </w:rPr>
        <w:t>Cultuur, audiovisueel beleid en media</w:t>
      </w:r>
    </w:p>
    <w:bookmarkEnd w:id="19"/>
    <w:p w14:paraId="37779A97" w14:textId="77777777" w:rsidR="003855A7" w:rsidRPr="00FF1C3E" w:rsidRDefault="003855A7" w:rsidP="003855A7">
      <w:pPr>
        <w:spacing w:after="0"/>
        <w:rPr>
          <w:rFonts w:eastAsia="Times New Roman"/>
          <w:i/>
          <w:noProof/>
          <w:szCs w:val="24"/>
        </w:rPr>
      </w:pPr>
      <w:r w:rsidRPr="00FF1C3E">
        <w:rPr>
          <w:i/>
          <w:noProof/>
          <w:szCs w:val="24"/>
        </w:rPr>
        <w:t>Cultuur</w:t>
      </w:r>
    </w:p>
    <w:p w14:paraId="02727324" w14:textId="77777777" w:rsidR="003855A7" w:rsidRPr="00FF1C3E" w:rsidRDefault="003855A7" w:rsidP="003855A7">
      <w:pPr>
        <w:spacing w:after="0"/>
        <w:rPr>
          <w:rFonts w:eastAsia="Times New Roman"/>
          <w:noProof/>
          <w:szCs w:val="24"/>
        </w:rPr>
      </w:pPr>
      <w:r w:rsidRPr="00FF1C3E">
        <w:rPr>
          <w:noProof/>
        </w:rPr>
        <w:t>De samenwerking tussen de partijen heeft met name betrekking op de volgende punten:</w:t>
      </w:r>
    </w:p>
    <w:p w14:paraId="7BB7EF36" w14:textId="77777777" w:rsidR="003855A7" w:rsidRPr="00FF1C3E" w:rsidRDefault="003855A7" w:rsidP="00AC1CAF">
      <w:pPr>
        <w:pStyle w:val="Bullet0"/>
        <w:numPr>
          <w:ilvl w:val="0"/>
          <w:numId w:val="87"/>
        </w:numPr>
        <w:ind w:hanging="283"/>
        <w:rPr>
          <w:noProof/>
        </w:rPr>
      </w:pPr>
      <w:r w:rsidRPr="00FF1C3E">
        <w:rPr>
          <w:noProof/>
        </w:rPr>
        <w:t>versterken van de uitvoering van het Unesco-Verdrag van 2005 betreffende de bescherming en bevordering van de diversiteit van cultuuruitingen;</w:t>
      </w:r>
    </w:p>
    <w:p w14:paraId="5A60E13B" w14:textId="77777777" w:rsidR="003855A7" w:rsidRPr="00FF1C3E" w:rsidRDefault="003855A7" w:rsidP="00AC1CAF">
      <w:pPr>
        <w:pStyle w:val="Bullet0"/>
        <w:numPr>
          <w:ilvl w:val="0"/>
          <w:numId w:val="87"/>
        </w:numPr>
        <w:ind w:hanging="283"/>
        <w:rPr>
          <w:noProof/>
        </w:rPr>
      </w:pPr>
      <w:r w:rsidRPr="00FF1C3E">
        <w:rPr>
          <w:noProof/>
        </w:rPr>
        <w:t>samenwerken bij de ontwikkeling van een inclusief cultureel beleid in de Republiek Moldavië, en bij het behouden en benutten van het natuurlijke en culturele erfgoed teneinde de sociaal-economische ontwikkeling te bevorderen;</w:t>
      </w:r>
    </w:p>
    <w:p w14:paraId="51AD7384" w14:textId="77777777" w:rsidR="003855A7" w:rsidRPr="00FF1C3E" w:rsidRDefault="003855A7" w:rsidP="00AC1CAF">
      <w:pPr>
        <w:pStyle w:val="Bullet0"/>
        <w:numPr>
          <w:ilvl w:val="0"/>
          <w:numId w:val="87"/>
        </w:numPr>
        <w:ind w:hanging="283"/>
        <w:rPr>
          <w:noProof/>
        </w:rPr>
      </w:pPr>
      <w:r w:rsidRPr="00FF1C3E">
        <w:rPr>
          <w:noProof/>
        </w:rPr>
        <w:t>versterken van de culturele band van de Republiek Moldavië met de diaspora;</w:t>
      </w:r>
    </w:p>
    <w:p w14:paraId="06357C0D" w14:textId="77777777" w:rsidR="003855A7" w:rsidRPr="00FF1C3E" w:rsidRDefault="003855A7" w:rsidP="00AC1CAF">
      <w:pPr>
        <w:pStyle w:val="Bullet0"/>
        <w:numPr>
          <w:ilvl w:val="0"/>
          <w:numId w:val="87"/>
        </w:numPr>
        <w:ind w:hanging="283"/>
        <w:rPr>
          <w:noProof/>
        </w:rPr>
      </w:pPr>
      <w:r w:rsidRPr="00FF1C3E">
        <w:rPr>
          <w:noProof/>
        </w:rPr>
        <w:t>vergroten van de deelname van de actoren uit de culturele en creatieve sector van de Republiek Moldavië aan programma’s voor culturele/audiovisuele samenwerking, met name Creatief Europa.</w:t>
      </w:r>
    </w:p>
    <w:p w14:paraId="4CE4C42E" w14:textId="77777777" w:rsidR="003855A7" w:rsidRPr="00FF1C3E" w:rsidRDefault="003855A7" w:rsidP="003855A7">
      <w:pPr>
        <w:spacing w:before="240" w:after="0"/>
        <w:rPr>
          <w:rFonts w:eastAsia="Times New Roman"/>
          <w:i/>
          <w:noProof/>
          <w:szCs w:val="24"/>
        </w:rPr>
      </w:pPr>
      <w:r w:rsidRPr="00FF1C3E">
        <w:rPr>
          <w:i/>
          <w:noProof/>
          <w:szCs w:val="24"/>
        </w:rPr>
        <w:t>Audiovisueel beleid en media</w:t>
      </w:r>
    </w:p>
    <w:p w14:paraId="7F470128" w14:textId="77777777" w:rsidR="003855A7" w:rsidRPr="00FF1C3E" w:rsidRDefault="003855A7" w:rsidP="00AC1CAF">
      <w:pPr>
        <w:pStyle w:val="Bullet0"/>
        <w:numPr>
          <w:ilvl w:val="0"/>
          <w:numId w:val="88"/>
        </w:numPr>
        <w:ind w:hanging="283"/>
        <w:rPr>
          <w:noProof/>
        </w:rPr>
      </w:pPr>
      <w:r w:rsidRPr="00FF1C3E">
        <w:rPr>
          <w:noProof/>
        </w:rPr>
        <w:t>Aannemen van secundaire wetgeving voor de wet inzake audiovisuele mediadiensten van de Republiek Moldavië en zorgen voor een volledige en doeltreffende uitvoering.</w:t>
      </w:r>
    </w:p>
    <w:p w14:paraId="620463AD" w14:textId="77777777" w:rsidR="003855A7" w:rsidRPr="00FF1C3E" w:rsidRDefault="003855A7" w:rsidP="00AC1CAF">
      <w:pPr>
        <w:pStyle w:val="Bullet0"/>
        <w:numPr>
          <w:ilvl w:val="0"/>
          <w:numId w:val="88"/>
        </w:numPr>
        <w:ind w:hanging="283"/>
        <w:rPr>
          <w:noProof/>
        </w:rPr>
      </w:pPr>
      <w:r w:rsidRPr="00FF1C3E">
        <w:rPr>
          <w:noProof/>
        </w:rPr>
        <w:t xml:space="preserve">Zorgen voor effectieve en eerlijke concurrentie in de reclamesector. </w:t>
      </w:r>
    </w:p>
    <w:p w14:paraId="5D70BF55" w14:textId="77777777" w:rsidR="003855A7" w:rsidRPr="00FF1C3E" w:rsidRDefault="003855A7" w:rsidP="00AC1CAF">
      <w:pPr>
        <w:pStyle w:val="Bullet0"/>
        <w:numPr>
          <w:ilvl w:val="0"/>
          <w:numId w:val="88"/>
        </w:numPr>
        <w:ind w:hanging="283"/>
        <w:rPr>
          <w:noProof/>
        </w:rPr>
      </w:pPr>
      <w:r w:rsidRPr="00FF1C3E">
        <w:rPr>
          <w:noProof/>
        </w:rPr>
        <w:t xml:space="preserve">Zorgen voor een doeltreffende uitvoering van de wet inzake audiovisuele mediadiensten van de Republiek Moldavië, teneinde de concentratie van media-eigendom volgens de beste praktijken van de EU aan te pakken. </w:t>
      </w:r>
    </w:p>
    <w:p w14:paraId="496917C4" w14:textId="77777777" w:rsidR="003855A7" w:rsidRPr="00FF1C3E" w:rsidRDefault="003855A7" w:rsidP="00AC1CAF">
      <w:pPr>
        <w:pStyle w:val="Bullet0"/>
        <w:numPr>
          <w:ilvl w:val="0"/>
          <w:numId w:val="88"/>
        </w:numPr>
        <w:ind w:hanging="283"/>
        <w:rPr>
          <w:noProof/>
        </w:rPr>
      </w:pPr>
      <w:r w:rsidRPr="00FF1C3E">
        <w:rPr>
          <w:noProof/>
        </w:rPr>
        <w:t>Uitvoeren van een collegiale toetsing van de Audiovisuele Raad.</w:t>
      </w:r>
    </w:p>
    <w:p w14:paraId="5FC185A8" w14:textId="77777777" w:rsidR="003855A7" w:rsidRPr="00FF1C3E" w:rsidRDefault="003855A7" w:rsidP="00AC1CAF">
      <w:pPr>
        <w:pStyle w:val="Bullet0"/>
        <w:numPr>
          <w:ilvl w:val="0"/>
          <w:numId w:val="88"/>
        </w:numPr>
        <w:ind w:hanging="283"/>
        <w:rPr>
          <w:noProof/>
        </w:rPr>
      </w:pPr>
      <w:r w:rsidRPr="00FF1C3E">
        <w:rPr>
          <w:noProof/>
        </w:rPr>
        <w:t xml:space="preserve">Zorgen voor volledig transparante en participatieve processen bij de wijziging van de audiovisuele wetgeving, met inbegrip van de omzetting van de Europese normen. </w:t>
      </w:r>
    </w:p>
    <w:p w14:paraId="1E315480" w14:textId="77777777" w:rsidR="003855A7" w:rsidRPr="00FF1C3E" w:rsidRDefault="003855A7" w:rsidP="00AC1CAF">
      <w:pPr>
        <w:pStyle w:val="Bullet0"/>
        <w:numPr>
          <w:ilvl w:val="0"/>
          <w:numId w:val="88"/>
        </w:numPr>
        <w:ind w:hanging="283"/>
        <w:rPr>
          <w:noProof/>
        </w:rPr>
      </w:pPr>
      <w:r w:rsidRPr="00FF1C3E">
        <w:rPr>
          <w:noProof/>
        </w:rPr>
        <w:t xml:space="preserve">Zorgen voor een constante dialoog over audiovisueel beleid en toepasselijke internationale normen. </w:t>
      </w:r>
    </w:p>
    <w:p w14:paraId="65837D80" w14:textId="77777777" w:rsidR="003855A7" w:rsidRPr="00FF1C3E" w:rsidRDefault="003855A7" w:rsidP="00AC1CAF">
      <w:pPr>
        <w:pStyle w:val="Bullet0"/>
        <w:numPr>
          <w:ilvl w:val="0"/>
          <w:numId w:val="88"/>
        </w:numPr>
        <w:ind w:hanging="283"/>
        <w:rPr>
          <w:noProof/>
        </w:rPr>
      </w:pPr>
      <w:r w:rsidRPr="00FF1C3E">
        <w:rPr>
          <w:noProof/>
        </w:rPr>
        <w:t xml:space="preserve">Samenwerken bij de strijd tegen haatzaaiende uitlatingen, racisme en vreemdelingenhaat in de audiovisuele sector en de media. </w:t>
      </w:r>
    </w:p>
    <w:p w14:paraId="007290E3" w14:textId="54A543BB" w:rsidR="003855A7" w:rsidRPr="00FF1C3E" w:rsidRDefault="003855A7" w:rsidP="00AC1CAF">
      <w:pPr>
        <w:pStyle w:val="Bullet0"/>
        <w:numPr>
          <w:ilvl w:val="0"/>
          <w:numId w:val="88"/>
        </w:numPr>
        <w:ind w:hanging="283"/>
        <w:rPr>
          <w:noProof/>
        </w:rPr>
      </w:pPr>
      <w:r w:rsidRPr="00FF1C3E">
        <w:rPr>
          <w:noProof/>
        </w:rPr>
        <w:t>Uitvoeren van het digitaliseringsproces.</w:t>
      </w:r>
    </w:p>
    <w:p w14:paraId="63244BC0" w14:textId="77777777" w:rsidR="00AC1CAF" w:rsidRPr="00FF1C3E" w:rsidRDefault="00AC1CAF" w:rsidP="00AC1CAF">
      <w:pPr>
        <w:rPr>
          <w:noProof/>
        </w:rPr>
      </w:pPr>
    </w:p>
    <w:p w14:paraId="462D11D5" w14:textId="77777777" w:rsidR="003855A7" w:rsidRPr="00FF1C3E" w:rsidRDefault="003855A7" w:rsidP="00AC1CAF">
      <w:pPr>
        <w:pStyle w:val="NumPar1"/>
        <w:tabs>
          <w:tab w:val="clear" w:pos="850"/>
          <w:tab w:val="num" w:pos="567"/>
        </w:tabs>
        <w:ind w:left="567" w:hanging="567"/>
        <w:rPr>
          <w:noProof/>
          <w:u w:val="single"/>
        </w:rPr>
      </w:pPr>
      <w:bookmarkStart w:id="20" w:name="_Hlk61347510"/>
      <w:r w:rsidRPr="00FF1C3E">
        <w:rPr>
          <w:noProof/>
          <w:u w:val="single"/>
        </w:rPr>
        <w:t>Publieksvoorlichting en zichtbaarheid</w:t>
      </w:r>
    </w:p>
    <w:bookmarkEnd w:id="20"/>
    <w:p w14:paraId="4A11E927" w14:textId="77777777" w:rsidR="003855A7" w:rsidRPr="00FF1C3E" w:rsidRDefault="003855A7" w:rsidP="003855A7">
      <w:pPr>
        <w:spacing w:after="0"/>
        <w:rPr>
          <w:rFonts w:eastAsia="Times New Roman"/>
          <w:noProof/>
          <w:szCs w:val="24"/>
        </w:rPr>
      </w:pPr>
      <w:r w:rsidRPr="00FF1C3E">
        <w:rPr>
          <w:noProof/>
        </w:rPr>
        <w:t>De samenwerking tussen de partijen heeft betrekking op de volgende punten:</w:t>
      </w:r>
    </w:p>
    <w:p w14:paraId="2C2A5B21" w14:textId="77777777" w:rsidR="003855A7" w:rsidRPr="00FF1C3E" w:rsidRDefault="003855A7" w:rsidP="00AC1CAF">
      <w:pPr>
        <w:pStyle w:val="Bullet0"/>
        <w:numPr>
          <w:ilvl w:val="0"/>
          <w:numId w:val="89"/>
        </w:numPr>
        <w:ind w:hanging="283"/>
        <w:rPr>
          <w:noProof/>
        </w:rPr>
      </w:pPr>
      <w:r w:rsidRPr="00FF1C3E">
        <w:rPr>
          <w:noProof/>
        </w:rPr>
        <w:t xml:space="preserve">zorgen voor goed gefundeerde en gerichte communicatie over de mogelijkheden en concrete voordelen van de associatieovereenkomst tussen de EU en de Republiek Moldavië, waarbij de nadruk ligt op de DCFTA; </w:t>
      </w:r>
    </w:p>
    <w:p w14:paraId="6FF6D248" w14:textId="77777777" w:rsidR="003855A7" w:rsidRPr="00FF1C3E" w:rsidRDefault="003855A7" w:rsidP="00AC1CAF">
      <w:pPr>
        <w:pStyle w:val="Bullet0"/>
        <w:numPr>
          <w:ilvl w:val="0"/>
          <w:numId w:val="89"/>
        </w:numPr>
        <w:ind w:hanging="283"/>
        <w:rPr>
          <w:noProof/>
        </w:rPr>
      </w:pPr>
      <w:r w:rsidRPr="00FF1C3E">
        <w:rPr>
          <w:noProof/>
        </w:rPr>
        <w:t xml:space="preserve">zorgen voor voldoende zichtbaarheid van alle projecten en programma’s van de EU en het effect ervan, door middel van nauwe samenwerking met mediabedrijven, het maatschappelijk middenveld en bedrijven op lokaal, regionaal en nationaal niveau;  </w:t>
      </w:r>
    </w:p>
    <w:p w14:paraId="6AEE176E" w14:textId="77777777" w:rsidR="003855A7" w:rsidRPr="00FF1C3E" w:rsidRDefault="003855A7" w:rsidP="00AC1CAF">
      <w:pPr>
        <w:pStyle w:val="Bullet0"/>
        <w:numPr>
          <w:ilvl w:val="0"/>
          <w:numId w:val="89"/>
        </w:numPr>
        <w:ind w:hanging="283"/>
        <w:rPr>
          <w:noProof/>
        </w:rPr>
      </w:pPr>
      <w:r w:rsidRPr="00FF1C3E">
        <w:rPr>
          <w:noProof/>
        </w:rPr>
        <w:t>voeren van communicatiecampagnes om de maatschappelijke vraag naar de door de associatieovereenkomst ondersteunde hervormingsagenda voor transformatie te stimuleren en in stand te houden;</w:t>
      </w:r>
    </w:p>
    <w:p w14:paraId="4B05B9CA" w14:textId="35070BF7" w:rsidR="003855A7" w:rsidRPr="00FF1C3E" w:rsidRDefault="003855A7" w:rsidP="00AC1CAF">
      <w:pPr>
        <w:pStyle w:val="Bullet0"/>
        <w:numPr>
          <w:ilvl w:val="0"/>
          <w:numId w:val="89"/>
        </w:numPr>
        <w:ind w:hanging="283"/>
        <w:rPr>
          <w:noProof/>
        </w:rPr>
      </w:pPr>
      <w:r w:rsidRPr="00FF1C3E">
        <w:rPr>
          <w:noProof/>
        </w:rPr>
        <w:t>versterken van de samenwerking op het gebied van strategische communicatie om de weerbaarheid van de staat en de samenleving tegen desinformatie te consolideren;</w:t>
      </w:r>
      <w:r w:rsidR="00CF77FF" w:rsidRPr="00FF1C3E">
        <w:rPr>
          <w:noProof/>
        </w:rPr>
        <w:t xml:space="preserve"> </w:t>
      </w:r>
      <w:r w:rsidRPr="00FF1C3E">
        <w:rPr>
          <w:noProof/>
        </w:rPr>
        <w:t>met name ondersteunen van institutionele capaciteitsopbouw bij het aanpakken van de negatieve gevolgen van onjuiste informatie en desinformatie, met name in de onlineruimte en gefaciliteerd door AI-technologieën die tot doel hebben het grote publiek te misleiden en een grote bedreiging vormen voor democratische politieke en beleidsvormingsprocessen, waardoor de gezondheid, de veiligheid en het milieu van de burgers in gevaar worden gebracht en het vertrouwen in de overheid wordt ondermijnd;</w:t>
      </w:r>
    </w:p>
    <w:p w14:paraId="35B56AB4" w14:textId="77777777" w:rsidR="003855A7" w:rsidRPr="00FF1C3E" w:rsidRDefault="003855A7" w:rsidP="00AC1CAF">
      <w:pPr>
        <w:pStyle w:val="Bullet0"/>
        <w:numPr>
          <w:ilvl w:val="0"/>
          <w:numId w:val="89"/>
        </w:numPr>
        <w:ind w:hanging="283"/>
        <w:rPr>
          <w:noProof/>
        </w:rPr>
      </w:pPr>
      <w:r w:rsidRPr="00FF1C3E">
        <w:rPr>
          <w:noProof/>
        </w:rPr>
        <w:t>uitbreiden en diversifiëren van het kader voor praktische samenwerking met maatschappelijke actoren en andere relevante actoren en instellingen.</w:t>
      </w:r>
    </w:p>
    <w:p w14:paraId="6A5173D6" w14:textId="77777777" w:rsidR="00AC1CAF" w:rsidRPr="00FF1C3E" w:rsidRDefault="00AC1CAF" w:rsidP="00AC1CAF">
      <w:pPr>
        <w:rPr>
          <w:noProof/>
        </w:rPr>
      </w:pPr>
    </w:p>
    <w:p w14:paraId="0BCB3996" w14:textId="5874FDE2" w:rsidR="003855A7" w:rsidRPr="00FF1C3E" w:rsidRDefault="00AC1CAF" w:rsidP="00AC1CAF">
      <w:pPr>
        <w:rPr>
          <w:b/>
          <w:i/>
          <w:noProof/>
          <w:u w:val="single"/>
        </w:rPr>
      </w:pPr>
      <w:r w:rsidRPr="00FF1C3E">
        <w:rPr>
          <w:b/>
          <w:i/>
          <w:noProof/>
          <w:u w:val="single"/>
        </w:rPr>
        <w:t>V. Handel en daarmee verband houdende aangelegenheden (DCFTA)</w:t>
      </w:r>
    </w:p>
    <w:p w14:paraId="0E6CD9D4" w14:textId="77777777" w:rsidR="003855A7" w:rsidRPr="00FF1C3E" w:rsidRDefault="003855A7" w:rsidP="003855A7">
      <w:pPr>
        <w:spacing w:line="276" w:lineRule="auto"/>
        <w:rPr>
          <w:rFonts w:eastAsia="Times New Roman"/>
          <w:noProof/>
          <w:szCs w:val="24"/>
        </w:rPr>
      </w:pPr>
      <w:r w:rsidRPr="00FF1C3E">
        <w:rPr>
          <w:noProof/>
        </w:rPr>
        <w:t>De partijen verdiepen de integratie verder op basis van de associatieovereenkomst en de diepe en brede vrijhandelsruimte (DCFTA). De effectieve uitvoering van de associatieovereenkomst en de daarbij behorende DCFTA, in samenhang met het bredere proces van aanpassing van de regelgeving en de daarmee verband houdende noodzakelijke hervormingen, schept mede de voorwaarden voor nauwere economische en handelsbetrekkingen met de EU, hetgeen leidt tot verdere geleidelijke economische integratie van de Republiek Moldavië in de interne markt van de Europese Unie, zoals beoogd in de associatieovereenkomst. Meer in het bijzonder dienen de partijen vooruitgang te boeken bij de uitvoering van titel V van de associatieovereenkomst (“Handel en daarmee verband houdende aangelegenheden”) en de bijlagen daarbij, die regelmatig worden bijgewerkt om rekening te houden met het meest recente EU-acquis, en zoals gewijzigd in het kader van de in artikel 147 van de associatieovereenkomst bedoelde evaluatie in het derde jaar (die werd afgerond in januari 2020</w:t>
      </w:r>
      <w:r w:rsidRPr="00FF1C3E">
        <w:rPr>
          <w:rStyle w:val="FootnoteReference"/>
          <w:noProof/>
        </w:rPr>
        <w:footnoteReference w:id="6"/>
      </w:r>
      <w:r w:rsidRPr="00FF1C3E">
        <w:rPr>
          <w:noProof/>
        </w:rPr>
        <w:t xml:space="preserve">). </w:t>
      </w:r>
    </w:p>
    <w:p w14:paraId="00ED658C" w14:textId="77777777" w:rsidR="003855A7" w:rsidRPr="00FF1C3E" w:rsidRDefault="003855A7" w:rsidP="003855A7">
      <w:pPr>
        <w:spacing w:line="276" w:lineRule="auto"/>
        <w:rPr>
          <w:rFonts w:eastAsia="Times New Roman"/>
          <w:noProof/>
          <w:szCs w:val="24"/>
        </w:rPr>
      </w:pPr>
      <w:r w:rsidRPr="00FF1C3E">
        <w:rPr>
          <w:noProof/>
        </w:rPr>
        <w:t>De partijen erkennen de voordelen van de DCFTA voor de versterking van hun handelsbetrekkingen, hetgeen blijkt uit een duidelijke toename van de Moldavische handel met de EU, die in 2020 goed was voor 53 % van de totale handel van de Republiek Moldavië, en streven naar verdere consolidatie van de handelsstromen op basis van een grotere aanpassing van de wet- en regelgeving.</w:t>
      </w:r>
    </w:p>
    <w:p w14:paraId="2E5D62EF" w14:textId="77777777" w:rsidR="003855A7" w:rsidRPr="00FF1C3E" w:rsidRDefault="003855A7" w:rsidP="003855A7">
      <w:pPr>
        <w:spacing w:line="276" w:lineRule="auto"/>
        <w:rPr>
          <w:rFonts w:eastAsia="Times New Roman"/>
          <w:noProof/>
          <w:szCs w:val="24"/>
        </w:rPr>
      </w:pPr>
      <w:r w:rsidRPr="00FF1C3E">
        <w:rPr>
          <w:noProof/>
        </w:rPr>
        <w:t xml:space="preserve">De partijen zijn zich ervan bewust dat het volledige potentieel van deze overeenkomst nog niet is bereikt, met name wat de toelating tot de markt betreft. Daarom moet prioriteit worden gegeven aan het uitbreiden van de categorieën producten van dierlijke oorsprong die vanuit de Republiek Moldavië naar de EU mogen worden uitgevoerd, te beginnen met pluimveevlees en eieren van klasse B. </w:t>
      </w:r>
    </w:p>
    <w:p w14:paraId="4FA931B5" w14:textId="77777777" w:rsidR="003855A7" w:rsidRPr="00FF1C3E" w:rsidRDefault="003855A7" w:rsidP="003855A7">
      <w:pPr>
        <w:spacing w:line="276" w:lineRule="auto"/>
        <w:rPr>
          <w:rFonts w:eastAsia="Times New Roman"/>
          <w:noProof/>
          <w:szCs w:val="24"/>
        </w:rPr>
      </w:pPr>
      <w:r w:rsidRPr="00FF1C3E">
        <w:rPr>
          <w:noProof/>
        </w:rPr>
        <w:t>De liberalisering van de markttoegang door Moldavië zal overeenkomstig bijlage XV-D bij de associatieovereenkomst voor sommige producten geleidelijk plaatsvinden tot 2024. Beide partijen werken regelmatig samen, onder meer via de bilaterale structuren die zijn opgericht in het kader van de associatieovereenkomst tussen de EU en de Republiek Moldavië, alsmede in multilaterale kaders, en wisselen informatie uit over alle aspecten die verband houden met de uitvoering van de associatieovereenkomst/DCFTA, waaronder statistieken, het gebruik van tariefcontingenten en de doeltreffende toepassing van het anti-ontwijkingsmechanisme. In het kader van de aanvullende liberalisering van de markttoegang die mogelijk wordt gemaakt door de associatieovereenkomst, zijn de partijen in dit verband ingenomen met het besluit van het Associatiecomité EU-Republiek Moldavië in zijn samenstelling voor handelsvraagstukken om de tariefcontingenten en de anti-ontwijkingsdrempels voor bepaalde landbouwproducten te verhogen.</w:t>
      </w:r>
    </w:p>
    <w:p w14:paraId="28E4CBA7" w14:textId="77777777" w:rsidR="003855A7" w:rsidRPr="00FF1C3E" w:rsidRDefault="003855A7" w:rsidP="003855A7">
      <w:pPr>
        <w:spacing w:line="276" w:lineRule="auto"/>
        <w:rPr>
          <w:rFonts w:eastAsia="Times New Roman"/>
          <w:noProof/>
          <w:szCs w:val="24"/>
        </w:rPr>
      </w:pPr>
      <w:r w:rsidRPr="00FF1C3E">
        <w:rPr>
          <w:noProof/>
        </w:rPr>
        <w:t xml:space="preserve">Wat de aanpassing van de regelgeving betreft, werken de partijen samen om te komen tot convergentie met de EU-wetgeving en internationale beste praktijken, zoals aangegeven in de desbetreffende hoofdstukken en bijlagen bij titel V van de associatieovereenkomst/DCFTA. Met hoge prioriteit blijft de Republiek Moldavië het nationale institutionele kader versterken om te zorgen voor een onafhankelijke uitvoering, handhaving en monitoring van nieuwe wetgeving die op elk relevant gebied is aangenomen. </w:t>
      </w:r>
    </w:p>
    <w:p w14:paraId="6C658E32" w14:textId="77777777" w:rsidR="003855A7" w:rsidRPr="00FF1C3E" w:rsidRDefault="003855A7" w:rsidP="003855A7">
      <w:pPr>
        <w:spacing w:line="276" w:lineRule="auto"/>
        <w:rPr>
          <w:rFonts w:eastAsia="Times New Roman"/>
          <w:noProof/>
          <w:szCs w:val="24"/>
        </w:rPr>
      </w:pPr>
      <w:r w:rsidRPr="00FF1C3E">
        <w:rPr>
          <w:noProof/>
        </w:rPr>
        <w:t xml:space="preserve">De Republiek Moldavië informeert de EU regelmatig over de stand van zaken met betrekking tot de aanpassing van de wetgeving via de gespecialiseerde subcomités en in het kader van het jaarlijkse Associatiecomité in zijn samenstelling voor handelsvraagstukken. Deze organen, die bij de associatieovereenkomst zijn opgericht, zullen de concrete vorderingen op elk relevant gebied regelmatig monitoren en beoordelen aan de hand van de tijdschema’s voor de uitvoering in de desbetreffende hoofdstukken en bijlagen van de associatieovereenkomst. In voorkomend geval en met instemming van beide partijen verleent de EU bijstand en deskundigheid om de Moldavische autoriteiten bij dit proces te helpen. </w:t>
      </w:r>
    </w:p>
    <w:p w14:paraId="0F0D0DC7" w14:textId="77777777" w:rsidR="003855A7" w:rsidRPr="00FF1C3E" w:rsidRDefault="003855A7" w:rsidP="003855A7">
      <w:pPr>
        <w:spacing w:line="276" w:lineRule="auto"/>
        <w:rPr>
          <w:rFonts w:eastAsia="Times New Roman"/>
          <w:noProof/>
          <w:szCs w:val="24"/>
        </w:rPr>
      </w:pPr>
      <w:r w:rsidRPr="00FF1C3E">
        <w:rPr>
          <w:noProof/>
        </w:rPr>
        <w:t xml:space="preserve">Werkzaamheden op de volgende handelsgerelateerde gebieden, zoals opgenomen in de desbetreffende hoofdstukken van titel V van de associatieovereenkomst, worden als een prioriteit beschouwd: </w:t>
      </w:r>
    </w:p>
    <w:p w14:paraId="02D63748"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Technische voorschriften, normalisatie en hieraan gerelateerde infrastructuur</w:t>
      </w:r>
    </w:p>
    <w:p w14:paraId="6F136A2B" w14:textId="77777777" w:rsidR="003855A7" w:rsidRPr="00FF1C3E" w:rsidRDefault="003855A7" w:rsidP="003855A7">
      <w:pPr>
        <w:spacing w:after="0" w:line="276" w:lineRule="auto"/>
        <w:rPr>
          <w:rFonts w:eastAsia="Times New Roman"/>
          <w:noProof/>
          <w:szCs w:val="24"/>
        </w:rPr>
      </w:pPr>
      <w:r w:rsidRPr="00FF1C3E">
        <w:rPr>
          <w:noProof/>
        </w:rPr>
        <w:t>De partijen werken samen met het oog op de naleving van de technische voorschriften van de EU, de EU-procedures inzake normalisatie, metrologie, accreditatie en conformiteitsbeoordeling, alsmede het EU-systeem voor markttoezicht, binnen de termijnen en in overeenstemming met de eisen van hoofdstuk 3 en de desbetreffende bijlagen. De partijen werken samen aan de ontwikkeling van een beoordeling van de lacunes in de capaciteiten van de Moldavische autoriteiten en overheidsinstanties voor de exportgerichte sectoren.</w:t>
      </w:r>
    </w:p>
    <w:p w14:paraId="56DCE97C"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Sanitaire en fytosanitaire maatregelen</w:t>
      </w:r>
    </w:p>
    <w:p w14:paraId="73F6202C" w14:textId="6D3EC403" w:rsidR="003855A7" w:rsidRPr="00FF1C3E" w:rsidRDefault="003855A7" w:rsidP="003855A7">
      <w:pPr>
        <w:spacing w:after="0" w:line="276" w:lineRule="auto"/>
        <w:rPr>
          <w:rFonts w:eastAsia="Times New Roman"/>
          <w:noProof/>
          <w:szCs w:val="24"/>
        </w:rPr>
      </w:pPr>
      <w:r w:rsidRPr="00FF1C3E">
        <w:rPr>
          <w:noProof/>
        </w:rPr>
        <w:t>De partijen werken samen om de sanitaire en fytosanitaire normen voor levensmiddelen en diervoeders en de wetgeving en praktijken in de Republiek Moldavië op het gebied van plantgezondheid en gezondheid en welzijn van dieren, meer in overeenstemming te brengen met die van de EU, binnen de termijnen en in overeenstemming met de eisen van hoofdstuk 4 en de desbetreffende bijlagen. Het nationaal agentschap voor voedselveiligheid moet zorgen voor een goede handhaving en uitvoering van deze bepalingen. De procedure voor de verlening van een uitvoervergunning voor Moldavische producten naar de Unie, met name voor pluimveevlees en eieren van klasse B loopt nog, maar er is aanzienlijke vooruitgang geboekt en in 2021 is markttoegang verleend voor zuivelproducten.</w:t>
      </w:r>
      <w:r w:rsidR="00CF77FF" w:rsidRPr="00FF1C3E">
        <w:rPr>
          <w:noProof/>
        </w:rPr>
        <w:t xml:space="preserve"> </w:t>
      </w:r>
      <w:r w:rsidRPr="00FF1C3E">
        <w:rPr>
          <w:noProof/>
        </w:rPr>
        <w:t>Voorts erkennen de partijen de verwezenlijking van concrete resultaten die de handel in landbouw- en voedingsproducten vergemakkelijken ten behoeve van consumenten en industrieën aan beide zijden van de grens, en verbinden zij zich ertoe deze samenwerking voort te zetten.</w:t>
      </w:r>
    </w:p>
    <w:p w14:paraId="443D27ED" w14:textId="77777777" w:rsidR="003855A7" w:rsidRPr="00FF1C3E" w:rsidRDefault="003855A7" w:rsidP="003855A7">
      <w:pPr>
        <w:spacing w:before="240" w:line="276" w:lineRule="auto"/>
        <w:rPr>
          <w:rFonts w:eastAsia="Times New Roman"/>
          <w:noProof/>
          <w:szCs w:val="24"/>
        </w:rPr>
      </w:pPr>
      <w:r w:rsidRPr="00FF1C3E">
        <w:rPr>
          <w:noProof/>
        </w:rPr>
        <w:t>De samenwerking tussen de partijen heeft betrekking op de volgende gebieden:</w:t>
      </w:r>
    </w:p>
    <w:p w14:paraId="79319752" w14:textId="77777777" w:rsidR="003855A7" w:rsidRPr="00FF1C3E" w:rsidRDefault="003855A7" w:rsidP="003855A7">
      <w:pPr>
        <w:spacing w:after="0"/>
        <w:rPr>
          <w:rFonts w:eastAsia="Times New Roman"/>
          <w:i/>
          <w:noProof/>
          <w:szCs w:val="24"/>
        </w:rPr>
      </w:pPr>
      <w:r w:rsidRPr="00FF1C3E">
        <w:rPr>
          <w:i/>
          <w:noProof/>
          <w:szCs w:val="24"/>
        </w:rPr>
        <w:t xml:space="preserve">– binnen drie tot vier jaar: </w:t>
      </w:r>
    </w:p>
    <w:p w14:paraId="7E871806" w14:textId="77777777" w:rsidR="003855A7" w:rsidRPr="00FF1C3E" w:rsidRDefault="003855A7" w:rsidP="00AC1CAF">
      <w:pPr>
        <w:pStyle w:val="Bullet0"/>
        <w:numPr>
          <w:ilvl w:val="0"/>
          <w:numId w:val="90"/>
        </w:numPr>
        <w:ind w:hanging="283"/>
        <w:rPr>
          <w:noProof/>
        </w:rPr>
      </w:pPr>
      <w:r w:rsidRPr="00FF1C3E">
        <w:rPr>
          <w:noProof/>
        </w:rPr>
        <w:t>verder verbeteren van de infrastructuur en de hieraan gerelateerde capaciteit die noodzakelijk is voor de uitvoering van de wetgeving – in het bijzonder die inzake de gezondheid van dieren en planten, laboratoria voor voedselveiligheid en grensinspectieposten – overeenkomstig de vereisten van de EU;</w:t>
      </w:r>
    </w:p>
    <w:p w14:paraId="1FB1AC79" w14:textId="77777777" w:rsidR="003855A7" w:rsidRPr="00FF1C3E" w:rsidRDefault="003855A7" w:rsidP="00AC1CAF">
      <w:pPr>
        <w:pStyle w:val="Bullet0"/>
        <w:numPr>
          <w:ilvl w:val="0"/>
          <w:numId w:val="90"/>
        </w:numPr>
        <w:ind w:hanging="283"/>
        <w:rPr>
          <w:noProof/>
        </w:rPr>
      </w:pPr>
      <w:r w:rsidRPr="00FF1C3E">
        <w:rPr>
          <w:noProof/>
        </w:rPr>
        <w:t>uitbreiden van het scala aan erkende methoden van alle laboratoria die betrokken zijn bij officiële controles om te voldoen aan de sanitaire en fytosanitaire normen voor de uitvoer van levensmiddelen van dierlijke oorsprong uit de Republiek Moldavië naar de EU;</w:t>
      </w:r>
    </w:p>
    <w:p w14:paraId="7E324F08" w14:textId="77777777" w:rsidR="003855A7" w:rsidRPr="00FF1C3E" w:rsidRDefault="003855A7" w:rsidP="00AC1CAF">
      <w:pPr>
        <w:pStyle w:val="Bullet0"/>
        <w:numPr>
          <w:ilvl w:val="0"/>
          <w:numId w:val="90"/>
        </w:numPr>
        <w:ind w:hanging="283"/>
        <w:rPr>
          <w:noProof/>
        </w:rPr>
      </w:pPr>
      <w:r w:rsidRPr="00FF1C3E">
        <w:rPr>
          <w:noProof/>
        </w:rPr>
        <w:t>ontwikkelen en uitvoeren van een nationaal systeem voor snelle waarschuwingen voor levensmiddelen en diervoeders en aansluiten ervan op het EU-systeem;</w:t>
      </w:r>
    </w:p>
    <w:p w14:paraId="6B0EE522" w14:textId="77777777" w:rsidR="003855A7" w:rsidRPr="00FF1C3E" w:rsidRDefault="003855A7" w:rsidP="00AC1CAF">
      <w:pPr>
        <w:pStyle w:val="Bullet0"/>
        <w:numPr>
          <w:ilvl w:val="0"/>
          <w:numId w:val="90"/>
        </w:numPr>
        <w:ind w:hanging="283"/>
        <w:rPr>
          <w:noProof/>
        </w:rPr>
      </w:pPr>
      <w:r w:rsidRPr="00FF1C3E">
        <w:rPr>
          <w:noProof/>
        </w:rPr>
        <w:t>in de Republiek Moldavië uitvoeren van het Europees certificerings- en controlesysteem voor wijn en alcoholhoudende producten die voor de EU-markten zijn bestemd;</w:t>
      </w:r>
    </w:p>
    <w:p w14:paraId="357933AD" w14:textId="77777777" w:rsidR="003855A7" w:rsidRPr="00FF1C3E" w:rsidRDefault="003855A7" w:rsidP="003855A7">
      <w:pPr>
        <w:spacing w:before="240" w:after="0"/>
        <w:rPr>
          <w:rFonts w:eastAsia="Times New Roman"/>
          <w:i/>
          <w:noProof/>
          <w:szCs w:val="24"/>
        </w:rPr>
      </w:pPr>
      <w:r w:rsidRPr="00FF1C3E">
        <w:rPr>
          <w:i/>
          <w:noProof/>
          <w:szCs w:val="24"/>
        </w:rPr>
        <w:t>– binnen zeven jaar:</w:t>
      </w:r>
    </w:p>
    <w:p w14:paraId="05C0441A" w14:textId="77777777" w:rsidR="003855A7" w:rsidRPr="00FF1C3E" w:rsidRDefault="003855A7" w:rsidP="00AC1CAF">
      <w:pPr>
        <w:pStyle w:val="Bullet0"/>
        <w:numPr>
          <w:ilvl w:val="0"/>
          <w:numId w:val="91"/>
        </w:numPr>
        <w:ind w:hanging="283"/>
        <w:rPr>
          <w:noProof/>
        </w:rPr>
      </w:pPr>
      <w:r w:rsidRPr="00FF1C3E">
        <w:rPr>
          <w:noProof/>
        </w:rPr>
        <w:t>ondersteunen van de inspanningen van het nationaal agentschap voor voedselveiligheid in het proces van accreditatie volgens ISO 17020 – Conformiteitsbeoordeling – Eisen voor het functioneren van verschillende soorten instellingen die keuringen uitvoeren.</w:t>
      </w:r>
    </w:p>
    <w:p w14:paraId="3C013B2A"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Douane en handelsbevordering</w:t>
      </w:r>
    </w:p>
    <w:p w14:paraId="16478A0F" w14:textId="77777777" w:rsidR="003855A7" w:rsidRPr="00FF1C3E" w:rsidRDefault="003855A7" w:rsidP="003855A7">
      <w:pPr>
        <w:spacing w:after="0" w:line="276" w:lineRule="auto"/>
        <w:rPr>
          <w:rFonts w:eastAsia="Times New Roman"/>
          <w:noProof/>
          <w:szCs w:val="24"/>
        </w:rPr>
      </w:pPr>
      <w:r w:rsidRPr="00FF1C3E">
        <w:rPr>
          <w:noProof/>
        </w:rPr>
        <w:t>De partijen werken samen om de wetgeving van de Republiek Moldavië in overeenstemming te brengen met het recht van de EU, de EU-douaneblauwdrukken en de internationale normen, binnen de termijnen en in overeenstemming met de eisen van hoofdstuk 5 en de desbetreffende bijlagen. Op korte termijn dient de Republiek Moldavië het douanewetboek van 2021 en de uitvoeringswetgeving ervan uit te voeren in overeenstemming met het douanewetboek van de Unie en andere in bijlage XXVI bij de associatieovereenkomst tussen de EU en de Republiek Moldavië vermelde handelingen; en te werken aan toetreding tot de Overeenkomst betreffende een gemeenschappelijke regeling inzake douanevervoer (momenteel alleen de status van waarnemer). Het proces ter waarborging van de wederzijdse erkenning van geautoriseerde marktdeelnemers moet ook op middellange termijn worden afgerond.</w:t>
      </w:r>
    </w:p>
    <w:p w14:paraId="51882615"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Oorsprongsregels</w:t>
      </w:r>
    </w:p>
    <w:p w14:paraId="6F29DC27" w14:textId="77777777" w:rsidR="003855A7" w:rsidRPr="00FF1C3E" w:rsidRDefault="003855A7" w:rsidP="003855A7">
      <w:pPr>
        <w:spacing w:after="0" w:line="276" w:lineRule="auto"/>
        <w:rPr>
          <w:rFonts w:eastAsia="Times New Roman"/>
          <w:noProof/>
          <w:szCs w:val="24"/>
        </w:rPr>
      </w:pPr>
      <w:r w:rsidRPr="00FF1C3E">
        <w:rPr>
          <w:noProof/>
        </w:rPr>
        <w:t>De partijen werken samen om de nieuwe bepalingen van de herziene pan-Euro-mediterrane conventie uit te voeren, met name op het gebied van bewijzen van oorsprong (uitgifte en verificatie, naleving van de oorsprongsregels) en douanesamenwerking, en om de nationale wetgeving hieraan aan te passen.</w:t>
      </w:r>
    </w:p>
    <w:p w14:paraId="33EFACEB"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Vestiging, handel in diensten en elektronische handel</w:t>
      </w:r>
    </w:p>
    <w:p w14:paraId="0CC98AD1" w14:textId="77777777" w:rsidR="003855A7" w:rsidRPr="00FF1C3E" w:rsidRDefault="003855A7" w:rsidP="003855A7">
      <w:pPr>
        <w:spacing w:after="0" w:line="276" w:lineRule="auto"/>
        <w:rPr>
          <w:rFonts w:eastAsia="Times New Roman"/>
          <w:noProof/>
          <w:szCs w:val="24"/>
        </w:rPr>
      </w:pPr>
      <w:r w:rsidRPr="00FF1C3E">
        <w:rPr>
          <w:noProof/>
        </w:rPr>
        <w:t xml:space="preserve">De partijen zetten hun dialoog voort over vestiging, handel in diensten en elektronische handel, overeenkomstig de desbetreffende bepalingen van hoofdstuk 6 en de desbetreffende bijlagen. Zij voeren de verbintenissen uit die zijn aangegaan met betrekking tot de diensten die onder dit hoofdstuk vallen, met inachtneming van de in de desbetreffende bijlagen vastgestelde termijnen. </w:t>
      </w:r>
    </w:p>
    <w:p w14:paraId="2ADF266E" w14:textId="77777777" w:rsidR="003855A7" w:rsidRPr="00FF1C3E" w:rsidRDefault="003855A7" w:rsidP="003855A7">
      <w:pPr>
        <w:spacing w:after="0" w:line="276" w:lineRule="auto"/>
        <w:rPr>
          <w:rFonts w:eastAsia="Times New Roman"/>
          <w:noProof/>
          <w:szCs w:val="24"/>
        </w:rPr>
      </w:pPr>
      <w:r w:rsidRPr="00FF1C3E">
        <w:rPr>
          <w:noProof/>
        </w:rPr>
        <w:t>De partijen werken samen ter ondersteuning van hervormingen ter verbetering van de sectorale samenwerking in de digitale economie en ter vergemakkelijking van de elektronische handel tussen beide partijen.</w:t>
      </w:r>
    </w:p>
    <w:p w14:paraId="4DD20DC5"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Overheidsopdrachten</w:t>
      </w:r>
    </w:p>
    <w:p w14:paraId="0E67272B" w14:textId="77777777" w:rsidR="003855A7" w:rsidRPr="00FF1C3E" w:rsidRDefault="003855A7" w:rsidP="003855A7">
      <w:pPr>
        <w:spacing w:line="276" w:lineRule="auto"/>
        <w:rPr>
          <w:rFonts w:eastAsia="Times New Roman"/>
          <w:noProof/>
          <w:szCs w:val="24"/>
        </w:rPr>
      </w:pPr>
      <w:r w:rsidRPr="00FF1C3E">
        <w:rPr>
          <w:noProof/>
        </w:rPr>
        <w:t>De partijen werken samen aan de uitvoering, door de Republiek Moldavië, van hoofdstuk 8 en de desbetreffende bijlagen. De uitvoering en handhaving van de wetswijzigingen in alle fasen van het indicatieve tijdschema voor institutionele hervorming, aanpassing van de wetgeving en markttoegang (stappenplan in bijlage XXIX-B) worden als prioriteit beschouwd. Onder voorbehoud van de bevestiging van de EU dat de voorwaarden in de verschillende fasen van dit stappenplan zijn vervuld, zal het Associatiecomité in zijn samenstelling voor handelsvraagstukken het desbetreffende gezamenlijk besluit vaststellen waarbij aanvullende wederzijdse markttoegang wordt verleend, zoals bepaald in het stappenplan.</w:t>
      </w:r>
    </w:p>
    <w:p w14:paraId="265665FA" w14:textId="77777777" w:rsidR="003855A7" w:rsidRPr="00FF1C3E" w:rsidRDefault="003855A7" w:rsidP="003855A7">
      <w:pPr>
        <w:spacing w:line="276" w:lineRule="auto"/>
        <w:rPr>
          <w:rFonts w:eastAsia="Times New Roman"/>
          <w:noProof/>
          <w:szCs w:val="24"/>
        </w:rPr>
      </w:pPr>
      <w:r w:rsidRPr="00FF1C3E">
        <w:rPr>
          <w:noProof/>
        </w:rPr>
        <w:t>De partijen moedigen de Moldavische regering aan door te gaan met de uitvoering van wetgevingshervormingen met het oog op de conformiteit van het systeem met EU- en internationale normen, met inbegrip van de ontwikkeling en uitrol van een elektronisch aanbestedingssysteem.</w:t>
      </w:r>
    </w:p>
    <w:p w14:paraId="5B92FAFD" w14:textId="77777777" w:rsidR="003855A7" w:rsidRPr="00FF1C3E" w:rsidRDefault="003855A7" w:rsidP="003855A7">
      <w:pPr>
        <w:spacing w:after="0" w:line="276" w:lineRule="auto"/>
        <w:rPr>
          <w:rFonts w:eastAsia="Times New Roman"/>
          <w:noProof/>
          <w:szCs w:val="24"/>
        </w:rPr>
      </w:pPr>
      <w:r w:rsidRPr="00FF1C3E">
        <w:rPr>
          <w:noProof/>
        </w:rPr>
        <w:t>De partijen blijven samenwerken om de nationale wetgeving inzake rechtsmiddelen en beroepsprocedures voor de gunning van overheidsopdrachten, sectorcontracten, concessies voor werken en dienstenconcessies te versterken.</w:t>
      </w:r>
    </w:p>
    <w:p w14:paraId="30B3AD94" w14:textId="77777777" w:rsidR="003855A7" w:rsidRPr="00FF1C3E" w:rsidRDefault="003855A7" w:rsidP="003855A7">
      <w:pPr>
        <w:spacing w:after="0" w:line="276" w:lineRule="auto"/>
        <w:rPr>
          <w:rFonts w:eastAsia="Times New Roman"/>
          <w:noProof/>
          <w:szCs w:val="24"/>
        </w:rPr>
      </w:pPr>
      <w:r w:rsidRPr="00FF1C3E">
        <w:rPr>
          <w:noProof/>
        </w:rPr>
        <w:t xml:space="preserve">De partijen blijven samenwerken op het gebied van transparantie en verantwoordingsplicht inzake overheidsopdrachten. </w:t>
      </w:r>
    </w:p>
    <w:p w14:paraId="7816CF4B"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Intellectuele-eigendomsrechten</w:t>
      </w:r>
    </w:p>
    <w:p w14:paraId="1E1B69DB" w14:textId="77777777" w:rsidR="003855A7" w:rsidRPr="00FF1C3E" w:rsidRDefault="003855A7" w:rsidP="003855A7">
      <w:pPr>
        <w:spacing w:after="0" w:line="276" w:lineRule="auto"/>
        <w:rPr>
          <w:rFonts w:eastAsia="Times New Roman"/>
          <w:noProof/>
          <w:szCs w:val="24"/>
        </w:rPr>
      </w:pPr>
      <w:bookmarkStart w:id="21" w:name="_Hlk59189778"/>
      <w:bookmarkEnd w:id="21"/>
      <w:r w:rsidRPr="00FF1C3E">
        <w:rPr>
          <w:noProof/>
        </w:rPr>
        <w:t>De partijen blijven samenwerken om de wetgeving van de Republiek Moldavië in overeenstemming te brengen met de wetgeving van de EU en de internationale normen inzake de bescherming van intellectuele-eigendomsrechten, met inbegrip van geografische aanduidingen, zoals bepaald in hoofdstuk 9. De bevoegde nationale instellingen in de Republiek Moldavië zorgen voor een goede handhaving en uitvoering van deze bepalingen.</w:t>
      </w:r>
    </w:p>
    <w:p w14:paraId="1CB8C8E8"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Mededinging</w:t>
      </w:r>
    </w:p>
    <w:p w14:paraId="780037A8" w14:textId="77777777" w:rsidR="003855A7" w:rsidRPr="00FF1C3E" w:rsidRDefault="003855A7" w:rsidP="003855A7">
      <w:pPr>
        <w:spacing w:after="0" w:line="276" w:lineRule="auto"/>
        <w:rPr>
          <w:rFonts w:eastAsia="Times New Roman"/>
          <w:noProof/>
          <w:szCs w:val="24"/>
        </w:rPr>
      </w:pPr>
      <w:r w:rsidRPr="00FF1C3E">
        <w:rPr>
          <w:noProof/>
        </w:rPr>
        <w:t>De partijen werken samen om hoofdstuk 10 uit te voeren. Deze samenwerking zal gericht zijn op het institutionele kader en op de bestuurlijke capaciteit van de mededingingsautoriteit van de Republiek Moldavië, inclusief op basis van het nieuwe mededingingsinstrument van de EU inzake digitale platforms en markten, teneinde de effectieve uitvoering van de mededingingswetgeving te waarborgen.</w:t>
      </w:r>
    </w:p>
    <w:p w14:paraId="3B641DE5"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Transparantie</w:t>
      </w:r>
    </w:p>
    <w:p w14:paraId="0ADBA965" w14:textId="77777777" w:rsidR="003855A7" w:rsidRPr="00FF1C3E" w:rsidRDefault="003855A7" w:rsidP="003855A7">
      <w:pPr>
        <w:spacing w:after="0" w:line="276" w:lineRule="auto"/>
        <w:rPr>
          <w:rFonts w:eastAsia="Times New Roman"/>
          <w:noProof/>
          <w:szCs w:val="24"/>
        </w:rPr>
      </w:pPr>
      <w:r w:rsidRPr="00FF1C3E">
        <w:rPr>
          <w:noProof/>
        </w:rPr>
        <w:t>De vrije en gemakkelijke toegang tot openbare informatie, zoals bepaald in de wet, wordt gewaarborgd. De Republiek Moldavië dient de verbintenissen inzake transparantie na te komen overeenkomstig de bepalingen van hoofdstuk 12, met inbegrip van de bekendmaking van overheidsbesluiten en het beheer van algemene maatregelen.</w:t>
      </w:r>
    </w:p>
    <w:p w14:paraId="27FE3AF2" w14:textId="77777777" w:rsidR="003855A7" w:rsidRPr="00FF1C3E" w:rsidRDefault="003855A7" w:rsidP="00D95F1C">
      <w:pPr>
        <w:pStyle w:val="Bullet0"/>
        <w:numPr>
          <w:ilvl w:val="0"/>
          <w:numId w:val="94"/>
        </w:numPr>
        <w:tabs>
          <w:tab w:val="clear" w:pos="850"/>
          <w:tab w:val="num" w:pos="284"/>
        </w:tabs>
        <w:ind w:left="284" w:hanging="284"/>
        <w:rPr>
          <w:b/>
          <w:i/>
          <w:noProof/>
        </w:rPr>
      </w:pPr>
      <w:r w:rsidRPr="00FF1C3E">
        <w:rPr>
          <w:b/>
          <w:i/>
          <w:noProof/>
        </w:rPr>
        <w:t>Handel en duurzame ontwikkeling</w:t>
      </w:r>
    </w:p>
    <w:p w14:paraId="5F2812AE" w14:textId="438AC223" w:rsidR="003855A7" w:rsidRPr="00FF1C3E" w:rsidRDefault="003855A7" w:rsidP="003855A7">
      <w:pPr>
        <w:spacing w:after="0" w:line="276" w:lineRule="auto"/>
        <w:rPr>
          <w:rFonts w:eastAsia="Times New Roman"/>
          <w:noProof/>
          <w:szCs w:val="24"/>
        </w:rPr>
      </w:pPr>
      <w:r w:rsidRPr="00FF1C3E">
        <w:rPr>
          <w:noProof/>
        </w:rPr>
        <w:t>De partijen zetten hun dialoog en werkzaamheden voort inzake de kwesties die worden beschreven in hoofdstuk 13. Dit betreft met name de uitwisseling van informatie over de ontwikkelingen op het gebied van arbeidsnormen, de invoering van een passend arbeidsinspectiesysteem dat voldoet aan alle internationale fundamentele arbeidsnormen, en de uitvoering van de arbeidswet, in overeenstemming met de desbetreffende IAO-normen</w:t>
      </w:r>
      <w:r w:rsidRPr="00FF1C3E">
        <w:rPr>
          <w:rStyle w:val="FootnoteReference"/>
          <w:noProof/>
        </w:rPr>
        <w:footnoteReference w:id="7"/>
      </w:r>
      <w:r w:rsidRPr="00FF1C3E">
        <w:rPr>
          <w:noProof/>
        </w:rPr>
        <w:t>.</w:t>
      </w:r>
      <w:r w:rsidR="00CF77FF" w:rsidRPr="00FF1C3E">
        <w:rPr>
          <w:noProof/>
        </w:rPr>
        <w:t xml:space="preserve"> </w:t>
      </w:r>
      <w:r w:rsidRPr="00FF1C3E">
        <w:rPr>
          <w:noProof/>
        </w:rPr>
        <w:t>De prioriteit voor de korte termijn is in dit verband te zorgen voor effectief toezicht op en controle van de wetgeving en voorwaarden op het gebied van gezondheid en veiligheid op het werk, in overeenstemming met de IAO-normen en de EU-beginselen in de Republiek Moldavië (rechtskader en capaciteit) en voor de middellange termijn om arbeidsbescherming te handhaven en fatsoenlijk werk te bevorderen. Er wordt ook toezicht gehouden op de uitvoering van multilaterale milieuovereenkomsten waarbij beide partijen partij zijn.</w:t>
      </w:r>
    </w:p>
    <w:p w14:paraId="1F6182F7" w14:textId="77777777" w:rsidR="003855A7" w:rsidRPr="00FF1C3E" w:rsidRDefault="003855A7" w:rsidP="003855A7">
      <w:pPr>
        <w:spacing w:after="0"/>
        <w:rPr>
          <w:rFonts w:eastAsia="Times New Roman"/>
          <w:noProof/>
          <w:szCs w:val="24"/>
        </w:rPr>
      </w:pPr>
    </w:p>
    <w:p w14:paraId="60338718" w14:textId="0A12F253" w:rsidR="003855A7" w:rsidRPr="00FF1C3E" w:rsidRDefault="003855A7" w:rsidP="00CF77FF">
      <w:pPr>
        <w:spacing w:after="0"/>
        <w:jc w:val="center"/>
        <w:rPr>
          <w:rFonts w:eastAsia="Times New Roman"/>
          <w:noProof/>
          <w:szCs w:val="24"/>
        </w:rPr>
      </w:pPr>
      <w:r w:rsidRPr="00FF1C3E">
        <w:rPr>
          <w:noProof/>
        </w:rPr>
        <w:t>______________</w:t>
      </w:r>
    </w:p>
    <w:sectPr w:rsidR="003855A7" w:rsidRPr="00FF1C3E" w:rsidSect="001E4E00">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A90E" w14:textId="77777777" w:rsidR="00FF1C3E" w:rsidRDefault="00FF1C3E" w:rsidP="00AF6ECE">
      <w:pPr>
        <w:spacing w:before="0" w:after="0"/>
      </w:pPr>
      <w:r>
        <w:separator/>
      </w:r>
    </w:p>
  </w:endnote>
  <w:endnote w:type="continuationSeparator" w:id="0">
    <w:p w14:paraId="0E79331A" w14:textId="77777777" w:rsidR="00FF1C3E" w:rsidRDefault="00FF1C3E" w:rsidP="00AF6E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7215" w14:textId="77777777" w:rsidR="001E4E00" w:rsidRPr="001E4E00" w:rsidRDefault="001E4E00" w:rsidP="001E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225F" w14:textId="32604C24" w:rsidR="00FF1C3E" w:rsidRPr="001E4E00" w:rsidRDefault="001E4E00" w:rsidP="001E4E00">
    <w:pPr>
      <w:pStyle w:val="Footer"/>
      <w:rPr>
        <w:rFonts w:ascii="Arial" w:hAnsi="Arial" w:cs="Arial"/>
        <w:b/>
        <w:sz w:val="48"/>
      </w:rPr>
    </w:pPr>
    <w:r w:rsidRPr="001E4E00">
      <w:rPr>
        <w:rFonts w:ascii="Arial" w:hAnsi="Arial" w:cs="Arial"/>
        <w:b/>
        <w:sz w:val="48"/>
      </w:rPr>
      <w:t>NL</w:t>
    </w:r>
    <w:r w:rsidRPr="001E4E00">
      <w:rPr>
        <w:rFonts w:ascii="Arial" w:hAnsi="Arial" w:cs="Arial"/>
        <w:b/>
        <w:sz w:val="48"/>
      </w:rPr>
      <w:tab/>
    </w:r>
    <w:r w:rsidRPr="001E4E00">
      <w:rPr>
        <w:rFonts w:ascii="Arial" w:hAnsi="Arial" w:cs="Arial"/>
        <w:b/>
        <w:sz w:val="48"/>
      </w:rPr>
      <w:tab/>
    </w:r>
    <w:r w:rsidRPr="001E4E00">
      <w:tab/>
    </w:r>
    <w:r w:rsidRPr="001E4E00">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5F25" w14:textId="77777777" w:rsidR="001E4E00" w:rsidRPr="001E4E00" w:rsidRDefault="001E4E00" w:rsidP="001E4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1CFC" w14:textId="22F70404" w:rsidR="001E4E00" w:rsidRPr="001E4E00" w:rsidRDefault="001E4E00" w:rsidP="001E4E00">
    <w:pPr>
      <w:pStyle w:val="Footer"/>
      <w:rPr>
        <w:rFonts w:ascii="Arial" w:hAnsi="Arial" w:cs="Arial"/>
        <w:b/>
        <w:sz w:val="48"/>
      </w:rPr>
    </w:pPr>
    <w:r w:rsidRPr="001E4E00">
      <w:rPr>
        <w:rFonts w:ascii="Arial" w:hAnsi="Arial" w:cs="Arial"/>
        <w:b/>
        <w:sz w:val="48"/>
      </w:rPr>
      <w:t>NL</w:t>
    </w:r>
    <w:r w:rsidRPr="001E4E0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4E00">
      <w:tab/>
    </w:r>
    <w:r w:rsidRPr="001E4E00">
      <w:rPr>
        <w:rFonts w:ascii="Arial" w:hAnsi="Arial" w:cs="Arial"/>
        <w:b/>
        <w:sz w:val="48"/>
      </w:rPr>
      <w:t>NL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53A6" w14:textId="77777777" w:rsidR="001E4E00" w:rsidRPr="001E4E00" w:rsidRDefault="001E4E00" w:rsidP="001E4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1F1C" w14:textId="77777777" w:rsidR="00FF1C3E" w:rsidRDefault="00FF1C3E" w:rsidP="00AF6ECE">
      <w:pPr>
        <w:spacing w:before="0" w:after="0"/>
      </w:pPr>
      <w:r>
        <w:separator/>
      </w:r>
    </w:p>
  </w:footnote>
  <w:footnote w:type="continuationSeparator" w:id="0">
    <w:p w14:paraId="494F6E04" w14:textId="77777777" w:rsidR="00FF1C3E" w:rsidRDefault="00FF1C3E" w:rsidP="00AF6ECE">
      <w:pPr>
        <w:spacing w:before="0" w:after="0"/>
      </w:pPr>
      <w:r>
        <w:continuationSeparator/>
      </w:r>
    </w:p>
  </w:footnote>
  <w:footnote w:id="1">
    <w:p w14:paraId="5C800FEE" w14:textId="77777777" w:rsidR="00FF1C3E" w:rsidRPr="00CF77FF" w:rsidRDefault="00FF1C3E" w:rsidP="003855A7">
      <w:pPr>
        <w:pStyle w:val="FootnoteText"/>
      </w:pPr>
      <w:r>
        <w:rPr>
          <w:rStyle w:val="FootnoteReference"/>
        </w:rPr>
        <w:footnoteRef/>
      </w:r>
      <w:r w:rsidRPr="00CF77FF">
        <w:tab/>
        <w:t>PB EU L 260 van 30.8.2014, blz. 4.</w:t>
      </w:r>
    </w:p>
  </w:footnote>
  <w:footnote w:id="2">
    <w:p w14:paraId="37F017E5" w14:textId="77777777" w:rsidR="00FF1C3E" w:rsidRPr="00CF77FF" w:rsidRDefault="00FF1C3E" w:rsidP="003855A7">
      <w:pPr>
        <w:pStyle w:val="FootnoteText"/>
      </w:pPr>
      <w:r>
        <w:rPr>
          <w:rStyle w:val="FootnoteReference"/>
        </w:rPr>
        <w:sym w:font="Symbol" w:char="F02A"/>
      </w:r>
      <w:r w:rsidRPr="00CF77FF">
        <w:tab/>
        <w:t>Doc. St 10057/17.</w:t>
      </w:r>
    </w:p>
  </w:footnote>
  <w:footnote w:id="3">
    <w:p w14:paraId="76AD7BB0" w14:textId="2F715EF2" w:rsidR="00FF1C3E" w:rsidRPr="00CF77FF" w:rsidRDefault="00FF1C3E" w:rsidP="0068337C">
      <w:pPr>
        <w:pStyle w:val="FootnoteText"/>
        <w:ind w:left="0" w:firstLine="0"/>
      </w:pPr>
      <w:r>
        <w:rPr>
          <w:rStyle w:val="FootnoteReference"/>
        </w:rPr>
        <w:footnoteRef/>
      </w:r>
      <w:r w:rsidRPr="00CF77FF">
        <w:tab/>
        <w:t>Naast het multilaterale traject van het Oostelijk Partnerschap verdiept het EU-kader voor de Synergie voor het Zwarte Zeegebied deze prioriteiten door middel van regionale samenwerking, met bijzondere aandacht voor de blauwe economie en de gemeenschappelijke maritieme agenda voor het Zwarte Zeegebied. Het voordeel van de Synergie voor het Zwarte Zeegebied en de uitvoering daarvan wordt erkend in de conclusies van de Raad Buitenlandse Zaken van juni 2019 over de betrokkenheid van de EU bij regionale samenwerking in het Zwarte Zeegebied.</w:t>
      </w:r>
    </w:p>
  </w:footnote>
  <w:footnote w:id="4">
    <w:p w14:paraId="7234804E" w14:textId="77777777" w:rsidR="00FF1C3E" w:rsidRPr="00CF77FF" w:rsidRDefault="00FF1C3E" w:rsidP="003855A7">
      <w:pPr>
        <w:pBdr>
          <w:top w:val="nil"/>
          <w:left w:val="nil"/>
          <w:bottom w:val="nil"/>
          <w:right w:val="nil"/>
          <w:between w:val="nil"/>
        </w:pBdr>
        <w:spacing w:after="0"/>
        <w:rPr>
          <w:color w:val="000000"/>
          <w:sz w:val="20"/>
          <w:szCs w:val="20"/>
        </w:rPr>
      </w:pPr>
      <w:r>
        <w:rPr>
          <w:rStyle w:val="FootnoteReference"/>
        </w:rPr>
        <w:footnoteRef/>
      </w:r>
      <w:r w:rsidRPr="00CF77FF">
        <w:rPr>
          <w:color w:val="000000"/>
          <w:sz w:val="20"/>
          <w:szCs w:val="20"/>
        </w:rPr>
        <w:tab/>
        <w:t>In overeenstemming met de richtsnoeren voor een betere verzameling en een beter</w:t>
      </w:r>
      <w:r w:rsidRPr="00CF77FF">
        <w:rPr>
          <w:color w:val="000000"/>
          <w:sz w:val="20"/>
          <w:szCs w:val="20"/>
        </w:rPr>
        <w:cr/>
      </w:r>
      <w:r w:rsidRPr="00CF77FF">
        <w:rPr>
          <w:color w:val="000000"/>
          <w:sz w:val="20"/>
          <w:szCs w:val="20"/>
        </w:rPr>
        <w:br/>
        <w:t xml:space="preserve">gebruik van gegevens over gelijkheid van de groep op hoog niveau inzake non-discriminatie, gelijkheid en diversiteit, subgroep gegevens over gelijkheid, van juli 2018, beschikbaar op </w:t>
      </w:r>
      <w:hyperlink r:id="rId1">
        <w:r w:rsidRPr="00CF77FF">
          <w:rPr>
            <w:color w:val="0563C1"/>
            <w:sz w:val="20"/>
            <w:szCs w:val="20"/>
            <w:u w:val="single"/>
          </w:rPr>
          <w:t>https://ec.europa.eu/info/sites/default/files/nl-richtsnoeren_voor_een_betere_verzameling_en_een_beter_gebruik_van_gegevens_over_gelijkheid.pdf</w:t>
        </w:r>
      </w:hyperlink>
    </w:p>
  </w:footnote>
  <w:footnote w:id="5">
    <w:p w14:paraId="632B2513" w14:textId="77777777" w:rsidR="00FF1C3E" w:rsidRPr="00CF77FF" w:rsidRDefault="00FF1C3E" w:rsidP="003855A7">
      <w:pPr>
        <w:pBdr>
          <w:top w:val="nil"/>
          <w:left w:val="nil"/>
          <w:bottom w:val="nil"/>
          <w:right w:val="nil"/>
          <w:between w:val="nil"/>
        </w:pBdr>
        <w:spacing w:after="0"/>
        <w:rPr>
          <w:color w:val="000000"/>
          <w:sz w:val="20"/>
          <w:szCs w:val="20"/>
        </w:rPr>
      </w:pPr>
      <w:r>
        <w:rPr>
          <w:rStyle w:val="FootnoteReference"/>
        </w:rPr>
        <w:footnoteRef/>
      </w:r>
      <w:r w:rsidRPr="00CF77FF">
        <w:rPr>
          <w:color w:val="000000"/>
          <w:sz w:val="20"/>
          <w:szCs w:val="20"/>
        </w:rPr>
        <w:tab/>
        <w:t>Overeenkomstig de richtsnoeren van de Raad van Europa wordt onder evenwichtige deelname van vrouwen en mannen verstaan dat het aandeel vrouwen of mannen in een besluitvormingsorgaan in het politieke of openbare leven niet minder dan 40 % mag bedragen (Aanbeveling Rec(2003)3 van het Comité van ministers aan de lidstaten over evenwichtige deelname van vrouwen en mannen aan de politieke en openbare besluitvorming).</w:t>
      </w:r>
    </w:p>
  </w:footnote>
  <w:footnote w:id="6">
    <w:p w14:paraId="093A23BF" w14:textId="77777777" w:rsidR="00FF1C3E" w:rsidRPr="00CF77FF" w:rsidRDefault="00FF1C3E" w:rsidP="003855A7">
      <w:pPr>
        <w:pBdr>
          <w:top w:val="nil"/>
          <w:left w:val="nil"/>
          <w:bottom w:val="nil"/>
          <w:right w:val="nil"/>
          <w:between w:val="nil"/>
        </w:pBdr>
        <w:spacing w:after="0"/>
        <w:rPr>
          <w:color w:val="000000"/>
          <w:sz w:val="20"/>
          <w:szCs w:val="20"/>
        </w:rPr>
      </w:pPr>
      <w:r>
        <w:rPr>
          <w:rStyle w:val="FootnoteReference"/>
        </w:rPr>
        <w:footnoteRef/>
      </w:r>
      <w:r w:rsidRPr="00CF77FF">
        <w:tab/>
      </w:r>
      <w:r w:rsidRPr="00CF77FF">
        <w:rPr>
          <w:color w:val="000000"/>
          <w:sz w:val="18"/>
          <w:szCs w:val="18"/>
        </w:rPr>
        <w:t xml:space="preserve">Besluit nr. 1/2020 van het Associatiecomité EU-Republiek Moldavië in zijn samenstelling voor handelsvraagstukken van 23 januari 2020 betreffende de actualisering van bijlage XV (Afschaffing van douanerechten) bij de Associatieovereenkomst tussen de Europese Unie en de Europese Gemeenschap voor Atoomenergie en hun lidstaten enerzijds en de Republiek Moldavië anderzijds. </w:t>
      </w:r>
    </w:p>
  </w:footnote>
  <w:footnote w:id="7">
    <w:p w14:paraId="167A01B3" w14:textId="77777777" w:rsidR="00FF1C3E" w:rsidRPr="00CF77FF" w:rsidRDefault="00FF1C3E" w:rsidP="003855A7">
      <w:pPr>
        <w:pBdr>
          <w:top w:val="nil"/>
          <w:left w:val="nil"/>
          <w:bottom w:val="nil"/>
          <w:right w:val="nil"/>
          <w:between w:val="nil"/>
        </w:pBdr>
        <w:spacing w:after="0"/>
        <w:rPr>
          <w:color w:val="000000"/>
          <w:sz w:val="20"/>
          <w:szCs w:val="20"/>
        </w:rPr>
      </w:pPr>
      <w:r>
        <w:rPr>
          <w:rStyle w:val="FootnoteReference"/>
        </w:rPr>
        <w:footnoteRef/>
      </w:r>
      <w:r w:rsidRPr="00CF77FF">
        <w:tab/>
      </w:r>
      <w:r w:rsidRPr="00CF77FF">
        <w:rPr>
          <w:color w:val="000000"/>
          <w:sz w:val="20"/>
          <w:szCs w:val="20"/>
        </w:rPr>
        <w:t>De partijen houden er rekening mee dat de prioriteiten met betrekking tot de vakbondsrechten en fundamentele arbeidsnormen van punt I.11 en de prioriteiten van punt IV.9 (Werkgelegenheid, sociale zaken en gelijke kansen) van groot belang zijn voor de uitvoering van het hoofdstuk “Handel en duurzame ontwikkeling” en dat deze prioriteiten derhalve in het kader van dit onderdeel van de associatieovereenkomst moeten worden aangepakt.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92AF" w14:textId="77777777" w:rsidR="001E4E00" w:rsidRPr="001E4E00" w:rsidRDefault="001E4E00" w:rsidP="001E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EF6A" w14:textId="77777777" w:rsidR="001E4E00" w:rsidRPr="001E4E00" w:rsidRDefault="001E4E00" w:rsidP="001E4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0E34" w14:textId="77777777" w:rsidR="001E4E00" w:rsidRPr="001E4E00" w:rsidRDefault="001E4E00" w:rsidP="001E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2506F9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0B267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C2817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2CEC6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EC2EC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13292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56811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40C89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1" w15:restartNumberingAfterBreak="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num>
  <w:num w:numId="6">
    <w:abstractNumId w:val="10"/>
  </w:num>
  <w:num w:numId="7">
    <w:abstractNumId w:val="26"/>
  </w:num>
  <w:num w:numId="8">
    <w:abstractNumId w:val="14"/>
  </w:num>
  <w:num w:numId="9">
    <w:abstractNumId w:val="23"/>
  </w:num>
  <w:num w:numId="10">
    <w:abstractNumId w:val="6"/>
  </w:num>
  <w:num w:numId="11">
    <w:abstractNumId w:val="2"/>
  </w:num>
  <w:num w:numId="12">
    <w:abstractNumId w:val="1"/>
  </w:num>
  <w:num w:numId="13">
    <w:abstractNumId w:val="0"/>
  </w:num>
  <w:num w:numId="14">
    <w:abstractNumId w:val="27"/>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1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8"/>
    <w:lvlOverride w:ilvl="0">
      <w:startOverride w:val="1"/>
    </w:lvlOverride>
  </w:num>
  <w:num w:numId="57">
    <w:abstractNumId w:val="18"/>
    <w:lvlOverride w:ilvl="0">
      <w:startOverride w:val="1"/>
    </w:lvlOverride>
  </w:num>
  <w:num w:numId="58">
    <w:abstractNumId w:val="18"/>
    <w:lvlOverride w:ilvl="0">
      <w:startOverride w:val="1"/>
    </w:lvlOverride>
  </w:num>
  <w:num w:numId="59">
    <w:abstractNumId w:val="18"/>
    <w:lvlOverride w:ilvl="0">
      <w:startOverride w:val="1"/>
    </w:lvlOverride>
  </w:num>
  <w:num w:numId="60">
    <w:abstractNumId w:val="18"/>
    <w:lvlOverride w:ilvl="0">
      <w:startOverride w:val="1"/>
    </w:lvlOverride>
  </w:num>
  <w:num w:numId="61">
    <w:abstractNumId w:val="18"/>
    <w:lvlOverride w:ilvl="0">
      <w:startOverride w:val="1"/>
    </w:lvlOverride>
  </w:num>
  <w:num w:numId="62">
    <w:abstractNumId w:val="18"/>
    <w:lvlOverride w:ilvl="0">
      <w:startOverride w:val="1"/>
    </w:lvlOverride>
  </w:num>
  <w:num w:numId="63">
    <w:abstractNumId w:val="18"/>
    <w:lvlOverride w:ilvl="0">
      <w:startOverride w:val="1"/>
    </w:lvlOverride>
  </w:num>
  <w:num w:numId="64">
    <w:abstractNumId w:val="18"/>
    <w:lvlOverride w:ilvl="0">
      <w:startOverride w:val="1"/>
    </w:lvlOverride>
  </w:num>
  <w:num w:numId="65">
    <w:abstractNumId w:val="18"/>
    <w:lvlOverride w:ilvl="0">
      <w:startOverride w:val="1"/>
    </w:lvlOverride>
  </w:num>
  <w:num w:numId="66">
    <w:abstractNumId w:val="18"/>
    <w:lvlOverride w:ilvl="0">
      <w:startOverride w:val="1"/>
    </w:lvlOverride>
  </w:num>
  <w:num w:numId="67">
    <w:abstractNumId w:val="18"/>
    <w:lvlOverride w:ilvl="0">
      <w:startOverride w:val="1"/>
    </w:lvlOverride>
  </w:num>
  <w:num w:numId="68">
    <w:abstractNumId w:val="18"/>
    <w:lvlOverride w:ilvl="0">
      <w:startOverride w:val="1"/>
    </w:lvlOverride>
  </w:num>
  <w:num w:numId="69">
    <w:abstractNumId w:val="18"/>
    <w:lvlOverride w:ilvl="0">
      <w:startOverride w:val="1"/>
    </w:lvlOverride>
  </w:num>
  <w:num w:numId="70">
    <w:abstractNumId w:val="18"/>
    <w:lvlOverride w:ilvl="0">
      <w:startOverride w:val="1"/>
    </w:lvlOverride>
  </w:num>
  <w:num w:numId="71">
    <w:abstractNumId w:val="18"/>
    <w:lvlOverride w:ilvl="0">
      <w:startOverride w:val="1"/>
    </w:lvlOverride>
  </w:num>
  <w:num w:numId="72">
    <w:abstractNumId w:val="18"/>
    <w:lvlOverride w:ilvl="0">
      <w:startOverride w:val="1"/>
    </w:lvlOverride>
  </w:num>
  <w:num w:numId="73">
    <w:abstractNumId w:val="18"/>
    <w:lvlOverride w:ilvl="0">
      <w:startOverride w:val="1"/>
    </w:lvlOverride>
  </w:num>
  <w:num w:numId="74">
    <w:abstractNumId w:val="18"/>
    <w:lvlOverride w:ilvl="0">
      <w:startOverride w:val="1"/>
    </w:lvlOverride>
  </w:num>
  <w:num w:numId="75">
    <w:abstractNumId w:val="18"/>
    <w:lvlOverride w:ilvl="0">
      <w:startOverride w:val="1"/>
    </w:lvlOverride>
  </w:num>
  <w:num w:numId="76">
    <w:abstractNumId w:val="18"/>
    <w:lvlOverride w:ilvl="0">
      <w:startOverride w:val="1"/>
    </w:lvlOverride>
  </w:num>
  <w:num w:numId="77">
    <w:abstractNumId w:val="18"/>
    <w:lvlOverride w:ilvl="0">
      <w:startOverride w:val="1"/>
    </w:lvlOverride>
  </w:num>
  <w:num w:numId="78">
    <w:abstractNumId w:val="18"/>
    <w:lvlOverride w:ilvl="0">
      <w:startOverride w:val="1"/>
    </w:lvlOverride>
  </w:num>
  <w:num w:numId="79">
    <w:abstractNumId w:val="18"/>
    <w:lvlOverride w:ilvl="0">
      <w:startOverride w:val="1"/>
    </w:lvlOverride>
  </w:num>
  <w:num w:numId="80">
    <w:abstractNumId w:val="18"/>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1"/>
    </w:lvlOverride>
  </w:num>
  <w:num w:numId="84">
    <w:abstractNumId w:val="18"/>
    <w:lvlOverride w:ilvl="0">
      <w:startOverride w:val="1"/>
    </w:lvlOverride>
  </w:num>
  <w:num w:numId="85">
    <w:abstractNumId w:val="18"/>
    <w:lvlOverride w:ilvl="0">
      <w:startOverride w:val="1"/>
    </w:lvlOverride>
  </w:num>
  <w:num w:numId="86">
    <w:abstractNumId w:val="18"/>
    <w:lvlOverride w:ilvl="0">
      <w:startOverride w:val="1"/>
    </w:lvlOverride>
  </w:num>
  <w:num w:numId="87">
    <w:abstractNumId w:val="18"/>
    <w:lvlOverride w:ilvl="0">
      <w:startOverride w:val="1"/>
    </w:lvlOverride>
  </w:num>
  <w:num w:numId="88">
    <w:abstractNumId w:val="18"/>
    <w:lvlOverride w:ilvl="0">
      <w:startOverride w:val="1"/>
    </w:lvlOverride>
  </w:num>
  <w:num w:numId="89">
    <w:abstractNumId w:val="18"/>
    <w:lvlOverride w:ilvl="0">
      <w:startOverride w:val="1"/>
    </w:lvlOverride>
  </w:num>
  <w:num w:numId="90">
    <w:abstractNumId w:val="18"/>
    <w:lvlOverride w:ilvl="0">
      <w:startOverride w:val="1"/>
    </w:lvlOverride>
  </w:num>
  <w:num w:numId="91">
    <w:abstractNumId w:val="18"/>
    <w:lvlOverride w:ilvl="0">
      <w:startOverride w:val="1"/>
    </w:lvlOverride>
  </w:num>
  <w:num w:numId="92">
    <w:abstractNumId w:val="15"/>
    <w:lvlOverride w:ilvl="0">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num>
  <w:num w:numId="97">
    <w:abstractNumId w:val="9"/>
  </w:num>
  <w:num w:numId="98">
    <w:abstractNumId w:val="24"/>
  </w:num>
  <w:num w:numId="99">
    <w:abstractNumId w:val="22"/>
  </w:num>
  <w:num w:numId="100">
    <w:abstractNumId w:val="15"/>
  </w:num>
  <w:num w:numId="101">
    <w:abstractNumId w:val="25"/>
  </w:num>
  <w:num w:numId="102">
    <w:abstractNumId w:val="13"/>
  </w:num>
  <w:num w:numId="103">
    <w:abstractNumId w:val="16"/>
  </w:num>
  <w:num w:numId="104">
    <w:abstractNumId w:val="9"/>
  </w:num>
  <w:num w:numId="105">
    <w:abstractNumId w:val="24"/>
  </w:num>
  <w:num w:numId="106">
    <w:abstractNumId w:val="8"/>
  </w:num>
  <w:num w:numId="107">
    <w:abstractNumId w:val="18"/>
  </w:num>
  <w:num w:numId="108">
    <w:abstractNumId w:val="20"/>
  </w:num>
  <w:num w:numId="109">
    <w:abstractNumId w:val="21"/>
  </w:num>
  <w:num w:numId="110">
    <w:abstractNumId w:val="12"/>
  </w:num>
  <w:num w:numId="111">
    <w:abstractNumId w:val="19"/>
  </w:num>
  <w:num w:numId="112">
    <w:abstractNumId w:val="27"/>
  </w:num>
  <w:num w:numId="113">
    <w:abstractNumId w:val="24"/>
  </w:num>
  <w:num w:numId="114">
    <w:abstractNumId w:val="24"/>
  </w:num>
  <w:num w:numId="115">
    <w:abstractNumId w:val="24"/>
  </w:num>
  <w:num w:numId="116">
    <w:abstractNumId w:val="17"/>
  </w:num>
  <w:num w:numId="117">
    <w:abstractNumId w:val="9"/>
  </w:num>
  <w:num w:numId="118">
    <w:abstractNumId w:val="9"/>
  </w:num>
  <w:num w:numId="119">
    <w:abstractNumId w:val="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nl-NL" w:vendorID="64" w:dllVersion="131078" w:nlCheck="1" w:checkStyle="0"/>
  <w:activeWritingStyle w:appName="MSWord" w:lang="en-GB" w:vendorID="64" w:dllVersion="131078" w:nlCheck="1" w:checkStyle="1"/>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2-27 19:48:5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542"/>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6"/>
    <w:docVar w:name="DQCStatus" w:val="Green"/>
    <w:docVar w:name="DQCVersion" w:val="3"/>
    <w:docVar w:name="DQCWithWarnings" w:val="0"/>
    <w:docVar w:name="LW_ACCOMPAGNANT" w:val="bij"/>
    <w:docVar w:name="LW_ACCOMPAGNANT.CP" w:val="bij"/>
    <w:docVar w:name="LW_ANNEX_NBR_FIRST" w:val="1"/>
    <w:docVar w:name="LW_ANNEX_NBR_LAST" w:val="1"/>
    <w:docVar w:name="LW_ANNEX_UNIQUE" w:val="1"/>
    <w:docVar w:name="LW_CORRIGENDUM" w:val="&lt;UNUSED&gt;"/>
    <w:docVar w:name="LW_COVERPAGE_EXISTS" w:val="True"/>
    <w:docVar w:name="LW_COVERPAGE_GUID" w:val="50408A8B-972C-49AE-B1E3-B46C49DB8428"/>
    <w:docVar w:name="LW_COVERPAGE_TYPE" w:val="1"/>
    <w:docVar w:name="LW_CROSSREFERENCE" w:val="&lt;UNUSED&gt;"/>
    <w:docVar w:name="LW_DocType" w:val="ANNEX"/>
    <w:docVar w:name="LW_EMISSION" w:val="28.2.2022"/>
    <w:docVar w:name="LW_EMISSION_ISODATE" w:val="2022-02-28"/>
    <w:docVar w:name="LW_EMISSION_LOCATION" w:val="BRX"/>
    <w:docVar w:name="LW_EMISSION_PREFIX" w:val="Brussel, "/>
    <w:docVar w:name="LW_EMISSION_SUFFIX" w:val=" "/>
    <w:docVar w:name="LW_ID_DOCSTRUCTURE" w:val="COM/ANNEX"/>
    <w:docVar w:name="LW_ID_DOCTYPE" w:val="SG-017"/>
    <w:docVar w:name="LW_LANGUE" w:val="NL"/>
    <w:docVar w:name="LW_LEVEL_OF_SENSITIVITY" w:val="Standard treatment"/>
    <w:docVar w:name="LW_NOM.INST" w:val="EUROPESE COMMISSIE"/>
    <w:docVar w:name="LW_NOM.INST_JOINTDOC" w:val="&lt;EMPTY&gt;"/>
    <w:docVar w:name="LW_OBJETACTEPRINCIPAL" w:val="betreffende het namens de Europese Unie in te nemen standpunt in de Associatieraad, opgericht krachtens de associatieovereenkomst tussen de Europese Unie en de Europese Gemeenschap voor Atoomenergie en hun lidstaten, enerzijds, en de Republiek Moldavië, anderzijds_x000b_"/>
    <w:docVar w:name="LW_OBJETACTEPRINCIPAL.CP" w:val="betreffende het namens de Europese Unie in te nemen standpunt in de Associatieraad, opgericht krachtens de associatieovereenkomst tussen de Europese Unie en de Europese Gemeenschap voor Atoomenergie en hun lidstaten, enerzijds, en de Republiek Moldavië, anderzijds_x000b_"/>
    <w:docVar w:name="LW_PART_NBR" w:val="1"/>
    <w:docVar w:name="LW_PART_NBR_TOTAL" w:val="1"/>
    <w:docVar w:name="LW_REF.INST.NEW" w:val="COM"/>
    <w:docVar w:name="LW_REF.INST.NEW_ADOPTED" w:val="final"/>
    <w:docVar w:name="LW_REF.INST.NEW_TEXT" w:val="(2022)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JLAGE"/>
    <w:docVar w:name="LW_TYPE.DOC.CP" w:val="BIJLAGE"/>
    <w:docVar w:name="LW_TYPEACTEPRINCIPAL" w:val="voorstel voor een BESLUIT VAN DE RAAD"/>
    <w:docVar w:name="LW_TYPEACTEPRINCIPAL.CP" w:val="voorstel voor een BESLUIT VAN DE RAAD"/>
    <w:docVar w:name="LwApiVersions" w:val="LW4CoDe 1.23.2.0; LW 8.0, Build 20211117"/>
  </w:docVars>
  <w:rsids>
    <w:rsidRoot w:val="00AF6ECE"/>
    <w:rsid w:val="000039B3"/>
    <w:rsid w:val="00010D39"/>
    <w:rsid w:val="000A618C"/>
    <w:rsid w:val="000D569D"/>
    <w:rsid w:val="000E198E"/>
    <w:rsid w:val="000E1FC7"/>
    <w:rsid w:val="000E4E21"/>
    <w:rsid w:val="0015588D"/>
    <w:rsid w:val="0016112D"/>
    <w:rsid w:val="00163BAF"/>
    <w:rsid w:val="0017732E"/>
    <w:rsid w:val="001B7544"/>
    <w:rsid w:val="001C2816"/>
    <w:rsid w:val="001D6F25"/>
    <w:rsid w:val="001E4E00"/>
    <w:rsid w:val="0022120D"/>
    <w:rsid w:val="00224BB6"/>
    <w:rsid w:val="0027717C"/>
    <w:rsid w:val="002E12B8"/>
    <w:rsid w:val="003144C2"/>
    <w:rsid w:val="00322E92"/>
    <w:rsid w:val="0033632C"/>
    <w:rsid w:val="003367E4"/>
    <w:rsid w:val="0034460D"/>
    <w:rsid w:val="00350D8F"/>
    <w:rsid w:val="003602F3"/>
    <w:rsid w:val="00360E83"/>
    <w:rsid w:val="003855A7"/>
    <w:rsid w:val="00454815"/>
    <w:rsid w:val="00462650"/>
    <w:rsid w:val="00482795"/>
    <w:rsid w:val="0048696A"/>
    <w:rsid w:val="004C1BBF"/>
    <w:rsid w:val="004E614D"/>
    <w:rsid w:val="004F59C5"/>
    <w:rsid w:val="00520F7A"/>
    <w:rsid w:val="005A2D98"/>
    <w:rsid w:val="006179E2"/>
    <w:rsid w:val="0068337C"/>
    <w:rsid w:val="006A1408"/>
    <w:rsid w:val="006A58EB"/>
    <w:rsid w:val="00731592"/>
    <w:rsid w:val="00761D40"/>
    <w:rsid w:val="00764809"/>
    <w:rsid w:val="007848F7"/>
    <w:rsid w:val="007C09E6"/>
    <w:rsid w:val="007C7FD3"/>
    <w:rsid w:val="007D47D7"/>
    <w:rsid w:val="007F6370"/>
    <w:rsid w:val="00813451"/>
    <w:rsid w:val="00820492"/>
    <w:rsid w:val="0082642E"/>
    <w:rsid w:val="008273AE"/>
    <w:rsid w:val="00827826"/>
    <w:rsid w:val="008505FE"/>
    <w:rsid w:val="008B4E0D"/>
    <w:rsid w:val="008D5227"/>
    <w:rsid w:val="00912FED"/>
    <w:rsid w:val="0091630E"/>
    <w:rsid w:val="00930635"/>
    <w:rsid w:val="00986B33"/>
    <w:rsid w:val="00987AD5"/>
    <w:rsid w:val="009B3096"/>
    <w:rsid w:val="009C39DA"/>
    <w:rsid w:val="009C7AFD"/>
    <w:rsid w:val="00A038EF"/>
    <w:rsid w:val="00A053DF"/>
    <w:rsid w:val="00A145EF"/>
    <w:rsid w:val="00A21A62"/>
    <w:rsid w:val="00A25C7E"/>
    <w:rsid w:val="00AC1CAF"/>
    <w:rsid w:val="00AC281C"/>
    <w:rsid w:val="00AC3AAC"/>
    <w:rsid w:val="00AC4A03"/>
    <w:rsid w:val="00AF3506"/>
    <w:rsid w:val="00AF6ECE"/>
    <w:rsid w:val="00B0131F"/>
    <w:rsid w:val="00B21E1D"/>
    <w:rsid w:val="00B711EC"/>
    <w:rsid w:val="00B720E2"/>
    <w:rsid w:val="00B856AB"/>
    <w:rsid w:val="00B9159D"/>
    <w:rsid w:val="00BB0CF3"/>
    <w:rsid w:val="00BE6F77"/>
    <w:rsid w:val="00BF17AA"/>
    <w:rsid w:val="00C24556"/>
    <w:rsid w:val="00C43AE1"/>
    <w:rsid w:val="00C56F91"/>
    <w:rsid w:val="00C726D0"/>
    <w:rsid w:val="00C76A34"/>
    <w:rsid w:val="00CE26B5"/>
    <w:rsid w:val="00CF77FF"/>
    <w:rsid w:val="00D346A9"/>
    <w:rsid w:val="00D35DCC"/>
    <w:rsid w:val="00D362F7"/>
    <w:rsid w:val="00D364A8"/>
    <w:rsid w:val="00D502D2"/>
    <w:rsid w:val="00D661BC"/>
    <w:rsid w:val="00D95F1C"/>
    <w:rsid w:val="00DA2273"/>
    <w:rsid w:val="00DB77A7"/>
    <w:rsid w:val="00DC24D2"/>
    <w:rsid w:val="00DD35BD"/>
    <w:rsid w:val="00DF1E2C"/>
    <w:rsid w:val="00E07B7A"/>
    <w:rsid w:val="00E1469F"/>
    <w:rsid w:val="00E22C07"/>
    <w:rsid w:val="00E871BC"/>
    <w:rsid w:val="00EF3BE1"/>
    <w:rsid w:val="00EF3FF8"/>
    <w:rsid w:val="00F469B0"/>
    <w:rsid w:val="00F509CA"/>
    <w:rsid w:val="00FD7092"/>
    <w:rsid w:val="00FF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D43DAF4"/>
  <w15:docId w15:val="{1808471D-F387-497D-AD45-B4B0EE7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BB0CF3"/>
    <w:pPr>
      <w:keepNext/>
      <w:numPr>
        <w:numId w:val="1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1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11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11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010D39"/>
    <w:pPr>
      <w:keepNext/>
      <w:numPr>
        <w:ilvl w:val="4"/>
        <w:numId w:val="115"/>
      </w:numPr>
      <w:outlineLvl w:val="4"/>
    </w:pPr>
    <w:rPr>
      <w:rFonts w:eastAsiaTheme="majorEastAsia"/>
    </w:rPr>
  </w:style>
  <w:style w:type="paragraph" w:styleId="Heading6">
    <w:name w:val="heading 6"/>
    <w:basedOn w:val="Normal"/>
    <w:next w:val="Text2"/>
    <w:link w:val="Heading6Char"/>
    <w:uiPriority w:val="9"/>
    <w:semiHidden/>
    <w:unhideWhenUsed/>
    <w:qFormat/>
    <w:rsid w:val="00010D39"/>
    <w:pPr>
      <w:keepNext/>
      <w:numPr>
        <w:ilvl w:val="5"/>
        <w:numId w:val="115"/>
      </w:numPr>
      <w:outlineLvl w:val="5"/>
    </w:pPr>
    <w:rPr>
      <w:rFonts w:eastAsiaTheme="majorEastAsia"/>
      <w:iCs/>
    </w:rPr>
  </w:style>
  <w:style w:type="paragraph" w:styleId="Heading7">
    <w:name w:val="heading 7"/>
    <w:basedOn w:val="Normal"/>
    <w:next w:val="Text2"/>
    <w:link w:val="Heading7Char"/>
    <w:uiPriority w:val="9"/>
    <w:semiHidden/>
    <w:unhideWhenUsed/>
    <w:qFormat/>
    <w:rsid w:val="00010D39"/>
    <w:pPr>
      <w:keepNext/>
      <w:numPr>
        <w:ilvl w:val="6"/>
        <w:numId w:val="1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720E2"/>
    <w:pPr>
      <w:numPr>
        <w:numId w:val="1"/>
      </w:numPr>
      <w:contextualSpacing/>
    </w:pPr>
  </w:style>
  <w:style w:type="paragraph" w:styleId="ListBullet2">
    <w:name w:val="List Bullet 2"/>
    <w:basedOn w:val="Normal"/>
    <w:uiPriority w:val="99"/>
    <w:semiHidden/>
    <w:unhideWhenUsed/>
    <w:rsid w:val="00B720E2"/>
    <w:pPr>
      <w:numPr>
        <w:numId w:val="2"/>
      </w:numPr>
      <w:contextualSpacing/>
    </w:pPr>
  </w:style>
  <w:style w:type="paragraph" w:styleId="ListBullet3">
    <w:name w:val="List Bullet 3"/>
    <w:basedOn w:val="Normal"/>
    <w:uiPriority w:val="99"/>
    <w:semiHidden/>
    <w:unhideWhenUsed/>
    <w:rsid w:val="00B720E2"/>
    <w:pPr>
      <w:numPr>
        <w:numId w:val="3"/>
      </w:numPr>
      <w:contextualSpacing/>
    </w:pPr>
  </w:style>
  <w:style w:type="paragraph" w:styleId="ListBullet4">
    <w:name w:val="List Bullet 4"/>
    <w:basedOn w:val="Normal"/>
    <w:uiPriority w:val="99"/>
    <w:semiHidden/>
    <w:unhideWhenUsed/>
    <w:rsid w:val="00B720E2"/>
    <w:pPr>
      <w:numPr>
        <w:numId w:val="4"/>
      </w:numPr>
      <w:contextualSpacing/>
    </w:pPr>
  </w:style>
  <w:style w:type="paragraph" w:customStyle="1" w:styleId="HeaderCouncilLarge">
    <w:name w:val="Header Council Large"/>
    <w:basedOn w:val="Normal"/>
    <w:link w:val="HeaderCouncilLargeChar"/>
    <w:rsid w:val="003855A7"/>
    <w:pPr>
      <w:spacing w:before="0" w:after="440" w:line="360" w:lineRule="auto"/>
      <w:jc w:val="left"/>
    </w:pPr>
    <w:rPr>
      <w:sz w:val="2"/>
    </w:rPr>
  </w:style>
  <w:style w:type="character" w:customStyle="1" w:styleId="LignefinalChar">
    <w:name w:val="Ligne final Char"/>
    <w:basedOn w:val="DefaultParagraphFont"/>
    <w:rsid w:val="003855A7"/>
    <w:rPr>
      <w:rFonts w:ascii="Times New Roman" w:hAnsi="Times New Roman" w:cs="Times New Roman"/>
      <w:b/>
      <w:sz w:val="24"/>
      <w:lang w:val="nl-NL"/>
    </w:rPr>
  </w:style>
  <w:style w:type="character" w:customStyle="1" w:styleId="HeaderCouncilLargeChar">
    <w:name w:val="Header Council Large Char"/>
    <w:basedOn w:val="LignefinalChar"/>
    <w:link w:val="HeaderCouncilLarge"/>
    <w:rsid w:val="003855A7"/>
    <w:rPr>
      <w:rFonts w:ascii="Times New Roman" w:hAnsi="Times New Roman" w:cs="Times New Roman"/>
      <w:b w:val="0"/>
      <w:sz w:val="2"/>
      <w:lang w:val="nl-NL"/>
    </w:rPr>
  </w:style>
  <w:style w:type="paragraph" w:customStyle="1" w:styleId="FooterText">
    <w:name w:val="Footer Text"/>
    <w:basedOn w:val="Normal"/>
    <w:rsid w:val="003855A7"/>
    <w:pPr>
      <w:spacing w:before="0" w:after="0"/>
      <w:jc w:val="left"/>
    </w:pPr>
    <w:rPr>
      <w:rFonts w:eastAsia="Times New Roman"/>
      <w:szCs w:val="24"/>
    </w:rPr>
  </w:style>
  <w:style w:type="paragraph" w:customStyle="1" w:styleId="FinalLine">
    <w:name w:val="Final Line"/>
    <w:basedOn w:val="Normal"/>
    <w:next w:val="Normal"/>
    <w:rsid w:val="003855A7"/>
    <w:pPr>
      <w:pBdr>
        <w:bottom w:val="single" w:sz="4" w:space="0" w:color="000000"/>
      </w:pBdr>
      <w:spacing w:before="360" w:line="360" w:lineRule="auto"/>
      <w:ind w:left="3400" w:right="3400"/>
      <w:jc w:val="center"/>
    </w:pPr>
    <w:rPr>
      <w:rFonts w:eastAsia="Times New Roman"/>
      <w:b/>
      <w:szCs w:val="24"/>
    </w:rPr>
  </w:style>
  <w:style w:type="paragraph" w:customStyle="1" w:styleId="Pointabc">
    <w:name w:val="Point abc"/>
    <w:basedOn w:val="Normal"/>
    <w:rsid w:val="003855A7"/>
    <w:pPr>
      <w:numPr>
        <w:ilvl w:val="1"/>
        <w:numId w:val="8"/>
      </w:numPr>
      <w:spacing w:line="360" w:lineRule="auto"/>
      <w:jc w:val="left"/>
    </w:pPr>
    <w:rPr>
      <w:rFonts w:eastAsia="Times New Roman"/>
      <w:szCs w:val="24"/>
    </w:rPr>
  </w:style>
  <w:style w:type="paragraph" w:customStyle="1" w:styleId="Pointabc1">
    <w:name w:val="Point abc (1)"/>
    <w:basedOn w:val="Normal"/>
    <w:rsid w:val="003855A7"/>
    <w:pPr>
      <w:numPr>
        <w:ilvl w:val="3"/>
        <w:numId w:val="8"/>
      </w:numPr>
      <w:spacing w:line="360" w:lineRule="auto"/>
      <w:jc w:val="left"/>
      <w:outlineLvl w:val="0"/>
    </w:pPr>
    <w:rPr>
      <w:rFonts w:eastAsia="Times New Roman"/>
      <w:szCs w:val="24"/>
    </w:rPr>
  </w:style>
  <w:style w:type="paragraph" w:customStyle="1" w:styleId="Pointabc2">
    <w:name w:val="Point abc (2)"/>
    <w:basedOn w:val="Normal"/>
    <w:rsid w:val="003855A7"/>
    <w:pPr>
      <w:numPr>
        <w:ilvl w:val="5"/>
        <w:numId w:val="8"/>
      </w:numPr>
      <w:spacing w:line="360" w:lineRule="auto"/>
      <w:jc w:val="left"/>
      <w:outlineLvl w:val="1"/>
    </w:pPr>
    <w:rPr>
      <w:rFonts w:eastAsia="Times New Roman"/>
      <w:szCs w:val="24"/>
    </w:rPr>
  </w:style>
  <w:style w:type="paragraph" w:customStyle="1" w:styleId="Pointabc3">
    <w:name w:val="Point abc (3)"/>
    <w:basedOn w:val="Normal"/>
    <w:rsid w:val="003855A7"/>
    <w:pPr>
      <w:numPr>
        <w:ilvl w:val="7"/>
        <w:numId w:val="8"/>
      </w:numPr>
      <w:spacing w:line="360" w:lineRule="auto"/>
      <w:jc w:val="left"/>
      <w:outlineLvl w:val="2"/>
    </w:pPr>
    <w:rPr>
      <w:rFonts w:eastAsia="Times New Roman"/>
      <w:szCs w:val="24"/>
    </w:rPr>
  </w:style>
  <w:style w:type="paragraph" w:customStyle="1" w:styleId="Pointabc4">
    <w:name w:val="Point abc (4)"/>
    <w:basedOn w:val="Normal"/>
    <w:rsid w:val="003855A7"/>
    <w:pPr>
      <w:numPr>
        <w:ilvl w:val="8"/>
        <w:numId w:val="8"/>
      </w:numPr>
      <w:spacing w:line="360" w:lineRule="auto"/>
      <w:jc w:val="left"/>
      <w:outlineLvl w:val="3"/>
    </w:pPr>
    <w:rPr>
      <w:rFonts w:eastAsia="Times New Roman"/>
      <w:szCs w:val="24"/>
    </w:rPr>
  </w:style>
  <w:style w:type="paragraph" w:customStyle="1" w:styleId="Point123">
    <w:name w:val="Point 123"/>
    <w:basedOn w:val="Normal"/>
    <w:rsid w:val="003855A7"/>
    <w:pPr>
      <w:numPr>
        <w:numId w:val="8"/>
      </w:numPr>
      <w:spacing w:line="360" w:lineRule="auto"/>
      <w:jc w:val="left"/>
    </w:pPr>
    <w:rPr>
      <w:rFonts w:eastAsia="Times New Roman"/>
      <w:szCs w:val="24"/>
    </w:rPr>
  </w:style>
  <w:style w:type="paragraph" w:customStyle="1" w:styleId="Point1231">
    <w:name w:val="Point 123 (1)"/>
    <w:basedOn w:val="Normal"/>
    <w:rsid w:val="003855A7"/>
    <w:pPr>
      <w:numPr>
        <w:ilvl w:val="2"/>
        <w:numId w:val="8"/>
      </w:numPr>
      <w:spacing w:line="360" w:lineRule="auto"/>
      <w:jc w:val="left"/>
      <w:outlineLvl w:val="0"/>
    </w:pPr>
    <w:rPr>
      <w:rFonts w:eastAsia="Times New Roman"/>
      <w:szCs w:val="24"/>
    </w:rPr>
  </w:style>
  <w:style w:type="paragraph" w:customStyle="1" w:styleId="Point1232">
    <w:name w:val="Point 123 (2)"/>
    <w:basedOn w:val="Normal"/>
    <w:rsid w:val="003855A7"/>
    <w:pPr>
      <w:numPr>
        <w:ilvl w:val="4"/>
        <w:numId w:val="8"/>
      </w:numPr>
      <w:spacing w:line="360" w:lineRule="auto"/>
      <w:jc w:val="left"/>
      <w:outlineLvl w:val="1"/>
    </w:pPr>
    <w:rPr>
      <w:rFonts w:eastAsia="Times New Roman"/>
      <w:szCs w:val="24"/>
    </w:rPr>
  </w:style>
  <w:style w:type="paragraph" w:customStyle="1" w:styleId="Point1233">
    <w:name w:val="Point 123 (3)"/>
    <w:basedOn w:val="Normal"/>
    <w:rsid w:val="003855A7"/>
    <w:pPr>
      <w:numPr>
        <w:ilvl w:val="6"/>
        <w:numId w:val="8"/>
      </w:numPr>
      <w:spacing w:line="360" w:lineRule="auto"/>
      <w:jc w:val="left"/>
      <w:outlineLvl w:val="2"/>
    </w:pPr>
    <w:rPr>
      <w:rFonts w:eastAsia="Times New Roman"/>
      <w:szCs w:val="24"/>
    </w:rPr>
  </w:style>
  <w:style w:type="paragraph" w:customStyle="1" w:styleId="Pointivx">
    <w:name w:val="Point ivx"/>
    <w:basedOn w:val="Normal"/>
    <w:rsid w:val="003855A7"/>
    <w:pPr>
      <w:numPr>
        <w:numId w:val="9"/>
      </w:numPr>
      <w:spacing w:line="360" w:lineRule="auto"/>
      <w:jc w:val="left"/>
    </w:pPr>
    <w:rPr>
      <w:rFonts w:eastAsia="Times New Roman"/>
      <w:szCs w:val="24"/>
    </w:rPr>
  </w:style>
  <w:style w:type="paragraph" w:customStyle="1" w:styleId="Pointivx1">
    <w:name w:val="Point ivx (1)"/>
    <w:basedOn w:val="Normal"/>
    <w:rsid w:val="003855A7"/>
    <w:pPr>
      <w:numPr>
        <w:ilvl w:val="1"/>
        <w:numId w:val="9"/>
      </w:numPr>
      <w:spacing w:line="360" w:lineRule="auto"/>
      <w:jc w:val="left"/>
      <w:outlineLvl w:val="0"/>
    </w:pPr>
    <w:rPr>
      <w:rFonts w:eastAsia="Times New Roman"/>
      <w:szCs w:val="24"/>
    </w:rPr>
  </w:style>
  <w:style w:type="paragraph" w:customStyle="1" w:styleId="Pointivx2">
    <w:name w:val="Point ivx (2)"/>
    <w:basedOn w:val="Normal"/>
    <w:rsid w:val="003855A7"/>
    <w:pPr>
      <w:numPr>
        <w:ilvl w:val="2"/>
        <w:numId w:val="9"/>
      </w:numPr>
      <w:spacing w:line="360" w:lineRule="auto"/>
      <w:jc w:val="left"/>
      <w:outlineLvl w:val="1"/>
    </w:pPr>
    <w:rPr>
      <w:rFonts w:eastAsia="Times New Roman"/>
      <w:szCs w:val="24"/>
    </w:rPr>
  </w:style>
  <w:style w:type="paragraph" w:customStyle="1" w:styleId="Pointivx3">
    <w:name w:val="Point ivx (3)"/>
    <w:basedOn w:val="Normal"/>
    <w:rsid w:val="003855A7"/>
    <w:pPr>
      <w:numPr>
        <w:ilvl w:val="3"/>
        <w:numId w:val="9"/>
      </w:numPr>
      <w:spacing w:line="360" w:lineRule="auto"/>
      <w:jc w:val="left"/>
      <w:outlineLvl w:val="2"/>
    </w:pPr>
    <w:rPr>
      <w:rFonts w:eastAsia="Times New Roman"/>
      <w:szCs w:val="24"/>
    </w:rPr>
  </w:style>
  <w:style w:type="paragraph" w:customStyle="1" w:styleId="Pointivx4">
    <w:name w:val="Point ivx (4)"/>
    <w:basedOn w:val="Normal"/>
    <w:rsid w:val="003855A7"/>
    <w:pPr>
      <w:numPr>
        <w:ilvl w:val="4"/>
        <w:numId w:val="9"/>
      </w:numPr>
      <w:spacing w:line="360" w:lineRule="auto"/>
      <w:jc w:val="left"/>
      <w:outlineLvl w:val="3"/>
    </w:pPr>
    <w:rPr>
      <w:rFonts w:eastAsia="Times New Roman"/>
      <w:szCs w:val="24"/>
    </w:rPr>
  </w:style>
  <w:style w:type="paragraph" w:customStyle="1" w:styleId="DashEqual2">
    <w:name w:val="Dash Equal 2"/>
    <w:basedOn w:val="Normal"/>
    <w:rsid w:val="003855A7"/>
    <w:pPr>
      <w:numPr>
        <w:numId w:val="5"/>
      </w:numPr>
      <w:spacing w:line="360" w:lineRule="auto"/>
      <w:jc w:val="left"/>
      <w:outlineLvl w:val="1"/>
    </w:pPr>
    <w:rPr>
      <w:rFonts w:eastAsia="Times New Roman"/>
      <w:szCs w:val="24"/>
    </w:rPr>
  </w:style>
  <w:style w:type="paragraph" w:customStyle="1" w:styleId="DashEqual3">
    <w:name w:val="Dash Equal 3"/>
    <w:basedOn w:val="Normal"/>
    <w:rsid w:val="003855A7"/>
    <w:pPr>
      <w:numPr>
        <w:numId w:val="6"/>
      </w:numPr>
      <w:spacing w:line="360" w:lineRule="auto"/>
      <w:jc w:val="left"/>
      <w:outlineLvl w:val="2"/>
    </w:pPr>
    <w:rPr>
      <w:rFonts w:eastAsia="Times New Roman"/>
      <w:szCs w:val="24"/>
    </w:rPr>
  </w:style>
  <w:style w:type="paragraph" w:customStyle="1" w:styleId="DashEqual4">
    <w:name w:val="Dash Equal 4"/>
    <w:basedOn w:val="Normal"/>
    <w:rsid w:val="003855A7"/>
    <w:pPr>
      <w:numPr>
        <w:numId w:val="7"/>
      </w:numPr>
      <w:spacing w:line="360" w:lineRule="auto"/>
      <w:jc w:val="left"/>
      <w:outlineLvl w:val="3"/>
    </w:pPr>
    <w:rPr>
      <w:rFonts w:eastAsia="Times New Roman"/>
      <w:szCs w:val="24"/>
    </w:rPr>
  </w:style>
  <w:style w:type="paragraph" w:styleId="CommentText">
    <w:name w:val="annotation text"/>
    <w:basedOn w:val="Normal"/>
    <w:link w:val="CommentTextChar"/>
    <w:uiPriority w:val="99"/>
    <w:unhideWhenUsed/>
    <w:rsid w:val="003855A7"/>
    <w:pPr>
      <w:spacing w:before="0" w:after="0"/>
      <w:jc w:val="left"/>
    </w:pPr>
    <w:rPr>
      <w:rFonts w:eastAsia="Times New Roman"/>
      <w:sz w:val="20"/>
      <w:szCs w:val="20"/>
      <w:lang w:eastAsia="x-none"/>
    </w:rPr>
  </w:style>
  <w:style w:type="character" w:customStyle="1" w:styleId="CommentTextChar">
    <w:name w:val="Comment Text Char"/>
    <w:basedOn w:val="DefaultParagraphFont"/>
    <w:link w:val="CommentText"/>
    <w:uiPriority w:val="99"/>
    <w:rsid w:val="003855A7"/>
    <w:rPr>
      <w:rFonts w:ascii="Times New Roman" w:eastAsia="Times New Roman" w:hAnsi="Times New Roman" w:cs="Times New Roman"/>
      <w:sz w:val="20"/>
      <w:szCs w:val="20"/>
      <w:lang w:val="nl-NL" w:eastAsia="x-none"/>
    </w:rPr>
  </w:style>
  <w:style w:type="character" w:styleId="CommentReference">
    <w:name w:val="annotation reference"/>
    <w:uiPriority w:val="99"/>
    <w:unhideWhenUsed/>
    <w:rsid w:val="003855A7"/>
    <w:rPr>
      <w:sz w:val="16"/>
      <w:szCs w:val="16"/>
    </w:rPr>
  </w:style>
  <w:style w:type="character" w:customStyle="1" w:styleId="TitrearticleChar">
    <w:name w:val="Titre article Char"/>
    <w:rsid w:val="003855A7"/>
    <w:rPr>
      <w:rFonts w:ascii="Times New Roman" w:hAnsi="Times New Roman" w:cs="Times New Roman"/>
      <w:i/>
      <w:sz w:val="24"/>
      <w:lang w:val="nl-NL"/>
    </w:rPr>
  </w:style>
  <w:style w:type="character" w:customStyle="1" w:styleId="FooterCouncilChar">
    <w:name w:val="Footer Council Char"/>
    <w:rsid w:val="003855A7"/>
    <w:rPr>
      <w:rFonts w:ascii="Times New Roman" w:hAnsi="Times New Roman" w:cs="Times New Roman"/>
      <w:sz w:val="2"/>
      <w:lang w:val="nl-NL"/>
    </w:rPr>
  </w:style>
  <w:style w:type="character" w:customStyle="1" w:styleId="AnnexetitreChar">
    <w:name w:val="Annexe titre Char"/>
    <w:basedOn w:val="DefaultParagraphFont"/>
    <w:rsid w:val="003855A7"/>
    <w:rPr>
      <w:rFonts w:ascii="Times New Roman" w:hAnsi="Times New Roman" w:cs="Times New Roman"/>
      <w:b/>
      <w:sz w:val="24"/>
      <w:u w:val="single"/>
      <w:lang w:val="nl-NL"/>
    </w:rPr>
  </w:style>
  <w:style w:type="paragraph" w:styleId="ListNumber">
    <w:name w:val="List Number"/>
    <w:basedOn w:val="Normal"/>
    <w:uiPriority w:val="99"/>
    <w:semiHidden/>
    <w:unhideWhenUsed/>
    <w:rsid w:val="003855A7"/>
    <w:pPr>
      <w:numPr>
        <w:numId w:val="10"/>
      </w:numPr>
      <w:spacing w:line="360" w:lineRule="auto"/>
      <w:contextualSpacing/>
      <w:jc w:val="left"/>
    </w:pPr>
  </w:style>
  <w:style w:type="paragraph" w:styleId="ListNumber2">
    <w:name w:val="List Number 2"/>
    <w:basedOn w:val="Normal"/>
    <w:uiPriority w:val="99"/>
    <w:semiHidden/>
    <w:unhideWhenUsed/>
    <w:rsid w:val="003855A7"/>
    <w:pPr>
      <w:numPr>
        <w:numId w:val="11"/>
      </w:numPr>
      <w:spacing w:line="360" w:lineRule="auto"/>
      <w:contextualSpacing/>
      <w:jc w:val="left"/>
    </w:pPr>
  </w:style>
  <w:style w:type="paragraph" w:styleId="ListNumber3">
    <w:name w:val="List Number 3"/>
    <w:basedOn w:val="Normal"/>
    <w:uiPriority w:val="99"/>
    <w:semiHidden/>
    <w:unhideWhenUsed/>
    <w:rsid w:val="003855A7"/>
    <w:pPr>
      <w:numPr>
        <w:numId w:val="12"/>
      </w:numPr>
      <w:spacing w:line="360" w:lineRule="auto"/>
      <w:contextualSpacing/>
      <w:jc w:val="left"/>
    </w:pPr>
  </w:style>
  <w:style w:type="paragraph" w:styleId="ListNumber4">
    <w:name w:val="List Number 4"/>
    <w:basedOn w:val="Normal"/>
    <w:uiPriority w:val="99"/>
    <w:semiHidden/>
    <w:unhideWhenUsed/>
    <w:rsid w:val="003855A7"/>
    <w:pPr>
      <w:numPr>
        <w:numId w:val="13"/>
      </w:numPr>
      <w:spacing w:line="360" w:lineRule="auto"/>
      <w:contextualSpacing/>
      <w:jc w:val="left"/>
    </w:pPr>
  </w:style>
  <w:style w:type="paragraph" w:styleId="CommentSubject">
    <w:name w:val="annotation subject"/>
    <w:basedOn w:val="CommentText"/>
    <w:next w:val="CommentText"/>
    <w:link w:val="CommentSubjectChar"/>
    <w:uiPriority w:val="99"/>
    <w:semiHidden/>
    <w:unhideWhenUsed/>
    <w:rsid w:val="003855A7"/>
    <w:pPr>
      <w:spacing w:before="120" w:after="120"/>
    </w:pPr>
    <w:rPr>
      <w:rFonts w:eastAsiaTheme="minorHAnsi"/>
      <w:b/>
      <w:bCs/>
      <w:lang w:eastAsia="en-US"/>
    </w:rPr>
  </w:style>
  <w:style w:type="character" w:customStyle="1" w:styleId="CommentSubjectChar">
    <w:name w:val="Comment Subject Char"/>
    <w:basedOn w:val="CommentTextChar"/>
    <w:link w:val="CommentSubject"/>
    <w:uiPriority w:val="99"/>
    <w:semiHidden/>
    <w:rsid w:val="003855A7"/>
    <w:rPr>
      <w:rFonts w:ascii="Times New Roman" w:eastAsia="Times New Roman" w:hAnsi="Times New Roman" w:cs="Times New Roman"/>
      <w:b/>
      <w:bCs/>
      <w:sz w:val="20"/>
      <w:szCs w:val="20"/>
      <w:lang w:val="nl-NL" w:eastAsia="x-none"/>
    </w:rPr>
  </w:style>
  <w:style w:type="paragraph" w:styleId="BalloonText">
    <w:name w:val="Balloon Text"/>
    <w:basedOn w:val="Normal"/>
    <w:link w:val="BalloonTextChar"/>
    <w:uiPriority w:val="99"/>
    <w:semiHidden/>
    <w:unhideWhenUsed/>
    <w:rsid w:val="003855A7"/>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A7"/>
    <w:rPr>
      <w:rFonts w:ascii="Tahoma" w:hAnsi="Tahoma" w:cs="Tahoma"/>
      <w:sz w:val="16"/>
      <w:szCs w:val="16"/>
      <w:lang w:val="nl-NL"/>
    </w:rPr>
  </w:style>
  <w:style w:type="paragraph" w:customStyle="1" w:styleId="HeaderCouncil">
    <w:name w:val="Header Council"/>
    <w:basedOn w:val="Normal"/>
    <w:rsid w:val="003855A7"/>
    <w:pPr>
      <w:spacing w:before="0" w:after="0"/>
      <w:jc w:val="left"/>
    </w:pPr>
    <w:rPr>
      <w:sz w:val="2"/>
    </w:rPr>
  </w:style>
  <w:style w:type="paragraph" w:customStyle="1" w:styleId="FooterCouncil">
    <w:name w:val="Footer Council"/>
    <w:basedOn w:val="Normal"/>
    <w:rsid w:val="003855A7"/>
    <w:pPr>
      <w:spacing w:before="0" w:after="0"/>
      <w:jc w:val="left"/>
    </w:pPr>
    <w:rPr>
      <w:sz w:val="2"/>
    </w:rPr>
  </w:style>
  <w:style w:type="paragraph" w:customStyle="1" w:styleId="TechnicalBlock">
    <w:name w:val="Technical Block"/>
    <w:basedOn w:val="Normal"/>
    <w:next w:val="Normal"/>
    <w:rsid w:val="003855A7"/>
    <w:pPr>
      <w:spacing w:before="0" w:after="240"/>
      <w:jc w:val="center"/>
    </w:pPr>
  </w:style>
  <w:style w:type="paragraph" w:customStyle="1" w:styleId="Annexetitreacte">
    <w:name w:val="Annexe titre (acte)"/>
    <w:basedOn w:val="Normal"/>
    <w:next w:val="Normal"/>
    <w:rsid w:val="003855A7"/>
    <w:pPr>
      <w:spacing w:line="360" w:lineRule="auto"/>
      <w:jc w:val="center"/>
    </w:pPr>
    <w:rPr>
      <w:b/>
      <w:u w:val="single"/>
    </w:rPr>
  </w:style>
  <w:style w:type="paragraph" w:customStyle="1" w:styleId="Annexetitreglobale">
    <w:name w:val="Annexe titre (globale)"/>
    <w:basedOn w:val="Normal"/>
    <w:next w:val="Normal"/>
    <w:rsid w:val="003855A7"/>
    <w:pPr>
      <w:spacing w:line="360" w:lineRule="auto"/>
      <w:jc w:val="center"/>
    </w:pPr>
    <w:rPr>
      <w:b/>
      <w:u w:val="single"/>
    </w:rPr>
  </w:style>
  <w:style w:type="paragraph" w:customStyle="1" w:styleId="Sous-titreobjet">
    <w:name w:val="Sous-titre objet"/>
    <w:basedOn w:val="Normal"/>
    <w:rsid w:val="003855A7"/>
    <w:pPr>
      <w:spacing w:before="0" w:after="0" w:line="360" w:lineRule="auto"/>
      <w:jc w:val="center"/>
    </w:pPr>
    <w:rPr>
      <w:b/>
    </w:rPr>
  </w:style>
  <w:style w:type="paragraph" w:customStyle="1" w:styleId="Titreobjet">
    <w:name w:val="Titre objet"/>
    <w:basedOn w:val="Normal"/>
    <w:next w:val="Sous-titreobjet"/>
    <w:rsid w:val="003855A7"/>
    <w:pPr>
      <w:spacing w:before="360" w:after="360" w:line="360" w:lineRule="auto"/>
      <w:jc w:val="center"/>
    </w:pPr>
    <w:rPr>
      <w:b/>
    </w:rPr>
  </w:style>
  <w:style w:type="paragraph" w:customStyle="1" w:styleId="Lignefinal">
    <w:name w:val="Ligne final"/>
    <w:basedOn w:val="Normal"/>
    <w:next w:val="Normal"/>
    <w:rsid w:val="003855A7"/>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rsid w:val="003855A7"/>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rsid w:val="003855A7"/>
    <w:pPr>
      <w:spacing w:before="0" w:after="0" w:line="360" w:lineRule="auto"/>
      <w:ind w:left="5103"/>
      <w:jc w:val="left"/>
    </w:pPr>
  </w:style>
  <w:style w:type="paragraph" w:customStyle="1" w:styleId="EntLogo">
    <w:name w:val="EntLogo"/>
    <w:basedOn w:val="Normal"/>
    <w:rsid w:val="003855A7"/>
    <w:pPr>
      <w:tabs>
        <w:tab w:val="right" w:pos="9639"/>
      </w:tabs>
      <w:spacing w:before="0" w:after="0" w:line="360" w:lineRule="auto"/>
      <w:jc w:val="left"/>
    </w:pPr>
    <w:rPr>
      <w:b/>
    </w:rPr>
  </w:style>
  <w:style w:type="paragraph" w:customStyle="1" w:styleId="EntInstit">
    <w:name w:val="EntInstit"/>
    <w:basedOn w:val="Normal"/>
    <w:rsid w:val="003855A7"/>
    <w:pPr>
      <w:spacing w:before="0" w:after="0"/>
      <w:jc w:val="right"/>
    </w:pPr>
    <w:rPr>
      <w:b/>
    </w:rPr>
  </w:style>
  <w:style w:type="paragraph" w:customStyle="1" w:styleId="EntRefer">
    <w:name w:val="EntRefer"/>
    <w:basedOn w:val="Normal"/>
    <w:rsid w:val="003855A7"/>
    <w:pPr>
      <w:spacing w:before="0" w:after="0"/>
      <w:jc w:val="left"/>
    </w:pPr>
    <w:rPr>
      <w:b/>
    </w:rPr>
  </w:style>
  <w:style w:type="paragraph" w:customStyle="1" w:styleId="EntEmet">
    <w:name w:val="EntEmet"/>
    <w:basedOn w:val="Normal"/>
    <w:rsid w:val="003855A7"/>
    <w:pPr>
      <w:spacing w:before="40" w:after="0"/>
      <w:jc w:val="left"/>
    </w:pPr>
  </w:style>
  <w:style w:type="paragraph" w:customStyle="1" w:styleId="EntText">
    <w:name w:val="EntText"/>
    <w:basedOn w:val="Normal"/>
    <w:rsid w:val="003855A7"/>
    <w:pPr>
      <w:spacing w:line="360" w:lineRule="auto"/>
      <w:jc w:val="left"/>
    </w:pPr>
  </w:style>
  <w:style w:type="paragraph" w:customStyle="1" w:styleId="EntEU">
    <w:name w:val="EntEU"/>
    <w:basedOn w:val="Normal"/>
    <w:rsid w:val="003855A7"/>
    <w:pPr>
      <w:spacing w:before="240" w:after="240"/>
      <w:jc w:val="center"/>
    </w:pPr>
    <w:rPr>
      <w:b/>
      <w:sz w:val="36"/>
    </w:rPr>
  </w:style>
  <w:style w:type="paragraph" w:customStyle="1" w:styleId="EntASSOC">
    <w:name w:val="EntASSOC"/>
    <w:basedOn w:val="Normal"/>
    <w:rsid w:val="003855A7"/>
    <w:pPr>
      <w:spacing w:before="0" w:after="0"/>
      <w:jc w:val="center"/>
    </w:pPr>
    <w:rPr>
      <w:b/>
    </w:rPr>
  </w:style>
  <w:style w:type="paragraph" w:customStyle="1" w:styleId="EntACP">
    <w:name w:val="EntACP"/>
    <w:basedOn w:val="Normal"/>
    <w:rsid w:val="003855A7"/>
    <w:pPr>
      <w:spacing w:before="0" w:after="180"/>
      <w:jc w:val="center"/>
    </w:pPr>
    <w:rPr>
      <w:b/>
      <w:spacing w:val="40"/>
      <w:sz w:val="28"/>
    </w:rPr>
  </w:style>
  <w:style w:type="paragraph" w:customStyle="1" w:styleId="EntInstitACP">
    <w:name w:val="EntInstitACP"/>
    <w:basedOn w:val="Normal"/>
    <w:rsid w:val="003855A7"/>
    <w:pPr>
      <w:spacing w:before="0" w:after="0"/>
      <w:jc w:val="center"/>
    </w:pPr>
    <w:rPr>
      <w:b/>
    </w:rPr>
  </w:style>
  <w:style w:type="paragraph" w:customStyle="1" w:styleId="Genredudocument">
    <w:name w:val="Genre du document"/>
    <w:basedOn w:val="EntRefer"/>
    <w:next w:val="EntRefer"/>
    <w:rsid w:val="003855A7"/>
    <w:pPr>
      <w:spacing w:before="240"/>
    </w:pPr>
  </w:style>
  <w:style w:type="paragraph" w:customStyle="1" w:styleId="Accordtitre">
    <w:name w:val="Accord titre"/>
    <w:basedOn w:val="Normal"/>
    <w:rsid w:val="003855A7"/>
    <w:pPr>
      <w:spacing w:before="0" w:after="0" w:line="360" w:lineRule="auto"/>
      <w:jc w:val="center"/>
    </w:pPr>
  </w:style>
  <w:style w:type="paragraph" w:customStyle="1" w:styleId="FooterAccord">
    <w:name w:val="Footer Accord"/>
    <w:basedOn w:val="Normal"/>
    <w:rsid w:val="003855A7"/>
    <w:pPr>
      <w:tabs>
        <w:tab w:val="center" w:pos="4819"/>
        <w:tab w:val="center" w:pos="7370"/>
        <w:tab w:val="right" w:pos="9638"/>
      </w:tabs>
      <w:spacing w:before="360" w:after="0"/>
      <w:jc w:val="center"/>
    </w:pPr>
  </w:style>
  <w:style w:type="paragraph" w:customStyle="1" w:styleId="FooterLandscapeAccord">
    <w:name w:val="FooterLandscape Accord"/>
    <w:basedOn w:val="Normal"/>
    <w:rsid w:val="003855A7"/>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rsid w:val="003855A7"/>
    <w:pPr>
      <w:keepNext/>
      <w:spacing w:before="600" w:line="360" w:lineRule="auto"/>
      <w:jc w:val="center"/>
    </w:pPr>
    <w:rPr>
      <w:i/>
    </w:rPr>
  </w:style>
  <w:style w:type="paragraph" w:customStyle="1" w:styleId="DESignature">
    <w:name w:val="DE Signature"/>
    <w:basedOn w:val="Normal"/>
    <w:next w:val="Normal"/>
    <w:rsid w:val="003855A7"/>
    <w:pPr>
      <w:tabs>
        <w:tab w:val="center" w:pos="5953"/>
      </w:tabs>
      <w:spacing w:before="720" w:line="360" w:lineRule="auto"/>
      <w:jc w:val="left"/>
    </w:pPr>
  </w:style>
  <w:style w:type="paragraph" w:customStyle="1" w:styleId="FooterCoverPage">
    <w:name w:val="Footer Cover Page"/>
    <w:basedOn w:val="Normal"/>
    <w:link w:val="FooterCoverPageChar"/>
    <w:rsid w:val="003855A7"/>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rsid w:val="003855A7"/>
    <w:rPr>
      <w:rFonts w:ascii="Times New Roman" w:hAnsi="Times New Roman" w:cs="Times New Roman"/>
      <w:b/>
      <w:sz w:val="24"/>
      <w:lang w:val="nl-NL"/>
    </w:rPr>
  </w:style>
  <w:style w:type="character" w:customStyle="1" w:styleId="FooterCoverPageChar">
    <w:name w:val="Footer Cover Page Char"/>
    <w:basedOn w:val="TypedudocumentChar"/>
    <w:link w:val="FooterCoverPage"/>
    <w:rsid w:val="003855A7"/>
    <w:rPr>
      <w:rFonts w:ascii="Times New Roman" w:hAnsi="Times New Roman" w:cs="Times New Roman"/>
      <w:b w:val="0"/>
      <w:sz w:val="24"/>
      <w:lang w:val="nl-NL"/>
    </w:rPr>
  </w:style>
  <w:style w:type="character" w:customStyle="1" w:styleId="FooterSensitivityChar">
    <w:name w:val="Footer Sensitivity Char"/>
    <w:basedOn w:val="TypedudocumentChar"/>
    <w:rsid w:val="003855A7"/>
    <w:rPr>
      <w:rFonts w:ascii="Times New Roman" w:hAnsi="Times New Roman" w:cs="Times New Roman"/>
      <w:b/>
      <w:sz w:val="32"/>
      <w:lang w:val="nl-NL"/>
    </w:rPr>
  </w:style>
  <w:style w:type="paragraph" w:customStyle="1" w:styleId="HeaderCoverPage">
    <w:name w:val="Header Cover Page"/>
    <w:basedOn w:val="Normal"/>
    <w:link w:val="HeaderCoverPageChar"/>
    <w:rsid w:val="003855A7"/>
    <w:pPr>
      <w:tabs>
        <w:tab w:val="center" w:pos="4535"/>
        <w:tab w:val="right" w:pos="9071"/>
      </w:tabs>
      <w:spacing w:before="0"/>
    </w:pPr>
  </w:style>
  <w:style w:type="character" w:customStyle="1" w:styleId="HeaderCoverPageChar">
    <w:name w:val="Header Cover Page Char"/>
    <w:basedOn w:val="TypedudocumentChar"/>
    <w:link w:val="HeaderCoverPage"/>
    <w:rsid w:val="003855A7"/>
    <w:rPr>
      <w:rFonts w:ascii="Times New Roman" w:hAnsi="Times New Roman" w:cs="Times New Roman"/>
      <w:b w:val="0"/>
      <w:sz w:val="24"/>
      <w:lang w:val="nl-NL"/>
    </w:rPr>
  </w:style>
  <w:style w:type="character" w:customStyle="1" w:styleId="HeaderSensitivityChar">
    <w:name w:val="Header Sensitivity Char"/>
    <w:basedOn w:val="TypedudocumentChar"/>
    <w:rsid w:val="003855A7"/>
    <w:rPr>
      <w:rFonts w:ascii="Times New Roman" w:hAnsi="Times New Roman" w:cs="Times New Roman"/>
      <w:b/>
      <w:sz w:val="32"/>
      <w:lang w:val="nl-NL"/>
    </w:rPr>
  </w:style>
  <w:style w:type="character" w:customStyle="1" w:styleId="HeaderSensitivityRightChar">
    <w:name w:val="Header Sensitivity Right Char"/>
    <w:basedOn w:val="TypedudocumentChar"/>
    <w:rsid w:val="003855A7"/>
    <w:rPr>
      <w:rFonts w:ascii="Times New Roman" w:hAnsi="Times New Roman" w:cs="Times New Roman"/>
      <w:b w:val="0"/>
      <w:sz w:val="28"/>
      <w:lang w:val="nl-NL"/>
    </w:rPr>
  </w:style>
  <w:style w:type="paragraph" w:styleId="Title">
    <w:name w:val="Title"/>
    <w:basedOn w:val="Normal"/>
    <w:next w:val="Normal"/>
    <w:link w:val="TitleChar"/>
    <w:uiPriority w:val="10"/>
    <w:qFormat/>
    <w:rsid w:val="003855A7"/>
    <w:pPr>
      <w:keepNext/>
      <w:keepLines/>
      <w:spacing w:before="480" w:line="276" w:lineRule="auto"/>
      <w:jc w:val="left"/>
    </w:pPr>
    <w:rPr>
      <w:rFonts w:ascii="Calibri" w:eastAsia="Calibri" w:hAnsi="Calibri" w:cs="Calibri"/>
      <w:b/>
      <w:sz w:val="72"/>
      <w:szCs w:val="72"/>
    </w:rPr>
  </w:style>
  <w:style w:type="character" w:customStyle="1" w:styleId="TitleChar">
    <w:name w:val="Title Char"/>
    <w:basedOn w:val="DefaultParagraphFont"/>
    <w:link w:val="Title"/>
    <w:uiPriority w:val="10"/>
    <w:rsid w:val="003855A7"/>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3855A7"/>
    <w:pPr>
      <w:keepNext/>
      <w:keepLines/>
      <w:spacing w:before="360" w:after="80" w:line="276"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855A7"/>
    <w:rPr>
      <w:rFonts w:ascii="Georgia" w:eastAsia="Georgia" w:hAnsi="Georgia" w:cs="Georgia"/>
      <w:i/>
      <w:color w:val="666666"/>
      <w:sz w:val="48"/>
      <w:szCs w:val="48"/>
      <w:lang w:val="nl-NL"/>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Bullets,3"/>
    <w:basedOn w:val="Normal"/>
    <w:link w:val="ListParagraphChar"/>
    <w:uiPriority w:val="34"/>
    <w:qFormat/>
    <w:rsid w:val="003855A7"/>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3 Char"/>
    <w:link w:val="ListParagraph"/>
    <w:uiPriority w:val="34"/>
    <w:qFormat/>
    <w:locked/>
    <w:rsid w:val="003855A7"/>
    <w:rPr>
      <w:lang w:val="nl-NL"/>
    </w:rPr>
  </w:style>
  <w:style w:type="paragraph" w:customStyle="1" w:styleId="Default">
    <w:name w:val="Default"/>
    <w:rsid w:val="003855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855A7"/>
    <w:rPr>
      <w:color w:val="0000FF" w:themeColor="hyperlink"/>
      <w:u w:val="single"/>
    </w:rPr>
  </w:style>
  <w:style w:type="character" w:styleId="Emphasis">
    <w:name w:val="Emphasis"/>
    <w:basedOn w:val="DefaultParagraphFont"/>
    <w:uiPriority w:val="20"/>
    <w:qFormat/>
    <w:rsid w:val="003855A7"/>
    <w:rPr>
      <w:i/>
      <w:iCs/>
    </w:rPr>
  </w:style>
  <w:style w:type="paragraph" w:styleId="NormalWeb">
    <w:name w:val="Normal (Web)"/>
    <w:basedOn w:val="Normal"/>
    <w:uiPriority w:val="99"/>
    <w:unhideWhenUsed/>
    <w:rsid w:val="003855A7"/>
    <w:pPr>
      <w:spacing w:before="100" w:beforeAutospacing="1" w:after="100" w:afterAutospacing="1"/>
      <w:jc w:val="left"/>
    </w:pPr>
    <w:rPr>
      <w:rFonts w:ascii="Calibri" w:hAnsi="Calibri"/>
      <w:sz w:val="22"/>
    </w:rPr>
  </w:style>
  <w:style w:type="character" w:styleId="Strong">
    <w:name w:val="Strong"/>
    <w:basedOn w:val="DefaultParagraphFont"/>
    <w:uiPriority w:val="22"/>
    <w:qFormat/>
    <w:rsid w:val="003855A7"/>
    <w:rPr>
      <w:b/>
      <w:bCs/>
    </w:rPr>
  </w:style>
  <w:style w:type="character" w:customStyle="1" w:styleId="HTMLPreformattedChar">
    <w:name w:val="HTML Preformatted Char"/>
    <w:basedOn w:val="DefaultParagraphFont"/>
    <w:link w:val="HTMLPreformatted"/>
    <w:uiPriority w:val="99"/>
    <w:semiHidden/>
    <w:rsid w:val="003855A7"/>
    <w:rPr>
      <w:rFonts w:ascii="Courier New" w:eastAsia="Times New Roman" w:hAnsi="Courier New" w:cs="Courier New"/>
      <w:sz w:val="20"/>
      <w:szCs w:val="20"/>
      <w:lang w:val="nl-NL"/>
    </w:rPr>
  </w:style>
  <w:style w:type="paragraph" w:styleId="HTMLPreformatted">
    <w:name w:val="HTML Preformatted"/>
    <w:basedOn w:val="Normal"/>
    <w:link w:val="HTMLPreformattedChar"/>
    <w:uiPriority w:val="99"/>
    <w:semiHidden/>
    <w:unhideWhenUsed/>
    <w:rsid w:val="0038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3855A7"/>
    <w:rPr>
      <w:rFonts w:ascii="Consolas" w:hAnsi="Consolas" w:cs="Times New Roman"/>
      <w:sz w:val="20"/>
      <w:szCs w:val="20"/>
      <w:lang w:val="nl-NL"/>
    </w:rPr>
  </w:style>
  <w:style w:type="character" w:customStyle="1" w:styleId="y2iqfc">
    <w:name w:val="y2iqfc"/>
    <w:basedOn w:val="DefaultParagraphFont"/>
    <w:rsid w:val="003855A7"/>
  </w:style>
  <w:style w:type="character" w:customStyle="1" w:styleId="MeniuneNerezolvat1">
    <w:name w:val="Mențiune Nerezolvat1"/>
    <w:basedOn w:val="DefaultParagraphFont"/>
    <w:uiPriority w:val="99"/>
    <w:rsid w:val="003855A7"/>
    <w:rPr>
      <w:color w:val="605E5C"/>
      <w:shd w:val="clear" w:color="auto" w:fill="E1DFDD"/>
    </w:rPr>
  </w:style>
  <w:style w:type="paragraph" w:styleId="Caption">
    <w:name w:val="caption"/>
    <w:basedOn w:val="Normal"/>
    <w:next w:val="Normal"/>
    <w:uiPriority w:val="35"/>
    <w:semiHidden/>
    <w:unhideWhenUsed/>
    <w:qFormat/>
    <w:rsid w:val="003855A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855A7"/>
    <w:pPr>
      <w:spacing w:after="0"/>
    </w:pPr>
  </w:style>
  <w:style w:type="character" w:customStyle="1" w:styleId="object">
    <w:name w:val="object"/>
    <w:basedOn w:val="DefaultParagraphFont"/>
    <w:rsid w:val="003855A7"/>
  </w:style>
  <w:style w:type="paragraph" w:styleId="Revision">
    <w:name w:val="Revision"/>
    <w:hidden/>
    <w:uiPriority w:val="99"/>
    <w:semiHidden/>
    <w:rsid w:val="003855A7"/>
    <w:pPr>
      <w:spacing w:after="0" w:line="240" w:lineRule="auto"/>
    </w:pPr>
    <w:rPr>
      <w:rFonts w:ascii="Times New Roman" w:hAnsi="Times New Roman" w:cs="Times New Roman"/>
      <w:sz w:val="24"/>
    </w:rPr>
  </w:style>
  <w:style w:type="paragraph" w:customStyle="1" w:styleId="Nrom">
    <w:name w:val="Nrom"/>
    <w:basedOn w:val="Bullet0"/>
    <w:rsid w:val="00DC24D2"/>
    <w:pPr>
      <w:numPr>
        <w:numId w:val="0"/>
      </w:numPr>
      <w:ind w:left="850" w:hanging="850"/>
    </w:pPr>
    <w:rPr>
      <w:shd w:val="clear" w:color="auto" w:fill="FFFFFF"/>
    </w:rPr>
  </w:style>
  <w:style w:type="character" w:customStyle="1" w:styleId="Heading5Char">
    <w:name w:val="Heading 5 Char"/>
    <w:basedOn w:val="DefaultParagraphFont"/>
    <w:link w:val="Heading5"/>
    <w:uiPriority w:val="9"/>
    <w:semiHidden/>
    <w:rsid w:val="00010D39"/>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sid w:val="00010D39"/>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sid w:val="00010D39"/>
    <w:rPr>
      <w:rFonts w:ascii="Times New Roman" w:eastAsiaTheme="majorEastAsia" w:hAnsi="Times New Roman" w:cs="Times New Roman"/>
      <w:iCs/>
      <w:sz w:val="24"/>
      <w:lang w:val="nl-NL"/>
    </w:rPr>
  </w:style>
  <w:style w:type="paragraph" w:customStyle="1" w:styleId="Text5">
    <w:name w:val="Text 5"/>
    <w:basedOn w:val="Normal"/>
    <w:rsid w:val="00010D39"/>
    <w:pPr>
      <w:ind w:left="3118"/>
    </w:pPr>
  </w:style>
  <w:style w:type="paragraph" w:customStyle="1" w:styleId="Text6">
    <w:name w:val="Text 6"/>
    <w:basedOn w:val="Normal"/>
    <w:rsid w:val="00010D39"/>
    <w:pPr>
      <w:ind w:left="3685"/>
    </w:pPr>
  </w:style>
  <w:style w:type="paragraph" w:customStyle="1" w:styleId="Point5">
    <w:name w:val="Point 5"/>
    <w:basedOn w:val="Normal"/>
    <w:rsid w:val="00010D39"/>
    <w:pPr>
      <w:ind w:left="3685" w:hanging="567"/>
    </w:pPr>
  </w:style>
  <w:style w:type="paragraph" w:customStyle="1" w:styleId="Tiret5">
    <w:name w:val="Tiret 5"/>
    <w:basedOn w:val="Point5"/>
    <w:rsid w:val="00010D39"/>
    <w:pPr>
      <w:numPr>
        <w:numId w:val="116"/>
      </w:numPr>
    </w:pPr>
  </w:style>
  <w:style w:type="paragraph" w:customStyle="1" w:styleId="NumPar5">
    <w:name w:val="NumPar 5"/>
    <w:basedOn w:val="Normal"/>
    <w:next w:val="Text2"/>
    <w:rsid w:val="00010D39"/>
    <w:pPr>
      <w:numPr>
        <w:ilvl w:val="4"/>
        <w:numId w:val="119"/>
      </w:numPr>
    </w:pPr>
  </w:style>
  <w:style w:type="paragraph" w:customStyle="1" w:styleId="NumPar6">
    <w:name w:val="NumPar 6"/>
    <w:basedOn w:val="Normal"/>
    <w:next w:val="Text2"/>
    <w:rsid w:val="00010D39"/>
    <w:pPr>
      <w:numPr>
        <w:ilvl w:val="5"/>
        <w:numId w:val="119"/>
      </w:numPr>
    </w:pPr>
  </w:style>
  <w:style w:type="paragraph" w:customStyle="1" w:styleId="NumPar7">
    <w:name w:val="NumPar 7"/>
    <w:basedOn w:val="Normal"/>
    <w:next w:val="Text2"/>
    <w:rsid w:val="00010D39"/>
    <w:pPr>
      <w:numPr>
        <w:ilvl w:val="6"/>
        <w:numId w:val="119"/>
      </w:numPr>
    </w:pPr>
  </w:style>
  <w:style w:type="paragraph" w:customStyle="1" w:styleId="ManualNumPar5">
    <w:name w:val="Manual NumPar 5"/>
    <w:basedOn w:val="Normal"/>
    <w:next w:val="Text2"/>
    <w:rsid w:val="00010D39"/>
    <w:pPr>
      <w:ind w:left="1417" w:hanging="1417"/>
    </w:pPr>
  </w:style>
  <w:style w:type="paragraph" w:customStyle="1" w:styleId="ManualNumPar6">
    <w:name w:val="Manual NumPar 6"/>
    <w:basedOn w:val="Normal"/>
    <w:next w:val="Text2"/>
    <w:rsid w:val="00010D39"/>
    <w:pPr>
      <w:ind w:left="1417" w:hanging="1417"/>
    </w:pPr>
  </w:style>
  <w:style w:type="paragraph" w:customStyle="1" w:styleId="ManualNumPar7">
    <w:name w:val="Manual NumPar 7"/>
    <w:basedOn w:val="Normal"/>
    <w:next w:val="Text2"/>
    <w:rsid w:val="00010D39"/>
    <w:pPr>
      <w:ind w:left="1417" w:hanging="1417"/>
    </w:pPr>
  </w:style>
  <w:style w:type="paragraph" w:customStyle="1" w:styleId="ManualHeading5">
    <w:name w:val="Manual Heading 5"/>
    <w:basedOn w:val="Normal"/>
    <w:next w:val="Text2"/>
    <w:rsid w:val="00010D39"/>
    <w:pPr>
      <w:keepNext/>
      <w:tabs>
        <w:tab w:val="left" w:pos="1417"/>
      </w:tabs>
      <w:ind w:left="1417" w:hanging="1417"/>
      <w:outlineLvl w:val="4"/>
    </w:pPr>
  </w:style>
  <w:style w:type="paragraph" w:customStyle="1" w:styleId="ManualHeading6">
    <w:name w:val="Manual Heading 6"/>
    <w:basedOn w:val="Normal"/>
    <w:next w:val="Text2"/>
    <w:rsid w:val="00010D39"/>
    <w:pPr>
      <w:keepNext/>
      <w:tabs>
        <w:tab w:val="left" w:pos="1417"/>
      </w:tabs>
      <w:ind w:left="1417" w:hanging="1417"/>
      <w:outlineLvl w:val="5"/>
    </w:pPr>
  </w:style>
  <w:style w:type="paragraph" w:customStyle="1" w:styleId="ManualHeading7">
    <w:name w:val="Manual Heading 7"/>
    <w:basedOn w:val="Normal"/>
    <w:next w:val="Text2"/>
    <w:rsid w:val="00010D39"/>
    <w:pPr>
      <w:keepNext/>
      <w:tabs>
        <w:tab w:val="left" w:pos="1417"/>
      </w:tabs>
      <w:ind w:left="1417" w:hanging="1417"/>
      <w:outlineLvl w:val="6"/>
    </w:pPr>
  </w:style>
  <w:style w:type="paragraph" w:styleId="Header">
    <w:name w:val="header"/>
    <w:basedOn w:val="Normal"/>
    <w:link w:val="HeaderChar"/>
    <w:uiPriority w:val="99"/>
    <w:unhideWhenUsed/>
    <w:rsid w:val="001E4E00"/>
    <w:pPr>
      <w:tabs>
        <w:tab w:val="center" w:pos="4535"/>
        <w:tab w:val="right" w:pos="9071"/>
      </w:tabs>
      <w:spacing w:before="0"/>
    </w:pPr>
  </w:style>
  <w:style w:type="character" w:customStyle="1" w:styleId="HeaderChar">
    <w:name w:val="Header Char"/>
    <w:basedOn w:val="DefaultParagraphFont"/>
    <w:link w:val="Header"/>
    <w:uiPriority w:val="99"/>
    <w:rsid w:val="001E4E00"/>
    <w:rPr>
      <w:rFonts w:ascii="Times New Roman" w:hAnsi="Times New Roman" w:cs="Times New Roman"/>
      <w:sz w:val="24"/>
      <w:lang w:val="nl-NL"/>
    </w:rPr>
  </w:style>
  <w:style w:type="paragraph" w:styleId="Footer">
    <w:name w:val="footer"/>
    <w:basedOn w:val="Normal"/>
    <w:link w:val="FooterChar"/>
    <w:uiPriority w:val="99"/>
    <w:unhideWhenUsed/>
    <w:rsid w:val="001E4E0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E4E00"/>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1E4E00"/>
    <w:pPr>
      <w:tabs>
        <w:tab w:val="center" w:pos="7285"/>
        <w:tab w:val="right" w:pos="14003"/>
      </w:tabs>
      <w:spacing w:before="0"/>
    </w:pPr>
  </w:style>
  <w:style w:type="paragraph" w:customStyle="1" w:styleId="FooterLandscape">
    <w:name w:val="FooterLandscape"/>
    <w:basedOn w:val="Normal"/>
    <w:rsid w:val="001E4E0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1E4E0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E4E00"/>
    <w:pPr>
      <w:spacing w:before="0"/>
      <w:jc w:val="right"/>
    </w:pPr>
    <w:rPr>
      <w:sz w:val="28"/>
    </w:rPr>
  </w:style>
  <w:style w:type="paragraph" w:customStyle="1" w:styleId="FooterSensitivity">
    <w:name w:val="Footer Sensitivity"/>
    <w:basedOn w:val="Normal"/>
    <w:rsid w:val="001E4E0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9"/>
      </w:numPr>
    </w:pPr>
  </w:style>
  <w:style w:type="paragraph" w:customStyle="1" w:styleId="Tiret1">
    <w:name w:val="Tiret 1"/>
    <w:basedOn w:val="Point1"/>
    <w:rsid w:val="00BB0CF3"/>
    <w:pPr>
      <w:numPr>
        <w:numId w:val="100"/>
      </w:numPr>
    </w:pPr>
  </w:style>
  <w:style w:type="paragraph" w:customStyle="1" w:styleId="Tiret2">
    <w:name w:val="Tiret 2"/>
    <w:basedOn w:val="Point2"/>
    <w:rsid w:val="00BB0CF3"/>
    <w:pPr>
      <w:numPr>
        <w:numId w:val="101"/>
      </w:numPr>
    </w:pPr>
  </w:style>
  <w:style w:type="paragraph" w:customStyle="1" w:styleId="Tiret3">
    <w:name w:val="Tiret 3"/>
    <w:basedOn w:val="Point3"/>
    <w:rsid w:val="00BB0CF3"/>
    <w:pPr>
      <w:numPr>
        <w:numId w:val="102"/>
      </w:numPr>
    </w:pPr>
  </w:style>
  <w:style w:type="paragraph" w:customStyle="1" w:styleId="Tiret4">
    <w:name w:val="Tiret 4"/>
    <w:basedOn w:val="Point4"/>
    <w:rsid w:val="00BB0CF3"/>
    <w:pPr>
      <w:numPr>
        <w:numId w:val="10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19"/>
      </w:numPr>
    </w:pPr>
  </w:style>
  <w:style w:type="paragraph" w:customStyle="1" w:styleId="NumPar2">
    <w:name w:val="NumPar 2"/>
    <w:basedOn w:val="Normal"/>
    <w:next w:val="Text1"/>
    <w:rsid w:val="00BB0CF3"/>
    <w:pPr>
      <w:numPr>
        <w:ilvl w:val="1"/>
        <w:numId w:val="119"/>
      </w:numPr>
    </w:pPr>
  </w:style>
  <w:style w:type="paragraph" w:customStyle="1" w:styleId="NumPar3">
    <w:name w:val="NumPar 3"/>
    <w:basedOn w:val="Normal"/>
    <w:next w:val="Text1"/>
    <w:rsid w:val="00BB0CF3"/>
    <w:pPr>
      <w:numPr>
        <w:ilvl w:val="2"/>
        <w:numId w:val="119"/>
      </w:numPr>
    </w:pPr>
  </w:style>
  <w:style w:type="paragraph" w:customStyle="1" w:styleId="NumPar4">
    <w:name w:val="NumPar 4"/>
    <w:basedOn w:val="Normal"/>
    <w:next w:val="Text1"/>
    <w:rsid w:val="00BB0CF3"/>
    <w:pPr>
      <w:numPr>
        <w:ilvl w:val="3"/>
        <w:numId w:val="11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06"/>
      </w:numPr>
    </w:pPr>
  </w:style>
  <w:style w:type="paragraph" w:customStyle="1" w:styleId="Point1number">
    <w:name w:val="Point 1 (number)"/>
    <w:basedOn w:val="Normal"/>
    <w:rsid w:val="00BB0CF3"/>
    <w:pPr>
      <w:numPr>
        <w:ilvl w:val="2"/>
        <w:numId w:val="106"/>
      </w:numPr>
    </w:pPr>
  </w:style>
  <w:style w:type="paragraph" w:customStyle="1" w:styleId="Point2number">
    <w:name w:val="Point 2 (number)"/>
    <w:basedOn w:val="Normal"/>
    <w:rsid w:val="00BB0CF3"/>
    <w:pPr>
      <w:numPr>
        <w:ilvl w:val="4"/>
        <w:numId w:val="106"/>
      </w:numPr>
    </w:pPr>
  </w:style>
  <w:style w:type="paragraph" w:customStyle="1" w:styleId="Point3number">
    <w:name w:val="Point 3 (number)"/>
    <w:basedOn w:val="Normal"/>
    <w:rsid w:val="00BB0CF3"/>
    <w:pPr>
      <w:numPr>
        <w:ilvl w:val="6"/>
        <w:numId w:val="106"/>
      </w:numPr>
    </w:pPr>
  </w:style>
  <w:style w:type="paragraph" w:customStyle="1" w:styleId="Point0letter">
    <w:name w:val="Point 0 (letter)"/>
    <w:basedOn w:val="Normal"/>
    <w:rsid w:val="00BB0CF3"/>
    <w:pPr>
      <w:numPr>
        <w:ilvl w:val="1"/>
        <w:numId w:val="106"/>
      </w:numPr>
    </w:pPr>
  </w:style>
  <w:style w:type="paragraph" w:customStyle="1" w:styleId="Point1letter">
    <w:name w:val="Point 1 (letter)"/>
    <w:basedOn w:val="Normal"/>
    <w:rsid w:val="00BB0CF3"/>
    <w:pPr>
      <w:numPr>
        <w:ilvl w:val="3"/>
        <w:numId w:val="106"/>
      </w:numPr>
    </w:pPr>
  </w:style>
  <w:style w:type="paragraph" w:customStyle="1" w:styleId="Point2letter">
    <w:name w:val="Point 2 (letter)"/>
    <w:basedOn w:val="Normal"/>
    <w:rsid w:val="00BB0CF3"/>
    <w:pPr>
      <w:numPr>
        <w:ilvl w:val="5"/>
        <w:numId w:val="106"/>
      </w:numPr>
    </w:pPr>
  </w:style>
  <w:style w:type="paragraph" w:customStyle="1" w:styleId="Point3letter">
    <w:name w:val="Point 3 (letter)"/>
    <w:basedOn w:val="Normal"/>
    <w:rsid w:val="00BB0CF3"/>
    <w:pPr>
      <w:numPr>
        <w:ilvl w:val="7"/>
        <w:numId w:val="106"/>
      </w:numPr>
    </w:pPr>
  </w:style>
  <w:style w:type="paragraph" w:customStyle="1" w:styleId="Point4letter">
    <w:name w:val="Point 4 (letter)"/>
    <w:basedOn w:val="Normal"/>
    <w:rsid w:val="00BB0CF3"/>
    <w:pPr>
      <w:numPr>
        <w:ilvl w:val="8"/>
        <w:numId w:val="106"/>
      </w:numPr>
    </w:pPr>
  </w:style>
  <w:style w:type="paragraph" w:customStyle="1" w:styleId="Bullet0">
    <w:name w:val="Bullet 0"/>
    <w:basedOn w:val="Normal"/>
    <w:rsid w:val="00BB0CF3"/>
    <w:pPr>
      <w:numPr>
        <w:numId w:val="107"/>
      </w:numPr>
    </w:pPr>
  </w:style>
  <w:style w:type="paragraph" w:customStyle="1" w:styleId="Bullet1">
    <w:name w:val="Bullet 1"/>
    <w:basedOn w:val="Normal"/>
    <w:rsid w:val="00BB0CF3"/>
    <w:pPr>
      <w:numPr>
        <w:numId w:val="108"/>
      </w:numPr>
    </w:pPr>
  </w:style>
  <w:style w:type="paragraph" w:customStyle="1" w:styleId="Bullet2">
    <w:name w:val="Bullet 2"/>
    <w:basedOn w:val="Normal"/>
    <w:rsid w:val="00BB0CF3"/>
    <w:pPr>
      <w:numPr>
        <w:numId w:val="109"/>
      </w:numPr>
    </w:pPr>
  </w:style>
  <w:style w:type="paragraph" w:customStyle="1" w:styleId="Bullet3">
    <w:name w:val="Bullet 3"/>
    <w:basedOn w:val="Normal"/>
    <w:rsid w:val="00BB0CF3"/>
    <w:pPr>
      <w:numPr>
        <w:numId w:val="110"/>
      </w:numPr>
    </w:pPr>
  </w:style>
  <w:style w:type="paragraph" w:customStyle="1" w:styleId="Bullet4">
    <w:name w:val="Bullet 4"/>
    <w:basedOn w:val="Normal"/>
    <w:rsid w:val="00BB0CF3"/>
    <w:pPr>
      <w:numPr>
        <w:numId w:val="11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11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nl-richtsnoeren_voor_een_betere_verzameling_en_een_beter_gebruik_van_gegevens_over_gelijkhei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9760-029C-4A4A-9BCE-3F4A375A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55</Pages>
  <Words>22978</Words>
  <Characters>130975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Fernando (EEAS)</dc:creator>
  <cp:keywords/>
  <dc:description/>
  <cp:lastModifiedBy>EC CoDe</cp:lastModifiedBy>
  <cp:revision>15</cp:revision>
  <dcterms:created xsi:type="dcterms:W3CDTF">2022-02-23T16:50:00Z</dcterms:created>
  <dcterms:modified xsi:type="dcterms:W3CDTF">2022-02-27T18:48:00Z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