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0D4" w:rsidRPr="0087742B" w:rsidRDefault="001E7938" w:rsidP="00C6471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179316E-C991-464D-BDA7-C60D25C148C8" style="width:455.15pt;height:452.05pt">
            <v:imagedata r:id="rId8" o:title=""/>
          </v:shape>
        </w:pict>
      </w:r>
    </w:p>
    <w:bookmarkEnd w:id="0"/>
    <w:p w:rsidR="002C439A" w:rsidRDefault="002C439A" w:rsidP="002C439A">
      <w:pPr>
        <w:rPr>
          <w:noProof/>
          <w:lang w:val="en-IE"/>
        </w:rPr>
        <w:sectPr w:rsidR="002C439A" w:rsidSect="00C6471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4F20D4" w:rsidRPr="0087742B" w:rsidRDefault="004F20D4" w:rsidP="004F20D4">
      <w:pPr>
        <w:jc w:val="center"/>
        <w:rPr>
          <w:rFonts w:ascii="Times New Roman" w:hAnsi="Times New Roman"/>
          <w:b/>
          <w:bCs/>
          <w:noProof/>
          <w:sz w:val="32"/>
          <w:szCs w:val="32"/>
        </w:rPr>
      </w:pPr>
      <w:r>
        <w:rPr>
          <w:rFonts w:ascii="Times New Roman" w:hAnsi="Times New Roman"/>
          <w:b/>
          <w:iCs/>
          <w:noProof/>
          <w:sz w:val="32"/>
          <w:szCs w:val="32"/>
        </w:rPr>
        <w:lastRenderedPageBreak/>
        <w:t xml:space="preserve">Образец на работна договореност </w:t>
      </w:r>
      <w:r>
        <w:rPr>
          <w:rFonts w:ascii="Times New Roman" w:hAnsi="Times New Roman"/>
          <w:b/>
          <w:bCs/>
          <w:noProof/>
          <w:sz w:val="32"/>
          <w:szCs w:val="32"/>
        </w:rPr>
        <w:t>за установяване на</w:t>
      </w:r>
      <w:r>
        <w:rPr>
          <w:noProof/>
        </w:rPr>
        <w:t xml:space="preserve"> </w:t>
      </w:r>
      <w:r>
        <w:rPr>
          <w:noProof/>
        </w:rPr>
        <w:br/>
      </w:r>
      <w:r>
        <w:rPr>
          <w:rFonts w:ascii="Times New Roman" w:hAnsi="Times New Roman"/>
          <w:b/>
          <w:bCs/>
          <w:noProof/>
          <w:sz w:val="32"/>
          <w:szCs w:val="32"/>
        </w:rPr>
        <w:t xml:space="preserve"> оперативно сътрудничество между Европейската агенция за гранична и брегова охрана </w:t>
      </w:r>
      <w:r>
        <w:rPr>
          <w:rFonts w:ascii="Times New Roman" w:hAnsi="Times New Roman"/>
          <w:b/>
          <w:bCs/>
          <w:noProof/>
          <w:color w:val="000000" w:themeColor="text1"/>
          <w:sz w:val="32"/>
          <w:szCs w:val="32"/>
        </w:rPr>
        <w:t>и [</w:t>
      </w:r>
      <w:r>
        <w:rPr>
          <w:rFonts w:ascii="Times New Roman" w:hAnsi="Times New Roman"/>
          <w:b/>
          <w:bCs/>
          <w:i/>
          <w:noProof/>
          <w:color w:val="000000" w:themeColor="text1"/>
          <w:sz w:val="32"/>
          <w:szCs w:val="32"/>
        </w:rPr>
        <w:t>органа на трета държава</w:t>
      </w:r>
      <w:r>
        <w:rPr>
          <w:rFonts w:ascii="Times New Roman" w:hAnsi="Times New Roman"/>
          <w:b/>
          <w:bCs/>
          <w:noProof/>
          <w:color w:val="000000" w:themeColor="text1"/>
          <w:sz w:val="32"/>
          <w:szCs w:val="32"/>
        </w:rPr>
        <w:t>]</w:t>
      </w:r>
    </w:p>
    <w:p w:rsidR="004F20D4" w:rsidRPr="0087742B" w:rsidRDefault="004F20D4" w:rsidP="004F20D4">
      <w:pPr>
        <w:spacing w:after="120" w:line="23" w:lineRule="atLeast"/>
        <w:jc w:val="both"/>
        <w:rPr>
          <w:rFonts w:ascii="Times New Roman" w:eastAsia="Times New Roman" w:hAnsi="Times New Roman" w:cs="Times New Roman"/>
          <w:b/>
          <w:bCs/>
          <w:noProof/>
          <w:color w:val="000000"/>
          <w:sz w:val="24"/>
          <w:szCs w:val="24"/>
          <w:lang w:val="en-IE"/>
        </w:rPr>
      </w:pPr>
    </w:p>
    <w:p w:rsidR="004F20D4" w:rsidRPr="0087742B" w:rsidRDefault="004F20D4" w:rsidP="004F20D4">
      <w:pPr>
        <w:spacing w:after="120" w:line="23" w:lineRule="atLeast"/>
        <w:jc w:val="both"/>
        <w:rPr>
          <w:rFonts w:ascii="Times New Roman" w:hAnsi="Times New Roman" w:cs="Times New Roman"/>
          <w:noProof/>
          <w:color w:val="000000" w:themeColor="text1"/>
          <w:sz w:val="24"/>
          <w:szCs w:val="24"/>
        </w:rPr>
      </w:pPr>
      <w:r>
        <w:rPr>
          <w:rFonts w:ascii="Times New Roman" w:hAnsi="Times New Roman"/>
          <w:noProof/>
          <w:sz w:val="24"/>
          <w:szCs w:val="24"/>
        </w:rPr>
        <w:t>Европейската агенция за гранична и брегова охрана (наричана по-нататък „Агенцията“), създадена с Регламент (ЕС) 2019/1896 на Европейския парламент и на Съвета от 13 ноември 2019 г. за европейската гранична и брегова охрана</w:t>
      </w:r>
      <w:r>
        <w:rPr>
          <w:rFonts w:ascii="Times New Roman" w:hAnsi="Times New Roman" w:cs="Times New Roman"/>
          <w:noProof/>
          <w:color w:val="000000" w:themeColor="text1"/>
          <w:sz w:val="24"/>
          <w:szCs w:val="24"/>
          <w:vertAlign w:val="superscript"/>
          <w:lang w:val="en-IE"/>
        </w:rPr>
        <w:footnoteReference w:id="1"/>
      </w:r>
      <w:r>
        <w:rPr>
          <w:rFonts w:ascii="Times New Roman" w:hAnsi="Times New Roman"/>
          <w:noProof/>
          <w:sz w:val="24"/>
          <w:szCs w:val="24"/>
        </w:rPr>
        <w:t xml:space="preserve"> (наричан по-нататък „Регламентът“), представлявана от своя изпълнителен директор, [...], от една страна,</w:t>
      </w:r>
    </w:p>
    <w:p w:rsidR="004F20D4" w:rsidRPr="0087742B" w:rsidRDefault="004F20D4" w:rsidP="004F20D4">
      <w:pPr>
        <w:spacing w:after="120" w:line="23" w:lineRule="atLeast"/>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и</w:t>
      </w:r>
    </w:p>
    <w:p w:rsidR="004F20D4" w:rsidRPr="0087742B" w:rsidRDefault="004F20D4" w:rsidP="004F20D4">
      <w:pPr>
        <w:spacing w:after="120" w:line="23" w:lineRule="atLeast"/>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w:t>
      </w:r>
      <w:r>
        <w:rPr>
          <w:rFonts w:ascii="Times New Roman" w:hAnsi="Times New Roman"/>
          <w:i/>
          <w:noProof/>
          <w:color w:val="000000" w:themeColor="text1"/>
          <w:sz w:val="24"/>
          <w:szCs w:val="24"/>
        </w:rPr>
        <w:t>органът на трета държава</w:t>
      </w:r>
      <w:r>
        <w:rPr>
          <w:rFonts w:ascii="Times New Roman" w:hAnsi="Times New Roman"/>
          <w:noProof/>
          <w:color w:val="000000" w:themeColor="text1"/>
          <w:sz w:val="24"/>
          <w:szCs w:val="24"/>
        </w:rPr>
        <w:t>], представляван от [...], от друга страна,</w:t>
      </w:r>
    </w:p>
    <w:p w:rsidR="004F20D4" w:rsidRPr="00B93B20" w:rsidRDefault="004F20D4" w:rsidP="004F20D4">
      <w:pPr>
        <w:spacing w:after="120" w:line="23" w:lineRule="atLeast"/>
        <w:jc w:val="both"/>
        <w:rPr>
          <w:rFonts w:ascii="Times New Roman" w:hAnsi="Times New Roman" w:cs="Times New Roman"/>
          <w:noProof/>
          <w:color w:val="000000" w:themeColor="text1"/>
          <w:sz w:val="24"/>
          <w:szCs w:val="24"/>
        </w:rPr>
      </w:pPr>
    </w:p>
    <w:p w:rsidR="004F20D4" w:rsidRPr="0087742B" w:rsidRDefault="004F20D4" w:rsidP="004F20D4">
      <w:pPr>
        <w:spacing w:after="120" w:line="23" w:lineRule="atLeast"/>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наричани по-долу поотделно „страната“ или заедно „страните“, </w:t>
      </w:r>
    </w:p>
    <w:p w:rsidR="004F20D4" w:rsidRPr="0087742B" w:rsidRDefault="004F20D4" w:rsidP="004F20D4">
      <w:pPr>
        <w:tabs>
          <w:tab w:val="left" w:pos="8097"/>
        </w:tabs>
        <w:spacing w:after="120" w:line="23" w:lineRule="atLeast"/>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възнамеряват да осъществяват оперативно сътрудничество, както следва:</w:t>
      </w:r>
      <w:r>
        <w:rPr>
          <w:noProof/>
        </w:rPr>
        <w:tab/>
      </w:r>
    </w:p>
    <w:p w:rsidR="004F20D4" w:rsidRPr="0087742B" w:rsidRDefault="004F20D4" w:rsidP="004F20D4">
      <w:pPr>
        <w:keepNext/>
        <w:numPr>
          <w:ilvl w:val="0"/>
          <w:numId w:val="5"/>
        </w:numPr>
        <w:spacing w:after="120" w:line="23" w:lineRule="atLeast"/>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 xml:space="preserve">Обхват </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Страните подчертават, че планираното оперативно сътрудничество следва да се развива постепенно. Целта е да се работи за постигането на устойчиво оперативно партньорство в областта на интегрираното управление на границите, включително в откриването, предотвратяването и борбата с незаконната миграция и трансграничната престъпност, както и в областта на връщането, в съответствие с приложимите национални, европейски и международни правни рамки, включително относно защитата на личните данни.</w:t>
      </w:r>
    </w:p>
    <w:p w:rsidR="004F20D4" w:rsidRPr="0087742B" w:rsidRDefault="004F20D4" w:rsidP="004F20D4">
      <w:pPr>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 xml:space="preserve">Цел </w:t>
      </w:r>
    </w:p>
    <w:p w:rsidR="004F20D4" w:rsidRPr="0087742B" w:rsidRDefault="004F20D4" w:rsidP="004F20D4">
      <w:pPr>
        <w:spacing w:after="120" w:line="23" w:lineRule="atLeast"/>
        <w:ind w:left="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Страните възнамеряват да си сътрудничат с цел да насърчават ефективното прилагане на интегрираното управление на границите с оглед на улесняването на законното преминаване на границите, защита на външните граници на Европейския съюз и на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от заплахи, включително незаконна имиграция и трансгранична престъпност, както и улесняване на изпълнението на задълженията за връщане и обратно приемане, при пълно зачитане на приложимите международни инструменти, и по-специално [</w:t>
      </w:r>
      <w:r>
        <w:rPr>
          <w:rFonts w:ascii="Times New Roman" w:hAnsi="Times New Roman"/>
          <w:i/>
          <w:noProof/>
          <w:color w:val="000000" w:themeColor="text1"/>
          <w:sz w:val="24"/>
          <w:szCs w:val="24"/>
        </w:rPr>
        <w:t>ненужното се заличава</w:t>
      </w:r>
      <w:r>
        <w:rPr>
          <w:rFonts w:ascii="Times New Roman" w:hAnsi="Times New Roman"/>
          <w:noProof/>
          <w:color w:val="000000" w:themeColor="text1"/>
          <w:sz w:val="24"/>
          <w:szCs w:val="24"/>
        </w:rPr>
        <w:t>: Европейската конвенция за защита на правата на човека и основните свободи, Международния пакт за граждански и политически права, конвенциите на ООН за правата на детето и Конвенцията на ООН от 1951 г. за статута на бежанците и Конвенцията за международно гражданско въздухоплаване]. Това сътрудничество обхваща:</w:t>
      </w:r>
    </w:p>
    <w:p w:rsidR="004F20D4" w:rsidRPr="0087742B" w:rsidRDefault="004F20D4" w:rsidP="004F20D4">
      <w:pPr>
        <w:numPr>
          <w:ilvl w:val="0"/>
          <w:numId w:val="1"/>
        </w:numPr>
        <w:spacing w:after="120" w:line="23" w:lineRule="atLeast"/>
        <w:ind w:left="851" w:hanging="284"/>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управление на границите, включително граничен контрол, търсене и спасяване, ситуационна осведоменост, анализ на риска, обмен на информация, изграждане на капацитет, обучение, правоприлагане, контрол на качеството и научни изследвания и иновации;</w:t>
      </w:r>
    </w:p>
    <w:p w:rsidR="004F20D4" w:rsidRPr="0087742B" w:rsidRDefault="004F20D4" w:rsidP="004F20D4">
      <w:pPr>
        <w:numPr>
          <w:ilvl w:val="0"/>
          <w:numId w:val="1"/>
        </w:numPr>
        <w:spacing w:after="120" w:line="23" w:lineRule="atLeast"/>
        <w:ind w:left="851" w:hanging="284"/>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връщане, включително дейности преди връщането (напр. консултации, установяване на самоличността и издаване на документи за пътуване), </w:t>
      </w:r>
      <w:r>
        <w:rPr>
          <w:rFonts w:ascii="Times New Roman" w:hAnsi="Times New Roman"/>
          <w:noProof/>
          <w:color w:val="000000" w:themeColor="text1"/>
          <w:sz w:val="24"/>
          <w:szCs w:val="24"/>
        </w:rPr>
        <w:lastRenderedPageBreak/>
        <w:t xml:space="preserve">доброволно и недоброволно връщане на лица, пребиваващи незаконно на територията на държава — членка на Европейския съюз, или на асоциирана към Шенген държава, дейности след връщането (напр. ефективно обратно приемане и реинтеграция) и други дейности, свързани с връщането. </w:t>
      </w:r>
    </w:p>
    <w:p w:rsidR="004F20D4" w:rsidRPr="0087742B" w:rsidRDefault="004F20D4" w:rsidP="004F20D4">
      <w:pPr>
        <w:keepNext/>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Естество на сътрудничеството</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При осъществяването на оперативното сътрудничество страните спазват задълженията си в областта на основните права, по-специално тези, свързани с достъпа до международна закрила и принципа на забрана за връщане (</w:t>
      </w:r>
      <w:r>
        <w:rPr>
          <w:rFonts w:ascii="Times New Roman" w:hAnsi="Times New Roman"/>
          <w:i/>
          <w:noProof/>
          <w:color w:val="000000" w:themeColor="text1"/>
          <w:sz w:val="24"/>
          <w:szCs w:val="24"/>
        </w:rPr>
        <w:t>non-refoulement</w:t>
      </w:r>
      <w:r>
        <w:rPr>
          <w:rFonts w:ascii="Times New Roman" w:hAnsi="Times New Roman"/>
          <w:noProof/>
          <w:color w:val="000000" w:themeColor="text1"/>
          <w:sz w:val="24"/>
          <w:szCs w:val="24"/>
        </w:rPr>
        <w:t>). По-специално страните гарантират, че правата на всички лица, особено на нуждаещите се от международна закрила, непридружените малолетни и непълнолетни лица, жертвите на трафик на хора и други уязвими лица, се зачитат напълно по време на всички съвместни дейности.</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Сътрудничеството между страните следва да се осъществява в съответствие с достиженията на правото на Европейския съюз и правната рамка, уреждаща дейността на Агенцията, в рамките на външната политика на Европейския съюз и в съответствие с правната рамка на [</w:t>
      </w:r>
      <w:r>
        <w:rPr>
          <w:rFonts w:ascii="Times New Roman" w:hAnsi="Times New Roman"/>
          <w:i/>
          <w:iCs/>
          <w:noProof/>
          <w:color w:val="000000" w:themeColor="text1"/>
          <w:sz w:val="24"/>
          <w:szCs w:val="24"/>
        </w:rPr>
        <w:t>третата държава</w:t>
      </w:r>
      <w:r>
        <w:rPr>
          <w:rFonts w:ascii="Times New Roman" w:hAnsi="Times New Roman"/>
          <w:noProof/>
          <w:color w:val="000000" w:themeColor="text1"/>
          <w:sz w:val="24"/>
          <w:szCs w:val="24"/>
        </w:rPr>
        <w:t>].</w:t>
      </w:r>
    </w:p>
    <w:p w:rsidR="004F20D4" w:rsidRPr="0087742B" w:rsidRDefault="004F20D4" w:rsidP="004F20D4">
      <w:pPr>
        <w:keepNext/>
        <w:spacing w:after="120" w:line="23" w:lineRule="atLeast"/>
        <w:jc w:val="both"/>
        <w:rPr>
          <w:rFonts w:ascii="Times New Roman" w:hAnsi="Times New Roman" w:cs="Times New Roman"/>
          <w:b/>
          <w:bCs/>
          <w:i/>
          <w:iCs/>
          <w:noProof/>
          <w:color w:val="000000" w:themeColor="text1"/>
          <w:sz w:val="24"/>
          <w:szCs w:val="24"/>
        </w:rPr>
      </w:pPr>
      <w:r>
        <w:rPr>
          <w:rFonts w:ascii="Times New Roman" w:hAnsi="Times New Roman"/>
          <w:b/>
          <w:bCs/>
          <w:i/>
          <w:iCs/>
          <w:noProof/>
          <w:color w:val="000000" w:themeColor="text1"/>
          <w:sz w:val="24"/>
          <w:szCs w:val="24"/>
        </w:rPr>
        <w:t xml:space="preserve">Обмен на информация </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При спазване на съответните си правила за защита на данните страните могат да обменят информация и аналитични продукти с цел подобряване на общата ситуационна осведоменост, сътрудничеството по време на оперативни дейности и съвместните анализи на риска за целите на интегрираното управление на границите. </w:t>
      </w:r>
    </w:p>
    <w:p w:rsidR="004F20D4" w:rsidRPr="0087742B" w:rsidRDefault="004F20D4" w:rsidP="004F20D4">
      <w:pPr>
        <w:spacing w:after="120" w:line="23" w:lineRule="atLeast"/>
        <w:ind w:left="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За тази цел страните могат да установят специални договорености, уреждащи обмена на информация, когато е приложимо, в съответствие с разпоредбите на [</w:t>
      </w:r>
      <w:r>
        <w:rPr>
          <w:rFonts w:ascii="Times New Roman" w:hAnsi="Times New Roman"/>
          <w:i/>
          <w:noProof/>
          <w:color w:val="000000" w:themeColor="text1"/>
          <w:sz w:val="24"/>
          <w:szCs w:val="24"/>
        </w:rPr>
        <w:t>да се вмъкне позоваване на приложението</w:t>
      </w:r>
      <w:r>
        <w:rPr>
          <w:rFonts w:ascii="Times New Roman" w:hAnsi="Times New Roman"/>
          <w:noProof/>
          <w:color w:val="000000" w:themeColor="text1"/>
          <w:sz w:val="24"/>
          <w:szCs w:val="24"/>
        </w:rPr>
        <w:t>].</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Страните могат да назначават експерти в областта на анализа на риска и да участват в дейностите на взаимно договорените регионални мрежи за анализ на риска, координирани от Агенцията.</w:t>
      </w:r>
    </w:p>
    <w:p w:rsidR="004F20D4" w:rsidRPr="0087742B" w:rsidRDefault="004F20D4" w:rsidP="004F20D4">
      <w:pPr>
        <w:keepNext/>
        <w:spacing w:after="120" w:line="23" w:lineRule="atLeast"/>
        <w:jc w:val="both"/>
        <w:rPr>
          <w:rFonts w:ascii="Times New Roman" w:hAnsi="Times New Roman" w:cs="Times New Roman"/>
          <w:noProof/>
          <w:color w:val="000000" w:themeColor="text1"/>
          <w:sz w:val="24"/>
          <w:szCs w:val="24"/>
        </w:rPr>
      </w:pPr>
      <w:r>
        <w:rPr>
          <w:rFonts w:ascii="Times New Roman" w:hAnsi="Times New Roman"/>
          <w:b/>
          <w:bCs/>
          <w:i/>
          <w:iCs/>
          <w:noProof/>
          <w:color w:val="000000" w:themeColor="text1"/>
          <w:sz w:val="24"/>
          <w:szCs w:val="24"/>
        </w:rPr>
        <w:t>Изграждане на капацитет</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Страните могат да си сътрудничат в дейностите за обучение и изграждане на капацитет, насочени към подобряване и подпомагане на интегрираното управление на границите, включително мерки за връщане и реинтеграция, подкрепа за включването на общите основни учебни програми на Агенцията в националната учебна програма за обучение на граничната и бреговата охрана, както и сътрудничество чрез мрежата от академии за партньорство на Агенцията. </w:t>
      </w:r>
    </w:p>
    <w:p w:rsidR="004F20D4"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Страните могат да обменят добри практики и да предприемат съвместни дейности и обучения за тази цел, включително в областта на научните изследвания и иновациите, връщането, обратното приемане и реинтеграцията, обмена на информация, документните измами, контрола на качеството за управлението на границите (включително оценките на уязвимостта), развитието на способностите (включително за целите на разследването), идентифицирането на лица, представляващи интерес, идентифицирането и насочването на уязвими лица,</w:t>
      </w:r>
      <w:r>
        <w:rPr>
          <w:noProof/>
        </w:rPr>
        <w:t xml:space="preserve"> </w:t>
      </w:r>
      <w:r>
        <w:rPr>
          <w:rFonts w:ascii="Times New Roman" w:hAnsi="Times New Roman"/>
          <w:noProof/>
          <w:color w:val="000000" w:themeColor="text1"/>
          <w:sz w:val="24"/>
          <w:szCs w:val="24"/>
        </w:rPr>
        <w:t xml:space="preserve">както и други области от общ интерес. </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w:t>
      </w:r>
      <w:r w:rsidR="00827D4A">
        <w:rPr>
          <w:rFonts w:ascii="Times New Roman" w:hAnsi="Times New Roman"/>
          <w:noProof/>
          <w:color w:val="000000" w:themeColor="text1"/>
          <w:sz w:val="24"/>
          <w:szCs w:val="24"/>
        </w:rPr>
        <w:t xml:space="preserve">траните могат да канят взаимно </w:t>
      </w:r>
      <w:r>
        <w:rPr>
          <w:rFonts w:ascii="Times New Roman" w:hAnsi="Times New Roman"/>
          <w:noProof/>
          <w:color w:val="000000" w:themeColor="text1"/>
          <w:sz w:val="24"/>
          <w:szCs w:val="24"/>
        </w:rPr>
        <w:t xml:space="preserve">представители на другата страна да участват в проекти и дейности от общ интерес, включително в пилотни проекти за технологични иновации, технологични демонстрации или изпитвания. </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Агенцията, в сътрудничество с компетентните органи на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и със съответните органи на държавите — членки на Европейския съюз, и на асоциираните към Шенген държави, и в полезно взаимодействие с други действия, програми и инструменти, изпълнявани с подкрепата на Европейския съюз, може да разработва инициативи и да изпълнява проекти за техническа и оперативна помощ за укрепване на капацитета за интегрирано управление на границите на [</w:t>
      </w:r>
      <w:r>
        <w:rPr>
          <w:rFonts w:ascii="Times New Roman" w:hAnsi="Times New Roman"/>
          <w:i/>
          <w:iCs/>
          <w:noProof/>
          <w:color w:val="000000" w:themeColor="text1"/>
          <w:sz w:val="24"/>
          <w:szCs w:val="24"/>
        </w:rPr>
        <w:t>третата държава</w:t>
      </w:r>
      <w:r>
        <w:rPr>
          <w:rFonts w:ascii="Times New Roman" w:hAnsi="Times New Roman"/>
          <w:noProof/>
          <w:color w:val="000000" w:themeColor="text1"/>
          <w:sz w:val="24"/>
          <w:szCs w:val="24"/>
        </w:rPr>
        <w:t>] (включително чрез повишаване на капацитета ѝ за предотвратяване и борба с незаконната миграция и трансграничната престъпност) и в областта на връщането.</w:t>
      </w:r>
    </w:p>
    <w:p w:rsidR="004F20D4" w:rsidRPr="0087742B" w:rsidRDefault="004F20D4" w:rsidP="004F20D4">
      <w:pPr>
        <w:spacing w:after="120" w:line="23" w:lineRule="atLeast"/>
        <w:jc w:val="both"/>
        <w:rPr>
          <w:rFonts w:ascii="Times New Roman" w:hAnsi="Times New Roman" w:cs="Times New Roman"/>
          <w:noProof/>
          <w:color w:val="000000" w:themeColor="text1"/>
          <w:sz w:val="24"/>
          <w:szCs w:val="24"/>
        </w:rPr>
      </w:pPr>
      <w:r>
        <w:rPr>
          <w:rFonts w:ascii="Times New Roman" w:hAnsi="Times New Roman"/>
          <w:b/>
          <w:bCs/>
          <w:i/>
          <w:iCs/>
          <w:noProof/>
          <w:color w:val="000000" w:themeColor="text1"/>
          <w:sz w:val="24"/>
          <w:szCs w:val="24"/>
        </w:rPr>
        <w:t>Оперативно реагиране</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Агенцията може да разположи своя персонал и членовете на екипите от Постоянния корпус на европейската гранична и брегова охрана, за да участват без изпълнителни правомощия в оперативни дейности на територията на [</w:t>
      </w:r>
      <w:r>
        <w:rPr>
          <w:rFonts w:ascii="Times New Roman" w:hAnsi="Times New Roman"/>
          <w:i/>
          <w:iCs/>
          <w:noProof/>
          <w:color w:val="000000" w:themeColor="text1"/>
          <w:sz w:val="24"/>
          <w:szCs w:val="24"/>
        </w:rPr>
        <w:t>третата държава</w:t>
      </w:r>
      <w:r>
        <w:rPr>
          <w:rFonts w:ascii="Times New Roman" w:hAnsi="Times New Roman"/>
          <w:noProof/>
          <w:color w:val="000000" w:themeColor="text1"/>
          <w:sz w:val="24"/>
          <w:szCs w:val="24"/>
        </w:rPr>
        <w:t>], както е определено в конкретните оперативни планове, договорени между Агенцията и [</w:t>
      </w:r>
      <w:r>
        <w:rPr>
          <w:rFonts w:ascii="Times New Roman" w:hAnsi="Times New Roman"/>
          <w:i/>
          <w:iCs/>
          <w:noProof/>
          <w:color w:val="000000" w:themeColor="text1"/>
          <w:sz w:val="24"/>
          <w:szCs w:val="24"/>
        </w:rPr>
        <w:t>третата държава</w:t>
      </w:r>
      <w:r>
        <w:rPr>
          <w:rFonts w:ascii="Times New Roman" w:hAnsi="Times New Roman"/>
          <w:iCs/>
          <w:noProof/>
          <w:color w:val="000000" w:themeColor="text1"/>
          <w:sz w:val="24"/>
          <w:szCs w:val="24"/>
        </w:rPr>
        <w:t>].</w:t>
      </w:r>
      <w:r>
        <w:rPr>
          <w:rFonts w:ascii="Times New Roman" w:hAnsi="Times New Roman"/>
          <w:noProof/>
          <w:color w:val="000000" w:themeColor="text1"/>
          <w:sz w:val="24"/>
          <w:szCs w:val="24"/>
        </w:rPr>
        <w:t xml:space="preserve">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следва да улесни процедурите, изисквани от националното ѝ законодателство, за да се гарантира правото на разположените перс</w:t>
      </w:r>
      <w:bookmarkStart w:id="1" w:name="_GoBack"/>
      <w:bookmarkEnd w:id="1"/>
      <w:r>
        <w:rPr>
          <w:rFonts w:ascii="Times New Roman" w:hAnsi="Times New Roman"/>
          <w:noProof/>
          <w:color w:val="000000" w:themeColor="text1"/>
          <w:sz w:val="24"/>
          <w:szCs w:val="24"/>
        </w:rPr>
        <w:t>онал и членове на екипите да пребивават на територията на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за срока на тяхното разполагане. За тази цел [</w:t>
      </w:r>
      <w:r>
        <w:rPr>
          <w:rFonts w:ascii="Times New Roman" w:hAnsi="Times New Roman"/>
          <w:i/>
          <w:noProof/>
          <w:color w:val="000000" w:themeColor="text1"/>
          <w:sz w:val="24"/>
          <w:szCs w:val="24"/>
        </w:rPr>
        <w:t>приемащата трета държава</w:t>
      </w:r>
      <w:r>
        <w:rPr>
          <w:rFonts w:ascii="Times New Roman" w:hAnsi="Times New Roman"/>
          <w:noProof/>
          <w:color w:val="000000" w:themeColor="text1"/>
          <w:sz w:val="24"/>
          <w:szCs w:val="24"/>
        </w:rPr>
        <w:t>] може да определи звено за контакт. Освен това в съответния оперативен план ще бъдат обхванати въпросите, свързани с привилегиите и имунитетите.</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Агенцията може да улеснява и насърчава техническото и оперативното сътрудничество между други действия, програми и инструменти, изпълнявани с подкрепата на Европейския съюз, неговите държави членки и асоциираните към Шенген държави, и компетентните органи на [</w:t>
      </w:r>
      <w:r>
        <w:rPr>
          <w:rFonts w:ascii="Times New Roman" w:hAnsi="Times New Roman"/>
          <w:i/>
          <w:iCs/>
          <w:noProof/>
          <w:color w:val="000000" w:themeColor="text1"/>
          <w:sz w:val="24"/>
          <w:szCs w:val="24"/>
        </w:rPr>
        <w:t>третата държава</w:t>
      </w:r>
      <w:r>
        <w:rPr>
          <w:rFonts w:ascii="Times New Roman" w:hAnsi="Times New Roman"/>
          <w:noProof/>
          <w:color w:val="000000" w:themeColor="text1"/>
          <w:sz w:val="24"/>
          <w:szCs w:val="24"/>
        </w:rPr>
        <w:t xml:space="preserve">], във всички области, обхванати от мандата на Агенцията, включително сътрудничеството в областта на правоприлагането и функциите за брегова охрана, разкриването на документни измами и използването на фалшива самоличност, както и други оперативни дейности в рамките на цикъла на политиката на Европейския съюз/EMPACT за борба с организираната и тежката международна престъпност. </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Агенцията може да използва пристанищата и летищата на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за да извършва оперативното сътрудничество (наред с другото в подкрепа на наблюдението на границите, операции по търсене и спасяване и в областта на връщането) посредством морски и въздушни активи, както са определени в съответния оперативен план, договорен с [</w:t>
      </w:r>
      <w:r>
        <w:rPr>
          <w:rFonts w:ascii="Times New Roman" w:hAnsi="Times New Roman"/>
          <w:i/>
          <w:noProof/>
          <w:color w:val="000000" w:themeColor="text1"/>
          <w:sz w:val="24"/>
          <w:szCs w:val="24"/>
        </w:rPr>
        <w:t xml:space="preserve">органа </w:t>
      </w:r>
      <w:r>
        <w:rPr>
          <w:rFonts w:ascii="Times New Roman" w:hAnsi="Times New Roman"/>
          <w:i/>
          <w:noProof/>
          <w:sz w:val="24"/>
          <w:szCs w:val="24"/>
        </w:rPr>
        <w:t>на третата държава</w:t>
      </w:r>
      <w:r>
        <w:rPr>
          <w:rFonts w:ascii="Times New Roman" w:hAnsi="Times New Roman"/>
          <w:iCs/>
          <w:noProof/>
          <w:color w:val="000000" w:themeColor="text1"/>
          <w:sz w:val="24"/>
          <w:szCs w:val="24"/>
        </w:rPr>
        <w:t>]</w:t>
      </w:r>
      <w:r>
        <w:rPr>
          <w:rFonts w:ascii="Times New Roman" w:hAnsi="Times New Roman"/>
          <w:noProof/>
          <w:color w:val="000000" w:themeColor="text1"/>
          <w:sz w:val="24"/>
          <w:szCs w:val="24"/>
        </w:rPr>
        <w:t>.</w:t>
      </w:r>
    </w:p>
    <w:p w:rsidR="004F20D4" w:rsidRPr="0087742B" w:rsidRDefault="004F20D4" w:rsidP="004F20D4">
      <w:pPr>
        <w:spacing w:after="120" w:line="23" w:lineRule="atLeast"/>
        <w:jc w:val="both"/>
        <w:rPr>
          <w:rFonts w:ascii="Times New Roman" w:hAnsi="Times New Roman" w:cs="Times New Roman"/>
          <w:b/>
          <w:bCs/>
          <w:i/>
          <w:iCs/>
          <w:noProof/>
          <w:color w:val="000000" w:themeColor="text1"/>
          <w:sz w:val="24"/>
          <w:szCs w:val="24"/>
        </w:rPr>
      </w:pPr>
      <w:r>
        <w:rPr>
          <w:rFonts w:ascii="Times New Roman" w:hAnsi="Times New Roman"/>
          <w:b/>
          <w:bCs/>
          <w:i/>
          <w:iCs/>
          <w:noProof/>
          <w:color w:val="000000" w:themeColor="text1"/>
          <w:sz w:val="24"/>
          <w:szCs w:val="24"/>
        </w:rPr>
        <w:t>Връщане и обратно приемане</w:t>
      </w:r>
    </w:p>
    <w:p w:rsidR="004F20D4" w:rsidRPr="0087742B" w:rsidRDefault="004F20D4" w:rsidP="004F20D4">
      <w:pPr>
        <w:numPr>
          <w:ilvl w:val="1"/>
          <w:numId w:val="5"/>
        </w:numPr>
        <w:spacing w:after="120" w:line="23" w:lineRule="atLeast"/>
        <w:ind w:left="567" w:hanging="573"/>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Страните могат да развиват сътрудничество в областта на връщането, обратното приемане и реинтеграцията в съответствие със съществуващата политика и законодателство на Съюза, за ефективното изпълнение на дейностите, свързани с връщането, и при зачитане на основните права и международните задължения. Това включва, наред с другото, сътрудничество на всички етапи от процеса на връщане, включително доброволното и недоброволното връщане на лица, намиращи се без разрешение на територията на държава — членка на Европейския съюз, или на асоциирана към Шенген държава, установяване на самоличността и документиране на граждани на трети държави, по отношение на които се прилагат процедури за връщане, и помощ за реинтеграция. </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Страните могат да обменят информация, която е от значение за системите за връщане на [</w:t>
      </w:r>
      <w:r>
        <w:rPr>
          <w:rFonts w:ascii="Times New Roman" w:hAnsi="Times New Roman"/>
          <w:i/>
          <w:iCs/>
          <w:noProof/>
          <w:color w:val="000000" w:themeColor="text1"/>
          <w:sz w:val="24"/>
          <w:szCs w:val="24"/>
        </w:rPr>
        <w:t>третата държава</w:t>
      </w:r>
      <w:r>
        <w:rPr>
          <w:rFonts w:ascii="Times New Roman" w:hAnsi="Times New Roman"/>
          <w:noProof/>
          <w:color w:val="000000" w:themeColor="text1"/>
          <w:sz w:val="24"/>
          <w:szCs w:val="24"/>
        </w:rPr>
        <w:t xml:space="preserve">], държавите — членки на Европейския съюз, и държавите, асоциирани към Шенген, в съответствие с точки 5—8 от настоящата работна договореност. </w:t>
      </w:r>
    </w:p>
    <w:p w:rsidR="004F20D4" w:rsidRPr="0087742B" w:rsidRDefault="004F20D4" w:rsidP="004F20D4">
      <w:pPr>
        <w:keepNext/>
        <w:spacing w:after="120" w:line="23" w:lineRule="atLeast"/>
        <w:jc w:val="both"/>
        <w:rPr>
          <w:rFonts w:ascii="Times New Roman" w:hAnsi="Times New Roman" w:cs="Times New Roman"/>
          <w:noProof/>
          <w:color w:val="000000" w:themeColor="text1"/>
          <w:sz w:val="24"/>
          <w:szCs w:val="24"/>
        </w:rPr>
      </w:pPr>
      <w:r>
        <w:rPr>
          <w:rFonts w:ascii="Times New Roman" w:hAnsi="Times New Roman"/>
          <w:b/>
          <w:bCs/>
          <w:i/>
          <w:iCs/>
          <w:noProof/>
          <w:color w:val="000000" w:themeColor="text1"/>
          <w:sz w:val="24"/>
          <w:szCs w:val="24"/>
        </w:rPr>
        <w:t>Наблюдатели</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Служители на компетентните органи на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могат да бъдат поканени да участват в пилотни проекти на Агенцията.</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Агенцията може да кани експерти от компетентните органи на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xml:space="preserve">] да участват като наблюдатели в нейните дейности, включително в оперативни дейности, организирани от държави — членки на Европейския съюз, асоциирани към Шенген държави или други държави, при условие че приемащата(ите) държава(и) е(са) съгласна(и). Страните следва да се споразумеят относно подробни правила за тяхното участие, които следва да бъдат отразени в изпълнението на дейността или операцията или в оперативния план, включително относно обмена на информация и сътрудничеството по време на тяхното участие, според случая. Тези условия следва да бъдат в пълно съответствие с приложимите разпоредби на правото на Съюза и националното право, по-специално тези, свързани с основните права, включително защитата на данните. </w:t>
      </w:r>
    </w:p>
    <w:p w:rsidR="004F20D4" w:rsidRPr="0087742B" w:rsidRDefault="004F20D4" w:rsidP="004F20D4">
      <w:pPr>
        <w:numPr>
          <w:ilvl w:val="1"/>
          <w:numId w:val="5"/>
        </w:numPr>
        <w:contextualSpacing/>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 [</w:t>
      </w:r>
      <w:r>
        <w:rPr>
          <w:rFonts w:ascii="Times New Roman" w:hAnsi="Times New Roman"/>
          <w:i/>
          <w:noProof/>
          <w:color w:val="000000" w:themeColor="text1"/>
          <w:sz w:val="24"/>
          <w:szCs w:val="24"/>
        </w:rPr>
        <w:t>Органът на третата държава</w:t>
      </w:r>
      <w:r>
        <w:rPr>
          <w:rFonts w:ascii="Times New Roman" w:hAnsi="Times New Roman"/>
          <w:noProof/>
          <w:color w:val="000000" w:themeColor="text1"/>
          <w:sz w:val="24"/>
          <w:szCs w:val="24"/>
        </w:rPr>
        <w:t xml:space="preserve">] може да покани експерти от Агенцията да участват като наблюдатели в дейностите, обхванати от настоящата работна договореност.  </w:t>
      </w:r>
    </w:p>
    <w:p w:rsidR="004F20D4" w:rsidRPr="0087742B" w:rsidRDefault="004F20D4" w:rsidP="004F20D4">
      <w:pPr>
        <w:keepNext/>
        <w:spacing w:after="120" w:line="23" w:lineRule="atLeast"/>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Събития и дейности</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Страните могат да се канят взаимно да участват в срещи и/или други събития, насочени към органите, отговарящи за управлението на границите и връщането.</w:t>
      </w:r>
    </w:p>
    <w:p w:rsidR="004F20D4" w:rsidRPr="0087742B" w:rsidRDefault="004F20D4" w:rsidP="004F20D4">
      <w:pPr>
        <w:keepNext/>
        <w:spacing w:after="120" w:line="23" w:lineRule="atLeast"/>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Обмен на служители за връзка</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sz w:val="24"/>
          <w:szCs w:val="24"/>
        </w:rPr>
        <w:t>При спазване на съответните правни разпоредби, приложими съответно за Агенцията и за [</w:t>
      </w:r>
      <w:r>
        <w:rPr>
          <w:rFonts w:ascii="Times New Roman" w:hAnsi="Times New Roman"/>
          <w:i/>
          <w:noProof/>
          <w:color w:val="000000" w:themeColor="text1"/>
          <w:sz w:val="24"/>
          <w:szCs w:val="24"/>
        </w:rPr>
        <w:t>органа</w:t>
      </w:r>
      <w:r>
        <w:rPr>
          <w:rFonts w:ascii="Times New Roman" w:hAnsi="Times New Roman"/>
          <w:i/>
          <w:noProof/>
          <w:sz w:val="24"/>
          <w:szCs w:val="24"/>
        </w:rPr>
        <w:t xml:space="preserve"> на третата държава</w:t>
      </w:r>
      <w:r>
        <w:rPr>
          <w:rFonts w:ascii="Times New Roman" w:hAnsi="Times New Roman"/>
          <w:noProof/>
          <w:sz w:val="24"/>
          <w:szCs w:val="24"/>
        </w:rPr>
        <w:t>], Агенцията може да разположи служители за връзка в [</w:t>
      </w:r>
      <w:r>
        <w:rPr>
          <w:rFonts w:ascii="Times New Roman" w:hAnsi="Times New Roman"/>
          <w:i/>
          <w:noProof/>
          <w:sz w:val="24"/>
          <w:szCs w:val="24"/>
        </w:rPr>
        <w:t>третата държава</w:t>
      </w:r>
      <w:r>
        <w:rPr>
          <w:rFonts w:ascii="Times New Roman" w:hAnsi="Times New Roman"/>
          <w:noProof/>
          <w:sz w:val="24"/>
          <w:szCs w:val="24"/>
        </w:rPr>
        <w:t xml:space="preserve">]. </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sz w:val="24"/>
          <w:szCs w:val="24"/>
        </w:rPr>
        <w:t>Агенцията може да приема служители за връзка от [</w:t>
      </w:r>
      <w:r>
        <w:rPr>
          <w:rFonts w:ascii="Times New Roman" w:hAnsi="Times New Roman"/>
          <w:i/>
          <w:noProof/>
          <w:sz w:val="24"/>
          <w:szCs w:val="24"/>
        </w:rPr>
        <w:t>трета държава</w:t>
      </w:r>
      <w:r>
        <w:rPr>
          <w:rFonts w:ascii="Times New Roman" w:hAnsi="Times New Roman"/>
          <w:noProof/>
          <w:sz w:val="24"/>
          <w:szCs w:val="24"/>
        </w:rPr>
        <w:t>] на реципрочна основа.</w:t>
      </w:r>
    </w:p>
    <w:p w:rsidR="004F20D4" w:rsidRPr="0087742B" w:rsidRDefault="004F20D4" w:rsidP="004F20D4">
      <w:pPr>
        <w:keepNext/>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Основни права</w:t>
      </w:r>
    </w:p>
    <w:p w:rsidR="004F20D4" w:rsidRPr="0087742B" w:rsidRDefault="004F20D4" w:rsidP="004F20D4">
      <w:pPr>
        <w:keepNext/>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Всички дейности, изпълнявани въз основа на настоящата работна договореност, се извършват в пълно съответствие със задълженията на страните да зачитат основните права и свободи, по-специално зачитането на човешкото достойнство, правото на живот, забраната на изтезанията и на нечовешкото или унизително отношение или наказание, забраната на трафика на хора, правото на свобода и сигурност, правото на защита на личните данни, правото на достъп до документи, правото на убежище и закрилата срещу извеждане и експулсиране, принципите на забрана за връщане и на недискриминация и правата на детето.</w:t>
      </w:r>
    </w:p>
    <w:p w:rsidR="004F20D4" w:rsidRPr="0087742B" w:rsidRDefault="004F20D4" w:rsidP="004F20D4">
      <w:pPr>
        <w:keepNext/>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Всяко лице, в периода, през който участва в дейности, изпълнявани въз основа на настоящата работна договореност от името на страна, няма да дискриминира лицата на каквото и да е основание, включително, но не само, въз основа на пол, раса, цвят на кожата, етнически или социален произход, генетични характеристики, език, религия или убеждения, политически или други мнения, принадлежност към национално малцинство, имотно състояние, рождение, увреждане, възраст, сексуална ориентация или полова идентичност. </w:t>
      </w:r>
    </w:p>
    <w:p w:rsidR="004F20D4" w:rsidRPr="0087742B" w:rsidRDefault="004F20D4" w:rsidP="004F20D4">
      <w:pPr>
        <w:keepNext/>
        <w:numPr>
          <w:ilvl w:val="1"/>
          <w:numId w:val="5"/>
        </w:numPr>
        <w:spacing w:after="120" w:line="23" w:lineRule="atLeast"/>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Служителят по въпросите на основните права на Агенцията може да наблюдава съответствието на дейностите, изпълнявани въз основа на настоящата работна договореност, с приложимите стандарти за основните права, включително да предприема последващи действия по всички твърдения за нарушения на основните права. Служителят по въпросите на основните права или неговият заместник може да извършва посещения на място в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той може също така да издаде становище, да поиска подходящи последващи действия и да информира изпълнителния директор на Агенцията за възможни нарушения на основните права, свързани с такава дейност. При поискване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xml:space="preserve">] ще подкрепи усилията за наблюдение на служителя по въпросите на основните права. </w:t>
      </w:r>
    </w:p>
    <w:p w:rsidR="004F20D4" w:rsidRPr="001E7938" w:rsidRDefault="004F20D4" w:rsidP="00C90517">
      <w:pPr>
        <w:keepNext/>
        <w:numPr>
          <w:ilvl w:val="1"/>
          <w:numId w:val="5"/>
        </w:numPr>
        <w:spacing w:after="120" w:line="23" w:lineRule="atLeast"/>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Наблюдателите на Агенцията по въпросите на основните права ще оценяват съответствието с основните права на оперативните дейности, изпълнявани въз основа на тази работна договореност. Наблюдателите на основните права могат да извършват посещения във всички зони, свързани с изпълнението на оперативна дейност. Освен това наблюдателите на основните права ще предоставят съвети и помощ в това отношение и ще допринасят за защитата и насърчаването на основните права като част от интегрираното управление на границите.</w:t>
      </w:r>
    </w:p>
    <w:p w:rsidR="004F20D4" w:rsidRPr="0087742B" w:rsidRDefault="004F20D4" w:rsidP="004F20D4">
      <w:pPr>
        <w:numPr>
          <w:ilvl w:val="0"/>
          <w:numId w:val="5"/>
        </w:numPr>
        <w:spacing w:after="120" w:line="23" w:lineRule="atLeast"/>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Обмен на информация в рамките на EUROSUR</w:t>
      </w:r>
    </w:p>
    <w:p w:rsidR="004F20D4" w:rsidRPr="0087742B" w:rsidRDefault="004F20D4" w:rsidP="004F20D4">
      <w:pPr>
        <w:keepNext/>
        <w:spacing w:after="120" w:line="23" w:lineRule="atLeast"/>
        <w:ind w:left="567"/>
        <w:jc w:val="both"/>
        <w:rPr>
          <w:rFonts w:ascii="Times New Roman" w:hAnsi="Times New Roman" w:cs="Times New Roman"/>
          <w:noProof/>
          <w:sz w:val="24"/>
          <w:szCs w:val="24"/>
        </w:rPr>
      </w:pPr>
      <w:r>
        <w:rPr>
          <w:rFonts w:ascii="Times New Roman" w:hAnsi="Times New Roman"/>
          <w:noProof/>
          <w:sz w:val="24"/>
          <w:szCs w:val="24"/>
        </w:rPr>
        <w:t>Страните могат да обменят, споделят или разпространяват информация съгласно настоящата работна договореност в рамките на EUROSUR в съответствие с условията, определени в приложение [</w:t>
      </w:r>
      <w:r>
        <w:rPr>
          <w:rFonts w:ascii="Times New Roman" w:hAnsi="Times New Roman"/>
          <w:i/>
          <w:iCs/>
          <w:noProof/>
          <w:sz w:val="24"/>
          <w:szCs w:val="24"/>
        </w:rPr>
        <w:t>посочете приложението</w:t>
      </w:r>
      <w:r>
        <w:rPr>
          <w:rFonts w:ascii="Times New Roman" w:hAnsi="Times New Roman"/>
          <w:noProof/>
          <w:sz w:val="24"/>
          <w:szCs w:val="24"/>
        </w:rPr>
        <w:t>] към настоящата работна договореност.</w:t>
      </w:r>
      <w:r>
        <w:rPr>
          <w:rFonts w:ascii="Times New Roman" w:hAnsi="Times New Roman"/>
          <w:noProof/>
          <w:color w:val="000000"/>
          <w:sz w:val="24"/>
          <w:szCs w:val="24"/>
        </w:rPr>
        <w:t xml:space="preserve"> [</w:t>
      </w:r>
      <w:r>
        <w:rPr>
          <w:rFonts w:ascii="Times New Roman" w:hAnsi="Times New Roman"/>
          <w:i/>
          <w:iCs/>
          <w:noProof/>
          <w:color w:val="000000"/>
          <w:sz w:val="24"/>
          <w:szCs w:val="24"/>
        </w:rPr>
        <w:t>NB: Приложението следва да съдържа съответните условия въз основа на разпоредбите от образеца на EUROSUR.</w:t>
      </w:r>
      <w:r>
        <w:rPr>
          <w:rFonts w:ascii="Times New Roman" w:hAnsi="Times New Roman"/>
          <w:noProof/>
          <w:color w:val="000000"/>
          <w:sz w:val="24"/>
          <w:szCs w:val="24"/>
        </w:rPr>
        <w:t>]</w:t>
      </w:r>
    </w:p>
    <w:p w:rsidR="006D5352" w:rsidRPr="0087742B" w:rsidRDefault="006D5352" w:rsidP="009B6C8D">
      <w:pPr>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Обмен на класифицирана информация и чувствителна некласифицирана информация</w:t>
      </w:r>
    </w:p>
    <w:p w:rsidR="006E489E" w:rsidRPr="0087742B" w:rsidRDefault="006E489E" w:rsidP="009B6C8D">
      <w:pPr>
        <w:numPr>
          <w:ilvl w:val="1"/>
          <w:numId w:val="5"/>
        </w:numPr>
        <w:spacing w:after="120" w:line="23" w:lineRule="atLeast"/>
        <w:ind w:left="567" w:hanging="567"/>
        <w:jc w:val="both"/>
        <w:rPr>
          <w:rFonts w:ascii="Times New Roman" w:hAnsi="Times New Roman" w:cs="Times New Roman"/>
          <w:noProof/>
          <w:sz w:val="24"/>
        </w:rPr>
      </w:pPr>
      <w:r>
        <w:rPr>
          <w:rFonts w:ascii="Times New Roman" w:hAnsi="Times New Roman"/>
          <w:noProof/>
          <w:sz w:val="24"/>
        </w:rPr>
        <w:t>Всеки обмен, споделяне или разпространяване на класифицирана информация между страните в рамките на настоящата работна договореност ще бъдат уредени в отделна административна договореност.</w:t>
      </w:r>
      <w:r>
        <w:rPr>
          <w:rFonts w:ascii="Times New Roman" w:hAnsi="Times New Roman"/>
          <w:noProof/>
          <w:color w:val="000000" w:themeColor="text1"/>
          <w:sz w:val="24"/>
          <w:szCs w:val="24"/>
        </w:rPr>
        <w:t xml:space="preserve"> </w:t>
      </w:r>
    </w:p>
    <w:p w:rsidR="006E489E" w:rsidRPr="0087742B" w:rsidRDefault="006E489E" w:rsidP="009B6C8D">
      <w:pPr>
        <w:numPr>
          <w:ilvl w:val="1"/>
          <w:numId w:val="5"/>
        </w:numPr>
        <w:spacing w:after="120" w:line="23" w:lineRule="atLeast"/>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Всеки обмен на чувствителна некласифицирана информация съгласно настоящата работна договореност: </w:t>
      </w:r>
    </w:p>
    <w:p w:rsidR="006E489E" w:rsidRPr="0087742B" w:rsidRDefault="006E489E" w:rsidP="009B6C8D">
      <w:pPr>
        <w:numPr>
          <w:ilvl w:val="0"/>
          <w:numId w:val="4"/>
        </w:numPr>
        <w:spacing w:after="120" w:line="23" w:lineRule="atLeast"/>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ще бъде управляван от Агенцията в съответствие с член 9, параграф 5 от Решение (ЕС, Евратом) 2015/443 на Комисията</w:t>
      </w:r>
      <w:r>
        <w:rPr>
          <w:rStyle w:val="FootnoteReference"/>
          <w:rFonts w:ascii="Times New Roman" w:hAnsi="Times New Roman" w:cs="Times New Roman"/>
          <w:bCs/>
          <w:noProof/>
          <w:color w:val="000000" w:themeColor="text1"/>
          <w:sz w:val="24"/>
          <w:szCs w:val="24"/>
          <w:lang w:val="en-IE"/>
        </w:rPr>
        <w:footnoteReference w:id="2"/>
      </w:r>
      <w:r>
        <w:rPr>
          <w:rFonts w:ascii="Times New Roman" w:hAnsi="Times New Roman"/>
          <w:bCs/>
          <w:noProof/>
          <w:color w:val="000000" w:themeColor="text1"/>
          <w:sz w:val="24"/>
          <w:szCs w:val="24"/>
        </w:rPr>
        <w:t>;</w:t>
      </w:r>
    </w:p>
    <w:p w:rsidR="006E489E" w:rsidRPr="0087742B" w:rsidRDefault="006E489E" w:rsidP="009B6C8D">
      <w:pPr>
        <w:numPr>
          <w:ilvl w:val="0"/>
          <w:numId w:val="4"/>
        </w:numPr>
        <w:spacing w:after="120" w:line="23" w:lineRule="atLeast"/>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ще получи ниво на защита от получаващата страна, което е равностойно на нивото на защита, което се осигурява от мерките, прилагани към тази информация от съобщилата я страна по отношение на поверителността, целостта и наличността,</w:t>
      </w:r>
    </w:p>
    <w:p w:rsidR="00AF2505" w:rsidRPr="00AF2505" w:rsidRDefault="006E489E" w:rsidP="009B6C8D">
      <w:pPr>
        <w:numPr>
          <w:ilvl w:val="0"/>
          <w:numId w:val="4"/>
        </w:numPr>
        <w:spacing w:after="120" w:line="23" w:lineRule="atLeast"/>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ще се осъществява чрез системи за обмен на информация, които отговарят на критериите за наличност, поверителност и цялост на чувствителна некласифицирана информация, като комуникационната мрежа, посочена в член 14 от регламента.</w:t>
      </w:r>
    </w:p>
    <w:p w:rsidR="006D5352" w:rsidRPr="0087742B" w:rsidRDefault="006D5352" w:rsidP="009B6C8D">
      <w:pPr>
        <w:numPr>
          <w:ilvl w:val="1"/>
          <w:numId w:val="5"/>
        </w:numPr>
        <w:spacing w:after="120" w:line="23" w:lineRule="atLeast"/>
        <w:ind w:left="426" w:hanging="426"/>
        <w:jc w:val="both"/>
        <w:rPr>
          <w:rFonts w:ascii="Times New Roman" w:hAnsi="Times New Roman" w:cs="Times New Roman"/>
          <w:noProof/>
          <w:sz w:val="24"/>
        </w:rPr>
      </w:pPr>
      <w:r>
        <w:rPr>
          <w:rFonts w:ascii="Times New Roman" w:hAnsi="Times New Roman"/>
          <w:noProof/>
          <w:color w:val="000000" w:themeColor="text1"/>
          <w:sz w:val="24"/>
          <w:szCs w:val="24"/>
        </w:rPr>
        <w:t>Страните ще спазват правата върху интелектуалната собственост, свързани с всички данни, обработвани в рамките на настоящата работна договореност.</w:t>
      </w:r>
    </w:p>
    <w:p w:rsidR="006D5352" w:rsidRPr="0087742B" w:rsidRDefault="006D5352" w:rsidP="009B6C8D">
      <w:pPr>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Прозрачност</w:t>
      </w:r>
    </w:p>
    <w:p w:rsidR="006D5352" w:rsidRPr="0087742B" w:rsidRDefault="006D5352" w:rsidP="009B6C8D">
      <w:pPr>
        <w:numPr>
          <w:ilvl w:val="1"/>
          <w:numId w:val="5"/>
        </w:numPr>
        <w:spacing w:after="120" w:line="23" w:lineRule="atLeast"/>
        <w:ind w:left="567" w:hanging="567"/>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rPr>
        <w:t>По-нататъшното предаване на получена информация ще се извършва съгласно съответната правна уредба и при същите условия като тези, които се прилагат за първоначалното предаване, и само с предварителното одобрение на другата страна.</w:t>
      </w:r>
    </w:p>
    <w:p w:rsidR="00BB4BE6" w:rsidRPr="00BB4BE6" w:rsidRDefault="006D5352" w:rsidP="009B6C8D">
      <w:pPr>
        <w:numPr>
          <w:ilvl w:val="1"/>
          <w:numId w:val="5"/>
        </w:numPr>
        <w:spacing w:after="120" w:line="23" w:lineRule="atLeast"/>
        <w:ind w:left="567" w:hanging="567"/>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rPr>
        <w:t xml:space="preserve">Страните възнамеряват да предприемат всички необходими мерки, за да гарантират подходяща поверителност на информацията, получена в рамките на настоящата работна договореност. </w:t>
      </w:r>
    </w:p>
    <w:p w:rsidR="00BB4BE6" w:rsidRPr="00BB4BE6" w:rsidRDefault="006D5352" w:rsidP="009B6C8D">
      <w:pPr>
        <w:numPr>
          <w:ilvl w:val="1"/>
          <w:numId w:val="5"/>
        </w:numPr>
        <w:spacing w:after="120" w:line="23" w:lineRule="atLeast"/>
        <w:ind w:left="567" w:hanging="567"/>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rPr>
        <w:t>Без да се засяга правната рамка на Европейския съюз относно прозрачността на дейностите на Агенцията, и по-специално относно правото на достъп до документи, както и съответното законодателство относно прозрачността на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страните възнамеряват да гарантират, че:</w:t>
      </w:r>
    </w:p>
    <w:p w:rsidR="00BB4BE6" w:rsidRPr="00BB4BE6" w:rsidRDefault="006D5352" w:rsidP="00BB4BE6">
      <w:pPr>
        <w:pStyle w:val="ListParagraph"/>
        <w:numPr>
          <w:ilvl w:val="0"/>
          <w:numId w:val="7"/>
        </w:numPr>
        <w:spacing w:after="120" w:line="23" w:lineRule="atLeast"/>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rPr>
        <w:t xml:space="preserve">информацията, получена в рамките на настоящата работна договореност, следва да се използва само за изпълнението на техните отговорности, свързани с интегрираното управление на границите, и за целите, за които е била предадена, </w:t>
      </w:r>
    </w:p>
    <w:p w:rsidR="006D5352" w:rsidRPr="00BB4BE6" w:rsidRDefault="00BB4BE6" w:rsidP="00BB4BE6">
      <w:pPr>
        <w:pStyle w:val="ListParagraph"/>
        <w:numPr>
          <w:ilvl w:val="0"/>
          <w:numId w:val="7"/>
        </w:numPr>
        <w:spacing w:after="120" w:line="23" w:lineRule="atLeast"/>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rPr>
        <w:t>ако една от страните (притежателят), съгласно своите правила относно публичния достъп до документи, получи искане за разкриване на документи, произхождащи от другата страна, притежателят следва да получи предварителното одобрение на страната, от която произхождат документите, за тяхното оповестяване.</w:t>
      </w:r>
    </w:p>
    <w:p w:rsidR="004F20D4" w:rsidRPr="0087742B" w:rsidRDefault="004F20D4" w:rsidP="004F20D4">
      <w:pPr>
        <w:keepNext/>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Защита на личните данни</w:t>
      </w:r>
    </w:p>
    <w:p w:rsidR="004F20D4" w:rsidRPr="0087742B" w:rsidRDefault="004F20D4" w:rsidP="004F20D4">
      <w:pPr>
        <w:keepNext/>
        <w:numPr>
          <w:ilvl w:val="1"/>
          <w:numId w:val="5"/>
        </w:numPr>
        <w:spacing w:after="120" w:line="23" w:lineRule="atLeast"/>
        <w:ind w:left="567" w:hanging="567"/>
        <w:jc w:val="both"/>
        <w:rPr>
          <w:rFonts w:ascii="Times New Roman" w:hAnsi="Times New Roman"/>
          <w:bCs/>
          <w:noProof/>
          <w:color w:val="000000" w:themeColor="text1"/>
          <w:sz w:val="24"/>
          <w:szCs w:val="24"/>
        </w:rPr>
      </w:pPr>
      <w:r>
        <w:rPr>
          <w:rFonts w:ascii="Times New Roman" w:hAnsi="Times New Roman"/>
          <w:noProof/>
          <w:color w:val="000000" w:themeColor="text1"/>
          <w:sz w:val="24"/>
          <w:szCs w:val="24"/>
        </w:rPr>
        <w:t>Съобщаването на лични данни се извършва само ако то е необходимо за изпълнението на настоящата договореност от компетентните органи на [</w:t>
      </w:r>
      <w:r>
        <w:rPr>
          <w:rFonts w:ascii="Times New Roman" w:hAnsi="Times New Roman"/>
          <w:i/>
          <w:noProof/>
          <w:color w:val="000000" w:themeColor="text1"/>
          <w:sz w:val="24"/>
          <w:szCs w:val="24"/>
        </w:rPr>
        <w:t>третата държава</w:t>
      </w:r>
      <w:r>
        <w:rPr>
          <w:rFonts w:ascii="Times New Roman" w:hAnsi="Times New Roman"/>
          <w:noProof/>
          <w:color w:val="000000" w:themeColor="text1"/>
          <w:sz w:val="24"/>
          <w:szCs w:val="24"/>
        </w:rPr>
        <w:t>] или Агенцията и ще се подчинява на правилата за защита на данните на съобщаващата страна.</w:t>
      </w:r>
      <w:r>
        <w:rPr>
          <w:rFonts w:ascii="Times New Roman" w:hAnsi="Times New Roman"/>
          <w:bCs/>
          <w:noProof/>
          <w:color w:val="000000" w:themeColor="text1"/>
          <w:sz w:val="24"/>
          <w:szCs w:val="24"/>
        </w:rPr>
        <w:t xml:space="preserve"> Обработването на лични данни от една от страните в конкретен случай, включително предаването на такива лични данни на другата страна, ще подлежи на правилата за защита на данните, приложими за тази страна. Страната ще осигури следните минимални гаранции като предварително условие за всяко предаване на данни:</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личните данни се обработват законосъобразно, добросъвестно и по прозрачен начин по отношение на субекта на данните;</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личните данни трябва да бъдат събирани за конкретната, изрично указана и законна цел за прилагане на настоящата договореност и не се обработват допълнително от съобщаващата страна и получаващата страна по начин, който е несъвместим с тази цел;</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личните данни трябва да бъдат адекватни, съответстващи и ограничени до необходимото по отношение на целта, за която се събират и/или се обработват допълнително;</w:t>
      </w:r>
      <w:r>
        <w:rPr>
          <w:rFonts w:ascii="Times New Roman" w:hAnsi="Times New Roman"/>
          <w:bCs/>
          <w:noProof/>
          <w:color w:val="000000" w:themeColor="text1"/>
          <w:sz w:val="24"/>
          <w:szCs w:val="24"/>
        </w:rPr>
        <w:t xml:space="preserve"> по-специално личните данни, съобщени в съответствие с приложимото право на съобщаващата страна, могат да се отнасят само до следното:</w:t>
      </w:r>
    </w:p>
    <w:p w:rsidR="004F20D4" w:rsidRPr="0087742B" w:rsidRDefault="004F20D4" w:rsidP="004F20D4">
      <w:pPr>
        <w:numPr>
          <w:ilvl w:val="0"/>
          <w:numId w:val="2"/>
        </w:numPr>
        <w:tabs>
          <w:tab w:val="num" w:pos="-7070"/>
        </w:tabs>
        <w:spacing w:after="120" w:line="23" w:lineRule="atLeast"/>
        <w:ind w:left="1418"/>
        <w:jc w:val="both"/>
        <w:rPr>
          <w:rFonts w:ascii="Times New Roman" w:hAnsi="Times New Roman" w:cs="Times New Roman"/>
          <w:noProof/>
          <w:color w:val="000000"/>
          <w:sz w:val="24"/>
          <w:szCs w:val="24"/>
        </w:rPr>
      </w:pPr>
      <w:r>
        <w:rPr>
          <w:rFonts w:ascii="Times New Roman" w:hAnsi="Times New Roman"/>
          <w:bCs/>
          <w:noProof/>
          <w:color w:val="000000" w:themeColor="text1"/>
          <w:sz w:val="24"/>
          <w:szCs w:val="24"/>
        </w:rPr>
        <w:t xml:space="preserve"> [</w:t>
      </w:r>
      <w:r>
        <w:rPr>
          <w:rFonts w:ascii="Times New Roman" w:hAnsi="Times New Roman"/>
          <w:bCs/>
          <w:i/>
          <w:noProof/>
          <w:color w:val="000000" w:themeColor="text1"/>
          <w:sz w:val="24"/>
          <w:szCs w:val="24"/>
        </w:rPr>
        <w:t>Списък на категориите данни, които могат да бъдат обменяни, и целите, за които те могат да бъдат обработвани и предавани</w:t>
      </w:r>
      <w:r>
        <w:rPr>
          <w:rFonts w:ascii="Times New Roman" w:hAnsi="Times New Roman"/>
          <w:bCs/>
          <w:noProof/>
          <w:color w:val="000000" w:themeColor="text1"/>
          <w:sz w:val="24"/>
          <w:szCs w:val="24"/>
        </w:rPr>
        <w:t>]</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личните данни трябва да бъдат точни и при необходимост да бъдат актуализирани;</w:t>
      </w:r>
      <w:r>
        <w:rPr>
          <w:rFonts w:ascii="Times New Roman" w:hAnsi="Times New Roman"/>
          <w:bCs/>
          <w:noProof/>
          <w:color w:val="000000" w:themeColor="text1"/>
          <w:sz w:val="24"/>
          <w:szCs w:val="24"/>
        </w:rPr>
        <w:t xml:space="preserve"> </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личните данни трябва да се съхраняват във вид, който позволява установяване на самоличността на субектите на данни, за срок, не по-дълъг от необходимия за постигане на целите, с които данните са събрани или се обработват допълнително;</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личните данни трябва да се обработват по начин, който гарантира подходящо ниво на сигурност на личните данни, като се вземат предвид специфичните рискове, свързани с обработването,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(„нарушение на сигурността на данните“);</w:t>
      </w:r>
      <w:r>
        <w:rPr>
          <w:rFonts w:ascii="Times New Roman" w:hAnsi="Times New Roman"/>
          <w:bCs/>
          <w:noProof/>
          <w:color w:val="000000" w:themeColor="text1"/>
          <w:sz w:val="24"/>
          <w:szCs w:val="24"/>
        </w:rPr>
        <w:t xml:space="preserve"> получаващата страна ще предприеме подходящи мерки за справяне с всяко нарушение на сигурността на данните и ще уведоми съобщаващата страна за това нарушение без ненужно забавяне и в рамките на 72 часа;</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както съобщаващата страна, така и получаващата страна, предприемат всички разумни мерки, за да гарантират неотложното коригиране или изтриване, в зависимост от случая, на лични данни в случаите, когато обработването им не съответства на разпоредбите на настоящия член, по-специално поради това че данните не са адекватни, съответстващи и точни или са прекомерни по отношение на целта на обработването.</w:t>
      </w:r>
      <w:r>
        <w:rPr>
          <w:rFonts w:ascii="Times New Roman" w:hAnsi="Times New Roman"/>
          <w:bCs/>
          <w:noProof/>
          <w:color w:val="000000" w:themeColor="text1"/>
          <w:sz w:val="24"/>
          <w:szCs w:val="24"/>
        </w:rPr>
        <w:t xml:space="preserve"> Това включва уведомяването на другата страна за всяко коригиране или изтриване;</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при поискване получаващата страна ще информира съобщаващата страна за използването на съобщените данни;</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лични данни могат да бъдат съобщавани само на следните компетентни органи:</w:t>
      </w:r>
    </w:p>
    <w:p w:rsidR="004F20D4" w:rsidRPr="0087742B" w:rsidRDefault="004F20D4" w:rsidP="004F20D4">
      <w:pPr>
        <w:numPr>
          <w:ilvl w:val="0"/>
          <w:numId w:val="2"/>
        </w:numPr>
        <w:tabs>
          <w:tab w:val="num" w:pos="-7070"/>
        </w:tabs>
        <w:spacing w:after="120" w:line="23" w:lineRule="atLeast"/>
        <w:ind w:left="1418"/>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w:t>
      </w:r>
      <w:r>
        <w:rPr>
          <w:rFonts w:ascii="Times New Roman" w:hAnsi="Times New Roman"/>
          <w:bCs/>
          <w:i/>
          <w:noProof/>
          <w:color w:val="000000" w:themeColor="text1"/>
          <w:sz w:val="24"/>
          <w:szCs w:val="24"/>
        </w:rPr>
        <w:t>Списък на органите и обхват на техните компетенции</w:t>
      </w:r>
      <w:r>
        <w:rPr>
          <w:rFonts w:ascii="Times New Roman" w:hAnsi="Times New Roman"/>
          <w:bCs/>
          <w:noProof/>
          <w:color w:val="000000" w:themeColor="text1"/>
          <w:sz w:val="24"/>
          <w:szCs w:val="24"/>
        </w:rPr>
        <w:t>]</w:t>
      </w:r>
    </w:p>
    <w:p w:rsidR="004F20D4" w:rsidRPr="0087742B" w:rsidRDefault="004F20D4" w:rsidP="004F20D4">
      <w:pPr>
        <w:keepNext/>
        <w:spacing w:after="120" w:line="23" w:lineRule="atLeast"/>
        <w:ind w:left="993"/>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За допълнително съобщаване на други органи се изисква предварителното разрешение на страната, която съобщава данните;</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съобщаващата страна и получаващата страна трябва да изготвят писмен запис за съобщаването и приемането на личните данни;</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ще бъде въведен независим надзор за наблюдение на спазването на изискванията за защита на данните, включително за проверка на такива записи;</w:t>
      </w:r>
      <w:r>
        <w:rPr>
          <w:rFonts w:ascii="Times New Roman" w:hAnsi="Times New Roman"/>
          <w:bCs/>
          <w:noProof/>
          <w:color w:val="000000" w:themeColor="text1"/>
          <w:sz w:val="24"/>
          <w:szCs w:val="24"/>
        </w:rPr>
        <w:t xml:space="preserve"> субектите на данни ще имат право да подават жалби до надзорния орган и да получават отговор без ненужно забавяне;</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субектите на данни ще имат право да получават информация относно обработването на техните лични данни, достъп до тези данни и коригиране или изтриване на неточни или незаконно обработени данни, като това право може да подлежи на необходими и пропорционални ограничения, основани на важни причини, свързани с обществения интерес;</w:t>
      </w:r>
    </w:p>
    <w:p w:rsidR="004F20D4" w:rsidRPr="0087742B" w:rsidRDefault="004F20D4" w:rsidP="004F20D4">
      <w:pPr>
        <w:keepNext/>
        <w:numPr>
          <w:ilvl w:val="3"/>
          <w:numId w:val="3"/>
        </w:numPr>
        <w:spacing w:after="120" w:line="23" w:lineRule="atLeast"/>
        <w:ind w:left="993" w:hanging="437"/>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 </w:t>
      </w:r>
      <w:r>
        <w:rPr>
          <w:rFonts w:ascii="Times New Roman" w:hAnsi="Times New Roman"/>
          <w:noProof/>
          <w:color w:val="000000" w:themeColor="text1"/>
          <w:sz w:val="24"/>
          <w:szCs w:val="24"/>
        </w:rPr>
        <w:t>субектите на данни ще имат право на ефективна административна и съдебна защита при нарушаване на горепосочените гаранции.</w:t>
      </w:r>
    </w:p>
    <w:p w:rsidR="004F20D4" w:rsidRPr="0087742B" w:rsidRDefault="004F20D4" w:rsidP="004F20D4">
      <w:pPr>
        <w:keepNext/>
        <w:numPr>
          <w:ilvl w:val="1"/>
          <w:numId w:val="5"/>
        </w:numPr>
        <w:spacing w:after="120" w:line="23" w:lineRule="atLeast"/>
        <w:ind w:left="567" w:hanging="567"/>
        <w:jc w:val="both"/>
        <w:rPr>
          <w:rFonts w:ascii="Times New Roman" w:hAnsi="Times New Roman" w:cs="Times New Roman"/>
          <w:bCs/>
          <w:noProof/>
          <w:color w:val="000000" w:themeColor="text1"/>
          <w:sz w:val="24"/>
          <w:szCs w:val="24"/>
        </w:rPr>
      </w:pPr>
      <w:r>
        <w:rPr>
          <w:rFonts w:ascii="Times New Roman" w:hAnsi="Times New Roman"/>
          <w:noProof/>
          <w:color w:val="000000" w:themeColor="text1"/>
          <w:sz w:val="24"/>
          <w:szCs w:val="24"/>
        </w:rPr>
        <w:t>Всяка страна ще извършва периодични прегледи на собствените си политики и процедури, които привеждат в действие тази разпоредба.</w:t>
      </w:r>
      <w:r>
        <w:rPr>
          <w:rFonts w:ascii="Times New Roman" w:hAnsi="Times New Roman"/>
          <w:bCs/>
          <w:noProof/>
          <w:color w:val="000000" w:themeColor="text1"/>
          <w:sz w:val="24"/>
          <w:szCs w:val="24"/>
        </w:rPr>
        <w:t xml:space="preserve"> По искане на другата страна страната, която е получила искането, ще преразгледа своите политики и процедури за обработване на лични данни, за да се увери и потвърди, че гаранциите в тази разпоредба се прилагат ефективно. Резултатите от прегледа ще бъдат съобщени на страната, поискала преразглеждането, в разумен срок. </w:t>
      </w:r>
    </w:p>
    <w:p w:rsidR="004F20D4" w:rsidRPr="0087742B" w:rsidRDefault="004F20D4" w:rsidP="004F20D4">
      <w:pPr>
        <w:keepNext/>
        <w:numPr>
          <w:ilvl w:val="1"/>
          <w:numId w:val="5"/>
        </w:numPr>
        <w:spacing w:after="120" w:line="23" w:lineRule="atLeast"/>
        <w:ind w:left="567" w:hanging="567"/>
        <w:jc w:val="both"/>
        <w:rPr>
          <w:rFonts w:ascii="Times New Roman" w:hAnsi="Times New Roman" w:cs="Times New Roman"/>
          <w:noProof/>
          <w:sz w:val="24"/>
          <w:szCs w:val="24"/>
        </w:rPr>
      </w:pPr>
      <w:r>
        <w:rPr>
          <w:rFonts w:ascii="Times New Roman" w:hAnsi="Times New Roman"/>
          <w:noProof/>
          <w:sz w:val="24"/>
          <w:szCs w:val="24"/>
        </w:rPr>
        <w:t>Гаранциите, свързани със защита на данните по настоящата договореност, подлежат на надзор от [</w:t>
      </w:r>
      <w:r>
        <w:rPr>
          <w:rFonts w:ascii="Times New Roman" w:hAnsi="Times New Roman"/>
          <w:i/>
          <w:noProof/>
          <w:sz w:val="24"/>
          <w:szCs w:val="24"/>
        </w:rPr>
        <w:t>независим публичен орган или друг компетентен орган за надзор в третата държава</w:t>
      </w:r>
      <w:r>
        <w:rPr>
          <w:rFonts w:ascii="Times New Roman" w:hAnsi="Times New Roman"/>
          <w:noProof/>
          <w:sz w:val="24"/>
          <w:szCs w:val="24"/>
        </w:rPr>
        <w:t>] в качеството му на надзорен орган на [</w:t>
      </w:r>
      <w:r>
        <w:rPr>
          <w:rFonts w:ascii="Times New Roman" w:hAnsi="Times New Roman"/>
          <w:i/>
          <w:noProof/>
          <w:sz w:val="24"/>
          <w:szCs w:val="24"/>
        </w:rPr>
        <w:t>третата държава</w:t>
      </w:r>
      <w:r>
        <w:rPr>
          <w:rFonts w:ascii="Times New Roman" w:hAnsi="Times New Roman"/>
          <w:noProof/>
          <w:sz w:val="24"/>
          <w:szCs w:val="24"/>
        </w:rPr>
        <w:t>] и от Европейския надзорен орган по защита на данните в качеството му на надзорен орган на Агенцията.</w:t>
      </w:r>
      <w:r>
        <w:rPr>
          <w:rFonts w:ascii="Times New Roman" w:hAnsi="Times New Roman"/>
          <w:noProof/>
          <w:color w:val="000000"/>
          <w:sz w:val="24"/>
          <w:szCs w:val="24"/>
        </w:rPr>
        <w:t xml:space="preserve"> Страните ще си сътрудничат с тези органи.</w:t>
      </w:r>
    </w:p>
    <w:p w:rsidR="004F20D4" w:rsidRPr="0087742B" w:rsidRDefault="004F20D4" w:rsidP="004F20D4">
      <w:pPr>
        <w:keepNext/>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Борба с измамите</w:t>
      </w:r>
    </w:p>
    <w:p w:rsidR="004F20D4" w:rsidRPr="0087742B" w:rsidRDefault="004F20D4" w:rsidP="004F20D4">
      <w:pPr>
        <w:keepNext/>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w:t>
      </w:r>
      <w:r>
        <w:rPr>
          <w:rFonts w:ascii="Times New Roman" w:hAnsi="Times New Roman"/>
          <w:i/>
          <w:noProof/>
          <w:color w:val="000000" w:themeColor="text1"/>
          <w:sz w:val="24"/>
          <w:szCs w:val="24"/>
        </w:rPr>
        <w:t>Органът на третата държава</w:t>
      </w:r>
      <w:r>
        <w:rPr>
          <w:rFonts w:ascii="Times New Roman" w:hAnsi="Times New Roman"/>
          <w:noProof/>
          <w:color w:val="000000" w:themeColor="text1"/>
          <w:sz w:val="24"/>
          <w:szCs w:val="24"/>
        </w:rPr>
        <w:t xml:space="preserve">] незабавно уведомява Агенцията, Европейската прокуратура и/или Европейската служба за борба с измамите, ако узнае за наличието на достоверни твърдения за измама, корупция или други незаконни дейности, които могат да засегнат интересите на Европейския съюз. </w:t>
      </w:r>
    </w:p>
    <w:p w:rsidR="004F20D4" w:rsidRPr="0087742B" w:rsidRDefault="004F20D4" w:rsidP="004F20D4">
      <w:pPr>
        <w:keepNext/>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Когато подобни твърдения са свързани със средства на Европейския съюз, отпуснати във връзка с настоящата работна договореност, [</w:t>
      </w:r>
      <w:r>
        <w:rPr>
          <w:rFonts w:ascii="Times New Roman" w:hAnsi="Times New Roman"/>
          <w:i/>
          <w:noProof/>
          <w:color w:val="000000" w:themeColor="text1"/>
          <w:sz w:val="24"/>
          <w:szCs w:val="24"/>
        </w:rPr>
        <w:t>органът на третата държава</w:t>
      </w:r>
      <w:r>
        <w:rPr>
          <w:rFonts w:ascii="Times New Roman" w:hAnsi="Times New Roman"/>
          <w:noProof/>
          <w:color w:val="000000" w:themeColor="text1"/>
          <w:sz w:val="24"/>
          <w:szCs w:val="24"/>
        </w:rPr>
        <w:t>] предоставя на Европейската служба за борба с измамите, Европейската сметна палата и/или Европейската прокуратура цялата необходима помощ във връзка с разследващите дейности на негова територия, включително улесняване на интервюта, проверки и инспекции на място (включително достъп до информационни системи и бази данни в [третата държава]); и улесняване на достъпа до всяка съответна информация относно техническото и финансовото управление на въпроси, финансирани частично или изцяло от Европейския съюз.</w:t>
      </w:r>
    </w:p>
    <w:p w:rsidR="004F20D4" w:rsidRPr="0087742B" w:rsidRDefault="004F20D4" w:rsidP="004F20D4">
      <w:pPr>
        <w:keepNext/>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Прилагане на настоящата договореност</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Страните възнамеряват да поддържат диалог относно прилагането на тази работна договореност. </w:t>
      </w:r>
      <w:r>
        <w:rPr>
          <w:rFonts w:ascii="Times New Roman" w:hAnsi="Times New Roman"/>
          <w:noProof/>
          <w:sz w:val="24"/>
          <w:szCs w:val="24"/>
        </w:rPr>
        <w:t>За тази цел страните могат да се споразумеят за изготвянето на многогодишни или годишни планове за сътрудничество, в които се определят дейностите, които да се изпълняват съгласно точка 3.</w:t>
      </w:r>
      <w:r>
        <w:rPr>
          <w:noProof/>
          <w:sz w:val="24"/>
          <w:szCs w:val="24"/>
        </w:rPr>
        <w:t xml:space="preserve"> </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Координаторите за изпълнението на настоящата работна договореност са: за Агенцията, звеното за международно сътрудничество и за [</w:t>
      </w:r>
      <w:r>
        <w:rPr>
          <w:rFonts w:ascii="Times New Roman" w:hAnsi="Times New Roman"/>
          <w:i/>
          <w:noProof/>
          <w:color w:val="000000" w:themeColor="text1"/>
          <w:sz w:val="24"/>
          <w:szCs w:val="24"/>
        </w:rPr>
        <w:t>органа на третата държава</w:t>
      </w:r>
      <w:r>
        <w:rPr>
          <w:rFonts w:ascii="Times New Roman" w:hAnsi="Times New Roman"/>
          <w:noProof/>
          <w:color w:val="000000" w:themeColor="text1"/>
          <w:sz w:val="24"/>
          <w:szCs w:val="24"/>
        </w:rPr>
        <w:t>] — [</w:t>
      </w:r>
      <w:r>
        <w:rPr>
          <w:rFonts w:ascii="Times New Roman" w:hAnsi="Times New Roman"/>
          <w:i/>
          <w:noProof/>
          <w:color w:val="000000" w:themeColor="text1"/>
          <w:sz w:val="24"/>
          <w:szCs w:val="24"/>
        </w:rPr>
        <w:t>координаторът на третата държава</w:t>
      </w:r>
      <w:r>
        <w:rPr>
          <w:rFonts w:ascii="Times New Roman" w:hAnsi="Times New Roman"/>
          <w:noProof/>
          <w:color w:val="000000" w:themeColor="text1"/>
          <w:sz w:val="24"/>
          <w:szCs w:val="24"/>
        </w:rPr>
        <w:t>].</w:t>
      </w:r>
    </w:p>
    <w:p w:rsidR="004F20D4"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Може да се предвидят допълнителни звена за контакт за конкретни дейности, както бъде договорено от двете страни. </w:t>
      </w:r>
    </w:p>
    <w:p w:rsidR="00BB4BE6" w:rsidRPr="0087742B" w:rsidRDefault="00BB4BE6"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w:t>
      </w:r>
      <w:r>
        <w:rPr>
          <w:rFonts w:ascii="Times New Roman" w:hAnsi="Times New Roman"/>
          <w:i/>
          <w:noProof/>
          <w:color w:val="000000" w:themeColor="text1"/>
          <w:sz w:val="24"/>
          <w:szCs w:val="24"/>
        </w:rPr>
        <w:t>В случай, че е има приложение]</w:t>
      </w:r>
      <w:r>
        <w:rPr>
          <w:rFonts w:ascii="Times New Roman" w:hAnsi="Times New Roman"/>
          <w:noProof/>
          <w:color w:val="000000" w:themeColor="text1"/>
          <w:sz w:val="24"/>
          <w:szCs w:val="24"/>
        </w:rPr>
        <w:t xml:space="preserve"> Приложението(ата) представлява(т) неразделна част от настоящата работна договореност.</w:t>
      </w:r>
    </w:p>
    <w:p w:rsidR="004F20D4" w:rsidRPr="0087742B" w:rsidRDefault="004F20D4" w:rsidP="004F20D4">
      <w:pPr>
        <w:keepNext/>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Финансови аспекти</w:t>
      </w:r>
    </w:p>
    <w:p w:rsidR="004F20D4" w:rsidRPr="0087742B" w:rsidRDefault="004F20D4" w:rsidP="004F20D4">
      <w:pPr>
        <w:spacing w:after="120" w:line="23" w:lineRule="atLeast"/>
        <w:ind w:left="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Участието на органи на [</w:t>
      </w:r>
      <w:r>
        <w:rPr>
          <w:rFonts w:ascii="Times New Roman" w:hAnsi="Times New Roman"/>
          <w:i/>
          <w:iCs/>
          <w:noProof/>
          <w:color w:val="000000" w:themeColor="text1"/>
          <w:sz w:val="24"/>
          <w:szCs w:val="24"/>
        </w:rPr>
        <w:t>третата държава]</w:t>
      </w:r>
      <w:r>
        <w:rPr>
          <w:rFonts w:ascii="Times New Roman" w:hAnsi="Times New Roman"/>
          <w:noProof/>
          <w:color w:val="000000" w:themeColor="text1"/>
          <w:sz w:val="24"/>
          <w:szCs w:val="24"/>
        </w:rPr>
        <w:t xml:space="preserve"> в дейности, организирани или координирани от Агенцията, може да се финансира при условия, които се договарят поотделно между страните за всеки отделен случай.</w:t>
      </w:r>
    </w:p>
    <w:p w:rsidR="004F20D4" w:rsidRPr="0087742B" w:rsidRDefault="004F20D4" w:rsidP="004F20D4">
      <w:pPr>
        <w:keepNext/>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Уреждане на спорове</w:t>
      </w:r>
    </w:p>
    <w:p w:rsidR="004F20D4" w:rsidRPr="0087742B" w:rsidRDefault="004F20D4" w:rsidP="004F20D4">
      <w:pPr>
        <w:spacing w:after="120" w:line="23" w:lineRule="atLeast"/>
        <w:ind w:left="567"/>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Всеки спор, възникнал във връзка с тълкуването или прилагането на настоящата работна договореност, ще бъде уреден чрез консултации и/или преговори.</w:t>
      </w:r>
    </w:p>
    <w:p w:rsidR="004F20D4" w:rsidRPr="0087742B" w:rsidRDefault="004F20D4" w:rsidP="004F20D4">
      <w:pPr>
        <w:keepNext/>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Правен статус</w:t>
      </w:r>
    </w:p>
    <w:p w:rsidR="004F20D4" w:rsidRPr="0087742B" w:rsidRDefault="004F20D4" w:rsidP="004F20D4">
      <w:pPr>
        <w:kinsoku w:val="0"/>
        <w:overflowPunct w:val="0"/>
        <w:spacing w:after="120" w:line="23" w:lineRule="atLeast"/>
        <w:ind w:left="567" w:right="102"/>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Настоящата работна договореност представлява единствено административна договореност на техническо равнище. Тя не представлява правно обвързващо споразумение съгласно националното или международното право. Практическото ѝ прилагане не се счита за изпълнение на международни задължения от страна на Европейския съюз и неговите институции, нито от страна на [</w:t>
      </w:r>
      <w:r>
        <w:rPr>
          <w:rFonts w:ascii="Times New Roman" w:hAnsi="Times New Roman"/>
          <w:i/>
          <w:iCs/>
          <w:noProof/>
          <w:color w:val="000000" w:themeColor="text1"/>
          <w:sz w:val="24"/>
          <w:szCs w:val="24"/>
        </w:rPr>
        <w:t>третата държава</w:t>
      </w:r>
      <w:r>
        <w:rPr>
          <w:rFonts w:ascii="Times New Roman" w:hAnsi="Times New Roman"/>
          <w:noProof/>
          <w:color w:val="000000" w:themeColor="text1"/>
          <w:sz w:val="24"/>
          <w:szCs w:val="24"/>
        </w:rPr>
        <w:t xml:space="preserve">]. </w:t>
      </w:r>
    </w:p>
    <w:p w:rsidR="004F20D4" w:rsidRPr="0087742B" w:rsidRDefault="004F20D4" w:rsidP="004F20D4">
      <w:pPr>
        <w:keepNext/>
        <w:numPr>
          <w:ilvl w:val="0"/>
          <w:numId w:val="5"/>
        </w:numPr>
        <w:spacing w:after="120" w:line="23" w:lineRule="atLeast"/>
        <w:ind w:left="357" w:hanging="357"/>
        <w:jc w:val="both"/>
        <w:outlineLvl w:val="0"/>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 xml:space="preserve">Прилагане, изменение и прекратяване </w:t>
      </w:r>
    </w:p>
    <w:p w:rsidR="004F20D4" w:rsidRPr="0087742B" w:rsidRDefault="004F20D4" w:rsidP="004F20D4">
      <w:pPr>
        <w:numPr>
          <w:ilvl w:val="1"/>
          <w:numId w:val="5"/>
        </w:numPr>
        <w:spacing w:after="120" w:line="23" w:lineRule="atLeast"/>
        <w:ind w:left="567" w:hanging="567"/>
        <w:jc w:val="both"/>
        <w:rPr>
          <w:rFonts w:ascii="Times New Roman" w:hAnsi="Times New Roman" w:cs="Times New Roman"/>
          <w:noProof/>
          <w:color w:val="000000" w:themeColor="text1"/>
          <w:sz w:val="24"/>
          <w:szCs w:val="24"/>
        </w:rPr>
      </w:pPr>
      <w:r>
        <w:rPr>
          <w:rFonts w:ascii="Times New Roman" w:hAnsi="Times New Roman"/>
          <w:noProof/>
          <w:sz w:val="24"/>
          <w:szCs w:val="24"/>
        </w:rPr>
        <w:t>Страните възнамеряват да прилагат тази работна договореност от момента, в който и двете страни са я подписали.</w:t>
      </w:r>
    </w:p>
    <w:p w:rsidR="004F20D4" w:rsidRPr="0087742B" w:rsidRDefault="004F20D4" w:rsidP="004F20D4">
      <w:pPr>
        <w:numPr>
          <w:ilvl w:val="1"/>
          <w:numId w:val="5"/>
        </w:numPr>
        <w:spacing w:after="120" w:line="23" w:lineRule="atLeast"/>
        <w:ind w:left="567" w:hanging="56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Настоящата работна договореност може да бъде изменяна само с писмо, одобрено и от двете страни.</w:t>
      </w:r>
    </w:p>
    <w:p w:rsidR="004F20D4" w:rsidRPr="0087742B" w:rsidRDefault="004F20D4" w:rsidP="004F20D4">
      <w:pPr>
        <w:numPr>
          <w:ilvl w:val="1"/>
          <w:numId w:val="5"/>
        </w:numPr>
        <w:kinsoku w:val="0"/>
        <w:overflowPunct w:val="0"/>
        <w:spacing w:after="120" w:line="23" w:lineRule="atLeast"/>
        <w:ind w:left="567" w:right="101" w:hanging="567"/>
        <w:jc w:val="both"/>
        <w:rPr>
          <w:rFonts w:ascii="Times New Roman" w:hAnsi="Times New Roman"/>
          <w:noProof/>
          <w:color w:val="000000" w:themeColor="text1"/>
          <w:sz w:val="24"/>
          <w:szCs w:val="24"/>
        </w:rPr>
      </w:pPr>
      <w:r>
        <w:rPr>
          <w:rFonts w:ascii="Times New Roman" w:hAnsi="Times New Roman"/>
          <w:noProof/>
          <w:sz w:val="24"/>
          <w:szCs w:val="24"/>
        </w:rPr>
        <w:t>Страните могат да прекратят настоящата работна договореност по взаимно съгласие или едностранно в писмена форма.</w:t>
      </w:r>
      <w:r>
        <w:rPr>
          <w:rFonts w:ascii="Times New Roman" w:hAnsi="Times New Roman"/>
          <w:noProof/>
          <w:color w:val="000000" w:themeColor="text1"/>
          <w:sz w:val="24"/>
          <w:szCs w:val="24"/>
        </w:rPr>
        <w:t xml:space="preserve"> </w:t>
      </w:r>
    </w:p>
    <w:p w:rsidR="004F20D4" w:rsidRPr="00B93B20" w:rsidRDefault="004F20D4" w:rsidP="004F20D4">
      <w:pPr>
        <w:kinsoku w:val="0"/>
        <w:overflowPunct w:val="0"/>
        <w:spacing w:after="120" w:line="23" w:lineRule="atLeast"/>
        <w:ind w:right="101"/>
        <w:jc w:val="both"/>
        <w:rPr>
          <w:rFonts w:ascii="Times New Roman" w:hAnsi="Times New Roman"/>
          <w:noProof/>
          <w:color w:val="000000" w:themeColor="text1"/>
          <w:sz w:val="24"/>
          <w:szCs w:val="24"/>
        </w:rPr>
      </w:pPr>
    </w:p>
    <w:p w:rsidR="004F20D4" w:rsidRPr="0087742B" w:rsidRDefault="004F20D4" w:rsidP="004F20D4">
      <w:pPr>
        <w:keepNext/>
        <w:keepLines/>
        <w:kinsoku w:val="0"/>
        <w:overflowPunct w:val="0"/>
        <w:spacing w:after="120" w:line="23" w:lineRule="atLeast"/>
        <w:ind w:right="101"/>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Подписана в [</w:t>
      </w:r>
      <w:r>
        <w:rPr>
          <w:rFonts w:ascii="Times New Roman" w:hAnsi="Times New Roman"/>
          <w:i/>
          <w:iCs/>
          <w:noProof/>
          <w:color w:val="000000" w:themeColor="text1"/>
          <w:sz w:val="24"/>
          <w:szCs w:val="24"/>
        </w:rPr>
        <w:t>място</w:t>
      </w:r>
      <w:r>
        <w:rPr>
          <w:rFonts w:ascii="Times New Roman" w:hAnsi="Times New Roman"/>
          <w:noProof/>
          <w:color w:val="000000" w:themeColor="text1"/>
          <w:sz w:val="24"/>
          <w:szCs w:val="24"/>
        </w:rPr>
        <w:t>] на [</w:t>
      </w:r>
      <w:r>
        <w:rPr>
          <w:rFonts w:ascii="Times New Roman" w:hAnsi="Times New Roman"/>
          <w:i/>
          <w:iCs/>
          <w:noProof/>
          <w:color w:val="000000" w:themeColor="text1"/>
          <w:sz w:val="24"/>
          <w:szCs w:val="24"/>
        </w:rPr>
        <w:t>дата</w:t>
      </w:r>
      <w:r>
        <w:rPr>
          <w:rFonts w:ascii="Times New Roman" w:hAnsi="Times New Roman"/>
          <w:noProof/>
          <w:color w:val="000000" w:themeColor="text1"/>
          <w:sz w:val="24"/>
          <w:szCs w:val="24"/>
        </w:rPr>
        <w:t>] в два екземпляра на английски език [</w:t>
      </w:r>
      <w:r>
        <w:rPr>
          <w:rFonts w:ascii="Times New Roman" w:hAnsi="Times New Roman"/>
          <w:i/>
          <w:noProof/>
          <w:color w:val="000000" w:themeColor="text1"/>
          <w:sz w:val="24"/>
          <w:szCs w:val="24"/>
        </w:rPr>
        <w:t>Ако работната договореност е подписана на повече от един език</w:t>
      </w:r>
      <w:r>
        <w:rPr>
          <w:rFonts w:ascii="Times New Roman" w:hAnsi="Times New Roman"/>
          <w:noProof/>
          <w:color w:val="000000" w:themeColor="text1"/>
          <w:sz w:val="24"/>
          <w:szCs w:val="24"/>
        </w:rPr>
        <w:t>] и на [</w:t>
      </w:r>
      <w:r>
        <w:rPr>
          <w:rFonts w:ascii="Times New Roman" w:hAnsi="Times New Roman"/>
          <w:i/>
          <w:iCs/>
          <w:noProof/>
          <w:color w:val="000000" w:themeColor="text1"/>
          <w:sz w:val="24"/>
          <w:szCs w:val="24"/>
        </w:rPr>
        <w:t>език(ци)</w:t>
      </w:r>
      <w:r>
        <w:rPr>
          <w:rFonts w:ascii="Times New Roman" w:hAnsi="Times New Roman"/>
          <w:noProof/>
          <w:color w:val="000000" w:themeColor="text1"/>
          <w:sz w:val="24"/>
          <w:szCs w:val="24"/>
        </w:rPr>
        <w:t xml:space="preserve">]. </w:t>
      </w:r>
    </w:p>
    <w:p w:rsidR="004F20D4" w:rsidRPr="0087742B" w:rsidRDefault="004F20D4" w:rsidP="004F20D4">
      <w:pPr>
        <w:keepNext/>
        <w:keepLines/>
        <w:kinsoku w:val="0"/>
        <w:overflowPunct w:val="0"/>
        <w:spacing w:after="120" w:line="23" w:lineRule="atLeast"/>
        <w:ind w:right="101"/>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w:t>
      </w:r>
      <w:r>
        <w:rPr>
          <w:rFonts w:ascii="Times New Roman" w:hAnsi="Times New Roman"/>
          <w:i/>
          <w:noProof/>
          <w:color w:val="000000" w:themeColor="text1"/>
          <w:sz w:val="24"/>
          <w:szCs w:val="24"/>
        </w:rPr>
        <w:t>Ако работната договореност е подписана на два или повече езика</w:t>
      </w:r>
      <w:r>
        <w:rPr>
          <w:rFonts w:ascii="Times New Roman" w:hAnsi="Times New Roman"/>
          <w:noProof/>
          <w:color w:val="000000" w:themeColor="text1"/>
          <w:sz w:val="24"/>
          <w:szCs w:val="24"/>
        </w:rPr>
        <w:t xml:space="preserve">] В случай на несъгласие относно тълкуването на разпоредбите на настоящата работна договореност, предимство има текстът на английски език. </w:t>
      </w:r>
    </w:p>
    <w:p w:rsidR="004F20D4" w:rsidRPr="00B93B20" w:rsidRDefault="004F20D4" w:rsidP="004F20D4">
      <w:pPr>
        <w:keepNext/>
        <w:keepLines/>
        <w:spacing w:after="120" w:line="23" w:lineRule="atLeast"/>
        <w:jc w:val="both"/>
        <w:rPr>
          <w:rFonts w:ascii="Times New Roman" w:hAnsi="Times New Roman" w:cs="Times New Roman"/>
          <w:noProof/>
          <w:color w:val="000000" w:themeColor="text1"/>
          <w:sz w:val="24"/>
          <w:szCs w:val="24"/>
        </w:rPr>
      </w:pPr>
    </w:p>
    <w:p w:rsidR="004F20D4" w:rsidRPr="0087742B" w:rsidRDefault="004F20D4" w:rsidP="004F20D4">
      <w:pPr>
        <w:keepNext/>
        <w:keepLines/>
        <w:spacing w:after="120" w:line="23" w:lineRule="atLeast"/>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Подписи</w:t>
      </w:r>
    </w:p>
    <w:p w:rsidR="004E2BED" w:rsidRDefault="004E2BED">
      <w:pPr>
        <w:rPr>
          <w:noProof/>
        </w:rPr>
      </w:pPr>
    </w:p>
    <w:sectPr w:rsidR="004E2BED" w:rsidSect="002C439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0D4" w:rsidRDefault="004F20D4" w:rsidP="004F20D4">
      <w:pPr>
        <w:spacing w:after="0" w:line="240" w:lineRule="auto"/>
      </w:pPr>
      <w:r>
        <w:separator/>
      </w:r>
    </w:p>
  </w:endnote>
  <w:endnote w:type="continuationSeparator" w:id="0">
    <w:p w:rsidR="004F20D4" w:rsidRDefault="004F20D4" w:rsidP="004F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14" w:rsidRPr="00C64714" w:rsidRDefault="00C64714" w:rsidP="00C64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20" w:rsidRPr="00C64714" w:rsidRDefault="00C64714" w:rsidP="00C64714">
    <w:pPr>
      <w:pStyle w:val="FooterCoverPage"/>
      <w:rPr>
        <w:rFonts w:ascii="Arial" w:hAnsi="Arial" w:cs="Arial"/>
        <w:b/>
        <w:sz w:val="48"/>
      </w:rPr>
    </w:pPr>
    <w:r w:rsidRPr="00C64714">
      <w:rPr>
        <w:rFonts w:ascii="Arial" w:hAnsi="Arial" w:cs="Arial"/>
        <w:b/>
        <w:sz w:val="48"/>
      </w:rPr>
      <w:t>BG</w:t>
    </w:r>
    <w:r w:rsidRPr="00C64714">
      <w:rPr>
        <w:rFonts w:ascii="Arial" w:hAnsi="Arial" w:cs="Arial"/>
        <w:b/>
        <w:sz w:val="48"/>
      </w:rPr>
      <w:tab/>
    </w:r>
    <w:r w:rsidRPr="00C64714">
      <w:rPr>
        <w:rFonts w:ascii="Arial" w:hAnsi="Arial" w:cs="Arial"/>
        <w:b/>
        <w:sz w:val="48"/>
      </w:rPr>
      <w:tab/>
    </w:r>
    <w:r w:rsidRPr="00C64714">
      <w:tab/>
    </w:r>
    <w:r w:rsidRPr="00C64714">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14" w:rsidRPr="00C64714" w:rsidRDefault="00C64714" w:rsidP="00C6471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A" w:rsidRDefault="002C43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58224"/>
      <w:docPartObj>
        <w:docPartGallery w:val="Page Numbers (Bottom of Page)"/>
        <w:docPartUnique/>
      </w:docPartObj>
    </w:sdtPr>
    <w:sdtEndPr>
      <w:rPr>
        <w:noProof/>
      </w:rPr>
    </w:sdtEndPr>
    <w:sdtContent>
      <w:p w:rsidR="00735723" w:rsidRDefault="00735723">
        <w:pPr>
          <w:pStyle w:val="Footer"/>
          <w:jc w:val="center"/>
        </w:pPr>
        <w:r>
          <w:fldChar w:fldCharType="begin"/>
        </w:r>
        <w:r>
          <w:instrText xml:space="preserve"> PAGE   \* MERGEFORMAT </w:instrText>
        </w:r>
        <w:r>
          <w:fldChar w:fldCharType="separate"/>
        </w:r>
        <w:r w:rsidR="004D3B4F">
          <w:rPr>
            <w:noProof/>
          </w:rPr>
          <w:t>3</w:t>
        </w:r>
        <w:r>
          <w:fldChar w:fldCharType="end"/>
        </w:r>
      </w:p>
    </w:sdtContent>
  </w:sdt>
  <w:p w:rsidR="002C439A" w:rsidRPr="00C90517" w:rsidRDefault="002C439A" w:rsidP="00C905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A" w:rsidRDefault="002C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0D4" w:rsidRDefault="004F20D4" w:rsidP="004F20D4">
      <w:pPr>
        <w:spacing w:after="0" w:line="240" w:lineRule="auto"/>
      </w:pPr>
      <w:r>
        <w:separator/>
      </w:r>
    </w:p>
  </w:footnote>
  <w:footnote w:type="continuationSeparator" w:id="0">
    <w:p w:rsidR="004F20D4" w:rsidRDefault="004F20D4" w:rsidP="004F20D4">
      <w:pPr>
        <w:spacing w:after="0" w:line="240" w:lineRule="auto"/>
      </w:pPr>
      <w:r>
        <w:continuationSeparator/>
      </w:r>
    </w:p>
  </w:footnote>
  <w:footnote w:id="1">
    <w:p w:rsidR="004F20D4" w:rsidRPr="004D3B4F" w:rsidRDefault="004F20D4" w:rsidP="004F20D4">
      <w:pPr>
        <w:pStyle w:val="FootnoteText"/>
        <w:tabs>
          <w:tab w:val="left" w:pos="720"/>
          <w:tab w:val="left" w:pos="1440"/>
          <w:tab w:val="left" w:pos="2160"/>
          <w:tab w:val="left" w:pos="7023"/>
        </w:tabs>
        <w:ind w:left="284" w:hanging="284"/>
        <w:jc w:val="both"/>
        <w:rPr>
          <w:rFonts w:ascii="Times New Roman" w:hAnsi="Times New Roman"/>
          <w:sz w:val="18"/>
          <w:szCs w:val="18"/>
        </w:rPr>
      </w:pPr>
      <w:r w:rsidRPr="004D3B4F">
        <w:rPr>
          <w:rStyle w:val="FootnoteReference"/>
          <w:rFonts w:ascii="Times New Roman" w:hAnsi="Times New Roman"/>
          <w:sz w:val="18"/>
          <w:szCs w:val="18"/>
          <w:lang w:val="en-IE"/>
        </w:rPr>
        <w:footnoteRef/>
      </w:r>
      <w:r w:rsidRPr="004D3B4F">
        <w:rPr>
          <w:rFonts w:ascii="Times New Roman" w:hAnsi="Times New Roman"/>
          <w:sz w:val="18"/>
          <w:szCs w:val="18"/>
        </w:rPr>
        <w:t xml:space="preserve"> </w:t>
      </w:r>
      <w:r w:rsidRPr="004D3B4F">
        <w:rPr>
          <w:rFonts w:ascii="Times New Roman" w:hAnsi="Times New Roman"/>
          <w:sz w:val="18"/>
          <w:szCs w:val="18"/>
        </w:rPr>
        <w:tab/>
        <w:t xml:space="preserve">OB L 295, 14.11.2019 г., стр. 1. </w:t>
      </w:r>
      <w:r w:rsidRPr="004D3B4F">
        <w:rPr>
          <w:rFonts w:ascii="Times New Roman" w:hAnsi="Times New Roman"/>
          <w:sz w:val="18"/>
          <w:szCs w:val="18"/>
        </w:rPr>
        <w:tab/>
      </w:r>
    </w:p>
  </w:footnote>
  <w:footnote w:id="2">
    <w:p w:rsidR="00BB4BE6" w:rsidRPr="004D3B4F" w:rsidRDefault="00BB4BE6">
      <w:pPr>
        <w:pStyle w:val="FootnoteText"/>
        <w:rPr>
          <w:rFonts w:ascii="Times New Roman" w:hAnsi="Times New Roman"/>
          <w:sz w:val="18"/>
          <w:szCs w:val="18"/>
        </w:rPr>
      </w:pPr>
      <w:r w:rsidRPr="004D3B4F">
        <w:rPr>
          <w:rStyle w:val="FootnoteReference"/>
          <w:rFonts w:ascii="Times New Roman" w:hAnsi="Times New Roman"/>
          <w:sz w:val="18"/>
          <w:szCs w:val="18"/>
        </w:rPr>
        <w:footnoteRef/>
      </w:r>
      <w:r w:rsidRPr="004D3B4F">
        <w:rPr>
          <w:rFonts w:ascii="Times New Roman" w:hAnsi="Times New Roman"/>
          <w:sz w:val="18"/>
          <w:szCs w:val="18"/>
        </w:rPr>
        <w:t xml:space="preserve"> Решение (ЕС, Евратом) 2015/443 на Комисията от 13 март 2015 г. относно сигурността в Комисията (ОВ L 72, 17.3.2015 г., стр. 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14" w:rsidRPr="00C64714" w:rsidRDefault="00C64714" w:rsidP="00C6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14" w:rsidRPr="00C64714" w:rsidRDefault="00C64714" w:rsidP="00C6471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714" w:rsidRPr="00C64714" w:rsidRDefault="00C64714" w:rsidP="00C6471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A" w:rsidRDefault="002C43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A" w:rsidRDefault="002C43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9A" w:rsidRDefault="002C4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C4B"/>
    <w:multiLevelType w:val="multilevel"/>
    <w:tmpl w:val="5186D6C6"/>
    <w:lvl w:ilvl="0">
      <w:start w:val="1"/>
      <w:numFmt w:val="decimal"/>
      <w:lvlText w:val="%1."/>
      <w:lvlJc w:val="left"/>
      <w:pPr>
        <w:ind w:left="360" w:hanging="360"/>
      </w:pPr>
      <w:rPr>
        <w:rFonts w:hint="default"/>
      </w:rPr>
    </w:lvl>
    <w:lvl w:ilvl="1">
      <w:start w:val="1"/>
      <w:numFmt w:val="lowerLetter"/>
      <w:lvlText w:val="(%2)"/>
      <w:lvlJc w:val="left"/>
      <w:pPr>
        <w:ind w:left="432" w:hanging="432"/>
      </w:pPr>
      <w:rPr>
        <w:rFonts w:hint="default"/>
        <w:b w:val="0"/>
      </w:rPr>
    </w:lvl>
    <w:lvl w:ilvl="2">
      <w:start w:val="1"/>
      <w:numFmt w:val="decimal"/>
      <w:isLgl/>
      <w:lvlText w:val="%1.%2.%3"/>
      <w:lvlJc w:val="left"/>
      <w:pPr>
        <w:ind w:left="720" w:hanging="720"/>
      </w:pPr>
      <w:rPr>
        <w:rFonts w:hint="default"/>
      </w:rPr>
    </w:lvl>
    <w:lvl w:ilvl="3">
      <w:start w:val="1"/>
      <mc:AlternateContent>
        <mc:Choice Requires="w14">
          <w:numFmt w:val="custom" w:format="а, й, к, ..."/>
        </mc:Choice>
        <mc:Fallback>
          <w:numFmt w:val="decimal"/>
        </mc:Fallback>
      </mc:AlternateContent>
      <w:lvlText w:val="%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9CF4229"/>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E32DCC"/>
    <w:multiLevelType w:val="hybridMultilevel"/>
    <w:tmpl w:val="83E685E8"/>
    <w:lvl w:ilvl="0" w:tplc="37868C1C">
      <w:start w:val="1"/>
      <mc:AlternateContent>
        <mc:Choice Requires="w14">
          <w:numFmt w:val="custom" w:format="а, й, к, ..."/>
        </mc:Choice>
        <mc:Fallback>
          <w:numFmt w:val="decimal"/>
        </mc:Fallback>
      </mc:AlternateContent>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81DCC"/>
    <w:multiLevelType w:val="hybridMultilevel"/>
    <w:tmpl w:val="AEEC3F76"/>
    <w:lvl w:ilvl="0" w:tplc="37868C1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227A7"/>
    <w:multiLevelType w:val="multilevel"/>
    <w:tmpl w:val="DF22D442"/>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ascii="Times New Roman" w:hAnsi="Times New Roman" w:cs="Times New Roman"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ECC2B06"/>
    <w:multiLevelType w:val="hybridMultilevel"/>
    <w:tmpl w:val="F5AEA648"/>
    <w:lvl w:ilvl="0" w:tplc="37868C1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538F2"/>
    <w:multiLevelType w:val="singleLevel"/>
    <w:tmpl w:val="0D98C6BC"/>
    <w:lvl w:ilvl="0">
      <w:start w:val="1"/>
      <w:numFmt w:val="bullet"/>
      <w:lvlText w:val="–"/>
      <w:lvlJc w:val="left"/>
      <w:pPr>
        <w:tabs>
          <w:tab w:val="num" w:pos="283"/>
        </w:tabs>
        <w:ind w:left="283" w:hanging="283"/>
      </w:pPr>
      <w:rPr>
        <w:rFonts w:ascii="Times New Roman" w:hAnsi="Times New Roman"/>
      </w:rPr>
    </w:lvl>
  </w:abstractNum>
  <w:num w:numId="1">
    <w:abstractNumId w:val="3"/>
  </w:num>
  <w:num w:numId="2">
    <w:abstractNumId w:val="6"/>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към"/>
    <w:docVar w:name="LW_ANNEX_NBR_FIRST" w:val="1"/>
    <w:docVar w:name="LW_ANNEX_NBR_LAST" w:val="1"/>
    <w:docVar w:name="LW_ANNEX_UNIQUE" w:val="1"/>
    <w:docVar w:name="LW_CORRIGENDUM" w:val="&lt;UNUSED&gt;"/>
    <w:docVar w:name="LW_COVERPAGE_EXISTS" w:val="True"/>
    <w:docVar w:name="LW_COVERPAGE_GUID" w:val="8179316E-C991-464D-BDA7-C60D25C148C8"/>
    <w:docVar w:name="LW_COVERPAGE_TYPE" w:val="1"/>
    <w:docVar w:name="LW_CROSSREFERENCE" w:val="&lt;UNUSED&gt;"/>
    <w:docVar w:name="LW_DocType" w:val="NORMAL"/>
    <w:docVar w:name="LW_EMISSION" w:val="21.12.2021"/>
    <w:docVar w:name="LW_EMISSION_ISODATE" w:val="2021-12-21"/>
    <w:docVar w:name="LW_EMISSION_LOCATION" w:val="BRX"/>
    <w:docVar w:name="LW_EMISSION_PREFIX" w:val="\u1041?\u1088?\u1102?\u1082?\u1089?\u1077?\u1083?, "/>
    <w:docVar w:name="LW_EMISSION_SUFFIX" w:val=" \u1075?."/>
    <w:docVar w:name="LW_ID_DOCTYPE_NONLW" w:val="CP-039"/>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lt;FMT:Font=Calibri Cyr&gt;Образец на работна договореност съгласно Регламент (ЕС) 2019/1896 на Европейския парламент и на Съвета от 13 ноември 2019 г. за европейската гранична и брегова охрана и за отмяна на регламенти (ЕС) № 1052/2013 и (ЕС) 2016/1624&lt;/FMT&gt;_x000b_"/>
    <w:docVar w:name="LW_PART_NBR" w:val="1"/>
    <w:docVar w:name="LW_PART_NBR_TOTAL" w:val="1"/>
    <w:docVar w:name="LW_REF.INST.NEW" w:val="COM"/>
    <w:docVar w:name="LW_REF.INST.NEW_ADOPTED" w:val="final"/>
    <w:docVar w:name="LW_REF.INST.NEW_TEXT" w:val="(2021) 8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ПРИЛОЖЕНИЕ_x000b_"/>
    <w:docVar w:name="LW_TYPEACTEPRINCIPAL.CP" w:val="СЪОБЩЕНИЕ НА КОМИСИЯТА ДО ЕВРОПЕЙСКИЯ ПАРЛАМЕНТ И СЪВЕТА_x000b_"/>
    <w:docVar w:name="LwApiVersions" w:val="LW4CoDe 1.23.2.0; LW 8.0, Build 20211117"/>
  </w:docVars>
  <w:rsids>
    <w:rsidRoot w:val="004F20D4"/>
    <w:rsid w:val="001E7938"/>
    <w:rsid w:val="002C439A"/>
    <w:rsid w:val="0032789A"/>
    <w:rsid w:val="00406C1D"/>
    <w:rsid w:val="004D3B4F"/>
    <w:rsid w:val="004E2BED"/>
    <w:rsid w:val="004F20D4"/>
    <w:rsid w:val="00536C22"/>
    <w:rsid w:val="006D5352"/>
    <w:rsid w:val="006E489E"/>
    <w:rsid w:val="00735723"/>
    <w:rsid w:val="007B791D"/>
    <w:rsid w:val="008053EB"/>
    <w:rsid w:val="00827D4A"/>
    <w:rsid w:val="009513E7"/>
    <w:rsid w:val="009A5FE3"/>
    <w:rsid w:val="009B6C8D"/>
    <w:rsid w:val="00AF2505"/>
    <w:rsid w:val="00B1506C"/>
    <w:rsid w:val="00B93B20"/>
    <w:rsid w:val="00BB4BE6"/>
    <w:rsid w:val="00C64714"/>
    <w:rsid w:val="00C74C74"/>
    <w:rsid w:val="00C90517"/>
    <w:rsid w:val="00CD32D2"/>
    <w:rsid w:val="00D919E0"/>
    <w:rsid w:val="00DC1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DD3B9B"/>
  <w15:chartTrackingRefBased/>
  <w15:docId w15:val="{EBE2E0DF-54FD-4D77-97E4-84021D83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F20D4"/>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uiPriority w:val="99"/>
    <w:rsid w:val="004F20D4"/>
    <w:rPr>
      <w:rFonts w:ascii="Garamond" w:eastAsia="Times New Roman" w:hAnsi="Garamond" w:cs="Times New Roman"/>
      <w:sz w:val="20"/>
      <w:szCs w:val="20"/>
    </w:rPr>
  </w:style>
  <w:style w:type="character" w:styleId="FootnoteReference">
    <w:name w:val="footnote reference"/>
    <w:uiPriority w:val="99"/>
    <w:rsid w:val="004F20D4"/>
    <w:rPr>
      <w:vertAlign w:val="superscript"/>
    </w:rPr>
  </w:style>
  <w:style w:type="paragraph" w:styleId="Header">
    <w:name w:val="header"/>
    <w:basedOn w:val="Normal"/>
    <w:link w:val="HeaderChar"/>
    <w:uiPriority w:val="99"/>
    <w:unhideWhenUsed/>
    <w:rsid w:val="006D5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52"/>
  </w:style>
  <w:style w:type="paragraph" w:styleId="Footer">
    <w:name w:val="footer"/>
    <w:basedOn w:val="Normal"/>
    <w:link w:val="FooterChar"/>
    <w:uiPriority w:val="99"/>
    <w:unhideWhenUsed/>
    <w:rsid w:val="006D5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52"/>
  </w:style>
  <w:style w:type="character" w:customStyle="1" w:styleId="Marker">
    <w:name w:val="Marker"/>
    <w:basedOn w:val="DefaultParagraphFont"/>
    <w:rsid w:val="002C439A"/>
    <w:rPr>
      <w:color w:val="0000FF"/>
      <w:shd w:val="clear" w:color="auto" w:fill="auto"/>
    </w:rPr>
  </w:style>
  <w:style w:type="paragraph" w:customStyle="1" w:styleId="Pagedecouverture">
    <w:name w:val="Page de couverture"/>
    <w:basedOn w:val="Normal"/>
    <w:next w:val="Normal"/>
    <w:rsid w:val="002C439A"/>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C439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C439A"/>
    <w:rPr>
      <w:rFonts w:ascii="Times New Roman" w:hAnsi="Times New Roman" w:cs="Times New Roman"/>
      <w:sz w:val="24"/>
    </w:rPr>
  </w:style>
  <w:style w:type="paragraph" w:customStyle="1" w:styleId="FooterSensitivity">
    <w:name w:val="Footer Sensitivity"/>
    <w:basedOn w:val="Normal"/>
    <w:link w:val="FooterSensitivityChar"/>
    <w:rsid w:val="002C439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C439A"/>
    <w:rPr>
      <w:rFonts w:ascii="Times New Roman" w:hAnsi="Times New Roman" w:cs="Times New Roman"/>
      <w:b/>
      <w:sz w:val="32"/>
    </w:rPr>
  </w:style>
  <w:style w:type="paragraph" w:customStyle="1" w:styleId="HeaderCoverPage">
    <w:name w:val="Header Cover Page"/>
    <w:basedOn w:val="Normal"/>
    <w:link w:val="HeaderCoverPageChar"/>
    <w:rsid w:val="002C439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C439A"/>
    <w:rPr>
      <w:rFonts w:ascii="Times New Roman" w:hAnsi="Times New Roman" w:cs="Times New Roman"/>
      <w:sz w:val="24"/>
    </w:rPr>
  </w:style>
  <w:style w:type="paragraph" w:customStyle="1" w:styleId="HeaderSensitivity">
    <w:name w:val="Header Sensitivity"/>
    <w:basedOn w:val="Normal"/>
    <w:link w:val="HeaderSensitivityChar"/>
    <w:rsid w:val="002C439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C439A"/>
    <w:rPr>
      <w:rFonts w:ascii="Times New Roman" w:hAnsi="Times New Roman" w:cs="Times New Roman"/>
      <w:b/>
      <w:sz w:val="32"/>
    </w:rPr>
  </w:style>
  <w:style w:type="paragraph" w:customStyle="1" w:styleId="HeaderSensitivityRight">
    <w:name w:val="Header Sensitivity Right"/>
    <w:basedOn w:val="Normal"/>
    <w:link w:val="HeaderSensitivityRightChar"/>
    <w:rsid w:val="002C439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C439A"/>
    <w:rPr>
      <w:rFonts w:ascii="Times New Roman" w:hAnsi="Times New Roman" w:cs="Times New Roman"/>
      <w:sz w:val="28"/>
    </w:rPr>
  </w:style>
  <w:style w:type="paragraph" w:styleId="ListParagraph">
    <w:name w:val="List Paragraph"/>
    <w:basedOn w:val="Normal"/>
    <w:uiPriority w:val="34"/>
    <w:qFormat/>
    <w:rsid w:val="00BB4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A20B-02AD-4A13-A148-CFD53D8D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3287</Words>
  <Characters>20153</Characters>
  <Application>Microsoft Office Word</Application>
  <DocSecurity>0</DocSecurity>
  <Lines>373</Lines>
  <Paragraphs>116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MICHALSKA-SACHS Beata (HOME)</dc:creator>
  <cp:keywords/>
  <dc:description/>
  <cp:lastModifiedBy>VANROY Anne (SG)</cp:lastModifiedBy>
  <cp:revision>19</cp:revision>
  <dcterms:created xsi:type="dcterms:W3CDTF">2021-12-20T16:22:00Z</dcterms:created>
  <dcterms:modified xsi:type="dcterms:W3CDTF">2022-02-28T11:42:00Z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7.0.1, Build 20200226</vt:lpwstr>
  </property>
  <property fmtid="{D5CDD505-2E9C-101B-9397-08002B2CF9AE}" pid="11" name="Created using">
    <vt:lpwstr>LW 7.0.1, Build 20200226</vt:lpwstr>
  </property>
</Properties>
</file>