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062" w:rsidRDefault="0008082F" w:rsidP="0008082F">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3C429A9-EDE7-404F-92F7-43F8C754112D" style="width:455.25pt;height:351.75pt">
            <v:imagedata r:id="rId8" o:title=""/>
          </v:shape>
        </w:pict>
      </w:r>
    </w:p>
    <w:bookmarkEnd w:id="0"/>
    <w:p w:rsidR="00486062" w:rsidRDefault="00486062" w:rsidP="00150DE0">
      <w:pPr>
        <w:spacing w:line="240" w:lineRule="auto"/>
        <w:rPr>
          <w:noProof/>
        </w:rPr>
        <w:sectPr w:rsidR="00486062" w:rsidSect="0008082F">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C62714" w:rsidRPr="0004648B" w:rsidRDefault="00C62714" w:rsidP="00150DE0">
      <w:pPr>
        <w:pStyle w:val="ListParagraph"/>
        <w:numPr>
          <w:ilvl w:val="0"/>
          <w:numId w:val="4"/>
        </w:numPr>
        <w:ind w:hanging="720"/>
        <w:rPr>
          <w:b/>
          <w:noProof/>
          <w:szCs w:val="24"/>
        </w:rPr>
      </w:pPr>
      <w:bookmarkStart w:id="1" w:name="_GoBack"/>
      <w:bookmarkEnd w:id="1"/>
      <w:r>
        <w:rPr>
          <w:b/>
          <w:noProof/>
          <w:szCs w:val="24"/>
        </w:rPr>
        <w:lastRenderedPageBreak/>
        <w:t>EUROPEISK SOLIDARITET MED UKRAINA</w:t>
      </w:r>
    </w:p>
    <w:p w:rsidR="00C62714" w:rsidRPr="00150DE0" w:rsidRDefault="00C62714" w:rsidP="00150DE0">
      <w:pPr>
        <w:shd w:val="clear" w:color="auto" w:fill="FFFFFF"/>
        <w:spacing w:after="195"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Rysslands oprovocerade militära aggression och invasion av Ukraina har chockerat världen. Fördömandet i global skala har bekräftats av en överväldigande majoritet av länderna i Förenta nationerna</w:t>
      </w:r>
      <w:r>
        <w:rPr>
          <w:rFonts w:ascii="Times New Roman" w:eastAsia="Times New Roman" w:hAnsi="Times New Roman" w:cs="Times New Roman"/>
          <w:noProof/>
          <w:sz w:val="24"/>
          <w:szCs w:val="24"/>
          <w:vertAlign w:val="superscript"/>
          <w:lang w:val="en-IE" w:eastAsia="fr-BE"/>
        </w:rPr>
        <w:footnoteReference w:id="2"/>
      </w:r>
      <w:r>
        <w:rPr>
          <w:rFonts w:ascii="Times New Roman" w:hAnsi="Times New Roman"/>
          <w:noProof/>
          <w:sz w:val="24"/>
          <w:szCs w:val="24"/>
        </w:rPr>
        <w:t xml:space="preserve">. Ryssland har brutit mot den regelbaserade världsordningen och landets agerande syftar till att destabilisera den europeiska säkerhetsstrukturen. Urskillningslösa attacker mot civila har lett till massiva förluster av människoliv, otaliga tragedier för familjer och förstörelse av fredliga samhällen. Det ukrainska folkets beslutsamhet att göra allt de kan för att försvara demokratin och sin nation har varit anmärkningsvärd. </w:t>
      </w:r>
    </w:p>
    <w:p w:rsidR="00C62714" w:rsidRPr="00150DE0" w:rsidRDefault="00C62714" w:rsidP="00150DE0">
      <w:pPr>
        <w:shd w:val="clear" w:color="auto" w:fill="FFFFFF"/>
        <w:spacing w:after="195"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EU, medlemsstaterna och dess partnerländer ledde insatserna för att förhindra blodsutgjutelse och därefter reagera på Putins attack mot den suveräna och fredliga nationen Ukraina, med aldrig tidigare skådade sanktioner mot Ryssland och Belarus</w:t>
      </w:r>
      <w:r>
        <w:rPr>
          <w:rFonts w:ascii="Times New Roman" w:eastAsia="Times New Roman" w:hAnsi="Times New Roman" w:cs="Times New Roman"/>
          <w:noProof/>
          <w:sz w:val="24"/>
          <w:szCs w:val="24"/>
          <w:vertAlign w:val="superscript"/>
          <w:lang w:val="en-IE" w:eastAsia="fr-BE"/>
        </w:rPr>
        <w:footnoteReference w:id="3"/>
      </w:r>
      <w:r>
        <w:rPr>
          <w:rFonts w:ascii="Times New Roman" w:hAnsi="Times New Roman"/>
          <w:noProof/>
          <w:sz w:val="24"/>
          <w:szCs w:val="24"/>
        </w:rPr>
        <w:t xml:space="preserve">. Detta återspeglar också den allmänt utbredda avsmaken i hela världen mot det förakt som visas för människoliv, mänskliga rättigheter, internationell rätt och de värden som vi skattar högt. </w:t>
      </w:r>
    </w:p>
    <w:p w:rsidR="00C62714" w:rsidRPr="00150DE0" w:rsidRDefault="00C62714" w:rsidP="00150DE0">
      <w:pPr>
        <w:shd w:val="clear" w:color="auto" w:fill="FFFFFF"/>
        <w:spacing w:after="195"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Denna kombination av odelat och enat stöd från EU och enskilda européers inspirerande solidaritet är framgår av stödet till alla som flyr undan kriget. Antalet människor som fördrivits från sina hem och tvingats fly från Ukraina räknas nu i miljoner och antalet ökar för varje timme som går. EU leder arbetet med att ge direkt humanitärt bistånd till offren för aggressionen. De anmärkningsvärda insatserna från de medlemsstater som står under press backas upp av EU genom direkt tillhandahållande av logi, mat och vård och genom att ge dem som flyr kriget i Ukraina en tydlig status i form av ett unikt erbjudande om tillfälligt skydd. </w:t>
      </w:r>
    </w:p>
    <w:p w:rsidR="00C62714" w:rsidRPr="00150DE0" w:rsidRDefault="00C62714" w:rsidP="00150DE0">
      <w:pPr>
        <w:spacing w:line="240" w:lineRule="auto"/>
        <w:jc w:val="both"/>
        <w:rPr>
          <w:rFonts w:ascii="Times New Roman" w:hAnsi="Times New Roman" w:cs="Times New Roman"/>
          <w:noProof/>
          <w:sz w:val="24"/>
          <w:szCs w:val="24"/>
        </w:rPr>
      </w:pPr>
      <w:r>
        <w:rPr>
          <w:rFonts w:ascii="Times New Roman" w:hAnsi="Times New Roman"/>
          <w:noProof/>
          <w:sz w:val="24"/>
          <w:szCs w:val="24"/>
        </w:rPr>
        <w:t>Effekterna av denna dynamiska politiska reaktion mångdubblas av miljontals européers personliga medkänsla med flyktingarnas svåra situation</w:t>
      </w:r>
      <w:r>
        <w:rPr>
          <w:rStyle w:val="FootnoteReference"/>
          <w:rFonts w:ascii="Times New Roman" w:eastAsia="Times New Roman" w:hAnsi="Times New Roman" w:cs="Times New Roman"/>
          <w:noProof/>
          <w:sz w:val="24"/>
          <w:szCs w:val="24"/>
          <w:lang w:val="en-IE" w:eastAsia="fr-BE"/>
        </w:rPr>
        <w:footnoteReference w:id="4"/>
      </w:r>
      <w:r>
        <w:rPr>
          <w:rFonts w:ascii="Times New Roman" w:hAnsi="Times New Roman"/>
          <w:noProof/>
          <w:sz w:val="24"/>
          <w:szCs w:val="24"/>
        </w:rPr>
        <w:t>. Familjernas beredvillighet att ta emot flyktingar hemma, av samhällen att tillhandahålla mat och logi i hela EU, av företag att erbjuda tjänster och anställning och av människor i och utanför EU att erbjuda förnödenheter och stöd är en tydlig demonstration av de europeiska värderingarna i praktiken. Det tyder på en beslutsamhet som man kan utgå från, nu när flyktingkrisen tilltar och vi behöver skapa stabilitet för människor efter krigets trauma. Kommissionen avser att lägga ut information på webbplatsen Europa för att hjälpa enskilda och den privata sektorn att se till att stödet till dem som flyr från kriget kan ges via pålitliga organisationer och tillgodose behoven</w:t>
      </w:r>
      <w:r>
        <w:rPr>
          <w:rStyle w:val="FootnoteReference"/>
          <w:rFonts w:ascii="Times New Roman" w:eastAsia="Times New Roman" w:hAnsi="Times New Roman" w:cs="Times New Roman"/>
          <w:noProof/>
          <w:sz w:val="24"/>
          <w:szCs w:val="24"/>
          <w:lang w:val="en-IE" w:eastAsia="fr-BE"/>
        </w:rPr>
        <w:footnoteReference w:id="5"/>
      </w:r>
      <w:r>
        <w:rPr>
          <w:rFonts w:ascii="Times New Roman" w:hAnsi="Times New Roman"/>
          <w:noProof/>
          <w:sz w:val="24"/>
          <w:szCs w:val="24"/>
        </w:rPr>
        <w:t>. Det är också viktigt att se till att information av hög kvalitet tillhandahålls för att motverka desinformation som syftar till att undergräva Europas solidaritet.</w:t>
      </w:r>
    </w:p>
    <w:p w:rsidR="00C62714" w:rsidRPr="0084767F" w:rsidRDefault="00C62714" w:rsidP="00150DE0">
      <w:pPr>
        <w:shd w:val="clear" w:color="auto" w:fill="FFFFFF"/>
        <w:spacing w:after="195" w:line="240" w:lineRule="auto"/>
        <w:jc w:val="both"/>
        <w:rPr>
          <w:rFonts w:ascii="Times New Roman" w:eastAsia="Times New Roman" w:hAnsi="Times New Roman" w:cs="Times New Roman"/>
          <w:b/>
          <w:i/>
          <w:noProof/>
          <w:color w:val="333333"/>
          <w:sz w:val="24"/>
          <w:szCs w:val="24"/>
        </w:rPr>
      </w:pPr>
      <w:r>
        <w:rPr>
          <w:rFonts w:ascii="Times New Roman" w:hAnsi="Times New Roman"/>
          <w:b/>
          <w:i/>
          <w:noProof/>
          <w:color w:val="333333"/>
          <w:sz w:val="24"/>
          <w:szCs w:val="24"/>
        </w:rPr>
        <w:t>EU:s beslutsamhet att hjälpa behövande är orubbligt. Vi står fast vid våra värden och tar emot alla som flyr från rysk aggression med respekt och mänsklighet. Vi kommer att fortsätta att intensifiera tillhandahållandet av nödbistånd och humanitärt bistånd. Solidaritet är grunden för EU i att hantera flyktingutmaningen de kommande månaderna.</w:t>
      </w:r>
    </w:p>
    <w:tbl>
      <w:tblPr>
        <w:tblStyle w:val="TableGrid"/>
        <w:tblW w:w="0" w:type="auto"/>
        <w:tblLook w:val="04A0" w:firstRow="1" w:lastRow="0" w:firstColumn="1" w:lastColumn="0" w:noHBand="0" w:noVBand="1"/>
      </w:tblPr>
      <w:tblGrid>
        <w:gridCol w:w="9242"/>
      </w:tblGrid>
      <w:tr w:rsidR="00C62714" w:rsidRPr="002E76E7" w:rsidTr="00DC4CD2">
        <w:tc>
          <w:tcPr>
            <w:tcW w:w="9016" w:type="dxa"/>
          </w:tcPr>
          <w:p w:rsidR="00C62714" w:rsidRPr="002E76E7" w:rsidRDefault="00C62714" w:rsidP="00150DE0">
            <w:pPr>
              <w:spacing w:after="160"/>
              <w:jc w:val="both"/>
              <w:rPr>
                <w:rFonts w:ascii="Times New Roman" w:hAnsi="Times New Roman" w:cs="Times New Roman"/>
                <w:b/>
                <w:noProof/>
                <w:sz w:val="24"/>
                <w:szCs w:val="24"/>
              </w:rPr>
            </w:pPr>
            <w:r>
              <w:rPr>
                <w:noProof/>
              </w:rPr>
              <w:br w:type="page"/>
            </w:r>
            <w:r>
              <w:rPr>
                <w:noProof/>
              </w:rPr>
              <w:br w:type="page"/>
            </w:r>
            <w:r>
              <w:rPr>
                <w:noProof/>
              </w:rPr>
              <w:br w:type="page"/>
            </w:r>
            <w:r>
              <w:rPr>
                <w:rFonts w:ascii="Times New Roman" w:hAnsi="Times New Roman"/>
                <w:b/>
                <w:noProof/>
                <w:color w:val="333333"/>
                <w:sz w:val="24"/>
                <w:szCs w:val="24"/>
              </w:rPr>
              <w:t>LÄGESBILD</w:t>
            </w:r>
          </w:p>
          <w:p w:rsidR="00F33C39" w:rsidRDefault="000F743C">
            <w:pPr>
              <w:pStyle w:val="ListParagraph"/>
              <w:numPr>
                <w:ilvl w:val="0"/>
                <w:numId w:val="1"/>
              </w:numPr>
              <w:spacing w:after="0"/>
              <w:ind w:left="457" w:hanging="357"/>
              <w:contextualSpacing w:val="0"/>
              <w:rPr>
                <w:noProof/>
                <w:szCs w:val="24"/>
              </w:rPr>
            </w:pPr>
            <w:r>
              <w:rPr>
                <w:noProof/>
              </w:rPr>
              <w:t>Den 6 mars 2022 hade 1,8 miljoner människor flytt undan kriget i Ukraina.</w:t>
            </w:r>
          </w:p>
          <w:p w:rsidR="000F743C" w:rsidRPr="002E76E7" w:rsidRDefault="000F743C">
            <w:pPr>
              <w:pStyle w:val="ListParagraph"/>
              <w:numPr>
                <w:ilvl w:val="0"/>
                <w:numId w:val="1"/>
              </w:numPr>
              <w:spacing w:after="0"/>
              <w:ind w:left="457" w:hanging="357"/>
              <w:contextualSpacing w:val="0"/>
              <w:rPr>
                <w:noProof/>
                <w:szCs w:val="24"/>
              </w:rPr>
            </w:pPr>
            <w:r>
              <w:rPr>
                <w:noProof/>
              </w:rPr>
              <w:t>Polen, Ungern, Slovakien och Rumänien har varje dag sett stora skaror ankommande.</w:t>
            </w:r>
          </w:p>
          <w:p w:rsidR="00C62714" w:rsidRPr="002E76E7" w:rsidRDefault="00C62714" w:rsidP="00150DE0">
            <w:pPr>
              <w:pStyle w:val="ListParagraph"/>
              <w:spacing w:before="240" w:after="120"/>
              <w:ind w:left="459"/>
              <w:contextualSpacing w:val="0"/>
              <w:jc w:val="center"/>
              <w:rPr>
                <w:i/>
                <w:noProof/>
                <w:sz w:val="22"/>
                <w:szCs w:val="22"/>
              </w:rPr>
            </w:pPr>
            <w:r>
              <w:rPr>
                <w:i/>
                <w:noProof/>
                <w:sz w:val="22"/>
                <w:szCs w:val="22"/>
              </w:rPr>
              <w:t xml:space="preserve">Anlända till Polen, Ungern, Slovakien och Rumänien </w:t>
            </w:r>
          </w:p>
          <w:p w:rsidR="00FA21AA" w:rsidRPr="002E76E7" w:rsidRDefault="009B4005" w:rsidP="00150DE0">
            <w:pPr>
              <w:rPr>
                <w:noProof/>
                <w:szCs w:val="24"/>
              </w:rPr>
            </w:pPr>
            <w:r w:rsidRPr="009B4005">
              <w:rPr>
                <w:noProof/>
                <w:szCs w:val="24"/>
                <w:lang w:val="en-GB" w:eastAsia="en-GB"/>
              </w:rPr>
              <w:drawing>
                <wp:inline distT="0" distB="0" distL="0" distR="0">
                  <wp:extent cx="5724525" cy="3724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24525" cy="3724275"/>
                          </a:xfrm>
                          <a:prstGeom prst="rect">
                            <a:avLst/>
                          </a:prstGeom>
                          <a:noFill/>
                          <a:ln>
                            <a:noFill/>
                          </a:ln>
                        </pic:spPr>
                      </pic:pic>
                    </a:graphicData>
                  </a:graphic>
                </wp:inline>
              </w:drawing>
            </w:r>
          </w:p>
          <w:p w:rsidR="00992E50" w:rsidRPr="00992E50" w:rsidRDefault="000F743C" w:rsidP="00D758E9">
            <w:pPr>
              <w:pStyle w:val="ListParagraph"/>
              <w:numPr>
                <w:ilvl w:val="0"/>
                <w:numId w:val="1"/>
              </w:numPr>
              <w:spacing w:after="0"/>
              <w:ind w:left="457" w:hanging="357"/>
              <w:contextualSpacing w:val="0"/>
              <w:rPr>
                <w:noProof/>
                <w:u w:val="single"/>
              </w:rPr>
            </w:pPr>
            <w:r>
              <w:rPr>
                <w:noProof/>
              </w:rPr>
              <w:t xml:space="preserve">Utöver ankommande till Ukrainas direkta grannländer </w:t>
            </w:r>
            <w:r>
              <w:rPr>
                <w:b/>
                <w:bCs/>
                <w:noProof/>
              </w:rPr>
              <w:t>fortsätter människor vidare till andra medlemsstater</w:t>
            </w:r>
            <w:r>
              <w:rPr>
                <w:noProof/>
              </w:rPr>
              <w:t>: vissa medlemsstater har lämnat skattningar (t.ex. Tjeckien 100 000, Bulgarien över 40 000 och Italien över 17 000), och de talen förändras i och med att människor fortsätter vidare till andra medlemsstater.</w:t>
            </w:r>
          </w:p>
          <w:p w:rsidR="000F743C" w:rsidRPr="006D3DF4" w:rsidRDefault="000F743C" w:rsidP="00D758E9">
            <w:pPr>
              <w:pStyle w:val="ListParagraph"/>
              <w:numPr>
                <w:ilvl w:val="0"/>
                <w:numId w:val="1"/>
              </w:numPr>
              <w:spacing w:after="0"/>
              <w:ind w:left="457" w:hanging="357"/>
              <w:contextualSpacing w:val="0"/>
              <w:rPr>
                <w:noProof/>
                <w:u w:val="single"/>
              </w:rPr>
            </w:pPr>
            <w:r>
              <w:rPr>
                <w:noProof/>
              </w:rPr>
              <w:t xml:space="preserve">Ukrainare utgör minst fyra femtedelar av dem som flyr undan kriget i Ukraina. Förutom återvändande EU-medborgare är andra </w:t>
            </w:r>
            <w:r>
              <w:rPr>
                <w:b/>
                <w:bCs/>
                <w:noProof/>
              </w:rPr>
              <w:t>nationaliteter</w:t>
            </w:r>
            <w:r>
              <w:rPr>
                <w:noProof/>
              </w:rPr>
              <w:t xml:space="preserve"> bland annat indier, nigerianer och turkar.</w:t>
            </w:r>
          </w:p>
          <w:p w:rsidR="0025235E" w:rsidRPr="00992E50" w:rsidRDefault="0027307C" w:rsidP="005A4674">
            <w:pPr>
              <w:pStyle w:val="ListParagraph"/>
              <w:numPr>
                <w:ilvl w:val="0"/>
                <w:numId w:val="1"/>
              </w:numPr>
              <w:spacing w:after="0"/>
              <w:ind w:left="457" w:hanging="357"/>
              <w:contextualSpacing w:val="0"/>
              <w:rPr>
                <w:noProof/>
                <w:szCs w:val="24"/>
              </w:rPr>
            </w:pPr>
            <w:r>
              <w:rPr>
                <w:noProof/>
              </w:rPr>
              <w:t xml:space="preserve">Antalen varierar från dag till dag, det uppstår tillfälliga överbelastningar </w:t>
            </w:r>
            <w:r>
              <w:rPr>
                <w:b/>
                <w:bCs/>
                <w:noProof/>
              </w:rPr>
              <w:t>vid gränsen mellan Ukraina och EU</w:t>
            </w:r>
            <w:r>
              <w:rPr>
                <w:noProof/>
              </w:rPr>
              <w:t>, och Frontex rapporterar väntetider på EU:s sida på omkring en timme vid de flesta gränsövergångsställen (6 mars). Mer betydande om än minskade väntetider rapporteras fortfarande på den ukrainska sidan.</w:t>
            </w:r>
          </w:p>
          <w:p w:rsidR="003C4B9A" w:rsidRPr="00992E50" w:rsidRDefault="000F743C" w:rsidP="003C4B9A">
            <w:pPr>
              <w:pStyle w:val="ListParagraph"/>
              <w:numPr>
                <w:ilvl w:val="0"/>
                <w:numId w:val="1"/>
              </w:numPr>
              <w:spacing w:after="0"/>
              <w:ind w:left="457" w:hanging="357"/>
              <w:contextualSpacing w:val="0"/>
              <w:rPr>
                <w:noProof/>
              </w:rPr>
            </w:pPr>
            <w:r>
              <w:rPr>
                <w:b/>
                <w:noProof/>
                <w:szCs w:val="24"/>
              </w:rPr>
              <w:t>Mottagningskapaciteten</w:t>
            </w:r>
            <w:r>
              <w:rPr>
                <w:noProof/>
              </w:rPr>
              <w:t xml:space="preserve"> är för närvarande tillräcklig, med tanke på att många snabbt fortsätter vidare för att ansluta sig till släkt eller vänner. Polen, Rumänien, Ungern och Slovakien fortsätter att rapportera ledig kapacitet. </w:t>
            </w:r>
          </w:p>
          <w:p w:rsidR="00C62714" w:rsidRPr="002E76E7" w:rsidRDefault="000F743C" w:rsidP="006D3DF4">
            <w:pPr>
              <w:pStyle w:val="ListParagraph"/>
              <w:numPr>
                <w:ilvl w:val="0"/>
                <w:numId w:val="1"/>
              </w:numPr>
              <w:spacing w:after="120"/>
              <w:ind w:left="426" w:hanging="284"/>
              <w:contextualSpacing w:val="0"/>
              <w:rPr>
                <w:noProof/>
              </w:rPr>
            </w:pPr>
            <w:r>
              <w:rPr>
                <w:noProof/>
              </w:rPr>
              <w:t xml:space="preserve">Mellan </w:t>
            </w:r>
            <w:r>
              <w:rPr>
                <w:b/>
                <w:bCs/>
                <w:noProof/>
              </w:rPr>
              <w:t>28 februari och 6 mars</w:t>
            </w:r>
            <w:r>
              <w:rPr>
                <w:noProof/>
              </w:rPr>
              <w:t xml:space="preserve"> gav ukrainska medborgare in </w:t>
            </w:r>
            <w:r>
              <w:rPr>
                <w:b/>
                <w:bCs/>
                <w:noProof/>
              </w:rPr>
              <w:t>8 467 asylansökningar i länderna i EU+</w:t>
            </w:r>
            <w:r>
              <w:rPr>
                <w:rStyle w:val="FootnoteReference"/>
                <w:b/>
                <w:noProof/>
              </w:rPr>
              <w:footnoteReference w:id="6"/>
            </w:r>
            <w:r>
              <w:rPr>
                <w:noProof/>
              </w:rPr>
              <w:t xml:space="preserve">. 39 % av ansökningarna gavs in i de fyra medlemsstater som gränsar till Ukraina.  </w:t>
            </w:r>
          </w:p>
        </w:tc>
      </w:tr>
    </w:tbl>
    <w:p w:rsidR="00C62714" w:rsidRPr="0004648B" w:rsidRDefault="008A6481" w:rsidP="00D62B49">
      <w:pPr>
        <w:keepNext/>
        <w:keepLines/>
        <w:spacing w:line="240" w:lineRule="auto"/>
        <w:rPr>
          <w:rFonts w:ascii="Times New Roman" w:hAnsi="Times New Roman" w:cs="Times New Roman"/>
          <w:b/>
          <w:noProof/>
          <w:sz w:val="24"/>
          <w:szCs w:val="24"/>
        </w:rPr>
      </w:pPr>
      <w:r>
        <w:rPr>
          <w:rFonts w:ascii="Times New Roman" w:hAnsi="Times New Roman"/>
          <w:b/>
          <w:noProof/>
          <w:sz w:val="24"/>
          <w:szCs w:val="24"/>
        </w:rPr>
        <w:t>2.</w:t>
      </w:r>
      <w:r>
        <w:rPr>
          <w:noProof/>
        </w:rPr>
        <w:tab/>
      </w:r>
      <w:r>
        <w:rPr>
          <w:rFonts w:ascii="Times New Roman" w:hAnsi="Times New Roman"/>
          <w:b/>
          <w:noProof/>
          <w:sz w:val="24"/>
          <w:szCs w:val="24"/>
        </w:rPr>
        <w:t>HUMANITÄRT STÖD</w:t>
      </w:r>
    </w:p>
    <w:p w:rsidR="00C62714" w:rsidRDefault="00C62714" w:rsidP="00150DE0">
      <w:pPr>
        <w:spacing w:line="240" w:lineRule="auto"/>
        <w:jc w:val="both"/>
        <w:rPr>
          <w:rFonts w:ascii="Times New Roman" w:hAnsi="Times New Roman" w:cs="Times New Roman"/>
          <w:noProof/>
          <w:sz w:val="24"/>
          <w:szCs w:val="24"/>
        </w:rPr>
      </w:pPr>
      <w:r>
        <w:rPr>
          <w:rFonts w:ascii="Times New Roman" w:hAnsi="Times New Roman"/>
          <w:noProof/>
          <w:sz w:val="24"/>
          <w:szCs w:val="24"/>
        </w:rPr>
        <w:t>Omfattningen av den humanitära katastrofen i Ukraina står ännu inte helt klar. Europa bevittnar förstörelse och fördrivning i en omfattning som inte har setts sedan förra århundradets mörkaste dagar. EU gör en enorm insats med humanitärt katastrofbistånd, i samarbete med medlemsstaterna, biståndsorganen och allierade i världssamfundet. Minst 500 miljoner euro från EU:s budget har anslagits till att hantera de humanitära konsekvenserna av detta tragiska krig, både i och utanför Ukraina.</w:t>
      </w:r>
    </w:p>
    <w:p w:rsidR="00C62714" w:rsidRPr="00E90219" w:rsidRDefault="00C62714" w:rsidP="00150DE0">
      <w:pPr>
        <w:spacing w:line="240" w:lineRule="auto"/>
        <w:jc w:val="both"/>
        <w:rPr>
          <w:rFonts w:ascii="Times New Roman" w:hAnsi="Times New Roman" w:cs="Times New Roman"/>
          <w:noProof/>
          <w:sz w:val="24"/>
          <w:szCs w:val="24"/>
        </w:rPr>
      </w:pPr>
      <w:r>
        <w:rPr>
          <w:rFonts w:ascii="Times New Roman" w:hAnsi="Times New Roman"/>
          <w:noProof/>
          <w:sz w:val="24"/>
          <w:szCs w:val="24"/>
        </w:rPr>
        <w:t>EU ger storskaligt stöd till Ukraina för att hjälpa landet att stå emot krisen, bl.a. akut makroekonomiskt stöd på 1,2 miljarder euro i form av lån och ytterligare 120 miljoner euro till Ukraina i budgetstöd.</w:t>
      </w:r>
      <w:r>
        <w:rPr>
          <w:rFonts w:ascii="Times New Roman" w:hAnsi="Times New Roman"/>
          <w:bCs/>
          <w:noProof/>
          <w:sz w:val="24"/>
          <w:szCs w:val="24"/>
        </w:rPr>
        <w:t xml:space="preserve"> </w:t>
      </w:r>
      <w:r>
        <w:rPr>
          <w:rFonts w:ascii="Times New Roman" w:hAnsi="Times New Roman"/>
          <w:noProof/>
          <w:sz w:val="24"/>
          <w:szCs w:val="24"/>
        </w:rPr>
        <w:t xml:space="preserve">Dessutom har Europeiska investeringsbanken, med Europeiska kommissionens samtycke, aviserat att 668 miljoner euro i lån omedelbart ska styras om som likviditetsstöd till de ukrainska myndigheterna. Stödet fortsätter till centrala partner i det civila samhället i Ukraina. </w:t>
      </w:r>
    </w:p>
    <w:p w:rsidR="00C62714" w:rsidRPr="005F053E" w:rsidRDefault="00C62714" w:rsidP="00150DE0">
      <w:pPr>
        <w:shd w:val="clear" w:color="auto" w:fill="FFFFFF"/>
        <w:spacing w:line="240" w:lineRule="auto"/>
        <w:jc w:val="both"/>
        <w:rPr>
          <w:rFonts w:ascii="Times New Roman" w:hAnsi="Times New Roman" w:cs="Times New Roman"/>
          <w:b/>
          <w:i/>
          <w:noProof/>
          <w:sz w:val="24"/>
          <w:szCs w:val="24"/>
        </w:rPr>
      </w:pPr>
      <w:r>
        <w:rPr>
          <w:rFonts w:ascii="Times New Roman" w:hAnsi="Times New Roman"/>
          <w:b/>
          <w:i/>
          <w:noProof/>
          <w:sz w:val="24"/>
          <w:szCs w:val="24"/>
        </w:rPr>
        <w:t>Den humanitära katastrofen i Ukraina...</w:t>
      </w:r>
    </w:p>
    <w:p w:rsidR="00C62714" w:rsidRDefault="00C62714" w:rsidP="00150DE0">
      <w:pPr>
        <w:spacing w:line="240" w:lineRule="auto"/>
        <w:jc w:val="both"/>
        <w:rPr>
          <w:rFonts w:ascii="Times New Roman" w:hAnsi="Times New Roman" w:cs="Times New Roman"/>
          <w:noProof/>
          <w:sz w:val="24"/>
          <w:szCs w:val="24"/>
        </w:rPr>
      </w:pPr>
      <w:r>
        <w:rPr>
          <w:rFonts w:ascii="Times New Roman" w:hAnsi="Times New Roman"/>
          <w:noProof/>
          <w:sz w:val="24"/>
          <w:szCs w:val="24"/>
        </w:rPr>
        <w:t>Antalet civila dödsoffer i Ukraina ökar för var dag som går. Även för dem som tagit skydd mot attackerna innebär skadorna på bostäder, vattenförsörjning och el att många ändå löper en verklig risk. Striderna gör det allt svårare att leverera livsmedel. Kritiska sjukhustjänster drabbas av ständiga strömavbrott, och risken finns att ambulanser och hälso- och sjukvårdspersonal fastnar i strid. Biståndsorganen har allt svårare att förse de behövande med förnödenheter, och det problemet blir allt mer akut i takt med att kriget sprider sig.</w:t>
      </w:r>
    </w:p>
    <w:p w:rsidR="00C62714" w:rsidRPr="001D4A0D" w:rsidRDefault="00C62714" w:rsidP="00150DE0">
      <w:pPr>
        <w:spacing w:after="120" w:line="240" w:lineRule="auto"/>
        <w:jc w:val="both"/>
        <w:rPr>
          <w:rFonts w:ascii="Times New Roman" w:hAnsi="Times New Roman" w:cs="Times New Roman"/>
          <w:b/>
          <w:i/>
          <w:noProof/>
          <w:sz w:val="24"/>
          <w:szCs w:val="24"/>
        </w:rPr>
      </w:pPr>
      <w:r>
        <w:rPr>
          <w:rFonts w:ascii="Times New Roman" w:hAnsi="Times New Roman"/>
          <w:b/>
          <w:i/>
          <w:noProof/>
          <w:sz w:val="24"/>
          <w:szCs w:val="24"/>
        </w:rPr>
        <w:t xml:space="preserve">... kräver humanitära korridorer </w:t>
      </w:r>
    </w:p>
    <w:p w:rsidR="00C62714" w:rsidRDefault="00C62714" w:rsidP="00150DE0">
      <w:pPr>
        <w:spacing w:line="240" w:lineRule="auto"/>
        <w:jc w:val="both"/>
        <w:rPr>
          <w:rFonts w:ascii="Times New Roman" w:hAnsi="Times New Roman" w:cs="Times New Roman"/>
          <w:noProof/>
          <w:sz w:val="24"/>
          <w:szCs w:val="24"/>
        </w:rPr>
      </w:pPr>
      <w:r>
        <w:rPr>
          <w:rFonts w:ascii="Times New Roman" w:hAnsi="Times New Roman"/>
          <w:noProof/>
          <w:sz w:val="24"/>
          <w:szCs w:val="24"/>
        </w:rPr>
        <w:t>Kriget får inte hindra att hjälpen når de behövande. Det humanitära bistånd som verkligen behövs måste kunna nå alla delar av Ukraina. Civila måste, oavsett nationalitet, också få fly från belägrade städer. Det brådskar därför att säkerställa tillträde för humanitärt bistånd, bl.a. genom humanitära korridorer. Att tillåta säkert och obehindrat tillträde för biståndsarbetare och förnödenheter är en rättslig skyldighet enligt internationell humanitär rätt. EU kommer att fortsätta att samarbeta med internationella organisationer och partner för att säkra tillträdet och sätta de humanitära korridorerna i drift så snart som möjligt.</w:t>
      </w:r>
    </w:p>
    <w:p w:rsidR="00C62714" w:rsidRPr="008605E9" w:rsidRDefault="00C62714" w:rsidP="00150DE0">
      <w:pPr>
        <w:spacing w:after="120" w:line="240" w:lineRule="auto"/>
        <w:jc w:val="both"/>
        <w:rPr>
          <w:rFonts w:ascii="Times New Roman" w:hAnsi="Times New Roman" w:cs="Times New Roman"/>
          <w:b/>
          <w:i/>
          <w:noProof/>
          <w:sz w:val="24"/>
          <w:szCs w:val="24"/>
        </w:rPr>
      </w:pPr>
      <w:r>
        <w:rPr>
          <w:rFonts w:ascii="Times New Roman" w:hAnsi="Times New Roman"/>
          <w:b/>
          <w:i/>
          <w:noProof/>
          <w:sz w:val="24"/>
          <w:szCs w:val="24"/>
        </w:rPr>
        <w:t>Stödet ges i form av EU-paket</w:t>
      </w:r>
      <w:r w:rsidR="009B4005">
        <w:rPr>
          <w:rFonts w:ascii="Times New Roman" w:hAnsi="Times New Roman"/>
          <w:b/>
          <w:i/>
          <w:noProof/>
          <w:sz w:val="24"/>
          <w:szCs w:val="24"/>
        </w:rPr>
        <w:t xml:space="preserve"> </w:t>
      </w:r>
      <w:r>
        <w:rPr>
          <w:rFonts w:ascii="Times New Roman" w:hAnsi="Times New Roman"/>
          <w:b/>
          <w:i/>
          <w:noProof/>
          <w:sz w:val="24"/>
          <w:szCs w:val="24"/>
        </w:rPr>
        <w:t>...</w:t>
      </w:r>
    </w:p>
    <w:p w:rsidR="00C62714" w:rsidRPr="009F1220" w:rsidRDefault="00C62714" w:rsidP="00150DE0">
      <w:pPr>
        <w:pStyle w:val="Default"/>
        <w:spacing w:after="160"/>
        <w:jc w:val="both"/>
        <w:rPr>
          <w:rFonts w:ascii="Times New Roman" w:hAnsi="Times New Roman" w:cs="Times New Roman"/>
          <w:noProof/>
        </w:rPr>
      </w:pPr>
      <w:r>
        <w:rPr>
          <w:rFonts w:ascii="Times New Roman" w:hAnsi="Times New Roman"/>
          <w:noProof/>
        </w:rPr>
        <w:t xml:space="preserve">EU:s humanitära finansieringspaket i närtid på 85 miljoner euro till dem som påverkas av kriget i Ukraina används nu för att tillhandahålla mat, vatten, läkemedel, hälso- och sjukvård, logi och skydd. EU stöder också flyktingar i Moldavien med 5 miljoner euro för att täcka grundläggande behov. Samtidigt arbetar 27 länder med att leverera förnödenheter till ett värde av över 100 miljoner euro genom EU:s civilskyddsmekanism. De första leveranserna har redan nått behövande i Ukraina: över 4 miljoner föremål, bl.a. fordon, </w:t>
      </w:r>
      <w:r w:rsidR="00F40D0B">
        <w:rPr>
          <w:rFonts w:ascii="Times New Roman" w:hAnsi="Times New Roman"/>
          <w:noProof/>
        </w:rPr>
        <w:t>förstahjälpensatser</w:t>
      </w:r>
      <w:r>
        <w:rPr>
          <w:rFonts w:ascii="Times New Roman" w:hAnsi="Times New Roman"/>
          <w:noProof/>
        </w:rPr>
        <w:t xml:space="preserve">, tält, filtar och sovsäckar. Specialiserad medicinsk utrustning är nu på väg, bl.a. respiratorer och syrgas från Resc-EU:s strategiska medicinska reserv. </w:t>
      </w:r>
    </w:p>
    <w:p w:rsidR="00C62714" w:rsidRPr="009F1220" w:rsidRDefault="00C62714" w:rsidP="00150DE0">
      <w:pPr>
        <w:pStyle w:val="Default"/>
        <w:spacing w:after="120"/>
        <w:jc w:val="both"/>
        <w:rPr>
          <w:rFonts w:ascii="Times New Roman" w:hAnsi="Times New Roman" w:cs="Times New Roman"/>
          <w:b/>
          <w:i/>
          <w:noProof/>
        </w:rPr>
      </w:pPr>
      <w:r>
        <w:rPr>
          <w:rFonts w:ascii="Times New Roman" w:hAnsi="Times New Roman"/>
          <w:b/>
          <w:i/>
          <w:noProof/>
        </w:rPr>
        <w:t>... men det är svårt att leverera det</w:t>
      </w:r>
    </w:p>
    <w:p w:rsidR="00C62714" w:rsidRDefault="00C62714" w:rsidP="00150DE0">
      <w:pPr>
        <w:pStyle w:val="Default"/>
        <w:spacing w:after="160"/>
        <w:jc w:val="both"/>
        <w:rPr>
          <w:rFonts w:ascii="Times New Roman" w:hAnsi="Times New Roman" w:cs="Times New Roman"/>
          <w:noProof/>
        </w:rPr>
      </w:pPr>
      <w:r>
        <w:rPr>
          <w:rFonts w:ascii="Times New Roman" w:hAnsi="Times New Roman"/>
          <w:noProof/>
        </w:rPr>
        <w:t>EU samarbetar med FN, Röda korset och internationella icke-statliga organisationer för att se till att humanitärt bistånd tillhandahålls så snabbt som möjligt. Kommissionen står i ständig kontakt med de ukrainska myndigheterna för att hjälpa gods över gränsen till Ukraina. Genom EU:s civilskyddsmekanism påskyndar kommissionen hjälpen till Ukraina via nav som inrättats i Polen, Slovakien och Rumänien.</w:t>
      </w:r>
    </w:p>
    <w:p w:rsidR="00C62714" w:rsidRDefault="00C62714" w:rsidP="00150DE0">
      <w:pPr>
        <w:shd w:val="clear" w:color="auto" w:fill="FFFFFF"/>
        <w:spacing w:after="120" w:line="240" w:lineRule="auto"/>
        <w:jc w:val="both"/>
        <w:rPr>
          <w:rFonts w:ascii="Times New Roman" w:hAnsi="Times New Roman" w:cs="Times New Roman"/>
          <w:b/>
          <w:i/>
          <w:noProof/>
          <w:sz w:val="24"/>
          <w:szCs w:val="24"/>
        </w:rPr>
      </w:pPr>
      <w:r>
        <w:rPr>
          <w:rFonts w:ascii="Times New Roman" w:hAnsi="Times New Roman"/>
          <w:b/>
          <w:i/>
          <w:noProof/>
          <w:sz w:val="24"/>
          <w:szCs w:val="24"/>
        </w:rPr>
        <w:t>Stöd till de medlemsstater som står under störst tryck</w:t>
      </w:r>
      <w:r w:rsidR="009B4005">
        <w:rPr>
          <w:rFonts w:ascii="Times New Roman" w:hAnsi="Times New Roman"/>
          <w:b/>
          <w:i/>
          <w:noProof/>
          <w:sz w:val="24"/>
          <w:szCs w:val="24"/>
        </w:rPr>
        <w:t xml:space="preserve"> </w:t>
      </w:r>
      <w:r>
        <w:rPr>
          <w:rFonts w:ascii="Times New Roman" w:hAnsi="Times New Roman"/>
          <w:b/>
          <w:i/>
          <w:noProof/>
          <w:sz w:val="24"/>
          <w:szCs w:val="24"/>
        </w:rPr>
        <w:t>...</w:t>
      </w:r>
    </w:p>
    <w:p w:rsidR="00C62714" w:rsidRDefault="00C62714" w:rsidP="00150DE0">
      <w:pPr>
        <w:shd w:val="clear" w:color="auto" w:fill="FFFFFF"/>
        <w:spacing w:after="120" w:line="240" w:lineRule="auto"/>
        <w:jc w:val="both"/>
        <w:rPr>
          <w:rFonts w:ascii="Times New Roman" w:hAnsi="Times New Roman" w:cs="Times New Roman"/>
          <w:noProof/>
          <w:sz w:val="24"/>
          <w:szCs w:val="24"/>
        </w:rPr>
      </w:pPr>
      <w:r>
        <w:rPr>
          <w:rFonts w:ascii="Times New Roman" w:hAnsi="Times New Roman"/>
          <w:noProof/>
          <w:sz w:val="24"/>
          <w:szCs w:val="24"/>
        </w:rPr>
        <w:t>Vid en rad besök på plats</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har kommissionen på nära håll kunnat se de betydande stödprogram som Polen, Slovakien, Ungern och Rumänien samt EU:s grannland Moldavien har satt in för flyktingar som anländer till deras gränser. Kombinationen av detta arbete med folkets generositet och medkänsla har lett till omedelbar tröst för flyktingar och fördrivna personer som drabbats av traumat att tvingas fly från sina hem.</w:t>
      </w:r>
    </w:p>
    <w:p w:rsidR="00C62714" w:rsidRPr="00D84FF7" w:rsidRDefault="00C62714" w:rsidP="00150DE0">
      <w:pPr>
        <w:shd w:val="clear" w:color="auto" w:fill="FFFFFF"/>
        <w:spacing w:after="120" w:line="240" w:lineRule="auto"/>
        <w:jc w:val="both"/>
        <w:rPr>
          <w:rFonts w:ascii="Times New Roman" w:hAnsi="Times New Roman" w:cs="Times New Roman"/>
          <w:b/>
          <w:i/>
          <w:noProof/>
          <w:sz w:val="24"/>
          <w:szCs w:val="24"/>
        </w:rPr>
      </w:pPr>
      <w:r>
        <w:rPr>
          <w:rFonts w:ascii="Times New Roman" w:hAnsi="Times New Roman"/>
          <w:b/>
          <w:i/>
          <w:noProof/>
          <w:sz w:val="24"/>
          <w:szCs w:val="24"/>
        </w:rPr>
        <w:t>... med direkt hjälp till solidaritetsinsatserna</w:t>
      </w:r>
    </w:p>
    <w:p w:rsidR="00C62714" w:rsidRDefault="00C62714" w:rsidP="00150DE0">
      <w:pPr>
        <w:shd w:val="clear" w:color="auto" w:fill="FFFFFF"/>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Detta arbete kräver allt tänkbart stöd från EU. Polen och Slovakien har aktiverat EU:s civilskyddsmekanism och börjar nu ta emot logi och medicinsk hjälp. </w:t>
      </w:r>
      <w:r>
        <w:rPr>
          <w:rFonts w:ascii="Times New Roman" w:hAnsi="Times New Roman"/>
          <w:bCs/>
          <w:noProof/>
          <w:sz w:val="24"/>
          <w:szCs w:val="24"/>
        </w:rPr>
        <w:t xml:space="preserve">Sådana mängde ankommande innebär särskilda hälsoutmaningar, och grundläggande hälsokontroller bör tillhandahållas vid ankomsten. </w:t>
      </w:r>
      <w:r>
        <w:rPr>
          <w:rFonts w:ascii="Times New Roman" w:hAnsi="Times New Roman"/>
          <w:noProof/>
          <w:sz w:val="24"/>
          <w:szCs w:val="24"/>
        </w:rPr>
        <w:t xml:space="preserve">De som anländer kan vara sårade eller ha kroniska sjukdomar i behov av omedelbar läkarvård. Covid-19 kvarstår som en utmaning. Kommissionen och dess organ samarbetar intensivt med medlemsstaterna för att trygga tillgången till vård och läkemedel, kartlägga behov och leda rätt hjälp till rätt plats, bl.a. vad gäller sjukhussängar, kirurgisk kapacitet att behandla brännskador samt transporter av behövande patienter. </w:t>
      </w:r>
    </w:p>
    <w:p w:rsidR="00C62714" w:rsidRPr="00DA4D90" w:rsidRDefault="00C62714" w:rsidP="00150DE0">
      <w:pPr>
        <w:spacing w:line="240" w:lineRule="auto"/>
        <w:jc w:val="both"/>
        <w:rPr>
          <w:rFonts w:ascii="Times New Roman" w:hAnsi="Times New Roman" w:cs="Times New Roman"/>
          <w:noProof/>
          <w:sz w:val="24"/>
          <w:szCs w:val="24"/>
        </w:rPr>
      </w:pPr>
      <w:r>
        <w:rPr>
          <w:rFonts w:ascii="Times New Roman" w:hAnsi="Times New Roman"/>
          <w:noProof/>
          <w:sz w:val="24"/>
          <w:szCs w:val="24"/>
        </w:rPr>
        <w:t>I detta läge, där medlemsstaterna kan behöva tillhandahålla logi, förnödenheter och tjänster mycket snabbt, kan reglerna för skyndsam offentlig upphandling användas på samma sätt som under migrationskrisen 2015–2016 och covid-19-pandemin</w:t>
      </w:r>
      <w:r>
        <w:rPr>
          <w:rStyle w:val="FootnoteReference"/>
          <w:rFonts w:ascii="Times New Roman" w:hAnsi="Times New Roman" w:cs="Times New Roman"/>
          <w:noProof/>
          <w:sz w:val="24"/>
          <w:szCs w:val="24"/>
          <w:lang w:val="en-US"/>
        </w:rPr>
        <w:footnoteReference w:id="8"/>
      </w:r>
      <w:r>
        <w:rPr>
          <w:rFonts w:ascii="Times New Roman" w:hAnsi="Times New Roman"/>
          <w:noProof/>
          <w:sz w:val="24"/>
          <w:szCs w:val="24"/>
        </w:rPr>
        <w:t xml:space="preserve">. </w:t>
      </w:r>
    </w:p>
    <w:p w:rsidR="00A5142A" w:rsidRPr="00A5142A" w:rsidRDefault="00C62714" w:rsidP="00860483">
      <w:pPr>
        <w:pStyle w:val="Considrant"/>
        <w:numPr>
          <w:ilvl w:val="0"/>
          <w:numId w:val="0"/>
        </w:numPr>
        <w:spacing w:after="240"/>
        <w:rPr>
          <w:noProof/>
        </w:rPr>
      </w:pPr>
      <w:r>
        <w:rPr>
          <w:noProof/>
        </w:rPr>
        <w:t>EU-medel finns omedelbart tillgängliga för medlemsstaterna genom deras nationella program för inrikes frågor 2014–2020, som fortfarande kan användas som ekonomiskt stöd för att täcka bl.a. logi, mat och hälso- och sjukvård exempelvis genom extra personal. Kommissionen kommer att göra allt den kan för att se till att befintliga medel är lätt och snabbt tillgängliga och kan användas fullständigt. Kommissionen föreslår att de här instrumenten</w:t>
      </w:r>
      <w:r>
        <w:rPr>
          <w:rStyle w:val="FootnoteReference"/>
          <w:noProof/>
          <w:szCs w:val="24"/>
        </w:rPr>
        <w:footnoteReference w:id="9"/>
      </w:r>
      <w:r>
        <w:rPr>
          <w:noProof/>
        </w:rPr>
        <w:t xml:space="preserve"> ska få förlängd löptid för att ge medlemsstaterna ytterligare flexibilitet: om Europaparlamentet och rådet snabbt antar förslaget skulle det frigöra cirka 420 miljoner euro i ytterligare stöd. Samtidigt kommer stöd till de påverkade medlemsstaterna att prioriteras för den tillgängliga nödfinansieringen i asyl-, migrations- och integrationsfonden 2021–2027.</w:t>
      </w:r>
    </w:p>
    <w:p w:rsidR="00C62714" w:rsidRPr="008A6481" w:rsidRDefault="008A6481" w:rsidP="00DD32CF">
      <w:pPr>
        <w:keepNext/>
        <w:spacing w:after="240"/>
        <w:rPr>
          <w:rFonts w:ascii="Times New Roman" w:hAnsi="Times New Roman" w:cs="Times New Roman"/>
          <w:b/>
          <w:noProof/>
          <w:sz w:val="24"/>
          <w:szCs w:val="24"/>
        </w:rPr>
      </w:pPr>
      <w:r>
        <w:rPr>
          <w:rFonts w:ascii="Times New Roman" w:hAnsi="Times New Roman"/>
          <w:b/>
          <w:noProof/>
          <w:sz w:val="24"/>
          <w:szCs w:val="24"/>
        </w:rPr>
        <w:t>3.</w:t>
      </w:r>
      <w:r>
        <w:rPr>
          <w:noProof/>
        </w:rPr>
        <w:tab/>
      </w:r>
      <w:r>
        <w:rPr>
          <w:rFonts w:ascii="Times New Roman" w:hAnsi="Times New Roman"/>
          <w:b/>
          <w:noProof/>
          <w:sz w:val="24"/>
          <w:szCs w:val="24"/>
        </w:rPr>
        <w:t xml:space="preserve">UTMANINGEN VID GRÄNSEN </w:t>
      </w:r>
    </w:p>
    <w:p w:rsidR="00C62714" w:rsidRDefault="00C62714" w:rsidP="00150DE0">
      <w:pPr>
        <w:pStyle w:val="Briefinglist1"/>
        <w:numPr>
          <w:ilvl w:val="0"/>
          <w:numId w:val="0"/>
        </w:numPr>
        <w:rPr>
          <w:rFonts w:ascii="Times New Roman" w:hAnsi="Times New Roman"/>
          <w:noProof/>
          <w:color w:val="0D0D0D" w:themeColor="text1" w:themeTint="F2"/>
          <w:sz w:val="24"/>
        </w:rPr>
      </w:pPr>
      <w:r>
        <w:rPr>
          <w:rFonts w:ascii="Times New Roman" w:hAnsi="Times New Roman"/>
          <w:noProof/>
          <w:color w:val="0D0D0D" w:themeColor="text1" w:themeTint="F2"/>
          <w:sz w:val="24"/>
        </w:rPr>
        <w:t>Krisen sätter extremt tryck på EU:s gräns mot Ukraina. De personer som anländer måste registreras, få hjälp med sina omedelbara behov och på ett säkert sätt ledas vidare till nästa plats för skydd. Denna process måste vara snabb, samtidigt som ordningen upprätthålls och nödvändiga säkerhetskontroller möjliggörs. EU tar gemensamt ansvar för sina gemensamma gränser genom att stödja de medlemsstater som står inför dessa extra påfrestningar.</w:t>
      </w:r>
    </w:p>
    <w:p w:rsidR="00C62714" w:rsidRPr="001D4A0D" w:rsidRDefault="00C62714" w:rsidP="00D62B49">
      <w:pPr>
        <w:pStyle w:val="Briefinglist1"/>
        <w:keepNext/>
        <w:numPr>
          <w:ilvl w:val="0"/>
          <w:numId w:val="0"/>
        </w:numPr>
        <w:rPr>
          <w:rFonts w:ascii="Times New Roman" w:hAnsi="Times New Roman"/>
          <w:b/>
          <w:i/>
          <w:noProof/>
          <w:color w:val="0D0D0D" w:themeColor="text1" w:themeTint="F2"/>
          <w:sz w:val="24"/>
        </w:rPr>
      </w:pPr>
      <w:r>
        <w:rPr>
          <w:rFonts w:ascii="Times New Roman" w:hAnsi="Times New Roman"/>
          <w:b/>
          <w:i/>
          <w:noProof/>
          <w:color w:val="0D0D0D" w:themeColor="text1" w:themeTint="F2"/>
          <w:sz w:val="24"/>
        </w:rPr>
        <w:t>Stöd till gränsförvaltningen i Ukraina</w:t>
      </w:r>
      <w:r w:rsidR="009B4005">
        <w:rPr>
          <w:rFonts w:ascii="Times New Roman" w:hAnsi="Times New Roman"/>
          <w:b/>
          <w:i/>
          <w:noProof/>
          <w:color w:val="0D0D0D" w:themeColor="text1" w:themeTint="F2"/>
          <w:sz w:val="24"/>
        </w:rPr>
        <w:t xml:space="preserve"> …</w:t>
      </w:r>
    </w:p>
    <w:p w:rsidR="00C62714" w:rsidRDefault="00C62714" w:rsidP="00150DE0">
      <w:pPr>
        <w:pStyle w:val="Briefinglist1"/>
        <w:numPr>
          <w:ilvl w:val="0"/>
          <w:numId w:val="0"/>
        </w:numPr>
        <w:spacing w:after="160"/>
        <w:rPr>
          <w:rFonts w:ascii="Times New Roman" w:hAnsi="Times New Roman"/>
          <w:noProof/>
          <w:sz w:val="24"/>
        </w:rPr>
      </w:pPr>
      <w:r>
        <w:rPr>
          <w:rFonts w:ascii="Times New Roman" w:hAnsi="Times New Roman"/>
          <w:noProof/>
          <w:sz w:val="24"/>
        </w:rPr>
        <w:t xml:space="preserve">En första begränsning är trängsel på den ukrainska sidan av gränsen. Ukrainas gränsmyndigheter måste tillämpa sina regler i ett läge med personalbrist, problem med it-system och det stora antalet övergivna bilar. Ukraina har försökt hantera flödena effektivt genom att leda om människor och förenkla förfarandena. Medlemsstaterna och EU samarbetar med de ukrainska myndigheterna för att ta itu med flaskhalsar. Det är särskilt viktigt att hålla passagerna fria för biståndsleveranser till Ukraina. </w:t>
      </w:r>
    </w:p>
    <w:p w:rsidR="00C62714" w:rsidRDefault="00C62714" w:rsidP="00150DE0">
      <w:pPr>
        <w:pStyle w:val="NormalWeb"/>
        <w:spacing w:before="0" w:beforeAutospacing="0" w:after="160" w:afterAutospacing="0"/>
        <w:jc w:val="both"/>
        <w:rPr>
          <w:noProof/>
          <w:color w:val="0D0D0D" w:themeColor="text1" w:themeTint="F2"/>
        </w:rPr>
      </w:pPr>
      <w:r>
        <w:rPr>
          <w:noProof/>
          <w:color w:val="0D0D0D" w:themeColor="text1" w:themeTint="F2"/>
        </w:rPr>
        <w:t>De flesta av dem som anländer till gränsen mellan Ukraina och medlemsstaterna är ukrainska medborgare som, om de har biometriska pass, har rätt till viseringsfri inresa till och vistelse i EU i 90 dagar, och de kan till och med passera med hjälp av elektroniska kontroller i stället för gränskontrolltjänstemän. Många återförenar sig med släkt och vänner, och vissa av dem kommer att flytta från det första inreselandet för att förena sig med kontaktpersoner i andra medlemsstater. Det är viktigt att gränspassagerna mellan medlemsstaterna möjliggör sådana förflyttningar så smidigt som möjligt. Men det finns många andra kategorier av inresande. Det handlar bl.a. om återvändande EU-medborgare, personer som beviljats internationellt skydd av Ukraina varav många belarus</w:t>
      </w:r>
      <w:r w:rsidR="00F40D0B">
        <w:rPr>
          <w:noProof/>
          <w:color w:val="0D0D0D" w:themeColor="text1" w:themeTint="F2"/>
        </w:rPr>
        <w:t>i</w:t>
      </w:r>
      <w:r>
        <w:rPr>
          <w:noProof/>
          <w:color w:val="0D0D0D" w:themeColor="text1" w:themeTint="F2"/>
        </w:rPr>
        <w:t xml:space="preserve">er som har flytt från Lukasjenkoregimen, samt studenter och arbetstagare från länder runt om i världen. </w:t>
      </w:r>
      <w:r>
        <w:rPr>
          <w:noProof/>
        </w:rPr>
        <w:t xml:space="preserve">Det är av yttersta vikt att de som flyr från Rysslands aggression i Ukraina utan undantag behandlas med respekt och omsorg.  </w:t>
      </w:r>
    </w:p>
    <w:p w:rsidR="00C62714" w:rsidRPr="00E302B6" w:rsidRDefault="00C62714" w:rsidP="00150DE0">
      <w:pPr>
        <w:pStyle w:val="NormalWeb"/>
        <w:spacing w:before="0" w:beforeAutospacing="0" w:after="120" w:afterAutospacing="0"/>
        <w:jc w:val="both"/>
        <w:rPr>
          <w:noProof/>
          <w:color w:val="0D0D0D" w:themeColor="text1" w:themeTint="F2"/>
        </w:rPr>
      </w:pPr>
      <w:r>
        <w:rPr>
          <w:b/>
          <w:i/>
          <w:noProof/>
          <w:color w:val="0D0D0D" w:themeColor="text1" w:themeTint="F2"/>
        </w:rPr>
        <w:t>... för att hålla säkra flöden i gång ...</w:t>
      </w:r>
      <w:r>
        <w:rPr>
          <w:noProof/>
          <w:color w:val="0D0D0D" w:themeColor="text1" w:themeTint="F2"/>
        </w:rPr>
        <w:t xml:space="preserve"> </w:t>
      </w:r>
    </w:p>
    <w:p w:rsidR="006155C8" w:rsidRPr="0026658A" w:rsidRDefault="00C62714" w:rsidP="00150DE0">
      <w:pPr>
        <w:pStyle w:val="NormalWeb"/>
        <w:spacing w:before="0" w:beforeAutospacing="0" w:after="160" w:afterAutospacing="0"/>
        <w:jc w:val="both"/>
        <w:rPr>
          <w:noProof/>
          <w:color w:val="0D0D0D" w:themeColor="text1" w:themeTint="F2"/>
        </w:rPr>
      </w:pPr>
      <w:r>
        <w:rPr>
          <w:noProof/>
          <w:color w:val="0D0D0D" w:themeColor="text1" w:themeTint="F2"/>
        </w:rPr>
        <w:t xml:space="preserve">Alla dessa människor behöver särskild behandling, och medlemsstaterna har ställts inför en allvarlig utmaning med ett stort antal anländande: omkring 100 000 personer per dag enbart vid den polska gränsen. Medlemsstaterna har reagerat med mer personal och förenklade förfaranden. </w:t>
      </w:r>
      <w:r>
        <w:rPr>
          <w:noProof/>
        </w:rPr>
        <w:t>Det är viktigt med inresor i EU under ordnade former enligt gemensamma normer, som håller gränsen öppen för människor som har flytt från områden där väpnade konflikter bedrivs och som kan behöva tillträde till EU av humanitära skäl eller för internationellt skydd.</w:t>
      </w:r>
      <w:r>
        <w:rPr>
          <w:noProof/>
          <w:color w:val="0D0D0D" w:themeColor="text1" w:themeTint="F2"/>
        </w:rPr>
        <w:t xml:space="preserve"> </w:t>
      </w:r>
      <w:r>
        <w:rPr>
          <w:noProof/>
        </w:rPr>
        <w:t xml:space="preserve">Kommissionen har redan utfärdat </w:t>
      </w:r>
      <w:hyperlink r:id="rId16" w:history="1">
        <w:r>
          <w:rPr>
            <w:rStyle w:val="Hyperlink"/>
            <w:noProof/>
            <w:color w:val="0D0D0D" w:themeColor="text1" w:themeTint="F2"/>
            <w:u w:val="none"/>
          </w:rPr>
          <w:t>riktlinjer</w:t>
        </w:r>
      </w:hyperlink>
      <w:r>
        <w:rPr>
          <w:rStyle w:val="FootnoteReference"/>
          <w:noProof/>
          <w:color w:val="0D0D0D" w:themeColor="text1" w:themeTint="F2"/>
          <w:lang w:val="en-IE"/>
        </w:rPr>
        <w:footnoteReference w:id="10"/>
      </w:r>
      <w:r>
        <w:rPr>
          <w:noProof/>
        </w:rPr>
        <w:t xml:space="preserve"> för att hjälpa medlemsstaternas gränsbevakningstjänstemän att hantera anländande effektivt och samtidigt upprätthålla en hög säkerhetsnivå.</w:t>
      </w:r>
      <w:r>
        <w:rPr>
          <w:noProof/>
          <w:color w:val="0D0D0D" w:themeColor="text1" w:themeTint="F2"/>
        </w:rPr>
        <w:t xml:space="preserve"> I riktlinjerna fastställs hur verktyg som nödkörfält kan bidra till att påskynda stödet till utsatta personer och hur vissa förfaranden kan rationaliseras, bl.a. genom förenklade tullförfaranden. </w:t>
      </w:r>
    </w:p>
    <w:p w:rsidR="00C62714" w:rsidRPr="00B517FF" w:rsidRDefault="00C62714" w:rsidP="00150DE0">
      <w:pPr>
        <w:spacing w:after="120" w:line="240" w:lineRule="auto"/>
        <w:jc w:val="both"/>
        <w:rPr>
          <w:rFonts w:ascii="Times New Roman" w:hAnsi="Times New Roman" w:cs="Times New Roman"/>
          <w:b/>
          <w:i/>
          <w:noProof/>
          <w:color w:val="0D0D0D" w:themeColor="text1" w:themeTint="F2"/>
          <w:sz w:val="24"/>
          <w:szCs w:val="24"/>
        </w:rPr>
      </w:pPr>
      <w:r>
        <w:rPr>
          <w:rFonts w:ascii="Times New Roman" w:hAnsi="Times New Roman"/>
          <w:b/>
          <w:i/>
          <w:noProof/>
          <w:color w:val="0D0D0D" w:themeColor="text1" w:themeTint="F2"/>
          <w:sz w:val="24"/>
          <w:szCs w:val="24"/>
        </w:rPr>
        <w:t>... genom ekonomiskt stöd och EU:s organ</w:t>
      </w:r>
      <w:r w:rsidR="009B4005">
        <w:rPr>
          <w:rFonts w:ascii="Times New Roman" w:hAnsi="Times New Roman"/>
          <w:b/>
          <w:i/>
          <w:noProof/>
          <w:color w:val="0D0D0D" w:themeColor="text1" w:themeTint="F2"/>
          <w:sz w:val="24"/>
          <w:szCs w:val="24"/>
        </w:rPr>
        <w:t xml:space="preserve"> …</w:t>
      </w:r>
    </w:p>
    <w:p w:rsidR="00C62714" w:rsidRPr="00CD0C79" w:rsidRDefault="00C62714" w:rsidP="00150DE0">
      <w:pPr>
        <w:spacing w:line="240" w:lineRule="auto"/>
        <w:jc w:val="both"/>
        <w:rPr>
          <w:bCs/>
          <w:noProof/>
          <w:szCs w:val="24"/>
        </w:rPr>
      </w:pPr>
      <w:r>
        <w:rPr>
          <w:rFonts w:ascii="Times New Roman" w:hAnsi="Times New Roman"/>
          <w:noProof/>
          <w:sz w:val="24"/>
          <w:szCs w:val="24"/>
        </w:rPr>
        <w:t xml:space="preserve">EU ökar också det ekonomiska stödet till medlemsstaterna enligt instrumentet för gränsförvaltning och visering för att hjälpa gränsförvaltningen, t.ex. genom identifiering av nyanlända, första mottagning och sjukvård. </w:t>
      </w:r>
      <w:r>
        <w:rPr>
          <w:noProof/>
        </w:rPr>
        <w:t xml:space="preserve"> </w:t>
      </w:r>
    </w:p>
    <w:p w:rsidR="00C62714" w:rsidRPr="002E76E7" w:rsidRDefault="00C62714" w:rsidP="00150DE0">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EU:s organ tillhandahåller också extra personal och sakkunskap för att stödja medlemsstaterna. Den första gruppen på </w:t>
      </w:r>
      <w:r w:rsidRPr="009B4005">
        <w:rPr>
          <w:rFonts w:ascii="Times New Roman" w:hAnsi="Times New Roman"/>
          <w:noProof/>
          <w:sz w:val="24"/>
          <w:szCs w:val="24"/>
        </w:rPr>
        <w:t>49</w:t>
      </w:r>
      <w:r>
        <w:rPr>
          <w:rFonts w:ascii="Times New Roman" w:hAnsi="Times New Roman"/>
          <w:noProof/>
          <w:sz w:val="24"/>
          <w:szCs w:val="24"/>
        </w:rPr>
        <w:t xml:space="preserve"> Frontexanställda som har skickas till gränserna mellan EU och Ukraina och gränsen till Moldavien kompletteras nu med 162 anställda som skickas till Rumänien. Frontex är redo att öka stödet till över 2 600 tjänstemän vid gränserna mellan EU och Ukraina. Europeiska unionens asylbyrå är redo att stödja kontroller, registrering, tillhandahållande av information och asylhandläggning med upp till 130 experter. Europol tillhandahåller nödvändigt stöd bl.a. för kontroller av eventuella utländska stridande eller andra kända säkerhetshot. Europol är ute på fältet i Slovakien och Polen och ska snart vara på plats i Rumänien och Ungern. Andra EU-organ som EU-Lisa</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och byrån för grundläggande rättigheter</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har också snabbt omdirigerat sitt arbete för att stödja medlemsstaterna. </w:t>
      </w:r>
    </w:p>
    <w:p w:rsidR="00C62714" w:rsidRPr="002E76E7" w:rsidRDefault="00C62714" w:rsidP="00D62B49">
      <w:pPr>
        <w:pStyle w:val="Default"/>
        <w:keepNext/>
        <w:spacing w:after="160"/>
        <w:jc w:val="both"/>
        <w:rPr>
          <w:rFonts w:ascii="Times New Roman" w:hAnsi="Times New Roman" w:cs="Times New Roman"/>
          <w:b/>
          <w:noProof/>
          <w:color w:val="0D0D0D" w:themeColor="text1" w:themeTint="F2"/>
          <w:u w:val="single"/>
        </w:rPr>
      </w:pPr>
      <w:r>
        <w:rPr>
          <w:rFonts w:ascii="Times New Roman" w:hAnsi="Times New Roman"/>
          <w:b/>
          <w:noProof/>
          <w:color w:val="0D0D0D" w:themeColor="text1" w:themeTint="F2"/>
        </w:rPr>
        <w:t xml:space="preserve">... </w:t>
      </w:r>
      <w:r>
        <w:rPr>
          <w:rFonts w:ascii="Times New Roman" w:hAnsi="Times New Roman"/>
          <w:b/>
          <w:i/>
          <w:noProof/>
          <w:color w:val="0D0D0D" w:themeColor="text1" w:themeTint="F2"/>
        </w:rPr>
        <w:t>och stöd till grannländer</w:t>
      </w:r>
      <w:r>
        <w:rPr>
          <w:rFonts w:ascii="Times New Roman" w:hAnsi="Times New Roman"/>
          <w:b/>
          <w:noProof/>
          <w:color w:val="0D0D0D" w:themeColor="text1" w:themeTint="F2"/>
          <w:u w:val="single"/>
        </w:rPr>
        <w:t xml:space="preserve"> </w:t>
      </w:r>
    </w:p>
    <w:p w:rsidR="00C62714" w:rsidRDefault="00C62714" w:rsidP="00150DE0">
      <w:pPr>
        <w:pStyle w:val="Default"/>
        <w:spacing w:after="160"/>
        <w:jc w:val="both"/>
        <w:rPr>
          <w:rFonts w:ascii="Times New Roman" w:hAnsi="Times New Roman" w:cs="Times New Roman"/>
          <w:b/>
          <w:noProof/>
        </w:rPr>
      </w:pPr>
      <w:r>
        <w:rPr>
          <w:rFonts w:ascii="Times New Roman" w:hAnsi="Times New Roman"/>
          <w:noProof/>
        </w:rPr>
        <w:t>Moldavien har sedan den 24 februari behövt hantera över 368 000 ankomster. Stödpaketet i närtid och stödet genom civilskyddsmekanismen till Moldavien ska kompletteras med ytterligare åtgärder för att hantera den föränderliga situationen, däribland 15 miljoner euro för att hjälpa till att hantera flyktingkrisen.</w:t>
      </w:r>
    </w:p>
    <w:p w:rsidR="00C62714" w:rsidRDefault="00C62714" w:rsidP="005E3324">
      <w:pPr>
        <w:pStyle w:val="Default"/>
        <w:spacing w:after="240"/>
        <w:jc w:val="both"/>
        <w:rPr>
          <w:rFonts w:ascii="Times New Roman" w:hAnsi="Times New Roman" w:cs="Times New Roman"/>
          <w:noProof/>
        </w:rPr>
      </w:pPr>
      <w:r>
        <w:rPr>
          <w:rFonts w:ascii="Times New Roman" w:hAnsi="Times New Roman"/>
          <w:noProof/>
        </w:rPr>
        <w:t>Kommissionen kommer att stödja säker passage och återsändande av tredjelandsmedborgare till deras ursprungsländer från grannländerna genom en ny åtgärd som erbjuder praktiskt stöd och kapacitetsuppbyggnad. Kommissionen kommer att snabbt bedöma om de pågående projekten i Moldavien behöver utökas och kommer att ge stöd, bland annat genom EU-organen när det är lämpligt.</w:t>
      </w:r>
    </w:p>
    <w:p w:rsidR="00C62714" w:rsidRDefault="00C62714" w:rsidP="005E3324">
      <w:pPr>
        <w:pStyle w:val="Default"/>
        <w:keepNext/>
        <w:spacing w:after="240"/>
        <w:jc w:val="both"/>
        <w:rPr>
          <w:rFonts w:ascii="Times New Roman" w:hAnsi="Times New Roman" w:cs="Times New Roman"/>
          <w:b/>
          <w:noProof/>
        </w:rPr>
      </w:pPr>
      <w:r>
        <w:rPr>
          <w:rFonts w:ascii="Times New Roman" w:hAnsi="Times New Roman"/>
          <w:b/>
          <w:noProof/>
        </w:rPr>
        <w:t>4.</w:t>
      </w:r>
      <w:r>
        <w:rPr>
          <w:noProof/>
        </w:rPr>
        <w:tab/>
      </w:r>
      <w:r>
        <w:rPr>
          <w:rFonts w:ascii="Times New Roman" w:hAnsi="Times New Roman"/>
          <w:b/>
          <w:noProof/>
        </w:rPr>
        <w:t>EU VÄLKOMNAR FLYKTINGAR OCH FÖRDRIVNA</w:t>
      </w:r>
    </w:p>
    <w:p w:rsidR="00C62714" w:rsidRPr="00E7439A" w:rsidRDefault="00C62714" w:rsidP="00150DE0">
      <w:pPr>
        <w:pStyle w:val="Default"/>
        <w:spacing w:after="160"/>
        <w:jc w:val="both"/>
        <w:rPr>
          <w:rFonts w:ascii="Times New Roman" w:hAnsi="Times New Roman" w:cs="Times New Roman"/>
          <w:noProof/>
          <w:color w:val="auto"/>
        </w:rPr>
      </w:pPr>
      <w:r>
        <w:rPr>
          <w:rFonts w:ascii="Times New Roman" w:hAnsi="Times New Roman"/>
          <w:noProof/>
          <w:color w:val="auto"/>
        </w:rPr>
        <w:t>Den pågående flyktingkrisen kräver att EU tar all sin kapacitet i anspråk för att agera snabbt och beslutsamt och bidra till att möta utmaningen. Utmaningen kommer att bli kännbar i hela EU, och alla medlemsstater kommer att behöva utnyttja sin kapacitet för att stödja de nyanlända. Detta måste inbegripa ekonomiskt stöd men även samverkan mellan grupper på alla nivåer som kan hjälpa det civila samhället liksom ukrainare i förskingringen. Vi måste också samarbeta med partner i hela världen i en gemensam insats. EU håller på att i samarbete med partnerna snabbt införa regler och strategier för att erbjuda en stabil och välkomnande miljö för dem som flyr undan kriget och hjälpa de nationella förvaltningarna att fortsätta det viktiga arbetet under massiva påfrestningar. Särskild uppmärksamhet bör ägnas de mest utsattas behov, de som riskerar att marginaliseras och även de som löper störst risker. Kvinnor, ensamkommande barn och andra barn utgör en stor andel av de nyanlända. Att säkerställa lämplig information och logi, förhindra könsbaserat utnyttjande, stödja barnomsorg och säkerställa snabb tillgång till utbildning är en av prioriteringarna i närtid.</w:t>
      </w:r>
    </w:p>
    <w:p w:rsidR="009B4005" w:rsidRPr="009B4005" w:rsidRDefault="009B4005" w:rsidP="00150DE0">
      <w:pPr>
        <w:pStyle w:val="Default"/>
        <w:spacing w:after="120"/>
        <w:jc w:val="both"/>
        <w:rPr>
          <w:rFonts w:ascii="Times New Roman" w:hAnsi="Times New Roman"/>
          <w:b/>
          <w:i/>
          <w:noProof/>
        </w:rPr>
      </w:pPr>
      <w:r>
        <w:rPr>
          <w:rFonts w:ascii="Times New Roman" w:hAnsi="Times New Roman"/>
          <w:b/>
          <w:i/>
          <w:noProof/>
        </w:rPr>
        <w:t>En tydlig rättslig status</w:t>
      </w:r>
    </w:p>
    <w:p w:rsidR="00C62714" w:rsidRDefault="00C62714" w:rsidP="00C47E9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Som reaktion på de stora mängder människor som flyr från Rysslands militära aggression gör EU ett unikt erbjudande om tillfälligt skydd för att skapa klarhet och trygghet för behövande människor</w:t>
      </w:r>
      <w:r>
        <w:rPr>
          <w:rStyle w:val="FootnoteReference"/>
          <w:rFonts w:ascii="Times New Roman" w:hAnsi="Times New Roman" w:cs="Times New Roman"/>
          <w:noProof/>
          <w:sz w:val="24"/>
          <w:szCs w:val="24"/>
          <w:lang w:val="en-IE"/>
        </w:rPr>
        <w:footnoteReference w:id="13"/>
      </w:r>
      <w:r>
        <w:rPr>
          <w:rFonts w:ascii="Times New Roman" w:hAnsi="Times New Roman"/>
          <w:noProof/>
          <w:sz w:val="24"/>
          <w:szCs w:val="24"/>
        </w:rPr>
        <w:t>. Det säkerställer att ukrainare och deras familjer har en trygg status som gäller i hela EU, även efter att viseringsfriheten löper ut efter 90 dagar. Det gäller även för många andra tredjelandsmedborgare som flyr från kriget, bl.a. dem som beviljats internationellt skydd i Ukraina och dem som inte kan återvända till sitt ursprungsland på ett säkert sätt. Alla som flyr från kriget är välkomna i Europa: de som inte omfattas av tillfälligt skydd får skydd och logi och sedan hjälp att hitta en säker väg hem</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För de mest utsatta fallen håller man på att utveckla sätt att hjälpa tredjelandsmedborgare som återvänder hem. Vissa tredjeländer har redan samarbetat med medlemsstaterna för att stödja återsändande av sina medborgare</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xml:space="preserve">, och särskild uppmärksamhet bör ägnas åt de mest utsatta. </w:t>
      </w:r>
    </w:p>
    <w:p w:rsidR="00C62714" w:rsidRDefault="00C62714" w:rsidP="00C47E9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Av central betydelse för strategin är också solidaritet mellan medlemsstaterna: en solidaritetsplattform ska utbyta information om mottagningskapacitet, antalet personer som har tillfälligt skydd på deras territorium och andra behov av ytterligare stöd. Kommissionen kommer tillsammans med EU:s asylbyrå att samordna de operativa insatser som behövs, inbegripet förflyttning av personer mellan länderna i EU och till länder utanför EU. Tillfälligt skydd kommer till att börja med räcka ett år och kan förnyas automatiskt två gånger med sex månader varje gång. </w:t>
      </w:r>
    </w:p>
    <w:p w:rsidR="00C62714" w:rsidRDefault="00C62714" w:rsidP="00150DE0">
      <w:pPr>
        <w:spacing w:line="240" w:lineRule="auto"/>
        <w:jc w:val="both"/>
        <w:rPr>
          <w:rFonts w:ascii="Times New Roman" w:hAnsi="Times New Roman" w:cs="Times New Roman"/>
          <w:noProof/>
          <w:sz w:val="24"/>
          <w:szCs w:val="24"/>
        </w:rPr>
      </w:pPr>
      <w:r>
        <w:rPr>
          <w:rFonts w:ascii="Times New Roman" w:hAnsi="Times New Roman"/>
          <w:noProof/>
          <w:sz w:val="24"/>
          <w:szCs w:val="24"/>
        </w:rPr>
        <w:t>Denna status omfattar skydd, inbegripet uppehållstillstånd, socialt stöd, hälso- och sjukvård, tillgång till utbildning samt tillträde till arbetsmarknaden</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Det är ett tecken på välkomnande från EU och européerna, som låter flyktingar spela en viktig roll i våra samhällen. Det bidrar också till att hindra att medlemsstaternas asylsystem blir överbelastade och hjälper medlemsstaterna att hantera mottagandet av de nyanlända på ett enhetligt, organiserat och förutsägbart sätt. Nu är högsta prioritet ett snabbt, lämpligt och samordnat genomförande av tillfälligt skydd. Kommissionen kommer snabbt att lägga fram riktlinjer för att hjälpa medlemsstaterna, och tillsammans med EU:s organ hjälpa till att hantera dessa nya utmaningar. </w:t>
      </w:r>
    </w:p>
    <w:p w:rsidR="00C62714" w:rsidRPr="00E7439A" w:rsidRDefault="00C62714" w:rsidP="00150DE0">
      <w:pPr>
        <w:spacing w:after="120" w:line="240" w:lineRule="auto"/>
        <w:jc w:val="both"/>
        <w:rPr>
          <w:rFonts w:ascii="Times New Roman" w:hAnsi="Times New Roman" w:cs="Times New Roman"/>
          <w:b/>
          <w:i/>
          <w:noProof/>
          <w:sz w:val="24"/>
          <w:szCs w:val="24"/>
        </w:rPr>
      </w:pPr>
      <w:r>
        <w:rPr>
          <w:rFonts w:ascii="Times New Roman" w:hAnsi="Times New Roman"/>
          <w:b/>
          <w:i/>
          <w:noProof/>
          <w:sz w:val="24"/>
          <w:szCs w:val="24"/>
        </w:rPr>
        <w:t>Stöd på längre sikt till medlemsstaterna ...</w:t>
      </w:r>
    </w:p>
    <w:p w:rsidR="00C62714" w:rsidRDefault="00C62714" w:rsidP="00150DE0">
      <w:pPr>
        <w:pStyle w:val="Considrant"/>
        <w:numPr>
          <w:ilvl w:val="0"/>
          <w:numId w:val="0"/>
        </w:numPr>
        <w:rPr>
          <w:noProof/>
          <w:szCs w:val="24"/>
        </w:rPr>
      </w:pPr>
      <w:r>
        <w:rPr>
          <w:noProof/>
        </w:rPr>
        <w:t xml:space="preserve">Offentliga tjänster, bl.a. hälso- och sjukvård, utbildning, bostäder och socialt skydd, måste kunna tillgodose de nya behoven hos människor som flyr från Ukraina, med en ökande andel flyktingar som antagligen inte har släkt i EU som de kan förlita sig på. Många offentliga tjänster är redan hårt ansträngda till följd av pandemin. EU måste sätta in alla till buds stående medel, men även allmänhetens medkänsla och välkomnande, för att se till att löftet om att välkomna flyktingar infrias. </w:t>
      </w:r>
    </w:p>
    <w:p w:rsidR="00C62714" w:rsidRPr="00E7439A" w:rsidRDefault="009B4005" w:rsidP="00150DE0">
      <w:pPr>
        <w:pStyle w:val="Considrant"/>
        <w:numPr>
          <w:ilvl w:val="0"/>
          <w:numId w:val="0"/>
        </w:numPr>
        <w:rPr>
          <w:b/>
          <w:i/>
          <w:noProof/>
          <w:szCs w:val="24"/>
        </w:rPr>
      </w:pPr>
      <w:r>
        <w:rPr>
          <w:b/>
          <w:i/>
          <w:noProof/>
          <w:szCs w:val="24"/>
        </w:rPr>
        <w:t>…</w:t>
      </w:r>
      <w:r w:rsidR="00C62714">
        <w:rPr>
          <w:b/>
          <w:i/>
          <w:noProof/>
          <w:szCs w:val="24"/>
        </w:rPr>
        <w:t xml:space="preserve"> genom EU-finansiering</w:t>
      </w:r>
      <w:r>
        <w:rPr>
          <w:b/>
          <w:i/>
          <w:noProof/>
          <w:szCs w:val="24"/>
        </w:rPr>
        <w:t xml:space="preserve"> …</w:t>
      </w:r>
    </w:p>
    <w:p w:rsidR="00C62714" w:rsidRDefault="00C62714" w:rsidP="00150DE0">
      <w:pPr>
        <w:spacing w:after="0" w:line="240" w:lineRule="auto"/>
        <w:jc w:val="both"/>
        <w:rPr>
          <w:rFonts w:ascii="Times New Roman" w:hAnsi="Times New Roman" w:cs="Times New Roman"/>
          <w:noProof/>
          <w:sz w:val="24"/>
          <w:szCs w:val="24"/>
        </w:rPr>
      </w:pPr>
      <w:r>
        <w:rPr>
          <w:rFonts w:ascii="Times New Roman" w:hAnsi="Times New Roman"/>
          <w:noProof/>
          <w:sz w:val="24"/>
          <w:szCs w:val="24"/>
        </w:rPr>
        <w:t>Sammanhållningspolitiken bidrar redan nu till medlemsstaternas arbete med migrationsutmaningarna med medel från Europeiska regionala utvecklingsfonden (Eruf) och Europeiska socialfonden (ESF), som bägge kan finansiera mottagningskapacitet och stödtjänster. Utmaningens omfattning kräver dock nya åtgärder för effektiv tillgång till stöd. Därför föreslår kommissionen att ianspråktagandet av Eruf, ESF och fonden för europeiskt bistånd till dem som har det sämst ställt (Fead) görs mer flexibelt inom initiativet Sammanhållningsinsatser för flyktingar i Europa (Care). Detta gör det möjligt att låta en del av de återstående medlen i sammanhållningsprogrammen 2014–2020 ledas om för att hantera utm</w:t>
      </w:r>
      <w:r w:rsidR="009B4005">
        <w:rPr>
          <w:rFonts w:ascii="Times New Roman" w:hAnsi="Times New Roman"/>
          <w:noProof/>
          <w:sz w:val="24"/>
          <w:szCs w:val="24"/>
        </w:rPr>
        <w:t xml:space="preserve">aningarna sedan krigsutbrottet </w:t>
      </w:r>
      <w:r>
        <w:rPr>
          <w:rFonts w:ascii="Times New Roman" w:hAnsi="Times New Roman"/>
          <w:noProof/>
          <w:sz w:val="24"/>
          <w:szCs w:val="24"/>
        </w:rPr>
        <w:t xml:space="preserve">i Ukraina. För att ytterligare stödja medlemsstaterna kommer den exceptionella medfinansieringssats på 100 % som tillämpats på grund av pandemin att förlängas med ett år. Dessutom kan cirka 10 miljarder euro från 2022 års återhämtningsstöd till sammanhållning och till Europas regioner (React-EU) också användas för att tillgodose dessa nya behov inom det övergripande målet för återhämtning efter pandemin. </w:t>
      </w:r>
    </w:p>
    <w:p w:rsidR="00C62714" w:rsidRDefault="00C62714" w:rsidP="00150DE0">
      <w:pPr>
        <w:pStyle w:val="Considrant"/>
        <w:numPr>
          <w:ilvl w:val="0"/>
          <w:numId w:val="0"/>
        </w:numPr>
        <w:rPr>
          <w:noProof/>
          <w:szCs w:val="24"/>
        </w:rPr>
      </w:pPr>
      <w:r>
        <w:rPr>
          <w:noProof/>
        </w:rPr>
        <w:t>Den nya omgången fonder för inrikes frågor 2021–2027 öppnar möjligheter för avsevärda extra resurser till medlemsstaterna för effektiva mottagningsanläggningar, bl.a. i form av specialiserat stöd till utsatta personer och för asylhandläggning. Detta är avgörande för att möta de nya utmaningarna i takt med att de utvecklas, bl.a. i form av tillfälligt skydd. Detta kan också användas för att stödja civilsamhällets stöd till flyktingar. Medlemsstaterna håller på att slutföra sina nationella program för 2021–2027 för att få igång stödet med en rivstart</w:t>
      </w:r>
      <w:r>
        <w:rPr>
          <w:rStyle w:val="FootnoteReference"/>
          <w:noProof/>
        </w:rPr>
        <w:footnoteReference w:id="17"/>
      </w:r>
      <w:r>
        <w:rPr>
          <w:noProof/>
        </w:rPr>
        <w:t xml:space="preserve">. Ett snabbt utnyttjande av befintliga och nya nationella program skulle frigöra betydande resurser, och kommissionen kommer också att hjälpa medlemsstaterna att lägga om sina planer och vid behov sätta in nödbistånd. Kommissionen har också för avsikt att underlätta stärkandet av solidariteten mellan medlemsstaterna genom att ge möjlighet till frivilliga bidrag från medlemsstaterna till Asyl-, migrations- och integrationsfondens budget 2021–2027. </w:t>
      </w:r>
    </w:p>
    <w:p w:rsidR="00C62714" w:rsidRPr="007B6081" w:rsidRDefault="00C62714" w:rsidP="00150DE0">
      <w:pPr>
        <w:spacing w:line="240" w:lineRule="auto"/>
        <w:jc w:val="both"/>
        <w:rPr>
          <w:rFonts w:ascii="Times New Roman" w:hAnsi="Times New Roman" w:cs="Times New Roman"/>
          <w:b/>
          <w:i/>
          <w:noProof/>
          <w:sz w:val="24"/>
          <w:szCs w:val="24"/>
        </w:rPr>
      </w:pPr>
      <w:r>
        <w:rPr>
          <w:b/>
          <w:i/>
          <w:noProof/>
          <w:szCs w:val="24"/>
        </w:rPr>
        <w:t xml:space="preserve">... </w:t>
      </w:r>
      <w:r>
        <w:rPr>
          <w:rFonts w:ascii="Times New Roman" w:hAnsi="Times New Roman"/>
          <w:b/>
          <w:i/>
          <w:noProof/>
          <w:sz w:val="24"/>
          <w:szCs w:val="24"/>
        </w:rPr>
        <w:t>och genom ett helhetsgrepp på insatserna</w:t>
      </w:r>
    </w:p>
    <w:p w:rsidR="004A20A3" w:rsidRPr="00352E9C" w:rsidRDefault="00C62714" w:rsidP="00C47E98">
      <w:pPr>
        <w:pStyle w:val="Considrant"/>
        <w:numPr>
          <w:ilvl w:val="0"/>
          <w:numId w:val="0"/>
        </w:numPr>
        <w:spacing w:before="0" w:after="240"/>
        <w:rPr>
          <w:noProof/>
        </w:rPr>
      </w:pPr>
      <w:r>
        <w:rPr>
          <w:noProof/>
        </w:rPr>
        <w:t>Tusentals enskilda, företag och organisationer i den privata sektorn visar solidaritet och handlingskraft till stöd för dem som flyr kriget. Kommissionen kommer att stödja medlemsstaterna och de berörda parterna på nationell och lokal nivå för att leda stödet och rikta åtgärderna mot nya behov.</w:t>
      </w:r>
    </w:p>
    <w:p w:rsidR="004A20A3" w:rsidRPr="004A20A3" w:rsidRDefault="00C62714" w:rsidP="00C47E98">
      <w:pPr>
        <w:spacing w:after="240" w:line="240" w:lineRule="auto"/>
        <w:rPr>
          <w:rFonts w:ascii="Times New Roman" w:hAnsi="Times New Roman" w:cs="Times New Roman"/>
          <w:b/>
          <w:noProof/>
          <w:sz w:val="24"/>
          <w:szCs w:val="24"/>
        </w:rPr>
      </w:pPr>
      <w:r>
        <w:rPr>
          <w:rFonts w:ascii="Times New Roman" w:hAnsi="Times New Roman"/>
          <w:b/>
          <w:noProof/>
          <w:sz w:val="24"/>
          <w:szCs w:val="24"/>
        </w:rPr>
        <w:t>5.</w:t>
      </w:r>
      <w:r>
        <w:rPr>
          <w:noProof/>
        </w:rPr>
        <w:tab/>
      </w:r>
      <w:r>
        <w:rPr>
          <w:rFonts w:ascii="Times New Roman" w:hAnsi="Times New Roman"/>
          <w:b/>
          <w:noProof/>
          <w:sz w:val="24"/>
          <w:szCs w:val="24"/>
        </w:rPr>
        <w:t xml:space="preserve">ATT ANTA UTMANINGEN </w:t>
      </w:r>
    </w:p>
    <w:p w:rsidR="00C62714" w:rsidRDefault="00C62714" w:rsidP="00150DE0">
      <w:pPr>
        <w:spacing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Även om hela omfattningen på den utmaning vi står inför fortfarande inte är klar, räknar FN:s flyktingkommissariat med att kanske 8 miljoner människor kommer att fly från Ukraina. EU och dess partner i hela världen sätts på prov, och vi måste visa dem som tror oss splittrade eller svaga att vi står enade. Våra principer och värden måste vara vår grund när vi står inför utmaningen att hjälpa de behövande.   </w:t>
      </w:r>
    </w:p>
    <w:p w:rsidR="00C62714" w:rsidRPr="00E4377B" w:rsidRDefault="00C62714" w:rsidP="00150DE0">
      <w:pPr>
        <w:spacing w:line="240" w:lineRule="auto"/>
        <w:jc w:val="both"/>
        <w:rPr>
          <w:rFonts w:ascii="Times New Roman" w:hAnsi="Times New Roman" w:cs="Times New Roman"/>
          <w:b/>
          <w:bCs/>
          <w:noProof/>
          <w:sz w:val="24"/>
          <w:szCs w:val="24"/>
        </w:rPr>
      </w:pPr>
      <w:r>
        <w:rPr>
          <w:rFonts w:ascii="Times New Roman" w:hAnsi="Times New Roman"/>
          <w:bCs/>
          <w:noProof/>
          <w:sz w:val="24"/>
          <w:szCs w:val="24"/>
        </w:rPr>
        <w:t xml:space="preserve">Vi måste visa oss vuxna uppgiften att ta emot många kanske miljontals fler människor som flyr undan krig i vårt grannskap. Samtidigt kommer vi att fortsätta att kraftfullt förespråka respekt för internationell humanitär rätt och effektivt tillträde för humanitära aktörer i Ukraina. Vår beslutsamhet att tillgodose behoven och skydda de hjälpsökandes rättigheter, friheter och välbefinnande kräver omfattande förberedelser och ett långsiktigt resultatfokus i alla medlemsstater. Vår enade strategi, som bygger på alla verktyg och allt ömsesidigt stöd som finns i EU, är avgörande. Vi kan utnyttja våra många starka sidor: vår humanitet, vår resiliens och vår uppfinningsrikedom för att se till att vi tar itu med denna utmaning med alla till buds stående medel. </w:t>
      </w:r>
    </w:p>
    <w:p w:rsidR="00C62714" w:rsidRPr="007A4943" w:rsidRDefault="00C62714" w:rsidP="00150DE0">
      <w:pPr>
        <w:spacing w:line="240" w:lineRule="auto"/>
        <w:rPr>
          <w:noProof/>
          <w:lang w:val="en-IE"/>
        </w:rPr>
      </w:pPr>
    </w:p>
    <w:p w:rsidR="003F347E" w:rsidRPr="00DB2054" w:rsidRDefault="003F347E" w:rsidP="00150DE0">
      <w:pPr>
        <w:spacing w:after="100" w:afterAutospacing="1" w:line="240" w:lineRule="auto"/>
        <w:jc w:val="center"/>
        <w:rPr>
          <w:noProof/>
          <w:lang w:val="en-IE"/>
        </w:rPr>
      </w:pPr>
    </w:p>
    <w:sectPr w:rsidR="003F347E" w:rsidRPr="00DB2054" w:rsidSect="003F347E">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BC0" w:rsidRDefault="002F0BC0" w:rsidP="00486062">
      <w:pPr>
        <w:spacing w:after="0" w:line="240" w:lineRule="auto"/>
      </w:pPr>
      <w:r>
        <w:separator/>
      </w:r>
    </w:p>
  </w:endnote>
  <w:endnote w:type="continuationSeparator" w:id="0">
    <w:p w:rsidR="002F0BC0" w:rsidRDefault="002F0BC0" w:rsidP="00486062">
      <w:pPr>
        <w:spacing w:after="0" w:line="240" w:lineRule="auto"/>
      </w:pPr>
      <w:r>
        <w:continuationSeparator/>
      </w:r>
    </w:p>
  </w:endnote>
  <w:endnote w:type="continuationNotice" w:id="1">
    <w:p w:rsidR="002F0BC0" w:rsidRDefault="002F0B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82F" w:rsidRPr="0008082F" w:rsidRDefault="0008082F" w:rsidP="000808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005" w:rsidRPr="0008082F" w:rsidRDefault="0008082F" w:rsidP="0008082F">
    <w:pPr>
      <w:pStyle w:val="FooterCoverPage"/>
      <w:rPr>
        <w:rFonts w:ascii="Arial" w:hAnsi="Arial" w:cs="Arial"/>
        <w:b/>
        <w:sz w:val="48"/>
      </w:rPr>
    </w:pPr>
    <w:r w:rsidRPr="0008082F">
      <w:rPr>
        <w:rFonts w:ascii="Arial" w:hAnsi="Arial" w:cs="Arial"/>
        <w:b/>
        <w:sz w:val="48"/>
      </w:rPr>
      <w:t>SV</w:t>
    </w:r>
    <w:r w:rsidRPr="0008082F">
      <w:rPr>
        <w:rFonts w:ascii="Arial" w:hAnsi="Arial" w:cs="Arial"/>
        <w:b/>
        <w:sz w:val="48"/>
      </w:rPr>
      <w:tab/>
    </w:r>
    <w:r w:rsidRPr="0008082F">
      <w:rPr>
        <w:rFonts w:ascii="Arial" w:hAnsi="Arial" w:cs="Arial"/>
        <w:b/>
        <w:sz w:val="48"/>
      </w:rPr>
      <w:tab/>
    </w:r>
    <w:r w:rsidRPr="0008082F">
      <w:tab/>
    </w:r>
    <w:r w:rsidRPr="0008082F">
      <w:rPr>
        <w:rFonts w:ascii="Arial" w:hAnsi="Arial" w:cs="Arial"/>
        <w:b/>
        <w:sz w:val="48"/>
      </w:rPr>
      <w:t>SV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82F" w:rsidRPr="0008082F" w:rsidRDefault="0008082F" w:rsidP="0008082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9AF" w:rsidRDefault="00DB69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619181"/>
      <w:docPartObj>
        <w:docPartGallery w:val="Page Numbers (Bottom of Page)"/>
        <w:docPartUnique/>
      </w:docPartObj>
    </w:sdtPr>
    <w:sdtEndPr>
      <w:rPr>
        <w:rFonts w:ascii="Times New Roman" w:hAnsi="Times New Roman" w:cs="Times New Roman"/>
        <w:noProof/>
      </w:rPr>
    </w:sdtEndPr>
    <w:sdtContent>
      <w:p w:rsidR="00DB69AF" w:rsidRPr="001D1E73" w:rsidRDefault="00C33B2F">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08082F">
          <w:rPr>
            <w:rFonts w:ascii="Times New Roman" w:hAnsi="Times New Roman" w:cs="Times New Roman"/>
            <w:noProof/>
          </w:rPr>
          <w:t>1</w:t>
        </w:r>
        <w:r>
          <w:rPr>
            <w:rFonts w:ascii="Times New Roman" w:hAnsi="Times New Roman" w:cs="Times New Roma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9AF" w:rsidRDefault="00DB6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BC0" w:rsidRDefault="002F0BC0" w:rsidP="00486062">
      <w:pPr>
        <w:spacing w:after="0" w:line="240" w:lineRule="auto"/>
      </w:pPr>
      <w:r>
        <w:separator/>
      </w:r>
    </w:p>
  </w:footnote>
  <w:footnote w:type="continuationSeparator" w:id="0">
    <w:p w:rsidR="002F0BC0" w:rsidRDefault="002F0BC0" w:rsidP="00486062">
      <w:pPr>
        <w:spacing w:after="0" w:line="240" w:lineRule="auto"/>
      </w:pPr>
      <w:r>
        <w:continuationSeparator/>
      </w:r>
    </w:p>
  </w:footnote>
  <w:footnote w:type="continuationNotice" w:id="1">
    <w:p w:rsidR="002F0BC0" w:rsidRDefault="002F0BC0">
      <w:pPr>
        <w:spacing w:after="0" w:line="240" w:lineRule="auto"/>
      </w:pPr>
    </w:p>
  </w:footnote>
  <w:footnote w:id="2">
    <w:p w:rsidR="00811545" w:rsidRPr="00592704" w:rsidRDefault="00811545" w:rsidP="00150DE0">
      <w:pPr>
        <w:pStyle w:val="FootnoteText"/>
        <w:tabs>
          <w:tab w:val="left" w:pos="426"/>
        </w:tabs>
        <w:spacing w:after="0"/>
        <w:ind w:left="284" w:hanging="284"/>
      </w:pPr>
      <w:r>
        <w:rPr>
          <w:rStyle w:val="FootnoteReference"/>
        </w:rPr>
        <w:footnoteRef/>
      </w:r>
      <w:r>
        <w:t xml:space="preserve"> </w:t>
      </w:r>
      <w:r>
        <w:tab/>
        <w:t xml:space="preserve">Resolution av FN:s generalförsamling 2 mars 2022, där man kräver att Ryssland omedelbart, fullständigt och ovillkorligt drar tillbaka alla sina militära styrkor från Ukraina. </w:t>
      </w:r>
    </w:p>
  </w:footnote>
  <w:footnote w:id="3">
    <w:p w:rsidR="00C62714" w:rsidRPr="00592704" w:rsidRDefault="00C62714" w:rsidP="00150DE0">
      <w:pPr>
        <w:tabs>
          <w:tab w:val="left" w:pos="426"/>
        </w:tabs>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tab/>
      </w:r>
      <w:r>
        <w:rPr>
          <w:rFonts w:ascii="Times New Roman" w:hAnsi="Times New Roman"/>
          <w:sz w:val="20"/>
          <w:szCs w:val="20"/>
        </w:rPr>
        <w:t>Mellan den 23 februari och den 2 mars 2022 enades man om tre sanktionspaket i följd.</w:t>
      </w:r>
    </w:p>
  </w:footnote>
  <w:footnote w:id="4">
    <w:p w:rsidR="00C62714" w:rsidRPr="002E76E7" w:rsidRDefault="00C62714" w:rsidP="00150DE0">
      <w:pPr>
        <w:pStyle w:val="FootnoteText"/>
        <w:tabs>
          <w:tab w:val="left" w:pos="284"/>
        </w:tabs>
        <w:spacing w:after="0"/>
        <w:ind w:left="284" w:hanging="284"/>
      </w:pPr>
      <w:r>
        <w:rPr>
          <w:rStyle w:val="FootnoteReference"/>
        </w:rPr>
        <w:footnoteRef/>
      </w:r>
      <w:r>
        <w:t xml:space="preserve"> Ordet </w:t>
      </w:r>
      <w:r>
        <w:rPr>
          <w:i/>
          <w:iCs/>
        </w:rPr>
        <w:t>flykting</w:t>
      </w:r>
      <w:r>
        <w:t xml:space="preserve"> används i detta meddelande i en vidare politisk mening än enligt definitionerna i Genèvekonventionen och EU:s asylregler.</w:t>
      </w:r>
    </w:p>
  </w:footnote>
  <w:footnote w:id="5">
    <w:p w:rsidR="00634BBF" w:rsidRPr="00592704" w:rsidRDefault="00634BBF" w:rsidP="00150DE0">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t xml:space="preserve"> </w:t>
      </w:r>
      <w:r>
        <w:tab/>
      </w:r>
      <w:r>
        <w:rPr>
          <w:rFonts w:ascii="Times New Roman" w:hAnsi="Times New Roman"/>
          <w:sz w:val="20"/>
          <w:szCs w:val="20"/>
        </w:rPr>
        <w:t xml:space="preserve">En lista på organisationer som tillhandahåller humanitärt bistånd i Ukraina finns här: </w:t>
      </w:r>
      <w:hyperlink r:id="rId1" w:history="1">
        <w:r>
          <w:rPr>
            <w:rStyle w:val="Hyperlink"/>
            <w:rFonts w:ascii="Times New Roman" w:hAnsi="Times New Roman"/>
            <w:sz w:val="20"/>
            <w:szCs w:val="20"/>
          </w:rPr>
          <w:t>https://ec.europa.eu/info/strategy/priorities-2019-2024/stronger-europe-world/eu-solidarity-ukraine_en</w:t>
        </w:r>
      </w:hyperlink>
      <w:r>
        <w:rPr>
          <w:rFonts w:ascii="Times New Roman" w:hAnsi="Times New Roman"/>
          <w:color w:val="333333"/>
          <w:sz w:val="20"/>
          <w:szCs w:val="20"/>
        </w:rPr>
        <w:t xml:space="preserve"> </w:t>
      </w:r>
    </w:p>
    <w:p w:rsidR="00634BBF" w:rsidRPr="002E76E7" w:rsidRDefault="00634BBF" w:rsidP="00150DE0">
      <w:pPr>
        <w:pStyle w:val="FootnoteText"/>
        <w:tabs>
          <w:tab w:val="left" w:pos="426"/>
        </w:tabs>
        <w:spacing w:after="0"/>
        <w:ind w:left="284" w:hanging="284"/>
        <w:rPr>
          <w:lang w:val="en-GB"/>
        </w:rPr>
      </w:pPr>
    </w:p>
  </w:footnote>
  <w:footnote w:id="6">
    <w:p w:rsidR="003C4B9A" w:rsidRPr="006D3DF4" w:rsidRDefault="003C4B9A" w:rsidP="006D3DF4">
      <w:pPr>
        <w:pStyle w:val="FootnoteText"/>
        <w:ind w:left="0" w:firstLine="0"/>
      </w:pPr>
      <w:r>
        <w:rPr>
          <w:rStyle w:val="FootnoteReference"/>
        </w:rPr>
        <w:footnoteRef/>
      </w:r>
      <w:r w:rsidR="00CE04DE">
        <w:tab/>
        <w:t xml:space="preserve">På grund av sen </w:t>
      </w:r>
      <w:r>
        <w:t>registrering och rapportering kan det totala antalet vara högre.</w:t>
      </w:r>
    </w:p>
  </w:footnote>
  <w:footnote w:id="7">
    <w:p w:rsidR="00C62714" w:rsidRPr="002E76E7" w:rsidRDefault="00C62714" w:rsidP="00150DE0">
      <w:pPr>
        <w:pStyle w:val="FootnoteText"/>
        <w:tabs>
          <w:tab w:val="left" w:pos="426"/>
        </w:tabs>
        <w:spacing w:after="0"/>
        <w:ind w:left="284" w:hanging="284"/>
      </w:pPr>
      <w:r>
        <w:rPr>
          <w:rStyle w:val="FootnoteReference"/>
        </w:rPr>
        <w:footnoteRef/>
      </w:r>
      <w:r>
        <w:tab/>
        <w:t xml:space="preserve">Besök av ordförande Ursula von der Leyen, utrikesrepresentanten Josep Borrell, vice ordförande Margaritas Schinas, </w:t>
      </w:r>
      <w:r>
        <w:rPr>
          <w:rStyle w:val="markedcontent"/>
        </w:rPr>
        <w:t xml:space="preserve">vice ordförande Dubravka Šuica, </w:t>
      </w:r>
      <w:r>
        <w:t xml:space="preserve">kommissionär Ylva Johansson, kommissionär </w:t>
      </w:r>
      <w:r>
        <w:rPr>
          <w:rStyle w:val="markedcontent"/>
        </w:rPr>
        <w:t xml:space="preserve">Janez Lenarčič, </w:t>
      </w:r>
      <w:r>
        <w:t xml:space="preserve">kommissionär </w:t>
      </w:r>
      <w:r>
        <w:rPr>
          <w:rStyle w:val="markedcontent"/>
        </w:rPr>
        <w:t>Olivér Várhelyi</w:t>
      </w:r>
      <w:r>
        <w:t xml:space="preserve"> och </w:t>
      </w:r>
      <w:r>
        <w:rPr>
          <w:rStyle w:val="markedcontent"/>
        </w:rPr>
        <w:t xml:space="preserve">kommissionär Stella Kyriakides.  </w:t>
      </w:r>
    </w:p>
  </w:footnote>
  <w:footnote w:id="8">
    <w:p w:rsidR="00C62714" w:rsidRPr="002E76E7" w:rsidRDefault="00C62714" w:rsidP="00150DE0">
      <w:pPr>
        <w:pStyle w:val="FootnoteText"/>
        <w:tabs>
          <w:tab w:val="left" w:pos="426"/>
        </w:tabs>
        <w:spacing w:after="0"/>
        <w:ind w:left="284" w:hanging="284"/>
      </w:pPr>
      <w:r>
        <w:rPr>
          <w:rStyle w:val="FootnoteReference"/>
        </w:rPr>
        <w:footnoteRef/>
      </w:r>
      <w:r>
        <w:tab/>
      </w:r>
      <w:r>
        <w:rPr>
          <w:rStyle w:val="markedcontent"/>
        </w:rPr>
        <w:t>Meddelanden av den 9 september 2015, COM (2015) 454, och den 1 april 2020, C(2020) 2078.</w:t>
      </w:r>
    </w:p>
  </w:footnote>
  <w:footnote w:id="9">
    <w:p w:rsidR="00C62714" w:rsidRPr="002E76E7" w:rsidRDefault="00C62714" w:rsidP="00150DE0">
      <w:pPr>
        <w:pStyle w:val="FootnoteText"/>
        <w:spacing w:after="0"/>
        <w:ind w:left="284" w:hanging="284"/>
      </w:pPr>
      <w:r>
        <w:rPr>
          <w:rStyle w:val="FootnoteReference"/>
        </w:rPr>
        <w:footnoteRef/>
      </w:r>
      <w:r>
        <w:tab/>
        <w:t>Asyl-, migrations- och integrationsfonden och Fonden för inre säkerhet.</w:t>
      </w:r>
    </w:p>
  </w:footnote>
  <w:footnote w:id="10">
    <w:p w:rsidR="00C62714" w:rsidRPr="002E76E7" w:rsidRDefault="00C62714" w:rsidP="00150DE0">
      <w:pPr>
        <w:pStyle w:val="FootnoteText"/>
        <w:tabs>
          <w:tab w:val="left" w:pos="426"/>
        </w:tabs>
        <w:spacing w:after="0"/>
        <w:ind w:left="284" w:hanging="284"/>
      </w:pPr>
      <w:r>
        <w:rPr>
          <w:rStyle w:val="FootnoteReference"/>
        </w:rPr>
        <w:footnoteRef/>
      </w:r>
      <w:r>
        <w:tab/>
        <w:t>C(2022) 1404 final, 2 mars 2022.</w:t>
      </w:r>
    </w:p>
  </w:footnote>
  <w:footnote w:id="11">
    <w:p w:rsidR="00C62714" w:rsidRPr="002E76E7" w:rsidRDefault="00C62714" w:rsidP="00150DE0">
      <w:pPr>
        <w:pStyle w:val="FootnoteText"/>
        <w:spacing w:after="0"/>
        <w:ind w:left="284" w:hanging="284"/>
      </w:pPr>
      <w:r>
        <w:rPr>
          <w:rStyle w:val="FootnoteReference"/>
        </w:rPr>
        <w:footnoteRef/>
      </w:r>
      <w:r>
        <w:tab/>
        <w:t>EU-Lisa stöder medlemsstaternas arbete med registrering och kontroller genom it-system som Eurodac och Schengens informationssystem.</w:t>
      </w:r>
    </w:p>
  </w:footnote>
  <w:footnote w:id="12">
    <w:p w:rsidR="00C62714" w:rsidRPr="002E76E7" w:rsidRDefault="00C62714" w:rsidP="00150DE0">
      <w:pPr>
        <w:spacing w:after="0" w:line="240" w:lineRule="auto"/>
        <w:ind w:left="284" w:hanging="284"/>
        <w:jc w:val="both"/>
      </w:pPr>
      <w:r>
        <w:rPr>
          <w:rStyle w:val="FootnoteReference"/>
          <w:rFonts w:ascii="Times New Roman" w:hAnsi="Times New Roman" w:cs="Times New Roman"/>
          <w:sz w:val="20"/>
          <w:szCs w:val="20"/>
        </w:rPr>
        <w:footnoteRef/>
      </w:r>
      <w:r>
        <w:tab/>
      </w:r>
      <w:r>
        <w:rPr>
          <w:rFonts w:ascii="Times New Roman" w:hAnsi="Times New Roman"/>
          <w:sz w:val="20"/>
          <w:szCs w:val="20"/>
        </w:rPr>
        <w:t>Byrån för grundläggande rättigheter besöker gränsövergångsställen och mottagningscentrum i de medlemsstater som är utsatta för tryck.</w:t>
      </w:r>
    </w:p>
  </w:footnote>
  <w:footnote w:id="13">
    <w:p w:rsidR="009143F7" w:rsidRPr="002E76E7" w:rsidRDefault="009143F7" w:rsidP="00150DE0">
      <w:pPr>
        <w:pStyle w:val="FootnoteText"/>
        <w:tabs>
          <w:tab w:val="left" w:pos="426"/>
        </w:tabs>
        <w:spacing w:after="0"/>
        <w:ind w:left="284" w:hanging="284"/>
      </w:pPr>
      <w:r>
        <w:rPr>
          <w:rStyle w:val="FootnoteReference"/>
        </w:rPr>
        <w:footnoteRef/>
      </w:r>
      <w:r>
        <w:tab/>
        <w:t>Rådets genomförandebeslut av den 4 mars 2022 om fastställande av att det föreligger massiv tillströmning av fördrivna personer från Ukraina i den mening som avses i artikel 5 i direktiv 2001/55/EG, med följden att tillfälligt skydd införs.</w:t>
      </w:r>
    </w:p>
  </w:footnote>
  <w:footnote w:id="14">
    <w:p w:rsidR="00C62714" w:rsidRPr="002E76E7" w:rsidRDefault="00C62714" w:rsidP="00150DE0">
      <w:pPr>
        <w:pStyle w:val="FootnoteText"/>
        <w:spacing w:after="0"/>
        <w:ind w:left="284" w:hanging="284"/>
      </w:pPr>
      <w:r>
        <w:rPr>
          <w:rStyle w:val="FootnoteReference"/>
        </w:rPr>
        <w:footnoteRef/>
      </w:r>
      <w:r>
        <w:tab/>
        <w:t xml:space="preserve">Tillfälligt skydd påverkar inte rätten att ansöka om internationellt skydd i EU. </w:t>
      </w:r>
    </w:p>
  </w:footnote>
  <w:footnote w:id="15">
    <w:p w:rsidR="00023C74" w:rsidRPr="002E76E7" w:rsidRDefault="00023C74" w:rsidP="00150DE0">
      <w:pPr>
        <w:pStyle w:val="FootnoteText"/>
        <w:tabs>
          <w:tab w:val="left" w:pos="426"/>
        </w:tabs>
        <w:spacing w:after="0"/>
        <w:ind w:left="284" w:hanging="284"/>
      </w:pPr>
      <w:r>
        <w:rPr>
          <w:rStyle w:val="FootnoteReference"/>
        </w:rPr>
        <w:footnoteRef/>
      </w:r>
      <w:r>
        <w:tab/>
        <w:t>Bl.a. Indien, Marocko, Tunisien och Egypten.</w:t>
      </w:r>
    </w:p>
  </w:footnote>
  <w:footnote w:id="16">
    <w:p w:rsidR="00C62714" w:rsidRPr="002E76E7" w:rsidRDefault="00C62714" w:rsidP="00150DE0">
      <w:pPr>
        <w:pStyle w:val="FootnoteText"/>
        <w:spacing w:after="0"/>
        <w:ind w:left="284" w:hanging="284"/>
      </w:pPr>
      <w:r>
        <w:rPr>
          <w:rStyle w:val="FootnoteReference"/>
        </w:rPr>
        <w:footnoteRef/>
      </w:r>
      <w:r>
        <w:tab/>
        <w:t>Rättslig status ger också tillgång till andra tjänster, t.ex. banktjänster. Enligt direktivet om betalkonton (2014/92/EU) ska exempelvis alla som är lagligen bosatta i EU kunna få tillgång till ett grundläggande bankkonto.</w:t>
      </w:r>
    </w:p>
  </w:footnote>
  <w:footnote w:id="17">
    <w:p w:rsidR="00C62714" w:rsidRPr="002D5AA5" w:rsidRDefault="00C62714" w:rsidP="00150DE0">
      <w:pPr>
        <w:pStyle w:val="FootnoteText"/>
        <w:tabs>
          <w:tab w:val="left" w:pos="426"/>
        </w:tabs>
        <w:spacing w:after="0"/>
        <w:ind w:left="284" w:hanging="284"/>
      </w:pPr>
      <w:r>
        <w:rPr>
          <w:rStyle w:val="FootnoteReference"/>
        </w:rPr>
        <w:footnoteRef/>
      </w:r>
      <w:r>
        <w:tab/>
        <w:t>Under alla omständigheter berättigar de underliggande utgifterna retroaktivt till stöd redan från och med början av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82F" w:rsidRPr="0008082F" w:rsidRDefault="0008082F" w:rsidP="000808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82F" w:rsidRPr="0008082F" w:rsidRDefault="0008082F" w:rsidP="0008082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82F" w:rsidRPr="0008082F" w:rsidRDefault="0008082F" w:rsidP="0008082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9AF" w:rsidRDefault="00DB69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9AF" w:rsidRDefault="00DB69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9AF" w:rsidRDefault="00DB69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8C7C1A"/>
    <w:multiLevelType w:val="hybridMultilevel"/>
    <w:tmpl w:val="6A166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9E0FAD"/>
    <w:multiLevelType w:val="hybridMultilevel"/>
    <w:tmpl w:val="038AFD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num w:numId="1">
    <w:abstractNumId w:val="2"/>
  </w:num>
  <w:num w:numId="2">
    <w:abstractNumId w:val="0"/>
  </w:num>
  <w:num w:numId="3">
    <w:abstractNumId w:val="3"/>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es-ES"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3C429A9-EDE7-404F-92F7-43F8C754112D"/>
    <w:docVar w:name="LW_COVERPAGE_TYPE" w:val="1"/>
    <w:docVar w:name="LW_CROSSREFERENCE" w:val="&lt;UNUSED&gt;"/>
    <w:docVar w:name="LW_DocType" w:val="NORMAL"/>
    <w:docVar w:name="LW_EMISSION" w:val="8.3.2022"/>
    <w:docVar w:name="LW_EMISSION_ISODATE" w:val="2022-03-08"/>
    <w:docVar w:name="LW_EMISSION_LOCATION" w:val="STR"/>
    <w:docVar w:name="LW_EMISSION_PREFIX" w:val="Strasbourg den "/>
    <w:docVar w:name="LW_EMISSION_SUFFIX" w:val=" "/>
    <w:docVar w:name="LW_ID_DOCTYPE_NONLW" w:val="CP-009"/>
    <w:docVar w:name="LW_LANGUE" w:val="SV"/>
    <w:docVar w:name="LW_LEVEL_OF_SENSITIVITY" w:val="Standard treatment"/>
    <w:docVar w:name="LW_NOM.INST" w:val="EUROPEISKA KOMMISSIONEN"/>
    <w:docVar w:name="LW_NOM.INST_JOINTDOC" w:val="&lt;EMPTY&gt;"/>
    <w:docVar w:name="LW_PART_NBR" w:val="1"/>
    <w:docVar w:name="LW_PART_NBR_TOTAL" w:val="1"/>
    <w:docVar w:name="LW_REF.INST.NEW" w:val="COM"/>
    <w:docVar w:name="LW_REF.INST.NEW_ADOPTED" w:val="final"/>
    <w:docVar w:name="LW_REF.INST.NEW_TEXT" w:val="(2022) 1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uropeisk solidaritet med flyktingar och med dem som flyr undan kriget i Ukraina"/>
    <w:docVar w:name="LW_TYPE.DOC.CP" w:val="MEDDELANDE FRÅN KOMMISSIONEN"/>
    <w:docVar w:name="LW_TYPE.DOC.CP.USERTEXT" w:val="TILL EUROPAPARLAMENTET, EUROPEISKA RÅDET, RÅDET, EUROPEISKA EKONOMISKA OCH SOCIALA KOMMITTÉN SAMT REGIONKOMMITTÉN_x000b__x000b_"/>
    <w:docVar w:name="LwApiVersions" w:val="LW4CoDe 1.23.2.0; LW 8.0, Build 20211117"/>
  </w:docVars>
  <w:rsids>
    <w:rsidRoot w:val="00486062"/>
    <w:rsid w:val="00000AE2"/>
    <w:rsid w:val="00000D7A"/>
    <w:rsid w:val="00003945"/>
    <w:rsid w:val="0000543A"/>
    <w:rsid w:val="000136F8"/>
    <w:rsid w:val="00020695"/>
    <w:rsid w:val="00023C74"/>
    <w:rsid w:val="00024752"/>
    <w:rsid w:val="00026ED9"/>
    <w:rsid w:val="0003327B"/>
    <w:rsid w:val="00034F2C"/>
    <w:rsid w:val="00052FBC"/>
    <w:rsid w:val="00053AA0"/>
    <w:rsid w:val="000556AD"/>
    <w:rsid w:val="000573E6"/>
    <w:rsid w:val="0006680A"/>
    <w:rsid w:val="00072A04"/>
    <w:rsid w:val="0007301E"/>
    <w:rsid w:val="000774B6"/>
    <w:rsid w:val="00077587"/>
    <w:rsid w:val="00077EC3"/>
    <w:rsid w:val="0008082F"/>
    <w:rsid w:val="000826EB"/>
    <w:rsid w:val="00083AF0"/>
    <w:rsid w:val="000846DF"/>
    <w:rsid w:val="000873FC"/>
    <w:rsid w:val="00090998"/>
    <w:rsid w:val="00097EF8"/>
    <w:rsid w:val="000A23BA"/>
    <w:rsid w:val="000B1FA7"/>
    <w:rsid w:val="000B335A"/>
    <w:rsid w:val="000B71B2"/>
    <w:rsid w:val="000B798F"/>
    <w:rsid w:val="000C3E6E"/>
    <w:rsid w:val="000C3F31"/>
    <w:rsid w:val="000C60EF"/>
    <w:rsid w:val="000C6147"/>
    <w:rsid w:val="000D7EA3"/>
    <w:rsid w:val="000E4F3A"/>
    <w:rsid w:val="000E6BA8"/>
    <w:rsid w:val="000F743C"/>
    <w:rsid w:val="0010107A"/>
    <w:rsid w:val="00106453"/>
    <w:rsid w:val="00107130"/>
    <w:rsid w:val="00115A81"/>
    <w:rsid w:val="00115DFE"/>
    <w:rsid w:val="00123062"/>
    <w:rsid w:val="00124B05"/>
    <w:rsid w:val="00126611"/>
    <w:rsid w:val="00126AD1"/>
    <w:rsid w:val="0013272D"/>
    <w:rsid w:val="00135DC2"/>
    <w:rsid w:val="00136AF2"/>
    <w:rsid w:val="00142DEC"/>
    <w:rsid w:val="00150DE0"/>
    <w:rsid w:val="001516C8"/>
    <w:rsid w:val="0015251C"/>
    <w:rsid w:val="00165331"/>
    <w:rsid w:val="001657ED"/>
    <w:rsid w:val="00175673"/>
    <w:rsid w:val="00177028"/>
    <w:rsid w:val="00180385"/>
    <w:rsid w:val="00182035"/>
    <w:rsid w:val="00184BE1"/>
    <w:rsid w:val="00190BC1"/>
    <w:rsid w:val="0019577F"/>
    <w:rsid w:val="00197312"/>
    <w:rsid w:val="001A1BD3"/>
    <w:rsid w:val="001A55E8"/>
    <w:rsid w:val="001B2790"/>
    <w:rsid w:val="001B38F9"/>
    <w:rsid w:val="001B78CE"/>
    <w:rsid w:val="001C57AF"/>
    <w:rsid w:val="001D02E0"/>
    <w:rsid w:val="001D109E"/>
    <w:rsid w:val="001D1E73"/>
    <w:rsid w:val="001D3657"/>
    <w:rsid w:val="001D3A59"/>
    <w:rsid w:val="001D71AB"/>
    <w:rsid w:val="001E08CE"/>
    <w:rsid w:val="001E0956"/>
    <w:rsid w:val="001E7720"/>
    <w:rsid w:val="001F22D7"/>
    <w:rsid w:val="001F2ACE"/>
    <w:rsid w:val="002009BF"/>
    <w:rsid w:val="00221F81"/>
    <w:rsid w:val="0022532B"/>
    <w:rsid w:val="00226849"/>
    <w:rsid w:val="00232C57"/>
    <w:rsid w:val="0023332C"/>
    <w:rsid w:val="00235450"/>
    <w:rsid w:val="00236219"/>
    <w:rsid w:val="00241A15"/>
    <w:rsid w:val="002428CB"/>
    <w:rsid w:val="002437A3"/>
    <w:rsid w:val="002438AA"/>
    <w:rsid w:val="002441F3"/>
    <w:rsid w:val="00247DC0"/>
    <w:rsid w:val="002505A5"/>
    <w:rsid w:val="0025235E"/>
    <w:rsid w:val="00255329"/>
    <w:rsid w:val="00261FAF"/>
    <w:rsid w:val="0026212B"/>
    <w:rsid w:val="002621D0"/>
    <w:rsid w:val="00264BDF"/>
    <w:rsid w:val="0026528F"/>
    <w:rsid w:val="00270572"/>
    <w:rsid w:val="0027307C"/>
    <w:rsid w:val="002754F4"/>
    <w:rsid w:val="00275D06"/>
    <w:rsid w:val="00290C8A"/>
    <w:rsid w:val="0029472D"/>
    <w:rsid w:val="00296DD1"/>
    <w:rsid w:val="002A41F3"/>
    <w:rsid w:val="002A4C0B"/>
    <w:rsid w:val="002A74B0"/>
    <w:rsid w:val="002B1A56"/>
    <w:rsid w:val="002B2DCD"/>
    <w:rsid w:val="002C1494"/>
    <w:rsid w:val="002D11A9"/>
    <w:rsid w:val="002D14F4"/>
    <w:rsid w:val="002D187D"/>
    <w:rsid w:val="002D19C7"/>
    <w:rsid w:val="002D75F1"/>
    <w:rsid w:val="002D7E4E"/>
    <w:rsid w:val="002E0433"/>
    <w:rsid w:val="002E5BC6"/>
    <w:rsid w:val="002E76E7"/>
    <w:rsid w:val="002F0BC0"/>
    <w:rsid w:val="002F2CEA"/>
    <w:rsid w:val="002F432B"/>
    <w:rsid w:val="002F4538"/>
    <w:rsid w:val="002F705C"/>
    <w:rsid w:val="002F70B3"/>
    <w:rsid w:val="00302775"/>
    <w:rsid w:val="003065E5"/>
    <w:rsid w:val="00317A9A"/>
    <w:rsid w:val="00323FBB"/>
    <w:rsid w:val="0032435C"/>
    <w:rsid w:val="00324664"/>
    <w:rsid w:val="003303C7"/>
    <w:rsid w:val="00335FB7"/>
    <w:rsid w:val="00336F22"/>
    <w:rsid w:val="00341EA6"/>
    <w:rsid w:val="00342AA9"/>
    <w:rsid w:val="003431D7"/>
    <w:rsid w:val="003451EE"/>
    <w:rsid w:val="0035100F"/>
    <w:rsid w:val="00352E9C"/>
    <w:rsid w:val="00363D41"/>
    <w:rsid w:val="00366194"/>
    <w:rsid w:val="003710C7"/>
    <w:rsid w:val="003804B6"/>
    <w:rsid w:val="00380D2B"/>
    <w:rsid w:val="00382102"/>
    <w:rsid w:val="00382699"/>
    <w:rsid w:val="0038772B"/>
    <w:rsid w:val="00390A03"/>
    <w:rsid w:val="00392B66"/>
    <w:rsid w:val="0039317D"/>
    <w:rsid w:val="003A1925"/>
    <w:rsid w:val="003B069E"/>
    <w:rsid w:val="003C218E"/>
    <w:rsid w:val="003C4B9A"/>
    <w:rsid w:val="003C51CF"/>
    <w:rsid w:val="003C5BC3"/>
    <w:rsid w:val="003C7533"/>
    <w:rsid w:val="003D20B2"/>
    <w:rsid w:val="003D504B"/>
    <w:rsid w:val="003D5CC6"/>
    <w:rsid w:val="003E0CC7"/>
    <w:rsid w:val="003E716A"/>
    <w:rsid w:val="003F2671"/>
    <w:rsid w:val="003F347E"/>
    <w:rsid w:val="003F4897"/>
    <w:rsid w:val="003F4CE5"/>
    <w:rsid w:val="0040281A"/>
    <w:rsid w:val="004035FA"/>
    <w:rsid w:val="0041196D"/>
    <w:rsid w:val="00412B0D"/>
    <w:rsid w:val="00413121"/>
    <w:rsid w:val="004136A7"/>
    <w:rsid w:val="00415E00"/>
    <w:rsid w:val="004169FD"/>
    <w:rsid w:val="00417B4C"/>
    <w:rsid w:val="00422DC7"/>
    <w:rsid w:val="00424B04"/>
    <w:rsid w:val="00436969"/>
    <w:rsid w:val="0044703F"/>
    <w:rsid w:val="0045213F"/>
    <w:rsid w:val="00452D66"/>
    <w:rsid w:val="00454B4D"/>
    <w:rsid w:val="00457A38"/>
    <w:rsid w:val="00462B74"/>
    <w:rsid w:val="00471688"/>
    <w:rsid w:val="00475A1B"/>
    <w:rsid w:val="00486062"/>
    <w:rsid w:val="004872AD"/>
    <w:rsid w:val="004905D8"/>
    <w:rsid w:val="00490E02"/>
    <w:rsid w:val="00494F8B"/>
    <w:rsid w:val="004A20A3"/>
    <w:rsid w:val="004A2303"/>
    <w:rsid w:val="004A59E3"/>
    <w:rsid w:val="004A728A"/>
    <w:rsid w:val="004A7340"/>
    <w:rsid w:val="004B73D3"/>
    <w:rsid w:val="004C0EFC"/>
    <w:rsid w:val="004C0F8C"/>
    <w:rsid w:val="004C2858"/>
    <w:rsid w:val="004C4581"/>
    <w:rsid w:val="004C5C27"/>
    <w:rsid w:val="004C5CFE"/>
    <w:rsid w:val="004D012E"/>
    <w:rsid w:val="004D0936"/>
    <w:rsid w:val="004D1EAF"/>
    <w:rsid w:val="004E13CB"/>
    <w:rsid w:val="004E29C2"/>
    <w:rsid w:val="004E3AC7"/>
    <w:rsid w:val="004E6378"/>
    <w:rsid w:val="004E7CAD"/>
    <w:rsid w:val="004F129E"/>
    <w:rsid w:val="004F2326"/>
    <w:rsid w:val="004F3982"/>
    <w:rsid w:val="004F3B3E"/>
    <w:rsid w:val="004F7428"/>
    <w:rsid w:val="00504C9E"/>
    <w:rsid w:val="005114A9"/>
    <w:rsid w:val="00513F5A"/>
    <w:rsid w:val="0051524B"/>
    <w:rsid w:val="00515363"/>
    <w:rsid w:val="00526E59"/>
    <w:rsid w:val="0052779A"/>
    <w:rsid w:val="005413EA"/>
    <w:rsid w:val="00542361"/>
    <w:rsid w:val="005436BD"/>
    <w:rsid w:val="00543BDD"/>
    <w:rsid w:val="005472C1"/>
    <w:rsid w:val="005517BD"/>
    <w:rsid w:val="00551CC4"/>
    <w:rsid w:val="00564214"/>
    <w:rsid w:val="00565E5E"/>
    <w:rsid w:val="005715D2"/>
    <w:rsid w:val="0057773F"/>
    <w:rsid w:val="0059093C"/>
    <w:rsid w:val="00590EE6"/>
    <w:rsid w:val="00592704"/>
    <w:rsid w:val="0059371C"/>
    <w:rsid w:val="005948F0"/>
    <w:rsid w:val="00595E33"/>
    <w:rsid w:val="005B1264"/>
    <w:rsid w:val="005B186B"/>
    <w:rsid w:val="005B200B"/>
    <w:rsid w:val="005C3057"/>
    <w:rsid w:val="005D34A9"/>
    <w:rsid w:val="005D3A4E"/>
    <w:rsid w:val="005D5611"/>
    <w:rsid w:val="005E3324"/>
    <w:rsid w:val="005E4A4A"/>
    <w:rsid w:val="005E57B0"/>
    <w:rsid w:val="005F5199"/>
    <w:rsid w:val="005F7CB9"/>
    <w:rsid w:val="0060326E"/>
    <w:rsid w:val="006076A1"/>
    <w:rsid w:val="006155C8"/>
    <w:rsid w:val="0061693B"/>
    <w:rsid w:val="00616A82"/>
    <w:rsid w:val="00617AB7"/>
    <w:rsid w:val="00617DAC"/>
    <w:rsid w:val="00630F67"/>
    <w:rsid w:val="00632174"/>
    <w:rsid w:val="00634484"/>
    <w:rsid w:val="006347EA"/>
    <w:rsid w:val="00634B60"/>
    <w:rsid w:val="00634BA5"/>
    <w:rsid w:val="00634BBF"/>
    <w:rsid w:val="00634DF5"/>
    <w:rsid w:val="00643DB7"/>
    <w:rsid w:val="00644FAD"/>
    <w:rsid w:val="00646515"/>
    <w:rsid w:val="00647A19"/>
    <w:rsid w:val="00647C14"/>
    <w:rsid w:val="00653422"/>
    <w:rsid w:val="0065769D"/>
    <w:rsid w:val="00664106"/>
    <w:rsid w:val="00683741"/>
    <w:rsid w:val="00684630"/>
    <w:rsid w:val="00692D93"/>
    <w:rsid w:val="00693FD2"/>
    <w:rsid w:val="00695C6B"/>
    <w:rsid w:val="006A1085"/>
    <w:rsid w:val="006C1140"/>
    <w:rsid w:val="006C464E"/>
    <w:rsid w:val="006D06C1"/>
    <w:rsid w:val="006D252C"/>
    <w:rsid w:val="006D3DF4"/>
    <w:rsid w:val="006D6D55"/>
    <w:rsid w:val="006D700A"/>
    <w:rsid w:val="006E09CD"/>
    <w:rsid w:val="006E0FFE"/>
    <w:rsid w:val="006E12FE"/>
    <w:rsid w:val="006E2D4A"/>
    <w:rsid w:val="006E6D12"/>
    <w:rsid w:val="006F0C4C"/>
    <w:rsid w:val="006F2902"/>
    <w:rsid w:val="006F380C"/>
    <w:rsid w:val="007017DF"/>
    <w:rsid w:val="007049CD"/>
    <w:rsid w:val="00715291"/>
    <w:rsid w:val="00722035"/>
    <w:rsid w:val="00723E1E"/>
    <w:rsid w:val="007241F5"/>
    <w:rsid w:val="007324D6"/>
    <w:rsid w:val="00732873"/>
    <w:rsid w:val="00734A79"/>
    <w:rsid w:val="00736359"/>
    <w:rsid w:val="007419F0"/>
    <w:rsid w:val="0074296D"/>
    <w:rsid w:val="00750527"/>
    <w:rsid w:val="007558A2"/>
    <w:rsid w:val="007600EC"/>
    <w:rsid w:val="00781A96"/>
    <w:rsid w:val="00784325"/>
    <w:rsid w:val="00787090"/>
    <w:rsid w:val="0078732E"/>
    <w:rsid w:val="007924D4"/>
    <w:rsid w:val="0079409B"/>
    <w:rsid w:val="00794B21"/>
    <w:rsid w:val="00796E12"/>
    <w:rsid w:val="007A24AB"/>
    <w:rsid w:val="007A4D4B"/>
    <w:rsid w:val="007A6AD0"/>
    <w:rsid w:val="007A6CD6"/>
    <w:rsid w:val="007B09B4"/>
    <w:rsid w:val="007B11B2"/>
    <w:rsid w:val="007B46FB"/>
    <w:rsid w:val="007B5ECE"/>
    <w:rsid w:val="007B7ED6"/>
    <w:rsid w:val="007C088A"/>
    <w:rsid w:val="007C179B"/>
    <w:rsid w:val="007C2E33"/>
    <w:rsid w:val="007C5350"/>
    <w:rsid w:val="007D02A3"/>
    <w:rsid w:val="007D32DF"/>
    <w:rsid w:val="007D382F"/>
    <w:rsid w:val="007D4087"/>
    <w:rsid w:val="007D4396"/>
    <w:rsid w:val="007D6390"/>
    <w:rsid w:val="007E0D05"/>
    <w:rsid w:val="007E120B"/>
    <w:rsid w:val="007E35AF"/>
    <w:rsid w:val="007F3EBD"/>
    <w:rsid w:val="007F45F6"/>
    <w:rsid w:val="0080271E"/>
    <w:rsid w:val="00803E6A"/>
    <w:rsid w:val="00807205"/>
    <w:rsid w:val="00811545"/>
    <w:rsid w:val="00825EEC"/>
    <w:rsid w:val="00831025"/>
    <w:rsid w:val="00831827"/>
    <w:rsid w:val="00832FFA"/>
    <w:rsid w:val="008333AE"/>
    <w:rsid w:val="008370F6"/>
    <w:rsid w:val="008423EB"/>
    <w:rsid w:val="008427B1"/>
    <w:rsid w:val="0084346E"/>
    <w:rsid w:val="0084731C"/>
    <w:rsid w:val="008501AB"/>
    <w:rsid w:val="00850438"/>
    <w:rsid w:val="008542CD"/>
    <w:rsid w:val="00860483"/>
    <w:rsid w:val="00860EC5"/>
    <w:rsid w:val="00862FA8"/>
    <w:rsid w:val="00864676"/>
    <w:rsid w:val="008654E2"/>
    <w:rsid w:val="00870ADA"/>
    <w:rsid w:val="00871147"/>
    <w:rsid w:val="008750CA"/>
    <w:rsid w:val="00875520"/>
    <w:rsid w:val="00882ADB"/>
    <w:rsid w:val="00887E9D"/>
    <w:rsid w:val="0089016B"/>
    <w:rsid w:val="00892688"/>
    <w:rsid w:val="008937A9"/>
    <w:rsid w:val="00895946"/>
    <w:rsid w:val="00896D34"/>
    <w:rsid w:val="008A1476"/>
    <w:rsid w:val="008A6481"/>
    <w:rsid w:val="008B354C"/>
    <w:rsid w:val="008B3D5E"/>
    <w:rsid w:val="008B74C8"/>
    <w:rsid w:val="008B7940"/>
    <w:rsid w:val="008B7BA3"/>
    <w:rsid w:val="008D2DFB"/>
    <w:rsid w:val="008D39F4"/>
    <w:rsid w:val="008D4F62"/>
    <w:rsid w:val="008D746B"/>
    <w:rsid w:val="008E1117"/>
    <w:rsid w:val="008F1CEB"/>
    <w:rsid w:val="008F71A8"/>
    <w:rsid w:val="00901156"/>
    <w:rsid w:val="009060F8"/>
    <w:rsid w:val="00907F68"/>
    <w:rsid w:val="009143F7"/>
    <w:rsid w:val="009162A3"/>
    <w:rsid w:val="00924FF1"/>
    <w:rsid w:val="00930AE8"/>
    <w:rsid w:val="0093335B"/>
    <w:rsid w:val="0094438D"/>
    <w:rsid w:val="009531D2"/>
    <w:rsid w:val="00953B3B"/>
    <w:rsid w:val="00955D1E"/>
    <w:rsid w:val="009561D8"/>
    <w:rsid w:val="009568E9"/>
    <w:rsid w:val="00957A84"/>
    <w:rsid w:val="00961148"/>
    <w:rsid w:val="00961511"/>
    <w:rsid w:val="00961AC1"/>
    <w:rsid w:val="00961CAA"/>
    <w:rsid w:val="009712C0"/>
    <w:rsid w:val="00980435"/>
    <w:rsid w:val="00985C9F"/>
    <w:rsid w:val="00990242"/>
    <w:rsid w:val="00991899"/>
    <w:rsid w:val="00992485"/>
    <w:rsid w:val="00992E50"/>
    <w:rsid w:val="009941A0"/>
    <w:rsid w:val="009948A1"/>
    <w:rsid w:val="009A0A98"/>
    <w:rsid w:val="009A41A7"/>
    <w:rsid w:val="009B4005"/>
    <w:rsid w:val="009B46B7"/>
    <w:rsid w:val="009B55DF"/>
    <w:rsid w:val="009B560D"/>
    <w:rsid w:val="009B58DD"/>
    <w:rsid w:val="009C08A3"/>
    <w:rsid w:val="009C4BC0"/>
    <w:rsid w:val="009D10C3"/>
    <w:rsid w:val="009D7124"/>
    <w:rsid w:val="009D7748"/>
    <w:rsid w:val="009D7BC9"/>
    <w:rsid w:val="009E1866"/>
    <w:rsid w:val="009E2130"/>
    <w:rsid w:val="009E7B2A"/>
    <w:rsid w:val="009F0D9F"/>
    <w:rsid w:val="009F3731"/>
    <w:rsid w:val="009F494F"/>
    <w:rsid w:val="00A01DDD"/>
    <w:rsid w:val="00A020E3"/>
    <w:rsid w:val="00A032E6"/>
    <w:rsid w:val="00A03CF6"/>
    <w:rsid w:val="00A10740"/>
    <w:rsid w:val="00A11DD0"/>
    <w:rsid w:val="00A155F7"/>
    <w:rsid w:val="00A16275"/>
    <w:rsid w:val="00A20CF8"/>
    <w:rsid w:val="00A20DA6"/>
    <w:rsid w:val="00A24B41"/>
    <w:rsid w:val="00A275C7"/>
    <w:rsid w:val="00A419EC"/>
    <w:rsid w:val="00A4485C"/>
    <w:rsid w:val="00A5142A"/>
    <w:rsid w:val="00A51A0B"/>
    <w:rsid w:val="00A551D0"/>
    <w:rsid w:val="00A60367"/>
    <w:rsid w:val="00A641E8"/>
    <w:rsid w:val="00A64757"/>
    <w:rsid w:val="00A66CB9"/>
    <w:rsid w:val="00A723FE"/>
    <w:rsid w:val="00A755D3"/>
    <w:rsid w:val="00A85003"/>
    <w:rsid w:val="00A859FF"/>
    <w:rsid w:val="00A96864"/>
    <w:rsid w:val="00A97E8F"/>
    <w:rsid w:val="00AA152A"/>
    <w:rsid w:val="00AA5CE9"/>
    <w:rsid w:val="00AA64D1"/>
    <w:rsid w:val="00AB34E3"/>
    <w:rsid w:val="00AB6047"/>
    <w:rsid w:val="00AC2D4A"/>
    <w:rsid w:val="00AC66EE"/>
    <w:rsid w:val="00AC7116"/>
    <w:rsid w:val="00AD1DE1"/>
    <w:rsid w:val="00AD490A"/>
    <w:rsid w:val="00AD5439"/>
    <w:rsid w:val="00AD5FD9"/>
    <w:rsid w:val="00AD7E31"/>
    <w:rsid w:val="00AE1DF2"/>
    <w:rsid w:val="00AE3D33"/>
    <w:rsid w:val="00AE4571"/>
    <w:rsid w:val="00AE73E6"/>
    <w:rsid w:val="00AF1ED7"/>
    <w:rsid w:val="00B02AC2"/>
    <w:rsid w:val="00B10C62"/>
    <w:rsid w:val="00B10D58"/>
    <w:rsid w:val="00B14497"/>
    <w:rsid w:val="00B15A66"/>
    <w:rsid w:val="00B15D07"/>
    <w:rsid w:val="00B21BA1"/>
    <w:rsid w:val="00B32A44"/>
    <w:rsid w:val="00B33155"/>
    <w:rsid w:val="00B3557D"/>
    <w:rsid w:val="00B369CF"/>
    <w:rsid w:val="00B41192"/>
    <w:rsid w:val="00B438AF"/>
    <w:rsid w:val="00B4661C"/>
    <w:rsid w:val="00B527AC"/>
    <w:rsid w:val="00B53596"/>
    <w:rsid w:val="00B55D4A"/>
    <w:rsid w:val="00B57DAE"/>
    <w:rsid w:val="00B62B84"/>
    <w:rsid w:val="00B65840"/>
    <w:rsid w:val="00B759CD"/>
    <w:rsid w:val="00B77F8C"/>
    <w:rsid w:val="00B84E5F"/>
    <w:rsid w:val="00B95111"/>
    <w:rsid w:val="00B95532"/>
    <w:rsid w:val="00B972EE"/>
    <w:rsid w:val="00BA04C8"/>
    <w:rsid w:val="00BA0E8B"/>
    <w:rsid w:val="00BA28D7"/>
    <w:rsid w:val="00BA4741"/>
    <w:rsid w:val="00BA5A77"/>
    <w:rsid w:val="00BB03FC"/>
    <w:rsid w:val="00BB2506"/>
    <w:rsid w:val="00BB7CA2"/>
    <w:rsid w:val="00BB7DE3"/>
    <w:rsid w:val="00BC162A"/>
    <w:rsid w:val="00BC6DE3"/>
    <w:rsid w:val="00BE279D"/>
    <w:rsid w:val="00BE356A"/>
    <w:rsid w:val="00BF07A7"/>
    <w:rsid w:val="00BF0981"/>
    <w:rsid w:val="00BF2C3A"/>
    <w:rsid w:val="00C01FD9"/>
    <w:rsid w:val="00C02279"/>
    <w:rsid w:val="00C163BC"/>
    <w:rsid w:val="00C31B6D"/>
    <w:rsid w:val="00C336DD"/>
    <w:rsid w:val="00C33B2F"/>
    <w:rsid w:val="00C33F78"/>
    <w:rsid w:val="00C341C8"/>
    <w:rsid w:val="00C37204"/>
    <w:rsid w:val="00C45B0C"/>
    <w:rsid w:val="00C47243"/>
    <w:rsid w:val="00C47C23"/>
    <w:rsid w:val="00C47E98"/>
    <w:rsid w:val="00C5655B"/>
    <w:rsid w:val="00C61589"/>
    <w:rsid w:val="00C62714"/>
    <w:rsid w:val="00C65F5E"/>
    <w:rsid w:val="00C668F3"/>
    <w:rsid w:val="00C74EC6"/>
    <w:rsid w:val="00C752B4"/>
    <w:rsid w:val="00C76020"/>
    <w:rsid w:val="00C87BC4"/>
    <w:rsid w:val="00C9381D"/>
    <w:rsid w:val="00C9420E"/>
    <w:rsid w:val="00C94F8A"/>
    <w:rsid w:val="00CA0099"/>
    <w:rsid w:val="00CA362A"/>
    <w:rsid w:val="00CA5AE5"/>
    <w:rsid w:val="00CA6F15"/>
    <w:rsid w:val="00CA7E21"/>
    <w:rsid w:val="00CB1085"/>
    <w:rsid w:val="00CB1FC1"/>
    <w:rsid w:val="00CB5E2E"/>
    <w:rsid w:val="00CC1987"/>
    <w:rsid w:val="00CC57DC"/>
    <w:rsid w:val="00CD1CEB"/>
    <w:rsid w:val="00CD1DAA"/>
    <w:rsid w:val="00CD28A5"/>
    <w:rsid w:val="00CD6403"/>
    <w:rsid w:val="00CD6B54"/>
    <w:rsid w:val="00CD78D3"/>
    <w:rsid w:val="00CE04DE"/>
    <w:rsid w:val="00CE59FB"/>
    <w:rsid w:val="00CE5E37"/>
    <w:rsid w:val="00CF0357"/>
    <w:rsid w:val="00CF1D74"/>
    <w:rsid w:val="00CF1FF9"/>
    <w:rsid w:val="00CF40CC"/>
    <w:rsid w:val="00CF66A6"/>
    <w:rsid w:val="00CF7E71"/>
    <w:rsid w:val="00D04744"/>
    <w:rsid w:val="00D05571"/>
    <w:rsid w:val="00D07804"/>
    <w:rsid w:val="00D16230"/>
    <w:rsid w:val="00D21D2F"/>
    <w:rsid w:val="00D22D65"/>
    <w:rsid w:val="00D246A2"/>
    <w:rsid w:val="00D3193D"/>
    <w:rsid w:val="00D32FF2"/>
    <w:rsid w:val="00D33284"/>
    <w:rsid w:val="00D33C33"/>
    <w:rsid w:val="00D4283E"/>
    <w:rsid w:val="00D42CC3"/>
    <w:rsid w:val="00D43EE1"/>
    <w:rsid w:val="00D53343"/>
    <w:rsid w:val="00D53DE8"/>
    <w:rsid w:val="00D568B6"/>
    <w:rsid w:val="00D62B49"/>
    <w:rsid w:val="00D727BF"/>
    <w:rsid w:val="00D84D85"/>
    <w:rsid w:val="00DA5AA0"/>
    <w:rsid w:val="00DB2054"/>
    <w:rsid w:val="00DB3766"/>
    <w:rsid w:val="00DB69AF"/>
    <w:rsid w:val="00DC0221"/>
    <w:rsid w:val="00DC05B0"/>
    <w:rsid w:val="00DC2B10"/>
    <w:rsid w:val="00DC381C"/>
    <w:rsid w:val="00DC586B"/>
    <w:rsid w:val="00DD197B"/>
    <w:rsid w:val="00DD32CF"/>
    <w:rsid w:val="00DD4682"/>
    <w:rsid w:val="00DD5F84"/>
    <w:rsid w:val="00DE001C"/>
    <w:rsid w:val="00DE01BF"/>
    <w:rsid w:val="00DE5C11"/>
    <w:rsid w:val="00DF2F42"/>
    <w:rsid w:val="00DF4937"/>
    <w:rsid w:val="00DF64E8"/>
    <w:rsid w:val="00DF6604"/>
    <w:rsid w:val="00E017CB"/>
    <w:rsid w:val="00E028C1"/>
    <w:rsid w:val="00E15DE1"/>
    <w:rsid w:val="00E16456"/>
    <w:rsid w:val="00E207E2"/>
    <w:rsid w:val="00E2169A"/>
    <w:rsid w:val="00E22D8E"/>
    <w:rsid w:val="00E23E93"/>
    <w:rsid w:val="00E24DF0"/>
    <w:rsid w:val="00E3073A"/>
    <w:rsid w:val="00E3471F"/>
    <w:rsid w:val="00E36F11"/>
    <w:rsid w:val="00E4207A"/>
    <w:rsid w:val="00E43092"/>
    <w:rsid w:val="00E53918"/>
    <w:rsid w:val="00E5426A"/>
    <w:rsid w:val="00E57763"/>
    <w:rsid w:val="00E66634"/>
    <w:rsid w:val="00E66E85"/>
    <w:rsid w:val="00E74E0B"/>
    <w:rsid w:val="00E80C95"/>
    <w:rsid w:val="00E83DFF"/>
    <w:rsid w:val="00E90BA8"/>
    <w:rsid w:val="00E93667"/>
    <w:rsid w:val="00EA3C46"/>
    <w:rsid w:val="00EA62E5"/>
    <w:rsid w:val="00EA6DD4"/>
    <w:rsid w:val="00EB0DAB"/>
    <w:rsid w:val="00EB2682"/>
    <w:rsid w:val="00EC104E"/>
    <w:rsid w:val="00EC2A9D"/>
    <w:rsid w:val="00EC524A"/>
    <w:rsid w:val="00EC5842"/>
    <w:rsid w:val="00EC7E17"/>
    <w:rsid w:val="00ED08BD"/>
    <w:rsid w:val="00ED12BD"/>
    <w:rsid w:val="00ED12F6"/>
    <w:rsid w:val="00ED1A2E"/>
    <w:rsid w:val="00ED1A90"/>
    <w:rsid w:val="00ED2C4F"/>
    <w:rsid w:val="00ED6879"/>
    <w:rsid w:val="00EE050B"/>
    <w:rsid w:val="00EE33D4"/>
    <w:rsid w:val="00EE4F4E"/>
    <w:rsid w:val="00EF11F7"/>
    <w:rsid w:val="00EF4196"/>
    <w:rsid w:val="00EF49AC"/>
    <w:rsid w:val="00F00061"/>
    <w:rsid w:val="00F02FEE"/>
    <w:rsid w:val="00F04960"/>
    <w:rsid w:val="00F06A8C"/>
    <w:rsid w:val="00F117E6"/>
    <w:rsid w:val="00F11D3D"/>
    <w:rsid w:val="00F13BD8"/>
    <w:rsid w:val="00F233FF"/>
    <w:rsid w:val="00F33C39"/>
    <w:rsid w:val="00F34216"/>
    <w:rsid w:val="00F36A57"/>
    <w:rsid w:val="00F37164"/>
    <w:rsid w:val="00F40D0B"/>
    <w:rsid w:val="00F45408"/>
    <w:rsid w:val="00F4612A"/>
    <w:rsid w:val="00F5441F"/>
    <w:rsid w:val="00F61CA8"/>
    <w:rsid w:val="00F649EA"/>
    <w:rsid w:val="00F65F52"/>
    <w:rsid w:val="00F70B40"/>
    <w:rsid w:val="00F72091"/>
    <w:rsid w:val="00F720CC"/>
    <w:rsid w:val="00F7515F"/>
    <w:rsid w:val="00F811E8"/>
    <w:rsid w:val="00F830C6"/>
    <w:rsid w:val="00F8414E"/>
    <w:rsid w:val="00F9328B"/>
    <w:rsid w:val="00F95434"/>
    <w:rsid w:val="00F9684F"/>
    <w:rsid w:val="00F96DAF"/>
    <w:rsid w:val="00FA1AF1"/>
    <w:rsid w:val="00FA21AA"/>
    <w:rsid w:val="00FA339D"/>
    <w:rsid w:val="00FA4EA3"/>
    <w:rsid w:val="00FA74ED"/>
    <w:rsid w:val="00FB0BE6"/>
    <w:rsid w:val="00FB1102"/>
    <w:rsid w:val="00FB18D5"/>
    <w:rsid w:val="00FB4915"/>
    <w:rsid w:val="00FB7271"/>
    <w:rsid w:val="00FB76CE"/>
    <w:rsid w:val="00FB7872"/>
    <w:rsid w:val="00FC3352"/>
    <w:rsid w:val="00FC6DA0"/>
    <w:rsid w:val="00FD2401"/>
    <w:rsid w:val="00FD4168"/>
    <w:rsid w:val="00FD45B9"/>
    <w:rsid w:val="00FE0719"/>
    <w:rsid w:val="00FE2479"/>
    <w:rsid w:val="00FE376B"/>
    <w:rsid w:val="00FE3967"/>
    <w:rsid w:val="00FE7D52"/>
    <w:rsid w:val="00FF21A5"/>
    <w:rsid w:val="00FF295E"/>
    <w:rsid w:val="00FF3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97312"/>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486062"/>
    <w:rPr>
      <w:color w:val="0000FF"/>
      <w:shd w:val="clear" w:color="auto" w:fill="auto"/>
    </w:rPr>
  </w:style>
  <w:style w:type="paragraph" w:customStyle="1" w:styleId="Pagedecouverture">
    <w:name w:val="Page de couverture"/>
    <w:basedOn w:val="Normal"/>
    <w:next w:val="Normal"/>
    <w:rsid w:val="00486062"/>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4860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062"/>
  </w:style>
  <w:style w:type="paragraph" w:styleId="Footer">
    <w:name w:val="footer"/>
    <w:basedOn w:val="Normal"/>
    <w:link w:val="FooterChar"/>
    <w:uiPriority w:val="99"/>
    <w:unhideWhenUsed/>
    <w:rsid w:val="004860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062"/>
  </w:style>
  <w:style w:type="paragraph" w:customStyle="1" w:styleId="FooterCoverPage">
    <w:name w:val="Footer Cover Page"/>
    <w:basedOn w:val="Normal"/>
    <w:link w:val="FooterCoverPageChar"/>
    <w:rsid w:val="0048606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486062"/>
    <w:rPr>
      <w:rFonts w:ascii="Times New Roman" w:hAnsi="Times New Roman" w:cs="Times New Roman"/>
      <w:sz w:val="24"/>
    </w:rPr>
  </w:style>
  <w:style w:type="paragraph" w:customStyle="1" w:styleId="FooterSensitivity">
    <w:name w:val="Footer Sensitivity"/>
    <w:basedOn w:val="Normal"/>
    <w:link w:val="FooterSensitivityChar"/>
    <w:rsid w:val="00486062"/>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486062"/>
    <w:rPr>
      <w:rFonts w:ascii="Times New Roman" w:hAnsi="Times New Roman" w:cs="Times New Roman"/>
      <w:b/>
      <w:sz w:val="32"/>
    </w:rPr>
  </w:style>
  <w:style w:type="paragraph" w:customStyle="1" w:styleId="HeaderCoverPage">
    <w:name w:val="Header Cover Page"/>
    <w:basedOn w:val="Normal"/>
    <w:link w:val="HeaderCoverPageChar"/>
    <w:rsid w:val="0048606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486062"/>
    <w:rPr>
      <w:rFonts w:ascii="Times New Roman" w:hAnsi="Times New Roman" w:cs="Times New Roman"/>
      <w:sz w:val="24"/>
    </w:rPr>
  </w:style>
  <w:style w:type="paragraph" w:customStyle="1" w:styleId="HeaderSensitivity">
    <w:name w:val="Header Sensitivity"/>
    <w:basedOn w:val="Normal"/>
    <w:link w:val="HeaderSensitivityChar"/>
    <w:rsid w:val="00486062"/>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486062"/>
    <w:rPr>
      <w:rFonts w:ascii="Times New Roman" w:hAnsi="Times New Roman" w:cs="Times New Roman"/>
      <w:b/>
      <w:sz w:val="32"/>
    </w:rPr>
  </w:style>
  <w:style w:type="paragraph" w:customStyle="1" w:styleId="HeaderSensitivityRight">
    <w:name w:val="Header Sensitivity Right"/>
    <w:basedOn w:val="Normal"/>
    <w:link w:val="HeaderSensitivityRightChar"/>
    <w:rsid w:val="00F8414E"/>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486062"/>
    <w:rPr>
      <w:rFonts w:ascii="Times New Roman" w:hAnsi="Times New Roman" w:cs="Times New Roman"/>
      <w:sz w:val="28"/>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Issue Action POC,3,Bullet,L,2"/>
    <w:basedOn w:val="Normal"/>
    <w:link w:val="ListParagraphChar"/>
    <w:uiPriority w:val="34"/>
    <w:qFormat/>
    <w:rsid w:val="00DB2054"/>
    <w:pPr>
      <w:spacing w:after="240" w:line="240" w:lineRule="auto"/>
      <w:ind w:left="720"/>
      <w:contextualSpacing/>
      <w:jc w:val="both"/>
    </w:pPr>
    <w:rPr>
      <w:rFonts w:ascii="Times New Roman" w:eastAsia="Times New Roman" w:hAnsi="Times New Roman" w:cs="Times New Roman"/>
      <w:sz w:val="24"/>
      <w:szCs w:val="20"/>
      <w:lang w:eastAsia="en-I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qFormat/>
    <w:locked/>
    <w:rsid w:val="00DB2054"/>
    <w:rPr>
      <w:rFonts w:ascii="Times New Roman" w:eastAsia="Times New Roman" w:hAnsi="Times New Roman" w:cs="Times New Roman"/>
      <w:sz w:val="24"/>
      <w:szCs w:val="20"/>
      <w:lang w:eastAsia="en-IE"/>
    </w:rPr>
  </w:style>
  <w:style w:type="paragraph" w:customStyle="1" w:styleId="Default">
    <w:name w:val="Default"/>
    <w:link w:val="DefaultChar"/>
    <w:rsid w:val="00DB2054"/>
    <w:pPr>
      <w:autoSpaceDE w:val="0"/>
      <w:autoSpaceDN w:val="0"/>
      <w:adjustRightInd w:val="0"/>
      <w:spacing w:after="0" w:line="240" w:lineRule="auto"/>
    </w:pPr>
    <w:rPr>
      <w:rFonts w:ascii="Verdana" w:hAnsi="Verdana" w:cs="Verdana"/>
      <w:color w:val="000000"/>
      <w:sz w:val="24"/>
      <w:szCs w:val="24"/>
    </w:rPr>
  </w:style>
  <w:style w:type="paragraph" w:styleId="FootnoteText">
    <w:name w:val="footnote text"/>
    <w:basedOn w:val="Normal"/>
    <w:link w:val="FootnoteTextChar"/>
    <w:uiPriority w:val="99"/>
    <w:semiHidden/>
    <w:rsid w:val="00DB2054"/>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B2054"/>
    <w:rPr>
      <w:rFonts w:ascii="Times New Roman" w:eastAsia="Times New Roman" w:hAnsi="Times New Roman" w:cs="Times New Roman"/>
      <w:sz w:val="20"/>
      <w:szCs w:val="20"/>
      <w:lang w:val="sv-SE"/>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ftr"/>
    <w:link w:val="FootnotesymbolCarZchn"/>
    <w:uiPriority w:val="99"/>
    <w:rsid w:val="00DB2054"/>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DB2054"/>
    <w:pPr>
      <w:spacing w:after="160" w:line="240" w:lineRule="exact"/>
      <w:jc w:val="both"/>
    </w:pPr>
    <w:rPr>
      <w:vertAlign w:val="superscript"/>
    </w:rPr>
  </w:style>
  <w:style w:type="paragraph" w:styleId="NormalWeb">
    <w:name w:val="Normal (Web)"/>
    <w:basedOn w:val="Normal"/>
    <w:uiPriority w:val="99"/>
    <w:unhideWhenUsed/>
    <w:rsid w:val="00DB2054"/>
    <w:pPr>
      <w:spacing w:before="100" w:beforeAutospacing="1" w:after="100" w:afterAutospacing="1" w:line="240" w:lineRule="auto"/>
    </w:pPr>
    <w:rPr>
      <w:rFonts w:ascii="Times New Roman" w:hAnsi="Times New Roman" w:cs="Times New Roman"/>
      <w:sz w:val="24"/>
      <w:szCs w:val="24"/>
      <w:lang w:eastAsia="es-ES"/>
    </w:rPr>
  </w:style>
  <w:style w:type="character" w:customStyle="1" w:styleId="DefaultChar">
    <w:name w:val="Default Char"/>
    <w:basedOn w:val="DefaultParagraphFont"/>
    <w:link w:val="Default"/>
    <w:rsid w:val="00DB2054"/>
    <w:rPr>
      <w:rFonts w:ascii="Verdana" w:hAnsi="Verdana" w:cs="Verdana"/>
      <w:color w:val="000000"/>
      <w:sz w:val="24"/>
      <w:szCs w:val="24"/>
      <w:lang w:val="sv-SE"/>
    </w:rPr>
  </w:style>
  <w:style w:type="character" w:styleId="Hyperlink">
    <w:name w:val="Hyperlink"/>
    <w:basedOn w:val="DefaultParagraphFont"/>
    <w:uiPriority w:val="99"/>
    <w:unhideWhenUsed/>
    <w:rsid w:val="00DB2054"/>
    <w:rPr>
      <w:color w:val="0000FF"/>
      <w:u w:val="single"/>
    </w:rPr>
  </w:style>
  <w:style w:type="table" w:styleId="TableGrid">
    <w:name w:val="Table Grid"/>
    <w:basedOn w:val="TableNormal"/>
    <w:uiPriority w:val="39"/>
    <w:rsid w:val="00DB2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inglist1">
    <w:name w:val="Briefing list 1"/>
    <w:basedOn w:val="Normal"/>
    <w:link w:val="Briefinglist1Char"/>
    <w:rsid w:val="00DB2054"/>
    <w:pPr>
      <w:keepLines/>
      <w:numPr>
        <w:numId w:val="2"/>
      </w:numPr>
      <w:spacing w:after="120" w:line="240" w:lineRule="auto"/>
      <w:jc w:val="both"/>
    </w:pPr>
    <w:rPr>
      <w:rFonts w:ascii="Arial" w:eastAsia="Times New Roman" w:hAnsi="Arial" w:cs="Times New Roman"/>
      <w:szCs w:val="24"/>
      <w:lang w:eastAsia="en-GB"/>
    </w:rPr>
  </w:style>
  <w:style w:type="character" w:customStyle="1" w:styleId="Briefinglist1Char">
    <w:name w:val="Briefing list 1 Char"/>
    <w:basedOn w:val="DefaultParagraphFont"/>
    <w:link w:val="Briefinglist1"/>
    <w:rsid w:val="00DB2054"/>
    <w:rPr>
      <w:rFonts w:ascii="Arial" w:eastAsia="Times New Roman" w:hAnsi="Arial" w:cs="Times New Roman"/>
      <w:szCs w:val="24"/>
      <w:lang w:eastAsia="en-GB"/>
    </w:rPr>
  </w:style>
  <w:style w:type="paragraph" w:customStyle="1" w:styleId="Considrant">
    <w:name w:val="Considérant"/>
    <w:basedOn w:val="Normal"/>
    <w:rsid w:val="00DB2054"/>
    <w:pPr>
      <w:numPr>
        <w:numId w:val="3"/>
      </w:numPr>
      <w:spacing w:before="120" w:after="120" w:line="240" w:lineRule="auto"/>
      <w:jc w:val="both"/>
    </w:pPr>
    <w:rPr>
      <w:rFonts w:ascii="Times New Roman" w:hAnsi="Times New Roman" w:cs="Times New Roman"/>
      <w:sz w:val="24"/>
    </w:rPr>
  </w:style>
  <w:style w:type="character" w:customStyle="1" w:styleId="markedcontent">
    <w:name w:val="markedcontent"/>
    <w:basedOn w:val="DefaultParagraphFont"/>
    <w:rsid w:val="00DB2054"/>
  </w:style>
  <w:style w:type="paragraph" w:styleId="BalloonText">
    <w:name w:val="Balloon Text"/>
    <w:basedOn w:val="Normal"/>
    <w:link w:val="BalloonTextChar"/>
    <w:uiPriority w:val="99"/>
    <w:semiHidden/>
    <w:unhideWhenUsed/>
    <w:rsid w:val="007A6A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AD0"/>
    <w:rPr>
      <w:rFonts w:ascii="Segoe UI" w:hAnsi="Segoe UI" w:cs="Segoe UI"/>
      <w:sz w:val="18"/>
      <w:szCs w:val="18"/>
    </w:rPr>
  </w:style>
  <w:style w:type="character" w:styleId="CommentReference">
    <w:name w:val="annotation reference"/>
    <w:basedOn w:val="DefaultParagraphFont"/>
    <w:uiPriority w:val="99"/>
    <w:semiHidden/>
    <w:unhideWhenUsed/>
    <w:rsid w:val="007A6AD0"/>
    <w:rPr>
      <w:sz w:val="16"/>
      <w:szCs w:val="16"/>
    </w:rPr>
  </w:style>
  <w:style w:type="paragraph" w:styleId="CommentText">
    <w:name w:val="annotation text"/>
    <w:basedOn w:val="Normal"/>
    <w:link w:val="CommentTextChar"/>
    <w:uiPriority w:val="99"/>
    <w:semiHidden/>
    <w:unhideWhenUsed/>
    <w:rsid w:val="007A6AD0"/>
    <w:pPr>
      <w:spacing w:line="240" w:lineRule="auto"/>
    </w:pPr>
    <w:rPr>
      <w:sz w:val="20"/>
      <w:szCs w:val="20"/>
    </w:rPr>
  </w:style>
  <w:style w:type="character" w:customStyle="1" w:styleId="CommentTextChar">
    <w:name w:val="Comment Text Char"/>
    <w:basedOn w:val="DefaultParagraphFont"/>
    <w:link w:val="CommentText"/>
    <w:uiPriority w:val="99"/>
    <w:semiHidden/>
    <w:rsid w:val="007A6AD0"/>
    <w:rPr>
      <w:sz w:val="20"/>
      <w:szCs w:val="20"/>
    </w:rPr>
  </w:style>
  <w:style w:type="paragraph" w:styleId="CommentSubject">
    <w:name w:val="annotation subject"/>
    <w:basedOn w:val="CommentText"/>
    <w:next w:val="CommentText"/>
    <w:link w:val="CommentSubjectChar"/>
    <w:uiPriority w:val="99"/>
    <w:semiHidden/>
    <w:unhideWhenUsed/>
    <w:rsid w:val="002D19C7"/>
    <w:rPr>
      <w:b/>
      <w:bCs/>
    </w:rPr>
  </w:style>
  <w:style w:type="character" w:customStyle="1" w:styleId="CommentSubjectChar">
    <w:name w:val="Comment Subject Char"/>
    <w:basedOn w:val="CommentTextChar"/>
    <w:link w:val="CommentSubject"/>
    <w:uiPriority w:val="99"/>
    <w:semiHidden/>
    <w:rsid w:val="002D19C7"/>
    <w:rPr>
      <w:b/>
      <w:bCs/>
      <w:sz w:val="20"/>
      <w:szCs w:val="20"/>
    </w:rPr>
  </w:style>
  <w:style w:type="paragraph" w:styleId="Revision">
    <w:name w:val="Revision"/>
    <w:hidden/>
    <w:uiPriority w:val="99"/>
    <w:semiHidden/>
    <w:rsid w:val="00CF40CC"/>
    <w:pPr>
      <w:spacing w:after="0" w:line="240" w:lineRule="auto"/>
    </w:pPr>
  </w:style>
  <w:style w:type="character" w:customStyle="1" w:styleId="Heading2Char">
    <w:name w:val="Heading 2 Char"/>
    <w:basedOn w:val="DefaultParagraphFont"/>
    <w:link w:val="Heading2"/>
    <w:uiPriority w:val="9"/>
    <w:rsid w:val="00197312"/>
    <w:rPr>
      <w:rFonts w:ascii="Times New Roman" w:eastAsia="Times New Roman" w:hAnsi="Times New Roman" w:cs="Times New Roman"/>
      <w:b/>
      <w:bCs/>
      <w:sz w:val="36"/>
      <w:szCs w:val="36"/>
      <w:lang w:val="sv-SE" w:eastAsia="en-IE"/>
    </w:rPr>
  </w:style>
  <w:style w:type="paragraph" w:customStyle="1" w:styleId="Disclaimer">
    <w:name w:val="Disclaimer"/>
    <w:basedOn w:val="Normal"/>
    <w:rsid w:val="00F8414E"/>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F8414E"/>
    <w:pPr>
      <w:spacing w:after="0"/>
      <w:ind w:left="5103"/>
    </w:pPr>
    <w:rPr>
      <w:rFonts w:ascii="Times New Roman" w:hAnsi="Times New Roman" w:cs="Times New Roman"/>
      <w:sz w:val="28"/>
    </w:rPr>
  </w:style>
  <w:style w:type="paragraph" w:customStyle="1" w:styleId="DateMarking">
    <w:name w:val="DateMarking"/>
    <w:basedOn w:val="Normal"/>
    <w:rsid w:val="00F8414E"/>
    <w:pPr>
      <w:spacing w:after="0"/>
      <w:ind w:left="5103"/>
    </w:pPr>
    <w:rPr>
      <w:rFonts w:ascii="Times New Roman" w:hAnsi="Times New Roman" w:cs="Times New Roman"/>
      <w:i/>
      <w:sz w:val="28"/>
    </w:rPr>
  </w:style>
  <w:style w:type="paragraph" w:customStyle="1" w:styleId="ReleasableTo">
    <w:name w:val="ReleasableTo"/>
    <w:basedOn w:val="Normal"/>
    <w:rsid w:val="00F8414E"/>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093951">
      <w:bodyDiv w:val="1"/>
      <w:marLeft w:val="0"/>
      <w:marRight w:val="0"/>
      <w:marTop w:val="0"/>
      <w:marBottom w:val="0"/>
      <w:divBdr>
        <w:top w:val="none" w:sz="0" w:space="0" w:color="auto"/>
        <w:left w:val="none" w:sz="0" w:space="0" w:color="auto"/>
        <w:bottom w:val="none" w:sz="0" w:space="0" w:color="auto"/>
        <w:right w:val="none" w:sz="0" w:space="0" w:color="auto"/>
      </w:divBdr>
    </w:div>
    <w:div w:id="995959802">
      <w:bodyDiv w:val="1"/>
      <w:marLeft w:val="0"/>
      <w:marRight w:val="0"/>
      <w:marTop w:val="0"/>
      <w:marBottom w:val="0"/>
      <w:divBdr>
        <w:top w:val="none" w:sz="0" w:space="0" w:color="auto"/>
        <w:left w:val="none" w:sz="0" w:space="0" w:color="auto"/>
        <w:bottom w:val="none" w:sz="0" w:space="0" w:color="auto"/>
        <w:right w:val="none" w:sz="0" w:space="0" w:color="auto"/>
      </w:divBdr>
    </w:div>
    <w:div w:id="100886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c.europa.eu/home-affairs/communication-providing-operational-guidelines-external-border-management-eu-ukraine-borders_en"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strategy/priorities-2019-2024/stronger-europe-world/eu-solidarity-ukraine_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1D5D0-8B06-434D-A2EA-3741E62DE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3357</Words>
  <Characters>19605</Characters>
  <Application>Microsoft Office Word</Application>
  <DocSecurity>0</DocSecurity>
  <Lines>292</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2022-03-07T17:57:00Z</dcterms:created>
  <dcterms:modified xsi:type="dcterms:W3CDTF">2022-03-09T15:26:00Z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20200226</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CP-009</vt:lpwstr>
  </property>
</Properties>
</file>