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9A" w:rsidRDefault="00EE5D88" w:rsidP="00EE5D88">
      <w:pPr>
        <w:pStyle w:val="Pagedecouverture"/>
        <w:rPr>
          <w:noProof/>
          <w:shd w:val="clear" w:color="auto" w:fill="FFFFFF"/>
        </w:rPr>
      </w:pPr>
      <w:bookmarkStart w:id="0" w:name="LW_BM_COVERPAGE"/>
      <w:r>
        <w:rPr>
          <w:noProof/>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6164EDC-64EA-4F11-9240-06D41D6AD480" style="width:455.25pt;height:365.25pt">
            <v:imagedata r:id="rId8" o:title=""/>
          </v:shape>
        </w:pict>
      </w:r>
    </w:p>
    <w:bookmarkEnd w:id="0"/>
    <w:p w:rsidR="00E5429A" w:rsidRDefault="00E5429A" w:rsidP="00E5429A">
      <w:pPr>
        <w:rPr>
          <w:noProof/>
          <w:shd w:val="clear" w:color="auto" w:fill="FFFFFF"/>
        </w:rPr>
        <w:sectPr w:rsidR="00E5429A" w:rsidSect="00EE5D88">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E65607" w:rsidRPr="00515D76" w:rsidRDefault="00E65607" w:rsidP="00E65607">
      <w:pPr>
        <w:jc w:val="both"/>
        <w:rPr>
          <w:rFonts w:ascii="Times New Roman" w:hAnsi="Times New Roman" w:cs="Times New Roman"/>
          <w:b/>
          <w:noProof/>
          <w:color w:val="000000"/>
          <w:sz w:val="24"/>
          <w:szCs w:val="24"/>
          <w:shd w:val="clear" w:color="auto" w:fill="FFFFFF"/>
        </w:rPr>
      </w:pPr>
      <w:bookmarkStart w:id="1" w:name="_GoBack"/>
      <w:bookmarkEnd w:id="1"/>
      <w:r w:rsidRPr="00515D76">
        <w:rPr>
          <w:rFonts w:ascii="Times New Roman" w:hAnsi="Times New Roman"/>
          <w:b/>
          <w:noProof/>
          <w:color w:val="000000"/>
          <w:sz w:val="24"/>
          <w:szCs w:val="24"/>
          <w:shd w:val="clear" w:color="auto" w:fill="FFFFFF"/>
        </w:rPr>
        <w:lastRenderedPageBreak/>
        <w:t xml:space="preserve">INTRODUCERE </w:t>
      </w:r>
    </w:p>
    <w:p w:rsidR="00A46800" w:rsidRDefault="00E65607" w:rsidP="00A46800">
      <w:pPr>
        <w:jc w:val="both"/>
        <w:rPr>
          <w:rFonts w:ascii="Times New Roman" w:eastAsia="Times New Roman" w:hAnsi="Times New Roman" w:cs="Times New Roman"/>
          <w:noProof/>
          <w:color w:val="000000" w:themeColor="text1"/>
          <w:sz w:val="24"/>
          <w:szCs w:val="24"/>
        </w:rPr>
      </w:pPr>
      <w:r w:rsidRPr="00515D76">
        <w:rPr>
          <w:rFonts w:ascii="Times New Roman" w:hAnsi="Times New Roman"/>
          <w:b/>
          <w:noProof/>
          <w:sz w:val="24"/>
          <w:szCs w:val="24"/>
        </w:rPr>
        <w:t>Ca urmare a invaziei Ucrainei de către Rusia, necesitatea unei tranziții rapide către energia curată nu a fost niciodată mai puternică și mai clară.</w:t>
      </w:r>
      <w:r>
        <w:rPr>
          <w:rFonts w:ascii="Times New Roman" w:hAnsi="Times New Roman"/>
          <w:noProof/>
          <w:color w:val="000000"/>
          <w:sz w:val="24"/>
          <w:szCs w:val="24"/>
          <w:shd w:val="clear" w:color="auto" w:fill="FFFFFF"/>
        </w:rPr>
        <w:t xml:space="preserve"> </w:t>
      </w:r>
      <w:r>
        <w:rPr>
          <w:rFonts w:ascii="Times New Roman" w:hAnsi="Times New Roman"/>
          <w:noProof/>
          <w:sz w:val="24"/>
          <w:szCs w:val="24"/>
        </w:rPr>
        <w:t xml:space="preserve">UE importă </w:t>
      </w:r>
      <w:r w:rsidRPr="00515D76">
        <w:rPr>
          <w:rFonts w:ascii="Times New Roman" w:hAnsi="Times New Roman"/>
          <w:noProof/>
          <w:sz w:val="24"/>
          <w:szCs w:val="24"/>
        </w:rPr>
        <w:t>90</w:t>
      </w:r>
      <w:r>
        <w:rPr>
          <w:rFonts w:ascii="Times New Roman" w:hAnsi="Times New Roman"/>
          <w:noProof/>
          <w:sz w:val="24"/>
          <w:szCs w:val="24"/>
        </w:rPr>
        <w:t xml:space="preserve"> % din consumul său de gaze, Rusia furnizând peste </w:t>
      </w:r>
      <w:r w:rsidRPr="00515D76">
        <w:rPr>
          <w:rFonts w:ascii="Times New Roman" w:hAnsi="Times New Roman"/>
          <w:noProof/>
          <w:sz w:val="24"/>
          <w:szCs w:val="24"/>
        </w:rPr>
        <w:t>40</w:t>
      </w:r>
      <w:r>
        <w:rPr>
          <w:rFonts w:ascii="Times New Roman" w:hAnsi="Times New Roman"/>
          <w:noProof/>
          <w:sz w:val="24"/>
          <w:szCs w:val="24"/>
        </w:rPr>
        <w:t> % din consumul total de gaze al UE.</w:t>
      </w:r>
      <w:r>
        <w:rPr>
          <w:rFonts w:ascii="Times New Roman" w:hAnsi="Times New Roman"/>
          <w:noProof/>
          <w:color w:val="000000"/>
          <w:sz w:val="24"/>
          <w:szCs w:val="24"/>
          <w:shd w:val="clear" w:color="auto" w:fill="FFFFFF"/>
        </w:rPr>
        <w:t xml:space="preserve"> </w:t>
      </w:r>
      <w:r>
        <w:rPr>
          <w:rFonts w:ascii="Times New Roman" w:hAnsi="Times New Roman"/>
          <w:noProof/>
          <w:color w:val="000000" w:themeColor="text1"/>
          <w:sz w:val="24"/>
          <w:szCs w:val="24"/>
        </w:rPr>
        <w:t xml:space="preserve">Rusia asigură, de asemenea, </w:t>
      </w:r>
      <w:r w:rsidRPr="00515D76">
        <w:rPr>
          <w:rFonts w:ascii="Times New Roman" w:hAnsi="Times New Roman"/>
          <w:noProof/>
          <w:color w:val="000000" w:themeColor="text1"/>
          <w:sz w:val="24"/>
          <w:szCs w:val="24"/>
        </w:rPr>
        <w:t>27</w:t>
      </w:r>
      <w:r>
        <w:rPr>
          <w:rFonts w:ascii="Times New Roman" w:hAnsi="Times New Roman"/>
          <w:noProof/>
          <w:color w:val="000000" w:themeColor="text1"/>
          <w:sz w:val="24"/>
          <w:szCs w:val="24"/>
        </w:rPr>
        <w:t xml:space="preserve"> % din importurile UE de petrol și </w:t>
      </w:r>
      <w:r w:rsidRPr="00515D76">
        <w:rPr>
          <w:rFonts w:ascii="Times New Roman" w:hAnsi="Times New Roman"/>
          <w:noProof/>
          <w:color w:val="000000" w:themeColor="text1"/>
          <w:sz w:val="24"/>
          <w:szCs w:val="24"/>
        </w:rPr>
        <w:t>46</w:t>
      </w:r>
      <w:r>
        <w:rPr>
          <w:rFonts w:ascii="Times New Roman" w:hAnsi="Times New Roman"/>
          <w:noProof/>
          <w:color w:val="000000" w:themeColor="text1"/>
          <w:sz w:val="24"/>
          <w:szCs w:val="24"/>
        </w:rPr>
        <w:t xml:space="preserve"> % din importurile sale de cărbune. </w:t>
      </w:r>
    </w:p>
    <w:p w:rsidR="7350473E" w:rsidRPr="00515D76" w:rsidRDefault="7350473E" w:rsidP="7350473E">
      <w:pPr>
        <w:spacing w:after="120" w:line="257" w:lineRule="auto"/>
        <w:jc w:val="both"/>
        <w:rPr>
          <w:rFonts w:ascii="Times New Roman" w:hAnsi="Times New Roman" w:cs="Times New Roman"/>
          <w:i/>
          <w:iCs/>
          <w:noProof/>
          <w:color w:val="000000" w:themeColor="text1"/>
          <w:sz w:val="24"/>
          <w:szCs w:val="24"/>
        </w:rPr>
      </w:pPr>
      <w:r w:rsidRPr="00515D76">
        <w:rPr>
          <w:rFonts w:ascii="Times New Roman" w:hAnsi="Times New Roman"/>
          <w:i/>
          <w:iCs/>
          <w:noProof/>
          <w:color w:val="000000" w:themeColor="text1"/>
          <w:sz w:val="24"/>
          <w:szCs w:val="24"/>
        </w:rPr>
        <w:t>Ponderea importurilor de gaze naturale în UE, 2021</w:t>
      </w:r>
    </w:p>
    <w:p w:rsidR="619E5313" w:rsidRDefault="619E5313" w:rsidP="619E5313">
      <w:pPr>
        <w:spacing w:after="120" w:line="257" w:lineRule="auto"/>
        <w:jc w:val="both"/>
        <w:rPr>
          <w:rFonts w:ascii="Times New Roman" w:hAnsi="Times New Roman" w:cs="Times New Roman"/>
          <w:noProof/>
          <w:color w:val="000000" w:themeColor="text1"/>
          <w:sz w:val="24"/>
          <w:szCs w:val="24"/>
        </w:rPr>
      </w:pPr>
    </w:p>
    <w:p w:rsidR="00D55C35" w:rsidRDefault="00515D76" w:rsidP="1F245BCA">
      <w:pPr>
        <w:spacing w:after="120"/>
        <w:jc w:val="center"/>
        <w:rPr>
          <w:noProof/>
        </w:rPr>
      </w:pPr>
      <w:r w:rsidRPr="00515D76">
        <w:rPr>
          <w:noProof/>
          <w:lang w:val="en-GB" w:eastAsia="en-GB"/>
        </w:rPr>
        <w:drawing>
          <wp:inline distT="0" distB="0" distL="0" distR="0" wp14:anchorId="3F9DC6E1" wp14:editId="7A61DCAE">
            <wp:extent cx="3765600" cy="256680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65600" cy="2566800"/>
                    </a:xfrm>
                    <a:prstGeom prst="rect">
                      <a:avLst/>
                    </a:prstGeom>
                  </pic:spPr>
                </pic:pic>
              </a:graphicData>
            </a:graphic>
          </wp:inline>
        </w:drawing>
      </w:r>
    </w:p>
    <w:p w:rsidR="7350473E" w:rsidRPr="00515D76" w:rsidRDefault="7350473E" w:rsidP="7350473E">
      <w:pPr>
        <w:spacing w:after="120" w:line="257" w:lineRule="auto"/>
        <w:jc w:val="both"/>
        <w:rPr>
          <w:rFonts w:ascii="Times New Roman" w:hAnsi="Times New Roman" w:cs="Times New Roman"/>
          <w:i/>
          <w:iCs/>
          <w:noProof/>
          <w:color w:val="000000" w:themeColor="text1"/>
          <w:sz w:val="20"/>
          <w:szCs w:val="20"/>
        </w:rPr>
      </w:pPr>
      <w:r w:rsidRPr="00515D76">
        <w:rPr>
          <w:rFonts w:ascii="Times New Roman" w:hAnsi="Times New Roman"/>
          <w:i/>
          <w:iCs/>
          <w:noProof/>
          <w:color w:val="000000" w:themeColor="text1"/>
          <w:sz w:val="20"/>
          <w:szCs w:val="20"/>
        </w:rPr>
        <w:t xml:space="preserve">Sursa: Comisia Europeană </w:t>
      </w:r>
    </w:p>
    <w:p w:rsidR="00174033" w:rsidRPr="00515D76" w:rsidRDefault="00174033" w:rsidP="00824F30">
      <w:pPr>
        <w:spacing w:line="257" w:lineRule="auto"/>
        <w:jc w:val="both"/>
        <w:rPr>
          <w:rFonts w:ascii="Times New Roman" w:eastAsia="Times New Roman" w:hAnsi="Times New Roman" w:cs="Times New Roman"/>
          <w:b/>
          <w:noProof/>
          <w:color w:val="000000" w:themeColor="text1"/>
          <w:sz w:val="24"/>
          <w:szCs w:val="24"/>
        </w:rPr>
      </w:pPr>
    </w:p>
    <w:p w:rsidR="005C425D" w:rsidRPr="00515D76" w:rsidRDefault="00A46800" w:rsidP="00824F30">
      <w:pPr>
        <w:spacing w:line="257" w:lineRule="auto"/>
        <w:jc w:val="both"/>
        <w:rPr>
          <w:rFonts w:ascii="Times New Roman" w:hAnsi="Times New Roman" w:cs="Times New Roman"/>
          <w:b/>
          <w:noProof/>
          <w:color w:val="000000"/>
          <w:sz w:val="24"/>
          <w:szCs w:val="24"/>
          <w:shd w:val="clear" w:color="auto" w:fill="FFFFFF"/>
        </w:rPr>
      </w:pPr>
      <w:r w:rsidRPr="00515D76">
        <w:rPr>
          <w:rFonts w:ascii="Times New Roman" w:hAnsi="Times New Roman"/>
          <w:b/>
          <w:noProof/>
          <w:color w:val="000000" w:themeColor="text1"/>
          <w:sz w:val="24"/>
          <w:szCs w:val="24"/>
        </w:rPr>
        <w:t xml:space="preserve">UE trebuie să fie pregătită pentru orice scenariu. Uniunea poate ajunge să fie independentă de gazele rusești cu mult înainte de sfârșitul deceniului. </w:t>
      </w:r>
      <w:r w:rsidRPr="00515D76">
        <w:rPr>
          <w:rFonts w:ascii="Times New Roman" w:hAnsi="Times New Roman"/>
          <w:b/>
          <w:bCs/>
          <w:noProof/>
          <w:color w:val="000000" w:themeColor="text1"/>
          <w:sz w:val="24"/>
          <w:szCs w:val="24"/>
        </w:rPr>
        <w:t>Cu cât mai repede și mai decisiv</w:t>
      </w:r>
      <w:r>
        <w:rPr>
          <w:rFonts w:ascii="Times New Roman" w:hAnsi="Times New Roman"/>
          <w:noProof/>
          <w:color w:val="000000" w:themeColor="text1"/>
          <w:sz w:val="24"/>
          <w:szCs w:val="24"/>
        </w:rPr>
        <w:t xml:space="preserve"> ne vom diversifica sursele de aprovizionare, vom accelera implementarea tehnologiilor energetice ecologice și ne vom reduce cererea de energie, cu atât mai repede vom putea înlocui gazele rusești. </w:t>
      </w:r>
      <w:r w:rsidRPr="00515D76">
        <w:rPr>
          <w:rFonts w:ascii="Times New Roman" w:hAnsi="Times New Roman"/>
          <w:b/>
          <w:noProof/>
          <w:color w:val="000000"/>
          <w:sz w:val="24"/>
          <w:szCs w:val="24"/>
          <w:shd w:val="clear" w:color="auto" w:fill="FFFFFF"/>
        </w:rPr>
        <w:t>Prezenta comunicare stabilește noi acțiuni de intensificare a producției de energie verde, de diversificare a surselor de aprovizionare și de reducere a cererii, concentrându-se în primul rând asupra gazelor, care influențează în mod semnificativ piața energiei electrice și în cazul cărora piața mondială este mai puțin lichidă. În plus, se poate pune accent și pe eliminarea treptată a dependenței de petrol și de cărbune din Rusia, pentru care UE are o gamă mai mare de potențiali furnizori.</w:t>
      </w:r>
    </w:p>
    <w:p w:rsidR="00955F3B" w:rsidRDefault="00160AED" w:rsidP="00E65607">
      <w:pPr>
        <w:spacing w:line="257"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themeColor="text1"/>
          <w:sz w:val="24"/>
          <w:szCs w:val="24"/>
        </w:rPr>
        <w:t>Accelerarea tranziției verzi va reduce emisiile și dependența de combustibilii fosili importați și va asigura protecție împotriva majorării prețurilor.</w:t>
      </w:r>
      <w:r w:rsidRPr="00515D76">
        <w:rPr>
          <w:rFonts w:ascii="Times New Roman" w:hAnsi="Times New Roman"/>
          <w:b/>
          <w:noProof/>
          <w:color w:val="000000" w:themeColor="text1"/>
          <w:sz w:val="24"/>
          <w:szCs w:val="24"/>
        </w:rPr>
        <w:t xml:space="preserve"> </w:t>
      </w:r>
      <w:r>
        <w:rPr>
          <w:rFonts w:ascii="Times New Roman" w:hAnsi="Times New Roman"/>
          <w:noProof/>
          <w:sz w:val="24"/>
          <w:szCs w:val="24"/>
        </w:rPr>
        <w:t>Creșterea prețurilor combustibililor fosili i-a afectat în mod deosebit pe consumatorii casnici vulnerabili sau săraci din punct de vedere energetic, care cheltuiesc o mare parte din venitul lor total pe facturile la energie</w:t>
      </w:r>
      <w:r>
        <w:rPr>
          <w:rStyle w:val="FootnoteReference"/>
          <w:rFonts w:ascii="Times New Roman" w:hAnsi="Times New Roman" w:cs="Times New Roman"/>
          <w:noProof/>
          <w:color w:val="000000"/>
          <w:sz w:val="24"/>
          <w:szCs w:val="24"/>
          <w:shd w:val="clear" w:color="auto" w:fill="FFFFFF"/>
        </w:rPr>
        <w:footnoteReference w:id="2"/>
      </w:r>
      <w:r>
        <w:rPr>
          <w:rFonts w:ascii="Times New Roman" w:hAnsi="Times New Roman"/>
          <w:noProof/>
          <w:sz w:val="24"/>
          <w:szCs w:val="24"/>
        </w:rPr>
        <w:t>, exacerbând astfel disparitățile și inegalitățile din UE.</w:t>
      </w:r>
      <w:r>
        <w:rPr>
          <w:rFonts w:ascii="Times New Roman" w:hAnsi="Times New Roman"/>
          <w:noProof/>
          <w:color w:val="000000"/>
          <w:sz w:val="24"/>
          <w:szCs w:val="24"/>
          <w:shd w:val="clear" w:color="auto" w:fill="FFFFFF"/>
        </w:rPr>
        <w:t xml:space="preserve"> Întreprinderile, în special industriile mari consumatoare de energie, precum și sectorul agroalimentar se confruntă cu costuri de producție mai mari.</w:t>
      </w:r>
    </w:p>
    <w:p w:rsidR="00174033" w:rsidRPr="0063724F" w:rsidRDefault="00955F3B" w:rsidP="00955F3B">
      <w:pPr>
        <w:spacing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Pentru a oferi întreprinderilor și gospodăriilor o energie accesibilă ca preț, sigură și curată, este nevoie de acțiuni decisive, printre cele care trebuie întreprinse imediat numărându-se reducerea prețurilor și stocarea gazelor pentru iarna următoare.</w:t>
      </w:r>
      <w:r>
        <w:rPr>
          <w:rFonts w:ascii="Times New Roman" w:hAnsi="Times New Roman"/>
          <w:noProof/>
          <w:color w:val="000000" w:themeColor="text1"/>
          <w:sz w:val="24"/>
          <w:szCs w:val="24"/>
        </w:rPr>
        <w:t xml:space="preserve"> </w:t>
      </w:r>
    </w:p>
    <w:p w:rsidR="00A75A39" w:rsidRPr="00515D76" w:rsidRDefault="000C3F2D" w:rsidP="000E6ACB">
      <w:pPr>
        <w:pStyle w:val="ListParagraph"/>
        <w:keepNext/>
        <w:keepLines/>
        <w:numPr>
          <w:ilvl w:val="0"/>
          <w:numId w:val="4"/>
        </w:numPr>
        <w:rPr>
          <w:rFonts w:ascii="Times New Roman" w:eastAsia="Times New Roman" w:hAnsi="Times New Roman" w:cs="Times New Roman"/>
          <w:b/>
          <w:caps/>
          <w:noProof/>
          <w:color w:val="000000"/>
          <w:sz w:val="24"/>
          <w:szCs w:val="24"/>
        </w:rPr>
      </w:pPr>
      <w:r w:rsidRPr="00515D76">
        <w:rPr>
          <w:rFonts w:ascii="Times New Roman" w:hAnsi="Times New Roman"/>
          <w:b/>
          <w:bCs/>
          <w:caps/>
          <w:noProof/>
          <w:sz w:val="24"/>
          <w:szCs w:val="24"/>
        </w:rPr>
        <w:t>Abordarea situației de urgență</w:t>
      </w:r>
    </w:p>
    <w:p w:rsidR="000D2392" w:rsidRPr="00515D76" w:rsidRDefault="000D2392" w:rsidP="00A75A39">
      <w:pPr>
        <w:spacing w:after="120"/>
        <w:jc w:val="both"/>
        <w:rPr>
          <w:rFonts w:ascii="Times New Roman" w:hAnsi="Times New Roman" w:cs="Times New Roman"/>
          <w:b/>
          <w:bCs/>
          <w:noProof/>
          <w:color w:val="000000" w:themeColor="text1"/>
          <w:sz w:val="24"/>
          <w:szCs w:val="24"/>
        </w:rPr>
      </w:pPr>
      <w:r w:rsidRPr="00515D76">
        <w:rPr>
          <w:rFonts w:ascii="Times New Roman" w:hAnsi="Times New Roman"/>
          <w:b/>
          <w:noProof/>
          <w:sz w:val="24"/>
          <w:szCs w:val="24"/>
        </w:rPr>
        <w:t xml:space="preserve">Prețurile foarte ridicate ale energiei afectează economia. </w:t>
      </w:r>
      <w:r>
        <w:rPr>
          <w:rFonts w:ascii="Times New Roman" w:hAnsi="Times New Roman"/>
          <w:noProof/>
          <w:sz w:val="24"/>
          <w:szCs w:val="24"/>
        </w:rPr>
        <w:t xml:space="preserve">Banca Centrală Europeană a estimat înainte de invazie că șocurile prețurilor energiei vor reduce creșterea PIB-ului cu aproximativ </w:t>
      </w:r>
      <w:r w:rsidRPr="00515D76">
        <w:rPr>
          <w:rFonts w:ascii="Times New Roman" w:hAnsi="Times New Roman"/>
          <w:noProof/>
          <w:sz w:val="24"/>
          <w:szCs w:val="24"/>
        </w:rPr>
        <w:t>0</w:t>
      </w:r>
      <w:r>
        <w:rPr>
          <w:rFonts w:ascii="Times New Roman" w:hAnsi="Times New Roman"/>
          <w:noProof/>
          <w:sz w:val="24"/>
          <w:szCs w:val="24"/>
        </w:rPr>
        <w:t>,</w:t>
      </w:r>
      <w:r w:rsidRPr="00515D76">
        <w:rPr>
          <w:rFonts w:ascii="Times New Roman" w:hAnsi="Times New Roman"/>
          <w:noProof/>
          <w:sz w:val="24"/>
          <w:szCs w:val="24"/>
        </w:rPr>
        <w:t>5</w:t>
      </w:r>
      <w:r>
        <w:rPr>
          <w:rFonts w:ascii="Times New Roman" w:hAnsi="Times New Roman"/>
          <w:noProof/>
          <w:sz w:val="24"/>
          <w:szCs w:val="24"/>
        </w:rPr>
        <w:t xml:space="preserve"> puncte procentuale în </w:t>
      </w:r>
      <w:r w:rsidRPr="00515D76">
        <w:rPr>
          <w:rFonts w:ascii="Times New Roman" w:hAnsi="Times New Roman"/>
          <w:noProof/>
          <w:sz w:val="24"/>
          <w:szCs w:val="24"/>
        </w:rPr>
        <w:t>2022</w:t>
      </w:r>
      <w:r>
        <w:rPr>
          <w:rFonts w:ascii="Times New Roman" w:hAnsi="Times New Roman"/>
          <w:noProof/>
          <w:sz w:val="24"/>
          <w:szCs w:val="24"/>
        </w:rPr>
        <w:t>.</w:t>
      </w:r>
      <w:r w:rsidRPr="00515D76">
        <w:rPr>
          <w:rFonts w:ascii="Times New Roman" w:hAnsi="Times New Roman"/>
          <w:b/>
          <w:noProof/>
          <w:sz w:val="24"/>
          <w:szCs w:val="24"/>
        </w:rPr>
        <w:t xml:space="preserve"> </w:t>
      </w:r>
      <w:r>
        <w:rPr>
          <w:rFonts w:ascii="Times New Roman" w:hAnsi="Times New Roman"/>
          <w:noProof/>
          <w:sz w:val="24"/>
          <w:szCs w:val="24"/>
        </w:rPr>
        <w:t>Prețurile constant ridicate ale energiei sunt susceptibile să ducă la creșterea sărăciei și să afecteze competitivitatea întreprinderilor. În special industriile mari consumatoare de energie s-au confruntat cu costuri de producție mai mari</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w:t>
      </w:r>
      <w:r w:rsidRPr="00515D76">
        <w:rPr>
          <w:rFonts w:ascii="Times New Roman" w:hAnsi="Times New Roman"/>
          <w:b/>
          <w:noProof/>
          <w:sz w:val="24"/>
          <w:szCs w:val="24"/>
        </w:rPr>
        <w:t xml:space="preserve"> </w:t>
      </w:r>
      <w:r>
        <w:rPr>
          <w:rFonts w:ascii="Times New Roman" w:hAnsi="Times New Roman"/>
          <w:noProof/>
          <w:sz w:val="24"/>
          <w:szCs w:val="24"/>
        </w:rPr>
        <w:t xml:space="preserve">Prețurile ridicate ale energiei se traduc în prețuri mai mari ale altor produse de bază, în special ale alimentelor. Combinația dintre creșterea prețurilor la energie și la transport și creșterea prețurilor la alimente ar exacerba presiunea asupra gospodăriilor cu venituri mici, în cazul cărora riscul de sărăcie este ridicat. </w:t>
      </w:r>
    </w:p>
    <w:p w:rsidR="004A1B0E" w:rsidRDefault="00A75A39" w:rsidP="00A75A39">
      <w:pPr>
        <w:spacing w:after="120"/>
        <w:jc w:val="both"/>
        <w:rPr>
          <w:rFonts w:ascii="Times New Roman" w:hAnsi="Times New Roman" w:cs="Times New Roman"/>
          <w:noProof/>
          <w:color w:val="000000" w:themeColor="text1"/>
          <w:sz w:val="24"/>
          <w:szCs w:val="24"/>
        </w:rPr>
      </w:pPr>
      <w:r w:rsidRPr="00515D76">
        <w:rPr>
          <w:rFonts w:ascii="Times New Roman" w:hAnsi="Times New Roman"/>
          <w:b/>
          <w:bCs/>
          <w:noProof/>
          <w:sz w:val="24"/>
          <w:szCs w:val="24"/>
        </w:rPr>
        <w:t>Setul de instrumente al Comisiei</w:t>
      </w:r>
      <w:r w:rsidRPr="00515D76">
        <w:rPr>
          <w:rStyle w:val="FootnoteReference"/>
          <w:rFonts w:ascii="Times New Roman" w:hAnsi="Times New Roman" w:cs="Times New Roman"/>
          <w:b/>
          <w:bCs/>
          <w:noProof/>
          <w:color w:val="000000"/>
          <w:sz w:val="24"/>
          <w:szCs w:val="24"/>
          <w:shd w:val="clear" w:color="auto" w:fill="FFFFFF"/>
        </w:rPr>
        <w:footnoteReference w:id="4"/>
      </w:r>
      <w:r>
        <w:rPr>
          <w:rFonts w:ascii="Times New Roman" w:hAnsi="Times New Roman"/>
          <w:noProof/>
          <w:sz w:val="24"/>
          <w:szCs w:val="24"/>
        </w:rPr>
        <w:t xml:space="preserve"> din octombrie </w:t>
      </w:r>
      <w:r w:rsidRPr="00515D76">
        <w:rPr>
          <w:rFonts w:ascii="Times New Roman" w:hAnsi="Times New Roman"/>
          <w:noProof/>
          <w:sz w:val="24"/>
          <w:szCs w:val="24"/>
        </w:rPr>
        <w:t>2021</w:t>
      </w:r>
      <w:r>
        <w:rPr>
          <w:rFonts w:ascii="Times New Roman" w:hAnsi="Times New Roman"/>
          <w:noProof/>
          <w:sz w:val="24"/>
          <w:szCs w:val="24"/>
        </w:rPr>
        <w:t xml:space="preserve"> a contribuit la atenuarea impactului prețurilor ridicate ale energiei.</w:t>
      </w:r>
      <w:r>
        <w:rPr>
          <w:rFonts w:ascii="Times New Roman" w:hAnsi="Times New Roman"/>
          <w:noProof/>
          <w:color w:val="000000" w:themeColor="text1"/>
          <w:sz w:val="24"/>
          <w:szCs w:val="24"/>
        </w:rPr>
        <w:t xml:space="preserve"> Măsurile ar trebui continuate atât timp cât este necesar.</w:t>
      </w:r>
    </w:p>
    <w:p w:rsidR="00784AD2" w:rsidRDefault="00784AD2" w:rsidP="00A75A39">
      <w:pPr>
        <w:spacing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Pentru a aborda situația de urgență actuală, Comisia va analiza toate măsurile de urgență posibile pentru a limita efectul de contagiune al prețurilor gazelor naturale asupra prețurilor energiei electrice, cum ar fi plafonările temporare ale prețurilor. Comisia se va consulta de urgență cu toți actorii implicați și va propune opțiuni în următoarele săptămâni. </w:t>
      </w:r>
    </w:p>
    <w:p w:rsidR="0044064B" w:rsidRDefault="0044064B" w:rsidP="0044064B">
      <w:pPr>
        <w:spacing w:line="276" w:lineRule="auto"/>
        <w:jc w:val="both"/>
        <w:rPr>
          <w:rFonts w:ascii="Times New Roman" w:eastAsia="Times New Roman" w:hAnsi="Times New Roman" w:cs="Times New Roman"/>
          <w:noProof/>
          <w:sz w:val="24"/>
          <w:szCs w:val="24"/>
        </w:rPr>
      </w:pPr>
      <w:r w:rsidRPr="00515D76">
        <w:rPr>
          <w:rFonts w:ascii="Times New Roman" w:hAnsi="Times New Roman"/>
          <w:b/>
          <w:bCs/>
          <w:noProof/>
          <w:sz w:val="24"/>
          <w:szCs w:val="24"/>
        </w:rPr>
        <w:t>De asemenea, Comisia va evalua opțiunile de optimizare a organizării pieței energiei electrice</w:t>
      </w:r>
      <w:r>
        <w:rPr>
          <w:rFonts w:ascii="Times New Roman" w:hAnsi="Times New Roman"/>
          <w:noProof/>
          <w:sz w:val="24"/>
          <w:szCs w:val="24"/>
        </w:rPr>
        <w:t xml:space="preserve"> pentru a beneficia de avantajele energiei cu costuri reduse. În acest sens, va ține seama de raportul final al Agenției Uniunii Europene pentru Cooperarea Autorităților de Reglementare din Domeniul Energiei (ACER) și de alte contribuții referitoare la funcționarea pieței energiei electrice și beneficiile și dezavantajele mecanismelor alternative de stabilire a prețului energiei electrice. Comisia va lua măsurile necesare, după caz, pentru menținerea prețurilor energiei electrice la un nivel accesibil, fără a perturba aprovizionarea și investițiile suplimentare în tranziția verde.</w:t>
      </w:r>
    </w:p>
    <w:p w:rsidR="00BA458B" w:rsidRPr="00515D76" w:rsidRDefault="000C3F2D" w:rsidP="00824F30">
      <w:pPr>
        <w:pStyle w:val="ListParagraph"/>
        <w:numPr>
          <w:ilvl w:val="1"/>
          <w:numId w:val="4"/>
        </w:numPr>
        <w:rPr>
          <w:rFonts w:ascii="Times New Roman" w:eastAsia="Times New Roman" w:hAnsi="Times New Roman" w:cs="Times New Roman"/>
          <w:b/>
          <w:noProof/>
          <w:sz w:val="24"/>
          <w:szCs w:val="24"/>
        </w:rPr>
      </w:pPr>
      <w:r w:rsidRPr="00515D76">
        <w:rPr>
          <w:rFonts w:ascii="Times New Roman" w:hAnsi="Times New Roman"/>
          <w:b/>
          <w:noProof/>
          <w:sz w:val="24"/>
          <w:szCs w:val="24"/>
        </w:rPr>
        <w:t>Reducerea prețurilor cu amănuntul și sprijinirea întreprinderilor puternic expuse</w:t>
      </w:r>
    </w:p>
    <w:p w:rsidR="001226BF" w:rsidRDefault="000D2392" w:rsidP="009A1DA7">
      <w:pPr>
        <w:jc w:val="both"/>
        <w:rPr>
          <w:rFonts w:ascii="Times New Roman" w:hAnsi="Times New Roman" w:cs="Times New Roman"/>
          <w:noProof/>
          <w:sz w:val="24"/>
          <w:szCs w:val="24"/>
        </w:rPr>
      </w:pPr>
      <w:r w:rsidRPr="00515D76">
        <w:rPr>
          <w:rFonts w:ascii="Times New Roman" w:hAnsi="Times New Roman"/>
          <w:b/>
          <w:noProof/>
          <w:color w:val="000000"/>
          <w:sz w:val="24"/>
          <w:szCs w:val="24"/>
        </w:rPr>
        <w:t>Comisia confirmă posibilitatea reglementării prețurilor și a aplicării unor mecanisme de transfer pentru a contribui la protecția consumatorilor și a economiei noastre.</w:t>
      </w:r>
      <w:r>
        <w:rPr>
          <w:rFonts w:ascii="Times New Roman" w:hAnsi="Times New Roman"/>
          <w:noProof/>
          <w:color w:val="000000"/>
          <w:sz w:val="24"/>
          <w:szCs w:val="24"/>
        </w:rPr>
        <w:t xml:space="preserve"> </w:t>
      </w:r>
      <w:r>
        <w:rPr>
          <w:rFonts w:ascii="Times New Roman" w:hAnsi="Times New Roman"/>
          <w:noProof/>
          <w:sz w:val="24"/>
          <w:szCs w:val="24"/>
        </w:rPr>
        <w:t xml:space="preserve">Cadrul juridic al pieței energiei electrice, în special articolul </w:t>
      </w:r>
      <w:r w:rsidRPr="00515D76">
        <w:rPr>
          <w:rFonts w:ascii="Times New Roman" w:hAnsi="Times New Roman"/>
          <w:noProof/>
          <w:sz w:val="24"/>
          <w:szCs w:val="24"/>
        </w:rPr>
        <w:t>5</w:t>
      </w:r>
      <w:r>
        <w:rPr>
          <w:rFonts w:ascii="Times New Roman" w:hAnsi="Times New Roman"/>
          <w:noProof/>
          <w:sz w:val="24"/>
          <w:szCs w:val="24"/>
        </w:rPr>
        <w:t xml:space="preserve"> din Directiva privind energia electrică</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le permite statelor membre, în circumstanțele excepționale actuale, să stabilească prețurile cu amănuntul pentru gospodării și microîntreprinderi.</w:t>
      </w:r>
      <w:r w:rsidRPr="00515D76">
        <w:rPr>
          <w:rFonts w:ascii="Times New Roman" w:hAnsi="Times New Roman"/>
          <w:b/>
          <w:noProof/>
          <w:color w:val="000000" w:themeColor="text1"/>
          <w:sz w:val="24"/>
          <w:szCs w:val="24"/>
        </w:rPr>
        <w:t xml:space="preserve"> </w:t>
      </w:r>
    </w:p>
    <w:p w:rsidR="009260F6" w:rsidRPr="00824F30" w:rsidRDefault="00BA458B" w:rsidP="009A1DA7">
      <w:pPr>
        <w:jc w:val="both"/>
        <w:rPr>
          <w:rFonts w:ascii="Times New Roman" w:hAnsi="Times New Roman" w:cs="Times New Roman"/>
          <w:noProof/>
          <w:sz w:val="24"/>
          <w:szCs w:val="24"/>
        </w:rPr>
      </w:pPr>
      <w:r>
        <w:rPr>
          <w:rFonts w:ascii="Times New Roman" w:hAnsi="Times New Roman"/>
          <w:noProof/>
          <w:sz w:val="24"/>
          <w:szCs w:val="24"/>
        </w:rPr>
        <w:t xml:space="preserve">În anexa </w:t>
      </w:r>
      <w:r w:rsidRPr="00515D76">
        <w:rPr>
          <w:rFonts w:ascii="Times New Roman" w:hAnsi="Times New Roman"/>
          <w:noProof/>
          <w:sz w:val="24"/>
          <w:szCs w:val="24"/>
        </w:rPr>
        <w:t>1</w:t>
      </w:r>
      <w:r>
        <w:rPr>
          <w:rFonts w:ascii="Times New Roman" w:hAnsi="Times New Roman"/>
          <w:noProof/>
          <w:sz w:val="24"/>
          <w:szCs w:val="24"/>
        </w:rPr>
        <w:t xml:space="preserve"> la prezenta comunicare Comisia oferă orientări detaliate pentru a ajuta statele membre să elaboreze sisteme pentru prețurile reglementate. Măsura respectivă ar putea fi însoțită de stimulente pentru eficiență energetică și economii de energie, în vederea reducerii facturilor la energie.</w:t>
      </w:r>
    </w:p>
    <w:p w:rsidR="00685AA5" w:rsidRPr="001A354D" w:rsidRDefault="00BA458B" w:rsidP="00685AA5">
      <w:pPr>
        <w:spacing w:after="120" w:line="276" w:lineRule="auto"/>
        <w:jc w:val="both"/>
        <w:rPr>
          <w:rFonts w:ascii="Times New Roman" w:eastAsia="Times New Roman" w:hAnsi="Times New Roman" w:cs="Times New Roman"/>
          <w:noProof/>
          <w:sz w:val="24"/>
          <w:szCs w:val="24"/>
        </w:rPr>
      </w:pPr>
      <w:r w:rsidRPr="00515D76">
        <w:rPr>
          <w:rFonts w:ascii="Times New Roman" w:hAnsi="Times New Roman"/>
          <w:b/>
          <w:noProof/>
          <w:sz w:val="24"/>
          <w:szCs w:val="24"/>
        </w:rPr>
        <w:t>Normele UE privind ajutoarele de stat</w:t>
      </w:r>
      <w:r>
        <w:rPr>
          <w:rFonts w:ascii="Times New Roman" w:hAnsi="Times New Roman"/>
          <w:noProof/>
          <w:sz w:val="24"/>
          <w:szCs w:val="24"/>
        </w:rPr>
        <w:t xml:space="preserve"> oferă statelor membre opțiuni ce permit oferirea de ajutor pe termen scurt întreprinderilor și fermierilor afectați de prețurile ridicate ale energiei și contribuie la reducerea expunerii acestora la volatilitatea prețurilor energiei pe termen mediu spre lung. De exemplu, statele membre pot oferi sprijin temporar întreprinderilor care se confruntă cu nevoi de lichidități din cauza prețurilor actuale ridicate ale energiei, indiferent de dimensiunea acestora, pe baza Orientărilor privind salvarea și restructurarea</w:t>
      </w:r>
      <w:r>
        <w:rPr>
          <w:rStyle w:val="FootnoteReference"/>
          <w:rFonts w:ascii="Times New Roman" w:eastAsia="Times New Roman" w:hAnsi="Times New Roman" w:cs="Times New Roman"/>
          <w:noProof/>
          <w:sz w:val="24"/>
          <w:szCs w:val="24"/>
        </w:rPr>
        <w:footnoteReference w:id="6"/>
      </w:r>
      <w:r>
        <w:rPr>
          <w:rFonts w:ascii="Times New Roman" w:hAnsi="Times New Roman"/>
          <w:noProof/>
          <w:sz w:val="24"/>
          <w:szCs w:val="24"/>
        </w:rPr>
        <w:t>. Comisia va trata aceste cazuri cu prioritate, acordând o atenție deosebită intermediarilor și furnizorilor de servicii de utilități privind gazele care se confruntă cu costuri de aprovizionare mai mari din cauza perturbărilor de la nivelul contractelor.</w:t>
      </w:r>
    </w:p>
    <w:p w:rsidR="00BA458B" w:rsidRDefault="00BA458B" w:rsidP="00E65607">
      <w:pPr>
        <w:spacing w:before="120" w:after="120" w:line="276" w:lineRule="auto"/>
        <w:jc w:val="both"/>
        <w:rPr>
          <w:rFonts w:ascii="Times New Roman" w:hAnsi="Times New Roman" w:cs="Times New Roman"/>
          <w:noProof/>
          <w:sz w:val="24"/>
          <w:szCs w:val="24"/>
        </w:rPr>
      </w:pPr>
      <w:r w:rsidRPr="00515D76">
        <w:rPr>
          <w:rFonts w:ascii="Times New Roman" w:hAnsi="Times New Roman"/>
          <w:b/>
          <w:bCs/>
          <w:noProof/>
          <w:sz w:val="24"/>
          <w:szCs w:val="24"/>
        </w:rPr>
        <w:t>Orientările UE privind ajutoarele de stat acordate în cadrul sistemului UE de comercializare a certificatelor de emisii</w:t>
      </w:r>
      <w:r w:rsidRPr="00515D76">
        <w:rPr>
          <w:rStyle w:val="FootnoteReference"/>
          <w:rFonts w:ascii="Times New Roman" w:eastAsia="Times New Roman" w:hAnsi="Times New Roman" w:cs="Times New Roman"/>
          <w:b/>
          <w:bCs/>
          <w:noProof/>
          <w:sz w:val="24"/>
          <w:szCs w:val="24"/>
        </w:rPr>
        <w:footnoteReference w:id="7"/>
      </w:r>
      <w:r>
        <w:rPr>
          <w:rFonts w:ascii="Times New Roman" w:hAnsi="Times New Roman"/>
          <w:noProof/>
          <w:sz w:val="24"/>
          <w:szCs w:val="24"/>
        </w:rPr>
        <w:t xml:space="preserve"> permit statelor membre să sprijine în mod specific sectoarele care, din cauza costurilor indirecte ale emisiilor, sunt cele mai expuse riscului de relocare a emisiilor de dioxid de carbon. </w:t>
      </w:r>
      <w:r w:rsidRPr="00515D76">
        <w:rPr>
          <w:rFonts w:ascii="Times New Roman" w:hAnsi="Times New Roman"/>
          <w:b/>
          <w:bCs/>
          <w:noProof/>
          <w:sz w:val="24"/>
          <w:szCs w:val="24"/>
        </w:rPr>
        <w:t>În sectorul agricol, normele privind ajutoarele de stat</w:t>
      </w:r>
      <w:r>
        <w:rPr>
          <w:rStyle w:val="FootnoteReference"/>
          <w:rFonts w:ascii="Times New Roman" w:hAnsi="Times New Roman" w:cs="Times New Roman"/>
          <w:noProof/>
          <w:sz w:val="24"/>
          <w:szCs w:val="24"/>
        </w:rPr>
        <w:footnoteReference w:id="8"/>
      </w:r>
      <w:r w:rsidR="007D200D" w:rsidRPr="00515D76">
        <w:rPr>
          <w:rFonts w:ascii="Times New Roman" w:hAnsi="Times New Roman"/>
          <w:b/>
          <w:bCs/>
          <w:noProof/>
          <w:color w:val="000000" w:themeColor="text1"/>
          <w:sz w:val="24"/>
          <w:szCs w:val="24"/>
        </w:rPr>
        <w:t xml:space="preserve"> </w:t>
      </w:r>
      <w:r w:rsidRPr="00515D76">
        <w:rPr>
          <w:rFonts w:ascii="Times New Roman" w:hAnsi="Times New Roman"/>
          <w:b/>
          <w:bCs/>
          <w:noProof/>
          <w:sz w:val="24"/>
          <w:szCs w:val="24"/>
        </w:rPr>
        <w:t>permit acordarea de ajutoare pentru investițiile în energia durabilă</w:t>
      </w:r>
      <w:r>
        <w:rPr>
          <w:rFonts w:ascii="Times New Roman" w:hAnsi="Times New Roman"/>
          <w:noProof/>
          <w:sz w:val="24"/>
          <w:szCs w:val="24"/>
        </w:rPr>
        <w:t>.</w:t>
      </w:r>
      <w:r w:rsidRPr="00515D76">
        <w:rPr>
          <w:rFonts w:ascii="Times New Roman" w:hAnsi="Times New Roman"/>
          <w:b/>
          <w:bCs/>
          <w:noProof/>
          <w:sz w:val="24"/>
          <w:szCs w:val="24"/>
        </w:rPr>
        <w:t xml:space="preserve"> </w:t>
      </w:r>
      <w:r>
        <w:rPr>
          <w:rFonts w:ascii="Times New Roman" w:hAnsi="Times New Roman"/>
          <w:noProof/>
          <w:sz w:val="24"/>
          <w:szCs w:val="24"/>
        </w:rPr>
        <w:t>În cadrul revizuirii curente a normelor respective, propunerea Comisiei</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care în prezent face obiectul consultării publice, prevede mai multe opțiuni de oferire de sprijin fermierilor. </w:t>
      </w:r>
    </w:p>
    <w:p w:rsidR="00706657" w:rsidRPr="00706657" w:rsidRDefault="00910AFE" w:rsidP="00B14046">
      <w:pPr>
        <w:pStyle w:val="s22"/>
        <w:spacing w:before="120" w:beforeAutospacing="0" w:after="120" w:afterAutospacing="0" w:line="276" w:lineRule="auto"/>
        <w:jc w:val="both"/>
        <w:rPr>
          <w:noProof/>
          <w:sz w:val="27"/>
          <w:szCs w:val="27"/>
        </w:rPr>
      </w:pPr>
      <w:r>
        <w:rPr>
          <w:noProof/>
        </w:rPr>
        <w:t xml:space="preserve">Comisia este pregătită să utilizeze flexibilitatea deplină a setului său de instrumente privind ajutoarele de stat pentru a permite statelor membre să sprijine întreprinderile și sectoarele grav afectate de evoluțiile geopolitice actuale. Pentru ca statele membre să fie în măsură să remedieze perturbările grave ale economiei cauzate de agresiunea militară a Rusiei împotriva Ucrainei, </w:t>
      </w:r>
      <w:r w:rsidRPr="00515D76">
        <w:rPr>
          <w:b/>
          <w:noProof/>
        </w:rPr>
        <w:t>Comisia se va consulta în curând cu statele membre referitor la necesitatea și sfera de aplicare a unui nou cadru temporar pentru situații de criză, de sine stătător</w:t>
      </w:r>
      <w:r>
        <w:rPr>
          <w:rStyle w:val="FootnoteReference"/>
          <w:rFonts w:eastAsia="Times New Roman"/>
          <w:noProof/>
        </w:rPr>
        <w:footnoteReference w:id="10"/>
      </w:r>
      <w:r>
        <w:rPr>
          <w:noProof/>
        </w:rPr>
        <w:t xml:space="preserve">. Un astfel de cadru ar putea, de exemplu, să permită acordarea de sprijin sub formă de lichidități tuturor întreprinderilor afectate direct sau indirect de criză, precum și acordarea de ajutoare </w:t>
      </w:r>
      <w:r w:rsidRPr="00515D76">
        <w:rPr>
          <w:b/>
          <w:bCs/>
          <w:noProof/>
        </w:rPr>
        <w:t>întreprinderilor</w:t>
      </w:r>
      <w:r>
        <w:rPr>
          <w:rStyle w:val="FootnoteReference"/>
          <w:rFonts w:eastAsia="Times New Roman"/>
          <w:bCs/>
          <w:noProof/>
        </w:rPr>
        <w:footnoteReference w:id="11"/>
      </w:r>
      <w:r>
        <w:rPr>
          <w:noProof/>
        </w:rPr>
        <w:t xml:space="preserve">, în special celor care sunt mari consumatoare de energie, pentru a compensa o parte din creșterea cheltuielilor lor cu energia ca urmare a șocului prețurilor înregistrat de când a început invazia rusă. Comisia a consultat, de asemenea, statele membre cu privire la modificări punctuale ale orientărilor privind ajutoarele de stat din cadrul ETS, în special pentru a extinde lista sectoarelor eligibile, asigurându-se, în același timp, că acestea fac obiectul unor stimulente consolidate de îmbunătățire a eficienței energetice și/sau a decarbonizării producției lor și limitând denaturarea concurenței între statele membre. </w:t>
      </w:r>
    </w:p>
    <w:p w:rsidR="002A547B" w:rsidRDefault="001226BF" w:rsidP="00D66F2E">
      <w:pPr>
        <w:spacing w:before="120" w:after="120" w:line="276" w:lineRule="auto"/>
        <w:jc w:val="both"/>
        <w:rPr>
          <w:rFonts w:ascii="Times New Roman" w:hAnsi="Times New Roman" w:cs="Times New Roman"/>
          <w:noProof/>
          <w:color w:val="000000" w:themeColor="text1"/>
          <w:sz w:val="24"/>
          <w:szCs w:val="24"/>
        </w:rPr>
      </w:pPr>
      <w:r w:rsidRPr="00515D76">
        <w:rPr>
          <w:rFonts w:ascii="Times New Roman" w:hAnsi="Times New Roman"/>
          <w:b/>
          <w:noProof/>
          <w:sz w:val="24"/>
          <w:szCs w:val="24"/>
        </w:rPr>
        <w:t>Pentru a finanța astfel de măsuri de urgență, statele membre pot lua în considerare aplicarea de măsuri fiscale temporare privind profiturile excepționale</w:t>
      </w:r>
      <w:r>
        <w:rPr>
          <w:rFonts w:ascii="Times New Roman" w:hAnsi="Times New Roman"/>
          <w:noProof/>
          <w:sz w:val="24"/>
          <w:szCs w:val="24"/>
        </w:rPr>
        <w:t>.</w:t>
      </w:r>
      <w:r w:rsidRPr="00515D76">
        <w:rPr>
          <w:rFonts w:ascii="Times New Roman" w:hAnsi="Times New Roman"/>
          <w:b/>
          <w:bCs/>
          <w:noProof/>
          <w:sz w:val="24"/>
          <w:szCs w:val="24"/>
        </w:rPr>
        <w:t xml:space="preserve"> </w:t>
      </w:r>
      <w:r>
        <w:rPr>
          <w:rFonts w:ascii="Times New Roman" w:hAnsi="Times New Roman"/>
          <w:noProof/>
          <w:sz w:val="24"/>
          <w:szCs w:val="24"/>
        </w:rPr>
        <w:t xml:space="preserve">Potrivit Agenției Internaționale a Energiei, prin </w:t>
      </w:r>
      <w:r w:rsidRPr="00515D76">
        <w:rPr>
          <w:rFonts w:ascii="Times New Roman" w:hAnsi="Times New Roman"/>
          <w:b/>
          <w:bCs/>
          <w:noProof/>
          <w:sz w:val="24"/>
          <w:szCs w:val="24"/>
        </w:rPr>
        <w:t>astfel de măsuri fiscal-bugetare privind chiriile mari</w:t>
      </w:r>
      <w:r>
        <w:rPr>
          <w:rFonts w:ascii="Times New Roman" w:hAnsi="Times New Roman"/>
          <w:noProof/>
          <w:sz w:val="24"/>
          <w:szCs w:val="24"/>
        </w:rPr>
        <w:t xml:space="preserve">, ar putea fi puse la dispoziție în </w:t>
      </w:r>
      <w:r w:rsidRPr="00515D76">
        <w:rPr>
          <w:rFonts w:ascii="Times New Roman" w:hAnsi="Times New Roman"/>
          <w:noProof/>
          <w:sz w:val="24"/>
          <w:szCs w:val="24"/>
        </w:rPr>
        <w:t>2022</w:t>
      </w:r>
      <w:r>
        <w:rPr>
          <w:rFonts w:ascii="Times New Roman" w:hAnsi="Times New Roman"/>
          <w:noProof/>
          <w:sz w:val="24"/>
          <w:szCs w:val="24"/>
        </w:rPr>
        <w:t xml:space="preserve"> până la </w:t>
      </w:r>
      <w:r w:rsidRPr="00515D76">
        <w:rPr>
          <w:rFonts w:ascii="Times New Roman" w:hAnsi="Times New Roman"/>
          <w:noProof/>
          <w:sz w:val="24"/>
          <w:szCs w:val="24"/>
        </w:rPr>
        <w:t>200</w:t>
      </w:r>
      <w:r>
        <w:rPr>
          <w:rFonts w:ascii="Times New Roman" w:hAnsi="Times New Roman"/>
          <w:noProof/>
          <w:sz w:val="24"/>
          <w:szCs w:val="24"/>
        </w:rPr>
        <w:t xml:space="preserve"> de miliarde EUR pentru a compensa parțial facturile la energie mai mari</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w:t>
      </w:r>
      <w:r w:rsidRPr="00515D76">
        <w:rPr>
          <w:rFonts w:ascii="Times New Roman" w:hAnsi="Times New Roman"/>
          <w:i/>
          <w:noProof/>
          <w:sz w:val="24"/>
          <w:szCs w:val="24"/>
        </w:rPr>
        <w:t xml:space="preserve"> </w:t>
      </w:r>
      <w:r>
        <w:rPr>
          <w:rFonts w:ascii="Times New Roman" w:hAnsi="Times New Roman"/>
          <w:noProof/>
          <w:sz w:val="24"/>
        </w:rPr>
        <w:t>Astfel de măsuri nu ar trebui să fie retroactive și ar trebui să fie neutre din punct vedere tehnologic și să le permită producătorilor de energie electrică să își acopere costurile și să protejeze semnalele pe termen lung privind piața și prețul carbonului.</w:t>
      </w:r>
      <w:r w:rsidRPr="00515D76">
        <w:rPr>
          <w:rFonts w:ascii="Times New Roman" w:hAnsi="Times New Roman"/>
          <w:i/>
          <w:noProof/>
          <w:sz w:val="24"/>
          <w:szCs w:val="24"/>
        </w:rPr>
        <w:t xml:space="preserve"> </w:t>
      </w:r>
      <w:r>
        <w:rPr>
          <w:rFonts w:ascii="Times New Roman" w:hAnsi="Times New Roman"/>
          <w:noProof/>
          <w:sz w:val="24"/>
          <w:szCs w:val="24"/>
        </w:rPr>
        <w:t xml:space="preserve">Anexa </w:t>
      </w:r>
      <w:r w:rsidRPr="00515D76">
        <w:rPr>
          <w:rFonts w:ascii="Times New Roman" w:hAnsi="Times New Roman"/>
          <w:noProof/>
          <w:sz w:val="24"/>
          <w:szCs w:val="24"/>
        </w:rPr>
        <w:t>2</w:t>
      </w:r>
      <w:r>
        <w:rPr>
          <w:rFonts w:ascii="Times New Roman" w:hAnsi="Times New Roman"/>
          <w:noProof/>
          <w:sz w:val="24"/>
          <w:szCs w:val="24"/>
        </w:rPr>
        <w:t xml:space="preserve"> stabilește condițiile pe care ar trebui să le îndeplinească instrumentele respective. </w:t>
      </w:r>
      <w:r w:rsidRPr="00515D76">
        <w:rPr>
          <w:rFonts w:ascii="Times New Roman" w:hAnsi="Times New Roman"/>
          <w:b/>
          <w:noProof/>
          <w:color w:val="000000" w:themeColor="text1"/>
          <w:sz w:val="24"/>
          <w:szCs w:val="24"/>
        </w:rPr>
        <w:t>Statele membre pot utiliza, de asemenea, veniturile mai mari decât cele preconizate obținute în cadrul ETS</w:t>
      </w:r>
      <w:r>
        <w:rPr>
          <w:rFonts w:ascii="Times New Roman" w:hAnsi="Times New Roman"/>
          <w:noProof/>
          <w:color w:val="000000" w:themeColor="text1"/>
          <w:sz w:val="24"/>
          <w:szCs w:val="24"/>
        </w:rPr>
        <w:t xml:space="preserve">. În perioada </w:t>
      </w:r>
      <w:r w:rsidRPr="00515D76">
        <w:rPr>
          <w:rFonts w:ascii="Times New Roman" w:hAnsi="Times New Roman"/>
          <w:noProof/>
          <w:color w:val="000000" w:themeColor="text1"/>
          <w:sz w:val="24"/>
          <w:szCs w:val="24"/>
        </w:rPr>
        <w:t>1</w:t>
      </w:r>
      <w:r>
        <w:rPr>
          <w:rFonts w:ascii="Times New Roman" w:hAnsi="Times New Roman"/>
          <w:noProof/>
          <w:color w:val="000000" w:themeColor="text1"/>
          <w:sz w:val="24"/>
          <w:szCs w:val="24"/>
        </w:rPr>
        <w:t xml:space="preserve"> ianuarie </w:t>
      </w:r>
      <w:r w:rsidRPr="00515D76">
        <w:rPr>
          <w:rFonts w:ascii="Times New Roman" w:hAnsi="Times New Roman"/>
          <w:noProof/>
          <w:color w:val="000000" w:themeColor="text1"/>
          <w:sz w:val="24"/>
          <w:szCs w:val="24"/>
        </w:rPr>
        <w:t>2021</w:t>
      </w:r>
      <w:r>
        <w:rPr>
          <w:rFonts w:ascii="Times New Roman" w:hAnsi="Times New Roman"/>
          <w:noProof/>
          <w:color w:val="000000" w:themeColor="text1"/>
          <w:sz w:val="24"/>
          <w:szCs w:val="24"/>
        </w:rPr>
        <w:t>-</w:t>
      </w:r>
      <w:r w:rsidRPr="00515D76">
        <w:rPr>
          <w:rFonts w:ascii="Times New Roman" w:hAnsi="Times New Roman"/>
          <w:noProof/>
          <w:color w:val="000000" w:themeColor="text1"/>
          <w:sz w:val="24"/>
          <w:szCs w:val="24"/>
        </w:rPr>
        <w:t>28</w:t>
      </w:r>
      <w:r>
        <w:rPr>
          <w:rFonts w:ascii="Times New Roman" w:hAnsi="Times New Roman"/>
          <w:noProof/>
          <w:color w:val="000000" w:themeColor="text1"/>
          <w:sz w:val="24"/>
          <w:szCs w:val="24"/>
        </w:rPr>
        <w:t xml:space="preserve"> februarie </w:t>
      </w:r>
      <w:r w:rsidRPr="00515D76">
        <w:rPr>
          <w:rFonts w:ascii="Times New Roman" w:hAnsi="Times New Roman"/>
          <w:noProof/>
          <w:color w:val="000000" w:themeColor="text1"/>
          <w:sz w:val="24"/>
          <w:szCs w:val="24"/>
        </w:rPr>
        <w:t>2022</w:t>
      </w:r>
      <w:r>
        <w:rPr>
          <w:rFonts w:ascii="Times New Roman" w:hAnsi="Times New Roman"/>
          <w:noProof/>
          <w:color w:val="000000" w:themeColor="text1"/>
          <w:sz w:val="24"/>
          <w:szCs w:val="24"/>
        </w:rPr>
        <w:t xml:space="preserve">, veniturile generate de licitarea certificatelor EU ETS au fost de aproximativ </w:t>
      </w:r>
      <w:r w:rsidRPr="00515D76">
        <w:rPr>
          <w:rFonts w:ascii="Times New Roman" w:hAnsi="Times New Roman"/>
          <w:noProof/>
          <w:color w:val="000000" w:themeColor="text1"/>
          <w:sz w:val="24"/>
          <w:szCs w:val="24"/>
        </w:rPr>
        <w:t>30</w:t>
      </w:r>
      <w:r>
        <w:rPr>
          <w:rFonts w:ascii="Times New Roman" w:hAnsi="Times New Roman"/>
          <w:noProof/>
          <w:color w:val="000000" w:themeColor="text1"/>
          <w:sz w:val="24"/>
          <w:szCs w:val="24"/>
        </w:rPr>
        <w:t xml:space="preserve"> de miliarde EUR</w:t>
      </w:r>
      <w:r>
        <w:rPr>
          <w:rStyle w:val="FootnoteReference"/>
          <w:rFonts w:ascii="Times New Roman" w:hAnsi="Times New Roman" w:cs="Times New Roman"/>
          <w:noProof/>
          <w:color w:val="000000" w:themeColor="text1"/>
          <w:sz w:val="24"/>
          <w:szCs w:val="24"/>
        </w:rPr>
        <w:footnoteReference w:id="13"/>
      </w:r>
      <w:r>
        <w:rPr>
          <w:rFonts w:ascii="Times New Roman" w:hAnsi="Times New Roman"/>
          <w:noProof/>
          <w:color w:val="000000" w:themeColor="text1"/>
          <w:sz w:val="24"/>
          <w:szCs w:val="24"/>
        </w:rPr>
        <w:t>.</w:t>
      </w:r>
      <w:r w:rsidR="007D200D">
        <w:rPr>
          <w:rFonts w:ascii="Times New Roman" w:hAnsi="Times New Roman"/>
          <w:noProof/>
          <w:color w:val="000000" w:themeColor="text1"/>
          <w:sz w:val="24"/>
          <w:szCs w:val="24"/>
        </w:rPr>
        <w:t xml:space="preserve"> </w:t>
      </w:r>
    </w:p>
    <w:p w:rsidR="009260F6" w:rsidRDefault="009260F6" w:rsidP="009260F6">
      <w:pPr>
        <w:jc w:val="both"/>
        <w:rPr>
          <w:rFonts w:ascii="Times New Roman" w:hAnsi="Times New Roman" w:cs="Times New Roman"/>
          <w:noProof/>
          <w:sz w:val="24"/>
          <w:szCs w:val="24"/>
        </w:rPr>
      </w:pPr>
      <w:r>
        <w:rPr>
          <w:rFonts w:ascii="Times New Roman" w:hAnsi="Times New Roman"/>
          <w:noProof/>
          <w:sz w:val="24"/>
          <w:szCs w:val="24"/>
        </w:rPr>
        <w:t xml:space="preserve">În comunicarea sa privind orientările bugetare pentru </w:t>
      </w:r>
      <w:r w:rsidRPr="00515D76">
        <w:rPr>
          <w:rFonts w:ascii="Times New Roman" w:hAnsi="Times New Roman"/>
          <w:noProof/>
          <w:sz w:val="24"/>
          <w:szCs w:val="24"/>
        </w:rPr>
        <w:t>2023</w:t>
      </w:r>
      <w:r>
        <w:rPr>
          <w:rFonts w:ascii="Times New Roman" w:hAnsi="Times New Roman"/>
          <w:noProof/>
          <w:sz w:val="24"/>
          <w:szCs w:val="24"/>
        </w:rPr>
        <w:t xml:space="preserve">, Comisia a reamintit că așa-numita </w:t>
      </w:r>
      <w:r w:rsidRPr="00515D76">
        <w:rPr>
          <w:rFonts w:ascii="Times New Roman" w:hAnsi="Times New Roman"/>
          <w:b/>
          <w:noProof/>
          <w:sz w:val="24"/>
          <w:szCs w:val="24"/>
        </w:rPr>
        <w:t>„clauză derogatorie generală” din Pactul de stabilitate și de creștere (PSC) continuă să se aplice în 2022</w:t>
      </w:r>
      <w:r>
        <w:rPr>
          <w:rFonts w:ascii="Times New Roman" w:hAnsi="Times New Roman"/>
          <w:noProof/>
          <w:sz w:val="24"/>
          <w:szCs w:val="24"/>
        </w:rPr>
        <w:t xml:space="preserve">, permițând astfel statelor membre să ia măsuri excepționale în circumstanțele excepționale actuale. </w:t>
      </w:r>
    </w:p>
    <w:p w:rsidR="00A85174" w:rsidRPr="00515D76" w:rsidRDefault="003A3A45" w:rsidP="00E5429A">
      <w:pPr>
        <w:pStyle w:val="ListParagraph"/>
        <w:keepNext/>
        <w:numPr>
          <w:ilvl w:val="1"/>
          <w:numId w:val="4"/>
        </w:numPr>
        <w:ind w:left="1077" w:hanging="357"/>
        <w:rPr>
          <w:rFonts w:ascii="Times New Roman" w:eastAsia="Times New Roman" w:hAnsi="Times New Roman" w:cs="Times New Roman"/>
          <w:b/>
          <w:noProof/>
          <w:sz w:val="24"/>
          <w:szCs w:val="24"/>
        </w:rPr>
      </w:pPr>
      <w:r w:rsidRPr="00515D76">
        <w:rPr>
          <w:rFonts w:ascii="Times New Roman" w:hAnsi="Times New Roman"/>
          <w:b/>
          <w:noProof/>
          <w:sz w:val="24"/>
          <w:szCs w:val="24"/>
        </w:rPr>
        <w:t>Pregătirea pentru iarna următoare prin asigurarea unui nivel suficient al stocurilor de gaze</w:t>
      </w:r>
    </w:p>
    <w:p w:rsidR="003A3A45" w:rsidRPr="00515D76" w:rsidRDefault="003A3A45" w:rsidP="00E65607">
      <w:pPr>
        <w:spacing w:after="120"/>
        <w:jc w:val="both"/>
        <w:rPr>
          <w:rFonts w:ascii="Times New Roman" w:hAnsi="Times New Roman" w:cs="Times New Roman"/>
          <w:b/>
          <w:bCs/>
          <w:noProof/>
          <w:sz w:val="24"/>
          <w:szCs w:val="24"/>
        </w:rPr>
      </w:pPr>
      <w:r w:rsidRPr="00515D76">
        <w:rPr>
          <w:rFonts w:ascii="Times New Roman" w:hAnsi="Times New Roman"/>
          <w:b/>
          <w:bCs/>
          <w:noProof/>
          <w:sz w:val="24"/>
          <w:szCs w:val="24"/>
        </w:rPr>
        <w:t xml:space="preserve">Aprovizionarea cu gaze este suficientă până la sfârșitul acestei ierni, chiar și în cazul întreruperii totale a aprovizionării din Rusia. </w:t>
      </w:r>
    </w:p>
    <w:p w:rsidR="003A3A45" w:rsidRDefault="000D2392" w:rsidP="00E65607">
      <w:pPr>
        <w:spacing w:after="120"/>
        <w:jc w:val="both"/>
        <w:rPr>
          <w:rFonts w:ascii="Times New Roman" w:eastAsia="Times New Roman" w:hAnsi="Times New Roman" w:cs="Times New Roman"/>
          <w:noProof/>
          <w:sz w:val="24"/>
          <w:szCs w:val="24"/>
        </w:rPr>
      </w:pPr>
      <w:r w:rsidRPr="00515D76">
        <w:rPr>
          <w:rFonts w:ascii="Times New Roman" w:hAnsi="Times New Roman"/>
          <w:b/>
          <w:bCs/>
          <w:noProof/>
          <w:sz w:val="24"/>
          <w:szCs w:val="24"/>
        </w:rPr>
        <w:t xml:space="preserve">Pentru a fi bine pregătiți pentru iarna viitoare, umplerea depozitelor de gaze din întreaga UE ar trebui să înceapă acum. </w:t>
      </w:r>
      <w:r>
        <w:rPr>
          <w:rFonts w:ascii="Times New Roman" w:hAnsi="Times New Roman"/>
          <w:noProof/>
          <w:sz w:val="24"/>
          <w:szCs w:val="24"/>
        </w:rPr>
        <w:t xml:space="preserve">În timpul sezonului de încălzire, existența stocurilor reduce necesitatea de a importa volume suplimentare. Stocarea contribuie la absorbția șocurilor de aprovizionare. Stocurile de gaze asigură </w:t>
      </w:r>
      <w:r w:rsidRPr="00515D76">
        <w:rPr>
          <w:rFonts w:ascii="Times New Roman" w:hAnsi="Times New Roman"/>
          <w:noProof/>
          <w:sz w:val="24"/>
          <w:szCs w:val="24"/>
        </w:rPr>
        <w:t>25</w:t>
      </w:r>
      <w:r>
        <w:rPr>
          <w:rFonts w:ascii="Times New Roman" w:hAnsi="Times New Roman"/>
          <w:noProof/>
          <w:sz w:val="24"/>
          <w:szCs w:val="24"/>
        </w:rPr>
        <w:t>-</w:t>
      </w:r>
      <w:r w:rsidRPr="00515D76">
        <w:rPr>
          <w:rFonts w:ascii="Times New Roman" w:hAnsi="Times New Roman"/>
          <w:noProof/>
          <w:sz w:val="24"/>
          <w:szCs w:val="24"/>
        </w:rPr>
        <w:t>30</w:t>
      </w:r>
      <w:r>
        <w:rPr>
          <w:rFonts w:ascii="Times New Roman" w:hAnsi="Times New Roman"/>
          <w:noProof/>
          <w:sz w:val="24"/>
          <w:szCs w:val="24"/>
        </w:rPr>
        <w:t> % din gazele consumate în timpul iernii. Nivelurile de stocare a gazelor s-au dovedit a fi deosebit de mici în siturile deținute de entități din țări terțe (și anume, Gazprom). În paralel, operatorii de sisteme de transport ar trebui, de asemenea, să coordoneze măsurile de actualizare și de optimizare a capacităților disponibile în rețea în cazul în care fluxurile și presiunea gazelor livrate de partea estică sunt reduse sau inexistente.</w:t>
      </w:r>
    </w:p>
    <w:p w:rsidR="00F82D53" w:rsidRDefault="00E24950" w:rsidP="7350473E">
      <w:pPr>
        <w:spacing w:line="257"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Comisia va prezenta până în luna aprilie o propunere legislativă pentru a asigura un nivel anual adecvat de stocare</w:t>
      </w:r>
      <w:r>
        <w:rPr>
          <w:rStyle w:val="FootnoteReference"/>
          <w:rFonts w:ascii="Times New Roman" w:eastAsia="Times New Roman" w:hAnsi="Times New Roman" w:cs="Times New Roman"/>
          <w:noProof/>
          <w:color w:val="000000" w:themeColor="text1"/>
          <w:sz w:val="24"/>
          <w:szCs w:val="24"/>
        </w:rPr>
        <w:footnoteReference w:id="14"/>
      </w:r>
      <w:r>
        <w:rPr>
          <w:rFonts w:ascii="Times New Roman" w:hAnsi="Times New Roman"/>
          <w:noProof/>
          <w:sz w:val="24"/>
          <w:szCs w:val="24"/>
        </w:rPr>
        <w:t xml:space="preserve">. Propunerea respectivă va impune ca infrastructurile de stocare existente pe teritoriul UE să fie umplute până la </w:t>
      </w:r>
      <w:r w:rsidRPr="00515D76">
        <w:rPr>
          <w:rFonts w:ascii="Times New Roman" w:hAnsi="Times New Roman"/>
          <w:b/>
          <w:bCs/>
          <w:noProof/>
          <w:sz w:val="24"/>
          <w:szCs w:val="24"/>
        </w:rPr>
        <w:t>cel puțin 90 %</w:t>
      </w:r>
      <w:r>
        <w:rPr>
          <w:rFonts w:ascii="Times New Roman" w:hAnsi="Times New Roman"/>
          <w:noProof/>
          <w:sz w:val="24"/>
          <w:szCs w:val="24"/>
        </w:rPr>
        <w:t xml:space="preserve"> din capacitate înainte de data de </w:t>
      </w:r>
      <w:r w:rsidRPr="00515D76">
        <w:rPr>
          <w:rFonts w:ascii="Times New Roman" w:hAnsi="Times New Roman"/>
          <w:noProof/>
          <w:sz w:val="24"/>
          <w:szCs w:val="24"/>
        </w:rPr>
        <w:t>1</w:t>
      </w:r>
      <w:r w:rsidR="000B7C28">
        <w:rPr>
          <w:rFonts w:ascii="Times New Roman" w:hAnsi="Times New Roman"/>
          <w:noProof/>
          <w:sz w:val="24"/>
          <w:szCs w:val="24"/>
        </w:rPr>
        <w:t> </w:t>
      </w:r>
      <w:r>
        <w:rPr>
          <w:rFonts w:ascii="Times New Roman" w:hAnsi="Times New Roman"/>
          <w:noProof/>
          <w:sz w:val="24"/>
          <w:szCs w:val="24"/>
        </w:rPr>
        <w:t>octombrie a fiecărui an.</w:t>
      </w:r>
      <w:r>
        <w:rPr>
          <w:rFonts w:ascii="Times New Roman" w:hAnsi="Times New Roman"/>
          <w:noProof/>
          <w:color w:val="000000" w:themeColor="text1"/>
          <w:sz w:val="24"/>
          <w:szCs w:val="24"/>
        </w:rPr>
        <w:t xml:space="preserve"> Pentru ca stocarea să devină mai atractivă pentru participanții la piață, Comisia va propune creșterea nivelului de reducere la </w:t>
      </w:r>
      <w:r w:rsidRPr="00515D76">
        <w:rPr>
          <w:rFonts w:ascii="Times New Roman" w:hAnsi="Times New Roman"/>
          <w:noProof/>
          <w:color w:val="000000" w:themeColor="text1"/>
          <w:sz w:val="24"/>
          <w:szCs w:val="24"/>
        </w:rPr>
        <w:t>100</w:t>
      </w:r>
      <w:r>
        <w:rPr>
          <w:rFonts w:ascii="Times New Roman" w:hAnsi="Times New Roman"/>
          <w:noProof/>
          <w:color w:val="000000" w:themeColor="text1"/>
          <w:sz w:val="24"/>
          <w:szCs w:val="24"/>
        </w:rPr>
        <w:t> %, ca stimulent pentru reumplerea depozitelor.</w:t>
      </w:r>
    </w:p>
    <w:p w:rsidR="00CB5001" w:rsidRPr="001C6DCC" w:rsidRDefault="005672AA" w:rsidP="000501C3">
      <w:pPr>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Printr-o </w:t>
      </w:r>
      <w:r w:rsidRPr="00515D76">
        <w:rPr>
          <w:rFonts w:ascii="Times New Roman" w:hAnsi="Times New Roman"/>
          <w:b/>
          <w:noProof/>
          <w:color w:val="000000" w:themeColor="text1"/>
          <w:sz w:val="24"/>
          <w:szCs w:val="24"/>
        </w:rPr>
        <w:t>politică a UE privind stocarea gazelor</w:t>
      </w:r>
      <w:r>
        <w:rPr>
          <w:rFonts w:ascii="Times New Roman" w:hAnsi="Times New Roman"/>
          <w:noProof/>
          <w:color w:val="000000" w:themeColor="text1"/>
          <w:sz w:val="24"/>
          <w:szCs w:val="24"/>
        </w:rPr>
        <w:t xml:space="preserve"> se va asigura echitatea și se va permite utilizarea inteligentă a infrastructurii existente, limitând nevoia de noi infrastructuri, deoarece nu toate statele membre dispun de instalații de stocare subterane pe teritoriile lor. Propunerea legislativă va stabili un mecanism care să asigure o alocare echitabilă a costurilor cu siguranța aprovizionării. Într-adevăr, beneficiile unui nivel ridicat garantat de umplere a depozitelor din perspectiva asigurării împotriva riscurilor legate de siguranța aprovizionării și a efectelor de frânare a creșterii prețurilor în timpul iernii nu se limitează la țara în care se află depozitul. Conductele de interconectare sunt esențiale pentru a asigura fluxul neîntrerupt de energie în întreaga UE. În cazul în care vor fi necesare noi infrastructuri, acestea ar trebui să fie compatibile cu hidrogenul.</w:t>
      </w:r>
    </w:p>
    <w:p w:rsidR="0057223E" w:rsidRDefault="00743D4A" w:rsidP="0057223E">
      <w:pPr>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Având în vedere mediul geopolitic actual, Comisia are în vedere ca propunerea legislativă respectivă să identifice depozitele de gaze ca </w:t>
      </w:r>
      <w:r w:rsidRPr="00515D76">
        <w:rPr>
          <w:rFonts w:ascii="Times New Roman" w:hAnsi="Times New Roman"/>
          <w:b/>
          <w:bCs/>
          <w:noProof/>
          <w:color w:val="000000" w:themeColor="text1"/>
          <w:sz w:val="24"/>
          <w:szCs w:val="24"/>
        </w:rPr>
        <w:t>infrastructuri critice</w:t>
      </w:r>
      <w:r>
        <w:rPr>
          <w:rFonts w:ascii="Times New Roman" w:hAnsi="Times New Roman"/>
          <w:noProof/>
          <w:color w:val="000000" w:themeColor="text1"/>
          <w:sz w:val="24"/>
          <w:szCs w:val="24"/>
        </w:rPr>
        <w:t xml:space="preserve"> și să introducă dispoziții pentru a aborda </w:t>
      </w:r>
      <w:r w:rsidRPr="00515D76">
        <w:rPr>
          <w:rFonts w:ascii="Times New Roman" w:hAnsi="Times New Roman"/>
          <w:b/>
          <w:bCs/>
          <w:noProof/>
          <w:color w:val="000000" w:themeColor="text1"/>
          <w:sz w:val="24"/>
          <w:szCs w:val="24"/>
        </w:rPr>
        <w:t>riscurile aferente dreptului de proprietate asupra infrastructurii de gaze</w:t>
      </w:r>
      <w:r>
        <w:rPr>
          <w:rFonts w:ascii="Times New Roman" w:hAnsi="Times New Roman"/>
          <w:noProof/>
          <w:color w:val="000000" w:themeColor="text1"/>
          <w:sz w:val="24"/>
          <w:szCs w:val="24"/>
        </w:rPr>
        <w:t xml:space="preserve">. Statele membre vor trebui să solicite autorității de reglementare sau altei autorități competente desemnate de statul membru să certifice faptul că dreptul de proprietate al uneia sau mai multor persoane dintr-o țară terță nu pune în pericol siguranța aprovizionării. O astfel de evaluare va trebui efectuată pentru toți operatorii de depozite existenți și viitori. </w:t>
      </w:r>
      <w:r w:rsidRPr="00515D76">
        <w:rPr>
          <w:rFonts w:ascii="Times New Roman" w:hAnsi="Times New Roman"/>
          <w:b/>
          <w:bCs/>
          <w:noProof/>
          <w:color w:val="000000" w:themeColor="text1"/>
          <w:sz w:val="24"/>
          <w:szCs w:val="24"/>
        </w:rPr>
        <w:t>Pe termen scurt</w:t>
      </w:r>
      <w:r>
        <w:rPr>
          <w:rFonts w:ascii="Times New Roman" w:hAnsi="Times New Roman"/>
          <w:noProof/>
          <w:color w:val="000000" w:themeColor="text1"/>
          <w:sz w:val="24"/>
          <w:szCs w:val="24"/>
        </w:rPr>
        <w:t xml:space="preserve"> și până la finalizarea procesului legislativ de adoptare a propunerii, statele membre ar trebui să acționeze ca și cum propunerea legislativă respectivă ar fi deja în vigoare și să ia măsuri pentru a asigura realimentarea depozitelor în timp util pentru iarna următoare. În plus, astfel cum se prevede în actualul Regulament privind siguranța furnizării de gaze</w:t>
      </w:r>
      <w:r>
        <w:rPr>
          <w:rStyle w:val="FootnoteReference"/>
          <w:rFonts w:ascii="Times New Roman" w:eastAsia="Times New Roman" w:hAnsi="Times New Roman" w:cs="Times New Roman"/>
          <w:noProof/>
          <w:color w:val="000000" w:themeColor="text1"/>
          <w:sz w:val="24"/>
          <w:szCs w:val="24"/>
        </w:rPr>
        <w:footnoteReference w:id="15"/>
      </w:r>
      <w:r>
        <w:rPr>
          <w:rFonts w:ascii="Times New Roman" w:hAnsi="Times New Roman"/>
          <w:noProof/>
          <w:color w:val="000000" w:themeColor="text1"/>
          <w:sz w:val="24"/>
          <w:szCs w:val="24"/>
        </w:rPr>
        <w:t xml:space="preserve">, statele membre trebuie să încheie </w:t>
      </w:r>
      <w:r w:rsidRPr="00515D76">
        <w:rPr>
          <w:rFonts w:ascii="Times New Roman" w:hAnsi="Times New Roman"/>
          <w:b/>
          <w:bCs/>
          <w:noProof/>
          <w:color w:val="000000" w:themeColor="text1"/>
          <w:sz w:val="24"/>
          <w:szCs w:val="24"/>
        </w:rPr>
        <w:t>acorduri de solidaritate</w:t>
      </w:r>
      <w:r>
        <w:rPr>
          <w:rFonts w:ascii="Times New Roman" w:hAnsi="Times New Roman"/>
          <w:noProof/>
          <w:color w:val="000000" w:themeColor="text1"/>
          <w:sz w:val="24"/>
          <w:szCs w:val="24"/>
        </w:rPr>
        <w:t xml:space="preserve">. Având în vedere contextul actual, acest lucru ar trebui făcut </w:t>
      </w:r>
      <w:r w:rsidRPr="00515D76">
        <w:rPr>
          <w:rFonts w:ascii="Times New Roman" w:hAnsi="Times New Roman"/>
          <w:b/>
          <w:bCs/>
          <w:noProof/>
          <w:color w:val="000000" w:themeColor="text1"/>
          <w:sz w:val="24"/>
          <w:szCs w:val="24"/>
        </w:rPr>
        <w:t>fără întârziere</w:t>
      </w:r>
      <w:r>
        <w:rPr>
          <w:rFonts w:ascii="Times New Roman" w:hAnsi="Times New Roman"/>
          <w:noProof/>
          <w:color w:val="000000" w:themeColor="text1"/>
          <w:sz w:val="24"/>
          <w:szCs w:val="24"/>
        </w:rPr>
        <w:t xml:space="preserve">. </w:t>
      </w:r>
    </w:p>
    <w:p w:rsidR="00D01238" w:rsidRDefault="004430C7" w:rsidP="0057223E">
      <w:pPr>
        <w:jc w:val="both"/>
        <w:rPr>
          <w:rFonts w:ascii="Times New Roman" w:eastAsia="Times New Roman" w:hAnsi="Times New Roman" w:cs="Times New Roman"/>
          <w:noProof/>
          <w:sz w:val="24"/>
          <w:szCs w:val="24"/>
        </w:rPr>
      </w:pPr>
      <w:r>
        <w:rPr>
          <w:rFonts w:ascii="Times New Roman" w:hAnsi="Times New Roman"/>
          <w:noProof/>
          <w:sz w:val="24"/>
          <w:szCs w:val="24"/>
        </w:rPr>
        <w:t>Pentru a stimula realimentarea depozitelor, statele membre pot acorda ajutoare furnizorilor în temeiul articolului </w:t>
      </w:r>
      <w:r w:rsidRPr="00515D76">
        <w:rPr>
          <w:rFonts w:ascii="Times New Roman" w:hAnsi="Times New Roman"/>
          <w:noProof/>
          <w:sz w:val="24"/>
          <w:szCs w:val="24"/>
        </w:rPr>
        <w:t>107</w:t>
      </w:r>
      <w:r>
        <w:rPr>
          <w:rFonts w:ascii="Times New Roman" w:hAnsi="Times New Roman"/>
          <w:noProof/>
          <w:sz w:val="24"/>
          <w:szCs w:val="24"/>
        </w:rPr>
        <w:t xml:space="preserve"> alineatul (</w:t>
      </w:r>
      <w:r w:rsidRPr="00515D76">
        <w:rPr>
          <w:rFonts w:ascii="Times New Roman" w:hAnsi="Times New Roman"/>
          <w:noProof/>
          <w:sz w:val="24"/>
          <w:szCs w:val="24"/>
        </w:rPr>
        <w:t>3</w:t>
      </w:r>
      <w:r>
        <w:rPr>
          <w:rFonts w:ascii="Times New Roman" w:hAnsi="Times New Roman"/>
          <w:noProof/>
          <w:sz w:val="24"/>
          <w:szCs w:val="24"/>
        </w:rPr>
        <w:t>) litera (c) din TFUE, de exemplu sub formă de garanții („</w:t>
      </w:r>
      <w:r w:rsidRPr="00515D76">
        <w:rPr>
          <w:rFonts w:ascii="Times New Roman" w:hAnsi="Times New Roman"/>
          <w:b/>
          <w:noProof/>
          <w:sz w:val="24"/>
          <w:szCs w:val="24"/>
        </w:rPr>
        <w:t>contracte bidirecționale pentru diferență</w:t>
      </w:r>
      <w:r>
        <w:rPr>
          <w:rFonts w:ascii="Times New Roman" w:hAnsi="Times New Roman"/>
          <w:noProof/>
          <w:sz w:val="24"/>
          <w:szCs w:val="24"/>
        </w:rPr>
        <w:t xml:space="preserve">”). </w:t>
      </w:r>
    </w:p>
    <w:p w:rsidR="000501C3" w:rsidRPr="00CC2B85" w:rsidRDefault="00A63DEA" w:rsidP="0057223E">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În ceea ce o privește, Comisia </w:t>
      </w:r>
      <w:r w:rsidRPr="00515D76">
        <w:rPr>
          <w:rFonts w:ascii="Times New Roman" w:hAnsi="Times New Roman"/>
          <w:b/>
          <w:noProof/>
          <w:sz w:val="24"/>
          <w:szCs w:val="24"/>
        </w:rPr>
        <w:t>poate coordona operațiunile de reumplere a depozitelor</w:t>
      </w:r>
      <w:r>
        <w:rPr>
          <w:rFonts w:ascii="Times New Roman" w:hAnsi="Times New Roman"/>
          <w:noProof/>
          <w:sz w:val="24"/>
          <w:szCs w:val="24"/>
        </w:rPr>
        <w:t xml:space="preserve">, de exemplu prin achiziții comune, colectarea comenzilor și corelarea aprovizionărilor. O platformă europeană comună pentru încheierea de contracte de furnizare de gaze naturale, bazată pe negocieri bilaterale cu principalii producători de gaze, ar contribui la diversificare și la gestionarea inteligentă a riscurilor, asigurând astfel siguranța aprovizionării în condiții favorabile pentru toți cumpărătorii din întreaga UE. </w:t>
      </w:r>
    </w:p>
    <w:p w:rsidR="000501C3" w:rsidRDefault="000501C3" w:rsidP="000501C3">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 xml:space="preserve">De asemenea, Comisia își continuă investigația privind piața gazelor ca răspuns la preocupările legate de posibilele denaturări ale concurenței practicate de către întreprinderile care își desfășoară activitatea pe piețele europene ale gazelor și, în special, de către furnizorul rus de gaze Gazprom. Această întreprindere are un comportament de afaceri neobișnuit, iar nivelul mediu de umplere a depozitelor UE operate de Gazprom este de aproximativ </w:t>
      </w:r>
      <w:r w:rsidRPr="00515D76">
        <w:rPr>
          <w:rFonts w:ascii="Times New Roman" w:hAnsi="Times New Roman"/>
          <w:noProof/>
          <w:sz w:val="24"/>
          <w:szCs w:val="24"/>
        </w:rPr>
        <w:t>16</w:t>
      </w:r>
      <w:r>
        <w:rPr>
          <w:rFonts w:ascii="Times New Roman" w:hAnsi="Times New Roman"/>
          <w:noProof/>
          <w:sz w:val="24"/>
          <w:szCs w:val="24"/>
        </w:rPr>
        <w:t xml:space="preserve"> %, în timp ce nivelul mediu de umplere a depozitelor UE operate de alți furnizori decât Gazprom este de </w:t>
      </w:r>
      <w:r w:rsidRPr="00515D76">
        <w:rPr>
          <w:rFonts w:ascii="Times New Roman" w:hAnsi="Times New Roman"/>
          <w:noProof/>
          <w:sz w:val="24"/>
          <w:szCs w:val="24"/>
        </w:rPr>
        <w:t>44</w:t>
      </w:r>
      <w:r>
        <w:rPr>
          <w:rFonts w:ascii="Times New Roman" w:hAnsi="Times New Roman"/>
          <w:noProof/>
          <w:sz w:val="24"/>
          <w:szCs w:val="24"/>
        </w:rPr>
        <w:t xml:space="preserve"> %. În prezent, Comisia investighează în mod prioritar toate acuzațiile privind un posibil comportament comercial anticoncurențial al Gazprom și colectează informații suplimentare de la actorii relevanți de pe piață. </w:t>
      </w:r>
    </w:p>
    <w:p w:rsidR="008C4E28" w:rsidRDefault="00DF7A91" w:rsidP="00615DA2">
      <w:pPr>
        <w:spacing w:after="120" w:line="276" w:lineRule="auto"/>
        <w:jc w:val="both"/>
        <w:rPr>
          <w:rFonts w:ascii="Times New Roman" w:hAnsi="Times New Roman" w:cs="Times New Roman"/>
          <w:noProof/>
          <w:sz w:val="24"/>
          <w:szCs w:val="24"/>
        </w:rPr>
      </w:pPr>
      <w:r>
        <w:rPr>
          <w:rFonts w:ascii="Times New Roman" w:hAnsi="Times New Roman"/>
          <w:noProof/>
          <w:sz w:val="24"/>
          <w:szCs w:val="24"/>
        </w:rPr>
        <w:t>Comisia continuă să colaboreze cu vecinii și partenerii săi din Balcanii de Vest și din Comunitatea Energiei, care se confruntă și ei cu dependența pe care o are UE de combustibilii fosili și cu expunerea la creșterea prețurilor, menținându-și totodată angajamentul față de aceleași obiective pe termen lung în domeniul climei. Pentru Ucraina, Moldova și Georgia, UE este pregătită să sprijine asigurarea aprovizionării cu energie fiabilă și durabilă, după caz. Efortul în curs de a asigura sincronizarea de urgență a rețelelor de energie electrică ucrainene și moldovene cu rețeaua europeană continentală este o dovadă clară a acestui angajament.</w:t>
      </w:r>
    </w:p>
    <w:p w:rsidR="001C53FE" w:rsidRPr="003B7B32" w:rsidRDefault="001C53FE" w:rsidP="00615DA2">
      <w:pPr>
        <w:spacing w:after="120" w:line="276" w:lineRule="auto"/>
        <w:jc w:val="both"/>
        <w:rPr>
          <w:rFonts w:ascii="Times New Roman" w:eastAsia="Times New Roman" w:hAnsi="Times New Roman" w:cs="Times New Roman"/>
          <w:noProof/>
          <w:sz w:val="24"/>
          <w:szCs w:val="24"/>
        </w:rPr>
      </w:pPr>
    </w:p>
    <w:p w:rsidR="00A946EE" w:rsidRPr="00515D76" w:rsidRDefault="00116715" w:rsidP="000E6ACB">
      <w:pPr>
        <w:pStyle w:val="ListParagraph"/>
        <w:keepNext/>
        <w:keepLines/>
        <w:numPr>
          <w:ilvl w:val="0"/>
          <w:numId w:val="4"/>
        </w:numPr>
        <w:jc w:val="both"/>
        <w:rPr>
          <w:rFonts w:ascii="Times New Roman" w:hAnsi="Times New Roman" w:cs="Times New Roman"/>
          <w:b/>
          <w:bCs/>
          <w:caps/>
          <w:noProof/>
          <w:sz w:val="24"/>
          <w:szCs w:val="24"/>
        </w:rPr>
      </w:pPr>
      <w:r w:rsidRPr="00515D76">
        <w:rPr>
          <w:rFonts w:ascii="Times New Roman" w:hAnsi="Times New Roman"/>
          <w:b/>
          <w:bCs/>
          <w:caps/>
          <w:noProof/>
          <w:sz w:val="24"/>
          <w:szCs w:val="24"/>
        </w:rPr>
        <w:t xml:space="preserve">REPowerEU: eliminarea dependenței noastre de combustibilii fosili rusești </w:t>
      </w:r>
    </w:p>
    <w:p w:rsidR="00116715" w:rsidRPr="002F0FB7" w:rsidRDefault="00D92AE9" w:rsidP="00E65607">
      <w:pPr>
        <w:spacing w:line="257" w:lineRule="auto"/>
        <w:jc w:val="both"/>
        <w:rPr>
          <w:rFonts w:ascii="Times New Roman" w:hAnsi="Times New Roman" w:cs="Times New Roman"/>
          <w:noProof/>
          <w:sz w:val="24"/>
          <w:szCs w:val="24"/>
        </w:rPr>
      </w:pPr>
      <w:r w:rsidRPr="00515D76">
        <w:rPr>
          <w:rFonts w:ascii="Times New Roman" w:hAnsi="Times New Roman"/>
          <w:b/>
          <w:bCs/>
          <w:noProof/>
          <w:sz w:val="24"/>
          <w:szCs w:val="24"/>
        </w:rPr>
        <w:t>Eliminarea treptată a dependenței noastre de combustibilii fosili din Rusia se poate realiza cu mult înainte de 2030.</w:t>
      </w:r>
      <w:r>
        <w:rPr>
          <w:rFonts w:ascii="Times New Roman" w:hAnsi="Times New Roman"/>
          <w:noProof/>
          <w:sz w:val="24"/>
          <w:szCs w:val="24"/>
        </w:rPr>
        <w:t xml:space="preserve"> </w:t>
      </w:r>
      <w:r w:rsidRPr="00515D76">
        <w:rPr>
          <w:rFonts w:ascii="Times New Roman" w:hAnsi="Times New Roman"/>
          <w:b/>
          <w:noProof/>
          <w:sz w:val="24"/>
          <w:szCs w:val="24"/>
        </w:rPr>
        <w:t>În acest scop, Comisia propune un plan REPowerEU, care va spori reziliența sistemului energetic la nivelul întregii UE</w:t>
      </w:r>
      <w:r>
        <w:rPr>
          <w:rFonts w:ascii="Times New Roman" w:hAnsi="Times New Roman"/>
          <w:noProof/>
          <w:sz w:val="24"/>
          <w:szCs w:val="24"/>
        </w:rPr>
        <w:t xml:space="preserve">, pe baza a doi piloni: </w:t>
      </w:r>
    </w:p>
    <w:p w:rsidR="00993A7E" w:rsidRPr="00824F30" w:rsidRDefault="00535232" w:rsidP="006E505C">
      <w:pPr>
        <w:pStyle w:val="ListParagraph"/>
        <w:numPr>
          <w:ilvl w:val="0"/>
          <w:numId w:val="2"/>
        </w:numPr>
        <w:jc w:val="both"/>
        <w:rPr>
          <w:rFonts w:ascii="Times New Roman" w:eastAsia="Times New Roman" w:hAnsi="Times New Roman" w:cs="Times New Roman"/>
          <w:noProof/>
          <w:sz w:val="24"/>
          <w:szCs w:val="24"/>
        </w:rPr>
      </w:pPr>
      <w:r w:rsidRPr="00515D76">
        <w:rPr>
          <w:rFonts w:ascii="Times New Roman" w:hAnsi="Times New Roman"/>
          <w:b/>
          <w:noProof/>
          <w:sz w:val="24"/>
          <w:szCs w:val="24"/>
        </w:rPr>
        <w:t>diversificarea aprovizionării cu gaze</w:t>
      </w:r>
      <w:r>
        <w:rPr>
          <w:rFonts w:ascii="Times New Roman" w:hAnsi="Times New Roman"/>
          <w:noProof/>
          <w:sz w:val="24"/>
          <w:szCs w:val="24"/>
        </w:rPr>
        <w:t xml:space="preserve">, prin importuri mai mari de GNL și prin importuri prin conducte de la alți furnizori decât cei ruși, precum și prin niveluri mai mari de biometan și hidrogen; </w:t>
      </w:r>
    </w:p>
    <w:p w:rsidR="00A921C3" w:rsidRPr="00824F30" w:rsidRDefault="00A921C3" w:rsidP="00824F30">
      <w:pPr>
        <w:pStyle w:val="ListParagraph"/>
        <w:numPr>
          <w:ilvl w:val="0"/>
          <w:numId w:val="2"/>
        </w:numPr>
        <w:jc w:val="both"/>
        <w:rPr>
          <w:rFonts w:ascii="Times New Roman" w:hAnsi="Times New Roman" w:cs="Times New Roman"/>
          <w:noProof/>
          <w:sz w:val="24"/>
          <w:szCs w:val="24"/>
        </w:rPr>
      </w:pPr>
      <w:r w:rsidRPr="00515D76">
        <w:rPr>
          <w:rFonts w:ascii="Times New Roman" w:hAnsi="Times New Roman"/>
          <w:b/>
          <w:noProof/>
          <w:sz w:val="24"/>
          <w:szCs w:val="24"/>
        </w:rPr>
        <w:t>reducerea mai rapidă a dependenței noastre de combustibilii fosili</w:t>
      </w:r>
      <w:r>
        <w:rPr>
          <w:rFonts w:ascii="Times New Roman" w:hAnsi="Times New Roman"/>
          <w:noProof/>
          <w:sz w:val="24"/>
          <w:szCs w:val="24"/>
        </w:rPr>
        <w:t xml:space="preserve"> la nivelul locuințelor, al clădirilor și al industriei, precum și la nivelul sistemului electronergetic, prin stimularea câștigurilor în materie de eficiență energetică, creșterea ponderii energiei din surse regenerabile și eliminarea strangulărilor de la nivelul infrastructurii.</w:t>
      </w:r>
    </w:p>
    <w:p w:rsidR="00FB503A" w:rsidRPr="0033478F" w:rsidRDefault="00A223F6" w:rsidP="00FB503A">
      <w:pPr>
        <w:ind w:left="720"/>
        <w:jc w:val="both"/>
        <w:rPr>
          <w:rFonts w:ascii="Times New Roman" w:hAnsi="Times New Roman" w:cs="Times New Roman"/>
          <w:noProof/>
          <w:sz w:val="24"/>
          <w:szCs w:val="24"/>
        </w:rPr>
      </w:pPr>
      <w:r>
        <w:rPr>
          <w:rFonts w:ascii="Times New Roman" w:hAnsi="Times New Roman"/>
          <w:noProof/>
          <w:sz w:val="24"/>
          <w:szCs w:val="24"/>
        </w:rPr>
        <w:t xml:space="preserve">Punerea în aplicare integrală a propunerilor noastre din cadrul pachetului legislativ „Pregătiți pentru </w:t>
      </w:r>
      <w:r w:rsidRPr="00515D76">
        <w:rPr>
          <w:rFonts w:ascii="Times New Roman" w:hAnsi="Times New Roman"/>
          <w:noProof/>
          <w:sz w:val="24"/>
          <w:szCs w:val="24"/>
        </w:rPr>
        <w:t>55</w:t>
      </w:r>
      <w:r>
        <w:rPr>
          <w:rFonts w:ascii="Times New Roman" w:hAnsi="Times New Roman"/>
          <w:noProof/>
          <w:sz w:val="24"/>
          <w:szCs w:val="24"/>
        </w:rPr>
        <w:t xml:space="preserve">” ar duce la reducerea până în </w:t>
      </w:r>
      <w:r w:rsidRPr="00515D76">
        <w:rPr>
          <w:rFonts w:ascii="Times New Roman" w:hAnsi="Times New Roman"/>
          <w:noProof/>
          <w:sz w:val="24"/>
          <w:szCs w:val="24"/>
        </w:rPr>
        <w:t>2030</w:t>
      </w:r>
      <w:r>
        <w:rPr>
          <w:rFonts w:ascii="Times New Roman" w:hAnsi="Times New Roman"/>
          <w:noProof/>
          <w:sz w:val="24"/>
          <w:szCs w:val="24"/>
        </w:rPr>
        <w:t xml:space="preserve"> a consumului nostru de gaze cu </w:t>
      </w:r>
      <w:r w:rsidRPr="00515D76">
        <w:rPr>
          <w:rFonts w:ascii="Times New Roman" w:hAnsi="Times New Roman"/>
          <w:noProof/>
          <w:sz w:val="24"/>
          <w:szCs w:val="24"/>
        </w:rPr>
        <w:t>30</w:t>
      </w:r>
      <w:r>
        <w:rPr>
          <w:rFonts w:ascii="Times New Roman" w:hAnsi="Times New Roman"/>
          <w:noProof/>
          <w:sz w:val="24"/>
          <w:szCs w:val="24"/>
        </w:rPr>
        <w:t xml:space="preserve"> %, echivalentul a </w:t>
      </w:r>
      <w:r w:rsidRPr="00515D76">
        <w:rPr>
          <w:rFonts w:ascii="Times New Roman" w:hAnsi="Times New Roman"/>
          <w:noProof/>
          <w:sz w:val="24"/>
          <w:szCs w:val="24"/>
        </w:rPr>
        <w:t>100</w:t>
      </w:r>
      <w:r>
        <w:rPr>
          <w:rFonts w:ascii="Times New Roman" w:hAnsi="Times New Roman"/>
          <w:noProof/>
          <w:sz w:val="24"/>
          <w:szCs w:val="24"/>
        </w:rPr>
        <w:t xml:space="preserve"> de miliarde de metri cubi (mld. m</w:t>
      </w:r>
      <w:r w:rsidRPr="00515D76">
        <w:rPr>
          <w:rFonts w:ascii="Times New Roman" w:hAnsi="Times New Roman"/>
          <w:noProof/>
          <w:sz w:val="24"/>
          <w:szCs w:val="24"/>
          <w:vertAlign w:val="superscript"/>
        </w:rPr>
        <w:t>3</w:t>
      </w:r>
      <w:r>
        <w:rPr>
          <w:rFonts w:ascii="Times New Roman" w:hAnsi="Times New Roman"/>
          <w:noProof/>
          <w:sz w:val="24"/>
          <w:szCs w:val="24"/>
        </w:rPr>
        <w:t xml:space="preserve">). În combinație cu diversificarea suplimentară a surselor de gaze și cu utilizarea în mai mare măsură a gazelor din surse regenerabile, economiile de energie și electrificarea concentrate la începutul perioadei au potențialul de a furniza împreună cel puțin echivalentul a </w:t>
      </w:r>
      <w:r w:rsidRPr="00515D76">
        <w:rPr>
          <w:rFonts w:ascii="Times New Roman" w:hAnsi="Times New Roman"/>
          <w:noProof/>
          <w:sz w:val="24"/>
          <w:szCs w:val="24"/>
        </w:rPr>
        <w:t>155</w:t>
      </w:r>
      <w:r w:rsidR="000B7C28">
        <w:rPr>
          <w:rFonts w:ascii="Times New Roman" w:hAnsi="Times New Roman"/>
          <w:noProof/>
          <w:sz w:val="24"/>
          <w:szCs w:val="24"/>
        </w:rPr>
        <w:t> </w:t>
      </w:r>
      <w:r>
        <w:rPr>
          <w:rFonts w:ascii="Times New Roman" w:hAnsi="Times New Roman"/>
          <w:noProof/>
          <w:sz w:val="24"/>
          <w:szCs w:val="24"/>
        </w:rPr>
        <w:t>de</w:t>
      </w:r>
      <w:r w:rsidR="000B7C28">
        <w:rPr>
          <w:rFonts w:ascii="Times New Roman" w:hAnsi="Times New Roman"/>
          <w:noProof/>
          <w:sz w:val="24"/>
          <w:szCs w:val="24"/>
        </w:rPr>
        <w:t> </w:t>
      </w:r>
      <w:r>
        <w:rPr>
          <w:rFonts w:ascii="Times New Roman" w:hAnsi="Times New Roman"/>
          <w:noProof/>
          <w:sz w:val="24"/>
          <w:szCs w:val="24"/>
        </w:rPr>
        <w:t xml:space="preserve">miliarde de metri cubi de gaze importate din Rusia. </w:t>
      </w:r>
    </w:p>
    <w:p w:rsidR="00C15469" w:rsidRPr="000B7C28" w:rsidRDefault="00C15469" w:rsidP="00C15469">
      <w:pPr>
        <w:spacing w:line="257" w:lineRule="auto"/>
        <w:jc w:val="both"/>
        <w:rPr>
          <w:rFonts w:ascii="Times New Roman" w:hAnsi="Times New Roman" w:cs="Times New Roman"/>
          <w:noProof/>
          <w:sz w:val="24"/>
          <w:szCs w:val="24"/>
        </w:rPr>
      </w:pPr>
    </w:p>
    <w:p w:rsidR="00A9163F" w:rsidRPr="000E3DEA" w:rsidRDefault="00A9163F" w:rsidP="00C15469">
      <w:pPr>
        <w:spacing w:line="257" w:lineRule="auto"/>
        <w:jc w:val="both"/>
        <w:rPr>
          <w:rFonts w:ascii="Times New Roman" w:eastAsia="Times New Roman" w:hAnsi="Times New Roman" w:cs="Times New Roman"/>
          <w:noProof/>
          <w:sz w:val="24"/>
          <w:szCs w:val="24"/>
        </w:rPr>
      </w:pPr>
      <w:r>
        <w:rPr>
          <w:rFonts w:ascii="Times New Roman" w:hAnsi="Times New Roman"/>
          <w:noProof/>
          <w:sz w:val="24"/>
          <w:szCs w:val="24"/>
        </w:rPr>
        <w:t>Principiul „eficiența energetică înainte de toate” este mai relevant ca niciodată și ar trebui aplicat în toate sectoarele și politicile, măsurile de răspuns privind partea de consum completându-le pe cele privind partea de ofertă.</w:t>
      </w:r>
    </w:p>
    <w:p w:rsidR="009C434A" w:rsidRDefault="00E73959" w:rsidP="00C15469">
      <w:pPr>
        <w:spacing w:line="257" w:lineRule="auto"/>
        <w:jc w:val="both"/>
        <w:rPr>
          <w:rFonts w:ascii="Times New Roman" w:hAnsi="Times New Roman" w:cs="Times New Roman"/>
          <w:noProof/>
          <w:sz w:val="24"/>
          <w:szCs w:val="24"/>
        </w:rPr>
      </w:pPr>
      <w:r>
        <w:rPr>
          <w:rFonts w:ascii="Times New Roman" w:hAnsi="Times New Roman"/>
          <w:noProof/>
          <w:sz w:val="24"/>
          <w:szCs w:val="24"/>
        </w:rPr>
        <w:t xml:space="preserve">Având în vedere circumstanțele actuale, colegiuitorii ar putea dori, de asemenea, să ia în considerare stabilirea de obiective mai ambițioase decât cele prevăzute în propunerile din cadrul pachetului legislativ „Pregătiți pentru </w:t>
      </w:r>
      <w:r w:rsidRPr="00515D76">
        <w:rPr>
          <w:rFonts w:ascii="Times New Roman" w:hAnsi="Times New Roman"/>
          <w:noProof/>
          <w:sz w:val="24"/>
          <w:szCs w:val="24"/>
        </w:rPr>
        <w:t>55</w:t>
      </w:r>
      <w:r>
        <w:rPr>
          <w:rFonts w:ascii="Times New Roman" w:hAnsi="Times New Roman"/>
          <w:noProof/>
          <w:sz w:val="24"/>
          <w:szCs w:val="24"/>
        </w:rPr>
        <w:t>”, stabilind obiective mai ridicate sau care să fie atinse mai repede în ceea ce privește energia din surse regenerabile și eficiența energetică.</w:t>
      </w:r>
    </w:p>
    <w:tbl>
      <w:tblPr>
        <w:tblStyle w:val="TableGrid"/>
        <w:tblW w:w="9371" w:type="dxa"/>
        <w:jc w:val="center"/>
        <w:tblLayout w:type="fixed"/>
        <w:tblLook w:val="04A0" w:firstRow="1" w:lastRow="0" w:firstColumn="1" w:lastColumn="0" w:noHBand="0" w:noVBand="1"/>
      </w:tblPr>
      <w:tblGrid>
        <w:gridCol w:w="1941"/>
        <w:gridCol w:w="1480"/>
        <w:gridCol w:w="1683"/>
        <w:gridCol w:w="1683"/>
        <w:gridCol w:w="1292"/>
        <w:gridCol w:w="1292"/>
      </w:tblGrid>
      <w:tr w:rsidR="009C434A" w:rsidRPr="00E435B5" w:rsidTr="002D1875">
        <w:trPr>
          <w:trHeight w:val="1302"/>
          <w:jc w:val="center"/>
        </w:trPr>
        <w:tc>
          <w:tcPr>
            <w:tcW w:w="1941" w:type="dxa"/>
            <w:tcBorders>
              <w:bottom w:val="single" w:sz="4" w:space="0" w:color="auto"/>
            </w:tcBorders>
            <w:shd w:val="clear" w:color="auto" w:fill="0070C0"/>
          </w:tcPr>
          <w:p w:rsidR="009C434A" w:rsidRPr="00E435B5" w:rsidRDefault="009C434A" w:rsidP="002D1875">
            <w:pPr>
              <w:jc w:val="center"/>
              <w:rPr>
                <w:b/>
                <w:noProof/>
                <w:color w:val="FFFFFF" w:themeColor="background1"/>
                <w:sz w:val="18"/>
              </w:rPr>
            </w:pPr>
            <w:r w:rsidRPr="00515D76">
              <w:rPr>
                <w:b/>
                <w:noProof/>
                <w:color w:val="FFFFFF" w:themeColor="background1"/>
                <w:sz w:val="18"/>
              </w:rPr>
              <w:t>COMPONENTELE REPOWEREU</w:t>
            </w:r>
          </w:p>
        </w:tc>
        <w:tc>
          <w:tcPr>
            <w:tcW w:w="1480" w:type="dxa"/>
            <w:tcBorders>
              <w:bottom w:val="single" w:sz="4" w:space="0" w:color="auto"/>
            </w:tcBorders>
            <w:shd w:val="clear" w:color="auto" w:fill="0070C0"/>
          </w:tcPr>
          <w:p w:rsidR="009C434A" w:rsidRPr="00E435B5" w:rsidRDefault="009C434A" w:rsidP="002D1875">
            <w:pPr>
              <w:jc w:val="center"/>
              <w:rPr>
                <w:b/>
                <w:noProof/>
                <w:color w:val="FFFFFF" w:themeColor="background1"/>
                <w:sz w:val="18"/>
              </w:rPr>
            </w:pPr>
            <w:r w:rsidRPr="00515D76">
              <w:rPr>
                <w:b/>
                <w:noProof/>
                <w:color w:val="FFFFFF" w:themeColor="background1"/>
                <w:sz w:val="18"/>
              </w:rPr>
              <w:t>DIRECȚII</w:t>
            </w:r>
          </w:p>
        </w:tc>
        <w:tc>
          <w:tcPr>
            <w:tcW w:w="1683" w:type="dxa"/>
            <w:tcBorders>
              <w:bottom w:val="single" w:sz="4" w:space="0" w:color="auto"/>
            </w:tcBorders>
            <w:shd w:val="clear" w:color="auto" w:fill="0070C0"/>
          </w:tcPr>
          <w:p w:rsidR="009C434A" w:rsidRPr="00515D76" w:rsidRDefault="009C434A" w:rsidP="002D1875">
            <w:pPr>
              <w:jc w:val="center"/>
              <w:rPr>
                <w:b/>
                <w:noProof/>
                <w:color w:val="FFFFFF" w:themeColor="background1"/>
                <w:sz w:val="18"/>
              </w:rPr>
            </w:pPr>
            <w:r w:rsidRPr="00515D76">
              <w:rPr>
                <w:b/>
                <w:noProof/>
                <w:color w:val="FFFFFF" w:themeColor="background1"/>
                <w:sz w:val="18"/>
              </w:rPr>
              <w:t xml:space="preserve">AMBIȚIA PP55 PÂNĂ ÎN 2030 </w:t>
            </w:r>
          </w:p>
          <w:p w:rsidR="009C434A" w:rsidRPr="00515D76" w:rsidRDefault="009C434A" w:rsidP="002D1875">
            <w:pPr>
              <w:jc w:val="center"/>
              <w:rPr>
                <w:b/>
                <w:noProof/>
                <w:color w:val="FFFFFF" w:themeColor="background1"/>
                <w:sz w:val="18"/>
              </w:rPr>
            </w:pPr>
          </w:p>
          <w:p w:rsidR="009C434A" w:rsidRPr="00E435B5" w:rsidRDefault="009C434A" w:rsidP="002D1875">
            <w:pPr>
              <w:jc w:val="center"/>
              <w:rPr>
                <w:b/>
                <w:noProof/>
                <w:color w:val="FFFFFF" w:themeColor="background1"/>
                <w:sz w:val="18"/>
              </w:rPr>
            </w:pPr>
          </w:p>
        </w:tc>
        <w:tc>
          <w:tcPr>
            <w:tcW w:w="1683" w:type="dxa"/>
            <w:tcBorders>
              <w:bottom w:val="single" w:sz="4" w:space="0" w:color="auto"/>
            </w:tcBorders>
            <w:shd w:val="clear" w:color="auto" w:fill="0070C0"/>
          </w:tcPr>
          <w:p w:rsidR="009C434A" w:rsidRPr="00E435B5" w:rsidRDefault="009C434A" w:rsidP="002D1875">
            <w:pPr>
              <w:jc w:val="center"/>
              <w:rPr>
                <w:b/>
                <w:noProof/>
                <w:color w:val="FFFFFF" w:themeColor="background1"/>
                <w:sz w:val="18"/>
              </w:rPr>
            </w:pPr>
            <w:r w:rsidRPr="00515D76">
              <w:rPr>
                <w:b/>
                <w:noProof/>
                <w:color w:val="FFFFFF" w:themeColor="background1"/>
                <w:sz w:val="18"/>
              </w:rPr>
              <w:t xml:space="preserve"> MĂSURĂ REPOWEREU</w:t>
            </w:r>
          </w:p>
        </w:tc>
        <w:tc>
          <w:tcPr>
            <w:tcW w:w="1292" w:type="dxa"/>
            <w:tcBorders>
              <w:bottom w:val="single" w:sz="4" w:space="0" w:color="auto"/>
            </w:tcBorders>
            <w:shd w:val="clear" w:color="auto" w:fill="0070C0"/>
          </w:tcPr>
          <w:p w:rsidR="009C434A" w:rsidRPr="00515D76" w:rsidRDefault="009C434A" w:rsidP="002D1875">
            <w:pPr>
              <w:jc w:val="center"/>
              <w:rPr>
                <w:b/>
                <w:noProof/>
                <w:color w:val="FFFFFF" w:themeColor="background1"/>
                <w:sz w:val="18"/>
              </w:rPr>
            </w:pPr>
            <w:r w:rsidRPr="00515D76">
              <w:rPr>
                <w:b/>
                <w:noProof/>
                <w:color w:val="FFFFFF" w:themeColor="background1"/>
                <w:sz w:val="18"/>
              </w:rPr>
              <w:t>CANTITATE ÎNLOCUITĂ PÂNĂ LA SFÂRȘITUL ANULUI 2022</w:t>
            </w:r>
          </w:p>
          <w:p w:rsidR="009C434A" w:rsidRPr="00515D76" w:rsidRDefault="009C434A" w:rsidP="002D1875">
            <w:pPr>
              <w:jc w:val="center"/>
              <w:rPr>
                <w:b/>
                <w:noProof/>
                <w:color w:val="FFFFFF" w:themeColor="background1"/>
                <w:sz w:val="18"/>
              </w:rPr>
            </w:pPr>
            <w:r w:rsidRPr="00515D76">
              <w:rPr>
                <w:b/>
                <w:noProof/>
                <w:color w:val="FFFFFF" w:themeColor="background1"/>
                <w:sz w:val="18"/>
              </w:rPr>
              <w:t>(în echivalent mld. m</w:t>
            </w:r>
            <w:r w:rsidRPr="00515D76">
              <w:rPr>
                <w:b/>
                <w:noProof/>
                <w:color w:val="FFFFFF" w:themeColor="background1"/>
                <w:sz w:val="18"/>
                <w:vertAlign w:val="superscript"/>
              </w:rPr>
              <w:t>3</w:t>
            </w:r>
            <w:r w:rsidRPr="00515D76">
              <w:rPr>
                <w:b/>
                <w:noProof/>
                <w:color w:val="FFFFFF" w:themeColor="background1"/>
                <w:sz w:val="18"/>
              </w:rPr>
              <w:t xml:space="preserve">) </w:t>
            </w:r>
          </w:p>
          <w:p w:rsidR="00E73959" w:rsidRPr="00515D76" w:rsidRDefault="00E73959" w:rsidP="002D1875">
            <w:pPr>
              <w:jc w:val="center"/>
              <w:rPr>
                <w:b/>
                <w:noProof/>
                <w:color w:val="FFFFFF" w:themeColor="background1"/>
                <w:sz w:val="18"/>
              </w:rPr>
            </w:pPr>
            <w:r w:rsidRPr="00515D76">
              <w:rPr>
                <w:b/>
                <w:noProof/>
                <w:color w:val="FFFFFF" w:themeColor="background1"/>
                <w:sz w:val="18"/>
              </w:rPr>
              <w:t>estimare</w:t>
            </w:r>
          </w:p>
          <w:p w:rsidR="009C434A" w:rsidRPr="00E435B5" w:rsidRDefault="009C434A" w:rsidP="002D1875">
            <w:pPr>
              <w:jc w:val="center"/>
              <w:rPr>
                <w:b/>
                <w:noProof/>
                <w:color w:val="FFFFFF" w:themeColor="background1"/>
                <w:sz w:val="18"/>
              </w:rPr>
            </w:pPr>
          </w:p>
        </w:tc>
        <w:tc>
          <w:tcPr>
            <w:tcW w:w="1292" w:type="dxa"/>
            <w:tcBorders>
              <w:bottom w:val="single" w:sz="4" w:space="0" w:color="auto"/>
            </w:tcBorders>
            <w:shd w:val="clear" w:color="auto" w:fill="0070C0"/>
          </w:tcPr>
          <w:p w:rsidR="009C434A" w:rsidRPr="00515D76" w:rsidRDefault="009C434A" w:rsidP="002D1875">
            <w:pPr>
              <w:jc w:val="center"/>
              <w:rPr>
                <w:b/>
                <w:noProof/>
                <w:color w:val="FFFFFF" w:themeColor="background1"/>
                <w:sz w:val="18"/>
              </w:rPr>
            </w:pPr>
            <w:r w:rsidRPr="00515D76">
              <w:rPr>
                <w:b/>
                <w:noProof/>
                <w:color w:val="FFFFFF" w:themeColor="background1"/>
                <w:sz w:val="18"/>
              </w:rPr>
              <w:t>PE LÂNGĂ PP55 PÂNĂ ÎN 2030 (în echivalent mld. m</w:t>
            </w:r>
            <w:r w:rsidRPr="00515D76">
              <w:rPr>
                <w:b/>
                <w:noProof/>
                <w:color w:val="FFFFFF" w:themeColor="background1"/>
                <w:sz w:val="18"/>
                <w:vertAlign w:val="superscript"/>
              </w:rPr>
              <w:t>3</w:t>
            </w:r>
            <w:r w:rsidRPr="00515D76">
              <w:rPr>
                <w:b/>
                <w:noProof/>
                <w:color w:val="FFFFFF" w:themeColor="background1"/>
                <w:sz w:val="18"/>
              </w:rPr>
              <w:t xml:space="preserve">) </w:t>
            </w:r>
          </w:p>
          <w:p w:rsidR="00E73959" w:rsidRPr="00515D76" w:rsidRDefault="00E73959" w:rsidP="002D1875">
            <w:pPr>
              <w:jc w:val="center"/>
              <w:rPr>
                <w:b/>
                <w:noProof/>
                <w:color w:val="FFFFFF" w:themeColor="background1"/>
                <w:sz w:val="18"/>
              </w:rPr>
            </w:pPr>
            <w:r w:rsidRPr="00515D76">
              <w:rPr>
                <w:b/>
                <w:noProof/>
                <w:color w:val="FFFFFF" w:themeColor="background1"/>
                <w:sz w:val="18"/>
              </w:rPr>
              <w:t>estimare</w:t>
            </w:r>
          </w:p>
          <w:p w:rsidR="009C434A" w:rsidRPr="00515D76" w:rsidRDefault="009C434A" w:rsidP="002D1875">
            <w:pPr>
              <w:jc w:val="center"/>
              <w:rPr>
                <w:b/>
                <w:noProof/>
                <w:color w:val="FFFFFF" w:themeColor="background1"/>
                <w:sz w:val="18"/>
              </w:rPr>
            </w:pPr>
          </w:p>
        </w:tc>
      </w:tr>
      <w:tr w:rsidR="009C434A" w:rsidRPr="00E435B5" w:rsidTr="002D1875">
        <w:trPr>
          <w:jc w:val="center"/>
        </w:trPr>
        <w:tc>
          <w:tcPr>
            <w:tcW w:w="1941" w:type="dxa"/>
            <w:vMerge w:val="restart"/>
            <w:shd w:val="clear" w:color="auto" w:fill="BDD6EE" w:themeFill="accent1" w:themeFillTint="66"/>
          </w:tcPr>
          <w:p w:rsidR="009C434A" w:rsidRPr="00515D76" w:rsidRDefault="009C434A" w:rsidP="002D1875">
            <w:pPr>
              <w:jc w:val="center"/>
              <w:rPr>
                <w:b/>
                <w:noProof/>
                <w:color w:val="FF0000"/>
                <w:sz w:val="18"/>
              </w:rPr>
            </w:pPr>
          </w:p>
          <w:p w:rsidR="009C434A" w:rsidRPr="00515D76" w:rsidRDefault="009C434A" w:rsidP="002D1875">
            <w:pPr>
              <w:jc w:val="center"/>
              <w:rPr>
                <w:b/>
                <w:noProof/>
                <w:sz w:val="18"/>
                <w:u w:val="single"/>
              </w:rPr>
            </w:pPr>
            <w:r w:rsidRPr="00515D76">
              <w:rPr>
                <w:b/>
                <w:noProof/>
                <w:color w:val="FF0000"/>
                <w:sz w:val="18"/>
                <w:u w:val="single"/>
              </w:rPr>
              <w:t>DIVERSIFICAREA SURSELOR DE GAZE</w:t>
            </w:r>
          </w:p>
        </w:tc>
        <w:tc>
          <w:tcPr>
            <w:tcW w:w="1480" w:type="dxa"/>
            <w:vMerge w:val="restart"/>
            <w:shd w:val="clear" w:color="auto" w:fill="BDD6EE" w:themeFill="accent1" w:themeFillTint="66"/>
          </w:tcPr>
          <w:p w:rsidR="009C434A" w:rsidRPr="00E435B5" w:rsidRDefault="009C434A" w:rsidP="002D1875">
            <w:pPr>
              <w:rPr>
                <w:noProof/>
                <w:sz w:val="18"/>
              </w:rPr>
            </w:pPr>
          </w:p>
          <w:p w:rsidR="009C434A" w:rsidRPr="00E435B5" w:rsidRDefault="009C434A" w:rsidP="002D1875">
            <w:pPr>
              <w:rPr>
                <w:noProof/>
                <w:sz w:val="18"/>
              </w:rPr>
            </w:pPr>
            <w:r>
              <w:rPr>
                <w:noProof/>
                <w:sz w:val="18"/>
              </w:rPr>
              <w:t xml:space="preserve">GAZE NATURALE DIN ALTE ȚĂRI DECÂT RUSIA </w:t>
            </w:r>
          </w:p>
        </w:tc>
        <w:tc>
          <w:tcPr>
            <w:tcW w:w="1683" w:type="dxa"/>
            <w:shd w:val="clear" w:color="auto" w:fill="BDD6EE" w:themeFill="accent1" w:themeFillTint="66"/>
          </w:tcPr>
          <w:p w:rsidR="009C434A" w:rsidRPr="00E435B5" w:rsidRDefault="00334191" w:rsidP="002D1875">
            <w:pPr>
              <w:rPr>
                <w:noProof/>
                <w:color w:val="FF0000"/>
                <w:sz w:val="18"/>
              </w:rPr>
            </w:pPr>
            <w:r>
              <w:rPr>
                <w:noProof/>
                <w:color w:val="FF0000"/>
                <w:sz w:val="18"/>
              </w:rPr>
              <w:t>-</w:t>
            </w:r>
          </w:p>
        </w:tc>
        <w:tc>
          <w:tcPr>
            <w:tcW w:w="1683" w:type="dxa"/>
            <w:shd w:val="clear" w:color="auto" w:fill="BDD6EE" w:themeFill="accent1" w:themeFillTint="66"/>
          </w:tcPr>
          <w:p w:rsidR="009C434A" w:rsidRPr="00E435B5" w:rsidRDefault="009C434A" w:rsidP="002D1875">
            <w:pPr>
              <w:rPr>
                <w:noProof/>
                <w:sz w:val="18"/>
              </w:rPr>
            </w:pPr>
            <w:r>
              <w:rPr>
                <w:noProof/>
                <w:sz w:val="18"/>
              </w:rPr>
              <w:t>Diversificarea surselor de GNL</w:t>
            </w:r>
          </w:p>
        </w:tc>
        <w:tc>
          <w:tcPr>
            <w:tcW w:w="1292" w:type="dxa"/>
            <w:shd w:val="clear" w:color="auto" w:fill="BDD6EE" w:themeFill="accent1" w:themeFillTint="66"/>
          </w:tcPr>
          <w:p w:rsidR="009C434A" w:rsidRPr="00E435B5" w:rsidRDefault="009C434A" w:rsidP="002D1875">
            <w:pPr>
              <w:rPr>
                <w:noProof/>
                <w:sz w:val="18"/>
              </w:rPr>
            </w:pPr>
            <w:r w:rsidRPr="00515D76">
              <w:rPr>
                <w:noProof/>
                <w:sz w:val="18"/>
              </w:rPr>
              <w:t>50</w:t>
            </w:r>
            <w:r>
              <w:rPr>
                <w:noProof/>
                <w:sz w:val="18"/>
              </w:rPr>
              <w:t>*</w:t>
            </w:r>
          </w:p>
        </w:tc>
        <w:tc>
          <w:tcPr>
            <w:tcW w:w="1292" w:type="dxa"/>
            <w:shd w:val="clear" w:color="auto" w:fill="BDD6EE" w:themeFill="accent1" w:themeFillTint="66"/>
          </w:tcPr>
          <w:p w:rsidR="009C434A" w:rsidRPr="00E435B5" w:rsidRDefault="009C434A" w:rsidP="002D1875">
            <w:pPr>
              <w:rPr>
                <w:noProof/>
                <w:sz w:val="18"/>
              </w:rPr>
            </w:pPr>
            <w:r w:rsidRPr="00515D76">
              <w:rPr>
                <w:noProof/>
                <w:sz w:val="18"/>
              </w:rPr>
              <w:t>50</w:t>
            </w:r>
          </w:p>
        </w:tc>
      </w:tr>
      <w:tr w:rsidR="009C434A" w:rsidRPr="00E435B5" w:rsidTr="002D1875">
        <w:trPr>
          <w:jc w:val="center"/>
        </w:trPr>
        <w:tc>
          <w:tcPr>
            <w:tcW w:w="1941" w:type="dxa"/>
            <w:vMerge/>
            <w:shd w:val="clear" w:color="auto" w:fill="BDD6EE" w:themeFill="accent1" w:themeFillTint="66"/>
          </w:tcPr>
          <w:p w:rsidR="009C434A" w:rsidRPr="00E435B5" w:rsidRDefault="009C434A" w:rsidP="002D1875">
            <w:pPr>
              <w:rPr>
                <w:noProof/>
                <w:sz w:val="18"/>
              </w:rPr>
            </w:pPr>
          </w:p>
        </w:tc>
        <w:tc>
          <w:tcPr>
            <w:tcW w:w="1480" w:type="dxa"/>
            <w:vMerge/>
            <w:shd w:val="clear" w:color="auto" w:fill="BDD6EE" w:themeFill="accent1" w:themeFillTint="66"/>
          </w:tcPr>
          <w:p w:rsidR="009C434A" w:rsidRPr="00E435B5" w:rsidRDefault="009C434A" w:rsidP="002D1875">
            <w:pPr>
              <w:rPr>
                <w:noProof/>
                <w:sz w:val="18"/>
              </w:rPr>
            </w:pPr>
          </w:p>
        </w:tc>
        <w:tc>
          <w:tcPr>
            <w:tcW w:w="1683" w:type="dxa"/>
            <w:shd w:val="clear" w:color="auto" w:fill="BDD6EE" w:themeFill="accent1" w:themeFillTint="66"/>
          </w:tcPr>
          <w:p w:rsidR="009C434A" w:rsidRPr="00E435B5" w:rsidRDefault="00334191" w:rsidP="002D1875">
            <w:pPr>
              <w:rPr>
                <w:noProof/>
                <w:sz w:val="18"/>
              </w:rPr>
            </w:pPr>
            <w:r>
              <w:rPr>
                <w:noProof/>
                <w:sz w:val="18"/>
              </w:rPr>
              <w:t>-</w:t>
            </w:r>
          </w:p>
        </w:tc>
        <w:tc>
          <w:tcPr>
            <w:tcW w:w="1683" w:type="dxa"/>
            <w:shd w:val="clear" w:color="auto" w:fill="BDD6EE" w:themeFill="accent1" w:themeFillTint="66"/>
          </w:tcPr>
          <w:p w:rsidR="009C434A" w:rsidRPr="00E435B5" w:rsidRDefault="009C434A" w:rsidP="002D1875">
            <w:pPr>
              <w:rPr>
                <w:noProof/>
                <w:sz w:val="18"/>
              </w:rPr>
            </w:pPr>
            <w:r>
              <w:rPr>
                <w:noProof/>
                <w:sz w:val="18"/>
              </w:rPr>
              <w:t>Diversificarea importurilor prin conducte</w:t>
            </w:r>
          </w:p>
        </w:tc>
        <w:tc>
          <w:tcPr>
            <w:tcW w:w="1292" w:type="dxa"/>
            <w:shd w:val="clear" w:color="auto" w:fill="BDD6EE" w:themeFill="accent1" w:themeFillTint="66"/>
          </w:tcPr>
          <w:p w:rsidR="009C434A" w:rsidRPr="00E435B5" w:rsidRDefault="009C434A" w:rsidP="002D1875">
            <w:pPr>
              <w:rPr>
                <w:noProof/>
                <w:sz w:val="18"/>
              </w:rPr>
            </w:pPr>
            <w:r w:rsidRPr="00515D76">
              <w:rPr>
                <w:noProof/>
                <w:sz w:val="18"/>
              </w:rPr>
              <w:t>10</w:t>
            </w:r>
          </w:p>
        </w:tc>
        <w:tc>
          <w:tcPr>
            <w:tcW w:w="1292" w:type="dxa"/>
            <w:shd w:val="clear" w:color="auto" w:fill="BDD6EE" w:themeFill="accent1" w:themeFillTint="66"/>
          </w:tcPr>
          <w:p w:rsidR="009C434A" w:rsidRPr="00E435B5" w:rsidRDefault="009C434A" w:rsidP="002D1875">
            <w:pPr>
              <w:rPr>
                <w:noProof/>
                <w:sz w:val="18"/>
              </w:rPr>
            </w:pPr>
            <w:r w:rsidRPr="00515D76">
              <w:rPr>
                <w:noProof/>
                <w:sz w:val="18"/>
              </w:rPr>
              <w:t>10</w:t>
            </w:r>
          </w:p>
        </w:tc>
      </w:tr>
      <w:tr w:rsidR="009C434A" w:rsidRPr="00E435B5" w:rsidTr="002D1875">
        <w:trPr>
          <w:jc w:val="center"/>
        </w:trPr>
        <w:tc>
          <w:tcPr>
            <w:tcW w:w="1941" w:type="dxa"/>
            <w:vMerge/>
            <w:shd w:val="clear" w:color="auto" w:fill="BDD6EE" w:themeFill="accent1" w:themeFillTint="66"/>
          </w:tcPr>
          <w:p w:rsidR="009C434A" w:rsidRPr="00E435B5" w:rsidRDefault="009C434A" w:rsidP="002D1875">
            <w:pPr>
              <w:rPr>
                <w:noProof/>
                <w:sz w:val="18"/>
              </w:rPr>
            </w:pPr>
          </w:p>
        </w:tc>
        <w:tc>
          <w:tcPr>
            <w:tcW w:w="1480" w:type="dxa"/>
            <w:vMerge w:val="restart"/>
            <w:shd w:val="clear" w:color="auto" w:fill="BDD6EE" w:themeFill="accent1" w:themeFillTint="66"/>
          </w:tcPr>
          <w:p w:rsidR="009C434A" w:rsidRPr="00E435B5" w:rsidRDefault="009C434A" w:rsidP="002D1875">
            <w:pPr>
              <w:rPr>
                <w:noProof/>
                <w:sz w:val="18"/>
              </w:rPr>
            </w:pPr>
          </w:p>
          <w:p w:rsidR="009C434A" w:rsidRPr="00E435B5" w:rsidRDefault="009C434A" w:rsidP="002D1875">
            <w:pPr>
              <w:rPr>
                <w:noProof/>
                <w:sz w:val="18"/>
              </w:rPr>
            </w:pPr>
            <w:r>
              <w:rPr>
                <w:noProof/>
                <w:sz w:val="18"/>
              </w:rPr>
              <w:t>MAI MULTE GAZE DIN SURSE REGENERABILE</w:t>
            </w:r>
          </w:p>
        </w:tc>
        <w:tc>
          <w:tcPr>
            <w:tcW w:w="1683" w:type="dxa"/>
            <w:shd w:val="clear" w:color="auto" w:fill="BDD6EE" w:themeFill="accent1" w:themeFillTint="66"/>
          </w:tcPr>
          <w:p w:rsidR="009C434A" w:rsidRPr="00E435B5" w:rsidRDefault="009C434A" w:rsidP="000B7C28">
            <w:pPr>
              <w:rPr>
                <w:noProof/>
                <w:sz w:val="18"/>
              </w:rPr>
            </w:pPr>
            <w:r>
              <w:rPr>
                <w:noProof/>
                <w:sz w:val="18"/>
              </w:rPr>
              <w:t xml:space="preserve">Producție de </w:t>
            </w:r>
            <w:r w:rsidRPr="00515D76">
              <w:rPr>
                <w:noProof/>
                <w:sz w:val="18"/>
              </w:rPr>
              <w:t>17</w:t>
            </w:r>
            <w:r w:rsidR="000B7C28">
              <w:rPr>
                <w:noProof/>
                <w:sz w:val="18"/>
              </w:rPr>
              <w:t> </w:t>
            </w:r>
            <w:r>
              <w:rPr>
                <w:noProof/>
                <w:sz w:val="18"/>
              </w:rPr>
              <w:t>mld. m</w:t>
            </w:r>
            <w:r w:rsidRPr="00515D76">
              <w:rPr>
                <w:noProof/>
                <w:sz w:val="18"/>
                <w:vertAlign w:val="superscript"/>
              </w:rPr>
              <w:t>3</w:t>
            </w:r>
            <w:r>
              <w:rPr>
                <w:noProof/>
                <w:sz w:val="18"/>
              </w:rPr>
              <w:t xml:space="preserve"> de biometan, economisind </w:t>
            </w:r>
            <w:r w:rsidRPr="00515D76">
              <w:rPr>
                <w:b/>
                <w:noProof/>
                <w:sz w:val="18"/>
              </w:rPr>
              <w:t>17</w:t>
            </w:r>
            <w:r w:rsidR="000B7C28" w:rsidRPr="00515D76">
              <w:rPr>
                <w:b/>
                <w:noProof/>
                <w:sz w:val="18"/>
              </w:rPr>
              <w:t> </w:t>
            </w:r>
            <w:r w:rsidRPr="00515D76">
              <w:rPr>
                <w:b/>
                <w:noProof/>
                <w:sz w:val="18"/>
              </w:rPr>
              <w:t>mld. m</w:t>
            </w:r>
            <w:r w:rsidRPr="00515D76">
              <w:rPr>
                <w:b/>
                <w:noProof/>
                <w:sz w:val="18"/>
                <w:vertAlign w:val="superscript"/>
              </w:rPr>
              <w:t>3</w:t>
            </w:r>
            <w:r w:rsidRPr="00515D76">
              <w:rPr>
                <w:b/>
                <w:noProof/>
                <w:sz w:val="18"/>
              </w:rPr>
              <w:t xml:space="preserve"> </w:t>
            </w:r>
          </w:p>
        </w:tc>
        <w:tc>
          <w:tcPr>
            <w:tcW w:w="1683" w:type="dxa"/>
            <w:shd w:val="clear" w:color="auto" w:fill="BDD6EE" w:themeFill="accent1" w:themeFillTint="66"/>
          </w:tcPr>
          <w:p w:rsidR="009C434A" w:rsidRPr="00E435B5" w:rsidRDefault="009C434A" w:rsidP="000B7C28">
            <w:pPr>
              <w:rPr>
                <w:noProof/>
                <w:sz w:val="18"/>
              </w:rPr>
            </w:pPr>
            <w:r>
              <w:rPr>
                <w:noProof/>
                <w:sz w:val="18"/>
              </w:rPr>
              <w:t xml:space="preserve">Stimularea producției de biometan, astfel încât să fie de </w:t>
            </w:r>
            <w:r w:rsidRPr="00515D76">
              <w:rPr>
                <w:noProof/>
                <w:sz w:val="18"/>
              </w:rPr>
              <w:t>35</w:t>
            </w:r>
            <w:r w:rsidR="000B7C28">
              <w:rPr>
                <w:noProof/>
                <w:sz w:val="18"/>
              </w:rPr>
              <w:t> </w:t>
            </w:r>
            <w:r>
              <w:rPr>
                <w:noProof/>
                <w:sz w:val="18"/>
              </w:rPr>
              <w:t>mld. m</w:t>
            </w:r>
            <w:r w:rsidRPr="00515D76">
              <w:rPr>
                <w:noProof/>
                <w:sz w:val="18"/>
                <w:vertAlign w:val="superscript"/>
              </w:rPr>
              <w:t>3</w:t>
            </w:r>
            <w:r>
              <w:rPr>
                <w:noProof/>
                <w:sz w:val="18"/>
              </w:rPr>
              <w:t xml:space="preserve"> până în </w:t>
            </w:r>
            <w:r w:rsidRPr="00515D76">
              <w:rPr>
                <w:noProof/>
                <w:sz w:val="18"/>
              </w:rPr>
              <w:t>2030</w:t>
            </w:r>
          </w:p>
        </w:tc>
        <w:tc>
          <w:tcPr>
            <w:tcW w:w="1292" w:type="dxa"/>
            <w:shd w:val="clear" w:color="auto" w:fill="BDD6EE" w:themeFill="accent1" w:themeFillTint="66"/>
          </w:tcPr>
          <w:p w:rsidR="009C434A" w:rsidRPr="00E435B5" w:rsidRDefault="009C434A" w:rsidP="002D1875">
            <w:pPr>
              <w:rPr>
                <w:noProof/>
                <w:sz w:val="18"/>
              </w:rPr>
            </w:pPr>
            <w:r w:rsidRPr="00515D76">
              <w:rPr>
                <w:noProof/>
                <w:sz w:val="18"/>
              </w:rPr>
              <w:t>3</w:t>
            </w:r>
            <w:r>
              <w:rPr>
                <w:noProof/>
                <w:sz w:val="18"/>
              </w:rPr>
              <w:t>,</w:t>
            </w:r>
            <w:r w:rsidRPr="00515D76">
              <w:rPr>
                <w:noProof/>
                <w:sz w:val="18"/>
              </w:rPr>
              <w:t>5</w:t>
            </w:r>
          </w:p>
        </w:tc>
        <w:tc>
          <w:tcPr>
            <w:tcW w:w="1292" w:type="dxa"/>
            <w:shd w:val="clear" w:color="auto" w:fill="BDD6EE" w:themeFill="accent1" w:themeFillTint="66"/>
          </w:tcPr>
          <w:p w:rsidR="009C434A" w:rsidRPr="00E435B5" w:rsidRDefault="009C434A" w:rsidP="002D1875">
            <w:pPr>
              <w:rPr>
                <w:noProof/>
                <w:sz w:val="18"/>
              </w:rPr>
            </w:pPr>
            <w:r w:rsidRPr="00515D76">
              <w:rPr>
                <w:noProof/>
                <w:sz w:val="18"/>
              </w:rPr>
              <w:t>18</w:t>
            </w:r>
          </w:p>
        </w:tc>
      </w:tr>
      <w:tr w:rsidR="009C434A" w:rsidRPr="00E435B5" w:rsidTr="002D1875">
        <w:trPr>
          <w:jc w:val="center"/>
        </w:trPr>
        <w:tc>
          <w:tcPr>
            <w:tcW w:w="1941" w:type="dxa"/>
            <w:vMerge/>
            <w:shd w:val="clear" w:color="auto" w:fill="BDD6EE" w:themeFill="accent1" w:themeFillTint="66"/>
          </w:tcPr>
          <w:p w:rsidR="009C434A" w:rsidRPr="00E435B5" w:rsidRDefault="009C434A" w:rsidP="002D1875">
            <w:pPr>
              <w:rPr>
                <w:noProof/>
                <w:sz w:val="18"/>
              </w:rPr>
            </w:pPr>
          </w:p>
        </w:tc>
        <w:tc>
          <w:tcPr>
            <w:tcW w:w="1480" w:type="dxa"/>
            <w:vMerge/>
            <w:shd w:val="clear" w:color="auto" w:fill="BDD6EE" w:themeFill="accent1" w:themeFillTint="66"/>
          </w:tcPr>
          <w:p w:rsidR="009C434A" w:rsidRPr="00E435B5" w:rsidRDefault="009C434A" w:rsidP="002D1875">
            <w:pPr>
              <w:rPr>
                <w:noProof/>
                <w:sz w:val="18"/>
              </w:rPr>
            </w:pPr>
          </w:p>
        </w:tc>
        <w:tc>
          <w:tcPr>
            <w:tcW w:w="1683" w:type="dxa"/>
            <w:shd w:val="clear" w:color="auto" w:fill="BDD6EE" w:themeFill="accent1" w:themeFillTint="66"/>
          </w:tcPr>
          <w:p w:rsidR="009C434A" w:rsidRPr="00E435B5" w:rsidRDefault="009C434A" w:rsidP="000B7C28">
            <w:pPr>
              <w:rPr>
                <w:noProof/>
                <w:sz w:val="18"/>
              </w:rPr>
            </w:pPr>
            <w:r w:rsidRPr="00515D76">
              <w:rPr>
                <w:noProof/>
                <w:sz w:val="18"/>
              </w:rPr>
              <w:t>5</w:t>
            </w:r>
            <w:r>
              <w:rPr>
                <w:noProof/>
                <w:sz w:val="18"/>
              </w:rPr>
              <w:t>,</w:t>
            </w:r>
            <w:r w:rsidRPr="00515D76">
              <w:rPr>
                <w:noProof/>
                <w:sz w:val="18"/>
              </w:rPr>
              <w:t>6</w:t>
            </w:r>
            <w:r>
              <w:rPr>
                <w:noProof/>
                <w:sz w:val="18"/>
              </w:rPr>
              <w:t xml:space="preserve"> milioane de tone de hidrogen din surse regenerabile, economisind </w:t>
            </w:r>
            <w:r w:rsidRPr="00515D76">
              <w:rPr>
                <w:b/>
                <w:noProof/>
                <w:sz w:val="18"/>
              </w:rPr>
              <w:t>9-18,5</w:t>
            </w:r>
            <w:r w:rsidR="000B7C28" w:rsidRPr="00515D76">
              <w:rPr>
                <w:b/>
                <w:noProof/>
                <w:sz w:val="18"/>
              </w:rPr>
              <w:t> </w:t>
            </w:r>
            <w:r w:rsidRPr="00515D76">
              <w:rPr>
                <w:b/>
                <w:noProof/>
                <w:sz w:val="18"/>
              </w:rPr>
              <w:t>mld. m</w:t>
            </w:r>
            <w:r w:rsidRPr="00515D76">
              <w:rPr>
                <w:b/>
                <w:noProof/>
                <w:sz w:val="18"/>
                <w:vertAlign w:val="superscript"/>
              </w:rPr>
              <w:t>3</w:t>
            </w:r>
            <w:r w:rsidR="007D200D" w:rsidRPr="00515D76">
              <w:rPr>
                <w:b/>
                <w:noProof/>
                <w:sz w:val="18"/>
              </w:rPr>
              <w:t xml:space="preserve"> </w:t>
            </w:r>
            <w:r w:rsidRPr="00515D76">
              <w:rPr>
                <w:b/>
                <w:noProof/>
                <w:sz w:val="18"/>
              </w:rPr>
              <w:t xml:space="preserve"> </w:t>
            </w:r>
          </w:p>
        </w:tc>
        <w:tc>
          <w:tcPr>
            <w:tcW w:w="1683" w:type="dxa"/>
            <w:shd w:val="clear" w:color="auto" w:fill="BDD6EE" w:themeFill="accent1" w:themeFillTint="66"/>
          </w:tcPr>
          <w:p w:rsidR="009C434A" w:rsidRPr="00E435B5" w:rsidRDefault="009C434A" w:rsidP="000B7C28">
            <w:pPr>
              <w:rPr>
                <w:noProof/>
                <w:sz w:val="18"/>
              </w:rPr>
            </w:pPr>
            <w:r>
              <w:rPr>
                <w:noProof/>
                <w:sz w:val="18"/>
              </w:rPr>
              <w:t xml:space="preserve">Stimularea producției și a importurilor de hidrogen, astfel încât să fie de </w:t>
            </w:r>
            <w:r w:rsidRPr="00515D76">
              <w:rPr>
                <w:noProof/>
                <w:sz w:val="18"/>
              </w:rPr>
              <w:t>20</w:t>
            </w:r>
            <w:r w:rsidR="000B7C28">
              <w:rPr>
                <w:noProof/>
                <w:sz w:val="18"/>
              </w:rPr>
              <w:t> </w:t>
            </w:r>
            <w:r>
              <w:rPr>
                <w:noProof/>
                <w:sz w:val="18"/>
              </w:rPr>
              <w:t xml:space="preserve">mt până în </w:t>
            </w:r>
            <w:r w:rsidRPr="00515D76">
              <w:rPr>
                <w:noProof/>
                <w:sz w:val="18"/>
              </w:rPr>
              <w:t>2030</w:t>
            </w:r>
          </w:p>
        </w:tc>
        <w:tc>
          <w:tcPr>
            <w:tcW w:w="1292" w:type="dxa"/>
            <w:shd w:val="clear" w:color="auto" w:fill="BDD6EE" w:themeFill="accent1" w:themeFillTint="66"/>
          </w:tcPr>
          <w:p w:rsidR="009C434A" w:rsidRPr="00E435B5" w:rsidRDefault="009C434A" w:rsidP="002D1875">
            <w:pPr>
              <w:rPr>
                <w:noProof/>
                <w:sz w:val="18"/>
              </w:rPr>
            </w:pPr>
            <w:r>
              <w:rPr>
                <w:noProof/>
                <w:sz w:val="18"/>
              </w:rPr>
              <w:t>-</w:t>
            </w:r>
          </w:p>
        </w:tc>
        <w:tc>
          <w:tcPr>
            <w:tcW w:w="1292" w:type="dxa"/>
            <w:shd w:val="clear" w:color="auto" w:fill="BDD6EE" w:themeFill="accent1" w:themeFillTint="66"/>
          </w:tcPr>
          <w:p w:rsidR="009C434A" w:rsidRPr="00E435B5" w:rsidRDefault="009C434A" w:rsidP="002D1875">
            <w:pPr>
              <w:rPr>
                <w:noProof/>
                <w:sz w:val="18"/>
              </w:rPr>
            </w:pPr>
            <w:r w:rsidRPr="00515D76">
              <w:rPr>
                <w:noProof/>
                <w:sz w:val="18"/>
              </w:rPr>
              <w:t>25</w:t>
            </w:r>
            <w:r>
              <w:rPr>
                <w:noProof/>
                <w:sz w:val="18"/>
              </w:rPr>
              <w:t>-</w:t>
            </w:r>
            <w:r w:rsidRPr="00515D76">
              <w:rPr>
                <w:noProof/>
                <w:sz w:val="18"/>
              </w:rPr>
              <w:t>50</w:t>
            </w:r>
          </w:p>
        </w:tc>
      </w:tr>
      <w:tr w:rsidR="009C434A" w:rsidRPr="00E435B5" w:rsidTr="002D1875">
        <w:trPr>
          <w:jc w:val="center"/>
        </w:trPr>
        <w:tc>
          <w:tcPr>
            <w:tcW w:w="1941" w:type="dxa"/>
            <w:vMerge w:val="restart"/>
            <w:shd w:val="clear" w:color="auto" w:fill="E2EFD9" w:themeFill="accent6" w:themeFillTint="33"/>
          </w:tcPr>
          <w:p w:rsidR="009C434A" w:rsidRPr="00E435B5" w:rsidRDefault="009C434A" w:rsidP="002D1875">
            <w:pPr>
              <w:rPr>
                <w:noProof/>
                <w:sz w:val="18"/>
              </w:rPr>
            </w:pPr>
          </w:p>
          <w:p w:rsidR="009C434A" w:rsidRPr="00E435B5" w:rsidRDefault="009C434A" w:rsidP="002D1875">
            <w:pPr>
              <w:rPr>
                <w:noProof/>
                <w:sz w:val="18"/>
              </w:rPr>
            </w:pPr>
          </w:p>
          <w:p w:rsidR="009C434A" w:rsidRPr="00E435B5" w:rsidRDefault="009C434A" w:rsidP="002D1875">
            <w:pPr>
              <w:rPr>
                <w:noProof/>
                <w:sz w:val="18"/>
              </w:rPr>
            </w:pPr>
          </w:p>
          <w:p w:rsidR="009C434A" w:rsidRPr="00E435B5" w:rsidRDefault="009C434A" w:rsidP="002D1875">
            <w:pPr>
              <w:rPr>
                <w:noProof/>
                <w:sz w:val="18"/>
              </w:rPr>
            </w:pPr>
          </w:p>
          <w:p w:rsidR="009C434A" w:rsidRPr="00E435B5" w:rsidRDefault="009C434A" w:rsidP="002D1875">
            <w:pPr>
              <w:rPr>
                <w:noProof/>
                <w:sz w:val="18"/>
              </w:rPr>
            </w:pPr>
          </w:p>
          <w:p w:rsidR="009C434A" w:rsidRPr="00E435B5" w:rsidRDefault="009C434A" w:rsidP="002D1875">
            <w:pPr>
              <w:rPr>
                <w:noProof/>
                <w:sz w:val="18"/>
              </w:rPr>
            </w:pPr>
          </w:p>
          <w:p w:rsidR="009C434A" w:rsidRPr="00515D76" w:rsidRDefault="009C434A" w:rsidP="002D1875">
            <w:pPr>
              <w:jc w:val="center"/>
              <w:rPr>
                <w:b/>
                <w:noProof/>
                <w:color w:val="FF0000"/>
                <w:sz w:val="18"/>
              </w:rPr>
            </w:pPr>
          </w:p>
          <w:p w:rsidR="009C434A" w:rsidRPr="00515D76" w:rsidRDefault="009C434A" w:rsidP="002D1875">
            <w:pPr>
              <w:ind w:left="-567" w:firstLine="567"/>
              <w:jc w:val="center"/>
              <w:rPr>
                <w:b/>
                <w:noProof/>
                <w:sz w:val="18"/>
                <w:u w:val="single"/>
              </w:rPr>
            </w:pPr>
            <w:r w:rsidRPr="00515D76">
              <w:rPr>
                <w:b/>
                <w:noProof/>
                <w:color w:val="FF0000"/>
                <w:sz w:val="18"/>
                <w:u w:val="single"/>
              </w:rPr>
              <w:t>ELECTRIFICAREA EUROPEI</w:t>
            </w:r>
          </w:p>
        </w:tc>
        <w:tc>
          <w:tcPr>
            <w:tcW w:w="1480" w:type="dxa"/>
            <w:vMerge w:val="restart"/>
            <w:shd w:val="clear" w:color="auto" w:fill="E2EFD9" w:themeFill="accent6" w:themeFillTint="33"/>
          </w:tcPr>
          <w:p w:rsidR="009C434A" w:rsidRPr="00E435B5" w:rsidRDefault="009C434A" w:rsidP="002D1875">
            <w:pPr>
              <w:rPr>
                <w:noProof/>
                <w:sz w:val="18"/>
              </w:rPr>
            </w:pPr>
            <w:r>
              <w:rPr>
                <w:noProof/>
                <w:sz w:val="18"/>
              </w:rPr>
              <w:t>LOCUINȚE</w:t>
            </w:r>
          </w:p>
        </w:tc>
        <w:tc>
          <w:tcPr>
            <w:tcW w:w="1683" w:type="dxa"/>
            <w:shd w:val="clear" w:color="auto" w:fill="E2EFD9" w:themeFill="accent6" w:themeFillTint="33"/>
          </w:tcPr>
          <w:p w:rsidR="009C434A" w:rsidRPr="00515D76" w:rsidRDefault="009C434A" w:rsidP="00CF352E">
            <w:pPr>
              <w:rPr>
                <w:b/>
                <w:noProof/>
                <w:sz w:val="18"/>
              </w:rPr>
            </w:pPr>
            <w:r>
              <w:rPr>
                <w:noProof/>
                <w:sz w:val="18"/>
              </w:rPr>
              <w:t xml:space="preserve">Măsuri de eficiență energetică menite să ducă la economii de </w:t>
            </w:r>
            <w:r w:rsidRPr="00515D76">
              <w:rPr>
                <w:b/>
                <w:noProof/>
                <w:sz w:val="18"/>
              </w:rPr>
              <w:t>38 mld. m</w:t>
            </w:r>
            <w:r w:rsidRPr="00515D76">
              <w:rPr>
                <w:b/>
                <w:noProof/>
                <w:sz w:val="18"/>
                <w:vertAlign w:val="superscript"/>
              </w:rPr>
              <w:t>3</w:t>
            </w:r>
          </w:p>
        </w:tc>
        <w:tc>
          <w:tcPr>
            <w:tcW w:w="1683" w:type="dxa"/>
            <w:shd w:val="clear" w:color="auto" w:fill="E2EFD9" w:themeFill="accent6" w:themeFillTint="33"/>
          </w:tcPr>
          <w:p w:rsidR="009C434A" w:rsidRPr="00E435B5" w:rsidRDefault="009C434A" w:rsidP="000B7C28">
            <w:pPr>
              <w:rPr>
                <w:noProof/>
                <w:sz w:val="18"/>
              </w:rPr>
            </w:pPr>
            <w:r>
              <w:rPr>
                <w:noProof/>
                <w:sz w:val="18"/>
              </w:rPr>
              <w:t xml:space="preserve">Economii de energie la nivelul întregii UE, de exemplu prin setarea termostatului pentru încălzirea clădirilor la o temperatură mai scăzută cu </w:t>
            </w:r>
            <w:r w:rsidRPr="00515D76">
              <w:rPr>
                <w:noProof/>
                <w:sz w:val="18"/>
              </w:rPr>
              <w:t>1</w:t>
            </w:r>
            <w:r>
              <w:rPr>
                <w:noProof/>
                <w:sz w:val="18"/>
              </w:rPr>
              <w:t xml:space="preserve"> °C, economisind </w:t>
            </w:r>
            <w:r w:rsidRPr="00515D76">
              <w:rPr>
                <w:noProof/>
                <w:sz w:val="18"/>
              </w:rPr>
              <w:t>10</w:t>
            </w:r>
            <w:r w:rsidR="000B7C28">
              <w:rPr>
                <w:noProof/>
                <w:sz w:val="18"/>
              </w:rPr>
              <w:t> </w:t>
            </w:r>
            <w:r>
              <w:rPr>
                <w:noProof/>
                <w:sz w:val="18"/>
              </w:rPr>
              <w:t>mld. m</w:t>
            </w:r>
            <w:r w:rsidRPr="00515D76">
              <w:rPr>
                <w:noProof/>
                <w:sz w:val="18"/>
                <w:vertAlign w:val="superscript"/>
              </w:rPr>
              <w:t>3</w:t>
            </w:r>
          </w:p>
        </w:tc>
        <w:tc>
          <w:tcPr>
            <w:tcW w:w="1292" w:type="dxa"/>
            <w:shd w:val="clear" w:color="auto" w:fill="E2EFD9" w:themeFill="accent6" w:themeFillTint="33"/>
          </w:tcPr>
          <w:p w:rsidR="009C434A" w:rsidRPr="00E435B5" w:rsidRDefault="009C434A" w:rsidP="002D1875">
            <w:pPr>
              <w:rPr>
                <w:noProof/>
                <w:sz w:val="18"/>
              </w:rPr>
            </w:pPr>
            <w:r w:rsidRPr="00515D76">
              <w:rPr>
                <w:noProof/>
                <w:sz w:val="18"/>
              </w:rPr>
              <w:t>14</w:t>
            </w:r>
          </w:p>
        </w:tc>
        <w:tc>
          <w:tcPr>
            <w:tcW w:w="1292" w:type="dxa"/>
            <w:shd w:val="clear" w:color="auto" w:fill="E2EFD9" w:themeFill="accent6" w:themeFillTint="33"/>
          </w:tcPr>
          <w:p w:rsidR="009C434A" w:rsidRPr="00E435B5" w:rsidRDefault="009C434A" w:rsidP="002D1875">
            <w:pPr>
              <w:rPr>
                <w:noProof/>
                <w:sz w:val="18"/>
              </w:rPr>
            </w:pPr>
            <w:r w:rsidRPr="00515D76">
              <w:rPr>
                <w:noProof/>
                <w:sz w:val="18"/>
              </w:rPr>
              <w:t>10</w:t>
            </w:r>
          </w:p>
        </w:tc>
      </w:tr>
      <w:tr w:rsidR="009C434A" w:rsidRPr="00E435B5" w:rsidTr="002D1875">
        <w:trPr>
          <w:jc w:val="center"/>
        </w:trPr>
        <w:tc>
          <w:tcPr>
            <w:tcW w:w="1941" w:type="dxa"/>
            <w:vMerge/>
            <w:shd w:val="clear" w:color="auto" w:fill="E2EFD9" w:themeFill="accent6" w:themeFillTint="33"/>
          </w:tcPr>
          <w:p w:rsidR="009C434A" w:rsidRPr="00E435B5" w:rsidRDefault="009C434A" w:rsidP="002D1875">
            <w:pPr>
              <w:rPr>
                <w:noProof/>
                <w:sz w:val="18"/>
              </w:rPr>
            </w:pPr>
          </w:p>
        </w:tc>
        <w:tc>
          <w:tcPr>
            <w:tcW w:w="1480" w:type="dxa"/>
            <w:vMerge/>
            <w:shd w:val="clear" w:color="auto" w:fill="E2EFD9" w:themeFill="accent6" w:themeFillTint="33"/>
          </w:tcPr>
          <w:p w:rsidR="009C434A" w:rsidRPr="00E435B5" w:rsidRDefault="009C434A" w:rsidP="002D1875">
            <w:pPr>
              <w:rPr>
                <w:noProof/>
                <w:sz w:val="18"/>
              </w:rPr>
            </w:pPr>
          </w:p>
        </w:tc>
        <w:tc>
          <w:tcPr>
            <w:tcW w:w="1683" w:type="dxa"/>
            <w:shd w:val="clear" w:color="auto" w:fill="E2EFD9" w:themeFill="accent6" w:themeFillTint="33"/>
          </w:tcPr>
          <w:p w:rsidR="009C434A" w:rsidRPr="00515D76" w:rsidRDefault="009C434A" w:rsidP="002D1875">
            <w:pPr>
              <w:rPr>
                <w:i/>
                <w:noProof/>
                <w:sz w:val="18"/>
              </w:rPr>
            </w:pPr>
            <w:r w:rsidRPr="00515D76">
              <w:rPr>
                <w:i/>
                <w:noProof/>
                <w:sz w:val="18"/>
              </w:rPr>
              <w:t>Incluse în cifrele totale privind SRE de mai jos</w:t>
            </w:r>
          </w:p>
        </w:tc>
        <w:tc>
          <w:tcPr>
            <w:tcW w:w="1683" w:type="dxa"/>
            <w:shd w:val="clear" w:color="auto" w:fill="E2EFD9" w:themeFill="accent6" w:themeFillTint="33"/>
          </w:tcPr>
          <w:p w:rsidR="009C434A" w:rsidRPr="00E435B5" w:rsidRDefault="009C434A" w:rsidP="002D1875">
            <w:pPr>
              <w:rPr>
                <w:noProof/>
                <w:sz w:val="18"/>
              </w:rPr>
            </w:pPr>
            <w:r>
              <w:rPr>
                <w:noProof/>
                <w:sz w:val="18"/>
              </w:rPr>
              <w:t xml:space="preserve">Acțiuni consolidate de instalare, la începutul perioadei, de panouri solare pe acoperișuri – până la </w:t>
            </w:r>
            <w:r w:rsidRPr="00515D76">
              <w:rPr>
                <w:noProof/>
                <w:sz w:val="18"/>
              </w:rPr>
              <w:t>15</w:t>
            </w:r>
            <w:r>
              <w:rPr>
                <w:noProof/>
                <w:sz w:val="18"/>
              </w:rPr>
              <w:t xml:space="preserve"> TWh pe an</w:t>
            </w:r>
          </w:p>
        </w:tc>
        <w:tc>
          <w:tcPr>
            <w:tcW w:w="1292" w:type="dxa"/>
            <w:shd w:val="clear" w:color="auto" w:fill="E2EFD9" w:themeFill="accent6" w:themeFillTint="33"/>
          </w:tcPr>
          <w:p w:rsidR="009C434A" w:rsidRPr="00E435B5" w:rsidRDefault="009C434A" w:rsidP="002D1875">
            <w:pPr>
              <w:rPr>
                <w:noProof/>
                <w:sz w:val="18"/>
              </w:rPr>
            </w:pPr>
            <w:r w:rsidRPr="00515D76">
              <w:rPr>
                <w:noProof/>
                <w:sz w:val="18"/>
              </w:rPr>
              <w:t>2</w:t>
            </w:r>
            <w:r>
              <w:rPr>
                <w:noProof/>
                <w:sz w:val="18"/>
              </w:rPr>
              <w:t>,</w:t>
            </w:r>
            <w:r w:rsidRPr="00515D76">
              <w:rPr>
                <w:noProof/>
                <w:sz w:val="18"/>
              </w:rPr>
              <w:t>5</w:t>
            </w:r>
          </w:p>
        </w:tc>
        <w:tc>
          <w:tcPr>
            <w:tcW w:w="1292" w:type="dxa"/>
            <w:shd w:val="clear" w:color="auto" w:fill="E2EFD9" w:themeFill="accent6" w:themeFillTint="33"/>
          </w:tcPr>
          <w:p w:rsidR="009C434A" w:rsidRPr="00E435B5" w:rsidRDefault="009C434A" w:rsidP="002D1875">
            <w:pPr>
              <w:rPr>
                <w:noProof/>
                <w:sz w:val="18"/>
              </w:rPr>
            </w:pPr>
            <w:r>
              <w:rPr>
                <w:noProof/>
                <w:sz w:val="18"/>
              </w:rPr>
              <w:t xml:space="preserve">la începutul perioadei </w:t>
            </w:r>
          </w:p>
        </w:tc>
      </w:tr>
      <w:tr w:rsidR="009C434A" w:rsidRPr="00E435B5" w:rsidTr="002D1875">
        <w:trPr>
          <w:jc w:val="center"/>
        </w:trPr>
        <w:tc>
          <w:tcPr>
            <w:tcW w:w="1941" w:type="dxa"/>
            <w:vMerge/>
            <w:shd w:val="clear" w:color="auto" w:fill="E2EFD9" w:themeFill="accent6" w:themeFillTint="33"/>
          </w:tcPr>
          <w:p w:rsidR="009C434A" w:rsidRPr="00E435B5" w:rsidRDefault="009C434A" w:rsidP="002D1875">
            <w:pPr>
              <w:rPr>
                <w:noProof/>
                <w:sz w:val="18"/>
              </w:rPr>
            </w:pPr>
          </w:p>
        </w:tc>
        <w:tc>
          <w:tcPr>
            <w:tcW w:w="1480" w:type="dxa"/>
            <w:vMerge/>
            <w:shd w:val="clear" w:color="auto" w:fill="E2EFD9" w:themeFill="accent6" w:themeFillTint="33"/>
          </w:tcPr>
          <w:p w:rsidR="009C434A" w:rsidRPr="00E435B5" w:rsidRDefault="009C434A" w:rsidP="002D1875">
            <w:pPr>
              <w:rPr>
                <w:noProof/>
                <w:sz w:val="18"/>
              </w:rPr>
            </w:pPr>
          </w:p>
        </w:tc>
        <w:tc>
          <w:tcPr>
            <w:tcW w:w="1683" w:type="dxa"/>
            <w:shd w:val="clear" w:color="auto" w:fill="E2EFD9" w:themeFill="accent6" w:themeFillTint="33"/>
          </w:tcPr>
          <w:p w:rsidR="009C434A" w:rsidRPr="00E435B5" w:rsidRDefault="00CF352E" w:rsidP="00CF352E">
            <w:pPr>
              <w:rPr>
                <w:noProof/>
                <w:sz w:val="18"/>
              </w:rPr>
            </w:pPr>
            <w:r w:rsidRPr="00515D76">
              <w:rPr>
                <w:noProof/>
                <w:sz w:val="18"/>
              </w:rPr>
              <w:t>30</w:t>
            </w:r>
            <w:r>
              <w:rPr>
                <w:noProof/>
                <w:sz w:val="18"/>
              </w:rPr>
              <w:t xml:space="preserve"> de milioane de pompe de căldură nou-instalate în </w:t>
            </w:r>
            <w:r w:rsidRPr="00515D76">
              <w:rPr>
                <w:noProof/>
                <w:sz w:val="18"/>
              </w:rPr>
              <w:t>2030</w:t>
            </w:r>
            <w:r>
              <w:rPr>
                <w:noProof/>
                <w:sz w:val="18"/>
              </w:rPr>
              <w:t xml:space="preserve">, economisind </w:t>
            </w:r>
            <w:r w:rsidRPr="00515D76">
              <w:rPr>
                <w:b/>
                <w:bCs/>
                <w:noProof/>
                <w:sz w:val="18"/>
              </w:rPr>
              <w:t>35 mld. m</w:t>
            </w:r>
            <w:r w:rsidRPr="00515D76">
              <w:rPr>
                <w:b/>
                <w:bCs/>
                <w:noProof/>
                <w:sz w:val="18"/>
                <w:vertAlign w:val="superscript"/>
              </w:rPr>
              <w:t>3</w:t>
            </w:r>
            <w:r>
              <w:rPr>
                <w:noProof/>
                <w:sz w:val="18"/>
              </w:rPr>
              <w:t xml:space="preserve"> în </w:t>
            </w:r>
            <w:r w:rsidRPr="00515D76">
              <w:rPr>
                <w:noProof/>
                <w:sz w:val="18"/>
              </w:rPr>
              <w:t>2030</w:t>
            </w:r>
          </w:p>
        </w:tc>
        <w:tc>
          <w:tcPr>
            <w:tcW w:w="1683" w:type="dxa"/>
            <w:shd w:val="clear" w:color="auto" w:fill="E2EFD9" w:themeFill="accent6" w:themeFillTint="33"/>
          </w:tcPr>
          <w:p w:rsidR="009C434A" w:rsidRPr="00E435B5" w:rsidRDefault="009C434A" w:rsidP="00CF352E">
            <w:pPr>
              <w:rPr>
                <w:noProof/>
                <w:sz w:val="18"/>
              </w:rPr>
            </w:pPr>
            <w:r>
              <w:rPr>
                <w:noProof/>
                <w:sz w:val="18"/>
              </w:rPr>
              <w:t xml:space="preserve">Acțiuni consolidate, la începutul perioadei, de instalare de pompe de căldură prin dublarea implementării acestora, fiind montate, astfel, în total </w:t>
            </w:r>
            <w:r w:rsidRPr="00515D76">
              <w:rPr>
                <w:noProof/>
                <w:sz w:val="18"/>
              </w:rPr>
              <w:t>10</w:t>
            </w:r>
            <w:r>
              <w:rPr>
                <w:noProof/>
                <w:sz w:val="18"/>
              </w:rPr>
              <w:t xml:space="preserve"> milioane de unități în următorii </w:t>
            </w:r>
            <w:r w:rsidRPr="00515D76">
              <w:rPr>
                <w:noProof/>
                <w:sz w:val="18"/>
              </w:rPr>
              <w:t>5</w:t>
            </w:r>
            <w:r>
              <w:rPr>
                <w:noProof/>
                <w:sz w:val="18"/>
              </w:rPr>
              <w:t xml:space="preserve"> ani </w:t>
            </w:r>
          </w:p>
        </w:tc>
        <w:tc>
          <w:tcPr>
            <w:tcW w:w="1292" w:type="dxa"/>
            <w:shd w:val="clear" w:color="auto" w:fill="E2EFD9" w:themeFill="accent6" w:themeFillTint="33"/>
          </w:tcPr>
          <w:p w:rsidR="009C434A" w:rsidRDefault="00CF352E" w:rsidP="002D1875">
            <w:pPr>
              <w:rPr>
                <w:noProof/>
                <w:sz w:val="18"/>
              </w:rPr>
            </w:pPr>
            <w:r w:rsidRPr="00515D76">
              <w:rPr>
                <w:noProof/>
                <w:sz w:val="18"/>
              </w:rPr>
              <w:t>1</w:t>
            </w:r>
            <w:r>
              <w:rPr>
                <w:noProof/>
                <w:sz w:val="18"/>
              </w:rPr>
              <w:t>,</w:t>
            </w:r>
            <w:r w:rsidRPr="00515D76">
              <w:rPr>
                <w:noProof/>
                <w:sz w:val="18"/>
              </w:rPr>
              <w:t>5</w:t>
            </w:r>
          </w:p>
          <w:p w:rsidR="009C434A" w:rsidRPr="00E435B5" w:rsidRDefault="009C434A" w:rsidP="002D1875">
            <w:pPr>
              <w:rPr>
                <w:noProof/>
                <w:sz w:val="18"/>
              </w:rPr>
            </w:pPr>
          </w:p>
        </w:tc>
        <w:tc>
          <w:tcPr>
            <w:tcW w:w="1292" w:type="dxa"/>
            <w:shd w:val="clear" w:color="auto" w:fill="E2EFD9" w:themeFill="accent6" w:themeFillTint="33"/>
          </w:tcPr>
          <w:p w:rsidR="009C434A" w:rsidRPr="00E435B5" w:rsidRDefault="009C434A" w:rsidP="002D1875">
            <w:pPr>
              <w:rPr>
                <w:noProof/>
                <w:sz w:val="18"/>
              </w:rPr>
            </w:pPr>
            <w:r>
              <w:rPr>
                <w:noProof/>
                <w:sz w:val="18"/>
              </w:rPr>
              <w:t>la începutul perioadei</w:t>
            </w:r>
          </w:p>
        </w:tc>
      </w:tr>
      <w:tr w:rsidR="009C434A" w:rsidRPr="00E435B5" w:rsidTr="002D1875">
        <w:trPr>
          <w:jc w:val="center"/>
        </w:trPr>
        <w:tc>
          <w:tcPr>
            <w:tcW w:w="1941" w:type="dxa"/>
            <w:vMerge/>
            <w:shd w:val="clear" w:color="auto" w:fill="E2EFD9" w:themeFill="accent6" w:themeFillTint="33"/>
          </w:tcPr>
          <w:p w:rsidR="009C434A" w:rsidRPr="00E435B5" w:rsidRDefault="009C434A" w:rsidP="002D1875">
            <w:pPr>
              <w:rPr>
                <w:noProof/>
                <w:sz w:val="18"/>
              </w:rPr>
            </w:pPr>
          </w:p>
        </w:tc>
        <w:tc>
          <w:tcPr>
            <w:tcW w:w="1480" w:type="dxa"/>
            <w:shd w:val="clear" w:color="auto" w:fill="E2EFD9" w:themeFill="accent6" w:themeFillTint="33"/>
          </w:tcPr>
          <w:p w:rsidR="009C434A" w:rsidRPr="00E435B5" w:rsidRDefault="009C434A" w:rsidP="002D1875">
            <w:pPr>
              <w:rPr>
                <w:noProof/>
                <w:sz w:val="18"/>
              </w:rPr>
            </w:pPr>
            <w:r>
              <w:rPr>
                <w:noProof/>
                <w:sz w:val="18"/>
              </w:rPr>
              <w:t xml:space="preserve"> SECTORUL ELECTROENERGETIC</w:t>
            </w:r>
          </w:p>
        </w:tc>
        <w:tc>
          <w:tcPr>
            <w:tcW w:w="1683" w:type="dxa"/>
            <w:shd w:val="clear" w:color="auto" w:fill="E2EFD9" w:themeFill="accent6" w:themeFillTint="33"/>
          </w:tcPr>
          <w:p w:rsidR="009C434A" w:rsidRPr="00E435B5" w:rsidRDefault="009C434A" w:rsidP="002D1875">
            <w:pPr>
              <w:rPr>
                <w:noProof/>
                <w:sz w:val="18"/>
              </w:rPr>
            </w:pPr>
            <w:r>
              <w:rPr>
                <w:noProof/>
                <w:sz w:val="18"/>
              </w:rPr>
              <w:t xml:space="preserve">Implementarea a </w:t>
            </w:r>
            <w:r w:rsidRPr="00515D76">
              <w:rPr>
                <w:noProof/>
                <w:sz w:val="18"/>
              </w:rPr>
              <w:t>480</w:t>
            </w:r>
            <w:r>
              <w:rPr>
                <w:noProof/>
                <w:sz w:val="18"/>
              </w:rPr>
              <w:t xml:space="preserve"> GW de capacități eoliene și </w:t>
            </w:r>
          </w:p>
          <w:p w:rsidR="009C434A" w:rsidRPr="00515D76" w:rsidRDefault="00CF352E" w:rsidP="002D1875">
            <w:pPr>
              <w:rPr>
                <w:b/>
                <w:noProof/>
                <w:sz w:val="18"/>
              </w:rPr>
            </w:pPr>
            <w:r>
              <w:rPr>
                <w:noProof/>
                <w:sz w:val="18"/>
              </w:rPr>
              <w:t xml:space="preserve">a </w:t>
            </w:r>
            <w:r w:rsidRPr="00515D76">
              <w:rPr>
                <w:noProof/>
                <w:sz w:val="18"/>
              </w:rPr>
              <w:t>420</w:t>
            </w:r>
            <w:r>
              <w:rPr>
                <w:noProof/>
                <w:sz w:val="18"/>
              </w:rPr>
              <w:t xml:space="preserve"> GW de capacități solare, economisind astfel </w:t>
            </w:r>
            <w:r w:rsidRPr="00515D76">
              <w:rPr>
                <w:b/>
                <w:bCs/>
                <w:noProof/>
                <w:sz w:val="18"/>
              </w:rPr>
              <w:t>170 mld. m</w:t>
            </w:r>
            <w:r w:rsidRPr="00515D76">
              <w:rPr>
                <w:b/>
                <w:bCs/>
                <w:noProof/>
                <w:sz w:val="18"/>
                <w:vertAlign w:val="superscript"/>
              </w:rPr>
              <w:t>3</w:t>
            </w:r>
            <w:r>
              <w:rPr>
                <w:noProof/>
                <w:sz w:val="18"/>
              </w:rPr>
              <w:t xml:space="preserve"> </w:t>
            </w:r>
            <w:r>
              <w:rPr>
                <w:noProof/>
                <w:color w:val="FF0000"/>
                <w:sz w:val="18"/>
                <w:szCs w:val="18"/>
              </w:rPr>
              <w:t xml:space="preserve">(și producând </w:t>
            </w:r>
            <w:r w:rsidRPr="00515D76">
              <w:rPr>
                <w:noProof/>
                <w:color w:val="FF0000"/>
                <w:sz w:val="18"/>
                <w:szCs w:val="18"/>
              </w:rPr>
              <w:t>5</w:t>
            </w:r>
            <w:r>
              <w:rPr>
                <w:noProof/>
                <w:color w:val="FF0000"/>
                <w:sz w:val="18"/>
                <w:szCs w:val="18"/>
              </w:rPr>
              <w:t>,</w:t>
            </w:r>
            <w:r w:rsidRPr="00515D76">
              <w:rPr>
                <w:noProof/>
                <w:color w:val="FF0000"/>
                <w:sz w:val="18"/>
                <w:szCs w:val="18"/>
              </w:rPr>
              <w:t>6</w:t>
            </w:r>
            <w:r>
              <w:rPr>
                <w:noProof/>
                <w:color w:val="FF0000"/>
                <w:sz w:val="18"/>
                <w:szCs w:val="18"/>
              </w:rPr>
              <w:t xml:space="preserve"> mt de hidrogen verde)</w:t>
            </w:r>
          </w:p>
          <w:p w:rsidR="009C434A" w:rsidRPr="00E435B5" w:rsidRDefault="009C434A" w:rsidP="002D1875">
            <w:pPr>
              <w:rPr>
                <w:noProof/>
                <w:sz w:val="18"/>
              </w:rPr>
            </w:pPr>
          </w:p>
        </w:tc>
        <w:tc>
          <w:tcPr>
            <w:tcW w:w="1683" w:type="dxa"/>
            <w:shd w:val="clear" w:color="auto" w:fill="E2EFD9" w:themeFill="accent6" w:themeFillTint="33"/>
          </w:tcPr>
          <w:p w:rsidR="009C434A" w:rsidRPr="00E435B5" w:rsidRDefault="009C434A" w:rsidP="00515D76">
            <w:pPr>
              <w:rPr>
                <w:noProof/>
                <w:sz w:val="18"/>
              </w:rPr>
            </w:pPr>
            <w:r>
              <w:rPr>
                <w:noProof/>
                <w:sz w:val="18"/>
              </w:rPr>
              <w:t xml:space="preserve">Acțiuni consolidate, la începutul perioadei, în ceea ce privește energia eoliană și energia solară, ducând la creșterea cu </w:t>
            </w:r>
            <w:r w:rsidRPr="00515D76">
              <w:rPr>
                <w:noProof/>
                <w:sz w:val="18"/>
              </w:rPr>
              <w:t>20</w:t>
            </w:r>
            <w:r>
              <w:rPr>
                <w:noProof/>
                <w:sz w:val="18"/>
              </w:rPr>
              <w:t xml:space="preserve"> % a ratei medii de implementare și la economii de </w:t>
            </w:r>
            <w:r w:rsidRPr="00515D76">
              <w:rPr>
                <w:noProof/>
                <w:sz w:val="18"/>
              </w:rPr>
              <w:t>3</w:t>
            </w:r>
            <w:r>
              <w:rPr>
                <w:noProof/>
                <w:sz w:val="18"/>
              </w:rPr>
              <w:t xml:space="preserve"> mld. m</w:t>
            </w:r>
            <w:r w:rsidRPr="00515D76">
              <w:rPr>
                <w:noProof/>
                <w:sz w:val="18"/>
                <w:vertAlign w:val="superscript"/>
              </w:rPr>
              <w:t>3</w:t>
            </w:r>
            <w:r>
              <w:rPr>
                <w:noProof/>
                <w:sz w:val="18"/>
              </w:rPr>
              <w:t xml:space="preserve"> de gaze, și instalarea de capacități suplimentare de </w:t>
            </w:r>
            <w:r w:rsidRPr="00515D76">
              <w:rPr>
                <w:noProof/>
                <w:sz w:val="18"/>
              </w:rPr>
              <w:t>80</w:t>
            </w:r>
            <w:r w:rsidR="00515D76">
              <w:rPr>
                <w:noProof/>
                <w:sz w:val="18"/>
              </w:rPr>
              <w:t> </w:t>
            </w:r>
            <w:r>
              <w:rPr>
                <w:noProof/>
                <w:sz w:val="18"/>
              </w:rPr>
              <w:t xml:space="preserve">GW până în </w:t>
            </w:r>
            <w:r w:rsidRPr="00515D76">
              <w:rPr>
                <w:noProof/>
                <w:sz w:val="18"/>
              </w:rPr>
              <w:t>2030</w:t>
            </w:r>
            <w:r>
              <w:rPr>
                <w:noProof/>
                <w:sz w:val="18"/>
              </w:rPr>
              <w:t xml:space="preserve"> pentru a se adapta producției mai mari de hidrogen din surse regenerabile.</w:t>
            </w:r>
          </w:p>
        </w:tc>
        <w:tc>
          <w:tcPr>
            <w:tcW w:w="1292" w:type="dxa"/>
            <w:shd w:val="clear" w:color="auto" w:fill="E2EFD9" w:themeFill="accent6" w:themeFillTint="33"/>
          </w:tcPr>
          <w:p w:rsidR="009C434A" w:rsidRPr="00E435B5" w:rsidRDefault="009C434A" w:rsidP="002D1875">
            <w:pPr>
              <w:rPr>
                <w:noProof/>
                <w:sz w:val="18"/>
              </w:rPr>
            </w:pPr>
            <w:r w:rsidRPr="00515D76">
              <w:rPr>
                <w:noProof/>
                <w:sz w:val="18"/>
              </w:rPr>
              <w:t>20</w:t>
            </w:r>
          </w:p>
        </w:tc>
        <w:tc>
          <w:tcPr>
            <w:tcW w:w="1292" w:type="dxa"/>
            <w:shd w:val="clear" w:color="auto" w:fill="E2EFD9" w:themeFill="accent6" w:themeFillTint="33"/>
          </w:tcPr>
          <w:p w:rsidR="00CF352E" w:rsidRDefault="00CF352E" w:rsidP="00CF352E">
            <w:pPr>
              <w:rPr>
                <w:noProof/>
                <w:sz w:val="18"/>
              </w:rPr>
            </w:pPr>
            <w:r>
              <w:rPr>
                <w:noProof/>
                <w:sz w:val="18"/>
              </w:rPr>
              <w:t xml:space="preserve">Economiile de gaze rezultate din creșterea nivelului de ambiție sunt contabilizate în secțiunea privind hidrogenul verde, restul fiind marcate la începutul perioadei </w:t>
            </w:r>
          </w:p>
          <w:p w:rsidR="009C434A" w:rsidRPr="00E435B5" w:rsidRDefault="009C434A" w:rsidP="00CF352E">
            <w:pPr>
              <w:rPr>
                <w:noProof/>
                <w:sz w:val="18"/>
              </w:rPr>
            </w:pPr>
          </w:p>
        </w:tc>
      </w:tr>
      <w:tr w:rsidR="009C434A" w:rsidRPr="00E435B5" w:rsidTr="002D1875">
        <w:trPr>
          <w:jc w:val="center"/>
        </w:trPr>
        <w:tc>
          <w:tcPr>
            <w:tcW w:w="1941" w:type="dxa"/>
            <w:shd w:val="clear" w:color="auto" w:fill="FFF2CC" w:themeFill="accent4" w:themeFillTint="33"/>
          </w:tcPr>
          <w:p w:rsidR="009C434A" w:rsidRPr="00515D76" w:rsidRDefault="009C434A" w:rsidP="002D1875">
            <w:pPr>
              <w:jc w:val="center"/>
              <w:rPr>
                <w:b/>
                <w:noProof/>
                <w:sz w:val="18"/>
                <w:u w:val="single"/>
              </w:rPr>
            </w:pPr>
            <w:r w:rsidRPr="00515D76">
              <w:rPr>
                <w:b/>
                <w:noProof/>
                <w:color w:val="FF0000"/>
                <w:sz w:val="18"/>
                <w:u w:val="single"/>
              </w:rPr>
              <w:t>TRANSFORMAREA INDUSTRIEI</w:t>
            </w:r>
          </w:p>
        </w:tc>
        <w:tc>
          <w:tcPr>
            <w:tcW w:w="1480" w:type="dxa"/>
            <w:shd w:val="clear" w:color="auto" w:fill="FFF2CC" w:themeFill="accent4" w:themeFillTint="33"/>
          </w:tcPr>
          <w:p w:rsidR="009C434A" w:rsidRPr="00E435B5" w:rsidRDefault="009C434A" w:rsidP="002D1875">
            <w:pPr>
              <w:rPr>
                <w:noProof/>
                <w:sz w:val="18"/>
              </w:rPr>
            </w:pPr>
            <w:r>
              <w:rPr>
                <w:noProof/>
                <w:sz w:val="18"/>
              </w:rPr>
              <w:t>INDUSTRIILE MARI CONSUMATOARE DE ENERGIE</w:t>
            </w:r>
          </w:p>
        </w:tc>
        <w:tc>
          <w:tcPr>
            <w:tcW w:w="1683" w:type="dxa"/>
            <w:shd w:val="clear" w:color="auto" w:fill="FFF2CC" w:themeFill="accent4" w:themeFillTint="33"/>
          </w:tcPr>
          <w:p w:rsidR="009C434A" w:rsidRDefault="009C434A" w:rsidP="00F017BE">
            <w:pPr>
              <w:rPr>
                <w:noProof/>
                <w:sz w:val="18"/>
              </w:rPr>
            </w:pPr>
            <w:r>
              <w:rPr>
                <w:noProof/>
                <w:sz w:val="18"/>
              </w:rPr>
              <w:t>Acțiuni consolidate, la începutul perioadei, de electrificare și de utilizare a hidrogenului din surse regenerabile</w:t>
            </w:r>
          </w:p>
        </w:tc>
        <w:tc>
          <w:tcPr>
            <w:tcW w:w="1683" w:type="dxa"/>
            <w:shd w:val="clear" w:color="auto" w:fill="FFF2CC" w:themeFill="accent4" w:themeFillTint="33"/>
          </w:tcPr>
          <w:p w:rsidR="009C434A" w:rsidRPr="00F151AA" w:rsidRDefault="009C434A" w:rsidP="002D1875">
            <w:pPr>
              <w:rPr>
                <w:noProof/>
                <w:sz w:val="18"/>
              </w:rPr>
            </w:pPr>
            <w:r>
              <w:rPr>
                <w:noProof/>
                <w:sz w:val="18"/>
              </w:rPr>
              <w:t xml:space="preserve">Acțiuni consolidate, la începutul perioadei, de executare a Fondului pentru inovare și extinderea domeniului de aplicare al acestuia la contractele pentru diferență în materie de carbon </w:t>
            </w:r>
          </w:p>
        </w:tc>
        <w:tc>
          <w:tcPr>
            <w:tcW w:w="2584" w:type="dxa"/>
            <w:gridSpan w:val="2"/>
            <w:shd w:val="clear" w:color="auto" w:fill="FFF2CC" w:themeFill="accent4" w:themeFillTint="33"/>
          </w:tcPr>
          <w:p w:rsidR="009C434A" w:rsidRPr="00515D76" w:rsidRDefault="009C434A" w:rsidP="00F017BE">
            <w:pPr>
              <w:rPr>
                <w:i/>
                <w:noProof/>
                <w:sz w:val="18"/>
              </w:rPr>
            </w:pPr>
            <w:r w:rsidRPr="00515D76">
              <w:rPr>
                <w:i/>
                <w:noProof/>
                <w:sz w:val="18"/>
              </w:rPr>
              <w:t>Economiile de gaze sunt luate în calcul în cadrul obiectivelor privind hidrogenul din surse regenerabile și energia din surse regenerabile</w:t>
            </w:r>
          </w:p>
        </w:tc>
      </w:tr>
    </w:tbl>
    <w:p w:rsidR="009C434A" w:rsidRPr="00515D76" w:rsidRDefault="00E73959" w:rsidP="00615DA2">
      <w:pPr>
        <w:rPr>
          <w:i/>
          <w:noProof/>
        </w:rPr>
      </w:pPr>
      <w:r w:rsidRPr="00515D76">
        <w:rPr>
          <w:i/>
          <w:noProof/>
        </w:rPr>
        <w:t>*Toate cifrele reprezintă estimări.</w:t>
      </w:r>
    </w:p>
    <w:p w:rsidR="00A06AE5" w:rsidRPr="005C425D" w:rsidRDefault="0031404C" w:rsidP="00AD49AC">
      <w:pPr>
        <w:jc w:val="both"/>
        <w:rPr>
          <w:rFonts w:ascii="Times New Roman" w:hAnsi="Times New Roman" w:cs="Times New Roman"/>
          <w:noProof/>
          <w:sz w:val="24"/>
          <w:szCs w:val="24"/>
        </w:rPr>
      </w:pPr>
      <w:r w:rsidRPr="00515D76">
        <w:rPr>
          <w:rFonts w:ascii="Times New Roman" w:hAnsi="Times New Roman"/>
          <w:b/>
          <w:bCs/>
          <w:noProof/>
          <w:sz w:val="24"/>
          <w:szCs w:val="24"/>
        </w:rPr>
        <w:t>Comisia este pregătită să propună un plan REPowerEU bazat pe identificarea, în dialog cu statele membre, a celor mai adecvate proiecte și reforme</w:t>
      </w:r>
      <w:r>
        <w:rPr>
          <w:rFonts w:ascii="Times New Roman" w:hAnsi="Times New Roman"/>
          <w:noProof/>
          <w:sz w:val="24"/>
          <w:szCs w:val="24"/>
        </w:rPr>
        <w:t xml:space="preserve">, la nivel național, regional și la nivelul UE. Acesta se va baza pe planurile naționale privind energia și clima și pe actualizările acestora, pe planurile de redresare și reziliență (PRR) existente, pe programele operaționale ale politicii de coeziune și pe orice alte planuri relevante, precum și pe nevoile în materie de reziliență climatică. </w:t>
      </w:r>
      <w:r w:rsidRPr="00515D76">
        <w:rPr>
          <w:rFonts w:ascii="Times New Roman" w:hAnsi="Times New Roman"/>
          <w:b/>
          <w:bCs/>
          <w:noProof/>
          <w:sz w:val="24"/>
          <w:szCs w:val="24"/>
        </w:rPr>
        <w:t>Ar trebui privilegiate</w:t>
      </w:r>
      <w:r>
        <w:rPr>
          <w:rFonts w:ascii="Times New Roman" w:hAnsi="Times New Roman"/>
          <w:noProof/>
          <w:sz w:val="24"/>
          <w:szCs w:val="24"/>
        </w:rPr>
        <w:t xml:space="preserve"> proiectele de finalizare a pieței interne a energiei și cele </w:t>
      </w:r>
      <w:r w:rsidRPr="00515D76">
        <w:rPr>
          <w:rFonts w:ascii="Times New Roman" w:hAnsi="Times New Roman"/>
          <w:b/>
          <w:bCs/>
          <w:noProof/>
          <w:sz w:val="24"/>
          <w:szCs w:val="24"/>
        </w:rPr>
        <w:t>care au o puternică dimensiune transfrontalieră</w:t>
      </w:r>
      <w:r>
        <w:rPr>
          <w:rFonts w:ascii="Times New Roman" w:hAnsi="Times New Roman"/>
          <w:noProof/>
          <w:sz w:val="24"/>
          <w:szCs w:val="24"/>
        </w:rPr>
        <w:t>, de exemplu conexiunea critică dintre Portugalia, Spania și Franța și cea dintre Bulgaria și Grecia. Astfel de proiecte vor îmbunătăți interconectarea rețelelor europene de gaze și energie electrică și a altor infrastructuri și vor sincroniza total rețelele noastre de energie electrică, precum cea dintre statele baltice și rețeaua continentală europeană. Planurile statelor membre ar trebui să se bazeze pe o analiză regională. Comisia ar urma să ofere sprijin, așa cum a procedat deja pentru PRR, precum și asistență tehnică prin intermediul Instrumentului de sprijin tehnic.</w:t>
      </w:r>
      <w:r w:rsidRPr="00515D76">
        <w:rPr>
          <w:rFonts w:ascii="Times New Roman" w:hAnsi="Times New Roman"/>
          <w:b/>
          <w:bCs/>
          <w:noProof/>
          <w:sz w:val="24"/>
          <w:szCs w:val="24"/>
        </w:rPr>
        <w:t xml:space="preserve"> </w:t>
      </w:r>
      <w:r w:rsidRPr="00515D76">
        <w:rPr>
          <w:rFonts w:ascii="Times New Roman" w:hAnsi="Times New Roman"/>
          <w:b/>
          <w:noProof/>
          <w:sz w:val="24"/>
          <w:szCs w:val="24"/>
        </w:rPr>
        <w:t>Nevoile de finanțare</w:t>
      </w:r>
      <w:r>
        <w:rPr>
          <w:rFonts w:ascii="Times New Roman" w:hAnsi="Times New Roman"/>
          <w:noProof/>
          <w:sz w:val="24"/>
          <w:szCs w:val="24"/>
        </w:rPr>
        <w:t xml:space="preserve"> vor fi evaluate pe baza unei cartografieri cuprinzătoare a nevoilor statelor membre, precum și a nevoilor de investiții transfrontaliere. Pentru a satisface aceste nevoi, ar trebui mobilizate toate resursele și instrumentele disponibile la nivel național și la nivelul UE, finanțarea publică trebuind să fie concepută de așa natură încât să atragă investiții private.</w:t>
      </w:r>
    </w:p>
    <w:p w:rsidR="00475D3D" w:rsidRPr="00515D76" w:rsidRDefault="00BA4811" w:rsidP="00B033D6">
      <w:pPr>
        <w:keepNext/>
        <w:spacing w:after="0"/>
        <w:jc w:val="both"/>
        <w:rPr>
          <w:rFonts w:ascii="Times New Roman" w:hAnsi="Times New Roman" w:cs="Times New Roman"/>
          <w:b/>
          <w:bCs/>
          <w:noProof/>
          <w:sz w:val="24"/>
          <w:szCs w:val="24"/>
        </w:rPr>
      </w:pPr>
      <w:r w:rsidRPr="00515D76">
        <w:rPr>
          <w:rFonts w:ascii="Times New Roman" w:hAnsi="Times New Roman"/>
          <w:b/>
          <w:bCs/>
          <w:noProof/>
          <w:sz w:val="24"/>
          <w:szCs w:val="24"/>
        </w:rPr>
        <w:t xml:space="preserve">2.1. Diversificarea aprovizionării cu gaze </w:t>
      </w:r>
    </w:p>
    <w:p w:rsidR="00475D3D" w:rsidRPr="00515D76" w:rsidRDefault="00475D3D" w:rsidP="00B033D6">
      <w:pPr>
        <w:keepNext/>
        <w:spacing w:after="0"/>
        <w:jc w:val="both"/>
        <w:rPr>
          <w:rFonts w:ascii="Times New Roman" w:hAnsi="Times New Roman" w:cs="Times New Roman"/>
          <w:b/>
          <w:bCs/>
          <w:noProof/>
          <w:sz w:val="24"/>
          <w:szCs w:val="24"/>
          <w:lang w:val="fr-BE"/>
        </w:rPr>
      </w:pPr>
    </w:p>
    <w:p w:rsidR="006341E2" w:rsidRPr="00515D76" w:rsidRDefault="006341E2" w:rsidP="00B033D6">
      <w:pPr>
        <w:keepNext/>
        <w:jc w:val="both"/>
        <w:rPr>
          <w:rFonts w:ascii="Times New Roman" w:hAnsi="Times New Roman" w:cs="Times New Roman"/>
          <w:b/>
          <w:bCs/>
          <w:noProof/>
          <w:sz w:val="24"/>
          <w:szCs w:val="24"/>
        </w:rPr>
      </w:pPr>
      <w:r w:rsidRPr="00515D76">
        <w:rPr>
          <w:rFonts w:ascii="Times New Roman" w:hAnsi="Times New Roman"/>
          <w:b/>
          <w:bCs/>
          <w:noProof/>
          <w:sz w:val="24"/>
          <w:szCs w:val="24"/>
        </w:rPr>
        <w:t>2.1.1. Importuri de GNL și importuri prin conducte</w:t>
      </w:r>
    </w:p>
    <w:p w:rsidR="00475D3D" w:rsidRDefault="003067E1" w:rsidP="00E65607">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O aprovizionare fără precedent cu GNL a UE în ianuarie </w:t>
      </w:r>
      <w:r w:rsidRPr="00515D76">
        <w:rPr>
          <w:rFonts w:ascii="Times New Roman" w:hAnsi="Times New Roman"/>
          <w:noProof/>
          <w:sz w:val="24"/>
          <w:szCs w:val="24"/>
        </w:rPr>
        <w:t>2022</w:t>
      </w:r>
      <w:r>
        <w:rPr>
          <w:rFonts w:ascii="Times New Roman" w:hAnsi="Times New Roman"/>
          <w:noProof/>
          <w:sz w:val="24"/>
          <w:szCs w:val="24"/>
        </w:rPr>
        <w:t xml:space="preserve"> a asigurat siguranța aprovizionării cu gaze în această iarnă. UE ar putea importa anual o cantitate de GNL mai mare cu </w:t>
      </w:r>
      <w:r w:rsidRPr="00515D76">
        <w:rPr>
          <w:rFonts w:ascii="Times New Roman" w:hAnsi="Times New Roman"/>
          <w:noProof/>
          <w:sz w:val="24"/>
          <w:szCs w:val="24"/>
        </w:rPr>
        <w:t>50</w:t>
      </w:r>
      <w:r>
        <w:rPr>
          <w:rFonts w:ascii="Times New Roman" w:hAnsi="Times New Roman"/>
          <w:noProof/>
          <w:sz w:val="24"/>
          <w:szCs w:val="24"/>
        </w:rPr>
        <w:t xml:space="preserve"> mld. m</w:t>
      </w:r>
      <w:r w:rsidRPr="00515D76">
        <w:rPr>
          <w:rFonts w:ascii="Times New Roman" w:hAnsi="Times New Roman"/>
          <w:noProof/>
          <w:sz w:val="24"/>
          <w:szCs w:val="24"/>
          <w:vertAlign w:val="superscript"/>
        </w:rPr>
        <w:t>3</w:t>
      </w:r>
      <w:r>
        <w:rPr>
          <w:rFonts w:ascii="Times New Roman" w:hAnsi="Times New Roman"/>
          <w:noProof/>
          <w:sz w:val="24"/>
          <w:szCs w:val="24"/>
        </w:rPr>
        <w:t xml:space="preserve"> (de exemplu din Qatar, SUA, Egipt și Africa de Vest). Prin diversificarea surselor importurilor prin conducte (de exemplu, Azerbaidjan, Algeria, Norvegia) s-ar putea furniza anual alte </w:t>
      </w:r>
      <w:r w:rsidRPr="00515D76">
        <w:rPr>
          <w:rFonts w:ascii="Times New Roman" w:hAnsi="Times New Roman"/>
          <w:noProof/>
          <w:sz w:val="24"/>
          <w:szCs w:val="24"/>
        </w:rPr>
        <w:t>10</w:t>
      </w:r>
      <w:r>
        <w:rPr>
          <w:rFonts w:ascii="Times New Roman" w:hAnsi="Times New Roman"/>
          <w:noProof/>
          <w:sz w:val="24"/>
          <w:szCs w:val="24"/>
        </w:rPr>
        <w:t xml:space="preserve"> mld. m</w:t>
      </w:r>
      <w:r w:rsidRPr="00515D76">
        <w:rPr>
          <w:rFonts w:ascii="Times New Roman" w:hAnsi="Times New Roman"/>
          <w:noProof/>
          <w:sz w:val="24"/>
          <w:szCs w:val="24"/>
          <w:vertAlign w:val="superscript"/>
        </w:rPr>
        <w:t>3</w:t>
      </w:r>
      <w:r>
        <w:rPr>
          <w:rFonts w:ascii="Times New Roman" w:hAnsi="Times New Roman"/>
          <w:noProof/>
          <w:sz w:val="24"/>
          <w:szCs w:val="24"/>
        </w:rPr>
        <w:t>, care nu ar mai fi importate din Rusia.</w:t>
      </w:r>
    </w:p>
    <w:p w:rsidR="00475D3D" w:rsidRDefault="00475D3D" w:rsidP="00E65607">
      <w:pPr>
        <w:jc w:val="both"/>
        <w:rPr>
          <w:rFonts w:ascii="Times New Roman" w:hAnsi="Times New Roman" w:cs="Times New Roman"/>
          <w:noProof/>
          <w:sz w:val="24"/>
          <w:szCs w:val="24"/>
        </w:rPr>
      </w:pPr>
      <w:r>
        <w:rPr>
          <w:rFonts w:ascii="Times New Roman" w:hAnsi="Times New Roman"/>
          <w:noProof/>
          <w:sz w:val="24"/>
          <w:szCs w:val="24"/>
        </w:rPr>
        <w:t xml:space="preserve">Comisia va evalua cu prioritate necesitatea măsurilor și investițiilor în interconexiunile și infrastructura de gaze pregătită pentru hidrogen în scopul de a elimina strangulările din calea utilizării depline a capacității de GNL a UE. </w:t>
      </w:r>
    </w:p>
    <w:p w:rsidR="00475D3D" w:rsidRDefault="00C95317" w:rsidP="00E65607">
      <w:pPr>
        <w:jc w:val="both"/>
        <w:rPr>
          <w:rFonts w:ascii="Times New Roman" w:eastAsia="Times New Roman" w:hAnsi="Times New Roman" w:cs="Times New Roman"/>
          <w:bCs/>
          <w:noProof/>
          <w:sz w:val="24"/>
          <w:szCs w:val="24"/>
        </w:rPr>
      </w:pPr>
      <w:r>
        <w:rPr>
          <w:rFonts w:ascii="Times New Roman" w:hAnsi="Times New Roman"/>
          <w:noProof/>
          <w:sz w:val="24"/>
          <w:szCs w:val="24"/>
        </w:rPr>
        <w:t>Prin diversificarea surselor sale de aprovizionare, UE își consolidează parteneriatele internaționale. Comisia va continua să discute în cadrul G</w:t>
      </w:r>
      <w:r w:rsidRPr="00515D76">
        <w:rPr>
          <w:rFonts w:ascii="Times New Roman" w:hAnsi="Times New Roman"/>
          <w:noProof/>
          <w:sz w:val="24"/>
          <w:szCs w:val="24"/>
        </w:rPr>
        <w:t>7</w:t>
      </w:r>
      <w:r>
        <w:rPr>
          <w:rFonts w:ascii="Times New Roman" w:hAnsi="Times New Roman"/>
          <w:noProof/>
          <w:sz w:val="24"/>
          <w:szCs w:val="24"/>
        </w:rPr>
        <w:t xml:space="preserve"> și cu principalii cumpărători mondiali de gaze (Japonia, Coreea de Sud, China și India) despre evoluțiile pe termen mediu ale pieței. </w:t>
      </w:r>
    </w:p>
    <w:p w:rsidR="00A26096" w:rsidRPr="00515D76" w:rsidRDefault="00A26096" w:rsidP="00A26096">
      <w:pPr>
        <w:jc w:val="both"/>
        <w:rPr>
          <w:rFonts w:ascii="Times New Roman" w:eastAsia="Times New Roman" w:hAnsi="Times New Roman" w:cs="Times New Roman"/>
          <w:b/>
          <w:bCs/>
          <w:noProof/>
          <w:sz w:val="24"/>
          <w:szCs w:val="24"/>
        </w:rPr>
      </w:pPr>
      <w:r w:rsidRPr="00515D76">
        <w:rPr>
          <w:rFonts w:ascii="Times New Roman" w:hAnsi="Times New Roman"/>
          <w:b/>
          <w:bCs/>
          <w:noProof/>
          <w:sz w:val="24"/>
          <w:szCs w:val="24"/>
        </w:rPr>
        <w:t>2.1.2. Creșterea producției UE de biometan</w:t>
      </w:r>
    </w:p>
    <w:p w:rsidR="00A26096" w:rsidRPr="00843CDC" w:rsidRDefault="00A26096">
      <w:pPr>
        <w:jc w:val="both"/>
        <w:rPr>
          <w:rFonts w:ascii="Times New Roman" w:hAnsi="Times New Roman" w:cs="Times New Roman"/>
          <w:noProof/>
          <w:sz w:val="24"/>
          <w:szCs w:val="24"/>
        </w:rPr>
      </w:pPr>
      <w:r w:rsidRPr="00515D76">
        <w:rPr>
          <w:rFonts w:ascii="Times New Roman" w:hAnsi="Times New Roman"/>
          <w:b/>
          <w:bCs/>
          <w:noProof/>
          <w:sz w:val="24"/>
          <w:szCs w:val="24"/>
        </w:rPr>
        <w:t>Dublarea obiectivului prevăzut de pachetul legislativ „Pregătiți pentru 55” referitor la biometan ar duce, până în 2030, la o producție de 35 de miliarde de metri cubi (mld. m</w:t>
      </w:r>
      <w:r w:rsidRPr="00515D76">
        <w:rPr>
          <w:rFonts w:ascii="Times New Roman" w:hAnsi="Times New Roman"/>
          <w:b/>
          <w:bCs/>
          <w:noProof/>
          <w:sz w:val="24"/>
          <w:szCs w:val="24"/>
          <w:vertAlign w:val="superscript"/>
        </w:rPr>
        <w:t>3</w:t>
      </w:r>
      <w:r w:rsidRPr="00515D76">
        <w:rPr>
          <w:rFonts w:ascii="Times New Roman" w:hAnsi="Times New Roman"/>
          <w:b/>
          <w:bCs/>
          <w:noProof/>
          <w:sz w:val="24"/>
          <w:szCs w:val="24"/>
        </w:rPr>
        <w:t xml:space="preserve">) pe an. </w:t>
      </w:r>
      <w:r>
        <w:rPr>
          <w:rFonts w:ascii="Times New Roman" w:hAnsi="Times New Roman"/>
          <w:bCs/>
          <w:noProof/>
          <w:sz w:val="24"/>
          <w:szCs w:val="24"/>
        </w:rPr>
        <w:t>În acest scop, planurile strategice din cadrul PAC elaborate de statele membre ar trebui să canalizeze finanțarea către biometanul produs din surse durabile de biomasă, inclusiv, în special, din deșeurile și reziduurile agricole</w:t>
      </w:r>
      <w:r>
        <w:rPr>
          <w:noProof/>
        </w:rPr>
        <w:t xml:space="preserve">. </w:t>
      </w:r>
    </w:p>
    <w:p w:rsidR="00A26096" w:rsidRPr="00515D76" w:rsidRDefault="00A26096" w:rsidP="000E6ACB">
      <w:pPr>
        <w:keepNext/>
        <w:keepLines/>
        <w:jc w:val="both"/>
        <w:rPr>
          <w:rFonts w:ascii="Times New Roman" w:hAnsi="Times New Roman" w:cs="Times New Roman"/>
          <w:b/>
          <w:bCs/>
          <w:noProof/>
          <w:sz w:val="24"/>
          <w:szCs w:val="24"/>
        </w:rPr>
      </w:pPr>
      <w:r w:rsidRPr="00515D76">
        <w:rPr>
          <w:rFonts w:ascii="Times New Roman" w:hAnsi="Times New Roman"/>
          <w:b/>
          <w:bCs/>
          <w:noProof/>
          <w:sz w:val="24"/>
          <w:szCs w:val="24"/>
        </w:rPr>
        <w:t xml:space="preserve">2.1.3. Acceleratorul de hidrogen </w:t>
      </w:r>
    </w:p>
    <w:p w:rsidR="00A26096" w:rsidRDefault="006341E2" w:rsidP="00A26096">
      <w:pPr>
        <w:pStyle w:val="paragraph"/>
        <w:jc w:val="both"/>
        <w:rPr>
          <w:noProof/>
        </w:rPr>
      </w:pPr>
      <w:r w:rsidRPr="00515D76">
        <w:rPr>
          <w:b/>
          <w:noProof/>
        </w:rPr>
        <w:t>O cantitate suplimentară de 15 milioane de tone (mt) de hidrogen din surse regenerabile, pe lângă cele 5,6 milioane de tone prevăzute de pachetul legislativ „Pregătiți pentru 55”, poate înlocui până în 2030 25-50 mld. m</w:t>
      </w:r>
      <w:r w:rsidRPr="00515D76">
        <w:rPr>
          <w:b/>
          <w:noProof/>
          <w:vertAlign w:val="superscript"/>
        </w:rPr>
        <w:t>3</w:t>
      </w:r>
      <w:r w:rsidRPr="00515D76">
        <w:rPr>
          <w:b/>
          <w:noProof/>
        </w:rPr>
        <w:t xml:space="preserve"> pe an de gaze importate din Rusia.</w:t>
      </w:r>
      <w:r>
        <w:rPr>
          <w:noProof/>
        </w:rPr>
        <w:t xml:space="preserve"> Această cifră ar consta în </w:t>
      </w:r>
      <w:r w:rsidRPr="00515D76">
        <w:rPr>
          <w:noProof/>
        </w:rPr>
        <w:t>10</w:t>
      </w:r>
      <w:r>
        <w:rPr>
          <w:noProof/>
        </w:rPr>
        <w:t xml:space="preserve"> mt suplimentare de hidrogen importat din diverse surse și într-o cantitate suplimentară de </w:t>
      </w:r>
      <w:r w:rsidRPr="00515D76">
        <w:rPr>
          <w:noProof/>
        </w:rPr>
        <w:t>5</w:t>
      </w:r>
      <w:r>
        <w:rPr>
          <w:noProof/>
        </w:rPr>
        <w:t xml:space="preserve"> mt de hidrogen produs în Europa, ceea ce ar depăși obiectivele prevăzute în Strategia UE pentru hidrogen și ar maximiza producția internă de hidrogen</w:t>
      </w:r>
      <w:r>
        <w:rPr>
          <w:rStyle w:val="FootnoteReference"/>
          <w:noProof/>
          <w:lang w:val="en-IE"/>
        </w:rPr>
        <w:footnoteReference w:id="16"/>
      </w:r>
      <w:r>
        <w:rPr>
          <w:noProof/>
        </w:rPr>
        <w:t xml:space="preserve">. Alte forme de hidrogen produse fără combustibili fosili, în special cele bazate pe energia nucleară, au, de asemenea, un rol în înlocuirea gazelor naturale. </w:t>
      </w:r>
    </w:p>
    <w:p w:rsidR="00A26096" w:rsidRDefault="00A26096" w:rsidP="00A26096">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Comisia va dezvolta în continuare cadrul de reglementare pentru promovarea unei piețe europene a hidrogenului și pentru sprijinirea </w:t>
      </w:r>
      <w:r w:rsidRPr="00515D76">
        <w:rPr>
          <w:rFonts w:ascii="Times New Roman" w:hAnsi="Times New Roman"/>
          <w:b/>
          <w:bCs/>
          <w:noProof/>
          <w:sz w:val="24"/>
          <w:szCs w:val="24"/>
        </w:rPr>
        <w:t xml:space="preserve">dezvoltării unei infrastructuri integrate de gaze și hidrogen, a unor instalații de stocare a hidrogenului </w:t>
      </w:r>
      <w:r>
        <w:rPr>
          <w:rFonts w:ascii="Times New Roman" w:hAnsi="Times New Roman"/>
          <w:noProof/>
          <w:sz w:val="24"/>
          <w:szCs w:val="24"/>
        </w:rPr>
        <w:t>și</w:t>
      </w:r>
      <w:r w:rsidRPr="00515D76">
        <w:rPr>
          <w:rFonts w:ascii="Times New Roman" w:hAnsi="Times New Roman"/>
          <w:b/>
          <w:bCs/>
          <w:noProof/>
          <w:sz w:val="24"/>
          <w:szCs w:val="24"/>
        </w:rPr>
        <w:t xml:space="preserve"> a unei infrastructuri portuare</w:t>
      </w:r>
      <w:r>
        <w:rPr>
          <w:rFonts w:ascii="Times New Roman" w:hAnsi="Times New Roman"/>
          <w:noProof/>
          <w:sz w:val="24"/>
          <w:szCs w:val="24"/>
        </w:rPr>
        <w:t>.</w:t>
      </w:r>
      <w:r w:rsidRPr="00515D76">
        <w:rPr>
          <w:rFonts w:ascii="Times New Roman" w:hAnsi="Times New Roman"/>
          <w:b/>
          <w:bCs/>
          <w:noProof/>
          <w:sz w:val="24"/>
          <w:szCs w:val="24"/>
        </w:rPr>
        <w:t xml:space="preserve"> Noua infrastructură transfrontalieră ar trebui să fie compatibilă cu hidrogenul. </w:t>
      </w:r>
      <w:r>
        <w:rPr>
          <w:rFonts w:ascii="Times New Roman" w:hAnsi="Times New Roman"/>
          <w:noProof/>
          <w:sz w:val="24"/>
          <w:szCs w:val="24"/>
        </w:rPr>
        <w:t xml:space="preserve">Comisia va evalua cu prioritate notificările ajutoarelor de stat pentru proiectele privind hidrogenul și se angajează să finalizeze evaluarea primelor proiecte importante de interes european comun privind hidrogenul în termen de </w:t>
      </w:r>
      <w:r w:rsidRPr="00515D76">
        <w:rPr>
          <w:rFonts w:ascii="Times New Roman" w:hAnsi="Times New Roman"/>
          <w:noProof/>
          <w:sz w:val="24"/>
          <w:szCs w:val="24"/>
        </w:rPr>
        <w:t>6</w:t>
      </w:r>
      <w:r>
        <w:rPr>
          <w:rFonts w:ascii="Times New Roman" w:hAnsi="Times New Roman"/>
          <w:noProof/>
          <w:sz w:val="24"/>
          <w:szCs w:val="24"/>
        </w:rPr>
        <w:t xml:space="preserve"> săptămâni de la transmiterea de către statele membre participante a unei notificări complete. Obiectivul comun ar trebui să fie acela de a permite finalizarea evaluării până la vară. </w:t>
      </w:r>
    </w:p>
    <w:p w:rsidR="00784AD2" w:rsidRPr="002D1875" w:rsidRDefault="00784AD2" w:rsidP="00784AD2">
      <w:pPr>
        <w:jc w:val="both"/>
        <w:rPr>
          <w:noProof/>
        </w:rPr>
      </w:pPr>
      <w:r>
        <w:rPr>
          <w:rFonts w:ascii="Times New Roman" w:hAnsi="Times New Roman"/>
          <w:noProof/>
          <w:sz w:val="24"/>
          <w:szCs w:val="24"/>
        </w:rPr>
        <w:t xml:space="preserve">În plus, Comisia va sprijini proiectele-pilot privind producția și transportul hidrogenului din surse regenerabile în vecinătatea UE, începând cu un Parteneriat mediteraneean pentru hidrogen verde. De asemenea, Comisia va colabora cu partenerii săi pentru a încheia </w:t>
      </w:r>
      <w:r w:rsidRPr="00515D76">
        <w:rPr>
          <w:rFonts w:ascii="Times New Roman" w:hAnsi="Times New Roman"/>
          <w:b/>
          <w:noProof/>
          <w:sz w:val="24"/>
          <w:szCs w:val="24"/>
        </w:rPr>
        <w:t>parteneriate pentru hidrogen verde</w:t>
      </w:r>
      <w:r>
        <w:rPr>
          <w:rFonts w:ascii="Times New Roman" w:hAnsi="Times New Roman"/>
          <w:noProof/>
          <w:sz w:val="24"/>
          <w:szCs w:val="24"/>
        </w:rPr>
        <w:t xml:space="preserve"> și cu industria pentru a institui un </w:t>
      </w:r>
      <w:r w:rsidRPr="00515D76">
        <w:rPr>
          <w:rFonts w:ascii="Times New Roman" w:hAnsi="Times New Roman"/>
          <w:b/>
          <w:noProof/>
          <w:sz w:val="24"/>
          <w:szCs w:val="24"/>
        </w:rPr>
        <w:t>Mecanism european pentru hidrogen la nivel global</w:t>
      </w:r>
      <w:r>
        <w:rPr>
          <w:rFonts w:ascii="Times New Roman" w:hAnsi="Times New Roman"/>
          <w:noProof/>
          <w:sz w:val="24"/>
          <w:szCs w:val="24"/>
        </w:rPr>
        <w:t>, care să faciliteze accesul statelor membre la hidrogen din surse regenerabile accesibil ca preț.</w:t>
      </w:r>
      <w:r>
        <w:rPr>
          <w:rFonts w:ascii="Times New Roman" w:hAnsi="Times New Roman"/>
          <w:noProof/>
          <w:color w:val="000000" w:themeColor="text1"/>
          <w:sz w:val="24"/>
          <w:szCs w:val="24"/>
        </w:rPr>
        <w:t xml:space="preserve"> </w:t>
      </w:r>
    </w:p>
    <w:p w:rsidR="00784AD2" w:rsidRDefault="00784AD2" w:rsidP="00A26096">
      <w:pPr>
        <w:jc w:val="both"/>
        <w:rPr>
          <w:rFonts w:ascii="Times New Roman" w:eastAsia="Times New Roman" w:hAnsi="Times New Roman" w:cs="Times New Roman"/>
          <w:noProof/>
          <w:sz w:val="24"/>
          <w:szCs w:val="24"/>
          <w:lang w:eastAsia="fr-BE"/>
        </w:rPr>
      </w:pPr>
    </w:p>
    <w:p w:rsidR="006341E2" w:rsidRPr="003E539E" w:rsidRDefault="00BA4811" w:rsidP="00B033D6">
      <w:pPr>
        <w:keepNext/>
        <w:jc w:val="both"/>
        <w:rPr>
          <w:rFonts w:ascii="Times New Roman" w:eastAsia="Times New Roman" w:hAnsi="Times New Roman" w:cs="Times New Roman"/>
          <w:noProof/>
          <w:sz w:val="24"/>
          <w:szCs w:val="24"/>
        </w:rPr>
      </w:pPr>
      <w:r w:rsidRPr="00515D76">
        <w:rPr>
          <w:rFonts w:ascii="Times New Roman" w:hAnsi="Times New Roman"/>
          <w:b/>
          <w:noProof/>
          <w:sz w:val="24"/>
          <w:szCs w:val="24"/>
        </w:rPr>
        <w:t>2.2. Reducerea mai rapidă a dependenței noastre de combustibilii fosili</w:t>
      </w:r>
    </w:p>
    <w:p w:rsidR="001B05D7" w:rsidRPr="00515D76" w:rsidRDefault="00BA4811" w:rsidP="00B033D6">
      <w:pPr>
        <w:keepNext/>
        <w:jc w:val="both"/>
        <w:rPr>
          <w:rFonts w:ascii="Times New Roman" w:hAnsi="Times New Roman" w:cs="Times New Roman"/>
          <w:b/>
          <w:bCs/>
          <w:noProof/>
          <w:sz w:val="24"/>
          <w:szCs w:val="24"/>
        </w:rPr>
      </w:pPr>
      <w:r w:rsidRPr="00515D76">
        <w:rPr>
          <w:rFonts w:ascii="Times New Roman" w:hAnsi="Times New Roman"/>
          <w:b/>
          <w:bCs/>
          <w:noProof/>
          <w:sz w:val="24"/>
          <w:szCs w:val="24"/>
        </w:rPr>
        <w:t>2.2.1. Implementarea pompelor solare, eoliene și de căldură</w:t>
      </w:r>
    </w:p>
    <w:p w:rsidR="00F15132" w:rsidRPr="00515D76" w:rsidRDefault="00D517F5" w:rsidP="00A75A39">
      <w:pPr>
        <w:jc w:val="both"/>
        <w:rPr>
          <w:rFonts w:ascii="Times New Roman" w:hAnsi="Times New Roman" w:cs="Times New Roman"/>
          <w:b/>
          <w:bCs/>
          <w:noProof/>
          <w:sz w:val="24"/>
          <w:szCs w:val="24"/>
        </w:rPr>
      </w:pPr>
      <w:r w:rsidRPr="00515D76">
        <w:rPr>
          <w:rFonts w:ascii="Times New Roman" w:hAnsi="Times New Roman"/>
          <w:b/>
          <w:bCs/>
          <w:noProof/>
          <w:sz w:val="24"/>
          <w:szCs w:val="24"/>
        </w:rPr>
        <w:t>Pachetul legislativ „Pregătiți pentru 55” prevede dublarea capacităților fotovoltaice și eoliene ale UE până în 2025 și triplarea acestora până în 2030, reducând astfel consumul anual de gaze cu 170 mld. m</w:t>
      </w:r>
      <w:r w:rsidRPr="00515D76">
        <w:rPr>
          <w:rFonts w:ascii="Times New Roman" w:hAnsi="Times New Roman"/>
          <w:b/>
          <w:bCs/>
          <w:noProof/>
          <w:sz w:val="24"/>
          <w:szCs w:val="24"/>
          <w:vertAlign w:val="superscript"/>
        </w:rPr>
        <w:t>3</w:t>
      </w:r>
      <w:r w:rsidRPr="00515D76">
        <w:rPr>
          <w:rFonts w:ascii="Times New Roman" w:hAnsi="Times New Roman"/>
          <w:b/>
          <w:bCs/>
          <w:noProof/>
          <w:sz w:val="24"/>
          <w:szCs w:val="24"/>
        </w:rPr>
        <w:t xml:space="preserve"> până în 2030. </w:t>
      </w:r>
    </w:p>
    <w:p w:rsidR="00A75A39" w:rsidRPr="00515D76" w:rsidRDefault="00F15132" w:rsidP="00A75A39">
      <w:pPr>
        <w:jc w:val="both"/>
        <w:rPr>
          <w:rFonts w:ascii="Times New Roman" w:hAnsi="Times New Roman" w:cs="Times New Roman"/>
          <w:b/>
          <w:bCs/>
          <w:noProof/>
          <w:sz w:val="24"/>
          <w:szCs w:val="24"/>
        </w:rPr>
      </w:pPr>
      <w:r w:rsidRPr="00515D76">
        <w:rPr>
          <w:rFonts w:ascii="Times New Roman" w:hAnsi="Times New Roman"/>
          <w:b/>
          <w:bCs/>
          <w:noProof/>
          <w:sz w:val="24"/>
          <w:szCs w:val="24"/>
        </w:rPr>
        <w:t>Prin accelerarea montării pe acoperișuri a unor sisteme solare fotovoltaice care ar produce până la 15 TWh în acest an, UE ar putea economisi încă 2,5 mld. m</w:t>
      </w:r>
      <w:r w:rsidRPr="00515D76">
        <w:rPr>
          <w:rFonts w:ascii="Times New Roman" w:hAnsi="Times New Roman"/>
          <w:b/>
          <w:bCs/>
          <w:noProof/>
          <w:sz w:val="24"/>
          <w:szCs w:val="24"/>
          <w:vertAlign w:val="superscript"/>
        </w:rPr>
        <w:t>3</w:t>
      </w:r>
      <w:r w:rsidRPr="00515D76">
        <w:rPr>
          <w:rFonts w:ascii="Times New Roman" w:hAnsi="Times New Roman"/>
          <w:b/>
          <w:bCs/>
          <w:noProof/>
          <w:sz w:val="24"/>
          <w:szCs w:val="24"/>
        </w:rPr>
        <w:t xml:space="preserve"> de gaze. </w:t>
      </w:r>
      <w:r>
        <w:rPr>
          <w:rFonts w:ascii="Times New Roman" w:hAnsi="Times New Roman"/>
          <w:noProof/>
          <w:sz w:val="24"/>
          <w:szCs w:val="24"/>
        </w:rPr>
        <w:t xml:space="preserve">Comisia va prezenta în luna iunie o comunicare privind energia solară cu scopul de a contribui la deblocarea potențialului energiei solare ca sursă majoră de energie din surse regenerabile în UE. Pe baza unei analize a situației actuale a energiei solare în întreaga UE, strategia privind energia solară va propune o inițiativă europeană privind acoperișurile solare, care va identifica barierele existente, va propune măsuri de accelerare a implementării și va asigura faptul că cetățenii pot să se bucure pe deplin de beneficiile oferite de energia solară captată cu ajutorul panourilor solare instalate pe acoperișuri. </w:t>
      </w:r>
    </w:p>
    <w:p w:rsidR="00DF3B8B" w:rsidRDefault="00DF3B8B" w:rsidP="00DF3B8B">
      <w:pPr>
        <w:spacing w:after="120"/>
        <w:jc w:val="both"/>
        <w:rPr>
          <w:rFonts w:ascii="Times New Roman" w:hAnsi="Times New Roman" w:cs="Times New Roman"/>
          <w:noProof/>
          <w:sz w:val="24"/>
          <w:szCs w:val="24"/>
        </w:rPr>
      </w:pPr>
      <w:r>
        <w:rPr>
          <w:rFonts w:ascii="Times New Roman" w:hAnsi="Times New Roman"/>
          <w:noProof/>
          <w:sz w:val="24"/>
          <w:szCs w:val="24"/>
        </w:rPr>
        <w:t xml:space="preserve">Comisia va contribui la dezvoltarea în continuare a </w:t>
      </w:r>
      <w:r w:rsidRPr="00515D76">
        <w:rPr>
          <w:rFonts w:ascii="Times New Roman" w:hAnsi="Times New Roman"/>
          <w:b/>
          <w:noProof/>
          <w:sz w:val="24"/>
          <w:szCs w:val="24"/>
        </w:rPr>
        <w:t>lanțului valoric pentru energia solară și eoliană și pentru pompele de căldură</w:t>
      </w:r>
      <w:r>
        <w:rPr>
          <w:rFonts w:ascii="Times New Roman" w:hAnsi="Times New Roman"/>
          <w:noProof/>
          <w:sz w:val="24"/>
          <w:szCs w:val="24"/>
        </w:rPr>
        <w:t xml:space="preserve">, stimulând, totodată, competitivitatea UE și abordând dependențele sale strategice. Dacă va fi necesar pentru a atrage investiții private suficiente, măsurile vor include direcționarea finanțării UE către tehnologiile de nouă generație și mobilizarea InvestEU sau a sprijinului statelor membre. </w:t>
      </w:r>
      <w:r>
        <w:rPr>
          <w:rFonts w:ascii="Times New Roman" w:hAnsi="Times New Roman"/>
          <w:noProof/>
          <w:color w:val="000000" w:themeColor="text1"/>
          <w:sz w:val="24"/>
          <w:szCs w:val="24"/>
        </w:rPr>
        <w:t>O atenție deosebită ar urma să fie acordată accelerării investițiilor în recalificarea și perfecționarea forței de muncă– elemente esențiale pentru sprijinirea transformării.</w:t>
      </w:r>
    </w:p>
    <w:p w:rsidR="000D305D" w:rsidRDefault="000D305D" w:rsidP="00615DA2">
      <w:pPr>
        <w:jc w:val="both"/>
        <w:rPr>
          <w:rFonts w:ascii="Times New Roman" w:hAnsi="Times New Roman" w:cs="Times New Roman"/>
          <w:noProof/>
          <w:sz w:val="24"/>
          <w:szCs w:val="24"/>
        </w:rPr>
      </w:pPr>
      <w:r>
        <w:rPr>
          <w:rFonts w:ascii="Times New Roman" w:hAnsi="Times New Roman"/>
          <w:bCs/>
          <w:noProof/>
          <w:sz w:val="24"/>
          <w:szCs w:val="24"/>
        </w:rPr>
        <w:t xml:space="preserve">Comisia, statele membre și industria ar trebui să continue să monitorizeze îndeaproape aprovizionarea cu materii prime critice și de altă natură, să promoveze parteneriatele strategice pentru asigurarea aprovizionării și să aibă în vedere luarea și a altor măsuri, precum acumularea strategică de stocuri, în cazul în care va fi necesar. </w:t>
      </w:r>
    </w:p>
    <w:p w:rsidR="00A75A39" w:rsidRPr="0030596C" w:rsidRDefault="00BA4811" w:rsidP="00A75A39">
      <w:pPr>
        <w:jc w:val="both"/>
        <w:rPr>
          <w:rFonts w:ascii="Times New Roman" w:hAnsi="Times New Roman" w:cs="Times New Roman"/>
          <w:noProof/>
          <w:sz w:val="24"/>
          <w:szCs w:val="24"/>
        </w:rPr>
      </w:pPr>
      <w:r w:rsidRPr="00515D76">
        <w:rPr>
          <w:rFonts w:ascii="Times New Roman" w:hAnsi="Times New Roman"/>
          <w:b/>
          <w:bCs/>
          <w:noProof/>
          <w:sz w:val="24"/>
          <w:szCs w:val="24"/>
        </w:rPr>
        <w:t>Prin dublarea ritmului anual planificat de instalare a pompelor de căldură</w:t>
      </w:r>
      <w:r>
        <w:rPr>
          <w:rFonts w:ascii="Times New Roman" w:hAnsi="Times New Roman"/>
          <w:bCs/>
          <w:noProof/>
          <w:sz w:val="24"/>
          <w:szCs w:val="24"/>
        </w:rPr>
        <w:t xml:space="preserve"> în prima jumătate a acestei perioade, s-ar ajunge la instalarea anuală în UE a </w:t>
      </w:r>
      <w:r w:rsidRPr="00515D76">
        <w:rPr>
          <w:rFonts w:ascii="Times New Roman" w:hAnsi="Times New Roman"/>
          <w:bCs/>
          <w:noProof/>
          <w:sz w:val="24"/>
          <w:szCs w:val="24"/>
        </w:rPr>
        <w:t>10</w:t>
      </w:r>
      <w:r>
        <w:rPr>
          <w:rFonts w:ascii="Times New Roman" w:hAnsi="Times New Roman"/>
          <w:bCs/>
          <w:noProof/>
          <w:sz w:val="24"/>
          <w:szCs w:val="24"/>
        </w:rPr>
        <w:t xml:space="preserve"> milioane de pompe de căldură în următorii cinci ani.</w:t>
      </w:r>
      <w:r>
        <w:rPr>
          <w:rFonts w:ascii="Times New Roman" w:hAnsi="Times New Roman"/>
          <w:noProof/>
          <w:sz w:val="24"/>
          <w:szCs w:val="24"/>
        </w:rPr>
        <w:t xml:space="preserve"> Acest lucru ar permite economisirea a </w:t>
      </w:r>
      <w:r w:rsidRPr="00515D76">
        <w:rPr>
          <w:rFonts w:ascii="Times New Roman" w:hAnsi="Times New Roman"/>
          <w:noProof/>
          <w:sz w:val="24"/>
          <w:szCs w:val="24"/>
        </w:rPr>
        <w:t>12</w:t>
      </w:r>
      <w:r>
        <w:rPr>
          <w:rFonts w:ascii="Times New Roman" w:hAnsi="Times New Roman"/>
          <w:noProof/>
          <w:sz w:val="24"/>
          <w:szCs w:val="24"/>
        </w:rPr>
        <w:t xml:space="preserve"> mld. m</w:t>
      </w:r>
      <w:r w:rsidRPr="00515D76">
        <w:rPr>
          <w:rFonts w:ascii="Times New Roman" w:hAnsi="Times New Roman"/>
          <w:noProof/>
          <w:sz w:val="24"/>
          <w:szCs w:val="24"/>
          <w:vertAlign w:val="superscript"/>
        </w:rPr>
        <w:t>3</w:t>
      </w:r>
      <w:r>
        <w:rPr>
          <w:rFonts w:ascii="Times New Roman" w:hAnsi="Times New Roman"/>
          <w:noProof/>
          <w:sz w:val="24"/>
          <w:szCs w:val="24"/>
        </w:rPr>
        <w:t xml:space="preserve"> la fiecare </w:t>
      </w:r>
      <w:r w:rsidRPr="00515D76">
        <w:rPr>
          <w:rFonts w:ascii="Times New Roman" w:hAnsi="Times New Roman"/>
          <w:noProof/>
          <w:sz w:val="24"/>
          <w:szCs w:val="24"/>
        </w:rPr>
        <w:t>10</w:t>
      </w:r>
      <w:r w:rsidR="00515D76">
        <w:rPr>
          <w:rFonts w:ascii="Times New Roman" w:hAnsi="Times New Roman"/>
          <w:noProof/>
          <w:sz w:val="24"/>
          <w:szCs w:val="24"/>
        </w:rPr>
        <w:t> </w:t>
      </w:r>
      <w:r>
        <w:rPr>
          <w:rFonts w:ascii="Times New Roman" w:hAnsi="Times New Roman"/>
          <w:noProof/>
          <w:sz w:val="24"/>
          <w:szCs w:val="24"/>
        </w:rPr>
        <w:t xml:space="preserve">milioane de pompe de căldură instalate de gospodării. Accelerarea introducerii pe piață a pompelor de căldură va necesita extinderea rapidă a întregului lanț de aprovizionare și va trebui însoțită de măsuri de stimulare a renovării clădirilor și a modernizării sistemului de încălzire centralizată. </w:t>
      </w:r>
    </w:p>
    <w:p w:rsidR="00734EEC" w:rsidRPr="0058019D" w:rsidRDefault="0058019D" w:rsidP="005451D7">
      <w:pPr>
        <w:jc w:val="both"/>
        <w:rPr>
          <w:rFonts w:ascii="Times New Roman" w:hAnsi="Times New Roman" w:cs="Times New Roman"/>
          <w:noProof/>
          <w:sz w:val="24"/>
          <w:szCs w:val="24"/>
        </w:rPr>
      </w:pPr>
      <w:r>
        <w:rPr>
          <w:rFonts w:ascii="Times New Roman" w:hAnsi="Times New Roman"/>
          <w:noProof/>
          <w:sz w:val="24"/>
          <w:szCs w:val="24"/>
        </w:rPr>
        <w:t>În afară de proiectele legate de locuințe și de clădiri, aprovizionarea cu energie bazată pe surse eoliene, solare și alte surse cu emisii scăzute pentru producerea de energie electrică ar contribui, la rândul ei, la reducerea dependenței noastre de gaze</w:t>
      </w:r>
      <w:r>
        <w:rPr>
          <w:noProof/>
        </w:rPr>
        <w:t>.</w:t>
      </w:r>
      <w:r>
        <w:rPr>
          <w:rFonts w:ascii="Times New Roman" w:hAnsi="Times New Roman"/>
          <w:noProof/>
          <w:sz w:val="24"/>
          <w:szCs w:val="24"/>
        </w:rPr>
        <w:t xml:space="preserve"> </w:t>
      </w:r>
    </w:p>
    <w:p w:rsidR="0058019D" w:rsidRPr="00515D76" w:rsidRDefault="00734EEC" w:rsidP="000E6ACB">
      <w:pPr>
        <w:keepNext/>
        <w:jc w:val="both"/>
        <w:rPr>
          <w:rFonts w:ascii="Times New Roman" w:hAnsi="Times New Roman" w:cs="Times New Roman"/>
          <w:b/>
          <w:bCs/>
          <w:noProof/>
          <w:sz w:val="24"/>
          <w:szCs w:val="24"/>
        </w:rPr>
      </w:pPr>
      <w:r w:rsidRPr="00515D76">
        <w:rPr>
          <w:rFonts w:ascii="Times New Roman" w:hAnsi="Times New Roman"/>
          <w:b/>
          <w:bCs/>
          <w:noProof/>
          <w:sz w:val="24"/>
          <w:szCs w:val="24"/>
        </w:rPr>
        <w:t>2.2.2. Decarbonizarea industriei</w:t>
      </w:r>
    </w:p>
    <w:p w:rsidR="0058019D" w:rsidRDefault="00734EEC" w:rsidP="0058019D">
      <w:pPr>
        <w:jc w:val="both"/>
        <w:rPr>
          <w:rFonts w:ascii="Times New Roman" w:eastAsia="Times New Roman" w:hAnsi="Times New Roman" w:cs="Times New Roman"/>
          <w:noProof/>
          <w:color w:val="000000" w:themeColor="text1"/>
          <w:sz w:val="24"/>
          <w:szCs w:val="24"/>
        </w:rPr>
      </w:pPr>
      <w:r w:rsidRPr="00515D76">
        <w:rPr>
          <w:rFonts w:ascii="Times New Roman" w:hAnsi="Times New Roman"/>
          <w:b/>
          <w:noProof/>
          <w:sz w:val="24"/>
          <w:szCs w:val="24"/>
        </w:rPr>
        <w:t>Planul REPowerEU ar putea accelera implementarea în sectoarele industriale a soluțiilor inovatoare bazate pe hidrogen și a energiei electrice din surse regenerabile competitive din punctul de vedere al costurilor</w:t>
      </w:r>
      <w:r>
        <w:rPr>
          <w:rFonts w:ascii="Times New Roman" w:hAnsi="Times New Roman"/>
          <w:noProof/>
          <w:sz w:val="24"/>
          <w:szCs w:val="24"/>
        </w:rPr>
        <w:t>.</w:t>
      </w:r>
      <w:r>
        <w:rPr>
          <w:rFonts w:ascii="Times New Roman" w:hAnsi="Times New Roman"/>
          <w:noProof/>
          <w:color w:val="000000" w:themeColor="text1"/>
          <w:sz w:val="24"/>
          <w:szCs w:val="24"/>
        </w:rPr>
        <w:t xml:space="preserve"> Comisia ar urma să execute anticipat Fondul pentru inovare în scopul de a sprijini trecerea la electrificare și hidrogen, inclusiv prin intermediul unui sistem la nivelul întregii UE de contracte pentru diferență în materie de carbon, și în scopul de </w:t>
      </w:r>
      <w:r w:rsidRPr="00515D76">
        <w:rPr>
          <w:rFonts w:ascii="Times New Roman" w:hAnsi="Times New Roman"/>
          <w:b/>
          <w:bCs/>
          <w:noProof/>
          <w:color w:val="000000" w:themeColor="text1"/>
          <w:sz w:val="24"/>
          <w:szCs w:val="24"/>
        </w:rPr>
        <w:t>a spori capacitățile UE de producție</w:t>
      </w:r>
      <w:r w:rsidR="007D200D" w:rsidRPr="00515D76">
        <w:rPr>
          <w:rFonts w:ascii="Times New Roman" w:hAnsi="Times New Roman"/>
          <w:b/>
          <w:bCs/>
          <w:noProof/>
          <w:color w:val="000000" w:themeColor="text1"/>
          <w:sz w:val="24"/>
          <w:szCs w:val="24"/>
        </w:rPr>
        <w:t xml:space="preserve"> </w:t>
      </w:r>
      <w:r>
        <w:rPr>
          <w:rFonts w:ascii="Times New Roman" w:hAnsi="Times New Roman"/>
          <w:noProof/>
          <w:color w:val="000000" w:themeColor="text1"/>
          <w:sz w:val="24"/>
          <w:szCs w:val="24"/>
        </w:rPr>
        <w:t xml:space="preserve">de echipamente inovatoare cu emisii zero și emisii scăzute de dioxid de carbon, cum ar fi electrolizoarele, tehnologiile de producere de energie solară/eoliană de următoare generație și alte tehnologii. </w:t>
      </w:r>
    </w:p>
    <w:p w:rsidR="00E527BE" w:rsidRPr="00515D76" w:rsidRDefault="00734EEC" w:rsidP="000E6ACB">
      <w:pPr>
        <w:keepNext/>
        <w:spacing w:line="257" w:lineRule="auto"/>
        <w:jc w:val="both"/>
        <w:rPr>
          <w:rFonts w:ascii="Times New Roman" w:eastAsia="Times New Roman" w:hAnsi="Times New Roman" w:cs="Times New Roman"/>
          <w:b/>
          <w:bCs/>
          <w:noProof/>
          <w:sz w:val="24"/>
          <w:szCs w:val="24"/>
        </w:rPr>
      </w:pPr>
      <w:r w:rsidRPr="00515D76">
        <w:rPr>
          <w:rFonts w:ascii="Times New Roman" w:hAnsi="Times New Roman"/>
          <w:b/>
          <w:noProof/>
          <w:sz w:val="24"/>
          <w:szCs w:val="24"/>
        </w:rPr>
        <w:t>2.2.3. Introducerea posibilității unei autorizări mai rapide</w:t>
      </w:r>
    </w:p>
    <w:p w:rsidR="00A75A39" w:rsidRDefault="0029302D" w:rsidP="00414E79">
      <w:pPr>
        <w:spacing w:line="257" w:lineRule="auto"/>
        <w:jc w:val="both"/>
        <w:rPr>
          <w:rFonts w:ascii="Times New Roman" w:eastAsia="Times New Roman" w:hAnsi="Times New Roman" w:cs="Times New Roman"/>
          <w:noProof/>
          <w:sz w:val="24"/>
          <w:szCs w:val="24"/>
        </w:rPr>
      </w:pPr>
      <w:r w:rsidRPr="00515D76">
        <w:rPr>
          <w:rFonts w:ascii="Times New Roman" w:hAnsi="Times New Roman"/>
          <w:b/>
          <w:bCs/>
          <w:noProof/>
          <w:sz w:val="24"/>
          <w:szCs w:val="24"/>
        </w:rPr>
        <w:t xml:space="preserve">O condiție prealabilă pentru accelerarea concretizării proiectelor din domeniul energiei din surse regenerabile o constituie simplificarea și scurtarea procesului de autorizare. </w:t>
      </w:r>
      <w:r>
        <w:rPr>
          <w:rFonts w:ascii="Times New Roman" w:hAnsi="Times New Roman"/>
          <w:noProof/>
          <w:sz w:val="24"/>
          <w:szCs w:val="24"/>
        </w:rPr>
        <w:t>Procedurile administrative lungi au fost identificate ca unul dintre principalele obstacole din calea investițiilor în sursele regenerabile de energie (SRE) și în infrastructura conexă</w:t>
      </w:r>
      <w:r w:rsidRPr="00515D76">
        <w:rPr>
          <w:rFonts w:ascii="Calibri" w:hAnsi="Calibri"/>
          <w:i/>
          <w:iCs/>
          <w:noProof/>
        </w:rPr>
        <w:t>.</w:t>
      </w:r>
      <w:r w:rsidRPr="00515D76">
        <w:rPr>
          <w:rFonts w:ascii="Times New Roman" w:hAnsi="Times New Roman"/>
          <w:b/>
          <w:bCs/>
          <w:noProof/>
          <w:sz w:val="24"/>
          <w:szCs w:val="24"/>
        </w:rPr>
        <w:t xml:space="preserve"> </w:t>
      </w:r>
      <w:r>
        <w:rPr>
          <w:rFonts w:ascii="Times New Roman" w:hAnsi="Times New Roman"/>
          <w:noProof/>
          <w:sz w:val="24"/>
          <w:szCs w:val="24"/>
        </w:rPr>
        <w:t>Această problemă ar trebui soluționată prin transpunerea integrală și rapidă a Directivei privind energia din surse regenerabile</w:t>
      </w:r>
      <w:r>
        <w:rPr>
          <w:rStyle w:val="FootnoteReference"/>
          <w:rFonts w:ascii="Times New Roman" w:eastAsia="Times New Roman" w:hAnsi="Times New Roman" w:cs="Times New Roman"/>
          <w:noProof/>
          <w:sz w:val="24"/>
          <w:szCs w:val="24"/>
        </w:rPr>
        <w:footnoteReference w:id="17"/>
      </w:r>
      <w:r>
        <w:rPr>
          <w:rFonts w:ascii="Times New Roman" w:hAnsi="Times New Roman"/>
          <w:noProof/>
          <w:sz w:val="24"/>
          <w:szCs w:val="24"/>
        </w:rPr>
        <w:t>, aflată în prezent în vigoare, prin punerea în aplicare a reformelor și a măsurilor aferente din planurile de redresare și reziliență ale statelor membre, precum și a dispozițiilor referitoare la autorizarea infrastructurii din cadrul TEN-E revizuit</w:t>
      </w:r>
      <w:r>
        <w:rPr>
          <w:rStyle w:val="FootnoteReference"/>
          <w:rFonts w:ascii="Times New Roman" w:eastAsia="Times New Roman" w:hAnsi="Times New Roman" w:cs="Times New Roman"/>
          <w:noProof/>
          <w:sz w:val="24"/>
          <w:szCs w:val="24"/>
        </w:rPr>
        <w:footnoteReference w:id="18"/>
      </w:r>
      <w:r>
        <w:rPr>
          <w:rFonts w:ascii="Times New Roman" w:hAnsi="Times New Roman"/>
          <w:noProof/>
          <w:sz w:val="24"/>
          <w:szCs w:val="24"/>
        </w:rPr>
        <w:t>.</w:t>
      </w:r>
    </w:p>
    <w:p w:rsidR="00A75A39" w:rsidRPr="00515D76" w:rsidRDefault="00734EEC" w:rsidP="00414E79">
      <w:pPr>
        <w:spacing w:line="257" w:lineRule="auto"/>
        <w:jc w:val="both"/>
        <w:rPr>
          <w:rFonts w:ascii="Times New Roman" w:eastAsia="Times New Roman" w:hAnsi="Times New Roman" w:cs="Times New Roman"/>
          <w:b/>
          <w:bCs/>
          <w:noProof/>
          <w:sz w:val="24"/>
          <w:szCs w:val="24"/>
        </w:rPr>
      </w:pPr>
      <w:r>
        <w:rPr>
          <w:rFonts w:ascii="Times New Roman" w:hAnsi="Times New Roman"/>
          <w:noProof/>
          <w:sz w:val="24"/>
          <w:szCs w:val="24"/>
        </w:rPr>
        <w:t xml:space="preserve">Comisia solicită statelor membre să se asigure că planificarea, construcția și exploatarea centralelor pentru producerea de energie din surse regenerabile, conectarea acestora la rețea și rețeaua conexă însăși sunt considerate ca fiind în </w:t>
      </w:r>
      <w:r w:rsidRPr="00515D76">
        <w:rPr>
          <w:rFonts w:ascii="Times New Roman" w:hAnsi="Times New Roman"/>
          <w:b/>
          <w:bCs/>
          <w:noProof/>
          <w:sz w:val="24"/>
          <w:szCs w:val="24"/>
        </w:rPr>
        <w:t>interesul public</w:t>
      </w:r>
      <w:r>
        <w:rPr>
          <w:rFonts w:ascii="Times New Roman" w:hAnsi="Times New Roman"/>
          <w:noProof/>
          <w:sz w:val="24"/>
          <w:szCs w:val="24"/>
        </w:rPr>
        <w:t xml:space="preserve"> major </w:t>
      </w:r>
      <w:r w:rsidRPr="00515D76">
        <w:rPr>
          <w:rFonts w:ascii="Times New Roman" w:hAnsi="Times New Roman"/>
          <w:b/>
          <w:bCs/>
          <w:noProof/>
          <w:sz w:val="24"/>
          <w:szCs w:val="24"/>
        </w:rPr>
        <w:t>și</w:t>
      </w:r>
      <w:r>
        <w:rPr>
          <w:rFonts w:ascii="Times New Roman" w:hAnsi="Times New Roman"/>
          <w:noProof/>
          <w:sz w:val="24"/>
          <w:szCs w:val="24"/>
        </w:rPr>
        <w:t xml:space="preserve"> în interesul siguranței publice și că </w:t>
      </w:r>
      <w:r w:rsidRPr="00515D76">
        <w:rPr>
          <w:rFonts w:ascii="Times New Roman" w:hAnsi="Times New Roman"/>
          <w:b/>
          <w:bCs/>
          <w:noProof/>
          <w:sz w:val="24"/>
          <w:szCs w:val="24"/>
        </w:rPr>
        <w:t>se califică pentru cea mai favorabilă procedură disponibilă în cadrul procedurilor lor de planificare și de autorizare</w:t>
      </w:r>
      <w:r>
        <w:rPr>
          <w:rFonts w:ascii="Times New Roman" w:hAnsi="Times New Roman"/>
          <w:noProof/>
          <w:sz w:val="24"/>
          <w:szCs w:val="24"/>
        </w:rPr>
        <w:t>.</w:t>
      </w:r>
      <w:r w:rsidRPr="00515D76">
        <w:rPr>
          <w:rFonts w:ascii="Times New Roman" w:hAnsi="Times New Roman"/>
          <w:b/>
          <w:bCs/>
          <w:noProof/>
          <w:sz w:val="24"/>
          <w:szCs w:val="24"/>
        </w:rPr>
        <w:t xml:space="preserve"> </w:t>
      </w:r>
    </w:p>
    <w:p w:rsidR="00666636" w:rsidRPr="00B14046" w:rsidRDefault="00A75A39" w:rsidP="00666636">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Statele membre ar trebui </w:t>
      </w:r>
      <w:r w:rsidRPr="00515D76">
        <w:rPr>
          <w:rFonts w:ascii="Times New Roman" w:hAnsi="Times New Roman"/>
          <w:b/>
          <w:bCs/>
          <w:noProof/>
          <w:sz w:val="24"/>
          <w:szCs w:val="24"/>
        </w:rPr>
        <w:t>să cartografieze, să evalueze și să asigure cu rapiditate terenuri și mări adecvate care să fie puse la dispoziție pentru proiectele privind energia din surse regenerabile</w:t>
      </w:r>
      <w:r>
        <w:rPr>
          <w:rFonts w:ascii="Times New Roman" w:hAnsi="Times New Roman"/>
          <w:noProof/>
          <w:sz w:val="24"/>
          <w:szCs w:val="24"/>
        </w:rPr>
        <w:t xml:space="preserve">, în concordanță cu planurile lor naționale privind energia și clima, cu contribuțiile lor la obiectivul revizuit pentru </w:t>
      </w:r>
      <w:r w:rsidRPr="00515D76">
        <w:rPr>
          <w:rFonts w:ascii="Times New Roman" w:hAnsi="Times New Roman"/>
          <w:noProof/>
          <w:sz w:val="24"/>
          <w:szCs w:val="24"/>
        </w:rPr>
        <w:t>2030</w:t>
      </w:r>
      <w:r>
        <w:rPr>
          <w:rFonts w:ascii="Times New Roman" w:hAnsi="Times New Roman"/>
          <w:noProof/>
          <w:sz w:val="24"/>
          <w:szCs w:val="24"/>
        </w:rPr>
        <w:t xml:space="preserve"> privind energia din surse regenerabile, precum și cu alți factori, printre care se numără disponibilitatea resurselor, infrastructura de rețea și obiectivele Strategiei UE privind biodiversitatea. În </w:t>
      </w:r>
      <w:r w:rsidRPr="00515D76">
        <w:rPr>
          <w:rFonts w:ascii="Times New Roman" w:hAnsi="Times New Roman"/>
          <w:b/>
          <w:noProof/>
          <w:sz w:val="24"/>
          <w:szCs w:val="24"/>
        </w:rPr>
        <w:t>viitoarea propunere legislativă referitoare la refacerea naturii</w:t>
      </w:r>
      <w:r>
        <w:rPr>
          <w:rFonts w:ascii="Times New Roman" w:hAnsi="Times New Roman"/>
          <w:noProof/>
          <w:sz w:val="24"/>
          <w:szCs w:val="24"/>
        </w:rPr>
        <w:t>, Comisia va propune ca, atunci când își pregătesc planurile naționale de îndeplinire a obiectivelor de refacere, statele membre să țină seama de zonele limitate și clar definite ca fiind deosebit de adecvate (</w:t>
      </w:r>
      <w:r w:rsidRPr="00515D76">
        <w:rPr>
          <w:rFonts w:ascii="Times New Roman" w:hAnsi="Times New Roman"/>
          <w:b/>
          <w:noProof/>
          <w:sz w:val="24"/>
          <w:szCs w:val="24"/>
        </w:rPr>
        <w:t>zonele prioritare</w:t>
      </w:r>
      <w:r>
        <w:rPr>
          <w:rFonts w:ascii="Times New Roman" w:hAnsi="Times New Roman"/>
          <w:noProof/>
          <w:sz w:val="24"/>
          <w:szCs w:val="24"/>
        </w:rPr>
        <w:t>), evitând totodată, pe cât posibil, zonele valoroase din punct de vedere ecologic. Statele membre pot profita de revizuirea planurilor lor efectuată în temeiul Directivei privind amenajarea spațiului maritim pentru a continua dezvoltarea proiectelor privind energia din surse regenerabile.</w:t>
      </w:r>
    </w:p>
    <w:p w:rsidR="00F00301" w:rsidRDefault="003B7EA2" w:rsidP="00E65607">
      <w:pPr>
        <w:jc w:val="both"/>
        <w:rPr>
          <w:rFonts w:ascii="Times New Roman" w:eastAsia="Times New Roman" w:hAnsi="Times New Roman" w:cs="Times New Roman"/>
          <w:noProof/>
          <w:sz w:val="24"/>
          <w:szCs w:val="24"/>
        </w:rPr>
      </w:pPr>
      <w:r w:rsidRPr="00515D76">
        <w:rPr>
          <w:rFonts w:ascii="Times New Roman" w:hAnsi="Times New Roman"/>
          <w:b/>
          <w:bCs/>
          <w:noProof/>
          <w:sz w:val="24"/>
          <w:szCs w:val="24"/>
        </w:rPr>
        <w:t>În luna mai, Comisia va publica o recomandare privind autorizarea rapidă a proiectelor privind energia din surse regenerabile</w:t>
      </w:r>
      <w:r>
        <w:rPr>
          <w:rFonts w:ascii="Times New Roman" w:hAnsi="Times New Roman"/>
          <w:bCs/>
          <w:noProof/>
          <w:sz w:val="24"/>
          <w:szCs w:val="24"/>
        </w:rPr>
        <w:t xml:space="preserve"> și va acționa în direcția sprijinirii utilizării tuturor flexibilităților acordate deja de legislația UE și a eliminării obstacolelor rămase, indiferent de originea acestora.</w:t>
      </w:r>
      <w:r w:rsidR="007D200D">
        <w:rPr>
          <w:rFonts w:ascii="Times New Roman" w:hAnsi="Times New Roman"/>
          <w:bCs/>
          <w:noProof/>
          <w:sz w:val="24"/>
          <w:szCs w:val="24"/>
        </w:rPr>
        <w:t xml:space="preserve"> </w:t>
      </w:r>
    </w:p>
    <w:p w:rsidR="00A75A39" w:rsidRDefault="00A75A39" w:rsidP="00A75A39">
      <w:pPr>
        <w:spacing w:line="257" w:lineRule="auto"/>
        <w:jc w:val="both"/>
        <w:rPr>
          <w:rFonts w:ascii="Times New Roman" w:hAnsi="Times New Roman"/>
          <w:noProof/>
          <w:sz w:val="24"/>
          <w:szCs w:val="24"/>
        </w:rPr>
      </w:pPr>
      <w:r>
        <w:rPr>
          <w:rFonts w:ascii="Times New Roman" w:hAnsi="Times New Roman"/>
          <w:noProof/>
          <w:sz w:val="24"/>
          <w:szCs w:val="24"/>
        </w:rPr>
        <w:t xml:space="preserve">Comisia va oferi, de asemenea, orientări cu privire la momentul și modul în care ar fi necesare </w:t>
      </w:r>
      <w:r w:rsidRPr="00515D76">
        <w:rPr>
          <w:rFonts w:ascii="Times New Roman" w:hAnsi="Times New Roman"/>
          <w:b/>
          <w:bCs/>
          <w:noProof/>
          <w:sz w:val="24"/>
          <w:szCs w:val="24"/>
        </w:rPr>
        <w:t>spații de testare în materie de reglementare</w:t>
      </w:r>
      <w:r>
        <w:rPr>
          <w:rFonts w:ascii="Times New Roman" w:hAnsi="Times New Roman"/>
          <w:noProof/>
          <w:sz w:val="24"/>
          <w:szCs w:val="24"/>
        </w:rPr>
        <w:t xml:space="preserve"> pentru a permite testarea tehnologiilor, a produselor sau a serviciilor inovatoare menite să promoveze coexistența dintre utilizarea surselor regenerabile de energie și protecția mediului. Orientările se vor axa pe stabilirea limitelor spațiilor de testare în materie de reglementare, cum ar fi definirea calendarului, a teritoriului și a supravegherii de reglementare continue, în vederea reducerii la minimum a oricăror riscuri. </w:t>
      </w:r>
    </w:p>
    <w:p w:rsidR="005451D7" w:rsidRPr="00515D76" w:rsidRDefault="00A75A39" w:rsidP="00824F30">
      <w:pPr>
        <w:jc w:val="both"/>
        <w:rPr>
          <w:rFonts w:ascii="Times New Roman" w:eastAsia="Times New Roman" w:hAnsi="Times New Roman" w:cs="Times New Roman"/>
          <w:b/>
          <w:bCs/>
          <w:caps/>
          <w:noProof/>
          <w:sz w:val="24"/>
          <w:szCs w:val="24"/>
        </w:rPr>
      </w:pPr>
      <w:r>
        <w:rPr>
          <w:rFonts w:ascii="Times New Roman" w:hAnsi="Times New Roman"/>
          <w:noProof/>
          <w:sz w:val="24"/>
          <w:szCs w:val="24"/>
        </w:rPr>
        <w:t xml:space="preserve">Comisia și Grupul BEI vor stabili în </w:t>
      </w:r>
      <w:r w:rsidRPr="00515D76">
        <w:rPr>
          <w:rFonts w:ascii="Times New Roman" w:hAnsi="Times New Roman"/>
          <w:noProof/>
          <w:sz w:val="24"/>
          <w:szCs w:val="24"/>
        </w:rPr>
        <w:t>2022</w:t>
      </w:r>
      <w:r>
        <w:rPr>
          <w:rFonts w:ascii="Times New Roman" w:hAnsi="Times New Roman"/>
          <w:noProof/>
          <w:sz w:val="24"/>
          <w:szCs w:val="24"/>
        </w:rPr>
        <w:t xml:space="preserve"> mecanismele de finanțare care ar fi cele mai potrivite pentru a promova dezvoltarea</w:t>
      </w:r>
      <w:r w:rsidRPr="00515D76">
        <w:rPr>
          <w:rFonts w:ascii="Times New Roman" w:hAnsi="Times New Roman"/>
          <w:b/>
          <w:noProof/>
          <w:sz w:val="24"/>
          <w:szCs w:val="24"/>
        </w:rPr>
        <w:t xml:space="preserve"> contractelor de achiziție de energie electrică</w:t>
      </w:r>
      <w:r>
        <w:rPr>
          <w:rFonts w:ascii="Times New Roman" w:hAnsi="Times New Roman"/>
          <w:noProof/>
          <w:sz w:val="24"/>
          <w:szCs w:val="24"/>
        </w:rPr>
        <w:t xml:space="preserve"> în Europa, lucru care este deja posibil în cadrul InvestEU. Acest lucru va include facilitarea unui acces mai bun la contractele de achiziție de energie electrică pentru noii cumpărători (</w:t>
      </w:r>
      <w:r w:rsidRPr="00515D76">
        <w:rPr>
          <w:rFonts w:ascii="Times New Roman" w:hAnsi="Times New Roman"/>
          <w:i/>
          <w:noProof/>
          <w:sz w:val="24"/>
          <w:szCs w:val="24"/>
        </w:rPr>
        <w:t>off-takers</w:t>
      </w:r>
      <w:r>
        <w:rPr>
          <w:rFonts w:ascii="Times New Roman" w:hAnsi="Times New Roman"/>
          <w:noProof/>
          <w:sz w:val="24"/>
          <w:szCs w:val="24"/>
        </w:rPr>
        <w:t>), cum ar fi IMM-urile.</w:t>
      </w:r>
    </w:p>
    <w:p w:rsidR="00B14046" w:rsidRPr="00515D76" w:rsidRDefault="00B14046" w:rsidP="000E6ACB">
      <w:pPr>
        <w:keepNext/>
        <w:spacing w:after="120"/>
        <w:jc w:val="both"/>
        <w:rPr>
          <w:rFonts w:ascii="Times New Roman" w:eastAsia="Times New Roman" w:hAnsi="Times New Roman" w:cs="Times New Roman"/>
          <w:b/>
          <w:bCs/>
          <w:caps/>
          <w:noProof/>
          <w:sz w:val="24"/>
          <w:szCs w:val="24"/>
        </w:rPr>
      </w:pPr>
    </w:p>
    <w:p w:rsidR="00DB26D4" w:rsidRPr="00515D76" w:rsidRDefault="005451D7" w:rsidP="000E6ACB">
      <w:pPr>
        <w:keepNext/>
        <w:spacing w:after="120"/>
        <w:jc w:val="both"/>
        <w:rPr>
          <w:rFonts w:ascii="Times New Roman" w:eastAsia="Times New Roman" w:hAnsi="Times New Roman" w:cs="Times New Roman"/>
          <w:b/>
          <w:bCs/>
          <w:caps/>
          <w:noProof/>
          <w:sz w:val="24"/>
          <w:szCs w:val="24"/>
        </w:rPr>
      </w:pPr>
      <w:r w:rsidRPr="00515D76">
        <w:rPr>
          <w:rFonts w:ascii="Times New Roman" w:hAnsi="Times New Roman"/>
          <w:b/>
          <w:bCs/>
          <w:caps/>
          <w:noProof/>
          <w:sz w:val="24"/>
          <w:szCs w:val="24"/>
        </w:rPr>
        <w:t>Concluzie</w:t>
      </w:r>
    </w:p>
    <w:p w:rsidR="00787681" w:rsidRDefault="00FD6DA8" w:rsidP="00BC1147">
      <w:pPr>
        <w:spacing w:after="120"/>
        <w:jc w:val="both"/>
        <w:rPr>
          <w:rFonts w:ascii="Times New Roman" w:hAnsi="Times New Roman" w:cs="Times New Roman"/>
          <w:bCs/>
          <w:noProof/>
          <w:color w:val="000000"/>
          <w:sz w:val="24"/>
          <w:szCs w:val="24"/>
          <w:shd w:val="clear" w:color="auto" w:fill="FFFFFF"/>
        </w:rPr>
      </w:pPr>
      <w:r>
        <w:rPr>
          <w:rFonts w:ascii="Times New Roman" w:hAnsi="Times New Roman"/>
          <w:noProof/>
          <w:color w:val="000000"/>
          <w:sz w:val="24"/>
          <w:szCs w:val="24"/>
          <w:shd w:val="clear" w:color="auto" w:fill="FFFFFF"/>
        </w:rPr>
        <w:t xml:space="preserve">Evoluțiile din ultimele luni de pe piețele energiei și, în special, schimbarea dramatică a situației noastre în materie de securitate din ultimele săptămâni, necesită accelerarea drastică a tranziției către o energie curată și, prin urmare, sporirea independenței energetice a Europei. </w:t>
      </w:r>
    </w:p>
    <w:p w:rsidR="00A75A39" w:rsidRDefault="00F50EFB" w:rsidP="00A75A39">
      <w:pPr>
        <w:spacing w:after="120"/>
        <w:jc w:val="both"/>
        <w:rPr>
          <w:rFonts w:ascii="Times New Roman" w:hAnsi="Times New Roman" w:cs="Times New Roman"/>
          <w:noProof/>
          <w:color w:val="000000"/>
          <w:sz w:val="24"/>
          <w:szCs w:val="24"/>
          <w:shd w:val="clear" w:color="auto" w:fill="FFFFFF"/>
        </w:rPr>
      </w:pPr>
      <w:r>
        <w:rPr>
          <w:rFonts w:ascii="Times New Roman" w:hAnsi="Times New Roman"/>
          <w:bCs/>
          <w:noProof/>
          <w:color w:val="000000"/>
          <w:sz w:val="24"/>
          <w:szCs w:val="24"/>
          <w:shd w:val="clear" w:color="auto" w:fill="FFFFFF"/>
        </w:rPr>
        <w:t>Acțiunile imediate vor asigura atenuarea impactului prețurilor ridicate asupra gospodăriilor, fermierilor, întreprinderilor și industriei.</w:t>
      </w:r>
      <w:r>
        <w:rPr>
          <w:rFonts w:ascii="Times New Roman" w:hAnsi="Times New Roman"/>
          <w:noProof/>
          <w:color w:val="000000"/>
          <w:sz w:val="24"/>
          <w:szCs w:val="24"/>
          <w:shd w:val="clear" w:color="auto" w:fill="FFFFFF"/>
        </w:rPr>
        <w:t xml:space="preserve"> </w:t>
      </w:r>
    </w:p>
    <w:p w:rsidR="009D00A9" w:rsidRPr="00824F30" w:rsidRDefault="009D00A9" w:rsidP="00A75A39">
      <w:pPr>
        <w:spacing w:after="120"/>
        <w:jc w:val="both"/>
        <w:rPr>
          <w:rFonts w:ascii="Times New Roman" w:hAnsi="Times New Roman" w:cs="Times New Roman"/>
          <w:noProof/>
          <w:color w:val="000000"/>
          <w:sz w:val="24"/>
          <w:szCs w:val="24"/>
          <w:shd w:val="clear" w:color="auto" w:fill="FFFFFF"/>
        </w:rPr>
      </w:pPr>
      <w:r>
        <w:rPr>
          <w:rFonts w:ascii="Times New Roman" w:hAnsi="Times New Roman"/>
          <w:bCs/>
          <w:noProof/>
          <w:color w:val="000000" w:themeColor="text1"/>
          <w:sz w:val="24"/>
          <w:szCs w:val="24"/>
        </w:rPr>
        <w:t>Eliminarea dependenței de combustibilii fosili din Rusia va accelera schimbarea mixului energetic în statele membre, lucru care ar trebui să se reflecte în funcționarea pieței energiei electrice.</w:t>
      </w:r>
    </w:p>
    <w:p w:rsidR="00901839" w:rsidRPr="00ED2E92" w:rsidRDefault="001511A1" w:rsidP="00F50EFB">
      <w:pPr>
        <w:spacing w:after="120"/>
        <w:jc w:val="both"/>
        <w:rPr>
          <w:rFonts w:ascii="Times New Roman" w:hAnsi="Times New Roman" w:cs="Times New Roman"/>
          <w:noProof/>
          <w:color w:val="000000"/>
          <w:sz w:val="24"/>
          <w:szCs w:val="24"/>
          <w:shd w:val="clear" w:color="auto" w:fill="FFFFFF"/>
        </w:rPr>
      </w:pPr>
      <w:r w:rsidRPr="00515D76">
        <w:rPr>
          <w:rFonts w:ascii="Times New Roman" w:hAnsi="Times New Roman"/>
          <w:b/>
          <w:bCs/>
          <w:noProof/>
          <w:color w:val="000000"/>
          <w:sz w:val="24"/>
          <w:szCs w:val="24"/>
          <w:shd w:val="clear" w:color="auto" w:fill="FFFFFF"/>
        </w:rPr>
        <w:t>O politică europeană privind stocarea gazelor va îmbunătăți gradul de pregătire</w:t>
      </w:r>
      <w:r>
        <w:rPr>
          <w:rFonts w:ascii="Times New Roman" w:hAnsi="Times New Roman"/>
          <w:noProof/>
          <w:color w:val="000000"/>
          <w:sz w:val="24"/>
          <w:szCs w:val="24"/>
          <w:shd w:val="clear" w:color="auto" w:fill="FFFFFF"/>
        </w:rPr>
        <w:t xml:space="preserve"> pentru următorul sezon de iarnă și pentru perioada ulterioară. Acțiunea comună și coordonată este cel mai bun răspuns urgent la provocările cu care ne confruntăm. </w:t>
      </w:r>
    </w:p>
    <w:p w:rsidR="00E5429A" w:rsidRDefault="4BF3FA54" w:rsidP="000E6ACB">
      <w:pPr>
        <w:spacing w:after="120"/>
        <w:jc w:val="both"/>
        <w:rPr>
          <w:rFonts w:ascii="Times New Roman" w:hAnsi="Times New Roman" w:cs="Times New Roman"/>
          <w:bCs/>
          <w:noProof/>
          <w:color w:val="000000" w:themeColor="text1"/>
          <w:sz w:val="24"/>
          <w:szCs w:val="24"/>
        </w:rPr>
      </w:pPr>
      <w:r w:rsidRPr="00515D76">
        <w:rPr>
          <w:rFonts w:ascii="Times New Roman" w:hAnsi="Times New Roman"/>
          <w:b/>
          <w:noProof/>
          <w:sz w:val="24"/>
          <w:szCs w:val="24"/>
        </w:rPr>
        <w:t>Comisia este pregătită să elaboreze</w:t>
      </w:r>
      <w:r>
        <w:rPr>
          <w:rFonts w:ascii="Times New Roman" w:hAnsi="Times New Roman"/>
          <w:noProof/>
          <w:sz w:val="24"/>
          <w:szCs w:val="24"/>
        </w:rPr>
        <w:t xml:space="preserve">, până la vară, în cooperare cu statele membre, </w:t>
      </w:r>
      <w:r w:rsidRPr="00515D76">
        <w:rPr>
          <w:rFonts w:ascii="Times New Roman" w:hAnsi="Times New Roman"/>
          <w:b/>
          <w:noProof/>
          <w:sz w:val="24"/>
          <w:szCs w:val="24"/>
        </w:rPr>
        <w:t>un plan REPowerEU</w:t>
      </w:r>
      <w:r>
        <w:rPr>
          <w:rFonts w:ascii="Times New Roman" w:hAnsi="Times New Roman"/>
          <w:noProof/>
          <w:sz w:val="24"/>
          <w:szCs w:val="24"/>
        </w:rPr>
        <w:t xml:space="preserve"> pentru a sprijini diversificarea surselor de aprovizionare cu energie electrică, a accelera tranziția către la energie din surse regenerabile și a îmbunătăți eficiența energetică.</w:t>
      </w:r>
      <w:r>
        <w:rPr>
          <w:rFonts w:ascii="Times New Roman" w:hAnsi="Times New Roman"/>
          <w:bCs/>
          <w:noProof/>
          <w:color w:val="000000"/>
          <w:sz w:val="24"/>
          <w:szCs w:val="24"/>
          <w:shd w:val="clear" w:color="auto" w:fill="FFFFFF"/>
        </w:rPr>
        <w:t xml:space="preserve"> </w:t>
      </w:r>
      <w:r>
        <w:rPr>
          <w:rFonts w:ascii="Times New Roman" w:hAnsi="Times New Roman"/>
          <w:noProof/>
          <w:sz w:val="24"/>
          <w:szCs w:val="24"/>
        </w:rPr>
        <w:t>Acest lucru ar accelera eliminarea treptată a importurilor de gaze din Rusia și dependența de combustibilii fosili și ar oferi cea mai bună asigurare împotriva șocurilor prețurilor pe termen mediu, prin urgentarea tranziției verzi a UE, cu un accent special pe nevoile transfrontaliere și regionale.</w:t>
      </w:r>
      <w:r>
        <w:rPr>
          <w:rFonts w:ascii="Times New Roman" w:hAnsi="Times New Roman"/>
          <w:noProof/>
          <w:color w:val="000000"/>
          <w:sz w:val="24"/>
          <w:szCs w:val="24"/>
          <w:shd w:val="clear" w:color="auto" w:fill="FFFFFF"/>
        </w:rPr>
        <w:t xml:space="preserve"> </w:t>
      </w:r>
      <w:r>
        <w:rPr>
          <w:rFonts w:ascii="Times New Roman" w:hAnsi="Times New Roman"/>
          <w:bCs/>
          <w:noProof/>
          <w:color w:val="000000" w:themeColor="text1"/>
          <w:sz w:val="24"/>
          <w:szCs w:val="24"/>
        </w:rPr>
        <w:t xml:space="preserve">Necesitatea unei siguranțe sporite a aprovizionării dă un nou impuls obiectivelor Pactului verde european. </w:t>
      </w:r>
    </w:p>
    <w:sectPr w:rsidR="00E5429A" w:rsidSect="00E5429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BD6" w:rsidRDefault="00BE5BD6" w:rsidP="00B91B99">
      <w:pPr>
        <w:spacing w:after="0" w:line="240" w:lineRule="auto"/>
      </w:pPr>
      <w:r>
        <w:separator/>
      </w:r>
    </w:p>
  </w:endnote>
  <w:endnote w:type="continuationSeparator" w:id="0">
    <w:p w:rsidR="00BE5BD6" w:rsidRDefault="00BE5BD6" w:rsidP="00B91B99">
      <w:pPr>
        <w:spacing w:after="0" w:line="240" w:lineRule="auto"/>
      </w:pPr>
      <w:r>
        <w:continuationSeparator/>
      </w:r>
    </w:p>
  </w:endnote>
  <w:endnote w:type="continuationNotice" w:id="1">
    <w:p w:rsidR="00BE5BD6" w:rsidRDefault="00BE5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88" w:rsidRPr="00EE5D88" w:rsidRDefault="00EE5D88" w:rsidP="00EE5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00D" w:rsidRPr="00EE5D88" w:rsidRDefault="00EE5D88" w:rsidP="00EE5D88">
    <w:pPr>
      <w:pStyle w:val="FooterCoverPage"/>
      <w:rPr>
        <w:rFonts w:ascii="Arial" w:hAnsi="Arial" w:cs="Arial"/>
        <w:b/>
        <w:sz w:val="48"/>
      </w:rPr>
    </w:pPr>
    <w:r w:rsidRPr="00EE5D88">
      <w:rPr>
        <w:rFonts w:ascii="Arial" w:hAnsi="Arial" w:cs="Arial"/>
        <w:b/>
        <w:sz w:val="48"/>
      </w:rPr>
      <w:t>RO</w:t>
    </w:r>
    <w:r w:rsidRPr="00EE5D88">
      <w:rPr>
        <w:rFonts w:ascii="Arial" w:hAnsi="Arial" w:cs="Arial"/>
        <w:b/>
        <w:sz w:val="48"/>
      </w:rPr>
      <w:tab/>
    </w:r>
    <w:r w:rsidRPr="00EE5D88">
      <w:rPr>
        <w:rFonts w:ascii="Arial" w:hAnsi="Arial" w:cs="Arial"/>
        <w:b/>
        <w:sz w:val="48"/>
      </w:rPr>
      <w:tab/>
    </w:r>
    <w:r w:rsidRPr="00EE5D88">
      <w:tab/>
    </w:r>
    <w:r w:rsidRPr="00EE5D88">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88" w:rsidRPr="00EE5D88" w:rsidRDefault="00EE5D88" w:rsidP="00EE5D8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9A" w:rsidRDefault="00E542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922920"/>
      <w:docPartObj>
        <w:docPartGallery w:val="Page Numbers (Bottom of Page)"/>
        <w:docPartUnique/>
      </w:docPartObj>
    </w:sdtPr>
    <w:sdtEndPr>
      <w:rPr>
        <w:rFonts w:ascii="Times New Roman" w:hAnsi="Times New Roman" w:cs="Times New Roman"/>
        <w:noProof/>
      </w:rPr>
    </w:sdtEndPr>
    <w:sdtContent>
      <w:p w:rsidR="00E5429A" w:rsidRPr="000E6ACB" w:rsidRDefault="00E5429A">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E5D88">
          <w:rPr>
            <w:rFonts w:ascii="Times New Roman" w:hAnsi="Times New Roman" w:cs="Times New Roman"/>
            <w:noProof/>
          </w:rPr>
          <w:t>2</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9A" w:rsidRDefault="00E5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BD6" w:rsidRDefault="00BE5BD6" w:rsidP="00B91B99">
      <w:pPr>
        <w:spacing w:after="0" w:line="240" w:lineRule="auto"/>
      </w:pPr>
      <w:r>
        <w:separator/>
      </w:r>
    </w:p>
  </w:footnote>
  <w:footnote w:type="continuationSeparator" w:id="0">
    <w:p w:rsidR="00BE5BD6" w:rsidRDefault="00BE5BD6" w:rsidP="00B91B99">
      <w:pPr>
        <w:spacing w:after="0" w:line="240" w:lineRule="auto"/>
      </w:pPr>
      <w:r>
        <w:continuationSeparator/>
      </w:r>
    </w:p>
  </w:footnote>
  <w:footnote w:type="continuationNotice" w:id="1">
    <w:p w:rsidR="00BE5BD6" w:rsidRDefault="00BE5BD6">
      <w:pPr>
        <w:spacing w:after="0" w:line="240" w:lineRule="auto"/>
      </w:pPr>
    </w:p>
  </w:footnote>
  <w:footnote w:id="2">
    <w:p w:rsidR="00A921C3" w:rsidRPr="00FC5FEC" w:rsidRDefault="00A921C3" w:rsidP="00A46800">
      <w:pPr>
        <w:pStyle w:val="FootnoteText"/>
        <w:spacing w:after="0"/>
      </w:pPr>
      <w:r>
        <w:rPr>
          <w:rStyle w:val="FootnoteReference"/>
        </w:rPr>
        <w:footnoteRef/>
      </w:r>
      <w:r>
        <w:t xml:space="preserve"> </w:t>
      </w:r>
      <w:r>
        <w:tab/>
        <w:t>A se vedea</w:t>
      </w:r>
      <w:r>
        <w:rPr>
          <w:rFonts w:asciiTheme="minorHAnsi" w:hAnsiTheme="minorHAnsi"/>
          <w:sz w:val="22"/>
          <w:szCs w:val="22"/>
        </w:rPr>
        <w:t xml:space="preserve"> </w:t>
      </w:r>
      <w:hyperlink r:id="rId1" w:history="1">
        <w:r w:rsidRPr="00515D76">
          <w:rPr>
            <w:rStyle w:val="Hyperlink"/>
          </w:rPr>
          <w:t>raportul</w:t>
        </w:r>
      </w:hyperlink>
      <w:r>
        <w:t xml:space="preserve"> atelierului privind „Sărăcia energetică”, organizat la </w:t>
      </w:r>
      <w:r w:rsidRPr="00515D76">
        <w:t>9</w:t>
      </w:r>
      <w:r>
        <w:t xml:space="preserve"> noiembrie </w:t>
      </w:r>
      <w:r w:rsidRPr="00515D76">
        <w:t>2016</w:t>
      </w:r>
      <w:r>
        <w:t xml:space="preserve"> pentru Comisia pentru industrie, cercetare și energie (ITRE) a PE, </w:t>
      </w:r>
      <w:hyperlink r:id="rId2" w:history="1">
        <w:r w:rsidRPr="00515D76">
          <w:rPr>
            <w:rStyle w:val="Hyperlink"/>
          </w:rPr>
          <w:t>Perspectiva de gen privind accesul la energie în UE</w:t>
        </w:r>
      </w:hyperlink>
      <w:r>
        <w:t xml:space="preserve">, </w:t>
      </w:r>
      <w:hyperlink r:id="rId3" w:history="1">
        <w:r w:rsidRPr="00515D76">
          <w:rPr>
            <w:rStyle w:val="Hyperlink"/>
          </w:rPr>
          <w:t>Genul și energia</w:t>
        </w:r>
      </w:hyperlink>
      <w:hyperlink r:id="rId4" w:history="1">
        <w:r w:rsidRPr="00515D76">
          <w:rPr>
            <w:rStyle w:val="Hyperlink"/>
          </w:rPr>
          <w:t xml:space="preserve"> Institutul European pentru Egalitatea de Șanse între Femei și Bărbați (europa.eu) </w:t>
        </w:r>
      </w:hyperlink>
      <w:r>
        <w:t xml:space="preserve"> și </w:t>
      </w:r>
      <w:hyperlink r:id="rId5" w:history="1">
        <w:r w:rsidRPr="00515D76">
          <w:rPr>
            <w:rStyle w:val="Hyperlink"/>
          </w:rPr>
          <w:t>GFE-Gender-Issues-Note-Session-6.2.pdf (oecd.org)</w:t>
        </w:r>
      </w:hyperlink>
    </w:p>
  </w:footnote>
  <w:footnote w:id="3">
    <w:p w:rsidR="00A921C3" w:rsidRPr="00E65607" w:rsidRDefault="00A921C3" w:rsidP="00174033">
      <w:pPr>
        <w:pStyle w:val="FootnoteText"/>
        <w:spacing w:after="0"/>
      </w:pPr>
      <w:r>
        <w:rPr>
          <w:rStyle w:val="FootnoteReference"/>
        </w:rPr>
        <w:footnoteRef/>
      </w:r>
      <w:r>
        <w:rPr>
          <w:rStyle w:val="FootnoteReference"/>
        </w:rPr>
        <w:t xml:space="preserve"> </w:t>
      </w:r>
      <w:r>
        <w:tab/>
      </w:r>
      <w:r>
        <w:rPr>
          <w:sz w:val="18"/>
          <w:szCs w:val="18"/>
        </w:rPr>
        <w:t xml:space="preserve">Peste jumătate din topitoriile de aluminiu și zinc din UE funcționează în prezent la capacitate redusă sau au fost închise temporar. UE a pierdut temporar </w:t>
      </w:r>
      <w:r w:rsidRPr="00515D76">
        <w:rPr>
          <w:sz w:val="18"/>
          <w:szCs w:val="18"/>
        </w:rPr>
        <w:t>650</w:t>
      </w:r>
      <w:r>
        <w:rPr>
          <w:sz w:val="18"/>
          <w:szCs w:val="18"/>
        </w:rPr>
        <w:t> </w:t>
      </w:r>
      <w:r w:rsidRPr="00515D76">
        <w:rPr>
          <w:sz w:val="18"/>
          <w:szCs w:val="18"/>
        </w:rPr>
        <w:t>000</w:t>
      </w:r>
      <w:r>
        <w:rPr>
          <w:sz w:val="18"/>
          <w:szCs w:val="18"/>
        </w:rPr>
        <w:t xml:space="preserve"> de tone din capacitatea de aluminiu primar, ceea ce reprezintă circa </w:t>
      </w:r>
      <w:r w:rsidRPr="00515D76">
        <w:rPr>
          <w:sz w:val="18"/>
          <w:szCs w:val="18"/>
        </w:rPr>
        <w:t>30</w:t>
      </w:r>
      <w:r>
        <w:rPr>
          <w:sz w:val="18"/>
          <w:szCs w:val="18"/>
        </w:rPr>
        <w:t xml:space="preserve"> % din total.</w:t>
      </w:r>
      <w:r>
        <w:rPr>
          <w:rStyle w:val="FootnoteReference"/>
        </w:rPr>
        <w:t xml:space="preserve"> </w:t>
      </w:r>
    </w:p>
  </w:footnote>
  <w:footnote w:id="4">
    <w:p w:rsidR="00A921C3" w:rsidRPr="00D50C90" w:rsidRDefault="00A921C3" w:rsidP="00824F30">
      <w:pPr>
        <w:pStyle w:val="FootnoteText"/>
        <w:spacing w:after="0"/>
      </w:pPr>
      <w:r>
        <w:rPr>
          <w:rStyle w:val="FootnoteReference"/>
        </w:rPr>
        <w:footnoteRef/>
      </w:r>
      <w:r>
        <w:t xml:space="preserve"> </w:t>
      </w:r>
      <w:r>
        <w:tab/>
        <w:t>COM(</w:t>
      </w:r>
      <w:r w:rsidRPr="00515D76">
        <w:t>2021</w:t>
      </w:r>
      <w:r>
        <w:t xml:space="preserve">) </w:t>
      </w:r>
      <w:r w:rsidRPr="00515D76">
        <w:t>660</w:t>
      </w:r>
      <w:r>
        <w:t xml:space="preserve"> final din </w:t>
      </w:r>
      <w:r w:rsidRPr="00515D76">
        <w:t>13</w:t>
      </w:r>
      <w:r>
        <w:t xml:space="preserve"> octombrie </w:t>
      </w:r>
      <w:r w:rsidRPr="00515D76">
        <w:t>2021</w:t>
      </w:r>
      <w:r>
        <w:t xml:space="preserve">: </w:t>
      </w:r>
      <w:hyperlink r:id="rId6" w:history="1">
        <w:r w:rsidRPr="00515D76">
          <w:rPr>
            <w:rStyle w:val="Hyperlink"/>
          </w:rPr>
          <w:t>Un set de măsuri de acțiune și de sprijin pentru abordarea creșterii prețurilor energiei</w:t>
        </w:r>
      </w:hyperlink>
      <w:r>
        <w:t>.</w:t>
      </w:r>
    </w:p>
  </w:footnote>
  <w:footnote w:id="5">
    <w:p w:rsidR="00A921C3" w:rsidRPr="0046542E" w:rsidRDefault="00A921C3" w:rsidP="00824F30">
      <w:pPr>
        <w:pStyle w:val="FootnoteText"/>
        <w:spacing w:after="0"/>
      </w:pPr>
      <w:r>
        <w:rPr>
          <w:rStyle w:val="FootnoteReference"/>
        </w:rPr>
        <w:footnoteRef/>
      </w:r>
      <w:r>
        <w:rPr>
          <w:sz w:val="18"/>
          <w:szCs w:val="18"/>
        </w:rPr>
        <w:t xml:space="preserve"> </w:t>
      </w:r>
      <w:r>
        <w:rPr>
          <w:sz w:val="18"/>
          <w:szCs w:val="18"/>
        </w:rPr>
        <w:tab/>
      </w:r>
      <w:r>
        <w:t xml:space="preserve">Directiva (UE) </w:t>
      </w:r>
      <w:r w:rsidRPr="00515D76">
        <w:t>2019</w:t>
      </w:r>
      <w:r>
        <w:t>/</w:t>
      </w:r>
      <w:r w:rsidRPr="00515D76">
        <w:t>944</w:t>
      </w:r>
      <w:r>
        <w:t xml:space="preserve"> a Parlamentului European și a Consiliului din </w:t>
      </w:r>
      <w:r w:rsidRPr="00515D76">
        <w:t>5</w:t>
      </w:r>
      <w:r>
        <w:t xml:space="preserve"> iunie </w:t>
      </w:r>
      <w:r w:rsidRPr="00515D76">
        <w:t>2019</w:t>
      </w:r>
      <w:r>
        <w:t xml:space="preserve"> privind normele comune pentru piața internă de energie electrică și de modificare a Directivei </w:t>
      </w:r>
      <w:r w:rsidRPr="00515D76">
        <w:t>2012</w:t>
      </w:r>
      <w:r>
        <w:t>/</w:t>
      </w:r>
      <w:r w:rsidRPr="00515D76">
        <w:t>27</w:t>
      </w:r>
      <w:r>
        <w:t xml:space="preserve">/UE </w:t>
      </w:r>
      <w:r>
        <w:rPr>
          <w:sz w:val="18"/>
          <w:szCs w:val="18"/>
        </w:rPr>
        <w:t xml:space="preserve">(JO L </w:t>
      </w:r>
      <w:r w:rsidRPr="00515D76">
        <w:rPr>
          <w:sz w:val="18"/>
          <w:szCs w:val="18"/>
        </w:rPr>
        <w:t>158</w:t>
      </w:r>
      <w:r>
        <w:rPr>
          <w:sz w:val="18"/>
          <w:szCs w:val="18"/>
        </w:rPr>
        <w:t>,</w:t>
      </w:r>
      <w:r>
        <w:t xml:space="preserve"> </w:t>
      </w:r>
      <w:r w:rsidRPr="00515D76">
        <w:rPr>
          <w:sz w:val="18"/>
          <w:szCs w:val="18"/>
        </w:rPr>
        <w:t>14</w:t>
      </w:r>
      <w:r>
        <w:rPr>
          <w:sz w:val="18"/>
          <w:szCs w:val="18"/>
        </w:rPr>
        <w:t>.</w:t>
      </w:r>
      <w:r w:rsidRPr="00515D76">
        <w:rPr>
          <w:sz w:val="18"/>
          <w:szCs w:val="18"/>
        </w:rPr>
        <w:t>6</w:t>
      </w:r>
      <w:r>
        <w:rPr>
          <w:sz w:val="18"/>
          <w:szCs w:val="18"/>
        </w:rPr>
        <w:t>.</w:t>
      </w:r>
      <w:r w:rsidRPr="00515D76">
        <w:rPr>
          <w:sz w:val="18"/>
          <w:szCs w:val="18"/>
        </w:rPr>
        <w:t>2019</w:t>
      </w:r>
      <w:r>
        <w:rPr>
          <w:sz w:val="18"/>
          <w:szCs w:val="18"/>
        </w:rPr>
        <w:t xml:space="preserve">, p. </w:t>
      </w:r>
      <w:r w:rsidRPr="00515D76">
        <w:rPr>
          <w:sz w:val="18"/>
          <w:szCs w:val="18"/>
        </w:rPr>
        <w:t>125</w:t>
      </w:r>
      <w:r>
        <w:rPr>
          <w:sz w:val="18"/>
          <w:szCs w:val="18"/>
        </w:rPr>
        <w:t>).</w:t>
      </w:r>
    </w:p>
  </w:footnote>
  <w:footnote w:id="6">
    <w:p w:rsidR="00A921C3" w:rsidRPr="00C22233" w:rsidRDefault="00A921C3" w:rsidP="00824F30">
      <w:pPr>
        <w:pStyle w:val="FootnoteText"/>
        <w:spacing w:after="0"/>
        <w:rPr>
          <w:sz w:val="18"/>
          <w:szCs w:val="18"/>
        </w:rPr>
      </w:pPr>
      <w:r>
        <w:rPr>
          <w:rStyle w:val="FootnoteReference"/>
          <w:sz w:val="18"/>
          <w:szCs w:val="18"/>
        </w:rPr>
        <w:footnoteRef/>
      </w:r>
      <w:r>
        <w:rPr>
          <w:sz w:val="18"/>
          <w:szCs w:val="18"/>
        </w:rPr>
        <w:t xml:space="preserve"> </w:t>
      </w:r>
      <w:r>
        <w:tab/>
      </w:r>
      <w:r>
        <w:rPr>
          <w:sz w:val="18"/>
          <w:szCs w:val="18"/>
        </w:rPr>
        <w:t>Comunicare a Comisiei – Orientări privind ajutoarele de stat pentru salvarea și restructurarea întreprinderilor nefinanciare aflate în dificultate (JO C </w:t>
      </w:r>
      <w:r w:rsidRPr="00515D76">
        <w:rPr>
          <w:sz w:val="18"/>
          <w:szCs w:val="18"/>
        </w:rPr>
        <w:t>249</w:t>
      </w:r>
      <w:r>
        <w:rPr>
          <w:sz w:val="18"/>
          <w:szCs w:val="18"/>
        </w:rPr>
        <w:t xml:space="preserve">, </w:t>
      </w:r>
      <w:r w:rsidRPr="00515D76">
        <w:rPr>
          <w:sz w:val="18"/>
          <w:szCs w:val="18"/>
        </w:rPr>
        <w:t>31</w:t>
      </w:r>
      <w:r>
        <w:rPr>
          <w:sz w:val="18"/>
          <w:szCs w:val="18"/>
        </w:rPr>
        <w:t>.</w:t>
      </w:r>
      <w:r w:rsidRPr="00515D76">
        <w:rPr>
          <w:sz w:val="18"/>
          <w:szCs w:val="18"/>
        </w:rPr>
        <w:t>7</w:t>
      </w:r>
      <w:r>
        <w:rPr>
          <w:sz w:val="18"/>
          <w:szCs w:val="18"/>
        </w:rPr>
        <w:t>.</w:t>
      </w:r>
      <w:r w:rsidRPr="00515D76">
        <w:rPr>
          <w:sz w:val="18"/>
          <w:szCs w:val="18"/>
        </w:rPr>
        <w:t>2014</w:t>
      </w:r>
      <w:r>
        <w:rPr>
          <w:sz w:val="18"/>
          <w:szCs w:val="18"/>
        </w:rPr>
        <w:t>, p. </w:t>
      </w:r>
      <w:r w:rsidRPr="00515D76">
        <w:rPr>
          <w:sz w:val="18"/>
          <w:szCs w:val="18"/>
        </w:rPr>
        <w:t>1</w:t>
      </w:r>
      <w:r>
        <w:rPr>
          <w:sz w:val="18"/>
          <w:szCs w:val="18"/>
        </w:rPr>
        <w:t xml:space="preserve">). Ajutorul poate fi acordat ca sprijin sub formă de lichidități (împrumuturi sau garanții) pentru o durată maximă de </w:t>
      </w:r>
      <w:r w:rsidRPr="00515D76">
        <w:rPr>
          <w:sz w:val="18"/>
          <w:szCs w:val="18"/>
        </w:rPr>
        <w:t>6</w:t>
      </w:r>
      <w:r>
        <w:rPr>
          <w:sz w:val="18"/>
          <w:szCs w:val="18"/>
        </w:rPr>
        <w:t xml:space="preserve"> luni în cazul întreprinderilor mari aflate în dificultate sau pentru o durată maximă de </w:t>
      </w:r>
      <w:r w:rsidRPr="00515D76">
        <w:rPr>
          <w:sz w:val="18"/>
          <w:szCs w:val="18"/>
        </w:rPr>
        <w:t>18</w:t>
      </w:r>
      <w:r>
        <w:rPr>
          <w:sz w:val="18"/>
          <w:szCs w:val="18"/>
        </w:rPr>
        <w:t xml:space="preserve"> luni în cazul IMM-urilor. Întreprinderile care nu se află în dificultate pot beneficia, de asemenea, de ajutor dacă se confruntă cu „nevoi acute de lichidități din cauza unor circumstanțe excepționale și neprevăzute”.</w:t>
      </w:r>
    </w:p>
  </w:footnote>
  <w:footnote w:id="7">
    <w:p w:rsidR="00A921C3" w:rsidRPr="00D42C2C" w:rsidRDefault="00A921C3" w:rsidP="008C6D41">
      <w:pPr>
        <w:pStyle w:val="FootnoteText"/>
        <w:spacing w:after="0"/>
        <w:rPr>
          <w:sz w:val="18"/>
          <w:szCs w:val="18"/>
        </w:rPr>
      </w:pPr>
      <w:r>
        <w:rPr>
          <w:rStyle w:val="FootnoteReference"/>
        </w:rPr>
        <w:footnoteRef/>
      </w:r>
      <w:r>
        <w:t xml:space="preserve"> </w:t>
      </w:r>
      <w:r>
        <w:tab/>
        <w:t xml:space="preserve">Orientări privind anumite măsuri de ajutor de stat acordate în contextul sistemului de comercializare a certificatelor de emisii de gaze cu efect de seră după </w:t>
      </w:r>
      <w:r w:rsidRPr="00515D76">
        <w:t>2021</w:t>
      </w:r>
      <w:r>
        <w:t xml:space="preserve">, JO C </w:t>
      </w:r>
      <w:r w:rsidRPr="00515D76">
        <w:t>317</w:t>
      </w:r>
      <w:r>
        <w:t xml:space="preserve">, </w:t>
      </w:r>
      <w:r w:rsidRPr="00515D76">
        <w:t>25</w:t>
      </w:r>
      <w:r>
        <w:t>.</w:t>
      </w:r>
      <w:r w:rsidRPr="00515D76">
        <w:t>9</w:t>
      </w:r>
      <w:r>
        <w:t>.</w:t>
      </w:r>
      <w:r w:rsidRPr="00515D76">
        <w:t>2020</w:t>
      </w:r>
      <w:r>
        <w:t xml:space="preserve">, p. </w:t>
      </w:r>
      <w:r w:rsidRPr="00515D76">
        <w:t>5</w:t>
      </w:r>
      <w:r>
        <w:t>.</w:t>
      </w:r>
    </w:p>
  </w:footnote>
  <w:footnote w:id="8">
    <w:p w:rsidR="008C6D41" w:rsidRPr="00D42C2C" w:rsidRDefault="008C6D41" w:rsidP="008C6D41">
      <w:pPr>
        <w:pStyle w:val="FootnoteText"/>
        <w:spacing w:after="0"/>
        <w:rPr>
          <w:sz w:val="18"/>
          <w:szCs w:val="18"/>
        </w:rPr>
      </w:pPr>
      <w:r>
        <w:rPr>
          <w:rStyle w:val="FootnoteReference"/>
          <w:sz w:val="18"/>
          <w:szCs w:val="18"/>
        </w:rPr>
        <w:footnoteRef/>
      </w:r>
      <w:r>
        <w:rPr>
          <w:rStyle w:val="FootnoteReference"/>
          <w:sz w:val="18"/>
          <w:szCs w:val="18"/>
        </w:rPr>
        <w:t xml:space="preserve"> </w:t>
      </w:r>
      <w:r>
        <w:tab/>
      </w:r>
      <w:r>
        <w:rPr>
          <w:rStyle w:val="FootnoteReference"/>
          <w:sz w:val="18"/>
          <w:szCs w:val="18"/>
        </w:rPr>
        <w:t xml:space="preserve"> </w:t>
      </w:r>
      <w:r>
        <w:rPr>
          <w:sz w:val="18"/>
          <w:szCs w:val="18"/>
        </w:rPr>
        <w:t xml:space="preserve">Regulamentul (UE) nr. </w:t>
      </w:r>
      <w:r w:rsidRPr="00515D76">
        <w:rPr>
          <w:sz w:val="18"/>
          <w:szCs w:val="18"/>
        </w:rPr>
        <w:t>702</w:t>
      </w:r>
      <w:r>
        <w:rPr>
          <w:sz w:val="18"/>
          <w:szCs w:val="18"/>
        </w:rPr>
        <w:t>/</w:t>
      </w:r>
      <w:r w:rsidRPr="00515D76">
        <w:rPr>
          <w:sz w:val="18"/>
          <w:szCs w:val="18"/>
        </w:rPr>
        <w:t>2014</w:t>
      </w:r>
      <w:r>
        <w:rPr>
          <w:sz w:val="18"/>
          <w:szCs w:val="18"/>
        </w:rPr>
        <w:t xml:space="preserve"> al Comisiei din </w:t>
      </w:r>
      <w:r w:rsidRPr="00515D76">
        <w:rPr>
          <w:sz w:val="18"/>
          <w:szCs w:val="18"/>
        </w:rPr>
        <w:t>25</w:t>
      </w:r>
      <w:r>
        <w:rPr>
          <w:sz w:val="18"/>
          <w:szCs w:val="18"/>
        </w:rPr>
        <w:t xml:space="preserve"> iunie </w:t>
      </w:r>
      <w:r w:rsidRPr="00515D76">
        <w:rPr>
          <w:sz w:val="18"/>
          <w:szCs w:val="18"/>
        </w:rPr>
        <w:t>2014</w:t>
      </w:r>
      <w:r>
        <w:rPr>
          <w:sz w:val="18"/>
          <w:szCs w:val="18"/>
        </w:rPr>
        <w:t xml:space="preserve"> de declarare a anumitor categorii de ajutoare în sectoarele agricol și forestier și în zonele rurale ca fiind compatibile cu piața internă, în aplicarea articolelor </w:t>
      </w:r>
      <w:r w:rsidRPr="00515D76">
        <w:rPr>
          <w:sz w:val="18"/>
          <w:szCs w:val="18"/>
        </w:rPr>
        <w:t>107</w:t>
      </w:r>
      <w:r>
        <w:rPr>
          <w:sz w:val="18"/>
          <w:szCs w:val="18"/>
        </w:rPr>
        <w:t xml:space="preserve"> și </w:t>
      </w:r>
      <w:r w:rsidRPr="00515D76">
        <w:rPr>
          <w:sz w:val="18"/>
          <w:szCs w:val="18"/>
        </w:rPr>
        <w:t>108</w:t>
      </w:r>
      <w:r>
        <w:rPr>
          <w:sz w:val="18"/>
          <w:szCs w:val="18"/>
        </w:rPr>
        <w:t xml:space="preserve"> din Tratatul privind funcționarea Uniunii Europene, JO L </w:t>
      </w:r>
      <w:r w:rsidRPr="00515D76">
        <w:rPr>
          <w:sz w:val="18"/>
          <w:szCs w:val="18"/>
        </w:rPr>
        <w:t>193</w:t>
      </w:r>
      <w:r>
        <w:rPr>
          <w:sz w:val="18"/>
          <w:szCs w:val="18"/>
        </w:rPr>
        <w:t xml:space="preserve">, </w:t>
      </w:r>
      <w:r w:rsidRPr="00515D76">
        <w:rPr>
          <w:sz w:val="18"/>
          <w:szCs w:val="18"/>
        </w:rPr>
        <w:t>1</w:t>
      </w:r>
      <w:r>
        <w:rPr>
          <w:sz w:val="18"/>
          <w:szCs w:val="18"/>
        </w:rPr>
        <w:t>.</w:t>
      </w:r>
      <w:r w:rsidRPr="00515D76">
        <w:rPr>
          <w:sz w:val="18"/>
          <w:szCs w:val="18"/>
        </w:rPr>
        <w:t>7</w:t>
      </w:r>
      <w:r>
        <w:rPr>
          <w:sz w:val="18"/>
          <w:szCs w:val="18"/>
        </w:rPr>
        <w:t>.</w:t>
      </w:r>
      <w:r w:rsidRPr="00515D76">
        <w:rPr>
          <w:sz w:val="18"/>
          <w:szCs w:val="18"/>
        </w:rPr>
        <w:t>2014</w:t>
      </w:r>
      <w:r>
        <w:rPr>
          <w:sz w:val="18"/>
          <w:szCs w:val="18"/>
        </w:rPr>
        <w:t xml:space="preserve">, p. </w:t>
      </w:r>
      <w:r w:rsidRPr="00515D76">
        <w:rPr>
          <w:sz w:val="18"/>
          <w:szCs w:val="18"/>
        </w:rPr>
        <w:t>1</w:t>
      </w:r>
      <w:r>
        <w:rPr>
          <w:sz w:val="18"/>
          <w:szCs w:val="18"/>
        </w:rPr>
        <w:t>.</w:t>
      </w:r>
      <w:r w:rsidR="007D200D">
        <w:rPr>
          <w:sz w:val="18"/>
          <w:szCs w:val="18"/>
        </w:rPr>
        <w:t xml:space="preserve"> </w:t>
      </w:r>
      <w:r>
        <w:rPr>
          <w:sz w:val="18"/>
          <w:szCs w:val="18"/>
        </w:rPr>
        <w:t xml:space="preserve">Orientările Uniunii Europene privind ajutoarele de stat în sectoarele agricol și forestier și în zonele rurale pentru perioada </w:t>
      </w:r>
      <w:r w:rsidRPr="00515D76">
        <w:rPr>
          <w:sz w:val="18"/>
          <w:szCs w:val="18"/>
        </w:rPr>
        <w:t>2014</w:t>
      </w:r>
      <w:r>
        <w:rPr>
          <w:sz w:val="18"/>
          <w:szCs w:val="18"/>
        </w:rPr>
        <w:t>-</w:t>
      </w:r>
      <w:r w:rsidRPr="00515D76">
        <w:rPr>
          <w:sz w:val="18"/>
          <w:szCs w:val="18"/>
        </w:rPr>
        <w:t>2020</w:t>
      </w:r>
      <w:r>
        <w:rPr>
          <w:sz w:val="18"/>
          <w:szCs w:val="18"/>
        </w:rPr>
        <w:t xml:space="preserve">, JO C </w:t>
      </w:r>
      <w:r w:rsidRPr="00515D76">
        <w:rPr>
          <w:sz w:val="18"/>
          <w:szCs w:val="18"/>
        </w:rPr>
        <w:t>204</w:t>
      </w:r>
      <w:r>
        <w:rPr>
          <w:sz w:val="18"/>
          <w:szCs w:val="18"/>
        </w:rPr>
        <w:t xml:space="preserve">, </w:t>
      </w:r>
      <w:r w:rsidRPr="00515D76">
        <w:rPr>
          <w:sz w:val="18"/>
          <w:szCs w:val="18"/>
        </w:rPr>
        <w:t>1</w:t>
      </w:r>
      <w:r>
        <w:rPr>
          <w:sz w:val="18"/>
          <w:szCs w:val="18"/>
        </w:rPr>
        <w:t>.</w:t>
      </w:r>
      <w:r w:rsidRPr="00515D76">
        <w:rPr>
          <w:sz w:val="18"/>
          <w:szCs w:val="18"/>
        </w:rPr>
        <w:t>7</w:t>
      </w:r>
      <w:r>
        <w:rPr>
          <w:sz w:val="18"/>
          <w:szCs w:val="18"/>
        </w:rPr>
        <w:t>.</w:t>
      </w:r>
      <w:r w:rsidRPr="00515D76">
        <w:rPr>
          <w:sz w:val="18"/>
          <w:szCs w:val="18"/>
        </w:rPr>
        <w:t>2014</w:t>
      </w:r>
      <w:r>
        <w:rPr>
          <w:sz w:val="18"/>
          <w:szCs w:val="18"/>
        </w:rPr>
        <w:t xml:space="preserve">, p. </w:t>
      </w:r>
      <w:r w:rsidRPr="00515D76">
        <w:rPr>
          <w:sz w:val="18"/>
          <w:szCs w:val="18"/>
        </w:rPr>
        <w:t>1</w:t>
      </w:r>
      <w:r>
        <w:rPr>
          <w:sz w:val="18"/>
          <w:szCs w:val="18"/>
        </w:rPr>
        <w:t>.</w:t>
      </w:r>
    </w:p>
  </w:footnote>
  <w:footnote w:id="9">
    <w:p w:rsidR="008C6D41" w:rsidRPr="00D42C2C" w:rsidRDefault="008C6D41" w:rsidP="008C6D41">
      <w:pPr>
        <w:pStyle w:val="FootnoteText"/>
        <w:spacing w:after="0"/>
        <w:rPr>
          <w:sz w:val="18"/>
          <w:szCs w:val="18"/>
        </w:rPr>
      </w:pPr>
      <w:r>
        <w:rPr>
          <w:rStyle w:val="FootnoteReference"/>
          <w:sz w:val="18"/>
          <w:szCs w:val="18"/>
        </w:rPr>
        <w:footnoteRef/>
      </w:r>
      <w:r>
        <w:rPr>
          <w:rStyle w:val="FootnoteReference"/>
          <w:sz w:val="18"/>
          <w:szCs w:val="18"/>
        </w:rPr>
        <w:t xml:space="preserve"> </w:t>
      </w:r>
      <w:r>
        <w:tab/>
      </w:r>
      <w:hyperlink r:id="rId7" w:history="1">
        <w:r>
          <w:rPr>
            <w:sz w:val="18"/>
            <w:szCs w:val="18"/>
          </w:rPr>
          <w:t>Consultare publică referitoare la normele revizuite privind ajutoarele de stat în sectoarele agricol și forestier și în zonele rurale</w:t>
        </w:r>
      </w:hyperlink>
      <w:r>
        <w:rPr>
          <w:sz w:val="18"/>
          <w:szCs w:val="18"/>
        </w:rPr>
        <w:t>.</w:t>
      </w:r>
    </w:p>
  </w:footnote>
  <w:footnote w:id="10">
    <w:p w:rsidR="00A921C3" w:rsidRPr="008A28D6" w:rsidRDefault="00A921C3" w:rsidP="008C6D41">
      <w:pPr>
        <w:pStyle w:val="FootnoteText"/>
        <w:spacing w:after="0"/>
      </w:pPr>
      <w:r>
        <w:rPr>
          <w:rStyle w:val="FootnoteReference"/>
        </w:rPr>
        <w:footnoteRef/>
      </w:r>
      <w:r>
        <w:t xml:space="preserve"> </w:t>
      </w:r>
      <w:r>
        <w:tab/>
      </w:r>
      <w:r>
        <w:rPr>
          <w:sz w:val="18"/>
          <w:szCs w:val="18"/>
        </w:rPr>
        <w:t xml:space="preserve">În temeiul articolului </w:t>
      </w:r>
      <w:r w:rsidRPr="00515D76">
        <w:rPr>
          <w:sz w:val="18"/>
          <w:szCs w:val="18"/>
        </w:rPr>
        <w:t>107</w:t>
      </w:r>
      <w:r>
        <w:rPr>
          <w:sz w:val="18"/>
          <w:szCs w:val="18"/>
        </w:rPr>
        <w:t xml:space="preserve"> alineatul (</w:t>
      </w:r>
      <w:r w:rsidRPr="00515D76">
        <w:rPr>
          <w:sz w:val="18"/>
          <w:szCs w:val="18"/>
        </w:rPr>
        <w:t>3</w:t>
      </w:r>
      <w:r>
        <w:rPr>
          <w:sz w:val="18"/>
          <w:szCs w:val="18"/>
        </w:rPr>
        <w:t>) litera (b) din TFUE</w:t>
      </w:r>
    </w:p>
  </w:footnote>
  <w:footnote w:id="11">
    <w:p w:rsidR="00A921C3" w:rsidRPr="00E32A05" w:rsidRDefault="00A921C3" w:rsidP="00824F30">
      <w:pPr>
        <w:pStyle w:val="FootnoteText"/>
        <w:spacing w:after="0"/>
        <w:rPr>
          <w:sz w:val="18"/>
          <w:szCs w:val="18"/>
        </w:rPr>
      </w:pPr>
      <w:r>
        <w:rPr>
          <w:rStyle w:val="FootnoteReference"/>
        </w:rPr>
        <w:footnoteRef/>
      </w:r>
      <w:r>
        <w:t xml:space="preserve"> </w:t>
      </w:r>
      <w:r>
        <w:tab/>
        <w:t>Cu excepția întreprinderilor legate sau controlate de persoane fizice incluse pe lista de sancțiuni adoptată de UE și/sau a beneficiarilor controlați de entități juridice rusești sau belaruse.</w:t>
      </w:r>
    </w:p>
  </w:footnote>
  <w:footnote w:id="12">
    <w:p w:rsidR="00A921C3" w:rsidRPr="00BA458B" w:rsidRDefault="00A921C3" w:rsidP="00824F30">
      <w:pPr>
        <w:pStyle w:val="FootnoteText"/>
        <w:spacing w:after="0"/>
      </w:pPr>
      <w:r>
        <w:rPr>
          <w:rStyle w:val="FootnoteReference"/>
        </w:rPr>
        <w:footnoteRef/>
      </w:r>
      <w:r>
        <w:t xml:space="preserve"> </w:t>
      </w:r>
      <w:r>
        <w:tab/>
        <w:t xml:space="preserve">Un plan în </w:t>
      </w:r>
      <w:r w:rsidRPr="00515D76">
        <w:t>10</w:t>
      </w:r>
      <w:r>
        <w:t xml:space="preserve"> puncte pentru reducerea dependenței Uniunii Europene de gazele naturale rusești, </w:t>
      </w:r>
      <w:r w:rsidRPr="00515D76">
        <w:t>3</w:t>
      </w:r>
      <w:r w:rsidR="000B7C28">
        <w:t> </w:t>
      </w:r>
      <w:r>
        <w:t>martie</w:t>
      </w:r>
      <w:r w:rsidR="000B7C28">
        <w:t> </w:t>
      </w:r>
      <w:r w:rsidRPr="00515D76">
        <w:t>2022</w:t>
      </w:r>
      <w:r>
        <w:t>, Agenția Internațională a Energiei.</w:t>
      </w:r>
    </w:p>
  </w:footnote>
  <w:footnote w:id="13">
    <w:p w:rsidR="00A921C3" w:rsidRPr="0046542E" w:rsidRDefault="00A921C3" w:rsidP="00824F30">
      <w:pPr>
        <w:pStyle w:val="FootnoteText"/>
        <w:spacing w:after="0"/>
        <w:rPr>
          <w:sz w:val="18"/>
          <w:szCs w:val="18"/>
        </w:rPr>
      </w:pPr>
      <w:r>
        <w:rPr>
          <w:rStyle w:val="FootnoteReference"/>
        </w:rPr>
        <w:footnoteRef/>
      </w:r>
      <w:r>
        <w:t xml:space="preserve"> </w:t>
      </w:r>
      <w:r>
        <w:tab/>
        <w:t xml:space="preserve">Deși fondurile ETS ar trebui să sprijine în primul rând reducerea suplimentară a emisiilor, în special prin investiții în măsuri de eficiență energetică, în tranziția energetică și în inovarea în domeniul tehnologiilor curate, articolul </w:t>
      </w:r>
      <w:r w:rsidRPr="00515D76">
        <w:t>10</w:t>
      </w:r>
      <w:r>
        <w:t xml:space="preserve"> alineatul (</w:t>
      </w:r>
      <w:r w:rsidRPr="00515D76">
        <w:t>3</w:t>
      </w:r>
      <w:r>
        <w:t xml:space="preserve">) din Directiva ETS (Directiva </w:t>
      </w:r>
      <w:r w:rsidRPr="00515D76">
        <w:t>2009</w:t>
      </w:r>
      <w:r>
        <w:t>/</w:t>
      </w:r>
      <w:r w:rsidRPr="00515D76">
        <w:t>29</w:t>
      </w:r>
      <w:r>
        <w:t>/CE) prevede că statele membre pot utiliza veniturile ETS pentru a oferi sprijin financiar pentru soluționarea aspectelor sociale în ceea ce privește gospodăriile cu venituri mici și mijlocii.</w:t>
      </w:r>
    </w:p>
  </w:footnote>
  <w:footnote w:id="14">
    <w:p w:rsidR="004F5AA7" w:rsidRPr="00A56022" w:rsidRDefault="004F5AA7" w:rsidP="004F5AA7">
      <w:pPr>
        <w:pStyle w:val="FootnoteText"/>
        <w:spacing w:after="0"/>
      </w:pPr>
      <w:r>
        <w:rPr>
          <w:rStyle w:val="FootnoteReference"/>
        </w:rPr>
        <w:footnoteRef/>
      </w:r>
      <w:r>
        <w:t xml:space="preserve"> </w:t>
      </w:r>
      <w:r>
        <w:tab/>
        <w:t xml:space="preserve">În </w:t>
      </w:r>
      <w:r w:rsidRPr="00515D76">
        <w:t>13</w:t>
      </w:r>
      <w:r>
        <w:t xml:space="preserve"> state membre – BE, BG, DK, ES, FI, FR, HU, IT, LT, LV, PL, PT și SE – există obligații de stocare.</w:t>
      </w:r>
      <w:r>
        <w:rPr>
          <w:sz w:val="18"/>
          <w:szCs w:val="18"/>
        </w:rPr>
        <w:t xml:space="preserve"> Alte state membre, de exemplu DE, au anunțat planuri de introducere a unor astfel de obligații.</w:t>
      </w:r>
      <w:r>
        <w:t xml:space="preserve"> </w:t>
      </w:r>
    </w:p>
  </w:footnote>
  <w:footnote w:id="15">
    <w:p w:rsidR="005A61BB" w:rsidRPr="005C425D" w:rsidRDefault="005A61BB">
      <w:pPr>
        <w:pStyle w:val="FootnoteText"/>
        <w:rPr>
          <w:sz w:val="18"/>
          <w:szCs w:val="18"/>
        </w:rPr>
      </w:pPr>
      <w:r>
        <w:rPr>
          <w:rStyle w:val="FootnoteReference"/>
          <w:sz w:val="18"/>
          <w:szCs w:val="18"/>
        </w:rPr>
        <w:footnoteRef/>
      </w:r>
      <w:r>
        <w:rPr>
          <w:sz w:val="18"/>
          <w:szCs w:val="18"/>
        </w:rPr>
        <w:t xml:space="preserve"> </w:t>
      </w:r>
      <w:r>
        <w:tab/>
      </w:r>
      <w:r>
        <w:rPr>
          <w:sz w:val="18"/>
          <w:szCs w:val="18"/>
        </w:rPr>
        <w:t xml:space="preserve">Regulamentul (UE) </w:t>
      </w:r>
      <w:r w:rsidRPr="00515D76">
        <w:rPr>
          <w:sz w:val="18"/>
          <w:szCs w:val="18"/>
        </w:rPr>
        <w:t>2017</w:t>
      </w:r>
      <w:r>
        <w:rPr>
          <w:sz w:val="18"/>
          <w:szCs w:val="18"/>
        </w:rPr>
        <w:t>/</w:t>
      </w:r>
      <w:r w:rsidRPr="00515D76">
        <w:rPr>
          <w:sz w:val="18"/>
          <w:szCs w:val="18"/>
        </w:rPr>
        <w:t>1938</w:t>
      </w:r>
      <w:r>
        <w:rPr>
          <w:sz w:val="18"/>
          <w:szCs w:val="18"/>
        </w:rPr>
        <w:t xml:space="preserve"> al Parlamentului European și al Consiliului din </w:t>
      </w:r>
      <w:r w:rsidRPr="00515D76">
        <w:rPr>
          <w:sz w:val="18"/>
          <w:szCs w:val="18"/>
        </w:rPr>
        <w:t>25</w:t>
      </w:r>
      <w:r>
        <w:rPr>
          <w:sz w:val="18"/>
          <w:szCs w:val="18"/>
        </w:rPr>
        <w:t xml:space="preserve"> octombrie </w:t>
      </w:r>
      <w:r w:rsidRPr="00515D76">
        <w:rPr>
          <w:sz w:val="18"/>
          <w:szCs w:val="18"/>
        </w:rPr>
        <w:t>2017</w:t>
      </w:r>
      <w:r>
        <w:rPr>
          <w:sz w:val="18"/>
          <w:szCs w:val="18"/>
        </w:rPr>
        <w:t xml:space="preserve"> privind măsurile de garantare a siguranței furnizării de gaze și de abrogare a Regulamentului (UE) nr. </w:t>
      </w:r>
      <w:r w:rsidRPr="00515D76">
        <w:rPr>
          <w:sz w:val="18"/>
          <w:szCs w:val="18"/>
        </w:rPr>
        <w:t>994</w:t>
      </w:r>
      <w:r>
        <w:rPr>
          <w:sz w:val="18"/>
          <w:szCs w:val="18"/>
        </w:rPr>
        <w:t>/</w:t>
      </w:r>
      <w:r w:rsidRPr="00515D76">
        <w:rPr>
          <w:sz w:val="18"/>
          <w:szCs w:val="18"/>
        </w:rPr>
        <w:t>2010</w:t>
      </w:r>
      <w:r>
        <w:rPr>
          <w:sz w:val="18"/>
          <w:szCs w:val="18"/>
        </w:rPr>
        <w:t xml:space="preserve"> (JO L </w:t>
      </w:r>
      <w:r w:rsidRPr="00515D76">
        <w:rPr>
          <w:sz w:val="18"/>
          <w:szCs w:val="18"/>
        </w:rPr>
        <w:t>280</w:t>
      </w:r>
      <w:r>
        <w:rPr>
          <w:sz w:val="18"/>
          <w:szCs w:val="18"/>
        </w:rPr>
        <w:t xml:space="preserve">, </w:t>
      </w:r>
      <w:r w:rsidRPr="00515D76">
        <w:rPr>
          <w:sz w:val="18"/>
          <w:szCs w:val="18"/>
        </w:rPr>
        <w:t>28</w:t>
      </w:r>
      <w:r>
        <w:rPr>
          <w:sz w:val="18"/>
          <w:szCs w:val="18"/>
        </w:rPr>
        <w:t>.</w:t>
      </w:r>
      <w:r w:rsidRPr="00515D76">
        <w:rPr>
          <w:sz w:val="18"/>
          <w:szCs w:val="18"/>
        </w:rPr>
        <w:t>10</w:t>
      </w:r>
      <w:r>
        <w:rPr>
          <w:sz w:val="18"/>
          <w:szCs w:val="18"/>
        </w:rPr>
        <w:t>.</w:t>
      </w:r>
      <w:r w:rsidRPr="00515D76">
        <w:rPr>
          <w:sz w:val="18"/>
          <w:szCs w:val="18"/>
        </w:rPr>
        <w:t>2017</w:t>
      </w:r>
      <w:r>
        <w:rPr>
          <w:sz w:val="18"/>
          <w:szCs w:val="18"/>
        </w:rPr>
        <w:t xml:space="preserve">, p. </w:t>
      </w:r>
      <w:r w:rsidRPr="00515D76">
        <w:rPr>
          <w:sz w:val="18"/>
          <w:szCs w:val="18"/>
        </w:rPr>
        <w:t>1</w:t>
      </w:r>
      <w:r>
        <w:rPr>
          <w:sz w:val="18"/>
          <w:szCs w:val="18"/>
        </w:rPr>
        <w:t xml:space="preserve">). </w:t>
      </w:r>
    </w:p>
  </w:footnote>
  <w:footnote w:id="16">
    <w:p w:rsidR="00F7301F" w:rsidRPr="00907B28" w:rsidRDefault="00F7301F" w:rsidP="00F7301F">
      <w:pPr>
        <w:pStyle w:val="FootnoteText"/>
        <w:spacing w:after="0"/>
      </w:pPr>
      <w:r>
        <w:rPr>
          <w:rStyle w:val="FootnoteReference"/>
        </w:rPr>
        <w:footnoteRef/>
      </w:r>
      <w:r>
        <w:t xml:space="preserve"> </w:t>
      </w:r>
      <w:r>
        <w:tab/>
        <w:t>COM(</w:t>
      </w:r>
      <w:r w:rsidRPr="00515D76">
        <w:t>2020</w:t>
      </w:r>
      <w:r>
        <w:t xml:space="preserve">) </w:t>
      </w:r>
      <w:r w:rsidRPr="00515D76">
        <w:t>301</w:t>
      </w:r>
      <w:r>
        <w:t xml:space="preserve"> final: </w:t>
      </w:r>
      <w:hyperlink r:id="rId8" w:history="1">
        <w:r w:rsidRPr="00515D76">
          <w:rPr>
            <w:rStyle w:val="Hyperlink"/>
          </w:rPr>
          <w:t>O strategie pentru hidrogen: pentru o Europă neutră climatic</w:t>
        </w:r>
      </w:hyperlink>
      <w:r>
        <w:t>.</w:t>
      </w:r>
    </w:p>
  </w:footnote>
  <w:footnote w:id="17">
    <w:p w:rsidR="0026138C" w:rsidRPr="000D305D" w:rsidRDefault="0026138C" w:rsidP="006D146A">
      <w:pPr>
        <w:pStyle w:val="FootnoteText"/>
        <w:spacing w:after="0"/>
      </w:pPr>
      <w:r>
        <w:rPr>
          <w:rStyle w:val="FootnoteReference"/>
        </w:rPr>
        <w:footnoteRef/>
      </w:r>
      <w:r>
        <w:t xml:space="preserve"> </w:t>
      </w:r>
      <w:r>
        <w:tab/>
      </w:r>
      <w:r>
        <w:rPr>
          <w:sz w:val="18"/>
        </w:rPr>
        <w:t xml:space="preserve">Directiva (UE) </w:t>
      </w:r>
      <w:r w:rsidRPr="00515D76">
        <w:rPr>
          <w:sz w:val="18"/>
        </w:rPr>
        <w:t>2018</w:t>
      </w:r>
      <w:r>
        <w:rPr>
          <w:sz w:val="18"/>
        </w:rPr>
        <w:t>/</w:t>
      </w:r>
      <w:r w:rsidRPr="00515D76">
        <w:rPr>
          <w:sz w:val="18"/>
        </w:rPr>
        <w:t>2001</w:t>
      </w:r>
      <w:r>
        <w:rPr>
          <w:sz w:val="18"/>
        </w:rPr>
        <w:t xml:space="preserve"> a Parlamentului European și a Consiliului din </w:t>
      </w:r>
      <w:r w:rsidRPr="00515D76">
        <w:rPr>
          <w:sz w:val="18"/>
        </w:rPr>
        <w:t>11</w:t>
      </w:r>
      <w:r>
        <w:rPr>
          <w:sz w:val="18"/>
        </w:rPr>
        <w:t xml:space="preserve"> decembrie </w:t>
      </w:r>
      <w:r w:rsidRPr="00515D76">
        <w:rPr>
          <w:sz w:val="18"/>
        </w:rPr>
        <w:t>2018</w:t>
      </w:r>
      <w:r>
        <w:rPr>
          <w:sz w:val="18"/>
        </w:rPr>
        <w:t xml:space="preserve"> privind promovarea utilizării energiei din surse regenerabile (reformare). </w:t>
      </w:r>
    </w:p>
  </w:footnote>
  <w:footnote w:id="18">
    <w:p w:rsidR="00B45E91" w:rsidRPr="000D305D" w:rsidRDefault="00B45E91" w:rsidP="006D146A">
      <w:pPr>
        <w:pStyle w:val="FootnoteText"/>
        <w:spacing w:after="0"/>
        <w:rPr>
          <w:sz w:val="18"/>
          <w:szCs w:val="18"/>
        </w:rPr>
      </w:pPr>
      <w:r>
        <w:rPr>
          <w:rStyle w:val="FootnoteReference"/>
        </w:rPr>
        <w:footnoteRef/>
      </w:r>
      <w:r>
        <w:t xml:space="preserve"> </w:t>
      </w:r>
      <w:r>
        <w:tab/>
      </w:r>
      <w:r>
        <w:rPr>
          <w:sz w:val="18"/>
          <w:szCs w:val="18"/>
        </w:rPr>
        <w:t xml:space="preserve">Regulamentul (UE) nr. </w:t>
      </w:r>
      <w:r w:rsidRPr="00515D76">
        <w:rPr>
          <w:sz w:val="18"/>
          <w:szCs w:val="18"/>
        </w:rPr>
        <w:t>347</w:t>
      </w:r>
      <w:r>
        <w:rPr>
          <w:sz w:val="18"/>
          <w:szCs w:val="18"/>
        </w:rPr>
        <w:t>/</w:t>
      </w:r>
      <w:r w:rsidRPr="00515D76">
        <w:rPr>
          <w:sz w:val="18"/>
          <w:szCs w:val="18"/>
        </w:rPr>
        <w:t>2013</w:t>
      </w:r>
      <w:r>
        <w:rPr>
          <w:sz w:val="18"/>
          <w:szCs w:val="18"/>
        </w:rPr>
        <w:t xml:space="preserve"> al Parlamentului European și al Consiliului din </w:t>
      </w:r>
      <w:r w:rsidRPr="00515D76">
        <w:rPr>
          <w:sz w:val="18"/>
          <w:szCs w:val="18"/>
        </w:rPr>
        <w:t>17</w:t>
      </w:r>
      <w:r>
        <w:rPr>
          <w:sz w:val="18"/>
          <w:szCs w:val="18"/>
        </w:rPr>
        <w:t xml:space="preserve"> aprilie </w:t>
      </w:r>
      <w:r w:rsidRPr="00515D76">
        <w:rPr>
          <w:sz w:val="18"/>
          <w:szCs w:val="18"/>
        </w:rPr>
        <w:t>2013</w:t>
      </w:r>
      <w:r>
        <w:rPr>
          <w:sz w:val="18"/>
          <w:szCs w:val="18"/>
        </w:rPr>
        <w:t xml:space="preserve"> privind liniile directoare pentru infrastructurile energetice transeuropene, de abrogare a Deciziei nr. </w:t>
      </w:r>
      <w:r w:rsidRPr="00515D76">
        <w:rPr>
          <w:sz w:val="18"/>
          <w:szCs w:val="18"/>
        </w:rPr>
        <w:t>1364</w:t>
      </w:r>
      <w:r>
        <w:rPr>
          <w:sz w:val="18"/>
          <w:szCs w:val="18"/>
        </w:rPr>
        <w:t>/</w:t>
      </w:r>
      <w:r w:rsidRPr="00515D76">
        <w:rPr>
          <w:sz w:val="18"/>
          <w:szCs w:val="18"/>
        </w:rPr>
        <w:t>2006</w:t>
      </w:r>
      <w:r>
        <w:rPr>
          <w:sz w:val="18"/>
          <w:szCs w:val="18"/>
        </w:rPr>
        <w:t xml:space="preserve">/CE și de modificare a Regulamentelor (CE) nr. </w:t>
      </w:r>
      <w:r w:rsidRPr="00515D76">
        <w:rPr>
          <w:sz w:val="18"/>
          <w:szCs w:val="18"/>
        </w:rPr>
        <w:t>713</w:t>
      </w:r>
      <w:r>
        <w:rPr>
          <w:sz w:val="18"/>
          <w:szCs w:val="18"/>
        </w:rPr>
        <w:t>/</w:t>
      </w:r>
      <w:r w:rsidRPr="00515D76">
        <w:rPr>
          <w:sz w:val="18"/>
          <w:szCs w:val="18"/>
        </w:rPr>
        <w:t>2009</w:t>
      </w:r>
      <w:r>
        <w:rPr>
          <w:sz w:val="18"/>
          <w:szCs w:val="18"/>
        </w:rPr>
        <w:t xml:space="preserve">, (CE) nr. </w:t>
      </w:r>
      <w:r w:rsidRPr="00515D76">
        <w:rPr>
          <w:sz w:val="18"/>
          <w:szCs w:val="18"/>
        </w:rPr>
        <w:t>714</w:t>
      </w:r>
      <w:r>
        <w:rPr>
          <w:sz w:val="18"/>
          <w:szCs w:val="18"/>
        </w:rPr>
        <w:t>/</w:t>
      </w:r>
      <w:r w:rsidRPr="00515D76">
        <w:rPr>
          <w:sz w:val="18"/>
          <w:szCs w:val="18"/>
        </w:rPr>
        <w:t>2009</w:t>
      </w:r>
      <w:r>
        <w:rPr>
          <w:sz w:val="18"/>
          <w:szCs w:val="18"/>
        </w:rPr>
        <w:t xml:space="preserve"> și (CE) nr. </w:t>
      </w:r>
      <w:r w:rsidRPr="00515D76">
        <w:rPr>
          <w:sz w:val="18"/>
          <w:szCs w:val="18"/>
        </w:rPr>
        <w:t>715</w:t>
      </w:r>
      <w:r>
        <w:rPr>
          <w:sz w:val="18"/>
          <w:szCs w:val="18"/>
        </w:rPr>
        <w:t>/</w:t>
      </w:r>
      <w:r w:rsidRPr="00515D76">
        <w:rPr>
          <w:sz w:val="18"/>
          <w:szCs w:val="18"/>
        </w:rPr>
        <w:t>2009</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88" w:rsidRPr="00EE5D88" w:rsidRDefault="00EE5D88" w:rsidP="00EE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88" w:rsidRPr="00EE5D88" w:rsidRDefault="00EE5D88" w:rsidP="00EE5D8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88" w:rsidRPr="00EE5D88" w:rsidRDefault="00EE5D88" w:rsidP="00EE5D8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9A" w:rsidRDefault="00E542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9A" w:rsidRDefault="00E542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9A" w:rsidRDefault="00E5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364E"/>
    <w:multiLevelType w:val="multilevel"/>
    <w:tmpl w:val="1D96723E"/>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1" w15:restartNumberingAfterBreak="0">
    <w:nsid w:val="04462A2F"/>
    <w:multiLevelType w:val="hybridMultilevel"/>
    <w:tmpl w:val="D72ADDC8"/>
    <w:lvl w:ilvl="0" w:tplc="294E104E">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2DC3D16"/>
    <w:multiLevelType w:val="hybridMultilevel"/>
    <w:tmpl w:val="53B016C2"/>
    <w:lvl w:ilvl="0" w:tplc="1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BC6AB5"/>
    <w:multiLevelType w:val="multilevel"/>
    <w:tmpl w:val="F0CC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597565"/>
    <w:multiLevelType w:val="multilevel"/>
    <w:tmpl w:val="EC004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F7196"/>
    <w:multiLevelType w:val="multilevel"/>
    <w:tmpl w:val="CD7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7787F"/>
    <w:multiLevelType w:val="multilevel"/>
    <w:tmpl w:val="0670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D53322"/>
    <w:multiLevelType w:val="multilevel"/>
    <w:tmpl w:val="D248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A5D42"/>
    <w:multiLevelType w:val="multilevel"/>
    <w:tmpl w:val="12B64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21F4E"/>
    <w:multiLevelType w:val="multilevel"/>
    <w:tmpl w:val="5BCE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7235AB"/>
    <w:multiLevelType w:val="multilevel"/>
    <w:tmpl w:val="5F5846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DD4D3F"/>
    <w:multiLevelType w:val="multilevel"/>
    <w:tmpl w:val="430A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A2222A"/>
    <w:multiLevelType w:val="multilevel"/>
    <w:tmpl w:val="AB14C46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3B68FA"/>
    <w:multiLevelType w:val="hybridMultilevel"/>
    <w:tmpl w:val="25CC76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3CB05FBA"/>
    <w:multiLevelType w:val="multilevel"/>
    <w:tmpl w:val="590E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106E13"/>
    <w:multiLevelType w:val="multilevel"/>
    <w:tmpl w:val="203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867012"/>
    <w:multiLevelType w:val="multilevel"/>
    <w:tmpl w:val="4A46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327C74"/>
    <w:multiLevelType w:val="multilevel"/>
    <w:tmpl w:val="744E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11214B"/>
    <w:multiLevelType w:val="multilevel"/>
    <w:tmpl w:val="F062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C34847"/>
    <w:multiLevelType w:val="multilevel"/>
    <w:tmpl w:val="17C435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563B51"/>
    <w:multiLevelType w:val="multilevel"/>
    <w:tmpl w:val="95B4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0222F"/>
    <w:multiLevelType w:val="multilevel"/>
    <w:tmpl w:val="36D63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320CB"/>
    <w:multiLevelType w:val="multilevel"/>
    <w:tmpl w:val="781097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C3AC8"/>
    <w:multiLevelType w:val="multilevel"/>
    <w:tmpl w:val="83AE0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033511"/>
    <w:multiLevelType w:val="multilevel"/>
    <w:tmpl w:val="286863BC"/>
    <w:lvl w:ilvl="0">
      <w:start w:val="1"/>
      <w:numFmt w:val="upperRoman"/>
      <w:lvlText w:val="%1."/>
      <w:lvlJc w:val="righ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2047D4D"/>
    <w:multiLevelType w:val="multilevel"/>
    <w:tmpl w:val="81D4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525BA7"/>
    <w:multiLevelType w:val="multilevel"/>
    <w:tmpl w:val="CF4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C764B"/>
    <w:multiLevelType w:val="multilevel"/>
    <w:tmpl w:val="C0A6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6F0D29"/>
    <w:multiLevelType w:val="multilevel"/>
    <w:tmpl w:val="058A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905175"/>
    <w:multiLevelType w:val="multilevel"/>
    <w:tmpl w:val="95A6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DB710C"/>
    <w:multiLevelType w:val="multilevel"/>
    <w:tmpl w:val="55864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A25280"/>
    <w:multiLevelType w:val="multilevel"/>
    <w:tmpl w:val="5A54E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99328F"/>
    <w:multiLevelType w:val="multilevel"/>
    <w:tmpl w:val="C40E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24"/>
  </w:num>
  <w:num w:numId="5">
    <w:abstractNumId w:val="12"/>
  </w:num>
  <w:num w:numId="6">
    <w:abstractNumId w:val="7"/>
  </w:num>
  <w:num w:numId="7">
    <w:abstractNumId w:val="18"/>
  </w:num>
  <w:num w:numId="8">
    <w:abstractNumId w:val="14"/>
  </w:num>
  <w:num w:numId="9">
    <w:abstractNumId w:val="17"/>
  </w:num>
  <w:num w:numId="10">
    <w:abstractNumId w:val="0"/>
  </w:num>
  <w:num w:numId="11">
    <w:abstractNumId w:val="23"/>
  </w:num>
  <w:num w:numId="12">
    <w:abstractNumId w:val="11"/>
  </w:num>
  <w:num w:numId="13">
    <w:abstractNumId w:val="5"/>
  </w:num>
  <w:num w:numId="14">
    <w:abstractNumId w:val="32"/>
  </w:num>
  <w:num w:numId="15">
    <w:abstractNumId w:val="19"/>
  </w:num>
  <w:num w:numId="16">
    <w:abstractNumId w:val="25"/>
  </w:num>
  <w:num w:numId="17">
    <w:abstractNumId w:val="27"/>
  </w:num>
  <w:num w:numId="18">
    <w:abstractNumId w:val="31"/>
  </w:num>
  <w:num w:numId="19">
    <w:abstractNumId w:val="30"/>
  </w:num>
  <w:num w:numId="20">
    <w:abstractNumId w:val="6"/>
  </w:num>
  <w:num w:numId="21">
    <w:abstractNumId w:val="8"/>
  </w:num>
  <w:num w:numId="22">
    <w:abstractNumId w:val="28"/>
  </w:num>
  <w:num w:numId="23">
    <w:abstractNumId w:val="22"/>
  </w:num>
  <w:num w:numId="24">
    <w:abstractNumId w:val="21"/>
  </w:num>
  <w:num w:numId="25">
    <w:abstractNumId w:val="3"/>
  </w:num>
  <w:num w:numId="26">
    <w:abstractNumId w:val="9"/>
  </w:num>
  <w:num w:numId="27">
    <w:abstractNumId w:val="26"/>
  </w:num>
  <w:num w:numId="28">
    <w:abstractNumId w:val="4"/>
  </w:num>
  <w:num w:numId="29">
    <w:abstractNumId w:val="16"/>
  </w:num>
  <w:num w:numId="30">
    <w:abstractNumId w:val="15"/>
  </w:num>
  <w:num w:numId="31">
    <w:abstractNumId w:val="29"/>
  </w:num>
  <w:num w:numId="32">
    <w:abstractNumId w:val="20"/>
  </w:num>
  <w:num w:numId="33">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de-DE" w:vendorID="64" w:dllVersion="131078" w:nlCheck="1" w:checkStyle="0"/>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6164EDC-64EA-4F11-9240-06D41D6AD480"/>
    <w:docVar w:name="LW_COVERPAGE_TYPE" w:val="1"/>
    <w:docVar w:name="LW_CROSSREFERENCE" w:val="&lt;UNUSED&gt;"/>
    <w:docVar w:name="LW_DocType" w:val="NORMAL"/>
    <w:docVar w:name="LW_EMISSION" w:val="8.3.2022"/>
    <w:docVar w:name="LW_EMISSION_ISODATE" w:val="2022-03-08"/>
    <w:docVar w:name="LW_EMISSION_LOCATION" w:val="STR"/>
    <w:docVar w:name="LW_EMISSION_PREFIX" w:val="Strasbourg, "/>
    <w:docVar w:name="LW_EMISSION_SUFFIX" w:val=" "/>
    <w:docVar w:name="LW_ID_DOCTYPE_NONLW" w:val="CP-009"/>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2) 1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EPowerEU: acțiuni europene comune pentru o energie mai accesibilă ca preț, sigură și durabilă&lt;/FMT&gt;_x000d__x000b__x000d__x000d__x000d__x000d__x000b_"/>
    <w:docVar w:name="LW_TYPE.DOC.CP" w:val="COMUNICARE A COMISIEI"/>
    <w:docVar w:name="LW_TYPE.DOC.CP.USERTEXT" w:val="C\u258?TRE PARLAMENTUL EUROPEAN, CONSILIUL EUROPEAN, CONSILIU, COMITETUL ECONOMIC \u536?I SOCIAL EUROPEAN \u536?I COMITETUL REGIUNILOR"/>
    <w:docVar w:name="LwApiVersions" w:val="LW4CoDe 1.23.2.0; LW 8.0, Build 20211117"/>
  </w:docVars>
  <w:rsids>
    <w:rsidRoot w:val="00B91B99"/>
    <w:rsid w:val="0000246E"/>
    <w:rsid w:val="000033B4"/>
    <w:rsid w:val="00003A2F"/>
    <w:rsid w:val="00003EEE"/>
    <w:rsid w:val="000043E3"/>
    <w:rsid w:val="00004526"/>
    <w:rsid w:val="000056BB"/>
    <w:rsid w:val="0000623E"/>
    <w:rsid w:val="000070DB"/>
    <w:rsid w:val="00007183"/>
    <w:rsid w:val="00007EA3"/>
    <w:rsid w:val="00010EEA"/>
    <w:rsid w:val="0001208C"/>
    <w:rsid w:val="00012DEF"/>
    <w:rsid w:val="00013748"/>
    <w:rsid w:val="00013896"/>
    <w:rsid w:val="000143D6"/>
    <w:rsid w:val="0001463B"/>
    <w:rsid w:val="00014CAF"/>
    <w:rsid w:val="00014DF7"/>
    <w:rsid w:val="00014FFB"/>
    <w:rsid w:val="00015D52"/>
    <w:rsid w:val="00015E9A"/>
    <w:rsid w:val="00016AF8"/>
    <w:rsid w:val="00016C70"/>
    <w:rsid w:val="000213F0"/>
    <w:rsid w:val="000217C6"/>
    <w:rsid w:val="00021F99"/>
    <w:rsid w:val="00022109"/>
    <w:rsid w:val="00022E04"/>
    <w:rsid w:val="0002356C"/>
    <w:rsid w:val="000257E5"/>
    <w:rsid w:val="0002677B"/>
    <w:rsid w:val="000267C8"/>
    <w:rsid w:val="000306CF"/>
    <w:rsid w:val="00031075"/>
    <w:rsid w:val="000315D1"/>
    <w:rsid w:val="000317AD"/>
    <w:rsid w:val="00032956"/>
    <w:rsid w:val="00033675"/>
    <w:rsid w:val="00033D7D"/>
    <w:rsid w:val="00033E6B"/>
    <w:rsid w:val="00034EBA"/>
    <w:rsid w:val="00035171"/>
    <w:rsid w:val="0003553A"/>
    <w:rsid w:val="00035FD1"/>
    <w:rsid w:val="00036255"/>
    <w:rsid w:val="0003799C"/>
    <w:rsid w:val="00037D58"/>
    <w:rsid w:val="000404C7"/>
    <w:rsid w:val="000427ED"/>
    <w:rsid w:val="00044293"/>
    <w:rsid w:val="0004471D"/>
    <w:rsid w:val="00045D6A"/>
    <w:rsid w:val="000461A6"/>
    <w:rsid w:val="00046557"/>
    <w:rsid w:val="000501C3"/>
    <w:rsid w:val="000505C4"/>
    <w:rsid w:val="000512B4"/>
    <w:rsid w:val="00051C93"/>
    <w:rsid w:val="00051CB0"/>
    <w:rsid w:val="0005301F"/>
    <w:rsid w:val="00053185"/>
    <w:rsid w:val="00053408"/>
    <w:rsid w:val="00053458"/>
    <w:rsid w:val="00054859"/>
    <w:rsid w:val="00054D7D"/>
    <w:rsid w:val="00057019"/>
    <w:rsid w:val="00057028"/>
    <w:rsid w:val="00060D9E"/>
    <w:rsid w:val="00060E6E"/>
    <w:rsid w:val="00061E2D"/>
    <w:rsid w:val="00062675"/>
    <w:rsid w:val="00062744"/>
    <w:rsid w:val="00062C19"/>
    <w:rsid w:val="00062CE7"/>
    <w:rsid w:val="00063E8D"/>
    <w:rsid w:val="00064373"/>
    <w:rsid w:val="00064B00"/>
    <w:rsid w:val="000655E9"/>
    <w:rsid w:val="00070B55"/>
    <w:rsid w:val="00070DC8"/>
    <w:rsid w:val="00070E7E"/>
    <w:rsid w:val="00072794"/>
    <w:rsid w:val="000729AD"/>
    <w:rsid w:val="00073493"/>
    <w:rsid w:val="0007380B"/>
    <w:rsid w:val="0007409D"/>
    <w:rsid w:val="00074A59"/>
    <w:rsid w:val="00076BAB"/>
    <w:rsid w:val="00076CB9"/>
    <w:rsid w:val="00077111"/>
    <w:rsid w:val="00077913"/>
    <w:rsid w:val="0008068B"/>
    <w:rsid w:val="000809F7"/>
    <w:rsid w:val="00080AFE"/>
    <w:rsid w:val="00081AC0"/>
    <w:rsid w:val="00081B78"/>
    <w:rsid w:val="000823C6"/>
    <w:rsid w:val="000833EF"/>
    <w:rsid w:val="00083A7F"/>
    <w:rsid w:val="00083ACF"/>
    <w:rsid w:val="0008469F"/>
    <w:rsid w:val="00085625"/>
    <w:rsid w:val="00086679"/>
    <w:rsid w:val="00086E19"/>
    <w:rsid w:val="00087227"/>
    <w:rsid w:val="000879BB"/>
    <w:rsid w:val="00087A17"/>
    <w:rsid w:val="00087EDB"/>
    <w:rsid w:val="00090209"/>
    <w:rsid w:val="00090E62"/>
    <w:rsid w:val="00091354"/>
    <w:rsid w:val="00091702"/>
    <w:rsid w:val="00091899"/>
    <w:rsid w:val="00091EA6"/>
    <w:rsid w:val="000921BA"/>
    <w:rsid w:val="00092692"/>
    <w:rsid w:val="00092F85"/>
    <w:rsid w:val="000940F4"/>
    <w:rsid w:val="0009451F"/>
    <w:rsid w:val="000947F7"/>
    <w:rsid w:val="00095FD6"/>
    <w:rsid w:val="00096599"/>
    <w:rsid w:val="00097526"/>
    <w:rsid w:val="000A02CC"/>
    <w:rsid w:val="000A0A9B"/>
    <w:rsid w:val="000A0BEB"/>
    <w:rsid w:val="000A1FEA"/>
    <w:rsid w:val="000A2250"/>
    <w:rsid w:val="000A24F0"/>
    <w:rsid w:val="000A33E8"/>
    <w:rsid w:val="000A48BF"/>
    <w:rsid w:val="000A4FCB"/>
    <w:rsid w:val="000A5A6F"/>
    <w:rsid w:val="000A6010"/>
    <w:rsid w:val="000A7AE2"/>
    <w:rsid w:val="000B114C"/>
    <w:rsid w:val="000B11C1"/>
    <w:rsid w:val="000B1447"/>
    <w:rsid w:val="000B167E"/>
    <w:rsid w:val="000B2C18"/>
    <w:rsid w:val="000B3101"/>
    <w:rsid w:val="000B489F"/>
    <w:rsid w:val="000B5459"/>
    <w:rsid w:val="000B6320"/>
    <w:rsid w:val="000B6A6D"/>
    <w:rsid w:val="000B7384"/>
    <w:rsid w:val="000B7C28"/>
    <w:rsid w:val="000B7E63"/>
    <w:rsid w:val="000C1119"/>
    <w:rsid w:val="000C2B1E"/>
    <w:rsid w:val="000C2BB0"/>
    <w:rsid w:val="000C3F2D"/>
    <w:rsid w:val="000C442C"/>
    <w:rsid w:val="000C5BCE"/>
    <w:rsid w:val="000C7841"/>
    <w:rsid w:val="000D0E41"/>
    <w:rsid w:val="000D1085"/>
    <w:rsid w:val="000D115E"/>
    <w:rsid w:val="000D1AC6"/>
    <w:rsid w:val="000D2146"/>
    <w:rsid w:val="000D2392"/>
    <w:rsid w:val="000D28AD"/>
    <w:rsid w:val="000D305D"/>
    <w:rsid w:val="000D4734"/>
    <w:rsid w:val="000D493C"/>
    <w:rsid w:val="000D4B6A"/>
    <w:rsid w:val="000D6364"/>
    <w:rsid w:val="000D63C2"/>
    <w:rsid w:val="000D644C"/>
    <w:rsid w:val="000D6F8E"/>
    <w:rsid w:val="000E00B2"/>
    <w:rsid w:val="000E029E"/>
    <w:rsid w:val="000E2CDB"/>
    <w:rsid w:val="000E3BC0"/>
    <w:rsid w:val="000E3C9A"/>
    <w:rsid w:val="000E3DEA"/>
    <w:rsid w:val="000E3E43"/>
    <w:rsid w:val="000E54DF"/>
    <w:rsid w:val="000E6ACB"/>
    <w:rsid w:val="000E6E19"/>
    <w:rsid w:val="000E7456"/>
    <w:rsid w:val="000E7E35"/>
    <w:rsid w:val="000F10AE"/>
    <w:rsid w:val="000F1899"/>
    <w:rsid w:val="000F219D"/>
    <w:rsid w:val="000F2709"/>
    <w:rsid w:val="000F4980"/>
    <w:rsid w:val="000F542D"/>
    <w:rsid w:val="000F5725"/>
    <w:rsid w:val="000F630D"/>
    <w:rsid w:val="000F697C"/>
    <w:rsid w:val="000F6B00"/>
    <w:rsid w:val="00101BE1"/>
    <w:rsid w:val="00102736"/>
    <w:rsid w:val="001029D4"/>
    <w:rsid w:val="00102C6A"/>
    <w:rsid w:val="00102DBE"/>
    <w:rsid w:val="00103015"/>
    <w:rsid w:val="0010342B"/>
    <w:rsid w:val="0010363A"/>
    <w:rsid w:val="00103A11"/>
    <w:rsid w:val="00103BEC"/>
    <w:rsid w:val="00104402"/>
    <w:rsid w:val="00104743"/>
    <w:rsid w:val="00104E1C"/>
    <w:rsid w:val="00105298"/>
    <w:rsid w:val="00105BC0"/>
    <w:rsid w:val="00105CAD"/>
    <w:rsid w:val="00105FF8"/>
    <w:rsid w:val="0010626F"/>
    <w:rsid w:val="001064EA"/>
    <w:rsid w:val="00106989"/>
    <w:rsid w:val="00106A08"/>
    <w:rsid w:val="001122F2"/>
    <w:rsid w:val="001130F6"/>
    <w:rsid w:val="001131A0"/>
    <w:rsid w:val="00113899"/>
    <w:rsid w:val="00113FE0"/>
    <w:rsid w:val="0011404F"/>
    <w:rsid w:val="001141BF"/>
    <w:rsid w:val="00114303"/>
    <w:rsid w:val="00114A45"/>
    <w:rsid w:val="00114B1D"/>
    <w:rsid w:val="00114CA9"/>
    <w:rsid w:val="00115D03"/>
    <w:rsid w:val="0011619C"/>
    <w:rsid w:val="00116715"/>
    <w:rsid w:val="001172DB"/>
    <w:rsid w:val="00117C0E"/>
    <w:rsid w:val="0012021A"/>
    <w:rsid w:val="0012025B"/>
    <w:rsid w:val="0012069A"/>
    <w:rsid w:val="00121528"/>
    <w:rsid w:val="00121AD3"/>
    <w:rsid w:val="00121D38"/>
    <w:rsid w:val="001226BF"/>
    <w:rsid w:val="00124097"/>
    <w:rsid w:val="00124389"/>
    <w:rsid w:val="00124ADF"/>
    <w:rsid w:val="00125C58"/>
    <w:rsid w:val="00126F02"/>
    <w:rsid w:val="00127D24"/>
    <w:rsid w:val="00132333"/>
    <w:rsid w:val="001343A9"/>
    <w:rsid w:val="00134E84"/>
    <w:rsid w:val="00135459"/>
    <w:rsid w:val="00135809"/>
    <w:rsid w:val="00135909"/>
    <w:rsid w:val="00136A61"/>
    <w:rsid w:val="0013742A"/>
    <w:rsid w:val="00140208"/>
    <w:rsid w:val="0014197C"/>
    <w:rsid w:val="001434FB"/>
    <w:rsid w:val="001436C8"/>
    <w:rsid w:val="0014524B"/>
    <w:rsid w:val="0014607B"/>
    <w:rsid w:val="00146AD3"/>
    <w:rsid w:val="0014728F"/>
    <w:rsid w:val="001476CE"/>
    <w:rsid w:val="00147FBF"/>
    <w:rsid w:val="001511A1"/>
    <w:rsid w:val="0015165A"/>
    <w:rsid w:val="0015330B"/>
    <w:rsid w:val="00154C5D"/>
    <w:rsid w:val="00154D6C"/>
    <w:rsid w:val="001550C2"/>
    <w:rsid w:val="001553A5"/>
    <w:rsid w:val="00156228"/>
    <w:rsid w:val="001568A5"/>
    <w:rsid w:val="00160AED"/>
    <w:rsid w:val="0016197E"/>
    <w:rsid w:val="001631FC"/>
    <w:rsid w:val="00163A61"/>
    <w:rsid w:val="00163FE0"/>
    <w:rsid w:val="00164148"/>
    <w:rsid w:val="00165C8D"/>
    <w:rsid w:val="00165E6A"/>
    <w:rsid w:val="00166051"/>
    <w:rsid w:val="00166490"/>
    <w:rsid w:val="00166AC0"/>
    <w:rsid w:val="00167226"/>
    <w:rsid w:val="00167461"/>
    <w:rsid w:val="001674CB"/>
    <w:rsid w:val="001679B6"/>
    <w:rsid w:val="00167B87"/>
    <w:rsid w:val="001713C0"/>
    <w:rsid w:val="0017209E"/>
    <w:rsid w:val="00172B43"/>
    <w:rsid w:val="00174030"/>
    <w:rsid w:val="00174033"/>
    <w:rsid w:val="00175C4F"/>
    <w:rsid w:val="00175F06"/>
    <w:rsid w:val="00176313"/>
    <w:rsid w:val="00176F44"/>
    <w:rsid w:val="00177F0E"/>
    <w:rsid w:val="0018044B"/>
    <w:rsid w:val="00180877"/>
    <w:rsid w:val="001808D3"/>
    <w:rsid w:val="001813BA"/>
    <w:rsid w:val="00182EB7"/>
    <w:rsid w:val="00184FAC"/>
    <w:rsid w:val="0018686D"/>
    <w:rsid w:val="001932FC"/>
    <w:rsid w:val="00195BD8"/>
    <w:rsid w:val="00197565"/>
    <w:rsid w:val="00197F1E"/>
    <w:rsid w:val="001A1D96"/>
    <w:rsid w:val="001A2BE5"/>
    <w:rsid w:val="001A3E0A"/>
    <w:rsid w:val="001A4424"/>
    <w:rsid w:val="001A4BC4"/>
    <w:rsid w:val="001A5C6D"/>
    <w:rsid w:val="001A5E86"/>
    <w:rsid w:val="001A6209"/>
    <w:rsid w:val="001A6FC9"/>
    <w:rsid w:val="001A7278"/>
    <w:rsid w:val="001B05D7"/>
    <w:rsid w:val="001B05DD"/>
    <w:rsid w:val="001B1001"/>
    <w:rsid w:val="001B182F"/>
    <w:rsid w:val="001B198C"/>
    <w:rsid w:val="001B43CB"/>
    <w:rsid w:val="001B4659"/>
    <w:rsid w:val="001B4FA3"/>
    <w:rsid w:val="001B4FA5"/>
    <w:rsid w:val="001B51EF"/>
    <w:rsid w:val="001B5226"/>
    <w:rsid w:val="001B5801"/>
    <w:rsid w:val="001B59F3"/>
    <w:rsid w:val="001B5BF0"/>
    <w:rsid w:val="001B62AE"/>
    <w:rsid w:val="001B78E7"/>
    <w:rsid w:val="001C0ACB"/>
    <w:rsid w:val="001C279F"/>
    <w:rsid w:val="001C3819"/>
    <w:rsid w:val="001C4F34"/>
    <w:rsid w:val="001C510C"/>
    <w:rsid w:val="001C53FE"/>
    <w:rsid w:val="001C54CA"/>
    <w:rsid w:val="001C55CE"/>
    <w:rsid w:val="001C6392"/>
    <w:rsid w:val="001C6DCC"/>
    <w:rsid w:val="001C79C7"/>
    <w:rsid w:val="001D04DC"/>
    <w:rsid w:val="001D12E7"/>
    <w:rsid w:val="001D1A93"/>
    <w:rsid w:val="001D1BE7"/>
    <w:rsid w:val="001D201D"/>
    <w:rsid w:val="001D2F1B"/>
    <w:rsid w:val="001D4074"/>
    <w:rsid w:val="001D49CE"/>
    <w:rsid w:val="001D5637"/>
    <w:rsid w:val="001D5BE7"/>
    <w:rsid w:val="001D65DA"/>
    <w:rsid w:val="001D6F25"/>
    <w:rsid w:val="001D7B40"/>
    <w:rsid w:val="001E1C4B"/>
    <w:rsid w:val="001E1CF4"/>
    <w:rsid w:val="001E1E4A"/>
    <w:rsid w:val="001E231C"/>
    <w:rsid w:val="001E2D2F"/>
    <w:rsid w:val="001E2F08"/>
    <w:rsid w:val="001E38DF"/>
    <w:rsid w:val="001E38F2"/>
    <w:rsid w:val="001E47F7"/>
    <w:rsid w:val="001E4F02"/>
    <w:rsid w:val="001E52A0"/>
    <w:rsid w:val="001E5E08"/>
    <w:rsid w:val="001E6721"/>
    <w:rsid w:val="001E6FD5"/>
    <w:rsid w:val="001E7F3E"/>
    <w:rsid w:val="001F1763"/>
    <w:rsid w:val="001F2F4A"/>
    <w:rsid w:val="001F4360"/>
    <w:rsid w:val="001F49CA"/>
    <w:rsid w:val="001F4D27"/>
    <w:rsid w:val="001F53B4"/>
    <w:rsid w:val="001F5965"/>
    <w:rsid w:val="001F6550"/>
    <w:rsid w:val="00200D66"/>
    <w:rsid w:val="00201C21"/>
    <w:rsid w:val="00202831"/>
    <w:rsid w:val="00203015"/>
    <w:rsid w:val="00203E55"/>
    <w:rsid w:val="00204136"/>
    <w:rsid w:val="002050A1"/>
    <w:rsid w:val="002052C5"/>
    <w:rsid w:val="002052F6"/>
    <w:rsid w:val="002066FF"/>
    <w:rsid w:val="002101C2"/>
    <w:rsid w:val="002121F5"/>
    <w:rsid w:val="00212AD5"/>
    <w:rsid w:val="00212E76"/>
    <w:rsid w:val="00213B9E"/>
    <w:rsid w:val="00213C58"/>
    <w:rsid w:val="00213CA2"/>
    <w:rsid w:val="00214C24"/>
    <w:rsid w:val="00215D6F"/>
    <w:rsid w:val="00216AFB"/>
    <w:rsid w:val="00216DAD"/>
    <w:rsid w:val="00217193"/>
    <w:rsid w:val="00217F83"/>
    <w:rsid w:val="00221A0A"/>
    <w:rsid w:val="00221C44"/>
    <w:rsid w:val="002233D6"/>
    <w:rsid w:val="0022655B"/>
    <w:rsid w:val="00226808"/>
    <w:rsid w:val="00226DC2"/>
    <w:rsid w:val="00226ED7"/>
    <w:rsid w:val="00230D19"/>
    <w:rsid w:val="00230DC7"/>
    <w:rsid w:val="00231247"/>
    <w:rsid w:val="00231D25"/>
    <w:rsid w:val="002328ED"/>
    <w:rsid w:val="00233042"/>
    <w:rsid w:val="002338CC"/>
    <w:rsid w:val="0023395B"/>
    <w:rsid w:val="00234406"/>
    <w:rsid w:val="00235615"/>
    <w:rsid w:val="002407C3"/>
    <w:rsid w:val="00240D39"/>
    <w:rsid w:val="00241CA3"/>
    <w:rsid w:val="002445DB"/>
    <w:rsid w:val="00244BF6"/>
    <w:rsid w:val="00244E0E"/>
    <w:rsid w:val="00245384"/>
    <w:rsid w:val="00246339"/>
    <w:rsid w:val="00247C51"/>
    <w:rsid w:val="00252930"/>
    <w:rsid w:val="00253F2D"/>
    <w:rsid w:val="00253F3C"/>
    <w:rsid w:val="0025428C"/>
    <w:rsid w:val="002542B8"/>
    <w:rsid w:val="00254809"/>
    <w:rsid w:val="00254C41"/>
    <w:rsid w:val="002560EA"/>
    <w:rsid w:val="002563A0"/>
    <w:rsid w:val="0026065B"/>
    <w:rsid w:val="00260730"/>
    <w:rsid w:val="00260C42"/>
    <w:rsid w:val="00261311"/>
    <w:rsid w:val="0026138C"/>
    <w:rsid w:val="002619E2"/>
    <w:rsid w:val="00261D31"/>
    <w:rsid w:val="00262830"/>
    <w:rsid w:val="0026286B"/>
    <w:rsid w:val="002633DB"/>
    <w:rsid w:val="00264136"/>
    <w:rsid w:val="00265E76"/>
    <w:rsid w:val="00267EB4"/>
    <w:rsid w:val="00270105"/>
    <w:rsid w:val="00271AA3"/>
    <w:rsid w:val="002720BA"/>
    <w:rsid w:val="00274B64"/>
    <w:rsid w:val="00275545"/>
    <w:rsid w:val="00276296"/>
    <w:rsid w:val="00276307"/>
    <w:rsid w:val="00276673"/>
    <w:rsid w:val="00276D67"/>
    <w:rsid w:val="00276F80"/>
    <w:rsid w:val="0027798C"/>
    <w:rsid w:val="00277FED"/>
    <w:rsid w:val="00281CE8"/>
    <w:rsid w:val="00282E54"/>
    <w:rsid w:val="00285C68"/>
    <w:rsid w:val="00290BB7"/>
    <w:rsid w:val="00291214"/>
    <w:rsid w:val="0029288D"/>
    <w:rsid w:val="0029302D"/>
    <w:rsid w:val="00293EAC"/>
    <w:rsid w:val="002952E6"/>
    <w:rsid w:val="00295966"/>
    <w:rsid w:val="002967D3"/>
    <w:rsid w:val="00297C87"/>
    <w:rsid w:val="002A0193"/>
    <w:rsid w:val="002A0244"/>
    <w:rsid w:val="002A1C8C"/>
    <w:rsid w:val="002A200C"/>
    <w:rsid w:val="002A23ED"/>
    <w:rsid w:val="002A29CE"/>
    <w:rsid w:val="002A2EDA"/>
    <w:rsid w:val="002A3C0A"/>
    <w:rsid w:val="002A401C"/>
    <w:rsid w:val="002A47FE"/>
    <w:rsid w:val="002A4EC3"/>
    <w:rsid w:val="002A4FFC"/>
    <w:rsid w:val="002A5392"/>
    <w:rsid w:val="002A547B"/>
    <w:rsid w:val="002A620E"/>
    <w:rsid w:val="002A6A73"/>
    <w:rsid w:val="002A7383"/>
    <w:rsid w:val="002B23B7"/>
    <w:rsid w:val="002B35AC"/>
    <w:rsid w:val="002B36BB"/>
    <w:rsid w:val="002B3852"/>
    <w:rsid w:val="002B4FC0"/>
    <w:rsid w:val="002B58AC"/>
    <w:rsid w:val="002B5957"/>
    <w:rsid w:val="002B5DDB"/>
    <w:rsid w:val="002B7368"/>
    <w:rsid w:val="002B75AF"/>
    <w:rsid w:val="002C0773"/>
    <w:rsid w:val="002C16DF"/>
    <w:rsid w:val="002C4379"/>
    <w:rsid w:val="002C5C24"/>
    <w:rsid w:val="002C6C75"/>
    <w:rsid w:val="002C6DF2"/>
    <w:rsid w:val="002C7067"/>
    <w:rsid w:val="002D0A75"/>
    <w:rsid w:val="002D12F9"/>
    <w:rsid w:val="002D2618"/>
    <w:rsid w:val="002D4A36"/>
    <w:rsid w:val="002D4D8E"/>
    <w:rsid w:val="002D7323"/>
    <w:rsid w:val="002E1B80"/>
    <w:rsid w:val="002E3D97"/>
    <w:rsid w:val="002E4013"/>
    <w:rsid w:val="002E4512"/>
    <w:rsid w:val="002E467E"/>
    <w:rsid w:val="002E48A5"/>
    <w:rsid w:val="002E52C9"/>
    <w:rsid w:val="002E5521"/>
    <w:rsid w:val="002E5B51"/>
    <w:rsid w:val="002E6099"/>
    <w:rsid w:val="002E7A70"/>
    <w:rsid w:val="002E7E04"/>
    <w:rsid w:val="002F0422"/>
    <w:rsid w:val="002F0FB7"/>
    <w:rsid w:val="002F1B9B"/>
    <w:rsid w:val="002F2AEF"/>
    <w:rsid w:val="002F2ED4"/>
    <w:rsid w:val="002F32DB"/>
    <w:rsid w:val="002F3BC7"/>
    <w:rsid w:val="002F3F08"/>
    <w:rsid w:val="002F4B5F"/>
    <w:rsid w:val="002F568E"/>
    <w:rsid w:val="002F5D76"/>
    <w:rsid w:val="002F623D"/>
    <w:rsid w:val="002F750E"/>
    <w:rsid w:val="002F7E85"/>
    <w:rsid w:val="00302717"/>
    <w:rsid w:val="00303789"/>
    <w:rsid w:val="0030395E"/>
    <w:rsid w:val="00303B86"/>
    <w:rsid w:val="0030409B"/>
    <w:rsid w:val="003047F0"/>
    <w:rsid w:val="00304A25"/>
    <w:rsid w:val="0030596C"/>
    <w:rsid w:val="00305ED8"/>
    <w:rsid w:val="0030672D"/>
    <w:rsid w:val="003067E1"/>
    <w:rsid w:val="003067E6"/>
    <w:rsid w:val="00310155"/>
    <w:rsid w:val="00310CD0"/>
    <w:rsid w:val="00310CFF"/>
    <w:rsid w:val="00311912"/>
    <w:rsid w:val="00312CD9"/>
    <w:rsid w:val="00313638"/>
    <w:rsid w:val="0031404C"/>
    <w:rsid w:val="00314D76"/>
    <w:rsid w:val="00315842"/>
    <w:rsid w:val="00316587"/>
    <w:rsid w:val="00316692"/>
    <w:rsid w:val="003176C6"/>
    <w:rsid w:val="003214E4"/>
    <w:rsid w:val="00321E11"/>
    <w:rsid w:val="0032268C"/>
    <w:rsid w:val="003237D0"/>
    <w:rsid w:val="00323EA1"/>
    <w:rsid w:val="00324618"/>
    <w:rsid w:val="00324DA7"/>
    <w:rsid w:val="00325551"/>
    <w:rsid w:val="0032689F"/>
    <w:rsid w:val="00327E89"/>
    <w:rsid w:val="003302F6"/>
    <w:rsid w:val="00333467"/>
    <w:rsid w:val="00333AF7"/>
    <w:rsid w:val="00334191"/>
    <w:rsid w:val="0033478F"/>
    <w:rsid w:val="00336293"/>
    <w:rsid w:val="003362C6"/>
    <w:rsid w:val="00337B85"/>
    <w:rsid w:val="003425CE"/>
    <w:rsid w:val="00342A59"/>
    <w:rsid w:val="00342ACC"/>
    <w:rsid w:val="00342ACF"/>
    <w:rsid w:val="00343AEB"/>
    <w:rsid w:val="00344717"/>
    <w:rsid w:val="00344B53"/>
    <w:rsid w:val="00344D1C"/>
    <w:rsid w:val="00344E97"/>
    <w:rsid w:val="00345272"/>
    <w:rsid w:val="003452E2"/>
    <w:rsid w:val="0034608E"/>
    <w:rsid w:val="003461C1"/>
    <w:rsid w:val="0034646D"/>
    <w:rsid w:val="00346B9E"/>
    <w:rsid w:val="003472EF"/>
    <w:rsid w:val="003475E4"/>
    <w:rsid w:val="00350ED9"/>
    <w:rsid w:val="00351AF0"/>
    <w:rsid w:val="00351B2C"/>
    <w:rsid w:val="00351F0B"/>
    <w:rsid w:val="00353162"/>
    <w:rsid w:val="0035316A"/>
    <w:rsid w:val="00353318"/>
    <w:rsid w:val="00353355"/>
    <w:rsid w:val="00353826"/>
    <w:rsid w:val="00353DA3"/>
    <w:rsid w:val="00355738"/>
    <w:rsid w:val="003557F8"/>
    <w:rsid w:val="00355BAC"/>
    <w:rsid w:val="00355FF8"/>
    <w:rsid w:val="00356DBF"/>
    <w:rsid w:val="00356F7F"/>
    <w:rsid w:val="00360A81"/>
    <w:rsid w:val="00360B1B"/>
    <w:rsid w:val="00361B45"/>
    <w:rsid w:val="0036211D"/>
    <w:rsid w:val="003625D9"/>
    <w:rsid w:val="003625F6"/>
    <w:rsid w:val="0036438C"/>
    <w:rsid w:val="003664C4"/>
    <w:rsid w:val="00366595"/>
    <w:rsid w:val="00366ECF"/>
    <w:rsid w:val="00367115"/>
    <w:rsid w:val="00372996"/>
    <w:rsid w:val="00374776"/>
    <w:rsid w:val="00375206"/>
    <w:rsid w:val="00375D4E"/>
    <w:rsid w:val="00376D73"/>
    <w:rsid w:val="00376FCC"/>
    <w:rsid w:val="003801B0"/>
    <w:rsid w:val="003811BB"/>
    <w:rsid w:val="00381B69"/>
    <w:rsid w:val="00381CBB"/>
    <w:rsid w:val="00381D3D"/>
    <w:rsid w:val="00381FF3"/>
    <w:rsid w:val="0038206F"/>
    <w:rsid w:val="0038219C"/>
    <w:rsid w:val="003821A2"/>
    <w:rsid w:val="003823B6"/>
    <w:rsid w:val="0038274E"/>
    <w:rsid w:val="003832CF"/>
    <w:rsid w:val="003836F3"/>
    <w:rsid w:val="00384E6A"/>
    <w:rsid w:val="00385529"/>
    <w:rsid w:val="0038587E"/>
    <w:rsid w:val="00385A60"/>
    <w:rsid w:val="00386175"/>
    <w:rsid w:val="00387783"/>
    <w:rsid w:val="0039009A"/>
    <w:rsid w:val="0039117E"/>
    <w:rsid w:val="0039147E"/>
    <w:rsid w:val="00392624"/>
    <w:rsid w:val="00392E8B"/>
    <w:rsid w:val="00393DE3"/>
    <w:rsid w:val="00394869"/>
    <w:rsid w:val="003967F8"/>
    <w:rsid w:val="00396F8F"/>
    <w:rsid w:val="00397450"/>
    <w:rsid w:val="00397A00"/>
    <w:rsid w:val="003A228D"/>
    <w:rsid w:val="003A3A45"/>
    <w:rsid w:val="003A3B1B"/>
    <w:rsid w:val="003A3B44"/>
    <w:rsid w:val="003A51C4"/>
    <w:rsid w:val="003A5C60"/>
    <w:rsid w:val="003A5F88"/>
    <w:rsid w:val="003A61E8"/>
    <w:rsid w:val="003A6585"/>
    <w:rsid w:val="003A7A06"/>
    <w:rsid w:val="003B0449"/>
    <w:rsid w:val="003B13D4"/>
    <w:rsid w:val="003B25E5"/>
    <w:rsid w:val="003B5AEF"/>
    <w:rsid w:val="003B67A2"/>
    <w:rsid w:val="003B708D"/>
    <w:rsid w:val="003B7642"/>
    <w:rsid w:val="003B7684"/>
    <w:rsid w:val="003B7710"/>
    <w:rsid w:val="003B7B32"/>
    <w:rsid w:val="003B7EA2"/>
    <w:rsid w:val="003C1AFB"/>
    <w:rsid w:val="003C2F27"/>
    <w:rsid w:val="003C3095"/>
    <w:rsid w:val="003C3C80"/>
    <w:rsid w:val="003C3CE5"/>
    <w:rsid w:val="003C40A6"/>
    <w:rsid w:val="003C4275"/>
    <w:rsid w:val="003C4919"/>
    <w:rsid w:val="003C4A08"/>
    <w:rsid w:val="003C4BD7"/>
    <w:rsid w:val="003C4C85"/>
    <w:rsid w:val="003C62B2"/>
    <w:rsid w:val="003C78F5"/>
    <w:rsid w:val="003C7EFB"/>
    <w:rsid w:val="003D0365"/>
    <w:rsid w:val="003D03C7"/>
    <w:rsid w:val="003D0DC3"/>
    <w:rsid w:val="003D23C5"/>
    <w:rsid w:val="003D2476"/>
    <w:rsid w:val="003D26D1"/>
    <w:rsid w:val="003D3360"/>
    <w:rsid w:val="003D4753"/>
    <w:rsid w:val="003E0743"/>
    <w:rsid w:val="003E1471"/>
    <w:rsid w:val="003E15ED"/>
    <w:rsid w:val="003E1EA2"/>
    <w:rsid w:val="003E3CEA"/>
    <w:rsid w:val="003E4B28"/>
    <w:rsid w:val="003E539E"/>
    <w:rsid w:val="003E5939"/>
    <w:rsid w:val="003E5B06"/>
    <w:rsid w:val="003E5F2C"/>
    <w:rsid w:val="003F3AE8"/>
    <w:rsid w:val="003F562C"/>
    <w:rsid w:val="003F5C73"/>
    <w:rsid w:val="003F6FF1"/>
    <w:rsid w:val="003F7DA5"/>
    <w:rsid w:val="00400A63"/>
    <w:rsid w:val="00402E1C"/>
    <w:rsid w:val="00404236"/>
    <w:rsid w:val="004068AE"/>
    <w:rsid w:val="0041072F"/>
    <w:rsid w:val="0041113F"/>
    <w:rsid w:val="00412BBB"/>
    <w:rsid w:val="00412C8C"/>
    <w:rsid w:val="00412F89"/>
    <w:rsid w:val="0041467C"/>
    <w:rsid w:val="00414E79"/>
    <w:rsid w:val="00415236"/>
    <w:rsid w:val="004154CE"/>
    <w:rsid w:val="004165D9"/>
    <w:rsid w:val="00420002"/>
    <w:rsid w:val="00420011"/>
    <w:rsid w:val="00420F25"/>
    <w:rsid w:val="00421771"/>
    <w:rsid w:val="00421CB5"/>
    <w:rsid w:val="004236E5"/>
    <w:rsid w:val="00425C57"/>
    <w:rsid w:val="004266BE"/>
    <w:rsid w:val="004266F1"/>
    <w:rsid w:val="004276A8"/>
    <w:rsid w:val="00427FF6"/>
    <w:rsid w:val="00430639"/>
    <w:rsid w:val="00431159"/>
    <w:rsid w:val="0043130F"/>
    <w:rsid w:val="0043161E"/>
    <w:rsid w:val="004319B3"/>
    <w:rsid w:val="0043202D"/>
    <w:rsid w:val="00432EF0"/>
    <w:rsid w:val="004333AD"/>
    <w:rsid w:val="00433576"/>
    <w:rsid w:val="00434631"/>
    <w:rsid w:val="004348AE"/>
    <w:rsid w:val="00435DEC"/>
    <w:rsid w:val="0043613D"/>
    <w:rsid w:val="00436200"/>
    <w:rsid w:val="00436626"/>
    <w:rsid w:val="00436A73"/>
    <w:rsid w:val="004379D2"/>
    <w:rsid w:val="0044064B"/>
    <w:rsid w:val="004412EB"/>
    <w:rsid w:val="004414C4"/>
    <w:rsid w:val="00442C38"/>
    <w:rsid w:val="004430C7"/>
    <w:rsid w:val="00445210"/>
    <w:rsid w:val="00445236"/>
    <w:rsid w:val="00446ABD"/>
    <w:rsid w:val="00446B6E"/>
    <w:rsid w:val="00447D1D"/>
    <w:rsid w:val="0045008F"/>
    <w:rsid w:val="004509D6"/>
    <w:rsid w:val="0045115D"/>
    <w:rsid w:val="00451D1E"/>
    <w:rsid w:val="00451DF9"/>
    <w:rsid w:val="00452093"/>
    <w:rsid w:val="00454784"/>
    <w:rsid w:val="00455034"/>
    <w:rsid w:val="004552C8"/>
    <w:rsid w:val="00455CF8"/>
    <w:rsid w:val="004561A9"/>
    <w:rsid w:val="00456910"/>
    <w:rsid w:val="004606B3"/>
    <w:rsid w:val="00460CA3"/>
    <w:rsid w:val="00462220"/>
    <w:rsid w:val="00462251"/>
    <w:rsid w:val="0046265D"/>
    <w:rsid w:val="004626D4"/>
    <w:rsid w:val="00463AEC"/>
    <w:rsid w:val="00464B3D"/>
    <w:rsid w:val="0046542E"/>
    <w:rsid w:val="00466F5B"/>
    <w:rsid w:val="004718BB"/>
    <w:rsid w:val="00471A85"/>
    <w:rsid w:val="00473148"/>
    <w:rsid w:val="00475D3D"/>
    <w:rsid w:val="004761C8"/>
    <w:rsid w:val="00476A0B"/>
    <w:rsid w:val="00476D44"/>
    <w:rsid w:val="00480B3F"/>
    <w:rsid w:val="0048111B"/>
    <w:rsid w:val="00481C70"/>
    <w:rsid w:val="004846C6"/>
    <w:rsid w:val="00484EF3"/>
    <w:rsid w:val="004865D0"/>
    <w:rsid w:val="00486680"/>
    <w:rsid w:val="0048743C"/>
    <w:rsid w:val="00487D1B"/>
    <w:rsid w:val="00491D00"/>
    <w:rsid w:val="00492115"/>
    <w:rsid w:val="0049230E"/>
    <w:rsid w:val="00492838"/>
    <w:rsid w:val="00494646"/>
    <w:rsid w:val="004951CB"/>
    <w:rsid w:val="00495347"/>
    <w:rsid w:val="0049588D"/>
    <w:rsid w:val="004977DF"/>
    <w:rsid w:val="00497CDA"/>
    <w:rsid w:val="00497E91"/>
    <w:rsid w:val="00497E9A"/>
    <w:rsid w:val="00497F22"/>
    <w:rsid w:val="004A02B0"/>
    <w:rsid w:val="004A1544"/>
    <w:rsid w:val="004A1B0E"/>
    <w:rsid w:val="004A229B"/>
    <w:rsid w:val="004A23B1"/>
    <w:rsid w:val="004A3998"/>
    <w:rsid w:val="004A74AC"/>
    <w:rsid w:val="004B084E"/>
    <w:rsid w:val="004B15D7"/>
    <w:rsid w:val="004B3C62"/>
    <w:rsid w:val="004B4910"/>
    <w:rsid w:val="004B4A8E"/>
    <w:rsid w:val="004B53C8"/>
    <w:rsid w:val="004B5A2D"/>
    <w:rsid w:val="004B5E0E"/>
    <w:rsid w:val="004B5FC6"/>
    <w:rsid w:val="004B65D7"/>
    <w:rsid w:val="004B7B46"/>
    <w:rsid w:val="004C1582"/>
    <w:rsid w:val="004C207A"/>
    <w:rsid w:val="004C2F7E"/>
    <w:rsid w:val="004C39D7"/>
    <w:rsid w:val="004C3D57"/>
    <w:rsid w:val="004C3D9F"/>
    <w:rsid w:val="004C47D5"/>
    <w:rsid w:val="004C57B7"/>
    <w:rsid w:val="004C5D96"/>
    <w:rsid w:val="004C6772"/>
    <w:rsid w:val="004C6E18"/>
    <w:rsid w:val="004C7CE8"/>
    <w:rsid w:val="004C7D53"/>
    <w:rsid w:val="004D0143"/>
    <w:rsid w:val="004D0990"/>
    <w:rsid w:val="004D10FF"/>
    <w:rsid w:val="004D1D0E"/>
    <w:rsid w:val="004D2D08"/>
    <w:rsid w:val="004D30FA"/>
    <w:rsid w:val="004D3791"/>
    <w:rsid w:val="004D389C"/>
    <w:rsid w:val="004D415C"/>
    <w:rsid w:val="004D4ED9"/>
    <w:rsid w:val="004D5040"/>
    <w:rsid w:val="004D6AA6"/>
    <w:rsid w:val="004E03B8"/>
    <w:rsid w:val="004E17CC"/>
    <w:rsid w:val="004E2664"/>
    <w:rsid w:val="004E4ED7"/>
    <w:rsid w:val="004E6167"/>
    <w:rsid w:val="004E6174"/>
    <w:rsid w:val="004E79BD"/>
    <w:rsid w:val="004E7C46"/>
    <w:rsid w:val="004E7D6E"/>
    <w:rsid w:val="004E7F99"/>
    <w:rsid w:val="004F0042"/>
    <w:rsid w:val="004F077C"/>
    <w:rsid w:val="004F0E2E"/>
    <w:rsid w:val="004F0E3C"/>
    <w:rsid w:val="004F0FC0"/>
    <w:rsid w:val="004F1158"/>
    <w:rsid w:val="004F2E57"/>
    <w:rsid w:val="004F326B"/>
    <w:rsid w:val="004F39B8"/>
    <w:rsid w:val="004F45C4"/>
    <w:rsid w:val="004F5AA7"/>
    <w:rsid w:val="004F6BB8"/>
    <w:rsid w:val="004F7E2F"/>
    <w:rsid w:val="00501F61"/>
    <w:rsid w:val="005037D5"/>
    <w:rsid w:val="00503CF0"/>
    <w:rsid w:val="005049E1"/>
    <w:rsid w:val="00505636"/>
    <w:rsid w:val="00505FDB"/>
    <w:rsid w:val="00507304"/>
    <w:rsid w:val="0050778C"/>
    <w:rsid w:val="005107EA"/>
    <w:rsid w:val="00513447"/>
    <w:rsid w:val="00514293"/>
    <w:rsid w:val="00514766"/>
    <w:rsid w:val="005151BB"/>
    <w:rsid w:val="00515358"/>
    <w:rsid w:val="00515D76"/>
    <w:rsid w:val="0051649C"/>
    <w:rsid w:val="005166E8"/>
    <w:rsid w:val="005170BD"/>
    <w:rsid w:val="00517C7E"/>
    <w:rsid w:val="00517F0F"/>
    <w:rsid w:val="00517FD6"/>
    <w:rsid w:val="005203D9"/>
    <w:rsid w:val="005205C1"/>
    <w:rsid w:val="00521677"/>
    <w:rsid w:val="005216C7"/>
    <w:rsid w:val="00523FDC"/>
    <w:rsid w:val="00524584"/>
    <w:rsid w:val="00526B38"/>
    <w:rsid w:val="00527369"/>
    <w:rsid w:val="00531473"/>
    <w:rsid w:val="00531B64"/>
    <w:rsid w:val="00531B83"/>
    <w:rsid w:val="00532D29"/>
    <w:rsid w:val="005335BB"/>
    <w:rsid w:val="005345D6"/>
    <w:rsid w:val="00535232"/>
    <w:rsid w:val="005365A2"/>
    <w:rsid w:val="005378D0"/>
    <w:rsid w:val="005378D7"/>
    <w:rsid w:val="00542056"/>
    <w:rsid w:val="00542C34"/>
    <w:rsid w:val="00542DBB"/>
    <w:rsid w:val="005451D7"/>
    <w:rsid w:val="00545C25"/>
    <w:rsid w:val="00545CA5"/>
    <w:rsid w:val="00546A1E"/>
    <w:rsid w:val="005477DB"/>
    <w:rsid w:val="00547E8E"/>
    <w:rsid w:val="00550C8F"/>
    <w:rsid w:val="00550DFE"/>
    <w:rsid w:val="00551CD8"/>
    <w:rsid w:val="00551EB7"/>
    <w:rsid w:val="005520FD"/>
    <w:rsid w:val="0055241B"/>
    <w:rsid w:val="00552745"/>
    <w:rsid w:val="005529D7"/>
    <w:rsid w:val="00553101"/>
    <w:rsid w:val="00553793"/>
    <w:rsid w:val="0055502A"/>
    <w:rsid w:val="005567BF"/>
    <w:rsid w:val="00557706"/>
    <w:rsid w:val="0056053B"/>
    <w:rsid w:val="00560B86"/>
    <w:rsid w:val="005615D4"/>
    <w:rsid w:val="005616F5"/>
    <w:rsid w:val="00561839"/>
    <w:rsid w:val="00561C6E"/>
    <w:rsid w:val="005642E8"/>
    <w:rsid w:val="0056437E"/>
    <w:rsid w:val="00564502"/>
    <w:rsid w:val="00565958"/>
    <w:rsid w:val="00565972"/>
    <w:rsid w:val="00566472"/>
    <w:rsid w:val="005672AA"/>
    <w:rsid w:val="00567D6E"/>
    <w:rsid w:val="005707F3"/>
    <w:rsid w:val="0057137C"/>
    <w:rsid w:val="005718B6"/>
    <w:rsid w:val="00571AFA"/>
    <w:rsid w:val="00571F5C"/>
    <w:rsid w:val="0057223E"/>
    <w:rsid w:val="005731FE"/>
    <w:rsid w:val="00573EDD"/>
    <w:rsid w:val="00574111"/>
    <w:rsid w:val="0057446B"/>
    <w:rsid w:val="005746D0"/>
    <w:rsid w:val="005749B2"/>
    <w:rsid w:val="00575E3E"/>
    <w:rsid w:val="0057773D"/>
    <w:rsid w:val="00577BF8"/>
    <w:rsid w:val="0058019D"/>
    <w:rsid w:val="00580B0D"/>
    <w:rsid w:val="00582CBF"/>
    <w:rsid w:val="00583F21"/>
    <w:rsid w:val="00585995"/>
    <w:rsid w:val="00585B47"/>
    <w:rsid w:val="00586233"/>
    <w:rsid w:val="00586ED3"/>
    <w:rsid w:val="00587BB7"/>
    <w:rsid w:val="0059046A"/>
    <w:rsid w:val="00592097"/>
    <w:rsid w:val="005923E2"/>
    <w:rsid w:val="0059261F"/>
    <w:rsid w:val="00592D58"/>
    <w:rsid w:val="005931C8"/>
    <w:rsid w:val="00594C3A"/>
    <w:rsid w:val="00594E72"/>
    <w:rsid w:val="005950B2"/>
    <w:rsid w:val="005961C0"/>
    <w:rsid w:val="00596C40"/>
    <w:rsid w:val="005A0E8E"/>
    <w:rsid w:val="005A15C6"/>
    <w:rsid w:val="005A1D1E"/>
    <w:rsid w:val="005A2657"/>
    <w:rsid w:val="005A365A"/>
    <w:rsid w:val="005A4291"/>
    <w:rsid w:val="005A4DD7"/>
    <w:rsid w:val="005A5739"/>
    <w:rsid w:val="005A61BB"/>
    <w:rsid w:val="005A662A"/>
    <w:rsid w:val="005A7FD3"/>
    <w:rsid w:val="005B0CE7"/>
    <w:rsid w:val="005B264F"/>
    <w:rsid w:val="005B3DDD"/>
    <w:rsid w:val="005B45B1"/>
    <w:rsid w:val="005B4A44"/>
    <w:rsid w:val="005B5206"/>
    <w:rsid w:val="005B5398"/>
    <w:rsid w:val="005B6234"/>
    <w:rsid w:val="005B6C10"/>
    <w:rsid w:val="005B7335"/>
    <w:rsid w:val="005B7723"/>
    <w:rsid w:val="005C05B6"/>
    <w:rsid w:val="005C0A11"/>
    <w:rsid w:val="005C25F1"/>
    <w:rsid w:val="005C332F"/>
    <w:rsid w:val="005C425D"/>
    <w:rsid w:val="005C450D"/>
    <w:rsid w:val="005C5744"/>
    <w:rsid w:val="005C5FA5"/>
    <w:rsid w:val="005C7470"/>
    <w:rsid w:val="005C7B9D"/>
    <w:rsid w:val="005C7D1A"/>
    <w:rsid w:val="005D031A"/>
    <w:rsid w:val="005D0B1E"/>
    <w:rsid w:val="005D2681"/>
    <w:rsid w:val="005D3E7A"/>
    <w:rsid w:val="005D6A18"/>
    <w:rsid w:val="005E058E"/>
    <w:rsid w:val="005E0955"/>
    <w:rsid w:val="005E10B1"/>
    <w:rsid w:val="005E1D88"/>
    <w:rsid w:val="005E20B0"/>
    <w:rsid w:val="005E21A9"/>
    <w:rsid w:val="005E33D3"/>
    <w:rsid w:val="005E3694"/>
    <w:rsid w:val="005E5E49"/>
    <w:rsid w:val="005E67BD"/>
    <w:rsid w:val="005E6E59"/>
    <w:rsid w:val="005E7C74"/>
    <w:rsid w:val="005F0381"/>
    <w:rsid w:val="005F089B"/>
    <w:rsid w:val="005F08A2"/>
    <w:rsid w:val="005F0B6E"/>
    <w:rsid w:val="005F13AE"/>
    <w:rsid w:val="005F14C0"/>
    <w:rsid w:val="005F1E4C"/>
    <w:rsid w:val="005F38CF"/>
    <w:rsid w:val="005F47A5"/>
    <w:rsid w:val="005F559A"/>
    <w:rsid w:val="005F57D0"/>
    <w:rsid w:val="005F649A"/>
    <w:rsid w:val="005F738A"/>
    <w:rsid w:val="005F73F6"/>
    <w:rsid w:val="005F7D7E"/>
    <w:rsid w:val="00600273"/>
    <w:rsid w:val="00600FE7"/>
    <w:rsid w:val="00601215"/>
    <w:rsid w:val="00601640"/>
    <w:rsid w:val="00602322"/>
    <w:rsid w:val="006023EB"/>
    <w:rsid w:val="0060307F"/>
    <w:rsid w:val="006039C1"/>
    <w:rsid w:val="00603E01"/>
    <w:rsid w:val="006045C4"/>
    <w:rsid w:val="00604806"/>
    <w:rsid w:val="00605E52"/>
    <w:rsid w:val="00606B35"/>
    <w:rsid w:val="00607811"/>
    <w:rsid w:val="00607C78"/>
    <w:rsid w:val="006106F7"/>
    <w:rsid w:val="00610FA6"/>
    <w:rsid w:val="00611866"/>
    <w:rsid w:val="006124AA"/>
    <w:rsid w:val="0061299A"/>
    <w:rsid w:val="00613665"/>
    <w:rsid w:val="006138A5"/>
    <w:rsid w:val="00614C10"/>
    <w:rsid w:val="00614CDD"/>
    <w:rsid w:val="00614FF8"/>
    <w:rsid w:val="0061560F"/>
    <w:rsid w:val="00615DA2"/>
    <w:rsid w:val="00615F0B"/>
    <w:rsid w:val="00617456"/>
    <w:rsid w:val="0062013D"/>
    <w:rsid w:val="00620376"/>
    <w:rsid w:val="00620A18"/>
    <w:rsid w:val="00621799"/>
    <w:rsid w:val="00621DBD"/>
    <w:rsid w:val="00622563"/>
    <w:rsid w:val="00622CF5"/>
    <w:rsid w:val="006239B5"/>
    <w:rsid w:val="00625814"/>
    <w:rsid w:val="006266FF"/>
    <w:rsid w:val="006268D3"/>
    <w:rsid w:val="00626ECA"/>
    <w:rsid w:val="006279BC"/>
    <w:rsid w:val="00627D4E"/>
    <w:rsid w:val="0063087F"/>
    <w:rsid w:val="00630F70"/>
    <w:rsid w:val="00631A08"/>
    <w:rsid w:val="00632318"/>
    <w:rsid w:val="00633762"/>
    <w:rsid w:val="00633B5C"/>
    <w:rsid w:val="006341E2"/>
    <w:rsid w:val="00634711"/>
    <w:rsid w:val="00634B1A"/>
    <w:rsid w:val="006357E4"/>
    <w:rsid w:val="00635973"/>
    <w:rsid w:val="006368A3"/>
    <w:rsid w:val="0063730B"/>
    <w:rsid w:val="0063733E"/>
    <w:rsid w:val="006400E3"/>
    <w:rsid w:val="00641721"/>
    <w:rsid w:val="00641A5C"/>
    <w:rsid w:val="006424A0"/>
    <w:rsid w:val="0064307D"/>
    <w:rsid w:val="006433AF"/>
    <w:rsid w:val="00643DFB"/>
    <w:rsid w:val="006440C5"/>
    <w:rsid w:val="00644564"/>
    <w:rsid w:val="00645831"/>
    <w:rsid w:val="00645E83"/>
    <w:rsid w:val="00647C5B"/>
    <w:rsid w:val="00650AE3"/>
    <w:rsid w:val="00650D25"/>
    <w:rsid w:val="00651EAF"/>
    <w:rsid w:val="0065298C"/>
    <w:rsid w:val="006529FF"/>
    <w:rsid w:val="00652E4B"/>
    <w:rsid w:val="006542C5"/>
    <w:rsid w:val="0065567C"/>
    <w:rsid w:val="00656B2A"/>
    <w:rsid w:val="0065735E"/>
    <w:rsid w:val="00657F01"/>
    <w:rsid w:val="00660614"/>
    <w:rsid w:val="00660CE3"/>
    <w:rsid w:val="006611BC"/>
    <w:rsid w:val="0066234B"/>
    <w:rsid w:val="00662EC7"/>
    <w:rsid w:val="006630E0"/>
    <w:rsid w:val="006647B4"/>
    <w:rsid w:val="00665E51"/>
    <w:rsid w:val="00666636"/>
    <w:rsid w:val="00667F49"/>
    <w:rsid w:val="00670083"/>
    <w:rsid w:val="0067030A"/>
    <w:rsid w:val="00670375"/>
    <w:rsid w:val="0067081B"/>
    <w:rsid w:val="00671161"/>
    <w:rsid w:val="006718A5"/>
    <w:rsid w:val="0067226B"/>
    <w:rsid w:val="00672631"/>
    <w:rsid w:val="00673C70"/>
    <w:rsid w:val="006753D7"/>
    <w:rsid w:val="00676219"/>
    <w:rsid w:val="006772F3"/>
    <w:rsid w:val="00677B16"/>
    <w:rsid w:val="00680181"/>
    <w:rsid w:val="00680395"/>
    <w:rsid w:val="00680838"/>
    <w:rsid w:val="00680AA5"/>
    <w:rsid w:val="00680B3E"/>
    <w:rsid w:val="00684098"/>
    <w:rsid w:val="00685AA5"/>
    <w:rsid w:val="006862F1"/>
    <w:rsid w:val="0068770A"/>
    <w:rsid w:val="00687F38"/>
    <w:rsid w:val="00690DB0"/>
    <w:rsid w:val="006911B5"/>
    <w:rsid w:val="00691A8A"/>
    <w:rsid w:val="00692BCC"/>
    <w:rsid w:val="00692CBF"/>
    <w:rsid w:val="006941B6"/>
    <w:rsid w:val="0069462B"/>
    <w:rsid w:val="00696CB1"/>
    <w:rsid w:val="00697616"/>
    <w:rsid w:val="00697627"/>
    <w:rsid w:val="006977E5"/>
    <w:rsid w:val="00697A72"/>
    <w:rsid w:val="00697C4A"/>
    <w:rsid w:val="006A09F2"/>
    <w:rsid w:val="006A0D00"/>
    <w:rsid w:val="006A2013"/>
    <w:rsid w:val="006A2759"/>
    <w:rsid w:val="006A3828"/>
    <w:rsid w:val="006A4C65"/>
    <w:rsid w:val="006A6337"/>
    <w:rsid w:val="006A6360"/>
    <w:rsid w:val="006A658E"/>
    <w:rsid w:val="006A66F1"/>
    <w:rsid w:val="006A6EB5"/>
    <w:rsid w:val="006A7838"/>
    <w:rsid w:val="006B0736"/>
    <w:rsid w:val="006B1291"/>
    <w:rsid w:val="006B2E30"/>
    <w:rsid w:val="006B31A0"/>
    <w:rsid w:val="006B398E"/>
    <w:rsid w:val="006B4E29"/>
    <w:rsid w:val="006B55B3"/>
    <w:rsid w:val="006B6157"/>
    <w:rsid w:val="006B679D"/>
    <w:rsid w:val="006B74EA"/>
    <w:rsid w:val="006C18D5"/>
    <w:rsid w:val="006C2E13"/>
    <w:rsid w:val="006C49DE"/>
    <w:rsid w:val="006C5832"/>
    <w:rsid w:val="006C5A46"/>
    <w:rsid w:val="006C6FFE"/>
    <w:rsid w:val="006C73AA"/>
    <w:rsid w:val="006C75CA"/>
    <w:rsid w:val="006C7CAD"/>
    <w:rsid w:val="006D06ED"/>
    <w:rsid w:val="006D146A"/>
    <w:rsid w:val="006D2619"/>
    <w:rsid w:val="006D3398"/>
    <w:rsid w:val="006D3399"/>
    <w:rsid w:val="006D5DAE"/>
    <w:rsid w:val="006D7EB3"/>
    <w:rsid w:val="006E0979"/>
    <w:rsid w:val="006E4F23"/>
    <w:rsid w:val="006E505C"/>
    <w:rsid w:val="006E54EA"/>
    <w:rsid w:val="006E579B"/>
    <w:rsid w:val="006E5DF4"/>
    <w:rsid w:val="006E7DD5"/>
    <w:rsid w:val="006F061A"/>
    <w:rsid w:val="006F0E50"/>
    <w:rsid w:val="006F205C"/>
    <w:rsid w:val="006F2C79"/>
    <w:rsid w:val="006F3340"/>
    <w:rsid w:val="006F3464"/>
    <w:rsid w:val="006F402E"/>
    <w:rsid w:val="006F51F5"/>
    <w:rsid w:val="006F5E91"/>
    <w:rsid w:val="00700B2E"/>
    <w:rsid w:val="00700C55"/>
    <w:rsid w:val="00700E41"/>
    <w:rsid w:val="00701041"/>
    <w:rsid w:val="00701246"/>
    <w:rsid w:val="00701298"/>
    <w:rsid w:val="00702513"/>
    <w:rsid w:val="0070318A"/>
    <w:rsid w:val="0070360D"/>
    <w:rsid w:val="00703B18"/>
    <w:rsid w:val="00703F1B"/>
    <w:rsid w:val="00704088"/>
    <w:rsid w:val="007047D8"/>
    <w:rsid w:val="00704E2E"/>
    <w:rsid w:val="00705A04"/>
    <w:rsid w:val="00705A95"/>
    <w:rsid w:val="00705D29"/>
    <w:rsid w:val="00705E9A"/>
    <w:rsid w:val="00705EA4"/>
    <w:rsid w:val="00706081"/>
    <w:rsid w:val="00706657"/>
    <w:rsid w:val="00710747"/>
    <w:rsid w:val="00713CE6"/>
    <w:rsid w:val="007153E6"/>
    <w:rsid w:val="00716E45"/>
    <w:rsid w:val="00716F53"/>
    <w:rsid w:val="007171B8"/>
    <w:rsid w:val="007200C9"/>
    <w:rsid w:val="00720777"/>
    <w:rsid w:val="00720FDF"/>
    <w:rsid w:val="0072133B"/>
    <w:rsid w:val="0072173B"/>
    <w:rsid w:val="007224DB"/>
    <w:rsid w:val="00722D81"/>
    <w:rsid w:val="007235AC"/>
    <w:rsid w:val="00723905"/>
    <w:rsid w:val="00723C79"/>
    <w:rsid w:val="00724066"/>
    <w:rsid w:val="0072627F"/>
    <w:rsid w:val="00731A88"/>
    <w:rsid w:val="007323BA"/>
    <w:rsid w:val="007332B5"/>
    <w:rsid w:val="00733A49"/>
    <w:rsid w:val="00734AF9"/>
    <w:rsid w:val="00734E7C"/>
    <w:rsid w:val="00734EEC"/>
    <w:rsid w:val="00735468"/>
    <w:rsid w:val="007356AE"/>
    <w:rsid w:val="00736579"/>
    <w:rsid w:val="00736603"/>
    <w:rsid w:val="0073729C"/>
    <w:rsid w:val="007378D2"/>
    <w:rsid w:val="00737DAF"/>
    <w:rsid w:val="00740B0C"/>
    <w:rsid w:val="0074104D"/>
    <w:rsid w:val="007414D2"/>
    <w:rsid w:val="00741B47"/>
    <w:rsid w:val="007422FC"/>
    <w:rsid w:val="0074246E"/>
    <w:rsid w:val="007429B1"/>
    <w:rsid w:val="00742EDA"/>
    <w:rsid w:val="007436E2"/>
    <w:rsid w:val="00743D4A"/>
    <w:rsid w:val="00744AF8"/>
    <w:rsid w:val="00746091"/>
    <w:rsid w:val="00747DC9"/>
    <w:rsid w:val="00747E17"/>
    <w:rsid w:val="00747E7B"/>
    <w:rsid w:val="00750CB2"/>
    <w:rsid w:val="007515AF"/>
    <w:rsid w:val="007523FD"/>
    <w:rsid w:val="00753082"/>
    <w:rsid w:val="0075344C"/>
    <w:rsid w:val="007545B7"/>
    <w:rsid w:val="00755B12"/>
    <w:rsid w:val="00755DBA"/>
    <w:rsid w:val="00756DA8"/>
    <w:rsid w:val="0075764F"/>
    <w:rsid w:val="00757C93"/>
    <w:rsid w:val="0076071B"/>
    <w:rsid w:val="00761114"/>
    <w:rsid w:val="00761323"/>
    <w:rsid w:val="0076175F"/>
    <w:rsid w:val="00762A4D"/>
    <w:rsid w:val="00762F2A"/>
    <w:rsid w:val="00763EE2"/>
    <w:rsid w:val="0076443F"/>
    <w:rsid w:val="00764C00"/>
    <w:rsid w:val="00764E4E"/>
    <w:rsid w:val="007652D2"/>
    <w:rsid w:val="007655CE"/>
    <w:rsid w:val="00765F98"/>
    <w:rsid w:val="00766223"/>
    <w:rsid w:val="007679F9"/>
    <w:rsid w:val="007708E9"/>
    <w:rsid w:val="00772076"/>
    <w:rsid w:val="00772D2F"/>
    <w:rsid w:val="00773B1C"/>
    <w:rsid w:val="00774C41"/>
    <w:rsid w:val="00776759"/>
    <w:rsid w:val="007767A7"/>
    <w:rsid w:val="00776903"/>
    <w:rsid w:val="007778B1"/>
    <w:rsid w:val="00780F74"/>
    <w:rsid w:val="007820D0"/>
    <w:rsid w:val="00782163"/>
    <w:rsid w:val="007827E0"/>
    <w:rsid w:val="00783206"/>
    <w:rsid w:val="00783975"/>
    <w:rsid w:val="00783C35"/>
    <w:rsid w:val="00783E98"/>
    <w:rsid w:val="007849D3"/>
    <w:rsid w:val="00784AD2"/>
    <w:rsid w:val="00785ED1"/>
    <w:rsid w:val="00786452"/>
    <w:rsid w:val="00786DF3"/>
    <w:rsid w:val="007873EA"/>
    <w:rsid w:val="00787681"/>
    <w:rsid w:val="00787A04"/>
    <w:rsid w:val="00790A43"/>
    <w:rsid w:val="00790CF1"/>
    <w:rsid w:val="00792526"/>
    <w:rsid w:val="00792669"/>
    <w:rsid w:val="0079266D"/>
    <w:rsid w:val="007927D1"/>
    <w:rsid w:val="00792F3D"/>
    <w:rsid w:val="00793087"/>
    <w:rsid w:val="00793ADF"/>
    <w:rsid w:val="00794175"/>
    <w:rsid w:val="007943EB"/>
    <w:rsid w:val="00795631"/>
    <w:rsid w:val="00796FE9"/>
    <w:rsid w:val="00796FF8"/>
    <w:rsid w:val="007A00BA"/>
    <w:rsid w:val="007A0374"/>
    <w:rsid w:val="007A09F6"/>
    <w:rsid w:val="007A1F8D"/>
    <w:rsid w:val="007A2237"/>
    <w:rsid w:val="007A287D"/>
    <w:rsid w:val="007A32C7"/>
    <w:rsid w:val="007A3F83"/>
    <w:rsid w:val="007A4249"/>
    <w:rsid w:val="007A4AEB"/>
    <w:rsid w:val="007A5A87"/>
    <w:rsid w:val="007A6C8B"/>
    <w:rsid w:val="007A7552"/>
    <w:rsid w:val="007A7AB5"/>
    <w:rsid w:val="007A7DC4"/>
    <w:rsid w:val="007B00A3"/>
    <w:rsid w:val="007B02EC"/>
    <w:rsid w:val="007B0E94"/>
    <w:rsid w:val="007B29AB"/>
    <w:rsid w:val="007B301F"/>
    <w:rsid w:val="007B3960"/>
    <w:rsid w:val="007B4D50"/>
    <w:rsid w:val="007B5263"/>
    <w:rsid w:val="007B53A1"/>
    <w:rsid w:val="007B5848"/>
    <w:rsid w:val="007C0116"/>
    <w:rsid w:val="007C035B"/>
    <w:rsid w:val="007C076D"/>
    <w:rsid w:val="007C3F7F"/>
    <w:rsid w:val="007C4C5A"/>
    <w:rsid w:val="007C5223"/>
    <w:rsid w:val="007C58E6"/>
    <w:rsid w:val="007C5D0E"/>
    <w:rsid w:val="007C5F60"/>
    <w:rsid w:val="007C72D1"/>
    <w:rsid w:val="007C7960"/>
    <w:rsid w:val="007D03C4"/>
    <w:rsid w:val="007D08D0"/>
    <w:rsid w:val="007D190A"/>
    <w:rsid w:val="007D200D"/>
    <w:rsid w:val="007D2AAD"/>
    <w:rsid w:val="007D2B7D"/>
    <w:rsid w:val="007D2D43"/>
    <w:rsid w:val="007D4DB9"/>
    <w:rsid w:val="007D538B"/>
    <w:rsid w:val="007D5829"/>
    <w:rsid w:val="007D679B"/>
    <w:rsid w:val="007D7D26"/>
    <w:rsid w:val="007E06B7"/>
    <w:rsid w:val="007E0799"/>
    <w:rsid w:val="007E19BC"/>
    <w:rsid w:val="007E2F6A"/>
    <w:rsid w:val="007E4098"/>
    <w:rsid w:val="007E445C"/>
    <w:rsid w:val="007E4518"/>
    <w:rsid w:val="007E5423"/>
    <w:rsid w:val="007E58AE"/>
    <w:rsid w:val="007E5D41"/>
    <w:rsid w:val="007E5D45"/>
    <w:rsid w:val="007E5FE3"/>
    <w:rsid w:val="007E61DD"/>
    <w:rsid w:val="007E6E5E"/>
    <w:rsid w:val="007E6FE4"/>
    <w:rsid w:val="007E7F7F"/>
    <w:rsid w:val="007F0D6B"/>
    <w:rsid w:val="007F0E72"/>
    <w:rsid w:val="007F14CD"/>
    <w:rsid w:val="007F34A4"/>
    <w:rsid w:val="007F39FB"/>
    <w:rsid w:val="007F3CC3"/>
    <w:rsid w:val="007F4246"/>
    <w:rsid w:val="007F42B2"/>
    <w:rsid w:val="007F4538"/>
    <w:rsid w:val="007F5C82"/>
    <w:rsid w:val="007F7136"/>
    <w:rsid w:val="007F7636"/>
    <w:rsid w:val="00800CCA"/>
    <w:rsid w:val="00800DCE"/>
    <w:rsid w:val="00800F9D"/>
    <w:rsid w:val="008026BC"/>
    <w:rsid w:val="00804A81"/>
    <w:rsid w:val="00805A53"/>
    <w:rsid w:val="00807B25"/>
    <w:rsid w:val="008101B0"/>
    <w:rsid w:val="00810A5E"/>
    <w:rsid w:val="00811A1F"/>
    <w:rsid w:val="00811AA3"/>
    <w:rsid w:val="00812E3B"/>
    <w:rsid w:val="008141EC"/>
    <w:rsid w:val="00815715"/>
    <w:rsid w:val="00815FDD"/>
    <w:rsid w:val="0081601E"/>
    <w:rsid w:val="00816078"/>
    <w:rsid w:val="0081665A"/>
    <w:rsid w:val="008168D1"/>
    <w:rsid w:val="0082019C"/>
    <w:rsid w:val="008202CE"/>
    <w:rsid w:val="0082036A"/>
    <w:rsid w:val="00820E3B"/>
    <w:rsid w:val="00822100"/>
    <w:rsid w:val="00822998"/>
    <w:rsid w:val="00823173"/>
    <w:rsid w:val="00823982"/>
    <w:rsid w:val="00824F16"/>
    <w:rsid w:val="00824F30"/>
    <w:rsid w:val="00824FFB"/>
    <w:rsid w:val="00825344"/>
    <w:rsid w:val="008265B7"/>
    <w:rsid w:val="0082705D"/>
    <w:rsid w:val="00830152"/>
    <w:rsid w:val="00830D3F"/>
    <w:rsid w:val="00831093"/>
    <w:rsid w:val="008336A9"/>
    <w:rsid w:val="00833B13"/>
    <w:rsid w:val="00833B84"/>
    <w:rsid w:val="00833D06"/>
    <w:rsid w:val="008354F9"/>
    <w:rsid w:val="00836E98"/>
    <w:rsid w:val="008374A5"/>
    <w:rsid w:val="008377EA"/>
    <w:rsid w:val="008378EA"/>
    <w:rsid w:val="008405E2"/>
    <w:rsid w:val="00842064"/>
    <w:rsid w:val="00842699"/>
    <w:rsid w:val="00842A11"/>
    <w:rsid w:val="00842F3A"/>
    <w:rsid w:val="00843CDC"/>
    <w:rsid w:val="00843DAD"/>
    <w:rsid w:val="00844B5A"/>
    <w:rsid w:val="00844C5E"/>
    <w:rsid w:val="00847040"/>
    <w:rsid w:val="00847D82"/>
    <w:rsid w:val="008512E7"/>
    <w:rsid w:val="00853008"/>
    <w:rsid w:val="008531FF"/>
    <w:rsid w:val="0085321D"/>
    <w:rsid w:val="00853E5A"/>
    <w:rsid w:val="00854674"/>
    <w:rsid w:val="008552CA"/>
    <w:rsid w:val="00856C9B"/>
    <w:rsid w:val="00856EFF"/>
    <w:rsid w:val="008575F5"/>
    <w:rsid w:val="00857F70"/>
    <w:rsid w:val="008604F5"/>
    <w:rsid w:val="00860A84"/>
    <w:rsid w:val="0086120E"/>
    <w:rsid w:val="00861269"/>
    <w:rsid w:val="008653AC"/>
    <w:rsid w:val="00867C3B"/>
    <w:rsid w:val="00870C26"/>
    <w:rsid w:val="00872EC1"/>
    <w:rsid w:val="008735AD"/>
    <w:rsid w:val="00873A8F"/>
    <w:rsid w:val="00874203"/>
    <w:rsid w:val="0087704B"/>
    <w:rsid w:val="00877405"/>
    <w:rsid w:val="00877D73"/>
    <w:rsid w:val="00877F48"/>
    <w:rsid w:val="00881165"/>
    <w:rsid w:val="008814D6"/>
    <w:rsid w:val="00881A49"/>
    <w:rsid w:val="00882147"/>
    <w:rsid w:val="00883104"/>
    <w:rsid w:val="008832BE"/>
    <w:rsid w:val="00883911"/>
    <w:rsid w:val="00884450"/>
    <w:rsid w:val="008854EC"/>
    <w:rsid w:val="00885C30"/>
    <w:rsid w:val="008860BA"/>
    <w:rsid w:val="008878BA"/>
    <w:rsid w:val="0089002C"/>
    <w:rsid w:val="008917D3"/>
    <w:rsid w:val="00891DE8"/>
    <w:rsid w:val="008930AE"/>
    <w:rsid w:val="0089395A"/>
    <w:rsid w:val="0089409C"/>
    <w:rsid w:val="008961F8"/>
    <w:rsid w:val="0089637E"/>
    <w:rsid w:val="00896A23"/>
    <w:rsid w:val="00897F17"/>
    <w:rsid w:val="008A00BF"/>
    <w:rsid w:val="008A0E2A"/>
    <w:rsid w:val="008A0E48"/>
    <w:rsid w:val="008A0F77"/>
    <w:rsid w:val="008A1543"/>
    <w:rsid w:val="008A1ECC"/>
    <w:rsid w:val="008A28D6"/>
    <w:rsid w:val="008A477E"/>
    <w:rsid w:val="008A5229"/>
    <w:rsid w:val="008A52F4"/>
    <w:rsid w:val="008A7070"/>
    <w:rsid w:val="008A78B9"/>
    <w:rsid w:val="008A7E8C"/>
    <w:rsid w:val="008B230D"/>
    <w:rsid w:val="008B32C3"/>
    <w:rsid w:val="008B33FB"/>
    <w:rsid w:val="008B377A"/>
    <w:rsid w:val="008B399A"/>
    <w:rsid w:val="008B4A2A"/>
    <w:rsid w:val="008B6394"/>
    <w:rsid w:val="008B6C10"/>
    <w:rsid w:val="008B7C27"/>
    <w:rsid w:val="008C034C"/>
    <w:rsid w:val="008C0EE9"/>
    <w:rsid w:val="008C167F"/>
    <w:rsid w:val="008C2D3D"/>
    <w:rsid w:val="008C2DB2"/>
    <w:rsid w:val="008C30D0"/>
    <w:rsid w:val="008C403D"/>
    <w:rsid w:val="008C407A"/>
    <w:rsid w:val="008C40C4"/>
    <w:rsid w:val="008C4E28"/>
    <w:rsid w:val="008C5EAE"/>
    <w:rsid w:val="008C6D41"/>
    <w:rsid w:val="008D05A6"/>
    <w:rsid w:val="008D0B41"/>
    <w:rsid w:val="008D178C"/>
    <w:rsid w:val="008D17D7"/>
    <w:rsid w:val="008D25E1"/>
    <w:rsid w:val="008D2AF5"/>
    <w:rsid w:val="008D32EB"/>
    <w:rsid w:val="008D33F2"/>
    <w:rsid w:val="008D3E79"/>
    <w:rsid w:val="008D456A"/>
    <w:rsid w:val="008D4E06"/>
    <w:rsid w:val="008D4E23"/>
    <w:rsid w:val="008D5A31"/>
    <w:rsid w:val="008D7052"/>
    <w:rsid w:val="008D7120"/>
    <w:rsid w:val="008E0AFF"/>
    <w:rsid w:val="008E125C"/>
    <w:rsid w:val="008E1AAF"/>
    <w:rsid w:val="008E27D2"/>
    <w:rsid w:val="008E4F34"/>
    <w:rsid w:val="008E57DE"/>
    <w:rsid w:val="008E6314"/>
    <w:rsid w:val="008E6323"/>
    <w:rsid w:val="008E65A6"/>
    <w:rsid w:val="008E6B23"/>
    <w:rsid w:val="008E78C1"/>
    <w:rsid w:val="008E79D5"/>
    <w:rsid w:val="008F03F3"/>
    <w:rsid w:val="008F0A4F"/>
    <w:rsid w:val="008F297A"/>
    <w:rsid w:val="008F2C14"/>
    <w:rsid w:val="008F32DD"/>
    <w:rsid w:val="008F388F"/>
    <w:rsid w:val="008F38E9"/>
    <w:rsid w:val="008F4C94"/>
    <w:rsid w:val="008F61B6"/>
    <w:rsid w:val="008F648C"/>
    <w:rsid w:val="008F6FCF"/>
    <w:rsid w:val="0090142C"/>
    <w:rsid w:val="009014BC"/>
    <w:rsid w:val="00901694"/>
    <w:rsid w:val="00901839"/>
    <w:rsid w:val="00901D0F"/>
    <w:rsid w:val="00903094"/>
    <w:rsid w:val="009036FA"/>
    <w:rsid w:val="009040FC"/>
    <w:rsid w:val="009045DE"/>
    <w:rsid w:val="0090476D"/>
    <w:rsid w:val="00904A78"/>
    <w:rsid w:val="00904E92"/>
    <w:rsid w:val="00907B28"/>
    <w:rsid w:val="00907D56"/>
    <w:rsid w:val="00910AFE"/>
    <w:rsid w:val="00911E8D"/>
    <w:rsid w:val="00911EF4"/>
    <w:rsid w:val="00912088"/>
    <w:rsid w:val="009126D3"/>
    <w:rsid w:val="00913F87"/>
    <w:rsid w:val="0091405C"/>
    <w:rsid w:val="00914A64"/>
    <w:rsid w:val="00915F38"/>
    <w:rsid w:val="00916298"/>
    <w:rsid w:val="0091687D"/>
    <w:rsid w:val="0091725C"/>
    <w:rsid w:val="009174A1"/>
    <w:rsid w:val="00917724"/>
    <w:rsid w:val="00917CED"/>
    <w:rsid w:val="00917F3A"/>
    <w:rsid w:val="00920439"/>
    <w:rsid w:val="00921063"/>
    <w:rsid w:val="00921143"/>
    <w:rsid w:val="00921EB1"/>
    <w:rsid w:val="00923ED2"/>
    <w:rsid w:val="009260F6"/>
    <w:rsid w:val="009317FA"/>
    <w:rsid w:val="00931DEE"/>
    <w:rsid w:val="00932095"/>
    <w:rsid w:val="00933737"/>
    <w:rsid w:val="009355DE"/>
    <w:rsid w:val="00935ECF"/>
    <w:rsid w:val="009377C6"/>
    <w:rsid w:val="00940323"/>
    <w:rsid w:val="009429AE"/>
    <w:rsid w:val="00943039"/>
    <w:rsid w:val="009435EA"/>
    <w:rsid w:val="0094492D"/>
    <w:rsid w:val="00945358"/>
    <w:rsid w:val="0094765D"/>
    <w:rsid w:val="009478D9"/>
    <w:rsid w:val="00950C65"/>
    <w:rsid w:val="00952FDB"/>
    <w:rsid w:val="00953A04"/>
    <w:rsid w:val="00954D16"/>
    <w:rsid w:val="00955726"/>
    <w:rsid w:val="00955F3B"/>
    <w:rsid w:val="009561DF"/>
    <w:rsid w:val="00957A92"/>
    <w:rsid w:val="00957D27"/>
    <w:rsid w:val="0096174C"/>
    <w:rsid w:val="00961CCB"/>
    <w:rsid w:val="00961D2B"/>
    <w:rsid w:val="00962233"/>
    <w:rsid w:val="0096323C"/>
    <w:rsid w:val="009632CA"/>
    <w:rsid w:val="00966602"/>
    <w:rsid w:val="0096751A"/>
    <w:rsid w:val="00967599"/>
    <w:rsid w:val="00967648"/>
    <w:rsid w:val="0097066E"/>
    <w:rsid w:val="00970809"/>
    <w:rsid w:val="00970C9A"/>
    <w:rsid w:val="009720F5"/>
    <w:rsid w:val="0097315C"/>
    <w:rsid w:val="00973884"/>
    <w:rsid w:val="00973A3D"/>
    <w:rsid w:val="00974B05"/>
    <w:rsid w:val="0097535E"/>
    <w:rsid w:val="00976DAF"/>
    <w:rsid w:val="00976DE1"/>
    <w:rsid w:val="00977559"/>
    <w:rsid w:val="00977BD8"/>
    <w:rsid w:val="00977F85"/>
    <w:rsid w:val="00977FA6"/>
    <w:rsid w:val="00980974"/>
    <w:rsid w:val="00981314"/>
    <w:rsid w:val="00981C83"/>
    <w:rsid w:val="00981E8F"/>
    <w:rsid w:val="00982214"/>
    <w:rsid w:val="00982535"/>
    <w:rsid w:val="009826BD"/>
    <w:rsid w:val="00982C68"/>
    <w:rsid w:val="00983052"/>
    <w:rsid w:val="00983B38"/>
    <w:rsid w:val="00983D6F"/>
    <w:rsid w:val="00984406"/>
    <w:rsid w:val="009859FC"/>
    <w:rsid w:val="00987A1D"/>
    <w:rsid w:val="00987CC5"/>
    <w:rsid w:val="0099038F"/>
    <w:rsid w:val="00990452"/>
    <w:rsid w:val="009919C8"/>
    <w:rsid w:val="00992314"/>
    <w:rsid w:val="009924B1"/>
    <w:rsid w:val="009927FA"/>
    <w:rsid w:val="00992A18"/>
    <w:rsid w:val="009933EF"/>
    <w:rsid w:val="009936DE"/>
    <w:rsid w:val="00993A7E"/>
    <w:rsid w:val="00993AA3"/>
    <w:rsid w:val="00993EB3"/>
    <w:rsid w:val="00995353"/>
    <w:rsid w:val="00995868"/>
    <w:rsid w:val="009959B8"/>
    <w:rsid w:val="00995E8D"/>
    <w:rsid w:val="00995FDC"/>
    <w:rsid w:val="0099727F"/>
    <w:rsid w:val="00997345"/>
    <w:rsid w:val="00997797"/>
    <w:rsid w:val="009A09EC"/>
    <w:rsid w:val="009A1D37"/>
    <w:rsid w:val="009A1DA7"/>
    <w:rsid w:val="009A2219"/>
    <w:rsid w:val="009A3576"/>
    <w:rsid w:val="009A3AC5"/>
    <w:rsid w:val="009A41D5"/>
    <w:rsid w:val="009A5C99"/>
    <w:rsid w:val="009A5FAD"/>
    <w:rsid w:val="009A6D6B"/>
    <w:rsid w:val="009A78B3"/>
    <w:rsid w:val="009A7948"/>
    <w:rsid w:val="009A7D30"/>
    <w:rsid w:val="009B0C98"/>
    <w:rsid w:val="009B1080"/>
    <w:rsid w:val="009B11C8"/>
    <w:rsid w:val="009B201F"/>
    <w:rsid w:val="009B2E8A"/>
    <w:rsid w:val="009B400A"/>
    <w:rsid w:val="009B4E9F"/>
    <w:rsid w:val="009B4F23"/>
    <w:rsid w:val="009B6649"/>
    <w:rsid w:val="009B6CE7"/>
    <w:rsid w:val="009B769B"/>
    <w:rsid w:val="009B76D2"/>
    <w:rsid w:val="009B7C6D"/>
    <w:rsid w:val="009C0125"/>
    <w:rsid w:val="009C1281"/>
    <w:rsid w:val="009C2AD4"/>
    <w:rsid w:val="009C2DFA"/>
    <w:rsid w:val="009C2E03"/>
    <w:rsid w:val="009C317E"/>
    <w:rsid w:val="009C3B6A"/>
    <w:rsid w:val="009C4228"/>
    <w:rsid w:val="009C4252"/>
    <w:rsid w:val="009C434A"/>
    <w:rsid w:val="009C522F"/>
    <w:rsid w:val="009C5939"/>
    <w:rsid w:val="009C639C"/>
    <w:rsid w:val="009C7708"/>
    <w:rsid w:val="009D00A9"/>
    <w:rsid w:val="009D0A80"/>
    <w:rsid w:val="009D11F5"/>
    <w:rsid w:val="009D1290"/>
    <w:rsid w:val="009D2083"/>
    <w:rsid w:val="009D2370"/>
    <w:rsid w:val="009D2CDA"/>
    <w:rsid w:val="009D2E49"/>
    <w:rsid w:val="009D305D"/>
    <w:rsid w:val="009D5138"/>
    <w:rsid w:val="009D5F47"/>
    <w:rsid w:val="009D6425"/>
    <w:rsid w:val="009E04B9"/>
    <w:rsid w:val="009E3893"/>
    <w:rsid w:val="009E4EAC"/>
    <w:rsid w:val="009E5778"/>
    <w:rsid w:val="009E5BA1"/>
    <w:rsid w:val="009E6C12"/>
    <w:rsid w:val="009E7340"/>
    <w:rsid w:val="009E76CB"/>
    <w:rsid w:val="009E775F"/>
    <w:rsid w:val="009E7C41"/>
    <w:rsid w:val="009F0E79"/>
    <w:rsid w:val="009F56C5"/>
    <w:rsid w:val="009F5816"/>
    <w:rsid w:val="009F5F15"/>
    <w:rsid w:val="009F7335"/>
    <w:rsid w:val="009F7DF2"/>
    <w:rsid w:val="00A008F1"/>
    <w:rsid w:val="00A0093D"/>
    <w:rsid w:val="00A00946"/>
    <w:rsid w:val="00A024A8"/>
    <w:rsid w:val="00A0314B"/>
    <w:rsid w:val="00A031EA"/>
    <w:rsid w:val="00A03247"/>
    <w:rsid w:val="00A035BB"/>
    <w:rsid w:val="00A0368D"/>
    <w:rsid w:val="00A03FA5"/>
    <w:rsid w:val="00A04217"/>
    <w:rsid w:val="00A04819"/>
    <w:rsid w:val="00A06A4D"/>
    <w:rsid w:val="00A06AE5"/>
    <w:rsid w:val="00A06B71"/>
    <w:rsid w:val="00A06C49"/>
    <w:rsid w:val="00A07441"/>
    <w:rsid w:val="00A100DE"/>
    <w:rsid w:val="00A1077E"/>
    <w:rsid w:val="00A10F61"/>
    <w:rsid w:val="00A12168"/>
    <w:rsid w:val="00A12E33"/>
    <w:rsid w:val="00A1353A"/>
    <w:rsid w:val="00A1356B"/>
    <w:rsid w:val="00A13727"/>
    <w:rsid w:val="00A1411B"/>
    <w:rsid w:val="00A151C4"/>
    <w:rsid w:val="00A15418"/>
    <w:rsid w:val="00A16778"/>
    <w:rsid w:val="00A175A7"/>
    <w:rsid w:val="00A17648"/>
    <w:rsid w:val="00A17A3E"/>
    <w:rsid w:val="00A17BD0"/>
    <w:rsid w:val="00A20730"/>
    <w:rsid w:val="00A223F6"/>
    <w:rsid w:val="00A2242D"/>
    <w:rsid w:val="00A228EC"/>
    <w:rsid w:val="00A22959"/>
    <w:rsid w:val="00A24E5C"/>
    <w:rsid w:val="00A26096"/>
    <w:rsid w:val="00A2667D"/>
    <w:rsid w:val="00A274CC"/>
    <w:rsid w:val="00A27738"/>
    <w:rsid w:val="00A3053F"/>
    <w:rsid w:val="00A30776"/>
    <w:rsid w:val="00A322C9"/>
    <w:rsid w:val="00A34AC3"/>
    <w:rsid w:val="00A35B21"/>
    <w:rsid w:val="00A35EA8"/>
    <w:rsid w:val="00A36D2F"/>
    <w:rsid w:val="00A37D47"/>
    <w:rsid w:val="00A37EA2"/>
    <w:rsid w:val="00A40478"/>
    <w:rsid w:val="00A41E6B"/>
    <w:rsid w:val="00A42C18"/>
    <w:rsid w:val="00A42C7E"/>
    <w:rsid w:val="00A43FD7"/>
    <w:rsid w:val="00A442E0"/>
    <w:rsid w:val="00A44ED8"/>
    <w:rsid w:val="00A44FA3"/>
    <w:rsid w:val="00A456A9"/>
    <w:rsid w:val="00A457CA"/>
    <w:rsid w:val="00A45863"/>
    <w:rsid w:val="00A45A31"/>
    <w:rsid w:val="00A45A6E"/>
    <w:rsid w:val="00A45E5F"/>
    <w:rsid w:val="00A46800"/>
    <w:rsid w:val="00A4717E"/>
    <w:rsid w:val="00A4774D"/>
    <w:rsid w:val="00A4788D"/>
    <w:rsid w:val="00A47BCF"/>
    <w:rsid w:val="00A5287E"/>
    <w:rsid w:val="00A52E37"/>
    <w:rsid w:val="00A530DF"/>
    <w:rsid w:val="00A5315D"/>
    <w:rsid w:val="00A53827"/>
    <w:rsid w:val="00A5462B"/>
    <w:rsid w:val="00A56022"/>
    <w:rsid w:val="00A5608A"/>
    <w:rsid w:val="00A56A2E"/>
    <w:rsid w:val="00A56F39"/>
    <w:rsid w:val="00A57AB4"/>
    <w:rsid w:val="00A57BCC"/>
    <w:rsid w:val="00A57CF9"/>
    <w:rsid w:val="00A60312"/>
    <w:rsid w:val="00A60CB5"/>
    <w:rsid w:val="00A61C1B"/>
    <w:rsid w:val="00A625E6"/>
    <w:rsid w:val="00A63730"/>
    <w:rsid w:val="00A639D0"/>
    <w:rsid w:val="00A63C79"/>
    <w:rsid w:val="00A63DEA"/>
    <w:rsid w:val="00A6497C"/>
    <w:rsid w:val="00A651DD"/>
    <w:rsid w:val="00A65AC3"/>
    <w:rsid w:val="00A65DF9"/>
    <w:rsid w:val="00A6609E"/>
    <w:rsid w:val="00A66C8A"/>
    <w:rsid w:val="00A672E3"/>
    <w:rsid w:val="00A67865"/>
    <w:rsid w:val="00A70F04"/>
    <w:rsid w:val="00A71DB5"/>
    <w:rsid w:val="00A73B90"/>
    <w:rsid w:val="00A73D44"/>
    <w:rsid w:val="00A74850"/>
    <w:rsid w:val="00A74D52"/>
    <w:rsid w:val="00A75A34"/>
    <w:rsid w:val="00A75A39"/>
    <w:rsid w:val="00A76A08"/>
    <w:rsid w:val="00A76F02"/>
    <w:rsid w:val="00A776C1"/>
    <w:rsid w:val="00A778B1"/>
    <w:rsid w:val="00A80684"/>
    <w:rsid w:val="00A80779"/>
    <w:rsid w:val="00A80922"/>
    <w:rsid w:val="00A8444A"/>
    <w:rsid w:val="00A84C7B"/>
    <w:rsid w:val="00A85174"/>
    <w:rsid w:val="00A864E9"/>
    <w:rsid w:val="00A87729"/>
    <w:rsid w:val="00A901EA"/>
    <w:rsid w:val="00A90BCB"/>
    <w:rsid w:val="00A9163F"/>
    <w:rsid w:val="00A91CCD"/>
    <w:rsid w:val="00A91E95"/>
    <w:rsid w:val="00A921C3"/>
    <w:rsid w:val="00A929FF"/>
    <w:rsid w:val="00A9382A"/>
    <w:rsid w:val="00A939F6"/>
    <w:rsid w:val="00A9413C"/>
    <w:rsid w:val="00A946EE"/>
    <w:rsid w:val="00A94EC7"/>
    <w:rsid w:val="00AA1A0B"/>
    <w:rsid w:val="00AA1E1D"/>
    <w:rsid w:val="00AA245B"/>
    <w:rsid w:val="00AA3449"/>
    <w:rsid w:val="00AA3883"/>
    <w:rsid w:val="00AA4CE7"/>
    <w:rsid w:val="00AA51FE"/>
    <w:rsid w:val="00AA5320"/>
    <w:rsid w:val="00AB015A"/>
    <w:rsid w:val="00AB0296"/>
    <w:rsid w:val="00AB2557"/>
    <w:rsid w:val="00AB2709"/>
    <w:rsid w:val="00AB349D"/>
    <w:rsid w:val="00AB3A15"/>
    <w:rsid w:val="00AB3C86"/>
    <w:rsid w:val="00AB4DF9"/>
    <w:rsid w:val="00AB5B42"/>
    <w:rsid w:val="00AB6EFA"/>
    <w:rsid w:val="00AB7446"/>
    <w:rsid w:val="00AC069F"/>
    <w:rsid w:val="00AC0B22"/>
    <w:rsid w:val="00AC0F2B"/>
    <w:rsid w:val="00AC2BDF"/>
    <w:rsid w:val="00AC2DE6"/>
    <w:rsid w:val="00AC33D5"/>
    <w:rsid w:val="00AC4933"/>
    <w:rsid w:val="00AC4B63"/>
    <w:rsid w:val="00AC5A9D"/>
    <w:rsid w:val="00AC6849"/>
    <w:rsid w:val="00AC69E9"/>
    <w:rsid w:val="00AC75A5"/>
    <w:rsid w:val="00AC7683"/>
    <w:rsid w:val="00AC777B"/>
    <w:rsid w:val="00AD06EF"/>
    <w:rsid w:val="00AD0EA3"/>
    <w:rsid w:val="00AD1321"/>
    <w:rsid w:val="00AD179C"/>
    <w:rsid w:val="00AD228C"/>
    <w:rsid w:val="00AD3397"/>
    <w:rsid w:val="00AD33D1"/>
    <w:rsid w:val="00AD454B"/>
    <w:rsid w:val="00AD49AC"/>
    <w:rsid w:val="00AD4F4B"/>
    <w:rsid w:val="00AD5B39"/>
    <w:rsid w:val="00AD5CD9"/>
    <w:rsid w:val="00AD5FB1"/>
    <w:rsid w:val="00AD60A0"/>
    <w:rsid w:val="00AD63E3"/>
    <w:rsid w:val="00AE23DF"/>
    <w:rsid w:val="00AE3052"/>
    <w:rsid w:val="00AE3794"/>
    <w:rsid w:val="00AE3B43"/>
    <w:rsid w:val="00AE475B"/>
    <w:rsid w:val="00AE4886"/>
    <w:rsid w:val="00AE605C"/>
    <w:rsid w:val="00AE63E1"/>
    <w:rsid w:val="00AE6700"/>
    <w:rsid w:val="00AE6CA4"/>
    <w:rsid w:val="00AE7102"/>
    <w:rsid w:val="00AF030D"/>
    <w:rsid w:val="00AF0B1E"/>
    <w:rsid w:val="00AF0C51"/>
    <w:rsid w:val="00AF0C83"/>
    <w:rsid w:val="00AF2A94"/>
    <w:rsid w:val="00AF4188"/>
    <w:rsid w:val="00AF45F1"/>
    <w:rsid w:val="00AF48A2"/>
    <w:rsid w:val="00AF5236"/>
    <w:rsid w:val="00AF75A7"/>
    <w:rsid w:val="00AF767F"/>
    <w:rsid w:val="00AF77E4"/>
    <w:rsid w:val="00B00D28"/>
    <w:rsid w:val="00B02200"/>
    <w:rsid w:val="00B033D6"/>
    <w:rsid w:val="00B04224"/>
    <w:rsid w:val="00B04C29"/>
    <w:rsid w:val="00B05A06"/>
    <w:rsid w:val="00B05FCF"/>
    <w:rsid w:val="00B060E6"/>
    <w:rsid w:val="00B0633D"/>
    <w:rsid w:val="00B07730"/>
    <w:rsid w:val="00B10F50"/>
    <w:rsid w:val="00B1106B"/>
    <w:rsid w:val="00B115A4"/>
    <w:rsid w:val="00B1163B"/>
    <w:rsid w:val="00B11D22"/>
    <w:rsid w:val="00B121B0"/>
    <w:rsid w:val="00B122EA"/>
    <w:rsid w:val="00B12B3C"/>
    <w:rsid w:val="00B14046"/>
    <w:rsid w:val="00B14558"/>
    <w:rsid w:val="00B145B0"/>
    <w:rsid w:val="00B14B4B"/>
    <w:rsid w:val="00B15174"/>
    <w:rsid w:val="00B15DF6"/>
    <w:rsid w:val="00B162FB"/>
    <w:rsid w:val="00B1738D"/>
    <w:rsid w:val="00B2058A"/>
    <w:rsid w:val="00B20628"/>
    <w:rsid w:val="00B20E5B"/>
    <w:rsid w:val="00B22C49"/>
    <w:rsid w:val="00B236CF"/>
    <w:rsid w:val="00B23D4D"/>
    <w:rsid w:val="00B240C9"/>
    <w:rsid w:val="00B25F40"/>
    <w:rsid w:val="00B26376"/>
    <w:rsid w:val="00B27733"/>
    <w:rsid w:val="00B27F4C"/>
    <w:rsid w:val="00B30486"/>
    <w:rsid w:val="00B31A9A"/>
    <w:rsid w:val="00B31BAB"/>
    <w:rsid w:val="00B31D0B"/>
    <w:rsid w:val="00B31F44"/>
    <w:rsid w:val="00B3211A"/>
    <w:rsid w:val="00B32588"/>
    <w:rsid w:val="00B32EC6"/>
    <w:rsid w:val="00B35BBF"/>
    <w:rsid w:val="00B35DD6"/>
    <w:rsid w:val="00B36137"/>
    <w:rsid w:val="00B36E19"/>
    <w:rsid w:val="00B36E3B"/>
    <w:rsid w:val="00B3709F"/>
    <w:rsid w:val="00B372BC"/>
    <w:rsid w:val="00B37316"/>
    <w:rsid w:val="00B410D4"/>
    <w:rsid w:val="00B41CB3"/>
    <w:rsid w:val="00B42F98"/>
    <w:rsid w:val="00B45531"/>
    <w:rsid w:val="00B45E91"/>
    <w:rsid w:val="00B45F13"/>
    <w:rsid w:val="00B474F9"/>
    <w:rsid w:val="00B50000"/>
    <w:rsid w:val="00B50915"/>
    <w:rsid w:val="00B50B11"/>
    <w:rsid w:val="00B510E9"/>
    <w:rsid w:val="00B51878"/>
    <w:rsid w:val="00B51C2C"/>
    <w:rsid w:val="00B52819"/>
    <w:rsid w:val="00B52BDA"/>
    <w:rsid w:val="00B54201"/>
    <w:rsid w:val="00B54F78"/>
    <w:rsid w:val="00B55606"/>
    <w:rsid w:val="00B55A0B"/>
    <w:rsid w:val="00B56A86"/>
    <w:rsid w:val="00B56FDF"/>
    <w:rsid w:val="00B57018"/>
    <w:rsid w:val="00B57A4F"/>
    <w:rsid w:val="00B57B65"/>
    <w:rsid w:val="00B61455"/>
    <w:rsid w:val="00B617B8"/>
    <w:rsid w:val="00B6238F"/>
    <w:rsid w:val="00B631D5"/>
    <w:rsid w:val="00B63205"/>
    <w:rsid w:val="00B65384"/>
    <w:rsid w:val="00B6540B"/>
    <w:rsid w:val="00B66718"/>
    <w:rsid w:val="00B67D54"/>
    <w:rsid w:val="00B7168C"/>
    <w:rsid w:val="00B71BB3"/>
    <w:rsid w:val="00B71E24"/>
    <w:rsid w:val="00B7256C"/>
    <w:rsid w:val="00B73275"/>
    <w:rsid w:val="00B73FF5"/>
    <w:rsid w:val="00B74B93"/>
    <w:rsid w:val="00B74EFA"/>
    <w:rsid w:val="00B75E80"/>
    <w:rsid w:val="00B766D2"/>
    <w:rsid w:val="00B767BE"/>
    <w:rsid w:val="00B76A8F"/>
    <w:rsid w:val="00B77AF3"/>
    <w:rsid w:val="00B8201A"/>
    <w:rsid w:val="00B8203E"/>
    <w:rsid w:val="00B8346D"/>
    <w:rsid w:val="00B834BE"/>
    <w:rsid w:val="00B83D38"/>
    <w:rsid w:val="00B8488B"/>
    <w:rsid w:val="00B865E3"/>
    <w:rsid w:val="00B903D5"/>
    <w:rsid w:val="00B90C17"/>
    <w:rsid w:val="00B913DE"/>
    <w:rsid w:val="00B91B99"/>
    <w:rsid w:val="00B92866"/>
    <w:rsid w:val="00B937F0"/>
    <w:rsid w:val="00B94FB8"/>
    <w:rsid w:val="00B97EA7"/>
    <w:rsid w:val="00BA092B"/>
    <w:rsid w:val="00BA0BAD"/>
    <w:rsid w:val="00BA126A"/>
    <w:rsid w:val="00BA177F"/>
    <w:rsid w:val="00BA2F3A"/>
    <w:rsid w:val="00BA435C"/>
    <w:rsid w:val="00BA44C7"/>
    <w:rsid w:val="00BA458B"/>
    <w:rsid w:val="00BA4811"/>
    <w:rsid w:val="00BA5317"/>
    <w:rsid w:val="00BA57DB"/>
    <w:rsid w:val="00BA5895"/>
    <w:rsid w:val="00BA5BCB"/>
    <w:rsid w:val="00BA6A3A"/>
    <w:rsid w:val="00BA6A87"/>
    <w:rsid w:val="00BA6F31"/>
    <w:rsid w:val="00BA7BCF"/>
    <w:rsid w:val="00BB04B9"/>
    <w:rsid w:val="00BB18F1"/>
    <w:rsid w:val="00BB1E15"/>
    <w:rsid w:val="00BB203D"/>
    <w:rsid w:val="00BB22F5"/>
    <w:rsid w:val="00BB4199"/>
    <w:rsid w:val="00BB4B19"/>
    <w:rsid w:val="00BB591B"/>
    <w:rsid w:val="00BB5BC8"/>
    <w:rsid w:val="00BB70E6"/>
    <w:rsid w:val="00BB7448"/>
    <w:rsid w:val="00BB7841"/>
    <w:rsid w:val="00BB79B3"/>
    <w:rsid w:val="00BC0A0B"/>
    <w:rsid w:val="00BC1147"/>
    <w:rsid w:val="00BC18F2"/>
    <w:rsid w:val="00BC1AC0"/>
    <w:rsid w:val="00BC1FD7"/>
    <w:rsid w:val="00BC2211"/>
    <w:rsid w:val="00BC3A99"/>
    <w:rsid w:val="00BC3E5B"/>
    <w:rsid w:val="00BC474C"/>
    <w:rsid w:val="00BC4887"/>
    <w:rsid w:val="00BC5A4F"/>
    <w:rsid w:val="00BC5DB1"/>
    <w:rsid w:val="00BC70F1"/>
    <w:rsid w:val="00BC7A00"/>
    <w:rsid w:val="00BD02D3"/>
    <w:rsid w:val="00BD2A4A"/>
    <w:rsid w:val="00BD30D9"/>
    <w:rsid w:val="00BD3E20"/>
    <w:rsid w:val="00BD3FEC"/>
    <w:rsid w:val="00BD4801"/>
    <w:rsid w:val="00BD489E"/>
    <w:rsid w:val="00BD4B85"/>
    <w:rsid w:val="00BD4D9E"/>
    <w:rsid w:val="00BD57E6"/>
    <w:rsid w:val="00BD5827"/>
    <w:rsid w:val="00BD665E"/>
    <w:rsid w:val="00BD6678"/>
    <w:rsid w:val="00BD68A0"/>
    <w:rsid w:val="00BD6F80"/>
    <w:rsid w:val="00BD788E"/>
    <w:rsid w:val="00BE156C"/>
    <w:rsid w:val="00BE23E0"/>
    <w:rsid w:val="00BE29B0"/>
    <w:rsid w:val="00BE3484"/>
    <w:rsid w:val="00BE3C1E"/>
    <w:rsid w:val="00BE3F62"/>
    <w:rsid w:val="00BE5BD6"/>
    <w:rsid w:val="00BE6D97"/>
    <w:rsid w:val="00BF0677"/>
    <w:rsid w:val="00BF2028"/>
    <w:rsid w:val="00BF44D2"/>
    <w:rsid w:val="00BF4859"/>
    <w:rsid w:val="00BF4B6C"/>
    <w:rsid w:val="00BF4F95"/>
    <w:rsid w:val="00BF59D4"/>
    <w:rsid w:val="00BF710E"/>
    <w:rsid w:val="00BF71D3"/>
    <w:rsid w:val="00C02042"/>
    <w:rsid w:val="00C02062"/>
    <w:rsid w:val="00C02E95"/>
    <w:rsid w:val="00C03291"/>
    <w:rsid w:val="00C03B56"/>
    <w:rsid w:val="00C03F7C"/>
    <w:rsid w:val="00C03FB1"/>
    <w:rsid w:val="00C05812"/>
    <w:rsid w:val="00C05CB6"/>
    <w:rsid w:val="00C10081"/>
    <w:rsid w:val="00C10A9A"/>
    <w:rsid w:val="00C11C30"/>
    <w:rsid w:val="00C12D5D"/>
    <w:rsid w:val="00C131FD"/>
    <w:rsid w:val="00C144AB"/>
    <w:rsid w:val="00C14A60"/>
    <w:rsid w:val="00C15469"/>
    <w:rsid w:val="00C155F1"/>
    <w:rsid w:val="00C15C4E"/>
    <w:rsid w:val="00C15EF1"/>
    <w:rsid w:val="00C1622D"/>
    <w:rsid w:val="00C16E3E"/>
    <w:rsid w:val="00C16F88"/>
    <w:rsid w:val="00C17768"/>
    <w:rsid w:val="00C200DF"/>
    <w:rsid w:val="00C2079A"/>
    <w:rsid w:val="00C21CFF"/>
    <w:rsid w:val="00C24579"/>
    <w:rsid w:val="00C25576"/>
    <w:rsid w:val="00C25EE5"/>
    <w:rsid w:val="00C26183"/>
    <w:rsid w:val="00C261C0"/>
    <w:rsid w:val="00C26A58"/>
    <w:rsid w:val="00C26CBE"/>
    <w:rsid w:val="00C26DBB"/>
    <w:rsid w:val="00C27AC4"/>
    <w:rsid w:val="00C302F4"/>
    <w:rsid w:val="00C307AF"/>
    <w:rsid w:val="00C30804"/>
    <w:rsid w:val="00C30D4E"/>
    <w:rsid w:val="00C321DF"/>
    <w:rsid w:val="00C323EE"/>
    <w:rsid w:val="00C3317F"/>
    <w:rsid w:val="00C33671"/>
    <w:rsid w:val="00C33E80"/>
    <w:rsid w:val="00C349B1"/>
    <w:rsid w:val="00C3516D"/>
    <w:rsid w:val="00C35806"/>
    <w:rsid w:val="00C363B7"/>
    <w:rsid w:val="00C363E6"/>
    <w:rsid w:val="00C375FA"/>
    <w:rsid w:val="00C42D6F"/>
    <w:rsid w:val="00C4302B"/>
    <w:rsid w:val="00C4331E"/>
    <w:rsid w:val="00C435BA"/>
    <w:rsid w:val="00C43CE9"/>
    <w:rsid w:val="00C44913"/>
    <w:rsid w:val="00C45A59"/>
    <w:rsid w:val="00C46A72"/>
    <w:rsid w:val="00C47919"/>
    <w:rsid w:val="00C51174"/>
    <w:rsid w:val="00C51469"/>
    <w:rsid w:val="00C519AF"/>
    <w:rsid w:val="00C52121"/>
    <w:rsid w:val="00C53644"/>
    <w:rsid w:val="00C53A21"/>
    <w:rsid w:val="00C53E7F"/>
    <w:rsid w:val="00C54930"/>
    <w:rsid w:val="00C5551D"/>
    <w:rsid w:val="00C55779"/>
    <w:rsid w:val="00C55D13"/>
    <w:rsid w:val="00C56986"/>
    <w:rsid w:val="00C6060F"/>
    <w:rsid w:val="00C606C7"/>
    <w:rsid w:val="00C60BE6"/>
    <w:rsid w:val="00C60E78"/>
    <w:rsid w:val="00C637EA"/>
    <w:rsid w:val="00C64FBF"/>
    <w:rsid w:val="00C663A6"/>
    <w:rsid w:val="00C668AE"/>
    <w:rsid w:val="00C66D32"/>
    <w:rsid w:val="00C678A4"/>
    <w:rsid w:val="00C70AE0"/>
    <w:rsid w:val="00C73023"/>
    <w:rsid w:val="00C731A9"/>
    <w:rsid w:val="00C736D1"/>
    <w:rsid w:val="00C73B71"/>
    <w:rsid w:val="00C73B93"/>
    <w:rsid w:val="00C742B8"/>
    <w:rsid w:val="00C74D28"/>
    <w:rsid w:val="00C74FB3"/>
    <w:rsid w:val="00C80D11"/>
    <w:rsid w:val="00C8142A"/>
    <w:rsid w:val="00C81A4B"/>
    <w:rsid w:val="00C81BB7"/>
    <w:rsid w:val="00C831CE"/>
    <w:rsid w:val="00C8615F"/>
    <w:rsid w:val="00C87184"/>
    <w:rsid w:val="00C87753"/>
    <w:rsid w:val="00C92784"/>
    <w:rsid w:val="00C92979"/>
    <w:rsid w:val="00C9318D"/>
    <w:rsid w:val="00C932EF"/>
    <w:rsid w:val="00C93C90"/>
    <w:rsid w:val="00C9443E"/>
    <w:rsid w:val="00C9476A"/>
    <w:rsid w:val="00C95317"/>
    <w:rsid w:val="00C9555E"/>
    <w:rsid w:val="00C959E4"/>
    <w:rsid w:val="00C95D0B"/>
    <w:rsid w:val="00C95F96"/>
    <w:rsid w:val="00C97BA0"/>
    <w:rsid w:val="00CA0DA3"/>
    <w:rsid w:val="00CA11FC"/>
    <w:rsid w:val="00CA1410"/>
    <w:rsid w:val="00CA173A"/>
    <w:rsid w:val="00CA532F"/>
    <w:rsid w:val="00CA5472"/>
    <w:rsid w:val="00CA5C53"/>
    <w:rsid w:val="00CA615B"/>
    <w:rsid w:val="00CA6A54"/>
    <w:rsid w:val="00CA77B5"/>
    <w:rsid w:val="00CB0221"/>
    <w:rsid w:val="00CB126F"/>
    <w:rsid w:val="00CB1FFB"/>
    <w:rsid w:val="00CB27F9"/>
    <w:rsid w:val="00CB2C90"/>
    <w:rsid w:val="00CB3590"/>
    <w:rsid w:val="00CB3C66"/>
    <w:rsid w:val="00CB3EF4"/>
    <w:rsid w:val="00CB3FEE"/>
    <w:rsid w:val="00CB474C"/>
    <w:rsid w:val="00CB5001"/>
    <w:rsid w:val="00CB5FD0"/>
    <w:rsid w:val="00CB68D3"/>
    <w:rsid w:val="00CB6FCF"/>
    <w:rsid w:val="00CB7465"/>
    <w:rsid w:val="00CB7589"/>
    <w:rsid w:val="00CB7693"/>
    <w:rsid w:val="00CC0164"/>
    <w:rsid w:val="00CC0AE7"/>
    <w:rsid w:val="00CC23CF"/>
    <w:rsid w:val="00CC2B85"/>
    <w:rsid w:val="00CC2BA7"/>
    <w:rsid w:val="00CC4851"/>
    <w:rsid w:val="00CC53E0"/>
    <w:rsid w:val="00CC6BC1"/>
    <w:rsid w:val="00CC7DAC"/>
    <w:rsid w:val="00CD015C"/>
    <w:rsid w:val="00CD0932"/>
    <w:rsid w:val="00CD3096"/>
    <w:rsid w:val="00CD4CDD"/>
    <w:rsid w:val="00CD58C5"/>
    <w:rsid w:val="00CD5930"/>
    <w:rsid w:val="00CD671B"/>
    <w:rsid w:val="00CD6F23"/>
    <w:rsid w:val="00CD7B05"/>
    <w:rsid w:val="00CE006A"/>
    <w:rsid w:val="00CE1183"/>
    <w:rsid w:val="00CE17FC"/>
    <w:rsid w:val="00CE1E3D"/>
    <w:rsid w:val="00CE3BB7"/>
    <w:rsid w:val="00CE605D"/>
    <w:rsid w:val="00CE6949"/>
    <w:rsid w:val="00CE701D"/>
    <w:rsid w:val="00CE7D5C"/>
    <w:rsid w:val="00CF008B"/>
    <w:rsid w:val="00CF0BA9"/>
    <w:rsid w:val="00CF15F5"/>
    <w:rsid w:val="00CF2A1B"/>
    <w:rsid w:val="00CF31D1"/>
    <w:rsid w:val="00CF3307"/>
    <w:rsid w:val="00CF352E"/>
    <w:rsid w:val="00CF3D20"/>
    <w:rsid w:val="00CF4102"/>
    <w:rsid w:val="00CF4BA4"/>
    <w:rsid w:val="00CF4F95"/>
    <w:rsid w:val="00CF7212"/>
    <w:rsid w:val="00CF7295"/>
    <w:rsid w:val="00CF72AB"/>
    <w:rsid w:val="00CF7CEC"/>
    <w:rsid w:val="00D008FD"/>
    <w:rsid w:val="00D00CD6"/>
    <w:rsid w:val="00D00E05"/>
    <w:rsid w:val="00D01238"/>
    <w:rsid w:val="00D02907"/>
    <w:rsid w:val="00D03137"/>
    <w:rsid w:val="00D032A2"/>
    <w:rsid w:val="00D033FA"/>
    <w:rsid w:val="00D035FA"/>
    <w:rsid w:val="00D03BC8"/>
    <w:rsid w:val="00D0547B"/>
    <w:rsid w:val="00D10294"/>
    <w:rsid w:val="00D11363"/>
    <w:rsid w:val="00D1195F"/>
    <w:rsid w:val="00D12225"/>
    <w:rsid w:val="00D12472"/>
    <w:rsid w:val="00D12933"/>
    <w:rsid w:val="00D135FE"/>
    <w:rsid w:val="00D14CDB"/>
    <w:rsid w:val="00D1531F"/>
    <w:rsid w:val="00D15407"/>
    <w:rsid w:val="00D15A40"/>
    <w:rsid w:val="00D15A82"/>
    <w:rsid w:val="00D16732"/>
    <w:rsid w:val="00D167F1"/>
    <w:rsid w:val="00D16BBB"/>
    <w:rsid w:val="00D178D6"/>
    <w:rsid w:val="00D17DA7"/>
    <w:rsid w:val="00D17E80"/>
    <w:rsid w:val="00D20174"/>
    <w:rsid w:val="00D20BB3"/>
    <w:rsid w:val="00D22655"/>
    <w:rsid w:val="00D22D6C"/>
    <w:rsid w:val="00D25684"/>
    <w:rsid w:val="00D268E6"/>
    <w:rsid w:val="00D26B25"/>
    <w:rsid w:val="00D271EF"/>
    <w:rsid w:val="00D27D51"/>
    <w:rsid w:val="00D30784"/>
    <w:rsid w:val="00D31CC2"/>
    <w:rsid w:val="00D33C6E"/>
    <w:rsid w:val="00D33D4C"/>
    <w:rsid w:val="00D34940"/>
    <w:rsid w:val="00D35410"/>
    <w:rsid w:val="00D3666B"/>
    <w:rsid w:val="00D372EA"/>
    <w:rsid w:val="00D37327"/>
    <w:rsid w:val="00D400A4"/>
    <w:rsid w:val="00D40220"/>
    <w:rsid w:val="00D40D82"/>
    <w:rsid w:val="00D40F8F"/>
    <w:rsid w:val="00D41C85"/>
    <w:rsid w:val="00D41F6E"/>
    <w:rsid w:val="00D42018"/>
    <w:rsid w:val="00D423B2"/>
    <w:rsid w:val="00D42C2C"/>
    <w:rsid w:val="00D449D6"/>
    <w:rsid w:val="00D453BC"/>
    <w:rsid w:val="00D45719"/>
    <w:rsid w:val="00D4603C"/>
    <w:rsid w:val="00D47B4B"/>
    <w:rsid w:val="00D50725"/>
    <w:rsid w:val="00D50A28"/>
    <w:rsid w:val="00D51740"/>
    <w:rsid w:val="00D517F5"/>
    <w:rsid w:val="00D51C60"/>
    <w:rsid w:val="00D51CBB"/>
    <w:rsid w:val="00D53142"/>
    <w:rsid w:val="00D53565"/>
    <w:rsid w:val="00D549F0"/>
    <w:rsid w:val="00D55059"/>
    <w:rsid w:val="00D55078"/>
    <w:rsid w:val="00D55377"/>
    <w:rsid w:val="00D55C35"/>
    <w:rsid w:val="00D55F6B"/>
    <w:rsid w:val="00D56FE0"/>
    <w:rsid w:val="00D572EC"/>
    <w:rsid w:val="00D5773D"/>
    <w:rsid w:val="00D60B04"/>
    <w:rsid w:val="00D625B6"/>
    <w:rsid w:val="00D64293"/>
    <w:rsid w:val="00D646D5"/>
    <w:rsid w:val="00D64916"/>
    <w:rsid w:val="00D669D7"/>
    <w:rsid w:val="00D66C2A"/>
    <w:rsid w:val="00D66F2E"/>
    <w:rsid w:val="00D66F3B"/>
    <w:rsid w:val="00D67356"/>
    <w:rsid w:val="00D67C2C"/>
    <w:rsid w:val="00D67FB8"/>
    <w:rsid w:val="00D7070A"/>
    <w:rsid w:val="00D70B4D"/>
    <w:rsid w:val="00D72477"/>
    <w:rsid w:val="00D7265D"/>
    <w:rsid w:val="00D73024"/>
    <w:rsid w:val="00D731D0"/>
    <w:rsid w:val="00D76DB2"/>
    <w:rsid w:val="00D77936"/>
    <w:rsid w:val="00D77E05"/>
    <w:rsid w:val="00D80432"/>
    <w:rsid w:val="00D80577"/>
    <w:rsid w:val="00D806DE"/>
    <w:rsid w:val="00D80D65"/>
    <w:rsid w:val="00D81C56"/>
    <w:rsid w:val="00D841AB"/>
    <w:rsid w:val="00D8599B"/>
    <w:rsid w:val="00D875C6"/>
    <w:rsid w:val="00D87635"/>
    <w:rsid w:val="00D8765E"/>
    <w:rsid w:val="00D87A78"/>
    <w:rsid w:val="00D9006A"/>
    <w:rsid w:val="00D91799"/>
    <w:rsid w:val="00D92AE9"/>
    <w:rsid w:val="00D932C0"/>
    <w:rsid w:val="00D938A5"/>
    <w:rsid w:val="00D93E3B"/>
    <w:rsid w:val="00D9422B"/>
    <w:rsid w:val="00D945F9"/>
    <w:rsid w:val="00D958EC"/>
    <w:rsid w:val="00D95A26"/>
    <w:rsid w:val="00D971C3"/>
    <w:rsid w:val="00D97B7D"/>
    <w:rsid w:val="00D97FD7"/>
    <w:rsid w:val="00DA0EC6"/>
    <w:rsid w:val="00DA1C6E"/>
    <w:rsid w:val="00DA2455"/>
    <w:rsid w:val="00DA2537"/>
    <w:rsid w:val="00DA293A"/>
    <w:rsid w:val="00DA2BDA"/>
    <w:rsid w:val="00DA2E0E"/>
    <w:rsid w:val="00DA37DC"/>
    <w:rsid w:val="00DA394B"/>
    <w:rsid w:val="00DA558B"/>
    <w:rsid w:val="00DA56AD"/>
    <w:rsid w:val="00DA6AF9"/>
    <w:rsid w:val="00DA7D62"/>
    <w:rsid w:val="00DB01A8"/>
    <w:rsid w:val="00DB09DF"/>
    <w:rsid w:val="00DB0A44"/>
    <w:rsid w:val="00DB26D4"/>
    <w:rsid w:val="00DB3458"/>
    <w:rsid w:val="00DB450E"/>
    <w:rsid w:val="00DB572B"/>
    <w:rsid w:val="00DB5FBB"/>
    <w:rsid w:val="00DB65F7"/>
    <w:rsid w:val="00DB77B7"/>
    <w:rsid w:val="00DC173B"/>
    <w:rsid w:val="00DC190B"/>
    <w:rsid w:val="00DC21A8"/>
    <w:rsid w:val="00DC30C9"/>
    <w:rsid w:val="00DC3CB6"/>
    <w:rsid w:val="00DC3FF1"/>
    <w:rsid w:val="00DC4163"/>
    <w:rsid w:val="00DC51C7"/>
    <w:rsid w:val="00DC5EBE"/>
    <w:rsid w:val="00DC6061"/>
    <w:rsid w:val="00DC7CF5"/>
    <w:rsid w:val="00DC7EC9"/>
    <w:rsid w:val="00DD0450"/>
    <w:rsid w:val="00DD079E"/>
    <w:rsid w:val="00DD1A46"/>
    <w:rsid w:val="00DD1C24"/>
    <w:rsid w:val="00DD207A"/>
    <w:rsid w:val="00DD30DA"/>
    <w:rsid w:val="00DD38C1"/>
    <w:rsid w:val="00DD4244"/>
    <w:rsid w:val="00DD439B"/>
    <w:rsid w:val="00DD4D47"/>
    <w:rsid w:val="00DD5E4B"/>
    <w:rsid w:val="00DD6F58"/>
    <w:rsid w:val="00DD718B"/>
    <w:rsid w:val="00DD766A"/>
    <w:rsid w:val="00DE1283"/>
    <w:rsid w:val="00DE15E8"/>
    <w:rsid w:val="00DE291C"/>
    <w:rsid w:val="00DE367A"/>
    <w:rsid w:val="00DE3FA1"/>
    <w:rsid w:val="00DE5909"/>
    <w:rsid w:val="00DE6196"/>
    <w:rsid w:val="00DF0257"/>
    <w:rsid w:val="00DF078C"/>
    <w:rsid w:val="00DF0900"/>
    <w:rsid w:val="00DF09B5"/>
    <w:rsid w:val="00DF1CC1"/>
    <w:rsid w:val="00DF1E52"/>
    <w:rsid w:val="00DF2A7E"/>
    <w:rsid w:val="00DF2E8E"/>
    <w:rsid w:val="00DF3973"/>
    <w:rsid w:val="00DF39C3"/>
    <w:rsid w:val="00DF3B8B"/>
    <w:rsid w:val="00DF4966"/>
    <w:rsid w:val="00DF4B13"/>
    <w:rsid w:val="00DF4B63"/>
    <w:rsid w:val="00DF52BB"/>
    <w:rsid w:val="00DF5395"/>
    <w:rsid w:val="00DF54F5"/>
    <w:rsid w:val="00DF577C"/>
    <w:rsid w:val="00DF641D"/>
    <w:rsid w:val="00DF6971"/>
    <w:rsid w:val="00DF6B35"/>
    <w:rsid w:val="00DF756B"/>
    <w:rsid w:val="00DF7A91"/>
    <w:rsid w:val="00E00C84"/>
    <w:rsid w:val="00E01275"/>
    <w:rsid w:val="00E01531"/>
    <w:rsid w:val="00E03FE1"/>
    <w:rsid w:val="00E04DBF"/>
    <w:rsid w:val="00E04DF9"/>
    <w:rsid w:val="00E051B2"/>
    <w:rsid w:val="00E06491"/>
    <w:rsid w:val="00E066C0"/>
    <w:rsid w:val="00E06821"/>
    <w:rsid w:val="00E06928"/>
    <w:rsid w:val="00E10D68"/>
    <w:rsid w:val="00E135AE"/>
    <w:rsid w:val="00E1434E"/>
    <w:rsid w:val="00E156BA"/>
    <w:rsid w:val="00E15A51"/>
    <w:rsid w:val="00E15BEB"/>
    <w:rsid w:val="00E17253"/>
    <w:rsid w:val="00E17BAA"/>
    <w:rsid w:val="00E17CEB"/>
    <w:rsid w:val="00E20953"/>
    <w:rsid w:val="00E219FE"/>
    <w:rsid w:val="00E21CA5"/>
    <w:rsid w:val="00E22310"/>
    <w:rsid w:val="00E225EC"/>
    <w:rsid w:val="00E22AEF"/>
    <w:rsid w:val="00E234B4"/>
    <w:rsid w:val="00E238CE"/>
    <w:rsid w:val="00E23F0C"/>
    <w:rsid w:val="00E24950"/>
    <w:rsid w:val="00E25963"/>
    <w:rsid w:val="00E26205"/>
    <w:rsid w:val="00E26D59"/>
    <w:rsid w:val="00E26F4E"/>
    <w:rsid w:val="00E3003F"/>
    <w:rsid w:val="00E307A0"/>
    <w:rsid w:val="00E31CB6"/>
    <w:rsid w:val="00E3205F"/>
    <w:rsid w:val="00E328FE"/>
    <w:rsid w:val="00E32A05"/>
    <w:rsid w:val="00E33108"/>
    <w:rsid w:val="00E3355F"/>
    <w:rsid w:val="00E34DA1"/>
    <w:rsid w:val="00E35D23"/>
    <w:rsid w:val="00E36738"/>
    <w:rsid w:val="00E40160"/>
    <w:rsid w:val="00E42214"/>
    <w:rsid w:val="00E423D0"/>
    <w:rsid w:val="00E43448"/>
    <w:rsid w:val="00E4389A"/>
    <w:rsid w:val="00E43EF4"/>
    <w:rsid w:val="00E43FBE"/>
    <w:rsid w:val="00E449C0"/>
    <w:rsid w:val="00E455B4"/>
    <w:rsid w:val="00E4642C"/>
    <w:rsid w:val="00E4653B"/>
    <w:rsid w:val="00E47AAE"/>
    <w:rsid w:val="00E505E6"/>
    <w:rsid w:val="00E50C0D"/>
    <w:rsid w:val="00E51120"/>
    <w:rsid w:val="00E51BDD"/>
    <w:rsid w:val="00E51E77"/>
    <w:rsid w:val="00E527BE"/>
    <w:rsid w:val="00E52867"/>
    <w:rsid w:val="00E534DF"/>
    <w:rsid w:val="00E53582"/>
    <w:rsid w:val="00E53F02"/>
    <w:rsid w:val="00E54165"/>
    <w:rsid w:val="00E5429A"/>
    <w:rsid w:val="00E542AB"/>
    <w:rsid w:val="00E55C10"/>
    <w:rsid w:val="00E56C42"/>
    <w:rsid w:val="00E59AC0"/>
    <w:rsid w:val="00E60D29"/>
    <w:rsid w:val="00E61596"/>
    <w:rsid w:val="00E61F61"/>
    <w:rsid w:val="00E622C8"/>
    <w:rsid w:val="00E629EB"/>
    <w:rsid w:val="00E63A79"/>
    <w:rsid w:val="00E6469E"/>
    <w:rsid w:val="00E65607"/>
    <w:rsid w:val="00E65900"/>
    <w:rsid w:val="00E65CDE"/>
    <w:rsid w:val="00E66701"/>
    <w:rsid w:val="00E66EE6"/>
    <w:rsid w:val="00E66F7D"/>
    <w:rsid w:val="00E67262"/>
    <w:rsid w:val="00E67ACF"/>
    <w:rsid w:val="00E67E66"/>
    <w:rsid w:val="00E67FA7"/>
    <w:rsid w:val="00E70F50"/>
    <w:rsid w:val="00E714A9"/>
    <w:rsid w:val="00E72677"/>
    <w:rsid w:val="00E73296"/>
    <w:rsid w:val="00E73959"/>
    <w:rsid w:val="00E7397D"/>
    <w:rsid w:val="00E741DE"/>
    <w:rsid w:val="00E7438E"/>
    <w:rsid w:val="00E743A8"/>
    <w:rsid w:val="00E753CD"/>
    <w:rsid w:val="00E75A32"/>
    <w:rsid w:val="00E764CB"/>
    <w:rsid w:val="00E77852"/>
    <w:rsid w:val="00E80460"/>
    <w:rsid w:val="00E82193"/>
    <w:rsid w:val="00E831B2"/>
    <w:rsid w:val="00E847B9"/>
    <w:rsid w:val="00E8572F"/>
    <w:rsid w:val="00E85D1A"/>
    <w:rsid w:val="00E8684D"/>
    <w:rsid w:val="00E877FE"/>
    <w:rsid w:val="00E90877"/>
    <w:rsid w:val="00E90AF1"/>
    <w:rsid w:val="00E90F4D"/>
    <w:rsid w:val="00E943E6"/>
    <w:rsid w:val="00E949DE"/>
    <w:rsid w:val="00E94B3B"/>
    <w:rsid w:val="00E94EE7"/>
    <w:rsid w:val="00E950E6"/>
    <w:rsid w:val="00E952BC"/>
    <w:rsid w:val="00E963C1"/>
    <w:rsid w:val="00E96D10"/>
    <w:rsid w:val="00E970C5"/>
    <w:rsid w:val="00E97B36"/>
    <w:rsid w:val="00E97E5F"/>
    <w:rsid w:val="00EA13CA"/>
    <w:rsid w:val="00EA1B88"/>
    <w:rsid w:val="00EA1C6C"/>
    <w:rsid w:val="00EA1E64"/>
    <w:rsid w:val="00EA31CF"/>
    <w:rsid w:val="00EA3DCE"/>
    <w:rsid w:val="00EA5711"/>
    <w:rsid w:val="00EA609E"/>
    <w:rsid w:val="00EA63A7"/>
    <w:rsid w:val="00EA74A3"/>
    <w:rsid w:val="00EA7930"/>
    <w:rsid w:val="00EB1110"/>
    <w:rsid w:val="00EB2422"/>
    <w:rsid w:val="00EB2643"/>
    <w:rsid w:val="00EB2EF9"/>
    <w:rsid w:val="00EB3695"/>
    <w:rsid w:val="00EB4345"/>
    <w:rsid w:val="00EB436E"/>
    <w:rsid w:val="00EB4C6C"/>
    <w:rsid w:val="00EB612F"/>
    <w:rsid w:val="00EB6157"/>
    <w:rsid w:val="00EB67B4"/>
    <w:rsid w:val="00EB6A87"/>
    <w:rsid w:val="00EB7EB0"/>
    <w:rsid w:val="00EC0573"/>
    <w:rsid w:val="00EC07D9"/>
    <w:rsid w:val="00EC0958"/>
    <w:rsid w:val="00EC151A"/>
    <w:rsid w:val="00EC2A1F"/>
    <w:rsid w:val="00EC318E"/>
    <w:rsid w:val="00EC34FD"/>
    <w:rsid w:val="00EC64BF"/>
    <w:rsid w:val="00EC745C"/>
    <w:rsid w:val="00EC7EEE"/>
    <w:rsid w:val="00ED0793"/>
    <w:rsid w:val="00ED2D94"/>
    <w:rsid w:val="00ED2E92"/>
    <w:rsid w:val="00ED42C8"/>
    <w:rsid w:val="00ED4A95"/>
    <w:rsid w:val="00ED51FB"/>
    <w:rsid w:val="00ED626F"/>
    <w:rsid w:val="00ED704C"/>
    <w:rsid w:val="00EE28AE"/>
    <w:rsid w:val="00EE2CBF"/>
    <w:rsid w:val="00EE313F"/>
    <w:rsid w:val="00EE3C0D"/>
    <w:rsid w:val="00EE407E"/>
    <w:rsid w:val="00EE47D4"/>
    <w:rsid w:val="00EE488A"/>
    <w:rsid w:val="00EE51DE"/>
    <w:rsid w:val="00EE56A5"/>
    <w:rsid w:val="00EE5C12"/>
    <w:rsid w:val="00EE5CF2"/>
    <w:rsid w:val="00EE5D88"/>
    <w:rsid w:val="00EE6793"/>
    <w:rsid w:val="00EE73F4"/>
    <w:rsid w:val="00EE7511"/>
    <w:rsid w:val="00EE7CB9"/>
    <w:rsid w:val="00EF0076"/>
    <w:rsid w:val="00EF0A69"/>
    <w:rsid w:val="00EF1749"/>
    <w:rsid w:val="00EF2111"/>
    <w:rsid w:val="00EF28D5"/>
    <w:rsid w:val="00EF2AA8"/>
    <w:rsid w:val="00EF3561"/>
    <w:rsid w:val="00EF380E"/>
    <w:rsid w:val="00EF3C17"/>
    <w:rsid w:val="00EF3CE4"/>
    <w:rsid w:val="00EF4B7E"/>
    <w:rsid w:val="00EF5693"/>
    <w:rsid w:val="00EF5A07"/>
    <w:rsid w:val="00EF6A4F"/>
    <w:rsid w:val="00EF6D14"/>
    <w:rsid w:val="00EF70B8"/>
    <w:rsid w:val="00EF7DEB"/>
    <w:rsid w:val="00EF7F41"/>
    <w:rsid w:val="00F00301"/>
    <w:rsid w:val="00F006C6"/>
    <w:rsid w:val="00F00C80"/>
    <w:rsid w:val="00F017BE"/>
    <w:rsid w:val="00F02D76"/>
    <w:rsid w:val="00F065F7"/>
    <w:rsid w:val="00F067A2"/>
    <w:rsid w:val="00F06845"/>
    <w:rsid w:val="00F1059A"/>
    <w:rsid w:val="00F1071A"/>
    <w:rsid w:val="00F1182A"/>
    <w:rsid w:val="00F12657"/>
    <w:rsid w:val="00F12AB0"/>
    <w:rsid w:val="00F12F75"/>
    <w:rsid w:val="00F139CA"/>
    <w:rsid w:val="00F15132"/>
    <w:rsid w:val="00F15F20"/>
    <w:rsid w:val="00F169CD"/>
    <w:rsid w:val="00F16DAC"/>
    <w:rsid w:val="00F2278B"/>
    <w:rsid w:val="00F22F38"/>
    <w:rsid w:val="00F24563"/>
    <w:rsid w:val="00F2463F"/>
    <w:rsid w:val="00F248D2"/>
    <w:rsid w:val="00F250BE"/>
    <w:rsid w:val="00F2577C"/>
    <w:rsid w:val="00F25902"/>
    <w:rsid w:val="00F26425"/>
    <w:rsid w:val="00F26CB2"/>
    <w:rsid w:val="00F27CD3"/>
    <w:rsid w:val="00F307C6"/>
    <w:rsid w:val="00F307F5"/>
    <w:rsid w:val="00F30A12"/>
    <w:rsid w:val="00F3120A"/>
    <w:rsid w:val="00F3199F"/>
    <w:rsid w:val="00F31D0A"/>
    <w:rsid w:val="00F33A77"/>
    <w:rsid w:val="00F342F7"/>
    <w:rsid w:val="00F34C04"/>
    <w:rsid w:val="00F35706"/>
    <w:rsid w:val="00F35F19"/>
    <w:rsid w:val="00F36329"/>
    <w:rsid w:val="00F36A6B"/>
    <w:rsid w:val="00F372FA"/>
    <w:rsid w:val="00F40205"/>
    <w:rsid w:val="00F406D0"/>
    <w:rsid w:val="00F412E8"/>
    <w:rsid w:val="00F4168F"/>
    <w:rsid w:val="00F4291D"/>
    <w:rsid w:val="00F42BA0"/>
    <w:rsid w:val="00F435AB"/>
    <w:rsid w:val="00F43795"/>
    <w:rsid w:val="00F4379F"/>
    <w:rsid w:val="00F44BE4"/>
    <w:rsid w:val="00F455D4"/>
    <w:rsid w:val="00F4647C"/>
    <w:rsid w:val="00F46A6C"/>
    <w:rsid w:val="00F46C43"/>
    <w:rsid w:val="00F47255"/>
    <w:rsid w:val="00F475A3"/>
    <w:rsid w:val="00F50EFB"/>
    <w:rsid w:val="00F52B07"/>
    <w:rsid w:val="00F5436C"/>
    <w:rsid w:val="00F54ECD"/>
    <w:rsid w:val="00F5536F"/>
    <w:rsid w:val="00F55E7D"/>
    <w:rsid w:val="00F564F1"/>
    <w:rsid w:val="00F57204"/>
    <w:rsid w:val="00F5759E"/>
    <w:rsid w:val="00F577F3"/>
    <w:rsid w:val="00F608C5"/>
    <w:rsid w:val="00F608CA"/>
    <w:rsid w:val="00F60D32"/>
    <w:rsid w:val="00F61422"/>
    <w:rsid w:val="00F6252C"/>
    <w:rsid w:val="00F630B7"/>
    <w:rsid w:val="00F632CA"/>
    <w:rsid w:val="00F63D86"/>
    <w:rsid w:val="00F63E4B"/>
    <w:rsid w:val="00F64BB2"/>
    <w:rsid w:val="00F64D7E"/>
    <w:rsid w:val="00F65545"/>
    <w:rsid w:val="00F65B1F"/>
    <w:rsid w:val="00F66BA0"/>
    <w:rsid w:val="00F66D0D"/>
    <w:rsid w:val="00F67CE8"/>
    <w:rsid w:val="00F7301F"/>
    <w:rsid w:val="00F760AA"/>
    <w:rsid w:val="00F76585"/>
    <w:rsid w:val="00F77358"/>
    <w:rsid w:val="00F804BD"/>
    <w:rsid w:val="00F8106A"/>
    <w:rsid w:val="00F82105"/>
    <w:rsid w:val="00F829EF"/>
    <w:rsid w:val="00F82D53"/>
    <w:rsid w:val="00F82D66"/>
    <w:rsid w:val="00F82E85"/>
    <w:rsid w:val="00F85477"/>
    <w:rsid w:val="00F858C7"/>
    <w:rsid w:val="00F863BA"/>
    <w:rsid w:val="00F87758"/>
    <w:rsid w:val="00F9067F"/>
    <w:rsid w:val="00F90797"/>
    <w:rsid w:val="00F90D75"/>
    <w:rsid w:val="00F91A62"/>
    <w:rsid w:val="00F92C19"/>
    <w:rsid w:val="00F92DB5"/>
    <w:rsid w:val="00F92E07"/>
    <w:rsid w:val="00F93BD7"/>
    <w:rsid w:val="00F94394"/>
    <w:rsid w:val="00F94D8A"/>
    <w:rsid w:val="00F960B7"/>
    <w:rsid w:val="00F96EA7"/>
    <w:rsid w:val="00F97217"/>
    <w:rsid w:val="00FA0DFA"/>
    <w:rsid w:val="00FA257A"/>
    <w:rsid w:val="00FA2C94"/>
    <w:rsid w:val="00FA44F0"/>
    <w:rsid w:val="00FA7B0E"/>
    <w:rsid w:val="00FB02EC"/>
    <w:rsid w:val="00FB089F"/>
    <w:rsid w:val="00FB15BC"/>
    <w:rsid w:val="00FB332F"/>
    <w:rsid w:val="00FB3A6B"/>
    <w:rsid w:val="00FB3C9A"/>
    <w:rsid w:val="00FB3DF2"/>
    <w:rsid w:val="00FB400F"/>
    <w:rsid w:val="00FB49D3"/>
    <w:rsid w:val="00FB503A"/>
    <w:rsid w:val="00FB57D6"/>
    <w:rsid w:val="00FB5CF3"/>
    <w:rsid w:val="00FB6D7C"/>
    <w:rsid w:val="00FB7BED"/>
    <w:rsid w:val="00FB7D08"/>
    <w:rsid w:val="00FC0C31"/>
    <w:rsid w:val="00FC217F"/>
    <w:rsid w:val="00FC3533"/>
    <w:rsid w:val="00FC360E"/>
    <w:rsid w:val="00FC3969"/>
    <w:rsid w:val="00FC4B16"/>
    <w:rsid w:val="00FC4FCB"/>
    <w:rsid w:val="00FC66D6"/>
    <w:rsid w:val="00FD0727"/>
    <w:rsid w:val="00FD0766"/>
    <w:rsid w:val="00FD0DE3"/>
    <w:rsid w:val="00FD10AD"/>
    <w:rsid w:val="00FD2FCB"/>
    <w:rsid w:val="00FD3326"/>
    <w:rsid w:val="00FD3DB5"/>
    <w:rsid w:val="00FD4782"/>
    <w:rsid w:val="00FD6358"/>
    <w:rsid w:val="00FD6DA8"/>
    <w:rsid w:val="00FD7B8B"/>
    <w:rsid w:val="00FE176B"/>
    <w:rsid w:val="00FE1FA8"/>
    <w:rsid w:val="00FE251D"/>
    <w:rsid w:val="00FE2C1F"/>
    <w:rsid w:val="00FE36F6"/>
    <w:rsid w:val="00FE3980"/>
    <w:rsid w:val="00FE3D12"/>
    <w:rsid w:val="00FE4265"/>
    <w:rsid w:val="00FE4AC4"/>
    <w:rsid w:val="00FE4B63"/>
    <w:rsid w:val="00FE4B86"/>
    <w:rsid w:val="00FE5D19"/>
    <w:rsid w:val="00FE69D0"/>
    <w:rsid w:val="00FE6B8D"/>
    <w:rsid w:val="00FE6CA9"/>
    <w:rsid w:val="00FE7333"/>
    <w:rsid w:val="00FE7DF6"/>
    <w:rsid w:val="00FF0FC8"/>
    <w:rsid w:val="00FF1D6A"/>
    <w:rsid w:val="00FF49DA"/>
    <w:rsid w:val="00FF4F45"/>
    <w:rsid w:val="00FF55D6"/>
    <w:rsid w:val="00FF5D0C"/>
    <w:rsid w:val="0100C83B"/>
    <w:rsid w:val="01134AA1"/>
    <w:rsid w:val="015AB242"/>
    <w:rsid w:val="0235FE5E"/>
    <w:rsid w:val="0282EB8A"/>
    <w:rsid w:val="029224C4"/>
    <w:rsid w:val="02943572"/>
    <w:rsid w:val="03917509"/>
    <w:rsid w:val="03E02370"/>
    <w:rsid w:val="0405D570"/>
    <w:rsid w:val="047FABD4"/>
    <w:rsid w:val="04940A5B"/>
    <w:rsid w:val="04D651F1"/>
    <w:rsid w:val="0534C892"/>
    <w:rsid w:val="05D6BE8F"/>
    <w:rsid w:val="062FDABC"/>
    <w:rsid w:val="066906D7"/>
    <w:rsid w:val="070F62E8"/>
    <w:rsid w:val="0719E062"/>
    <w:rsid w:val="07565CAD"/>
    <w:rsid w:val="075C6B8F"/>
    <w:rsid w:val="07DB98A6"/>
    <w:rsid w:val="08120DC6"/>
    <w:rsid w:val="08319334"/>
    <w:rsid w:val="08489F37"/>
    <w:rsid w:val="08871EA4"/>
    <w:rsid w:val="09334B95"/>
    <w:rsid w:val="09912F38"/>
    <w:rsid w:val="0A7516F4"/>
    <w:rsid w:val="0A80871A"/>
    <w:rsid w:val="0B27C1DE"/>
    <w:rsid w:val="0B6159AD"/>
    <w:rsid w:val="0C42F62D"/>
    <w:rsid w:val="0C9EAD3F"/>
    <w:rsid w:val="0D38574F"/>
    <w:rsid w:val="0D566C47"/>
    <w:rsid w:val="0E4122D0"/>
    <w:rsid w:val="0E558090"/>
    <w:rsid w:val="0E754A1A"/>
    <w:rsid w:val="0E75B279"/>
    <w:rsid w:val="0EEA7894"/>
    <w:rsid w:val="0F7B6F4E"/>
    <w:rsid w:val="0F7D4F1C"/>
    <w:rsid w:val="0FA208BE"/>
    <w:rsid w:val="0FD6BD02"/>
    <w:rsid w:val="0FDCF331"/>
    <w:rsid w:val="0FE5D0BD"/>
    <w:rsid w:val="102BE94A"/>
    <w:rsid w:val="1074B5CE"/>
    <w:rsid w:val="109D1CD1"/>
    <w:rsid w:val="1184344E"/>
    <w:rsid w:val="11E45D77"/>
    <w:rsid w:val="120E6EF7"/>
    <w:rsid w:val="123B41B3"/>
    <w:rsid w:val="1269D2CC"/>
    <w:rsid w:val="12B49029"/>
    <w:rsid w:val="13360F7B"/>
    <w:rsid w:val="13D4BD93"/>
    <w:rsid w:val="1401B1B6"/>
    <w:rsid w:val="1434DFB5"/>
    <w:rsid w:val="1458ADC5"/>
    <w:rsid w:val="148EE5ED"/>
    <w:rsid w:val="1493D2E7"/>
    <w:rsid w:val="149BC06D"/>
    <w:rsid w:val="15569DFC"/>
    <w:rsid w:val="159433CB"/>
    <w:rsid w:val="15B7C99B"/>
    <w:rsid w:val="16AB4AAC"/>
    <w:rsid w:val="175399FC"/>
    <w:rsid w:val="17905466"/>
    <w:rsid w:val="17F824CA"/>
    <w:rsid w:val="194BCB46"/>
    <w:rsid w:val="195F6FC5"/>
    <w:rsid w:val="19F6D2CA"/>
    <w:rsid w:val="1A04CD97"/>
    <w:rsid w:val="1A7EFC17"/>
    <w:rsid w:val="1A91891A"/>
    <w:rsid w:val="1B0B01F1"/>
    <w:rsid w:val="1C2EF8A5"/>
    <w:rsid w:val="1C63C589"/>
    <w:rsid w:val="1C9ED755"/>
    <w:rsid w:val="1DDA5BEB"/>
    <w:rsid w:val="1DF5C2B7"/>
    <w:rsid w:val="1E5E60A2"/>
    <w:rsid w:val="1F245BCA"/>
    <w:rsid w:val="1F5B2941"/>
    <w:rsid w:val="1F665785"/>
    <w:rsid w:val="20C77B62"/>
    <w:rsid w:val="217A4375"/>
    <w:rsid w:val="21FF1982"/>
    <w:rsid w:val="22B9D8D1"/>
    <w:rsid w:val="22FC86D2"/>
    <w:rsid w:val="231613D6"/>
    <w:rsid w:val="23CA67E0"/>
    <w:rsid w:val="25B0073E"/>
    <w:rsid w:val="25F17993"/>
    <w:rsid w:val="264DB498"/>
    <w:rsid w:val="266E09CF"/>
    <w:rsid w:val="270208A2"/>
    <w:rsid w:val="271E3B12"/>
    <w:rsid w:val="274E157C"/>
    <w:rsid w:val="2771AB4C"/>
    <w:rsid w:val="27A67251"/>
    <w:rsid w:val="27E984F9"/>
    <w:rsid w:val="2841D86F"/>
    <w:rsid w:val="2862CBA8"/>
    <w:rsid w:val="28EF7612"/>
    <w:rsid w:val="29067477"/>
    <w:rsid w:val="297B3904"/>
    <w:rsid w:val="299B4197"/>
    <w:rsid w:val="2A55B3EF"/>
    <w:rsid w:val="2B417AF2"/>
    <w:rsid w:val="2BB6FFBD"/>
    <w:rsid w:val="2C2E1403"/>
    <w:rsid w:val="2C401C58"/>
    <w:rsid w:val="2C4B6ACB"/>
    <w:rsid w:val="2C7803A6"/>
    <w:rsid w:val="2CDD4B53"/>
    <w:rsid w:val="2DE963AE"/>
    <w:rsid w:val="2E12F267"/>
    <w:rsid w:val="2E18488A"/>
    <w:rsid w:val="2E3DE149"/>
    <w:rsid w:val="2EDD8F38"/>
    <w:rsid w:val="2F1C592D"/>
    <w:rsid w:val="2FAFA468"/>
    <w:rsid w:val="30F9E2F8"/>
    <w:rsid w:val="314B74C9"/>
    <w:rsid w:val="31A3604D"/>
    <w:rsid w:val="32CE1CCD"/>
    <w:rsid w:val="3469ED2E"/>
    <w:rsid w:val="34723626"/>
    <w:rsid w:val="34E9FC46"/>
    <w:rsid w:val="35CE71A6"/>
    <w:rsid w:val="35E8674D"/>
    <w:rsid w:val="360F90C2"/>
    <w:rsid w:val="36BD36DD"/>
    <w:rsid w:val="37276B12"/>
    <w:rsid w:val="3739EE82"/>
    <w:rsid w:val="3796DEDE"/>
    <w:rsid w:val="382A15F0"/>
    <w:rsid w:val="386519A2"/>
    <w:rsid w:val="38D5BEE3"/>
    <w:rsid w:val="3A5CEB5D"/>
    <w:rsid w:val="3AE177AA"/>
    <w:rsid w:val="3B06DC0D"/>
    <w:rsid w:val="3B790E4E"/>
    <w:rsid w:val="3B9A0A6E"/>
    <w:rsid w:val="3C1C7F36"/>
    <w:rsid w:val="3CDD76C3"/>
    <w:rsid w:val="3CFAEC69"/>
    <w:rsid w:val="3D942778"/>
    <w:rsid w:val="3DAED890"/>
    <w:rsid w:val="3DD7BF34"/>
    <w:rsid w:val="3E0AE77F"/>
    <w:rsid w:val="3F5F711A"/>
    <w:rsid w:val="402F1BEE"/>
    <w:rsid w:val="404E5388"/>
    <w:rsid w:val="413D8278"/>
    <w:rsid w:val="41D1E0B3"/>
    <w:rsid w:val="4246065C"/>
    <w:rsid w:val="4267FD42"/>
    <w:rsid w:val="426C6789"/>
    <w:rsid w:val="430E16EB"/>
    <w:rsid w:val="435FF68B"/>
    <w:rsid w:val="4361027F"/>
    <w:rsid w:val="436A9E27"/>
    <w:rsid w:val="43C0BAFB"/>
    <w:rsid w:val="43D9E358"/>
    <w:rsid w:val="440368FC"/>
    <w:rsid w:val="44E088B0"/>
    <w:rsid w:val="4540AAD2"/>
    <w:rsid w:val="45A28895"/>
    <w:rsid w:val="45F840D8"/>
    <w:rsid w:val="467C5911"/>
    <w:rsid w:val="4695816E"/>
    <w:rsid w:val="46B92745"/>
    <w:rsid w:val="47D08008"/>
    <w:rsid w:val="480778D5"/>
    <w:rsid w:val="483350E8"/>
    <w:rsid w:val="4933FCAD"/>
    <w:rsid w:val="49983DFF"/>
    <w:rsid w:val="49C0B74E"/>
    <w:rsid w:val="49FA1653"/>
    <w:rsid w:val="4A141BF5"/>
    <w:rsid w:val="4A2E1CB1"/>
    <w:rsid w:val="4A3C95FC"/>
    <w:rsid w:val="4B23BF72"/>
    <w:rsid w:val="4B7B7601"/>
    <w:rsid w:val="4BF3FA54"/>
    <w:rsid w:val="4C105DE8"/>
    <w:rsid w:val="4C166867"/>
    <w:rsid w:val="4D918B27"/>
    <w:rsid w:val="4F2779D8"/>
    <w:rsid w:val="4F6B6ECE"/>
    <w:rsid w:val="4FC26990"/>
    <w:rsid w:val="503C3FF4"/>
    <w:rsid w:val="503EDD1A"/>
    <w:rsid w:val="5092FAC7"/>
    <w:rsid w:val="50A5A72D"/>
    <w:rsid w:val="51883C9B"/>
    <w:rsid w:val="51D6139E"/>
    <w:rsid w:val="52271B60"/>
    <w:rsid w:val="52EF9CDF"/>
    <w:rsid w:val="531476AC"/>
    <w:rsid w:val="53195DEA"/>
    <w:rsid w:val="53B8FC9E"/>
    <w:rsid w:val="53E8002B"/>
    <w:rsid w:val="54021968"/>
    <w:rsid w:val="54AEC12E"/>
    <w:rsid w:val="54FE9A00"/>
    <w:rsid w:val="55F72CE8"/>
    <w:rsid w:val="5631AB14"/>
    <w:rsid w:val="56FA8C83"/>
    <w:rsid w:val="584D838F"/>
    <w:rsid w:val="58965CE4"/>
    <w:rsid w:val="59B28BA0"/>
    <w:rsid w:val="59D55245"/>
    <w:rsid w:val="59F780C1"/>
    <w:rsid w:val="5AB492F4"/>
    <w:rsid w:val="5B051C37"/>
    <w:rsid w:val="5B269248"/>
    <w:rsid w:val="5B373A20"/>
    <w:rsid w:val="5B73D6C4"/>
    <w:rsid w:val="5B86E021"/>
    <w:rsid w:val="5BDC40AB"/>
    <w:rsid w:val="5C3149EE"/>
    <w:rsid w:val="5C740977"/>
    <w:rsid w:val="5CD30A81"/>
    <w:rsid w:val="5D2D943A"/>
    <w:rsid w:val="5DA6ED8E"/>
    <w:rsid w:val="5DCD1A4F"/>
    <w:rsid w:val="5DF294DF"/>
    <w:rsid w:val="5E5B263E"/>
    <w:rsid w:val="5EBC842C"/>
    <w:rsid w:val="5ECA82E3"/>
    <w:rsid w:val="5F2CB196"/>
    <w:rsid w:val="5F68EAB0"/>
    <w:rsid w:val="5F80AE99"/>
    <w:rsid w:val="60506707"/>
    <w:rsid w:val="6058548D"/>
    <w:rsid w:val="60720FE7"/>
    <w:rsid w:val="60774731"/>
    <w:rsid w:val="60A16EC9"/>
    <w:rsid w:val="60CCB07B"/>
    <w:rsid w:val="6119BD04"/>
    <w:rsid w:val="6165D2DA"/>
    <w:rsid w:val="619E5313"/>
    <w:rsid w:val="62B91864"/>
    <w:rsid w:val="641D1D89"/>
    <w:rsid w:val="64937ED6"/>
    <w:rsid w:val="64AFFA80"/>
    <w:rsid w:val="64B44C31"/>
    <w:rsid w:val="6500A0C9"/>
    <w:rsid w:val="65869913"/>
    <w:rsid w:val="65C1C942"/>
    <w:rsid w:val="6661DD8B"/>
    <w:rsid w:val="667AB615"/>
    <w:rsid w:val="6700A36B"/>
    <w:rsid w:val="672AB109"/>
    <w:rsid w:val="67833B3B"/>
    <w:rsid w:val="67EB4AE3"/>
    <w:rsid w:val="67FC6A63"/>
    <w:rsid w:val="68072B6D"/>
    <w:rsid w:val="680D9497"/>
    <w:rsid w:val="6849D96E"/>
    <w:rsid w:val="69CBED5F"/>
    <w:rsid w:val="6A4A7C57"/>
    <w:rsid w:val="6B76F91D"/>
    <w:rsid w:val="6C6FB0FB"/>
    <w:rsid w:val="6CBEBC06"/>
    <w:rsid w:val="6D0DED6D"/>
    <w:rsid w:val="6D32531F"/>
    <w:rsid w:val="6D814938"/>
    <w:rsid w:val="6D9724BD"/>
    <w:rsid w:val="6E766CF1"/>
    <w:rsid w:val="6EB97F99"/>
    <w:rsid w:val="6ED7010C"/>
    <w:rsid w:val="6F24E389"/>
    <w:rsid w:val="6F963AA6"/>
    <w:rsid w:val="6FA79F4A"/>
    <w:rsid w:val="6FE5B3F9"/>
    <w:rsid w:val="700FB943"/>
    <w:rsid w:val="7054EB53"/>
    <w:rsid w:val="706F1014"/>
    <w:rsid w:val="70B20DE1"/>
    <w:rsid w:val="70E89F52"/>
    <w:rsid w:val="71320B07"/>
    <w:rsid w:val="71395122"/>
    <w:rsid w:val="715DB6D4"/>
    <w:rsid w:val="7198BD67"/>
    <w:rsid w:val="71B476DD"/>
    <w:rsid w:val="71D79357"/>
    <w:rsid w:val="72070C98"/>
    <w:rsid w:val="7249C32F"/>
    <w:rsid w:val="7295CFC0"/>
    <w:rsid w:val="72973A04"/>
    <w:rsid w:val="72E97314"/>
    <w:rsid w:val="72EB6E74"/>
    <w:rsid w:val="72F38DF0"/>
    <w:rsid w:val="7350473E"/>
    <w:rsid w:val="74440A31"/>
    <w:rsid w:val="7475F90A"/>
    <w:rsid w:val="74CA0FCD"/>
    <w:rsid w:val="760ECA76"/>
    <w:rsid w:val="7658D5BB"/>
    <w:rsid w:val="76659E4C"/>
    <w:rsid w:val="76C4917E"/>
    <w:rsid w:val="77AD99CC"/>
    <w:rsid w:val="77B3CFFB"/>
    <w:rsid w:val="77C5FCFD"/>
    <w:rsid w:val="77E88832"/>
    <w:rsid w:val="792B3AAA"/>
    <w:rsid w:val="796D5027"/>
    <w:rsid w:val="79E2A53C"/>
    <w:rsid w:val="7A08C9FB"/>
    <w:rsid w:val="7B52DCD0"/>
    <w:rsid w:val="7B6905C7"/>
    <w:rsid w:val="7C13AA05"/>
    <w:rsid w:val="7C810AEF"/>
    <w:rsid w:val="7CE46868"/>
    <w:rsid w:val="7CEEE08C"/>
    <w:rsid w:val="7D33D302"/>
    <w:rsid w:val="7E117CE3"/>
    <w:rsid w:val="7E1D4B8A"/>
    <w:rsid w:val="7ECFA363"/>
    <w:rsid w:val="7F033D97"/>
    <w:rsid w:val="7FB8AB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2AD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E07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07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Viñetas (Inicio Parrafo),Paragrafo elenco,3 Txt tabla,Zerrenda-paragrafoa,Fiche List Paragraph,Dot pt,F5 List Paragraph,List Paragraph1,No Spacing1,List Paragraph Char Char Char,Indicator Text,Numbered Para 1,Bullet Points,L,3"/>
    <w:basedOn w:val="Normal"/>
    <w:link w:val="ListParagraphChar"/>
    <w:uiPriority w:val="34"/>
    <w:qFormat/>
    <w:rsid w:val="00B91B99"/>
    <w:pPr>
      <w:spacing w:after="200" w:line="276" w:lineRule="auto"/>
      <w:ind w:left="720"/>
      <w:contextualSpacing/>
    </w:pPr>
  </w:style>
  <w:style w:type="character" w:styleId="CommentReference">
    <w:name w:val="annotation reference"/>
    <w:basedOn w:val="DefaultParagraphFont"/>
    <w:uiPriority w:val="99"/>
    <w:semiHidden/>
    <w:unhideWhenUsed/>
    <w:rsid w:val="00B91B99"/>
    <w:rPr>
      <w:sz w:val="16"/>
      <w:szCs w:val="16"/>
    </w:rPr>
  </w:style>
  <w:style w:type="paragraph" w:styleId="CommentText">
    <w:name w:val="annotation text"/>
    <w:basedOn w:val="Normal"/>
    <w:link w:val="CommentTextChar"/>
    <w:uiPriority w:val="99"/>
    <w:unhideWhenUsed/>
    <w:rsid w:val="00B91B99"/>
    <w:pPr>
      <w:spacing w:after="200" w:line="240" w:lineRule="auto"/>
    </w:pPr>
    <w:rPr>
      <w:sz w:val="20"/>
      <w:szCs w:val="20"/>
    </w:rPr>
  </w:style>
  <w:style w:type="character" w:customStyle="1" w:styleId="CommentTextChar">
    <w:name w:val="Comment Text Char"/>
    <w:basedOn w:val="DefaultParagraphFont"/>
    <w:link w:val="CommentText"/>
    <w:uiPriority w:val="99"/>
    <w:rsid w:val="00B91B99"/>
    <w:rPr>
      <w:sz w:val="20"/>
      <w:szCs w:val="20"/>
      <w:lang w:val="ro-RO"/>
    </w:rPr>
  </w:style>
  <w:style w:type="character" w:customStyle="1" w:styleId="ListParagraphChar">
    <w:name w:val="List Paragraph Char"/>
    <w:aliases w:val="Task Body Char,Viñetas (Inicio Parrafo) Char,Paragrafo elenco Char,3 Txt tabla Char,Zerrenda-paragrafoa Char,Fiche List Paragraph Char,Dot pt Char,F5 List Paragraph Char,List Paragraph1 Char,No Spacing1 Char,Indicator Text Char"/>
    <w:link w:val="ListParagraph"/>
    <w:uiPriority w:val="34"/>
    <w:qFormat/>
    <w:locked/>
    <w:rsid w:val="00B91B99"/>
    <w:rPr>
      <w:lang w:val="ro-RO"/>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iPriority w:val="99"/>
    <w:unhideWhenUsed/>
    <w:qFormat/>
    <w:rsid w:val="00B91B99"/>
    <w:pPr>
      <w:spacing w:after="120" w:line="240" w:lineRule="auto"/>
      <w:ind w:left="357" w:hanging="357"/>
      <w:jc w:val="both"/>
    </w:pPr>
    <w:rPr>
      <w:rFonts w:ascii="Times New Roman" w:eastAsia="Times New Roman" w:hAnsi="Times New Roman" w:cs="Times New Roman"/>
      <w:sz w:val="20"/>
      <w:szCs w:val="20"/>
      <w:lang w:eastAsia="fr-BE"/>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sid w:val="00B91B99"/>
    <w:rPr>
      <w:rFonts w:ascii="Times New Roman" w:eastAsia="Times New Roman" w:hAnsi="Times New Roman" w:cs="Times New Roman"/>
      <w:sz w:val="20"/>
      <w:szCs w:val="20"/>
      <w:lang w:val="ro-RO" w:eastAsia="fr-BE"/>
    </w:rPr>
  </w:style>
  <w:style w:type="character" w:styleId="FootnoteReference">
    <w:name w:val="footnote reference"/>
    <w:aliases w:val="~FootnoteRef,-E Fußnotenzeichen,(Diplomarbeit FZ),(Diplomarbeit FZ)1,(Diplomarbeit FZ)2,(Diplomarbeit FZ)3,(Diplomarbeit FZ)4,(Diplomarbeit FZ)5,(Diplomarbeit FZ)6,(Diplomarbeit FZ)7,(Diplomarbeit FZ)8,(Diplomarbeit FZ)9,number,fr,FR"/>
    <w:basedOn w:val="DefaultParagraphFont"/>
    <w:link w:val="CharCharChar"/>
    <w:uiPriority w:val="99"/>
    <w:unhideWhenUsed/>
    <w:qFormat/>
    <w:rsid w:val="00B91B99"/>
    <w:rPr>
      <w:vertAlign w:val="superscript"/>
    </w:rPr>
  </w:style>
  <w:style w:type="paragraph" w:customStyle="1" w:styleId="CharCharChar">
    <w:name w:val="Char Char Char"/>
    <w:basedOn w:val="Normal"/>
    <w:link w:val="FootnoteReference"/>
    <w:uiPriority w:val="99"/>
    <w:qFormat/>
    <w:rsid w:val="00B91B99"/>
    <w:pPr>
      <w:spacing w:line="240" w:lineRule="exact"/>
    </w:pPr>
    <w:rPr>
      <w:vertAlign w:val="superscript"/>
    </w:rPr>
  </w:style>
  <w:style w:type="paragraph" w:styleId="BalloonText">
    <w:name w:val="Balloon Text"/>
    <w:basedOn w:val="Normal"/>
    <w:link w:val="BalloonTextChar"/>
    <w:uiPriority w:val="99"/>
    <w:semiHidden/>
    <w:unhideWhenUsed/>
    <w:rsid w:val="00B91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B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29EF"/>
    <w:pPr>
      <w:spacing w:after="160"/>
    </w:pPr>
    <w:rPr>
      <w:b/>
      <w:bCs/>
    </w:rPr>
  </w:style>
  <w:style w:type="character" w:customStyle="1" w:styleId="CommentSubjectChar">
    <w:name w:val="Comment Subject Char"/>
    <w:basedOn w:val="CommentTextChar"/>
    <w:link w:val="CommentSubject"/>
    <w:uiPriority w:val="99"/>
    <w:semiHidden/>
    <w:rsid w:val="00F829EF"/>
    <w:rPr>
      <w:b/>
      <w:bCs/>
      <w:sz w:val="20"/>
      <w:szCs w:val="20"/>
      <w:lang w:val="ro-RO"/>
    </w:rPr>
  </w:style>
  <w:style w:type="paragraph" w:styleId="Header">
    <w:name w:val="header"/>
    <w:basedOn w:val="Normal"/>
    <w:link w:val="HeaderChar"/>
    <w:uiPriority w:val="99"/>
    <w:unhideWhenUsed/>
    <w:rsid w:val="009C2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AD4"/>
  </w:style>
  <w:style w:type="paragraph" w:styleId="Footer">
    <w:name w:val="footer"/>
    <w:basedOn w:val="Normal"/>
    <w:link w:val="FooterChar"/>
    <w:uiPriority w:val="99"/>
    <w:unhideWhenUsed/>
    <w:rsid w:val="009C2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AD4"/>
  </w:style>
  <w:style w:type="character" w:customStyle="1" w:styleId="Heading1Char">
    <w:name w:val="Heading 1 Char"/>
    <w:basedOn w:val="DefaultParagraphFont"/>
    <w:link w:val="Heading1"/>
    <w:uiPriority w:val="9"/>
    <w:rsid w:val="009C2AD4"/>
    <w:rPr>
      <w:rFonts w:asciiTheme="majorHAnsi" w:eastAsiaTheme="majorEastAsia" w:hAnsiTheme="majorHAnsi" w:cstheme="majorBidi"/>
      <w:color w:val="2E74B5" w:themeColor="accent1" w:themeShade="BF"/>
      <w:sz w:val="32"/>
      <w:szCs w:val="32"/>
      <w:lang w:val="ro-RO"/>
    </w:rPr>
  </w:style>
  <w:style w:type="character" w:styleId="Hyperlink">
    <w:name w:val="Hyperlink"/>
    <w:basedOn w:val="DefaultParagraphFont"/>
    <w:uiPriority w:val="99"/>
    <w:unhideWhenUsed/>
    <w:qFormat/>
    <w:rsid w:val="007E61DD"/>
    <w:rPr>
      <w:color w:val="0000FF"/>
      <w:u w:val="single"/>
    </w:rPr>
  </w:style>
  <w:style w:type="character" w:styleId="Emphasis">
    <w:name w:val="Emphasis"/>
    <w:basedOn w:val="DefaultParagraphFont"/>
    <w:uiPriority w:val="20"/>
    <w:qFormat/>
    <w:rsid w:val="004A74AC"/>
    <w:rPr>
      <w:i/>
      <w:iCs/>
    </w:rPr>
  </w:style>
  <w:style w:type="paragraph" w:customStyle="1" w:styleId="paragraph">
    <w:name w:val="paragraph"/>
    <w:basedOn w:val="Normal"/>
    <w:rsid w:val="00D91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1799"/>
  </w:style>
  <w:style w:type="paragraph" w:styleId="NormalWeb">
    <w:name w:val="Normal (Web)"/>
    <w:basedOn w:val="Normal"/>
    <w:uiPriority w:val="99"/>
    <w:semiHidden/>
    <w:unhideWhenUsed/>
    <w:rsid w:val="00A10F61"/>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lainText">
    <w:name w:val="Plain Text"/>
    <w:basedOn w:val="Normal"/>
    <w:link w:val="PlainTextChar"/>
    <w:uiPriority w:val="99"/>
    <w:semiHidden/>
    <w:unhideWhenUsed/>
    <w:rsid w:val="00983D6F"/>
    <w:pPr>
      <w:spacing w:after="0" w:line="240" w:lineRule="auto"/>
    </w:pPr>
    <w:rPr>
      <w:rFonts w:ascii="Calibri" w:hAnsi="Calibri" w:cs="Times New Roman"/>
      <w:lang w:eastAsia="fr-BE"/>
    </w:rPr>
  </w:style>
  <w:style w:type="character" w:customStyle="1" w:styleId="PlainTextChar">
    <w:name w:val="Plain Text Char"/>
    <w:basedOn w:val="DefaultParagraphFont"/>
    <w:link w:val="PlainText"/>
    <w:uiPriority w:val="99"/>
    <w:semiHidden/>
    <w:rsid w:val="00983D6F"/>
    <w:rPr>
      <w:rFonts w:ascii="Calibri" w:hAnsi="Calibri" w:cs="Times New Roman"/>
      <w:lang w:val="ro-RO" w:eastAsia="fr-BE"/>
    </w:rPr>
  </w:style>
  <w:style w:type="character" w:styleId="Strong">
    <w:name w:val="Strong"/>
    <w:basedOn w:val="DefaultParagraphFont"/>
    <w:uiPriority w:val="22"/>
    <w:qFormat/>
    <w:rsid w:val="00633762"/>
    <w:rPr>
      <w:b/>
      <w:bCs/>
    </w:rPr>
  </w:style>
  <w:style w:type="paragraph" w:styleId="Revision">
    <w:name w:val="Revision"/>
    <w:hidden/>
    <w:uiPriority w:val="99"/>
    <w:semiHidden/>
    <w:rsid w:val="00792F3D"/>
    <w:pPr>
      <w:spacing w:after="0" w:line="240" w:lineRule="auto"/>
    </w:pPr>
  </w:style>
  <w:style w:type="character" w:customStyle="1" w:styleId="Heading2Char">
    <w:name w:val="Heading 2 Char"/>
    <w:basedOn w:val="DefaultParagraphFont"/>
    <w:link w:val="Heading2"/>
    <w:uiPriority w:val="9"/>
    <w:semiHidden/>
    <w:rsid w:val="007E07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E0799"/>
    <w:rPr>
      <w:rFonts w:asciiTheme="majorHAnsi" w:eastAsiaTheme="majorEastAsia" w:hAnsiTheme="majorHAnsi" w:cstheme="majorBidi"/>
      <w:color w:val="1F4D78" w:themeColor="accent1" w:themeShade="7F"/>
      <w:sz w:val="24"/>
      <w:szCs w:val="24"/>
    </w:rPr>
  </w:style>
  <w:style w:type="character" w:customStyle="1" w:styleId="eop">
    <w:name w:val="eop"/>
    <w:basedOn w:val="DefaultParagraphFont"/>
    <w:rsid w:val="00B145B0"/>
  </w:style>
  <w:style w:type="character" w:customStyle="1" w:styleId="wtoffscreen">
    <w:name w:val="wtoffscreen"/>
    <w:basedOn w:val="DefaultParagraphFont"/>
    <w:rsid w:val="0074246E"/>
  </w:style>
  <w:style w:type="paragraph" w:styleId="NoSpacing">
    <w:name w:val="No Spacing"/>
    <w:uiPriority w:val="1"/>
    <w:qFormat/>
    <w:rsid w:val="0046542E"/>
    <w:pPr>
      <w:spacing w:after="0" w:line="240" w:lineRule="auto"/>
    </w:pPr>
    <w:rPr>
      <w:rFonts w:ascii="Times New Roman" w:hAnsi="Times New Roman" w:cs="Times New Roman"/>
      <w:sz w:val="24"/>
    </w:rPr>
  </w:style>
  <w:style w:type="character" w:customStyle="1" w:styleId="jlqj4b">
    <w:name w:val="jlqj4b"/>
    <w:basedOn w:val="DefaultParagraphFont"/>
    <w:rsid w:val="0046542E"/>
  </w:style>
  <w:style w:type="character" w:customStyle="1" w:styleId="scxw60073758">
    <w:name w:val="scxw60073758"/>
    <w:basedOn w:val="DefaultParagraphFont"/>
    <w:rsid w:val="00E65607"/>
  </w:style>
  <w:style w:type="character" w:customStyle="1" w:styleId="superscript">
    <w:name w:val="superscript"/>
    <w:basedOn w:val="DefaultParagraphFont"/>
    <w:rsid w:val="00E65607"/>
  </w:style>
  <w:style w:type="table" w:styleId="TableGrid">
    <w:name w:val="Table Grid"/>
    <w:basedOn w:val="TableNormal"/>
    <w:uiPriority w:val="39"/>
    <w:rsid w:val="0089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22"/>
    <w:basedOn w:val="Normal"/>
    <w:rsid w:val="00706657"/>
    <w:pPr>
      <w:spacing w:before="100" w:beforeAutospacing="1" w:after="100" w:afterAutospacing="1" w:line="240" w:lineRule="auto"/>
    </w:pPr>
    <w:rPr>
      <w:rFonts w:ascii="Times New Roman" w:hAnsi="Times New Roman" w:cs="Times New Roman"/>
      <w:sz w:val="24"/>
      <w:szCs w:val="24"/>
      <w:lang w:eastAsia="en-GB"/>
    </w:rPr>
  </w:style>
  <w:style w:type="character" w:customStyle="1" w:styleId="bumpedfont15">
    <w:name w:val="bumpedfont15"/>
    <w:basedOn w:val="DefaultParagraphFont"/>
    <w:rsid w:val="00706657"/>
  </w:style>
  <w:style w:type="character" w:customStyle="1" w:styleId="Marker">
    <w:name w:val="Marker"/>
    <w:basedOn w:val="DefaultParagraphFont"/>
    <w:rsid w:val="00E5429A"/>
    <w:rPr>
      <w:color w:val="0000FF"/>
      <w:shd w:val="clear" w:color="auto" w:fill="auto"/>
    </w:rPr>
  </w:style>
  <w:style w:type="paragraph" w:customStyle="1" w:styleId="Pagedecouverture">
    <w:name w:val="Page de couverture"/>
    <w:basedOn w:val="Normal"/>
    <w:next w:val="Normal"/>
    <w:rsid w:val="00E5429A"/>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E5429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5429A"/>
    <w:rPr>
      <w:rFonts w:ascii="Times New Roman" w:hAnsi="Times New Roman" w:cs="Times New Roman"/>
      <w:sz w:val="24"/>
    </w:rPr>
  </w:style>
  <w:style w:type="paragraph" w:customStyle="1" w:styleId="FooterSensitivity">
    <w:name w:val="Footer Sensitivity"/>
    <w:basedOn w:val="Normal"/>
    <w:link w:val="FooterSensitivityChar"/>
    <w:rsid w:val="00E5429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5429A"/>
    <w:rPr>
      <w:rFonts w:ascii="Times New Roman" w:hAnsi="Times New Roman" w:cs="Times New Roman"/>
      <w:b/>
      <w:sz w:val="32"/>
    </w:rPr>
  </w:style>
  <w:style w:type="paragraph" w:customStyle="1" w:styleId="HeaderCoverPage">
    <w:name w:val="Header Cover Page"/>
    <w:basedOn w:val="Normal"/>
    <w:link w:val="HeaderCoverPageChar"/>
    <w:rsid w:val="00E5429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5429A"/>
    <w:rPr>
      <w:rFonts w:ascii="Times New Roman" w:hAnsi="Times New Roman" w:cs="Times New Roman"/>
      <w:sz w:val="24"/>
    </w:rPr>
  </w:style>
  <w:style w:type="paragraph" w:customStyle="1" w:styleId="HeaderSensitivity">
    <w:name w:val="Header Sensitivity"/>
    <w:basedOn w:val="Normal"/>
    <w:link w:val="HeaderSensitivityChar"/>
    <w:rsid w:val="00E5429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5429A"/>
    <w:rPr>
      <w:rFonts w:ascii="Times New Roman" w:hAnsi="Times New Roman" w:cs="Times New Roman"/>
      <w:b/>
      <w:sz w:val="32"/>
    </w:rPr>
  </w:style>
  <w:style w:type="paragraph" w:customStyle="1" w:styleId="HeaderSensitivityRight">
    <w:name w:val="Header Sensitivity Right"/>
    <w:basedOn w:val="Normal"/>
    <w:link w:val="HeaderSensitivityRightChar"/>
    <w:rsid w:val="00E5429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5429A"/>
    <w:rPr>
      <w:rFonts w:ascii="Times New Roman" w:hAnsi="Times New Roman" w:cs="Times New Roman"/>
      <w:sz w:val="28"/>
    </w:rPr>
  </w:style>
  <w:style w:type="character" w:customStyle="1" w:styleId="s2">
    <w:name w:val="s2"/>
    <w:basedOn w:val="DefaultParagraphFont"/>
    <w:rsid w:val="00EA609E"/>
  </w:style>
  <w:style w:type="character" w:styleId="FollowedHyperlink">
    <w:name w:val="FollowedHyperlink"/>
    <w:basedOn w:val="DefaultParagraphFont"/>
    <w:uiPriority w:val="99"/>
    <w:semiHidden/>
    <w:unhideWhenUsed/>
    <w:rsid w:val="00515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808">
      <w:bodyDiv w:val="1"/>
      <w:marLeft w:val="0"/>
      <w:marRight w:val="0"/>
      <w:marTop w:val="0"/>
      <w:marBottom w:val="0"/>
      <w:divBdr>
        <w:top w:val="none" w:sz="0" w:space="0" w:color="auto"/>
        <w:left w:val="none" w:sz="0" w:space="0" w:color="auto"/>
        <w:bottom w:val="none" w:sz="0" w:space="0" w:color="auto"/>
        <w:right w:val="none" w:sz="0" w:space="0" w:color="auto"/>
      </w:divBdr>
    </w:div>
    <w:div w:id="68622864">
      <w:bodyDiv w:val="1"/>
      <w:marLeft w:val="0"/>
      <w:marRight w:val="0"/>
      <w:marTop w:val="0"/>
      <w:marBottom w:val="0"/>
      <w:divBdr>
        <w:top w:val="none" w:sz="0" w:space="0" w:color="auto"/>
        <w:left w:val="none" w:sz="0" w:space="0" w:color="auto"/>
        <w:bottom w:val="none" w:sz="0" w:space="0" w:color="auto"/>
        <w:right w:val="none" w:sz="0" w:space="0" w:color="auto"/>
      </w:divBdr>
    </w:div>
    <w:div w:id="82456252">
      <w:bodyDiv w:val="1"/>
      <w:marLeft w:val="0"/>
      <w:marRight w:val="0"/>
      <w:marTop w:val="0"/>
      <w:marBottom w:val="0"/>
      <w:divBdr>
        <w:top w:val="none" w:sz="0" w:space="0" w:color="auto"/>
        <w:left w:val="none" w:sz="0" w:space="0" w:color="auto"/>
        <w:bottom w:val="none" w:sz="0" w:space="0" w:color="auto"/>
        <w:right w:val="none" w:sz="0" w:space="0" w:color="auto"/>
      </w:divBdr>
    </w:div>
    <w:div w:id="82993084">
      <w:bodyDiv w:val="1"/>
      <w:marLeft w:val="0"/>
      <w:marRight w:val="0"/>
      <w:marTop w:val="0"/>
      <w:marBottom w:val="0"/>
      <w:divBdr>
        <w:top w:val="none" w:sz="0" w:space="0" w:color="auto"/>
        <w:left w:val="none" w:sz="0" w:space="0" w:color="auto"/>
        <w:bottom w:val="none" w:sz="0" w:space="0" w:color="auto"/>
        <w:right w:val="none" w:sz="0" w:space="0" w:color="auto"/>
      </w:divBdr>
    </w:div>
    <w:div w:id="113256281">
      <w:bodyDiv w:val="1"/>
      <w:marLeft w:val="0"/>
      <w:marRight w:val="0"/>
      <w:marTop w:val="0"/>
      <w:marBottom w:val="0"/>
      <w:divBdr>
        <w:top w:val="none" w:sz="0" w:space="0" w:color="auto"/>
        <w:left w:val="none" w:sz="0" w:space="0" w:color="auto"/>
        <w:bottom w:val="none" w:sz="0" w:space="0" w:color="auto"/>
        <w:right w:val="none" w:sz="0" w:space="0" w:color="auto"/>
      </w:divBdr>
    </w:div>
    <w:div w:id="165176369">
      <w:bodyDiv w:val="1"/>
      <w:marLeft w:val="0"/>
      <w:marRight w:val="0"/>
      <w:marTop w:val="0"/>
      <w:marBottom w:val="0"/>
      <w:divBdr>
        <w:top w:val="none" w:sz="0" w:space="0" w:color="auto"/>
        <w:left w:val="none" w:sz="0" w:space="0" w:color="auto"/>
        <w:bottom w:val="none" w:sz="0" w:space="0" w:color="auto"/>
        <w:right w:val="none" w:sz="0" w:space="0" w:color="auto"/>
      </w:divBdr>
    </w:div>
    <w:div w:id="244539469">
      <w:bodyDiv w:val="1"/>
      <w:marLeft w:val="0"/>
      <w:marRight w:val="0"/>
      <w:marTop w:val="0"/>
      <w:marBottom w:val="0"/>
      <w:divBdr>
        <w:top w:val="none" w:sz="0" w:space="0" w:color="auto"/>
        <w:left w:val="none" w:sz="0" w:space="0" w:color="auto"/>
        <w:bottom w:val="none" w:sz="0" w:space="0" w:color="auto"/>
        <w:right w:val="none" w:sz="0" w:space="0" w:color="auto"/>
      </w:divBdr>
    </w:div>
    <w:div w:id="522866224">
      <w:bodyDiv w:val="1"/>
      <w:marLeft w:val="0"/>
      <w:marRight w:val="0"/>
      <w:marTop w:val="0"/>
      <w:marBottom w:val="0"/>
      <w:divBdr>
        <w:top w:val="none" w:sz="0" w:space="0" w:color="auto"/>
        <w:left w:val="none" w:sz="0" w:space="0" w:color="auto"/>
        <w:bottom w:val="none" w:sz="0" w:space="0" w:color="auto"/>
        <w:right w:val="none" w:sz="0" w:space="0" w:color="auto"/>
      </w:divBdr>
    </w:div>
    <w:div w:id="588661401">
      <w:bodyDiv w:val="1"/>
      <w:marLeft w:val="0"/>
      <w:marRight w:val="0"/>
      <w:marTop w:val="0"/>
      <w:marBottom w:val="0"/>
      <w:divBdr>
        <w:top w:val="none" w:sz="0" w:space="0" w:color="auto"/>
        <w:left w:val="none" w:sz="0" w:space="0" w:color="auto"/>
        <w:bottom w:val="none" w:sz="0" w:space="0" w:color="auto"/>
        <w:right w:val="none" w:sz="0" w:space="0" w:color="auto"/>
      </w:divBdr>
    </w:div>
    <w:div w:id="732311450">
      <w:bodyDiv w:val="1"/>
      <w:marLeft w:val="0"/>
      <w:marRight w:val="0"/>
      <w:marTop w:val="0"/>
      <w:marBottom w:val="0"/>
      <w:divBdr>
        <w:top w:val="none" w:sz="0" w:space="0" w:color="auto"/>
        <w:left w:val="none" w:sz="0" w:space="0" w:color="auto"/>
        <w:bottom w:val="none" w:sz="0" w:space="0" w:color="auto"/>
        <w:right w:val="none" w:sz="0" w:space="0" w:color="auto"/>
      </w:divBdr>
    </w:div>
    <w:div w:id="757674035">
      <w:bodyDiv w:val="1"/>
      <w:marLeft w:val="0"/>
      <w:marRight w:val="0"/>
      <w:marTop w:val="0"/>
      <w:marBottom w:val="0"/>
      <w:divBdr>
        <w:top w:val="none" w:sz="0" w:space="0" w:color="auto"/>
        <w:left w:val="none" w:sz="0" w:space="0" w:color="auto"/>
        <w:bottom w:val="none" w:sz="0" w:space="0" w:color="auto"/>
        <w:right w:val="none" w:sz="0" w:space="0" w:color="auto"/>
      </w:divBdr>
    </w:div>
    <w:div w:id="835727762">
      <w:bodyDiv w:val="1"/>
      <w:marLeft w:val="0"/>
      <w:marRight w:val="0"/>
      <w:marTop w:val="0"/>
      <w:marBottom w:val="0"/>
      <w:divBdr>
        <w:top w:val="none" w:sz="0" w:space="0" w:color="auto"/>
        <w:left w:val="none" w:sz="0" w:space="0" w:color="auto"/>
        <w:bottom w:val="none" w:sz="0" w:space="0" w:color="auto"/>
        <w:right w:val="none" w:sz="0" w:space="0" w:color="auto"/>
      </w:divBdr>
    </w:div>
    <w:div w:id="969095596">
      <w:bodyDiv w:val="1"/>
      <w:marLeft w:val="0"/>
      <w:marRight w:val="0"/>
      <w:marTop w:val="0"/>
      <w:marBottom w:val="0"/>
      <w:divBdr>
        <w:top w:val="none" w:sz="0" w:space="0" w:color="auto"/>
        <w:left w:val="none" w:sz="0" w:space="0" w:color="auto"/>
        <w:bottom w:val="none" w:sz="0" w:space="0" w:color="auto"/>
        <w:right w:val="none" w:sz="0" w:space="0" w:color="auto"/>
      </w:divBdr>
    </w:div>
    <w:div w:id="1034497728">
      <w:bodyDiv w:val="1"/>
      <w:marLeft w:val="0"/>
      <w:marRight w:val="0"/>
      <w:marTop w:val="0"/>
      <w:marBottom w:val="0"/>
      <w:divBdr>
        <w:top w:val="none" w:sz="0" w:space="0" w:color="auto"/>
        <w:left w:val="none" w:sz="0" w:space="0" w:color="auto"/>
        <w:bottom w:val="none" w:sz="0" w:space="0" w:color="auto"/>
        <w:right w:val="none" w:sz="0" w:space="0" w:color="auto"/>
      </w:divBdr>
    </w:div>
    <w:div w:id="1065764932">
      <w:bodyDiv w:val="1"/>
      <w:marLeft w:val="0"/>
      <w:marRight w:val="0"/>
      <w:marTop w:val="0"/>
      <w:marBottom w:val="0"/>
      <w:divBdr>
        <w:top w:val="none" w:sz="0" w:space="0" w:color="auto"/>
        <w:left w:val="none" w:sz="0" w:space="0" w:color="auto"/>
        <w:bottom w:val="none" w:sz="0" w:space="0" w:color="auto"/>
        <w:right w:val="none" w:sz="0" w:space="0" w:color="auto"/>
      </w:divBdr>
    </w:div>
    <w:div w:id="1222138316">
      <w:bodyDiv w:val="1"/>
      <w:marLeft w:val="0"/>
      <w:marRight w:val="0"/>
      <w:marTop w:val="0"/>
      <w:marBottom w:val="0"/>
      <w:divBdr>
        <w:top w:val="none" w:sz="0" w:space="0" w:color="auto"/>
        <w:left w:val="none" w:sz="0" w:space="0" w:color="auto"/>
        <w:bottom w:val="none" w:sz="0" w:space="0" w:color="auto"/>
        <w:right w:val="none" w:sz="0" w:space="0" w:color="auto"/>
      </w:divBdr>
    </w:div>
    <w:div w:id="1357732137">
      <w:bodyDiv w:val="1"/>
      <w:marLeft w:val="0"/>
      <w:marRight w:val="0"/>
      <w:marTop w:val="0"/>
      <w:marBottom w:val="0"/>
      <w:divBdr>
        <w:top w:val="none" w:sz="0" w:space="0" w:color="auto"/>
        <w:left w:val="none" w:sz="0" w:space="0" w:color="auto"/>
        <w:bottom w:val="none" w:sz="0" w:space="0" w:color="auto"/>
        <w:right w:val="none" w:sz="0" w:space="0" w:color="auto"/>
      </w:divBdr>
    </w:div>
    <w:div w:id="1383022076">
      <w:bodyDiv w:val="1"/>
      <w:marLeft w:val="0"/>
      <w:marRight w:val="0"/>
      <w:marTop w:val="0"/>
      <w:marBottom w:val="0"/>
      <w:divBdr>
        <w:top w:val="none" w:sz="0" w:space="0" w:color="auto"/>
        <w:left w:val="none" w:sz="0" w:space="0" w:color="auto"/>
        <w:bottom w:val="none" w:sz="0" w:space="0" w:color="auto"/>
        <w:right w:val="none" w:sz="0" w:space="0" w:color="auto"/>
      </w:divBdr>
    </w:div>
    <w:div w:id="1580553415">
      <w:bodyDiv w:val="1"/>
      <w:marLeft w:val="0"/>
      <w:marRight w:val="0"/>
      <w:marTop w:val="0"/>
      <w:marBottom w:val="0"/>
      <w:divBdr>
        <w:top w:val="none" w:sz="0" w:space="0" w:color="auto"/>
        <w:left w:val="none" w:sz="0" w:space="0" w:color="auto"/>
        <w:bottom w:val="none" w:sz="0" w:space="0" w:color="auto"/>
        <w:right w:val="none" w:sz="0" w:space="0" w:color="auto"/>
      </w:divBdr>
    </w:div>
    <w:div w:id="1594439282">
      <w:bodyDiv w:val="1"/>
      <w:marLeft w:val="0"/>
      <w:marRight w:val="0"/>
      <w:marTop w:val="0"/>
      <w:marBottom w:val="0"/>
      <w:divBdr>
        <w:top w:val="none" w:sz="0" w:space="0" w:color="auto"/>
        <w:left w:val="none" w:sz="0" w:space="0" w:color="auto"/>
        <w:bottom w:val="none" w:sz="0" w:space="0" w:color="auto"/>
        <w:right w:val="none" w:sz="0" w:space="0" w:color="auto"/>
      </w:divBdr>
    </w:div>
    <w:div w:id="1674914867">
      <w:bodyDiv w:val="1"/>
      <w:marLeft w:val="0"/>
      <w:marRight w:val="0"/>
      <w:marTop w:val="0"/>
      <w:marBottom w:val="0"/>
      <w:divBdr>
        <w:top w:val="none" w:sz="0" w:space="0" w:color="auto"/>
        <w:left w:val="none" w:sz="0" w:space="0" w:color="auto"/>
        <w:bottom w:val="none" w:sz="0" w:space="0" w:color="auto"/>
        <w:right w:val="none" w:sz="0" w:space="0" w:color="auto"/>
      </w:divBdr>
    </w:div>
    <w:div w:id="1852450009">
      <w:bodyDiv w:val="1"/>
      <w:marLeft w:val="0"/>
      <w:marRight w:val="0"/>
      <w:marTop w:val="0"/>
      <w:marBottom w:val="0"/>
      <w:divBdr>
        <w:top w:val="none" w:sz="0" w:space="0" w:color="auto"/>
        <w:left w:val="none" w:sz="0" w:space="0" w:color="auto"/>
        <w:bottom w:val="none" w:sz="0" w:space="0" w:color="auto"/>
        <w:right w:val="none" w:sz="0" w:space="0" w:color="auto"/>
      </w:divBdr>
    </w:div>
    <w:div w:id="21071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RO/TXT/PDF/?uri=CELEX:52020DC0301&amp;from=RO" TargetMode="External"/><Relationship Id="rId3" Type="http://schemas.openxmlformats.org/officeDocument/2006/relationships/hyperlink" Target="https://eige.europa.eu/publications/gender-and-energy" TargetMode="External"/><Relationship Id="rId7" Type="http://schemas.openxmlformats.org/officeDocument/2006/relationships/hyperlink" Target="https://ec.europa.eu/competition-policy/public-consultations/2022-agri_en" TargetMode="External"/><Relationship Id="rId2" Type="http://schemas.openxmlformats.org/officeDocument/2006/relationships/hyperlink" Target="https://www.europarl.europa.eu/RegData/etudes/STUD/2017/596816/IPOL_STU(2017)596816_EN.pdf" TargetMode="External"/><Relationship Id="rId1" Type="http://schemas.openxmlformats.org/officeDocument/2006/relationships/hyperlink" Target="https://www.europarl.europa.eu/RegData/etudes/STUD/2017/607350/IPOL_STU(2017)607350_EN.pdf" TargetMode="External"/><Relationship Id="rId6" Type="http://schemas.openxmlformats.org/officeDocument/2006/relationships/hyperlink" Target="https://ec.europa.eu/commission/presscorner/detail/ro/fs_21_5213" TargetMode="External"/><Relationship Id="rId5" Type="http://schemas.openxmlformats.org/officeDocument/2006/relationships/hyperlink" Target="https://search.oecd.org/env/GFE-Gender-Issues-Note-Session-6.2.pdf" TargetMode="External"/><Relationship Id="rId4" Type="http://schemas.openxmlformats.org/officeDocument/2006/relationships/hyperlink" Target="https://eige.europa.eu/publications/gender-and-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0A733D-307D-4BA9-B807-11A9D272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4930</Words>
  <Characters>28699</Characters>
  <Application>Microsoft Office Word</Application>
  <DocSecurity>0</DocSecurity>
  <Lines>610</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2022-03-08T10:42:00Z</dcterms:created>
  <dcterms:modified xsi:type="dcterms:W3CDTF">2022-03-09T16:01:00Z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7.0.1, Build 20200226</vt:lpwstr>
  </property>
  <property fmtid="{D5CDD505-2E9C-101B-9397-08002B2CF9AE}" pid="8" name="Created using">
    <vt:lpwstr>LW 7.0.1, Build 20200226</vt:lpwstr>
  </property>
</Properties>
</file>