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92574" w14:textId="499F3C89" w:rsidR="00470D07" w:rsidRPr="000C4F35" w:rsidRDefault="00E0492F" w:rsidP="00E0492F">
      <w:pPr>
        <w:pStyle w:val="Pagedecouverture"/>
        <w:rPr>
          <w:noProof/>
        </w:rPr>
      </w:pPr>
      <w:r>
        <w:rPr>
          <w:noProof/>
        </w:rPr>
        <w:pict w14:anchorId="616C5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2B4E0412-E3FC-428E-82E6-09B500227011" style="width:455.25pt;height:426pt">
            <v:imagedata r:id="rId8" o:title=""/>
          </v:shape>
        </w:pict>
      </w:r>
    </w:p>
    <w:p w14:paraId="0F7ED5BE" w14:textId="77777777" w:rsidR="00470D07" w:rsidRPr="000C4F35" w:rsidRDefault="00470D07" w:rsidP="00914997">
      <w:pPr>
        <w:rPr>
          <w:noProof/>
        </w:rPr>
        <w:sectPr w:rsidR="00470D07" w:rsidRPr="000C4F35" w:rsidSect="00E0492F">
          <w:footerReference w:type="default" r:id="rId9"/>
          <w:pgSz w:w="11907" w:h="16839"/>
          <w:pgMar w:top="1134" w:right="1417" w:bottom="1134" w:left="1417" w:header="709" w:footer="709" w:gutter="0"/>
          <w:pgNumType w:start="0"/>
          <w:cols w:space="720"/>
          <w:docGrid w:linePitch="360"/>
        </w:sectPr>
      </w:pPr>
    </w:p>
    <w:p w14:paraId="0FDAA495" w14:textId="77777777" w:rsidR="00470D07" w:rsidRPr="000C4F35" w:rsidRDefault="00470D07" w:rsidP="00914997">
      <w:pPr>
        <w:pStyle w:val="Exposdesmotifstitre"/>
        <w:rPr>
          <w:noProof/>
        </w:rPr>
      </w:pPr>
      <w:bookmarkStart w:id="0" w:name="_GoBack"/>
      <w:bookmarkEnd w:id="0"/>
      <w:r w:rsidRPr="000C4F35">
        <w:rPr>
          <w:noProof/>
        </w:rPr>
        <w:lastRenderedPageBreak/>
        <w:t>EXPLANATORY MEMORANDUM</w:t>
      </w:r>
    </w:p>
    <w:p w14:paraId="51E89157" w14:textId="77777777" w:rsidR="00470D07" w:rsidRPr="000C4F35" w:rsidRDefault="00470D07" w:rsidP="00914997">
      <w:pPr>
        <w:pStyle w:val="ManualHeading1"/>
        <w:rPr>
          <w:noProof/>
        </w:rPr>
      </w:pPr>
      <w:r w:rsidRPr="000C4F35">
        <w:rPr>
          <w:noProof/>
        </w:rPr>
        <w:t>1.</w:t>
      </w:r>
      <w:r w:rsidRPr="000C4F35">
        <w:rPr>
          <w:noProof/>
        </w:rPr>
        <w:tab/>
        <w:t>CONTEXT OF THE PROPOSAL</w:t>
      </w:r>
    </w:p>
    <w:p w14:paraId="621C8CB2" w14:textId="77777777" w:rsidR="00470D07" w:rsidRPr="000C4F35" w:rsidRDefault="00470D07" w:rsidP="00914997">
      <w:pPr>
        <w:pStyle w:val="ManualHeading2"/>
        <w:rPr>
          <w:rFonts w:eastAsia="Arial Unicode MS"/>
          <w:noProof/>
        </w:rPr>
      </w:pPr>
      <w:r w:rsidRPr="000C4F35">
        <w:rPr>
          <w:rFonts w:eastAsia="Arial Unicode MS"/>
          <w:noProof/>
        </w:rPr>
        <w:t>Reasons for and objectives of the proposal</w:t>
      </w:r>
    </w:p>
    <w:p w14:paraId="7C4E7D8D" w14:textId="77777777" w:rsidR="003B0FE7" w:rsidRPr="000C4F35" w:rsidRDefault="003B0FE7" w:rsidP="00914997">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Central Securities Depositories (CSDs) operate</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the infrastructure</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that enables securities settlement,</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i.e.</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the</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completion</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of</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a</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securities</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transaction through the transfer of cash or securities, or both</w:t>
      </w:r>
      <w:r w:rsidRPr="000C4F35">
        <w:rPr>
          <w:rStyle w:val="FootnoteReference"/>
          <w:rFonts w:eastAsia="Arial Unicode MS"/>
          <w:noProof/>
          <w:color w:val="000000"/>
          <w:szCs w:val="24"/>
          <w:u w:color="000000"/>
          <w:bdr w:val="nil"/>
          <w:lang w:eastAsia="en-GB"/>
        </w:rPr>
        <w:footnoteReference w:id="2"/>
      </w:r>
      <w:r w:rsidRPr="000C4F35">
        <w:rPr>
          <w:rFonts w:eastAsia="Arial Unicode MS"/>
          <w:noProof/>
          <w:color w:val="000000"/>
          <w:szCs w:val="24"/>
          <w:u w:color="000000"/>
          <w:bdr w:val="nil"/>
          <w:lang w:eastAsia="en-GB"/>
        </w:rPr>
        <w:t>. CSDs play a crucial role in the primary market by centralising the initial recording of newly issued securities (“notary service”). They also maint</w:t>
      </w:r>
      <w:r w:rsidR="00F65467" w:rsidRPr="000C4F35">
        <w:rPr>
          <w:rFonts w:eastAsia="Arial Unicode MS"/>
          <w:noProof/>
          <w:color w:val="000000"/>
          <w:szCs w:val="24"/>
          <w:u w:color="000000"/>
          <w:bdr w:val="nil"/>
          <w:lang w:eastAsia="en-GB"/>
        </w:rPr>
        <w:t>ain</w:t>
      </w:r>
      <w:r w:rsidRPr="000C4F35">
        <w:rPr>
          <w:rFonts w:eastAsia="Arial Unicode MS"/>
          <w:noProof/>
          <w:color w:val="000000"/>
          <w:szCs w:val="24"/>
          <w:u w:color="000000"/>
          <w:bdr w:val="nil"/>
          <w:lang w:eastAsia="en-GB"/>
        </w:rPr>
        <w:t xml:space="preserve"> securities accounts that record the number of securities held</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by whom,</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and</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record each</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change</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in</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the</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holding of those securities (“central maintenance service”). In addition, some CSDs provide ancillary services,</w:t>
      </w:r>
      <w:r w:rsidRPr="000C4F35">
        <w:rPr>
          <w:rStyle w:val="FootnoteReference"/>
          <w:rFonts w:eastAsia="Arial Unicode MS"/>
          <w:noProof/>
          <w:color w:val="000000"/>
          <w:szCs w:val="24"/>
          <w:u w:color="000000"/>
          <w:bdr w:val="nil"/>
          <w:lang w:eastAsia="en-GB"/>
        </w:rPr>
        <w:footnoteReference w:id="3"/>
      </w:r>
      <w:r w:rsidRPr="000C4F35">
        <w:rPr>
          <w:rFonts w:eastAsia="Arial Unicode MS"/>
          <w:noProof/>
          <w:color w:val="000000"/>
          <w:szCs w:val="24"/>
          <w:u w:color="000000"/>
          <w:bdr w:val="nil"/>
          <w:lang w:eastAsia="en-GB"/>
        </w:rPr>
        <w:t xml:space="preserve"> including banking services.</w:t>
      </w:r>
    </w:p>
    <w:p w14:paraId="6A3371D9" w14:textId="77777777" w:rsidR="003B0FE7" w:rsidRPr="000C4F35" w:rsidRDefault="003B0FE7"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CSDs play an essential role in </w:t>
      </w:r>
      <w:r w:rsidRPr="000C4F35" w:rsidDel="005D2BD7">
        <w:rPr>
          <w:rFonts w:eastAsia="Arial Unicode MS"/>
          <w:noProof/>
          <w:color w:val="000000"/>
          <w:szCs w:val="24"/>
          <w:u w:color="000000"/>
          <w:bdr w:val="nil"/>
          <w:lang w:eastAsia="en-GB"/>
        </w:rPr>
        <w:t>the</w:t>
      </w:r>
      <w:r w:rsidRPr="000C4F35">
        <w:rPr>
          <w:rFonts w:eastAsia="Arial Unicode MS"/>
          <w:noProof/>
          <w:color w:val="000000"/>
          <w:szCs w:val="24"/>
          <w:u w:color="000000"/>
          <w:bdr w:val="nil"/>
          <w:lang w:eastAsia="en-GB"/>
        </w:rPr>
        <w:t xml:space="preserve"> financing of the economy through their role in the issuance </w:t>
      </w:r>
      <w:r w:rsidR="00F65467" w:rsidRPr="000C4F35">
        <w:rPr>
          <w:rFonts w:eastAsia="Arial Unicode MS"/>
          <w:noProof/>
          <w:color w:val="000000"/>
          <w:szCs w:val="24"/>
          <w:u w:color="000000"/>
          <w:bdr w:val="nil"/>
          <w:lang w:eastAsia="en-GB"/>
        </w:rPr>
        <w:t xml:space="preserve">of securities </w:t>
      </w:r>
      <w:r w:rsidRPr="000C4F35">
        <w:rPr>
          <w:rFonts w:eastAsia="Arial Unicode MS"/>
          <w:noProof/>
          <w:color w:val="000000"/>
          <w:szCs w:val="24"/>
          <w:u w:color="000000"/>
          <w:bdr w:val="nil"/>
          <w:lang w:eastAsia="en-GB"/>
        </w:rPr>
        <w:t>and by allowing securities transactions to be completed. CSDs also play an important role in the implementation of monetary policy by central banks. For instance, eligible collateral for central bank monetary operations, especially in the Euro area, flows through securities settlement systems operated by CSDs.</w:t>
      </w:r>
      <w:r w:rsidR="00F65467" w:rsidRPr="000C4F35">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Today, 26 CSDs are authorised in the EU. In 2019, EU securities settlement systems handled more than 420</w:t>
      </w:r>
      <w:r w:rsidRPr="000C4F35">
        <w:rPr>
          <w:noProof/>
          <w:szCs w:val="24"/>
        </w:rPr>
        <w:t> </w:t>
      </w:r>
      <w:r w:rsidRPr="000C4F35">
        <w:rPr>
          <w:rFonts w:eastAsia="Arial Unicode MS"/>
          <w:noProof/>
          <w:color w:val="000000"/>
          <w:szCs w:val="24"/>
          <w:u w:color="000000"/>
          <w:bdr w:val="nil"/>
          <w:lang w:eastAsia="en-GB"/>
        </w:rPr>
        <w:t>million delivery instructions worth over EUR</w:t>
      </w:r>
      <w:r w:rsidRPr="000C4F35">
        <w:rPr>
          <w:noProof/>
          <w:szCs w:val="24"/>
        </w:rPr>
        <w:t> </w:t>
      </w:r>
      <w:r w:rsidRPr="000C4F35">
        <w:rPr>
          <w:rFonts w:eastAsia="Arial Unicode MS"/>
          <w:noProof/>
          <w:color w:val="000000"/>
          <w:szCs w:val="24"/>
          <w:u w:color="000000"/>
          <w:bdr w:val="nil"/>
          <w:lang w:eastAsia="en-GB"/>
        </w:rPr>
        <w:t>53</w:t>
      </w:r>
      <w:r w:rsidRPr="000C4F35">
        <w:rPr>
          <w:noProof/>
          <w:szCs w:val="24"/>
        </w:rPr>
        <w:t> </w:t>
      </w:r>
      <w:r w:rsidRPr="000C4F35">
        <w:rPr>
          <w:rFonts w:eastAsia="Arial Unicode MS"/>
          <w:noProof/>
          <w:color w:val="000000"/>
          <w:szCs w:val="24"/>
          <w:u w:color="000000"/>
          <w:bdr w:val="nil"/>
          <w:lang w:eastAsia="en-GB"/>
        </w:rPr>
        <w:t>trillion of securities and representing a total turnover of over EUR</w:t>
      </w:r>
      <w:r w:rsidRPr="000C4F35">
        <w:rPr>
          <w:noProof/>
          <w:szCs w:val="24"/>
        </w:rPr>
        <w:t> </w:t>
      </w:r>
      <w:r w:rsidRPr="000C4F35">
        <w:rPr>
          <w:rFonts w:eastAsia="Arial Unicode MS"/>
          <w:noProof/>
          <w:color w:val="000000"/>
          <w:szCs w:val="24"/>
          <w:u w:color="000000"/>
          <w:bdr w:val="nil"/>
          <w:lang w:eastAsia="en-GB"/>
        </w:rPr>
        <w:t>1</w:t>
      </w:r>
      <w:r w:rsidRPr="000C4F35">
        <w:rPr>
          <w:noProof/>
          <w:szCs w:val="24"/>
        </w:rPr>
        <w:t> </w:t>
      </w:r>
      <w:r w:rsidRPr="000C4F35">
        <w:rPr>
          <w:rFonts w:eastAsia="Arial Unicode MS"/>
          <w:noProof/>
          <w:color w:val="000000"/>
          <w:szCs w:val="24"/>
          <w:u w:color="000000"/>
          <w:bdr w:val="nil"/>
          <w:lang w:eastAsia="en-GB"/>
        </w:rPr>
        <w:t>120</w:t>
      </w:r>
      <w:r w:rsidRPr="000C4F35">
        <w:rPr>
          <w:noProof/>
          <w:szCs w:val="24"/>
        </w:rPr>
        <w:t> </w:t>
      </w:r>
      <w:r w:rsidRPr="000C4F35">
        <w:rPr>
          <w:rFonts w:eastAsia="Arial Unicode MS"/>
          <w:noProof/>
          <w:color w:val="000000"/>
          <w:szCs w:val="24"/>
          <w:u w:color="000000"/>
          <w:bdr w:val="nil"/>
          <w:lang w:eastAsia="en-GB"/>
        </w:rPr>
        <w:t>trillion</w:t>
      </w:r>
      <w:r w:rsidRPr="000C4F35">
        <w:rPr>
          <w:rStyle w:val="FootnoteReference"/>
          <w:rFonts w:eastAsia="Arial Unicode MS"/>
          <w:noProof/>
          <w:color w:val="000000"/>
          <w:szCs w:val="24"/>
          <w:u w:color="000000"/>
          <w:bdr w:val="nil"/>
          <w:lang w:eastAsia="en-GB"/>
        </w:rPr>
        <w:footnoteReference w:id="4"/>
      </w:r>
      <w:r w:rsidRPr="000C4F35">
        <w:rPr>
          <w:rFonts w:eastAsia="Arial Unicode MS"/>
          <w:noProof/>
          <w:color w:val="000000"/>
          <w:szCs w:val="24"/>
          <w:u w:color="000000"/>
          <w:bdr w:val="nil"/>
          <w:lang w:eastAsia="en-GB"/>
        </w:rPr>
        <w:t xml:space="preserve">. </w:t>
      </w:r>
    </w:p>
    <w:p w14:paraId="52A373C3" w14:textId="77777777" w:rsidR="003B0FE7" w:rsidRPr="000C4F35" w:rsidRDefault="003B0FE7" w:rsidP="00685329">
      <w:pPr>
        <w:pBdr>
          <w:top w:val="nil"/>
          <w:left w:val="nil"/>
          <w:bottom w:val="nil"/>
          <w:right w:val="nil"/>
          <w:between w:val="nil"/>
          <w:bar w:val="nil"/>
        </w:pBdr>
        <w:spacing w:after="240"/>
        <w:rPr>
          <w:rFonts w:eastAsia="Calibri"/>
          <w:noProof/>
          <w:szCs w:val="24"/>
        </w:rPr>
      </w:pPr>
      <w:r w:rsidRPr="000C4F35">
        <w:rPr>
          <w:rFonts w:eastAsia="Arial Unicode MS"/>
          <w:noProof/>
          <w:color w:val="000000"/>
          <w:szCs w:val="24"/>
          <w:u w:color="000000"/>
          <w:bdr w:val="nil"/>
          <w:lang w:eastAsia="en-GB"/>
        </w:rPr>
        <w:t xml:space="preserve">The </w:t>
      </w:r>
      <w:r w:rsidR="00F65467" w:rsidRPr="000C4F35">
        <w:rPr>
          <w:rFonts w:eastAsia="Arial Unicode MS"/>
          <w:noProof/>
          <w:color w:val="000000"/>
          <w:szCs w:val="24"/>
          <w:u w:color="000000"/>
          <w:bdr w:val="nil"/>
          <w:lang w:eastAsia="en-GB"/>
        </w:rPr>
        <w:t xml:space="preserve">2014 </w:t>
      </w:r>
      <w:r w:rsidRPr="000C4F35">
        <w:rPr>
          <w:rFonts w:eastAsia="Arial Unicode MS"/>
          <w:noProof/>
          <w:color w:val="000000"/>
          <w:szCs w:val="24"/>
          <w:u w:color="000000"/>
          <w:bdr w:val="nil"/>
          <w:lang w:eastAsia="en-GB"/>
        </w:rPr>
        <w:t>Regulation</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on improving securities</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settlement in</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the</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European Union</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and</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on</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central securities depositories (CSDR) sought to improve the safety and efficiency of settlement as well as</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provide</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a set</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of common</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requirements for CSDs across the EU.</w:t>
      </w:r>
      <w:r w:rsidR="00F65467" w:rsidRPr="000C4F35">
        <w:rPr>
          <w:rFonts w:eastAsia="Arial Unicode MS"/>
          <w:noProof/>
          <w:color w:val="000000"/>
          <w:szCs w:val="24"/>
          <w:u w:color="000000"/>
          <w:bdr w:val="nil"/>
          <w:lang w:eastAsia="en-GB"/>
        </w:rPr>
        <w:t xml:space="preserve"> </w:t>
      </w:r>
      <w:r w:rsidRPr="000C4F35">
        <w:rPr>
          <w:rFonts w:eastAsia="Calibri"/>
          <w:noProof/>
          <w:szCs w:val="24"/>
        </w:rPr>
        <w:t xml:space="preserve">While CSDs were resilient, including </w:t>
      </w:r>
      <w:r w:rsidR="00F65467" w:rsidRPr="000C4F35">
        <w:rPr>
          <w:rFonts w:eastAsia="Calibri"/>
          <w:noProof/>
          <w:szCs w:val="24"/>
        </w:rPr>
        <w:t xml:space="preserve">in </w:t>
      </w:r>
      <w:r w:rsidRPr="000C4F35">
        <w:rPr>
          <w:rFonts w:eastAsia="Calibri"/>
          <w:noProof/>
          <w:szCs w:val="24"/>
        </w:rPr>
        <w:t>the 2008 financial crisis, and were subject to regulation under national law and international standards, they were not regulated consistently across the European Union (EU). This led to differences in their safety and raised level playing field concerns. Regulating CSDs was also important to complete the regulatory framework of the trading and post-trading market infrastructures, following the Market in Financial Instruments Directive (Directive 2004/39/EC</w:t>
      </w:r>
      <w:r w:rsidRPr="000C4F35">
        <w:rPr>
          <w:rStyle w:val="FootnoteReference"/>
          <w:noProof/>
        </w:rPr>
        <w:footnoteReference w:id="5"/>
      </w:r>
      <w:r w:rsidRPr="000C4F35">
        <w:rPr>
          <w:rFonts w:eastAsia="Calibri"/>
          <w:noProof/>
          <w:szCs w:val="24"/>
        </w:rPr>
        <w:t>), which addressed trading venues, and the European Markets Infrastructure Regulation (Regulation (EU) No 648/2012</w:t>
      </w:r>
      <w:r w:rsidRPr="000C4F35">
        <w:rPr>
          <w:rStyle w:val="FootnoteReference"/>
          <w:noProof/>
        </w:rPr>
        <w:footnoteReference w:id="6"/>
      </w:r>
      <w:r w:rsidRPr="000C4F35">
        <w:rPr>
          <w:rFonts w:eastAsia="Calibri"/>
          <w:noProof/>
          <w:szCs w:val="24"/>
        </w:rPr>
        <w:t>), which addressed CCPs and trade repositories. Moreover, a consistent regulatory approach to settlement systems and settlement processes was important to complement and facilitate Target2-Securities (T2S)</w:t>
      </w:r>
      <w:r w:rsidRPr="000C4F35">
        <w:rPr>
          <w:rStyle w:val="FootnoteReference"/>
          <w:noProof/>
        </w:rPr>
        <w:footnoteReference w:id="7"/>
      </w:r>
      <w:r w:rsidRPr="000C4F35">
        <w:rPr>
          <w:rFonts w:eastAsia="Calibri"/>
          <w:noProof/>
          <w:szCs w:val="24"/>
        </w:rPr>
        <w:t>. CSDR was also the EU’s response to the call of the Financial Stability Board (FSB), on 20 October 2010</w:t>
      </w:r>
      <w:r w:rsidRPr="000C4F35">
        <w:rPr>
          <w:rStyle w:val="FootnoteReference"/>
          <w:noProof/>
        </w:rPr>
        <w:footnoteReference w:id="8"/>
      </w:r>
      <w:r w:rsidRPr="000C4F35">
        <w:rPr>
          <w:rFonts w:eastAsia="Calibri"/>
          <w:noProof/>
          <w:szCs w:val="24"/>
        </w:rPr>
        <w:t>, for a revision and enhancement of standards to ensure more robust financial market infrastructures.</w:t>
      </w:r>
      <w:r w:rsidRPr="000C4F35">
        <w:rPr>
          <w:rStyle w:val="FootnoteReference"/>
          <w:noProof/>
        </w:rPr>
        <w:footnoteReference w:id="9"/>
      </w:r>
    </w:p>
    <w:p w14:paraId="639CE930" w14:textId="77777777" w:rsidR="003B0FE7" w:rsidRPr="000C4F35" w:rsidRDefault="003B0FE7"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CSDs are financial institutions of systemic importance for financial markets, hence it is essential that their framework remains fit for purpose. Regular review of CSDR is warranted to ensure it continues to achieve its objectives while making, where possible, the framework more proportionate, and effective. </w:t>
      </w:r>
      <w:r w:rsidR="009A47A8" w:rsidRPr="000C4F35">
        <w:rPr>
          <w:rFonts w:eastAsia="Arial Unicode MS"/>
          <w:noProof/>
          <w:color w:val="000000"/>
          <w:szCs w:val="24"/>
          <w:u w:color="000000"/>
          <w:bdr w:val="nil"/>
          <w:lang w:eastAsia="en-GB"/>
        </w:rPr>
        <w:t xml:space="preserve">The </w:t>
      </w:r>
      <w:r w:rsidR="0034101C" w:rsidRPr="000C4F35">
        <w:rPr>
          <w:rFonts w:eastAsia="Arial Unicode MS"/>
          <w:noProof/>
          <w:color w:val="000000"/>
          <w:szCs w:val="24"/>
          <w:u w:color="000000"/>
          <w:bdr w:val="nil"/>
          <w:lang w:eastAsia="en-GB"/>
        </w:rPr>
        <w:t xml:space="preserve">review of </w:t>
      </w:r>
      <w:r w:rsidR="009A47A8" w:rsidRPr="000C4F35">
        <w:rPr>
          <w:rFonts w:eastAsia="Arial Unicode MS"/>
          <w:noProof/>
          <w:color w:val="000000"/>
          <w:szCs w:val="24"/>
          <w:u w:color="000000"/>
          <w:bdr w:val="nil"/>
          <w:lang w:eastAsia="en-GB"/>
        </w:rPr>
        <w:t>CSDR is a key action in the 2020 Capital Markets Union (CMU) Action Plan</w:t>
      </w:r>
      <w:r w:rsidR="009A47A8" w:rsidRPr="000C4F35">
        <w:rPr>
          <w:rStyle w:val="FootnoteReference"/>
          <w:noProof/>
        </w:rPr>
        <w:footnoteReference w:id="10"/>
      </w:r>
      <w:r w:rsidR="009A47A8" w:rsidRPr="000C4F35">
        <w:rPr>
          <w:rFonts w:eastAsia="Arial Unicode MS"/>
          <w:noProof/>
          <w:color w:val="000000"/>
          <w:szCs w:val="24"/>
          <w:u w:color="000000"/>
          <w:bdr w:val="nil"/>
          <w:lang w:eastAsia="en-GB"/>
        </w:rPr>
        <w:t xml:space="preserve"> for the development of a more efficient post-trading landscape in the EU. Resilient and efficient markets for settlement in the EU should better integrate the post-trading infrastructure landscape and increase the competitiveness of EU CSDs and EU financial markets in general.</w:t>
      </w:r>
    </w:p>
    <w:p w14:paraId="15AABF1D" w14:textId="77777777" w:rsidR="00585063" w:rsidRPr="000C4F35" w:rsidRDefault="003B0FE7" w:rsidP="00685329">
      <w:pPr>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Article 75 of CSDR required the Commission to review and prepare a report </w:t>
      </w:r>
      <w:r w:rsidR="005454EB">
        <w:rPr>
          <w:rFonts w:eastAsia="Arial Unicode MS"/>
          <w:noProof/>
          <w:color w:val="000000"/>
          <w:szCs w:val="24"/>
          <w:u w:color="000000"/>
          <w:bdr w:val="nil"/>
          <w:lang w:eastAsia="en-GB"/>
        </w:rPr>
        <w:t>assessing the implementation</w:t>
      </w:r>
      <w:r w:rsidR="004F1C12" w:rsidRPr="000C4F35">
        <w:rPr>
          <w:rFonts w:eastAsia="Arial Unicode MS"/>
          <w:noProof/>
          <w:color w:val="000000"/>
          <w:szCs w:val="24"/>
          <w:u w:color="000000"/>
          <w:bdr w:val="nil"/>
          <w:lang w:eastAsia="en-GB"/>
        </w:rPr>
        <w:t xml:space="preserve"> of the Regulation and the way forward for </w:t>
      </w:r>
      <w:r w:rsidR="009A47A8" w:rsidRPr="000C4F35">
        <w:rPr>
          <w:rFonts w:eastAsia="Arial Unicode MS"/>
          <w:noProof/>
          <w:color w:val="000000"/>
          <w:szCs w:val="24"/>
          <w:u w:color="000000"/>
          <w:bdr w:val="nil"/>
          <w:lang w:eastAsia="en-GB"/>
        </w:rPr>
        <w:t>its</w:t>
      </w:r>
      <w:r w:rsidR="004F1C12" w:rsidRPr="000C4F35">
        <w:rPr>
          <w:rFonts w:eastAsia="Arial Unicode MS"/>
          <w:noProof/>
          <w:color w:val="000000"/>
          <w:szCs w:val="24"/>
          <w:u w:color="000000"/>
          <w:bdr w:val="nil"/>
          <w:lang w:eastAsia="en-GB"/>
        </w:rPr>
        <w:t xml:space="preserve"> review </w:t>
      </w:r>
      <w:r w:rsidRPr="000C4F35">
        <w:rPr>
          <w:rFonts w:eastAsia="Arial Unicode MS"/>
          <w:noProof/>
          <w:color w:val="000000"/>
          <w:szCs w:val="24"/>
          <w:u w:color="000000"/>
          <w:bdr w:val="nil"/>
          <w:lang w:eastAsia="en-GB"/>
        </w:rPr>
        <w:t>by</w:t>
      </w:r>
      <w:r w:rsidRPr="000C4F35" w:rsidDel="005D2BD7">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19 September 2019.</w:t>
      </w:r>
      <w:r w:rsidRPr="000C4F35" w:rsidDel="005D2BD7">
        <w:rPr>
          <w:rFonts w:eastAsia="Arial Unicode MS"/>
          <w:noProof/>
          <w:color w:val="000000"/>
          <w:szCs w:val="24"/>
          <w:u w:color="000000"/>
          <w:bdr w:val="nil"/>
          <w:lang w:eastAsia="en-GB"/>
        </w:rPr>
        <w:t xml:space="preserve"> </w:t>
      </w:r>
      <w:r w:rsidR="009A47A8" w:rsidRPr="000C4F35">
        <w:rPr>
          <w:rFonts w:eastAsia="Arial Unicode MS"/>
          <w:noProof/>
          <w:color w:val="000000"/>
          <w:szCs w:val="24"/>
          <w:u w:color="000000"/>
          <w:bdr w:val="nil"/>
          <w:lang w:eastAsia="en-GB"/>
        </w:rPr>
        <w:t>The European Parliament, in its resolution on further development of the Capital Markets Union,</w:t>
      </w:r>
      <w:r w:rsidR="009A47A8" w:rsidRPr="000C4F35">
        <w:rPr>
          <w:rStyle w:val="FootnoteReference"/>
          <w:rFonts w:eastAsia="Arial Unicode MS"/>
          <w:noProof/>
          <w:color w:val="000000"/>
          <w:szCs w:val="24"/>
          <w:u w:color="000000"/>
          <w:bdr w:val="nil"/>
          <w:lang w:eastAsia="en-GB"/>
        </w:rPr>
        <w:footnoteReference w:id="11"/>
      </w:r>
      <w:r w:rsidR="009A47A8" w:rsidRPr="000C4F35">
        <w:rPr>
          <w:noProof/>
          <w:color w:val="000000"/>
          <w:sz w:val="27"/>
          <w:szCs w:val="27"/>
        </w:rPr>
        <w:t xml:space="preserve"> </w:t>
      </w:r>
      <w:r w:rsidR="009A47A8" w:rsidRPr="000C4F35">
        <w:rPr>
          <w:rFonts w:eastAsia="Arial Unicode MS"/>
          <w:noProof/>
          <w:color w:val="000000"/>
          <w:szCs w:val="24"/>
          <w:u w:color="000000"/>
          <w:bdr w:val="nil"/>
          <w:lang w:eastAsia="en-GB"/>
        </w:rPr>
        <w:t>also invited the Commission to review the settlement discipline</w:t>
      </w:r>
      <w:r w:rsidR="009A47A8" w:rsidRPr="000C4F35">
        <w:rPr>
          <w:rStyle w:val="FootnoteReference"/>
          <w:rFonts w:eastAsia="Arial Unicode MS"/>
          <w:noProof/>
          <w:color w:val="000000"/>
          <w:szCs w:val="24"/>
          <w:u w:color="000000"/>
          <w:bdr w:val="nil"/>
          <w:lang w:eastAsia="en-GB"/>
        </w:rPr>
        <w:footnoteReference w:id="12"/>
      </w:r>
      <w:r w:rsidR="009A47A8" w:rsidRPr="000C4F35">
        <w:rPr>
          <w:rFonts w:eastAsia="Arial Unicode MS"/>
          <w:noProof/>
          <w:color w:val="000000"/>
          <w:szCs w:val="24"/>
          <w:u w:color="000000"/>
          <w:bdr w:val="nil"/>
          <w:lang w:eastAsia="en-GB"/>
        </w:rPr>
        <w:t xml:space="preserve"> regime under CSDR in view of Brexit and the Covid-19 crisis. </w:t>
      </w:r>
      <w:r w:rsidR="00F65467" w:rsidRPr="000C4F35">
        <w:rPr>
          <w:rFonts w:eastAsia="Arial Unicode MS"/>
          <w:noProof/>
          <w:color w:val="000000"/>
          <w:szCs w:val="24"/>
          <w:u w:color="000000"/>
          <w:bdr w:val="nil"/>
          <w:lang w:eastAsia="en-GB"/>
        </w:rPr>
        <w:t>To this end, a</w:t>
      </w:r>
      <w:r w:rsidRPr="000C4F35">
        <w:rPr>
          <w:rFonts w:eastAsia="Arial Unicode MS"/>
          <w:noProof/>
          <w:color w:val="000000"/>
          <w:szCs w:val="24"/>
          <w:u w:color="000000"/>
          <w:bdr w:val="nil"/>
          <w:lang w:eastAsia="en-GB"/>
        </w:rPr>
        <w:t xml:space="preserve"> targeted consultation</w:t>
      </w:r>
      <w:r w:rsidRPr="000C4F35">
        <w:rPr>
          <w:rStyle w:val="FootnoteReference"/>
          <w:rFonts w:eastAsia="Arial Unicode MS"/>
          <w:noProof/>
          <w:color w:val="000000"/>
          <w:szCs w:val="24"/>
          <w:u w:color="000000"/>
          <w:bdr w:val="nil"/>
          <w:lang w:eastAsia="en-GB"/>
        </w:rPr>
        <w:footnoteReference w:id="13"/>
      </w:r>
      <w:r w:rsidRPr="000C4F35">
        <w:rPr>
          <w:rFonts w:eastAsia="Arial Unicode MS"/>
          <w:noProof/>
          <w:color w:val="000000"/>
          <w:szCs w:val="24"/>
          <w:u w:color="000000"/>
          <w:bdr w:val="nil"/>
          <w:lang w:eastAsia="en-GB"/>
        </w:rPr>
        <w:t xml:space="preserve"> </w:t>
      </w:r>
      <w:r w:rsidR="00F65467" w:rsidRPr="000C4F35">
        <w:rPr>
          <w:rFonts w:eastAsia="Arial Unicode MS"/>
          <w:noProof/>
          <w:color w:val="000000"/>
          <w:szCs w:val="24"/>
          <w:u w:color="000000"/>
          <w:bdr w:val="nil"/>
          <w:lang w:eastAsia="en-GB"/>
        </w:rPr>
        <w:t xml:space="preserve">took place </w:t>
      </w:r>
      <w:r w:rsidRPr="000C4F35">
        <w:rPr>
          <w:rFonts w:eastAsia="Arial Unicode MS"/>
          <w:noProof/>
          <w:color w:val="000000"/>
          <w:szCs w:val="24"/>
          <w:u w:color="000000"/>
          <w:bdr w:val="nil"/>
          <w:lang w:eastAsia="en-GB"/>
        </w:rPr>
        <w:t>between 8 December 2020 and 2 February 2021.</w:t>
      </w:r>
      <w:r w:rsidR="00F65467" w:rsidRPr="000C4F35">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On 1 July 2021, the Commission adopted a report.</w:t>
      </w:r>
      <w:r w:rsidRPr="000C4F35">
        <w:rPr>
          <w:rStyle w:val="FootnoteReference"/>
          <w:rFonts w:eastAsia="Arial Unicode MS"/>
          <w:noProof/>
          <w:color w:val="000000"/>
          <w:szCs w:val="24"/>
          <w:u w:color="000000"/>
          <w:bdr w:val="nil"/>
          <w:lang w:eastAsia="en-GB"/>
        </w:rPr>
        <w:footnoteReference w:id="14"/>
      </w:r>
      <w:r w:rsidRPr="000C4F35">
        <w:rPr>
          <w:rFonts w:eastAsia="Arial Unicode MS"/>
          <w:noProof/>
          <w:color w:val="000000"/>
          <w:szCs w:val="24"/>
          <w:u w:color="000000"/>
          <w:bdr w:val="nil"/>
          <w:lang w:eastAsia="en-GB"/>
        </w:rPr>
        <w:t xml:space="preserve"> It concluded that in broad terms CSDR is achieving its original obje</w:t>
      </w:r>
      <w:r w:rsidR="005139C3">
        <w:rPr>
          <w:rFonts w:eastAsia="Arial Unicode MS"/>
          <w:noProof/>
          <w:color w:val="000000"/>
          <w:szCs w:val="24"/>
          <w:u w:color="000000"/>
          <w:bdr w:val="nil"/>
          <w:lang w:eastAsia="en-GB"/>
        </w:rPr>
        <w:t>c</w:t>
      </w:r>
      <w:r w:rsidRPr="000C4F35">
        <w:rPr>
          <w:rFonts w:eastAsia="Arial Unicode MS"/>
          <w:noProof/>
          <w:color w:val="000000"/>
          <w:szCs w:val="24"/>
          <w:u w:color="000000"/>
          <w:bdr w:val="nil"/>
          <w:lang w:eastAsia="en-GB"/>
        </w:rPr>
        <w:t>tives to enhance the efficiency of settlement in the EU and the soundness of CSDs. For most areas, significant changes to CSDR were considered premature considering the recent application of requirements. Nevertheless, the report identified areas where further action may be necessary to achieve CSDR’s objectives in a more proportionate, effective and efficient manner</w:t>
      </w:r>
      <w:r w:rsidR="00585063" w:rsidRPr="000C4F35">
        <w:rPr>
          <w:rFonts w:eastAsia="Arial Unicode MS"/>
          <w:noProof/>
          <w:color w:val="000000"/>
          <w:szCs w:val="24"/>
          <w:u w:color="000000"/>
          <w:bdr w:val="nil"/>
          <w:lang w:eastAsia="en-GB"/>
        </w:rPr>
        <w:t xml:space="preserve">. </w:t>
      </w:r>
    </w:p>
    <w:p w14:paraId="47C52D22" w14:textId="44EBE03D" w:rsidR="000351E1" w:rsidRPr="000C4F35" w:rsidRDefault="003B0FE7" w:rsidP="00685329">
      <w:pPr>
        <w:rPr>
          <w:i/>
          <w:noProof/>
          <w:szCs w:val="24"/>
        </w:rPr>
      </w:pPr>
      <w:r w:rsidRPr="000C4F35">
        <w:rPr>
          <w:noProof/>
          <w:szCs w:val="24"/>
        </w:rPr>
        <w:t xml:space="preserve">Given the need to eliminate disproportionate costs and burdens and to simplify rules without putting financial stability at risk, the CSDR review was included in the 2021 </w:t>
      </w:r>
      <w:r w:rsidRPr="000C4F35" w:rsidDel="00827B93">
        <w:rPr>
          <w:noProof/>
          <w:szCs w:val="24"/>
        </w:rPr>
        <w:t xml:space="preserve">Commission </w:t>
      </w:r>
      <w:r w:rsidRPr="000C4F35">
        <w:rPr>
          <w:noProof/>
          <w:szCs w:val="24"/>
        </w:rPr>
        <w:t>Regulatory Fitness and Performance programme (REFIT)</w:t>
      </w:r>
      <w:r w:rsidRPr="000C4F35">
        <w:rPr>
          <w:rStyle w:val="FootnoteReference"/>
          <w:noProof/>
          <w:szCs w:val="24"/>
        </w:rPr>
        <w:footnoteReference w:id="15"/>
      </w:r>
      <w:r w:rsidRPr="000C4F35">
        <w:rPr>
          <w:noProof/>
          <w:szCs w:val="24"/>
        </w:rPr>
        <w:t>.</w:t>
      </w:r>
      <w:r w:rsidRPr="000C4F35">
        <w:rPr>
          <w:i/>
          <w:noProof/>
          <w:szCs w:val="24"/>
        </w:rPr>
        <w:t xml:space="preserve"> </w:t>
      </w:r>
    </w:p>
    <w:p w14:paraId="72615CB9" w14:textId="77777777" w:rsidR="00470D07" w:rsidRPr="000C4F35" w:rsidRDefault="00470D07" w:rsidP="00685329">
      <w:pPr>
        <w:pStyle w:val="ManualHeading2"/>
        <w:rPr>
          <w:rFonts w:eastAsia="Arial Unicode MS"/>
          <w:noProof/>
          <w:color w:val="000000"/>
          <w:u w:color="000000"/>
          <w:bdr w:val="nil"/>
          <w:lang w:eastAsia="en-GB"/>
        </w:rPr>
      </w:pPr>
      <w:r w:rsidRPr="000C4F35">
        <w:rPr>
          <w:rFonts w:eastAsia="Arial Unicode MS"/>
          <w:noProof/>
        </w:rPr>
        <w:t>Consistency with existing policy provisions in the policy area</w:t>
      </w:r>
    </w:p>
    <w:p w14:paraId="1C2F0A36" w14:textId="77777777" w:rsidR="00DE4950" w:rsidRPr="000C4F35" w:rsidRDefault="00DE4950"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CSDR is related to several pieces of EU legislation, including the Settlement Finality Directive,</w:t>
      </w:r>
      <w:r w:rsidRPr="000C4F35">
        <w:rPr>
          <w:rStyle w:val="FootnoteReference"/>
          <w:rFonts w:eastAsia="Arial Unicode MS"/>
          <w:noProof/>
          <w:color w:val="000000"/>
          <w:szCs w:val="24"/>
          <w:u w:color="000000"/>
          <w:bdr w:val="nil"/>
          <w:lang w:eastAsia="en-GB"/>
        </w:rPr>
        <w:footnoteReference w:id="16"/>
      </w:r>
      <w:r w:rsidRPr="000C4F35">
        <w:rPr>
          <w:rFonts w:eastAsia="Arial Unicode MS"/>
          <w:noProof/>
          <w:color w:val="000000"/>
          <w:szCs w:val="24"/>
          <w:u w:color="000000"/>
          <w:bdr w:val="nil"/>
          <w:lang w:eastAsia="en-GB"/>
        </w:rPr>
        <w:t xml:space="preserve"> MiFID and MiFIR as well as </w:t>
      </w:r>
      <w:r w:rsidR="00585063" w:rsidRPr="000C4F35">
        <w:rPr>
          <w:rFonts w:eastAsia="Arial Unicode MS"/>
          <w:noProof/>
          <w:color w:val="000000"/>
          <w:szCs w:val="24"/>
          <w:u w:color="000000"/>
          <w:bdr w:val="nil"/>
          <w:lang w:eastAsia="en-GB"/>
        </w:rPr>
        <w:t xml:space="preserve">for those CSDs that have been authorised under CSDR to provide banking-type ancillary services, </w:t>
      </w:r>
      <w:r w:rsidRPr="000C4F35">
        <w:rPr>
          <w:rFonts w:eastAsia="Arial Unicode MS"/>
          <w:noProof/>
          <w:color w:val="000000"/>
          <w:szCs w:val="24"/>
          <w:u w:color="000000"/>
          <w:bdr w:val="nil"/>
          <w:lang w:eastAsia="en-GB"/>
        </w:rPr>
        <w:t>the Capital Requirements Regulation,</w:t>
      </w:r>
      <w:r w:rsidRPr="000C4F35">
        <w:rPr>
          <w:rStyle w:val="FootnoteReference"/>
          <w:rFonts w:eastAsia="Arial Unicode MS"/>
          <w:noProof/>
          <w:color w:val="000000"/>
          <w:szCs w:val="24"/>
          <w:u w:color="000000"/>
          <w:bdr w:val="nil"/>
          <w:lang w:eastAsia="en-GB"/>
        </w:rPr>
        <w:footnoteReference w:id="17"/>
      </w:r>
      <w:r w:rsidRPr="000C4F35">
        <w:rPr>
          <w:rFonts w:eastAsia="Arial Unicode MS"/>
          <w:noProof/>
          <w:color w:val="000000"/>
          <w:szCs w:val="24"/>
          <w:u w:color="000000"/>
          <w:bdr w:val="nil"/>
          <w:lang w:eastAsia="en-GB"/>
        </w:rPr>
        <w:t xml:space="preserve"> the Capital Requirements Directive</w:t>
      </w:r>
      <w:r w:rsidRPr="000C4F35">
        <w:rPr>
          <w:rStyle w:val="FootnoteReference"/>
          <w:rFonts w:eastAsia="Arial Unicode MS"/>
          <w:noProof/>
          <w:color w:val="000000"/>
          <w:szCs w:val="24"/>
          <w:u w:color="000000"/>
          <w:bdr w:val="nil"/>
          <w:lang w:eastAsia="en-GB"/>
        </w:rPr>
        <w:footnoteReference w:id="18"/>
      </w:r>
      <w:r w:rsidRPr="000C4F35">
        <w:rPr>
          <w:rFonts w:eastAsia="Arial Unicode MS"/>
          <w:noProof/>
          <w:color w:val="000000"/>
          <w:szCs w:val="24"/>
          <w:u w:color="000000"/>
          <w:bdr w:val="nil"/>
          <w:lang w:eastAsia="en-GB"/>
        </w:rPr>
        <w:t xml:space="preserve"> and the Bank Recovery and Resolution Directive</w:t>
      </w:r>
      <w:r w:rsidRPr="000C4F35">
        <w:rPr>
          <w:rStyle w:val="FootnoteReference"/>
          <w:rFonts w:eastAsia="Arial Unicode MS"/>
          <w:noProof/>
          <w:color w:val="000000"/>
          <w:szCs w:val="24"/>
          <w:u w:color="000000"/>
          <w:bdr w:val="nil"/>
          <w:lang w:eastAsia="en-GB"/>
        </w:rPr>
        <w:footnoteReference w:id="19"/>
      </w:r>
      <w:r w:rsidRPr="000C4F35">
        <w:rPr>
          <w:rFonts w:eastAsia="Arial Unicode MS"/>
          <w:noProof/>
          <w:color w:val="000000"/>
          <w:szCs w:val="24"/>
          <w:u w:color="000000"/>
          <w:bdr w:val="nil"/>
          <w:lang w:eastAsia="en-GB"/>
        </w:rPr>
        <w:t xml:space="preserve">. </w:t>
      </w:r>
    </w:p>
    <w:p w14:paraId="53A78DC3" w14:textId="77777777" w:rsidR="00DE4950" w:rsidRPr="000C4F35" w:rsidRDefault="00DE4950"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The proposals to amend CSDR are in line with the Commission’s plan for a CMU</w:t>
      </w:r>
      <w:r w:rsidRPr="000C4F35">
        <w:rPr>
          <w:rStyle w:val="FootnoteReference"/>
          <w:rFonts w:eastAsia="Arial Unicode MS"/>
          <w:noProof/>
          <w:color w:val="000000"/>
          <w:szCs w:val="24"/>
          <w:u w:color="000000"/>
          <w:bdr w:val="nil"/>
          <w:lang w:eastAsia="en-GB"/>
        </w:rPr>
        <w:footnoteReference w:id="20"/>
      </w:r>
      <w:r w:rsidRPr="000C4F35">
        <w:rPr>
          <w:rFonts w:eastAsia="Arial Unicode MS"/>
          <w:noProof/>
          <w:color w:val="000000"/>
          <w:szCs w:val="24"/>
          <w:u w:color="000000"/>
          <w:bdr w:val="nil"/>
          <w:lang w:eastAsia="en-GB"/>
        </w:rPr>
        <w:t xml:space="preserve">. The aim of CMU is to enable capital to flow across the EU to the benefit of consumers, investors and companies. The Covid-19 crisis has made it more urgent to deliver on CMU as market-based financing is </w:t>
      </w:r>
      <w:r w:rsidR="00585063" w:rsidRPr="000C4F35">
        <w:rPr>
          <w:rFonts w:eastAsia="Arial Unicode MS"/>
          <w:noProof/>
          <w:color w:val="000000"/>
          <w:szCs w:val="24"/>
          <w:u w:color="000000"/>
          <w:bdr w:val="nil"/>
          <w:lang w:eastAsia="en-GB"/>
        </w:rPr>
        <w:t xml:space="preserve">an </w:t>
      </w:r>
      <w:r w:rsidRPr="000C4F35">
        <w:rPr>
          <w:rFonts w:eastAsia="Arial Unicode MS"/>
          <w:noProof/>
          <w:color w:val="000000"/>
          <w:szCs w:val="24"/>
          <w:u w:color="000000"/>
          <w:bdr w:val="nil"/>
          <w:lang w:eastAsia="en-GB"/>
        </w:rPr>
        <w:t xml:space="preserve">essential </w:t>
      </w:r>
      <w:r w:rsidR="00585063" w:rsidRPr="000C4F35">
        <w:rPr>
          <w:rFonts w:eastAsia="Arial Unicode MS"/>
          <w:noProof/>
          <w:color w:val="000000"/>
          <w:szCs w:val="24"/>
          <w:u w:color="000000"/>
          <w:bdr w:val="nil"/>
          <w:lang w:eastAsia="en-GB"/>
        </w:rPr>
        <w:t xml:space="preserve">component </w:t>
      </w:r>
      <w:r w:rsidRPr="000C4F35">
        <w:rPr>
          <w:rFonts w:eastAsia="Arial Unicode MS"/>
          <w:noProof/>
          <w:color w:val="000000"/>
          <w:szCs w:val="24"/>
          <w:u w:color="000000"/>
          <w:bdr w:val="nil"/>
          <w:lang w:eastAsia="en-GB"/>
        </w:rPr>
        <w:t>for the European economy’s return to long-term growth</w:t>
      </w:r>
      <w:r w:rsidR="00B80191" w:rsidRPr="000C4F35">
        <w:rPr>
          <w:rFonts w:eastAsia="Arial Unicode MS"/>
          <w:noProof/>
          <w:color w:val="000000"/>
          <w:szCs w:val="24"/>
          <w:u w:color="000000"/>
          <w:bdr w:val="nil"/>
          <w:lang w:eastAsia="en-GB"/>
        </w:rPr>
        <w:t xml:space="preserve"> and to finance </w:t>
      </w:r>
      <w:r w:rsidR="004F1C12" w:rsidRPr="000C4F35">
        <w:rPr>
          <w:rFonts w:eastAsia="Arial Unicode MS"/>
          <w:noProof/>
          <w:color w:val="000000"/>
          <w:szCs w:val="24"/>
          <w:u w:color="000000"/>
          <w:bdr w:val="nil"/>
          <w:lang w:eastAsia="en-GB"/>
        </w:rPr>
        <w:t xml:space="preserve">the </w:t>
      </w:r>
      <w:r w:rsidR="00B80191" w:rsidRPr="000C4F35">
        <w:rPr>
          <w:rFonts w:eastAsia="Arial Unicode MS"/>
          <w:noProof/>
          <w:color w:val="000000"/>
          <w:szCs w:val="24"/>
          <w:u w:color="000000"/>
          <w:bdr w:val="nil"/>
          <w:lang w:eastAsia="en-GB"/>
        </w:rPr>
        <w:t>EU’s envi</w:t>
      </w:r>
      <w:r w:rsidR="004F1C12" w:rsidRPr="000C4F35">
        <w:rPr>
          <w:rFonts w:eastAsia="Arial Unicode MS"/>
          <w:noProof/>
          <w:color w:val="000000"/>
          <w:szCs w:val="24"/>
          <w:u w:color="000000"/>
          <w:bdr w:val="nil"/>
          <w:lang w:eastAsia="en-GB"/>
        </w:rPr>
        <w:t>r</w:t>
      </w:r>
      <w:r w:rsidR="00B80191" w:rsidRPr="000C4F35">
        <w:rPr>
          <w:rFonts w:eastAsia="Arial Unicode MS"/>
          <w:noProof/>
          <w:color w:val="000000"/>
          <w:szCs w:val="24"/>
          <w:u w:color="000000"/>
          <w:bdr w:val="nil"/>
          <w:lang w:eastAsia="en-GB"/>
        </w:rPr>
        <w:t>onmental and digital transitions</w:t>
      </w:r>
      <w:r w:rsidRPr="000C4F35">
        <w:rPr>
          <w:rFonts w:eastAsia="Arial Unicode MS"/>
          <w:noProof/>
          <w:color w:val="000000"/>
          <w:szCs w:val="24"/>
          <w:u w:color="000000"/>
          <w:bdr w:val="nil"/>
          <w:lang w:eastAsia="en-GB"/>
        </w:rPr>
        <w:t xml:space="preserve">. Safe and efficient post-trade arrangements are an essential element of robust capital markets. The proposed legislative changes would contribute to the development of a more </w:t>
      </w:r>
      <w:r w:rsidR="00585063" w:rsidRPr="000C4F35">
        <w:rPr>
          <w:rFonts w:eastAsia="Arial Unicode MS"/>
          <w:noProof/>
          <w:color w:val="000000"/>
          <w:szCs w:val="24"/>
          <w:u w:color="000000"/>
          <w:bdr w:val="nil"/>
          <w:lang w:eastAsia="en-GB"/>
        </w:rPr>
        <w:t xml:space="preserve">efficient </w:t>
      </w:r>
      <w:r w:rsidRPr="000C4F35">
        <w:rPr>
          <w:rFonts w:eastAsia="Arial Unicode MS"/>
          <w:noProof/>
          <w:color w:val="000000"/>
          <w:szCs w:val="24"/>
          <w:u w:color="000000"/>
          <w:bdr w:val="nil"/>
          <w:lang w:eastAsia="en-GB"/>
        </w:rPr>
        <w:t xml:space="preserve">post-trading landscape in the EU. </w:t>
      </w:r>
    </w:p>
    <w:p w14:paraId="5DF64B01" w14:textId="77777777" w:rsidR="00DE4950" w:rsidRPr="000C4F35" w:rsidRDefault="00DE4950"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CSDR is also closely related to the</w:t>
      </w:r>
      <w:r w:rsidR="0027637B" w:rsidRPr="000C4F35">
        <w:rPr>
          <w:rFonts w:eastAsia="Arial Unicode MS"/>
          <w:noProof/>
          <w:color w:val="000000"/>
          <w:szCs w:val="24"/>
          <w:u w:color="000000"/>
          <w:bdr w:val="nil"/>
          <w:lang w:eastAsia="en-GB"/>
        </w:rPr>
        <w:t xml:space="preserve"> </w:t>
      </w:r>
      <w:r w:rsidRPr="000C4F35">
        <w:rPr>
          <w:noProof/>
          <w:szCs w:val="24"/>
        </w:rPr>
        <w:t>Digital Finance Package</w:t>
      </w:r>
      <w:r w:rsidRPr="000C4F35">
        <w:rPr>
          <w:rStyle w:val="FootnoteReference"/>
          <w:noProof/>
          <w:szCs w:val="24"/>
        </w:rPr>
        <w:footnoteReference w:id="21"/>
      </w:r>
      <w:r w:rsidRPr="000C4F35">
        <w:rPr>
          <w:noProof/>
          <w:szCs w:val="24"/>
        </w:rPr>
        <w:t xml:space="preserve">. </w:t>
      </w:r>
      <w:r w:rsidR="00585063" w:rsidRPr="000C4F35">
        <w:rPr>
          <w:noProof/>
          <w:szCs w:val="24"/>
        </w:rPr>
        <w:t>I</w:t>
      </w:r>
      <w:r w:rsidRPr="000C4F35">
        <w:rPr>
          <w:noProof/>
          <w:szCs w:val="24"/>
        </w:rPr>
        <w:t xml:space="preserve">t is particularly related to </w:t>
      </w:r>
      <w:r w:rsidRPr="000C4F35">
        <w:rPr>
          <w:rFonts w:eastAsia="Arial Unicode MS"/>
          <w:noProof/>
          <w:color w:val="000000"/>
          <w:szCs w:val="24"/>
          <w:u w:color="000000"/>
          <w:bdr w:val="nil"/>
          <w:lang w:eastAsia="en-GB"/>
        </w:rPr>
        <w:t>the proposal for a Regulation on a pilot regime for market infrastructures based on distributed ledger technology</w:t>
      </w:r>
      <w:r w:rsidRPr="000C4F35">
        <w:rPr>
          <w:rStyle w:val="FootnoteReference"/>
          <w:rFonts w:eastAsia="Arial Unicode MS"/>
          <w:noProof/>
          <w:color w:val="000000"/>
          <w:szCs w:val="24"/>
          <w:u w:color="000000"/>
          <w:bdr w:val="nil"/>
          <w:lang w:eastAsia="en-GB"/>
        </w:rPr>
        <w:footnoteReference w:id="22"/>
      </w:r>
      <w:r w:rsidRPr="000C4F35">
        <w:rPr>
          <w:rFonts w:eastAsia="Arial Unicode MS"/>
          <w:noProof/>
          <w:color w:val="000000"/>
          <w:szCs w:val="24"/>
          <w:u w:color="000000"/>
          <w:bdr w:val="nil"/>
          <w:lang w:eastAsia="en-GB"/>
        </w:rPr>
        <w:t xml:space="preserve"> (DLT). Under that Regulation, DLT settlement systems and DLT trading and settlement systems may be exempted from complying with certain provisions of CSDR subject to certain conditions with a view to stimulating innovation in this area, while safeguarding investor protection, market integrity and financial stability. The political agreement </w:t>
      </w:r>
      <w:r w:rsidR="00B67A80" w:rsidRPr="000C4F35">
        <w:rPr>
          <w:rFonts w:eastAsia="Arial Unicode MS"/>
          <w:noProof/>
          <w:color w:val="000000"/>
          <w:szCs w:val="24"/>
          <w:u w:color="000000"/>
          <w:bdr w:val="nil"/>
          <w:lang w:eastAsia="en-GB"/>
        </w:rPr>
        <w:t xml:space="preserve">on that proposal </w:t>
      </w:r>
      <w:r w:rsidRPr="000C4F35">
        <w:rPr>
          <w:rFonts w:eastAsia="Arial Unicode MS"/>
          <w:noProof/>
          <w:color w:val="000000"/>
          <w:szCs w:val="24"/>
          <w:u w:color="000000"/>
          <w:bdr w:val="nil"/>
          <w:lang w:eastAsia="en-GB"/>
        </w:rPr>
        <w:t>also introduced the possibility to postpone the CSDR rules on mandatory buy-ins, to allow more in</w:t>
      </w:r>
      <w:r w:rsidR="005139C3">
        <w:rPr>
          <w:rFonts w:eastAsia="Arial Unicode MS"/>
          <w:noProof/>
          <w:color w:val="000000"/>
          <w:szCs w:val="24"/>
          <w:u w:color="000000"/>
          <w:bdr w:val="nil"/>
          <w:lang w:eastAsia="en-GB"/>
        </w:rPr>
        <w:t>-</w:t>
      </w:r>
      <w:r w:rsidRPr="000C4F35">
        <w:rPr>
          <w:rFonts w:eastAsia="Arial Unicode MS"/>
          <w:noProof/>
          <w:color w:val="000000"/>
          <w:szCs w:val="24"/>
          <w:u w:color="000000"/>
          <w:bdr w:val="nil"/>
          <w:lang w:eastAsia="en-GB"/>
        </w:rPr>
        <w:t xml:space="preserve">depth reflections as part of the CSDR </w:t>
      </w:r>
      <w:r w:rsidR="00585063" w:rsidRPr="000C4F35">
        <w:rPr>
          <w:rFonts w:eastAsia="Arial Unicode MS"/>
          <w:noProof/>
          <w:color w:val="000000"/>
          <w:szCs w:val="24"/>
          <w:u w:color="000000"/>
          <w:bdr w:val="nil"/>
          <w:lang w:eastAsia="en-GB"/>
        </w:rPr>
        <w:t>r</w:t>
      </w:r>
      <w:r w:rsidRPr="000C4F35">
        <w:rPr>
          <w:rFonts w:eastAsia="Arial Unicode MS"/>
          <w:noProof/>
          <w:color w:val="000000"/>
          <w:szCs w:val="24"/>
          <w:u w:color="000000"/>
          <w:bdr w:val="nil"/>
          <w:lang w:eastAsia="en-GB"/>
        </w:rPr>
        <w:t>eview.</w:t>
      </w:r>
      <w:r w:rsidR="00585063" w:rsidRPr="000C4F35">
        <w:rPr>
          <w:rStyle w:val="FootnoteReference"/>
          <w:rFonts w:eastAsia="Arial Unicode MS"/>
          <w:noProof/>
          <w:color w:val="000000"/>
          <w:szCs w:val="24"/>
          <w:u w:color="000000"/>
          <w:bdr w:val="nil"/>
          <w:lang w:eastAsia="en-GB"/>
        </w:rPr>
        <w:footnoteReference w:id="23"/>
      </w:r>
      <w:r w:rsidRPr="000C4F35">
        <w:rPr>
          <w:rFonts w:eastAsia="Arial Unicode MS"/>
          <w:noProof/>
          <w:color w:val="000000"/>
          <w:szCs w:val="24"/>
          <w:u w:color="000000"/>
          <w:bdr w:val="nil"/>
          <w:lang w:eastAsia="en-GB"/>
        </w:rPr>
        <w:t xml:space="preserve"> Furthermore, CSDR is related to the proposal for Regulation on digital operational </w:t>
      </w:r>
      <w:r w:rsidR="0027637B" w:rsidRPr="000C4F35">
        <w:rPr>
          <w:rFonts w:eastAsia="Arial Unicode MS"/>
          <w:noProof/>
          <w:color w:val="000000"/>
          <w:szCs w:val="24"/>
          <w:u w:color="000000"/>
          <w:bdr w:val="nil"/>
          <w:lang w:eastAsia="en-GB"/>
        </w:rPr>
        <w:t>resilience</w:t>
      </w:r>
      <w:r w:rsidRPr="000C4F35">
        <w:rPr>
          <w:rFonts w:eastAsia="Arial Unicode MS"/>
          <w:noProof/>
          <w:color w:val="000000"/>
          <w:szCs w:val="24"/>
          <w:u w:color="000000"/>
          <w:bdr w:val="nil"/>
          <w:lang w:eastAsia="en-GB"/>
        </w:rPr>
        <w:t xml:space="preserve"> of the financial sector</w:t>
      </w:r>
      <w:r w:rsidRPr="000C4F35">
        <w:rPr>
          <w:rStyle w:val="FootnoteReference"/>
          <w:rFonts w:eastAsia="Arial Unicode MS"/>
          <w:noProof/>
          <w:color w:val="000000"/>
          <w:szCs w:val="24"/>
          <w:u w:color="000000"/>
          <w:bdr w:val="nil"/>
          <w:lang w:eastAsia="en-GB"/>
        </w:rPr>
        <w:footnoteReference w:id="24"/>
      </w:r>
      <w:r w:rsidRPr="000C4F35">
        <w:rPr>
          <w:rFonts w:eastAsia="Arial Unicode MS"/>
          <w:noProof/>
          <w:color w:val="000000"/>
          <w:szCs w:val="24"/>
          <w:u w:color="000000"/>
          <w:bdr w:val="nil"/>
          <w:lang w:eastAsia="en-GB"/>
        </w:rPr>
        <w:t xml:space="preserve"> that aims to ensure that all participants in the financial system, including CSDs, have the necessary safeguards in place to mitigate cyber-attacks and related ICT risks. </w:t>
      </w:r>
    </w:p>
    <w:p w14:paraId="4CA8450C" w14:textId="77777777" w:rsidR="00DE4950" w:rsidRPr="000C4F35" w:rsidRDefault="00DE4950" w:rsidP="00685329">
      <w:pPr>
        <w:spacing w:after="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Market infrastructures, including CSDs, were also part of the Commission communication on “The European economic and financial system: fostering openness, strength and resilience”.</w:t>
      </w:r>
      <w:r w:rsidRPr="000C4F35">
        <w:rPr>
          <w:rStyle w:val="FootnoteReference"/>
          <w:noProof/>
          <w:szCs w:val="24"/>
        </w:rPr>
        <w:footnoteReference w:id="25"/>
      </w:r>
      <w:r w:rsidRPr="000C4F35">
        <w:rPr>
          <w:noProof/>
          <w:szCs w:val="24"/>
          <w:lang w:eastAsia="fr-BE"/>
        </w:rPr>
        <w:t xml:space="preserve"> </w:t>
      </w:r>
      <w:r w:rsidRPr="000C4F35">
        <w:rPr>
          <w:rFonts w:eastAsia="Arial Unicode MS"/>
          <w:noProof/>
          <w:color w:val="000000"/>
          <w:szCs w:val="24"/>
          <w:u w:color="000000"/>
          <w:bdr w:val="nil"/>
          <w:lang w:eastAsia="en-GB"/>
        </w:rPr>
        <w:t>This Communication sets out how the EU can reinforce its open strategic autonomy in the macro-economic and financial fields by, in particular but not only, further developing EU financial market infrastructures and increasing their resilience. A strong EU settlement system as regulated by CSDR is thus an important element contributing to EU</w:t>
      </w:r>
      <w:r w:rsidR="004C3198">
        <w:rPr>
          <w:rFonts w:eastAsia="Arial Unicode MS"/>
          <w:noProof/>
          <w:color w:val="000000"/>
          <w:szCs w:val="24"/>
          <w:u w:color="000000"/>
          <w:bdr w:val="nil"/>
          <w:lang w:eastAsia="en-GB"/>
        </w:rPr>
        <w:t>’s</w:t>
      </w:r>
      <w:r w:rsidR="005139C3">
        <w:rPr>
          <w:rFonts w:eastAsia="Arial Unicode MS"/>
          <w:noProof/>
          <w:color w:val="000000"/>
          <w:szCs w:val="24"/>
          <w:u w:color="000000"/>
          <w:bdr w:val="nil"/>
          <w:lang w:eastAsia="en-GB"/>
        </w:rPr>
        <w:t xml:space="preserve"> open strategic</w:t>
      </w:r>
      <w:r w:rsidRPr="000C4F35">
        <w:rPr>
          <w:rFonts w:eastAsia="Arial Unicode MS"/>
          <w:noProof/>
          <w:color w:val="000000"/>
          <w:szCs w:val="24"/>
          <w:u w:color="000000"/>
          <w:bdr w:val="nil"/>
          <w:lang w:eastAsia="en-GB"/>
        </w:rPr>
        <w:t xml:space="preserve"> autonomy in the field of financial markets infrastructure. </w:t>
      </w:r>
    </w:p>
    <w:p w14:paraId="6E6DB579" w14:textId="77777777" w:rsidR="00470D07" w:rsidRPr="000C4F35" w:rsidRDefault="00DE4950"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Finally, this proposal is consistent with work ongoing at the international level in the framework of the FSB aiming to, among others, achieve a consistent application of the Principles for Financial Markets Infrastructure (PFMIs) developed by the Committee on Payments and Markets Infrastructure (CPMI) and the International Organisation of Securities Commissions (IOSCO).</w:t>
      </w:r>
    </w:p>
    <w:p w14:paraId="01D7D42E" w14:textId="77777777" w:rsidR="00470D07" w:rsidRPr="000C4F35" w:rsidRDefault="00470D07" w:rsidP="00685329">
      <w:pPr>
        <w:pStyle w:val="ManualHeading2"/>
        <w:rPr>
          <w:rFonts w:eastAsia="Arial Unicode MS"/>
          <w:noProof/>
        </w:rPr>
      </w:pPr>
      <w:r w:rsidRPr="000C4F35">
        <w:rPr>
          <w:rFonts w:eastAsia="Arial Unicode MS"/>
          <w:noProof/>
        </w:rPr>
        <w:t>Consistency with other Union policies</w:t>
      </w:r>
    </w:p>
    <w:p w14:paraId="3994EA52" w14:textId="77777777" w:rsidR="00342A26" w:rsidRDefault="00DE4950"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sidDel="00C75745">
        <w:rPr>
          <w:rFonts w:eastAsia="Arial Unicode MS"/>
          <w:noProof/>
          <w:color w:val="000000"/>
          <w:szCs w:val="24"/>
          <w:u w:color="000000"/>
          <w:bdr w:val="nil"/>
          <w:lang w:eastAsia="en-GB"/>
        </w:rPr>
        <w:t xml:space="preserve">This </w:t>
      </w:r>
      <w:r w:rsidRPr="000C4F35">
        <w:rPr>
          <w:rFonts w:eastAsia="Arial Unicode MS"/>
          <w:noProof/>
          <w:color w:val="000000"/>
          <w:szCs w:val="24"/>
          <w:u w:color="000000"/>
          <w:bdr w:val="nil"/>
          <w:lang w:eastAsia="en-GB"/>
        </w:rPr>
        <w:t xml:space="preserve">initiative should be viewed within the context of the broader Commission agenda to make the EU markets more competitive and resilient as represented by the CMU, digital </w:t>
      </w:r>
      <w:r w:rsidR="004C3198">
        <w:rPr>
          <w:rFonts w:eastAsia="Arial Unicode MS"/>
          <w:noProof/>
          <w:color w:val="000000"/>
          <w:szCs w:val="24"/>
          <w:u w:color="000000"/>
          <w:bdr w:val="nil"/>
          <w:lang w:eastAsia="en-GB"/>
        </w:rPr>
        <w:t xml:space="preserve">finance </w:t>
      </w:r>
      <w:r w:rsidRPr="000C4F35">
        <w:rPr>
          <w:rFonts w:eastAsia="Arial Unicode MS"/>
          <w:noProof/>
          <w:color w:val="000000"/>
          <w:szCs w:val="24"/>
          <w:u w:color="000000"/>
          <w:bdr w:val="nil"/>
          <w:lang w:eastAsia="en-GB"/>
        </w:rPr>
        <w:t xml:space="preserve">and open strategic autonomy initiatives. Safe and efficient post-trade arrangements are an essential element of robust capital markets. A fully functioning and integrated market for capital will allow the EU’s economy to grow in a sustainable way and be more competitive, in line with the strategic priority of the Commission for an Economy that Works for People, focused on creating the right conditions for job creation, growth and investment. </w:t>
      </w:r>
    </w:p>
    <w:p w14:paraId="4FF38781" w14:textId="289FF3AF" w:rsidR="00470D07" w:rsidRPr="000C4F35" w:rsidRDefault="00342A26"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342A26">
        <w:rPr>
          <w:rFonts w:eastAsia="Arial Unicode MS"/>
          <w:noProof/>
          <w:color w:val="000000"/>
          <w:szCs w:val="24"/>
          <w:u w:color="000000"/>
          <w:bdr w:val="nil"/>
          <w:lang w:eastAsia="en-GB"/>
        </w:rPr>
        <w:t>The initiative in question has no direct and/or identifiable impacts leading to significant harm or affecting the consistency with the climate-neutrality objectives and the obligations arising out of the European Climate Law</w:t>
      </w:r>
      <w:r w:rsidR="004969CD">
        <w:rPr>
          <w:rStyle w:val="FootnoteReference"/>
          <w:rFonts w:eastAsia="Arial Unicode MS"/>
          <w:noProof/>
          <w:color w:val="000000"/>
          <w:szCs w:val="24"/>
          <w:u w:color="000000"/>
          <w:bdr w:val="nil"/>
          <w:lang w:eastAsia="en-GB"/>
        </w:rPr>
        <w:footnoteReference w:id="26"/>
      </w:r>
      <w:r>
        <w:rPr>
          <w:rFonts w:eastAsia="Arial Unicode MS"/>
          <w:noProof/>
          <w:color w:val="000000"/>
          <w:szCs w:val="24"/>
          <w:u w:color="000000"/>
          <w:bdr w:val="nil"/>
          <w:lang w:eastAsia="en-GB"/>
        </w:rPr>
        <w:t>.</w:t>
      </w:r>
    </w:p>
    <w:p w14:paraId="4CA252CE" w14:textId="77777777" w:rsidR="00470D07" w:rsidRPr="000C4F35" w:rsidRDefault="00470D07" w:rsidP="00685329">
      <w:pPr>
        <w:pStyle w:val="ManualHeading1"/>
        <w:rPr>
          <w:noProof/>
        </w:rPr>
      </w:pPr>
      <w:r w:rsidRPr="000C4F35">
        <w:rPr>
          <w:noProof/>
        </w:rPr>
        <w:t>2.</w:t>
      </w:r>
      <w:r w:rsidRPr="000C4F35">
        <w:rPr>
          <w:noProof/>
        </w:rPr>
        <w:tab/>
        <w:t>LEGAL BASIS, SUBSIDIARITY AND PROPORTIONALITY</w:t>
      </w:r>
    </w:p>
    <w:p w14:paraId="0A4F8BBF" w14:textId="77777777" w:rsidR="00470D07" w:rsidRPr="000C4F35" w:rsidRDefault="00470D07" w:rsidP="00685329">
      <w:pPr>
        <w:pStyle w:val="ManualHeading2"/>
        <w:rPr>
          <w:rFonts w:eastAsia="Arial Unicode MS"/>
          <w:noProof/>
          <w:u w:color="000000"/>
          <w:bdr w:val="nil"/>
          <w:lang w:eastAsia="en-GB"/>
        </w:rPr>
      </w:pPr>
      <w:r w:rsidRPr="000C4F35">
        <w:rPr>
          <w:rFonts w:eastAsia="Arial Unicode MS"/>
          <w:noProof/>
          <w:u w:color="000000"/>
          <w:bdr w:val="nil"/>
          <w:lang w:eastAsia="en-GB"/>
        </w:rPr>
        <w:t>•</w:t>
      </w:r>
      <w:r w:rsidRPr="000C4F35">
        <w:rPr>
          <w:rFonts w:eastAsia="Arial Unicode MS"/>
          <w:noProof/>
          <w:u w:color="000000"/>
          <w:bdr w:val="nil"/>
          <w:lang w:eastAsia="en-GB"/>
        </w:rPr>
        <w:tab/>
        <w:t>Legal basis</w:t>
      </w:r>
    </w:p>
    <w:p w14:paraId="28B0C8DF" w14:textId="77777777" w:rsidR="00470D07" w:rsidRPr="000C4F35" w:rsidRDefault="00DE4950"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The legal basis for this proposal is Article 114 of the Treaty of the Functioning of the European Union (TFEU), which is the legal basis for CSDR. The analysis carried out as part of the Impact Assessment report identifies that elements of CSDR need to be amended to eliminate disproportionate costs and compliance burdens and to simplify rules without putting at risk financial stability to improve the Regulation’s efficiency and facilitate the integration of the market for securities settlement in the European Union.</w:t>
      </w:r>
    </w:p>
    <w:p w14:paraId="2116EC7A" w14:textId="77777777" w:rsidR="00470D07" w:rsidRPr="000C4F35" w:rsidRDefault="00470D07" w:rsidP="00685329">
      <w:pPr>
        <w:pStyle w:val="ManualHeading2"/>
        <w:rPr>
          <w:rFonts w:eastAsia="Arial Unicode MS"/>
          <w:noProof/>
          <w:u w:color="000000"/>
          <w:bdr w:val="nil"/>
          <w:lang w:eastAsia="en-GB"/>
        </w:rPr>
      </w:pPr>
      <w:r w:rsidRPr="000C4F35">
        <w:rPr>
          <w:rFonts w:eastAsia="Arial Unicode MS"/>
          <w:noProof/>
          <w:u w:color="000000"/>
          <w:bdr w:val="nil"/>
          <w:lang w:eastAsia="en-GB"/>
        </w:rPr>
        <w:t>•</w:t>
      </w:r>
      <w:r w:rsidRPr="000C4F35">
        <w:rPr>
          <w:rFonts w:eastAsia="Arial Unicode MS"/>
          <w:noProof/>
          <w:u w:color="000000"/>
          <w:bdr w:val="nil"/>
          <w:lang w:eastAsia="en-GB"/>
        </w:rPr>
        <w:tab/>
        <w:t xml:space="preserve">Subsidiarity (for non-exclusive competence) </w:t>
      </w:r>
    </w:p>
    <w:p w14:paraId="077AD984" w14:textId="77777777" w:rsidR="00DE4950" w:rsidRPr="000C4F35" w:rsidRDefault="00DE4950"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The objectives of CSDR, namely to lay down uniform requirements for the settlement of financial instruments in the EU, rules on the organisation and conduct of CSDs and to promote safe, efficient and smooth settlement, cannot be sufficiently achieved by the Member States alone, as the co-legislators acknowledged in 2014 when adopting CSDR.</w:t>
      </w:r>
    </w:p>
    <w:p w14:paraId="0EF76497" w14:textId="77777777" w:rsidR="00470D07" w:rsidRPr="000C4F35" w:rsidRDefault="00DE4950" w:rsidP="00685329">
      <w:pPr>
        <w:pBdr>
          <w:top w:val="nil"/>
          <w:left w:val="nil"/>
          <w:bottom w:val="nil"/>
          <w:right w:val="nil"/>
          <w:between w:val="nil"/>
          <w:bar w:val="nil"/>
        </w:pBdr>
        <w:spacing w:after="240"/>
        <w:rPr>
          <w:rFonts w:eastAsia="Arial Unicode MS"/>
          <w:i/>
          <w:noProof/>
          <w:color w:val="000000"/>
          <w:szCs w:val="24"/>
          <w:u w:color="000000"/>
          <w:bdr w:val="nil"/>
          <w:lang w:eastAsia="en-GB"/>
        </w:rPr>
      </w:pPr>
      <w:r w:rsidRPr="000C4F35">
        <w:rPr>
          <w:rFonts w:eastAsia="Arial Unicode MS"/>
          <w:noProof/>
          <w:color w:val="000000"/>
          <w:szCs w:val="24"/>
          <w:u w:color="000000"/>
          <w:bdr w:val="nil"/>
          <w:lang w:eastAsia="en-GB"/>
        </w:rPr>
        <w:t xml:space="preserve">Today, Member States and national supervisors cannot solve on their own the </w:t>
      </w:r>
      <w:r w:rsidR="00585063" w:rsidRPr="000C4F35">
        <w:rPr>
          <w:rFonts w:eastAsia="Arial Unicode MS"/>
          <w:noProof/>
          <w:color w:val="000000"/>
          <w:szCs w:val="24"/>
          <w:u w:color="000000"/>
          <w:bdr w:val="nil"/>
          <w:lang w:eastAsia="en-GB"/>
        </w:rPr>
        <w:t xml:space="preserve">challenges </w:t>
      </w:r>
      <w:r w:rsidRPr="000C4F35">
        <w:rPr>
          <w:rFonts w:eastAsia="Arial Unicode MS"/>
          <w:noProof/>
          <w:color w:val="000000"/>
          <w:szCs w:val="24"/>
          <w:u w:color="000000"/>
          <w:bdr w:val="nil"/>
          <w:lang w:eastAsia="en-GB"/>
        </w:rPr>
        <w:t xml:space="preserve">arising from the burdensome and unclear CSDR requirements or the risks resulting from diverging national supervisory practices. They also cannot address on their own the risk to the EU financial stability that the lack of information on the activities of third-country CSDs </w:t>
      </w:r>
      <w:r w:rsidR="005139C3">
        <w:rPr>
          <w:rFonts w:eastAsia="Arial Unicode MS"/>
          <w:noProof/>
          <w:color w:val="000000"/>
          <w:szCs w:val="24"/>
          <w:u w:color="000000"/>
          <w:bdr w:val="nil"/>
          <w:lang w:eastAsia="en-GB"/>
        </w:rPr>
        <w:t>could</w:t>
      </w:r>
      <w:r w:rsidR="005139C3" w:rsidRPr="000C4F35">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pose. As such, the objectives of this initiative cannot be sufficiently achieved by the Member States and can therefore, by reason of the scale of actions, be better achieved at EU level in accordance with the principle of subsidiarity as set out in Article 5 of the Treaty on the European Union</w:t>
      </w:r>
      <w:r w:rsidRPr="000C4F35">
        <w:rPr>
          <w:rFonts w:eastAsia="Arial Unicode MS"/>
          <w:i/>
          <w:noProof/>
          <w:color w:val="000000"/>
          <w:szCs w:val="24"/>
          <w:u w:color="000000"/>
          <w:bdr w:val="nil"/>
          <w:lang w:eastAsia="en-GB"/>
        </w:rPr>
        <w:t>.</w:t>
      </w:r>
    </w:p>
    <w:p w14:paraId="43DA9AD8" w14:textId="77777777" w:rsidR="00470D07" w:rsidRPr="000C4F35" w:rsidRDefault="00470D07" w:rsidP="00685329">
      <w:pPr>
        <w:pStyle w:val="ManualHeading2"/>
        <w:rPr>
          <w:rFonts w:eastAsia="Arial Unicode MS"/>
          <w:noProof/>
          <w:u w:color="000000"/>
          <w:bdr w:val="nil"/>
          <w:lang w:eastAsia="en-GB"/>
        </w:rPr>
      </w:pPr>
      <w:r w:rsidRPr="000C4F35">
        <w:rPr>
          <w:rFonts w:eastAsia="Arial Unicode MS"/>
          <w:noProof/>
          <w:u w:color="000000"/>
          <w:bdr w:val="nil"/>
          <w:lang w:eastAsia="en-GB"/>
        </w:rPr>
        <w:t>•</w:t>
      </w:r>
      <w:r w:rsidRPr="000C4F35">
        <w:rPr>
          <w:rFonts w:eastAsia="Arial Unicode MS"/>
          <w:noProof/>
          <w:u w:color="000000"/>
          <w:bdr w:val="nil"/>
          <w:lang w:eastAsia="en-GB"/>
        </w:rPr>
        <w:tab/>
        <w:t>Proportionality</w:t>
      </w:r>
    </w:p>
    <w:p w14:paraId="34732DD5" w14:textId="77777777" w:rsidR="00470D07" w:rsidRPr="000C4F35" w:rsidRDefault="00DE4950" w:rsidP="00685329">
      <w:pPr>
        <w:pBdr>
          <w:top w:val="nil"/>
          <w:left w:val="nil"/>
          <w:bottom w:val="nil"/>
          <w:right w:val="nil"/>
          <w:between w:val="nil"/>
          <w:bar w:val="nil"/>
        </w:pBdr>
        <w:spacing w:after="240"/>
        <w:rPr>
          <w:rFonts w:eastAsia="Arial Unicode MS"/>
          <w:i/>
          <w:noProof/>
          <w:color w:val="000000"/>
          <w:szCs w:val="24"/>
          <w:u w:color="000000"/>
          <w:bdr w:val="nil"/>
          <w:lang w:eastAsia="en-GB"/>
        </w:rPr>
      </w:pPr>
      <w:r w:rsidRPr="000C4F35">
        <w:rPr>
          <w:rFonts w:eastAsia="Arial Unicode MS"/>
          <w:noProof/>
          <w:color w:val="000000"/>
          <w:szCs w:val="24"/>
          <w:u w:color="000000"/>
          <w:bdr w:val="nil"/>
          <w:lang w:eastAsia="en-GB"/>
        </w:rPr>
        <w:t>The proposal aims to ensure that the objectives of CSDR are met in a more proportionate, effective and efficient manner. This should translate into simpler or reduced requirements aiming to reduce the administrative burden of the Regulation on stakeholders, in particular CSDs, without endangering investor protection, market integ</w:t>
      </w:r>
      <w:r w:rsidR="00DE33BF" w:rsidRPr="000C4F35">
        <w:rPr>
          <w:rFonts w:eastAsia="Arial Unicode MS"/>
          <w:noProof/>
          <w:color w:val="000000"/>
          <w:szCs w:val="24"/>
          <w:u w:color="000000"/>
          <w:bdr w:val="nil"/>
          <w:lang w:eastAsia="en-GB"/>
        </w:rPr>
        <w:t>r</w:t>
      </w:r>
      <w:r w:rsidRPr="000C4F35">
        <w:rPr>
          <w:rFonts w:eastAsia="Arial Unicode MS"/>
          <w:noProof/>
          <w:color w:val="000000"/>
          <w:szCs w:val="24"/>
          <w:u w:color="000000"/>
          <w:bdr w:val="nil"/>
          <w:lang w:eastAsia="en-GB"/>
        </w:rPr>
        <w:t xml:space="preserve">ity and financial stability. By reviewing the supervisory arrangements for CSDs (in particular those operating cross-border as well as those that are parts of groups of CSDs), the proposal addresses the challenges observed in </w:t>
      </w:r>
      <w:r w:rsidR="00E50B3F" w:rsidRPr="000C4F35">
        <w:rPr>
          <w:rFonts w:eastAsia="Arial Unicode MS"/>
          <w:noProof/>
          <w:color w:val="000000"/>
          <w:szCs w:val="24"/>
          <w:u w:color="000000"/>
          <w:bdr w:val="nil"/>
          <w:lang w:eastAsia="en-GB"/>
        </w:rPr>
        <w:t xml:space="preserve">achieving </w:t>
      </w:r>
      <w:r w:rsidRPr="000C4F35">
        <w:rPr>
          <w:rFonts w:eastAsia="Arial Unicode MS"/>
          <w:noProof/>
          <w:color w:val="000000"/>
          <w:szCs w:val="24"/>
          <w:u w:color="000000"/>
          <w:bdr w:val="nil"/>
          <w:lang w:eastAsia="en-GB"/>
        </w:rPr>
        <w:t xml:space="preserve">supervisory convergence. Furthermore, the recalibration of certain requirements in relation to the passporting process, the provision of banking-type ancillary services and settlement discipline, addresses the concerns raised by stakeholders, including the European Securities and Markets Authority (ESMA), while safeguarding the objectives of CSDR. The proposal does not go beyond what is necessary to achieve these objectives, taking into account the need to monitor and to mitigate any risks the operations of CSDs, </w:t>
      </w:r>
      <w:r w:rsidR="005139C3">
        <w:rPr>
          <w:rFonts w:eastAsia="Arial Unicode MS"/>
          <w:noProof/>
          <w:color w:val="000000"/>
          <w:szCs w:val="24"/>
          <w:u w:color="000000"/>
          <w:bdr w:val="nil"/>
          <w:lang w:eastAsia="en-GB"/>
        </w:rPr>
        <w:t>operating from within and outside of the EU</w:t>
      </w:r>
      <w:r w:rsidRPr="000C4F35">
        <w:rPr>
          <w:rFonts w:eastAsia="Arial Unicode MS"/>
          <w:noProof/>
          <w:color w:val="000000"/>
          <w:szCs w:val="24"/>
          <w:u w:color="000000"/>
          <w:bdr w:val="nil"/>
          <w:lang w:eastAsia="en-GB"/>
        </w:rPr>
        <w:t>, may raise for financial stability. The proportionality of the preferred policy options is further assessed in Chapter 6 of the accompanying Impact Assessment</w:t>
      </w:r>
      <w:r w:rsidRPr="000C4F35">
        <w:rPr>
          <w:rFonts w:eastAsia="Arial Unicode MS"/>
          <w:i/>
          <w:noProof/>
          <w:color w:val="000000"/>
          <w:szCs w:val="24"/>
          <w:u w:color="000000"/>
          <w:bdr w:val="nil"/>
          <w:lang w:eastAsia="en-GB"/>
        </w:rPr>
        <w:t>.</w:t>
      </w:r>
    </w:p>
    <w:p w14:paraId="41B2044B" w14:textId="77777777" w:rsidR="00470D07" w:rsidRPr="000C4F35" w:rsidRDefault="00470D07" w:rsidP="00685329">
      <w:pPr>
        <w:pStyle w:val="ManualHeading2"/>
        <w:rPr>
          <w:rFonts w:eastAsia="Arial Unicode MS"/>
          <w:noProof/>
          <w:u w:color="000000"/>
          <w:bdr w:val="nil"/>
          <w:lang w:eastAsia="en-GB"/>
        </w:rPr>
      </w:pPr>
      <w:r w:rsidRPr="000C4F35">
        <w:rPr>
          <w:rFonts w:eastAsia="Arial Unicode MS"/>
          <w:noProof/>
          <w:u w:color="000000"/>
          <w:bdr w:val="nil"/>
          <w:lang w:eastAsia="en-GB"/>
        </w:rPr>
        <w:t>•</w:t>
      </w:r>
      <w:r w:rsidRPr="000C4F35">
        <w:rPr>
          <w:rFonts w:eastAsia="Arial Unicode MS"/>
          <w:noProof/>
          <w:u w:color="000000"/>
          <w:bdr w:val="nil"/>
          <w:lang w:eastAsia="en-GB"/>
        </w:rPr>
        <w:tab/>
        <w:t>Choice of the instrument</w:t>
      </w:r>
    </w:p>
    <w:p w14:paraId="655B88C3" w14:textId="77777777" w:rsidR="00470D07" w:rsidRPr="000C4F35" w:rsidRDefault="00DE4950" w:rsidP="00685329">
      <w:pPr>
        <w:pBdr>
          <w:top w:val="nil"/>
          <w:left w:val="nil"/>
          <w:bottom w:val="nil"/>
          <w:right w:val="nil"/>
          <w:between w:val="nil"/>
          <w:bar w:val="nil"/>
        </w:pBdr>
        <w:spacing w:after="240"/>
        <w:rPr>
          <w:rFonts w:eastAsia="Arial Unicode MS"/>
          <w:i/>
          <w:noProof/>
          <w:color w:val="000000"/>
          <w:szCs w:val="24"/>
          <w:u w:color="000000"/>
          <w:bdr w:val="nil"/>
          <w:lang w:eastAsia="en-GB"/>
        </w:rPr>
      </w:pPr>
      <w:r w:rsidRPr="000C4F35">
        <w:rPr>
          <w:rFonts w:eastAsia="Arial Unicode MS"/>
          <w:noProof/>
          <w:color w:val="000000"/>
          <w:szCs w:val="24"/>
          <w:u w:color="000000"/>
          <w:bdr w:val="nil"/>
          <w:lang w:eastAsia="en-GB"/>
        </w:rPr>
        <w:t xml:space="preserve">CSDR is a </w:t>
      </w:r>
      <w:r w:rsidR="00F65467" w:rsidRPr="000C4F35">
        <w:rPr>
          <w:rFonts w:eastAsia="Arial Unicode MS"/>
          <w:noProof/>
          <w:color w:val="000000"/>
          <w:szCs w:val="24"/>
          <w:u w:color="000000"/>
          <w:bdr w:val="nil"/>
          <w:lang w:eastAsia="en-GB"/>
        </w:rPr>
        <w:t>R</w:t>
      </w:r>
      <w:r w:rsidRPr="000C4F35">
        <w:rPr>
          <w:rFonts w:eastAsia="Arial Unicode MS"/>
          <w:noProof/>
          <w:color w:val="000000"/>
          <w:szCs w:val="24"/>
          <w:u w:color="000000"/>
          <w:bdr w:val="nil"/>
          <w:lang w:eastAsia="en-GB"/>
        </w:rPr>
        <w:t>egulation and thus it needs to be amended by a legal instrument of the same nature.</w:t>
      </w:r>
    </w:p>
    <w:p w14:paraId="039A80AD" w14:textId="77777777" w:rsidR="00470D07" w:rsidRPr="000C4F35" w:rsidRDefault="00470D07" w:rsidP="00685329">
      <w:pPr>
        <w:pStyle w:val="ManualHeading1"/>
        <w:rPr>
          <w:noProof/>
        </w:rPr>
      </w:pPr>
      <w:r w:rsidRPr="000C4F35">
        <w:rPr>
          <w:noProof/>
        </w:rPr>
        <w:t>3.</w:t>
      </w:r>
      <w:r w:rsidRPr="000C4F35">
        <w:rPr>
          <w:noProof/>
        </w:rPr>
        <w:tab/>
        <w:t>RESULTS OF EX-POST EVALUATIONS, STAKEHOLDER CONSULTATIONS AND IMPACT ASSESSMENTS</w:t>
      </w:r>
    </w:p>
    <w:p w14:paraId="59472C89" w14:textId="77777777" w:rsidR="00470D07" w:rsidRPr="000C4F35" w:rsidRDefault="00470D07" w:rsidP="00685329">
      <w:pPr>
        <w:pStyle w:val="ManualHeading2"/>
        <w:rPr>
          <w:rFonts w:eastAsia="Arial Unicode MS"/>
          <w:noProof/>
          <w:u w:color="000000"/>
          <w:bdr w:val="nil"/>
          <w:lang w:eastAsia="en-GB"/>
        </w:rPr>
      </w:pPr>
      <w:r w:rsidRPr="000C4F35">
        <w:rPr>
          <w:rFonts w:eastAsia="Arial Unicode MS"/>
          <w:noProof/>
          <w:u w:color="000000"/>
          <w:bdr w:val="nil"/>
          <w:lang w:eastAsia="en-GB"/>
        </w:rPr>
        <w:t>•</w:t>
      </w:r>
      <w:r w:rsidRPr="000C4F35">
        <w:rPr>
          <w:rFonts w:eastAsia="Arial Unicode MS"/>
          <w:noProof/>
          <w:u w:color="000000"/>
          <w:bdr w:val="nil"/>
          <w:lang w:eastAsia="en-GB"/>
        </w:rPr>
        <w:tab/>
        <w:t>Ex-post evaluations/fitness checks of existing legislation</w:t>
      </w:r>
    </w:p>
    <w:p w14:paraId="1A846CBF" w14:textId="77777777" w:rsidR="00DE4950" w:rsidRPr="000C4F35" w:rsidRDefault="00585063"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An </w:t>
      </w:r>
      <w:r w:rsidR="00DE4950" w:rsidRPr="000C4F35">
        <w:rPr>
          <w:rFonts w:eastAsia="Arial Unicode MS"/>
          <w:noProof/>
          <w:color w:val="000000"/>
          <w:szCs w:val="24"/>
          <w:u w:color="000000"/>
          <w:bdr w:val="nil"/>
          <w:lang w:eastAsia="en-GB"/>
        </w:rPr>
        <w:t>evaluation of CSDR</w:t>
      </w:r>
      <w:r w:rsidRPr="000C4F35">
        <w:rPr>
          <w:rFonts w:eastAsia="Arial Unicode MS"/>
          <w:noProof/>
          <w:color w:val="000000"/>
          <w:szCs w:val="24"/>
          <w:u w:color="000000"/>
          <w:bdr w:val="nil"/>
          <w:lang w:eastAsia="en-GB"/>
        </w:rPr>
        <w:t xml:space="preserve"> assessed to what extent specific policy requirements in CSDR have met their objectives and in particular whether these requirements have done so in an efficient and effective way, while at the same time being coherent, relevant and providing EU added-value.</w:t>
      </w:r>
      <w:r w:rsidR="00DB3CC0" w:rsidRPr="000C4F35">
        <w:rPr>
          <w:rFonts w:eastAsia="Arial Unicode MS"/>
          <w:noProof/>
          <w:color w:val="000000"/>
          <w:szCs w:val="24"/>
          <w:u w:color="000000"/>
          <w:bdr w:val="nil"/>
          <w:lang w:eastAsia="en-GB"/>
        </w:rPr>
        <w:t xml:space="preserve"> </w:t>
      </w:r>
      <w:r w:rsidR="00DE4950" w:rsidRPr="000C4F35">
        <w:rPr>
          <w:rFonts w:eastAsia="Arial Unicode MS"/>
          <w:noProof/>
          <w:color w:val="000000"/>
          <w:szCs w:val="24"/>
          <w:u w:color="000000"/>
          <w:bdr w:val="nil"/>
          <w:lang w:eastAsia="en-GB"/>
        </w:rPr>
        <w:t>The findings of the evaluation are presented in Annex 5 of the Impact Assessment.</w:t>
      </w:r>
    </w:p>
    <w:p w14:paraId="654CA138" w14:textId="77777777" w:rsidR="00DB3CC0" w:rsidRPr="000C4F35" w:rsidRDefault="00DE4950" w:rsidP="00685329">
      <w:pPr>
        <w:pBdr>
          <w:top w:val="nil"/>
          <w:left w:val="nil"/>
          <w:bottom w:val="nil"/>
          <w:right w:val="nil"/>
          <w:between w:val="nil"/>
          <w:bar w:val="nil"/>
        </w:pBdr>
        <w:spacing w:after="240"/>
        <w:rPr>
          <w:noProof/>
          <w:szCs w:val="24"/>
        </w:rPr>
      </w:pPr>
      <w:r w:rsidRPr="000C4F35">
        <w:rPr>
          <w:rFonts w:eastAsia="Arial Unicode MS"/>
          <w:noProof/>
          <w:color w:val="000000"/>
          <w:szCs w:val="24"/>
          <w:u w:color="000000"/>
          <w:bdr w:val="nil"/>
          <w:lang w:eastAsia="en-GB"/>
        </w:rPr>
        <w:t xml:space="preserve">Given that some of the core requirements of CSDR have only recently become applicable or are not applicable yet, the assessment </w:t>
      </w:r>
      <w:r w:rsidR="00DB3CC0" w:rsidRPr="000C4F35">
        <w:rPr>
          <w:rFonts w:eastAsia="Arial Unicode MS"/>
          <w:noProof/>
          <w:color w:val="000000"/>
          <w:szCs w:val="24"/>
          <w:u w:color="000000"/>
          <w:bdr w:val="nil"/>
          <w:lang w:eastAsia="en-GB"/>
        </w:rPr>
        <w:t xml:space="preserve">was </w:t>
      </w:r>
      <w:r w:rsidRPr="000C4F35">
        <w:rPr>
          <w:rFonts w:eastAsia="Arial Unicode MS"/>
          <w:noProof/>
          <w:color w:val="000000"/>
          <w:szCs w:val="24"/>
          <w:u w:color="000000"/>
          <w:bdr w:val="nil"/>
          <w:lang w:eastAsia="en-GB"/>
        </w:rPr>
        <w:t>not a full evaluation</w:t>
      </w:r>
      <w:r w:rsidR="00DB3CC0" w:rsidRPr="000C4F35">
        <w:rPr>
          <w:noProof/>
          <w:szCs w:val="24"/>
        </w:rPr>
        <w:t xml:space="preserve">. </w:t>
      </w:r>
    </w:p>
    <w:p w14:paraId="47D1C646" w14:textId="77777777" w:rsidR="00DE4950" w:rsidRPr="000C4F35" w:rsidRDefault="00DE4950"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The evaluation </w:t>
      </w:r>
      <w:r w:rsidR="00DB3CC0" w:rsidRPr="000C4F35">
        <w:rPr>
          <w:rFonts w:eastAsia="Arial Unicode MS"/>
          <w:noProof/>
          <w:color w:val="000000"/>
          <w:szCs w:val="24"/>
          <w:u w:color="000000"/>
          <w:bdr w:val="nil"/>
          <w:lang w:eastAsia="en-GB"/>
        </w:rPr>
        <w:t xml:space="preserve">nevertheless </w:t>
      </w:r>
      <w:r w:rsidRPr="000C4F35">
        <w:rPr>
          <w:rFonts w:eastAsia="Arial Unicode MS"/>
          <w:noProof/>
          <w:color w:val="000000"/>
          <w:szCs w:val="24"/>
          <w:u w:color="000000"/>
          <w:bdr w:val="nil"/>
          <w:lang w:eastAsia="en-GB"/>
        </w:rPr>
        <w:t>concluded:</w:t>
      </w:r>
    </w:p>
    <w:p w14:paraId="55B0389B" w14:textId="77777777" w:rsidR="00DE4950" w:rsidRPr="000C4F35" w:rsidRDefault="00DB3CC0" w:rsidP="00501D05">
      <w:pPr>
        <w:pStyle w:val="Bullet0"/>
        <w:numPr>
          <w:ilvl w:val="0"/>
          <w:numId w:val="29"/>
        </w:numPr>
        <w:tabs>
          <w:tab w:val="clear" w:pos="850"/>
          <w:tab w:val="num" w:pos="2290"/>
        </w:tabs>
        <w:rPr>
          <w:noProof/>
          <w:u w:color="000000"/>
          <w:bdr w:val="nil"/>
          <w:lang w:eastAsia="en-GB"/>
        </w:rPr>
      </w:pPr>
      <w:r w:rsidRPr="000C4F35">
        <w:rPr>
          <w:noProof/>
          <w:u w:color="000000"/>
          <w:bdr w:val="nil"/>
          <w:lang w:eastAsia="en-GB"/>
        </w:rPr>
        <w:t>E</w:t>
      </w:r>
      <w:r w:rsidR="00DE4950" w:rsidRPr="000C4F35">
        <w:rPr>
          <w:noProof/>
          <w:u w:color="000000"/>
          <w:bdr w:val="nil"/>
          <w:lang w:eastAsia="en-GB"/>
        </w:rPr>
        <w:t>ffectiveness and efficiency</w:t>
      </w:r>
      <w:r w:rsidRPr="000C4F35">
        <w:rPr>
          <w:noProof/>
          <w:u w:color="000000"/>
          <w:bdr w:val="nil"/>
          <w:lang w:eastAsia="en-GB"/>
        </w:rPr>
        <w:t>:</w:t>
      </w:r>
      <w:r w:rsidR="00DE4950" w:rsidRPr="000C4F35">
        <w:rPr>
          <w:noProof/>
          <w:u w:color="000000"/>
          <w:bdr w:val="nil"/>
          <w:lang w:eastAsia="en-GB"/>
        </w:rPr>
        <w:t xml:space="preserve"> </w:t>
      </w:r>
      <w:r w:rsidRPr="000C4F35">
        <w:rPr>
          <w:noProof/>
          <w:u w:color="000000"/>
          <w:bdr w:val="nil"/>
          <w:lang w:eastAsia="en-GB"/>
        </w:rPr>
        <w:t xml:space="preserve">While </w:t>
      </w:r>
      <w:r w:rsidR="00DE4950" w:rsidRPr="000C4F35">
        <w:rPr>
          <w:noProof/>
          <w:u w:color="000000"/>
          <w:bdr w:val="nil"/>
          <w:lang w:eastAsia="en-GB"/>
        </w:rPr>
        <w:t xml:space="preserve">the volume of settled trades increased since the entry into force of CSDR, cross-border transactions remained stable. </w:t>
      </w:r>
      <w:r w:rsidRPr="000C4F35">
        <w:rPr>
          <w:noProof/>
          <w:u w:color="000000"/>
          <w:bdr w:val="nil"/>
          <w:lang w:eastAsia="en-GB"/>
        </w:rPr>
        <w:t>I</w:t>
      </w:r>
      <w:r w:rsidR="00DE4950" w:rsidRPr="000C4F35">
        <w:rPr>
          <w:noProof/>
          <w:u w:color="000000"/>
          <w:bdr w:val="nil"/>
          <w:lang w:eastAsia="en-GB"/>
        </w:rPr>
        <w:t>n several areas, e.g. passporting, significant barriers exist and preliminary findings suggested that actions to reduce disproportionate compliance burden and to improve cross-border activity could be undertaken. Improvements could also be sought in the areas of banking services, as access to banking-type ancillary services is limited which in turn inhibits settlement in foreign currencies, and of supervisory arrangements, both impacting the possibilities or opportunities for CSDs to offer services cross-border.</w:t>
      </w:r>
    </w:p>
    <w:p w14:paraId="64786F98" w14:textId="77777777" w:rsidR="00DE4950" w:rsidRPr="000C4F35" w:rsidRDefault="00DB3CC0" w:rsidP="00501D05">
      <w:pPr>
        <w:pStyle w:val="Bullet0"/>
        <w:tabs>
          <w:tab w:val="clear" w:pos="850"/>
          <w:tab w:val="num" w:pos="1570"/>
        </w:tabs>
        <w:rPr>
          <w:noProof/>
          <w:u w:color="000000"/>
          <w:bdr w:val="nil"/>
          <w:lang w:eastAsia="en-GB"/>
        </w:rPr>
      </w:pPr>
      <w:r w:rsidRPr="000C4F35">
        <w:rPr>
          <w:noProof/>
          <w:u w:color="000000"/>
          <w:bdr w:val="nil"/>
          <w:lang w:eastAsia="en-GB"/>
        </w:rPr>
        <w:t xml:space="preserve">Relevance: </w:t>
      </w:r>
      <w:r w:rsidR="00DE4950" w:rsidRPr="000C4F35">
        <w:rPr>
          <w:noProof/>
          <w:u w:color="000000"/>
          <w:bdr w:val="nil"/>
          <w:lang w:eastAsia="en-GB"/>
        </w:rPr>
        <w:t>The objectives of CSDR to increase the safety and efficiency of the EU settlement market and to ensur</w:t>
      </w:r>
      <w:r w:rsidRPr="000C4F35">
        <w:rPr>
          <w:noProof/>
          <w:u w:color="000000"/>
          <w:bdr w:val="nil"/>
          <w:lang w:eastAsia="en-GB"/>
        </w:rPr>
        <w:t>e</w:t>
      </w:r>
      <w:r w:rsidR="00DE4950" w:rsidRPr="000C4F35">
        <w:rPr>
          <w:noProof/>
          <w:u w:color="000000"/>
          <w:bdr w:val="nil"/>
          <w:lang w:eastAsia="en-GB"/>
        </w:rPr>
        <w:t xml:space="preserve"> a level playing field for CSD services remain relevant.</w:t>
      </w:r>
    </w:p>
    <w:p w14:paraId="7B5DF986" w14:textId="77777777" w:rsidR="00DB3CC0" w:rsidRPr="000C4F35" w:rsidRDefault="00DB3CC0" w:rsidP="00501D05">
      <w:pPr>
        <w:pStyle w:val="Bullet0"/>
        <w:tabs>
          <w:tab w:val="clear" w:pos="850"/>
          <w:tab w:val="num" w:pos="1570"/>
        </w:tabs>
        <w:rPr>
          <w:noProof/>
          <w:u w:color="000000"/>
          <w:bdr w:val="nil"/>
          <w:lang w:eastAsia="en-GB"/>
        </w:rPr>
      </w:pPr>
      <w:r w:rsidRPr="000C4F35">
        <w:rPr>
          <w:noProof/>
          <w:u w:color="000000"/>
          <w:bdr w:val="nil"/>
          <w:lang w:eastAsia="en-GB"/>
        </w:rPr>
        <w:t>C</w:t>
      </w:r>
      <w:r w:rsidR="00DE4950" w:rsidRPr="000C4F35">
        <w:rPr>
          <w:noProof/>
          <w:u w:color="000000"/>
          <w:bdr w:val="nil"/>
          <w:lang w:eastAsia="en-GB"/>
        </w:rPr>
        <w:t>oherence</w:t>
      </w:r>
      <w:r w:rsidRPr="000C4F35">
        <w:rPr>
          <w:noProof/>
          <w:u w:color="000000"/>
          <w:bdr w:val="nil"/>
          <w:lang w:eastAsia="en-GB"/>
        </w:rPr>
        <w:t xml:space="preserve">: </w:t>
      </w:r>
      <w:r w:rsidR="00DE4950" w:rsidRPr="000C4F35">
        <w:rPr>
          <w:noProof/>
          <w:u w:color="000000"/>
          <w:bdr w:val="nil"/>
          <w:lang w:eastAsia="en-GB"/>
        </w:rPr>
        <w:t>CSDR is aligned with international efforts to ensure the stability and safety of post-trade infrastructures. CSDR is coherent with other pieces of EU legislation and policy initiatives.</w:t>
      </w:r>
    </w:p>
    <w:p w14:paraId="5F3A8BAE" w14:textId="77777777" w:rsidR="00DB3CC0" w:rsidRPr="000C4F35" w:rsidRDefault="00DE4950" w:rsidP="00501D05">
      <w:pPr>
        <w:pStyle w:val="Bullet0"/>
        <w:tabs>
          <w:tab w:val="clear" w:pos="850"/>
          <w:tab w:val="num" w:pos="1570"/>
        </w:tabs>
        <w:rPr>
          <w:rFonts w:eastAsia="Arial Unicode MS"/>
          <w:noProof/>
          <w:color w:val="000000"/>
          <w:szCs w:val="24"/>
          <w:u w:color="000000"/>
          <w:bdr w:val="nil"/>
          <w:lang w:eastAsia="en-GB"/>
        </w:rPr>
      </w:pPr>
      <w:r w:rsidRPr="000C4F35">
        <w:rPr>
          <w:noProof/>
          <w:u w:color="000000"/>
          <w:bdr w:val="nil"/>
          <w:lang w:eastAsia="en-GB"/>
        </w:rPr>
        <w:t>EU added value</w:t>
      </w:r>
      <w:r w:rsidR="00DB3CC0" w:rsidRPr="000C4F35">
        <w:rPr>
          <w:noProof/>
          <w:u w:color="000000"/>
          <w:bdr w:val="nil"/>
          <w:lang w:eastAsia="en-GB"/>
        </w:rPr>
        <w:t>:</w:t>
      </w:r>
      <w:r w:rsidRPr="000C4F35">
        <w:rPr>
          <w:noProof/>
          <w:u w:color="000000"/>
          <w:bdr w:val="nil"/>
          <w:lang w:eastAsia="en-GB"/>
        </w:rPr>
        <w:t xml:space="preserve"> CSDR covered a gap that existed in legislation by introducing a new framework aiming to address, in a uniform process at EU level, the lack of a harmonised approach towards the EU’s settlement markets and in addressing the related systemic risks.</w:t>
      </w:r>
      <w:r w:rsidR="00DB3CC0" w:rsidRPr="000C4F35">
        <w:rPr>
          <w:rFonts w:eastAsia="Arial Unicode MS"/>
          <w:noProof/>
          <w:color w:val="000000"/>
          <w:szCs w:val="24"/>
          <w:u w:color="000000"/>
          <w:bdr w:val="nil"/>
          <w:lang w:eastAsia="en-GB"/>
        </w:rPr>
        <w:t xml:space="preserve"> </w:t>
      </w:r>
    </w:p>
    <w:p w14:paraId="640D71BE" w14:textId="77777777" w:rsidR="00DB3CC0" w:rsidRPr="000C4F35" w:rsidRDefault="00DB3CC0"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Due to the need to simplify targeted areas of CSDR and make them more proportionate, as evidenced by the contributions to the targeted consultation on CSDR and by the Commission's review of the Regulation, </w:t>
      </w:r>
      <w:r w:rsidR="00B67A80" w:rsidRPr="000C4F35">
        <w:rPr>
          <w:rFonts w:eastAsia="Arial Unicode MS"/>
          <w:noProof/>
          <w:color w:val="000000"/>
          <w:szCs w:val="24"/>
          <w:u w:color="000000"/>
          <w:bdr w:val="nil"/>
          <w:lang w:eastAsia="en-GB"/>
        </w:rPr>
        <w:t xml:space="preserve">the review of </w:t>
      </w:r>
      <w:r w:rsidRPr="000C4F35">
        <w:rPr>
          <w:rFonts w:eastAsia="Arial Unicode MS"/>
          <w:noProof/>
          <w:color w:val="000000"/>
          <w:szCs w:val="24"/>
          <w:u w:color="000000"/>
          <w:bdr w:val="nil"/>
          <w:lang w:eastAsia="en-GB"/>
        </w:rPr>
        <w:t xml:space="preserve">CSDR is a REFIT </w:t>
      </w:r>
      <w:r w:rsidR="0027637B" w:rsidRPr="000C4F35">
        <w:rPr>
          <w:rFonts w:eastAsia="Arial Unicode MS"/>
          <w:noProof/>
          <w:color w:val="000000"/>
          <w:szCs w:val="24"/>
          <w:u w:color="000000"/>
          <w:bdr w:val="nil"/>
          <w:lang w:eastAsia="en-GB"/>
        </w:rPr>
        <w:t>initiative</w:t>
      </w:r>
      <w:r w:rsidRPr="000C4F35">
        <w:rPr>
          <w:rFonts w:eastAsia="Arial Unicode MS"/>
          <w:noProof/>
          <w:color w:val="000000"/>
          <w:szCs w:val="24"/>
          <w:u w:color="000000"/>
          <w:bdr w:val="nil"/>
          <w:lang w:eastAsia="en-GB"/>
        </w:rPr>
        <w:t>.</w:t>
      </w:r>
    </w:p>
    <w:p w14:paraId="72D17690" w14:textId="77777777" w:rsidR="00470D07" w:rsidRPr="000C4F35" w:rsidRDefault="00470D07" w:rsidP="00685329">
      <w:pPr>
        <w:pStyle w:val="ManualHeading2"/>
        <w:rPr>
          <w:rFonts w:eastAsia="Arial Unicode MS"/>
          <w:noProof/>
          <w:u w:color="000000"/>
          <w:bdr w:val="nil"/>
          <w:lang w:eastAsia="en-GB"/>
        </w:rPr>
      </w:pPr>
      <w:r w:rsidRPr="000C4F35">
        <w:rPr>
          <w:rFonts w:eastAsia="Arial Unicode MS"/>
          <w:noProof/>
          <w:u w:color="000000"/>
          <w:bdr w:val="nil"/>
          <w:lang w:eastAsia="en-GB"/>
        </w:rPr>
        <w:t>•</w:t>
      </w:r>
      <w:r w:rsidRPr="000C4F35">
        <w:rPr>
          <w:rFonts w:eastAsia="Arial Unicode MS"/>
          <w:noProof/>
          <w:u w:color="000000"/>
          <w:bdr w:val="nil"/>
          <w:lang w:eastAsia="en-GB"/>
        </w:rPr>
        <w:tab/>
        <w:t>Stakeholder consultations</w:t>
      </w:r>
    </w:p>
    <w:p w14:paraId="68BE6BC5" w14:textId="77777777" w:rsidR="00DE4950" w:rsidRPr="000C4F35" w:rsidRDefault="00DE4950"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The Commission has consulted stakeholders throughout the process of preparing this proposal. In particular:</w:t>
      </w:r>
    </w:p>
    <w:p w14:paraId="6C394F56" w14:textId="77777777" w:rsidR="00DE4950" w:rsidRPr="000C4F35" w:rsidRDefault="00DE4950" w:rsidP="00501D05">
      <w:pPr>
        <w:pStyle w:val="Bullet0"/>
        <w:tabs>
          <w:tab w:val="clear" w:pos="850"/>
          <w:tab w:val="num" w:pos="1570"/>
        </w:tabs>
        <w:rPr>
          <w:noProof/>
          <w:u w:color="000000"/>
          <w:bdr w:val="nil"/>
          <w:lang w:eastAsia="en-GB"/>
        </w:rPr>
      </w:pPr>
      <w:r w:rsidRPr="000C4F35">
        <w:rPr>
          <w:noProof/>
          <w:u w:color="000000"/>
          <w:bdr w:val="nil"/>
          <w:lang w:eastAsia="en-GB"/>
        </w:rPr>
        <w:t>a targeted consultation</w:t>
      </w:r>
      <w:r w:rsidRPr="000C4F35">
        <w:rPr>
          <w:rStyle w:val="FootnoteReference"/>
          <w:rFonts w:eastAsia="Arial Unicode MS"/>
          <w:noProof/>
          <w:szCs w:val="24"/>
          <w:u w:color="000000"/>
          <w:bdr w:val="nil"/>
          <w:lang w:eastAsia="en-GB"/>
        </w:rPr>
        <w:footnoteReference w:id="27"/>
      </w:r>
      <w:r w:rsidRPr="000C4F35">
        <w:rPr>
          <w:noProof/>
          <w:u w:color="000000"/>
          <w:bdr w:val="nil"/>
          <w:lang w:eastAsia="en-GB"/>
        </w:rPr>
        <w:t xml:space="preserve"> between 8 December 2020 and 2 </w:t>
      </w:r>
      <w:r w:rsidR="0027637B" w:rsidRPr="000C4F35">
        <w:rPr>
          <w:noProof/>
          <w:u w:color="000000"/>
          <w:bdr w:val="nil"/>
          <w:lang w:eastAsia="en-GB"/>
        </w:rPr>
        <w:t>February</w:t>
      </w:r>
      <w:r w:rsidRPr="000C4F35">
        <w:rPr>
          <w:noProof/>
          <w:u w:color="000000"/>
          <w:bdr w:val="nil"/>
          <w:lang w:eastAsia="en-GB"/>
        </w:rPr>
        <w:t xml:space="preserve"> 2021;</w:t>
      </w:r>
    </w:p>
    <w:p w14:paraId="6DA59039" w14:textId="77777777" w:rsidR="00DE4950" w:rsidRPr="000C4F35" w:rsidRDefault="00DB3CC0" w:rsidP="00501D05">
      <w:pPr>
        <w:pStyle w:val="Bullet0"/>
        <w:tabs>
          <w:tab w:val="clear" w:pos="850"/>
          <w:tab w:val="num" w:pos="1570"/>
        </w:tabs>
        <w:rPr>
          <w:noProof/>
          <w:u w:color="000000"/>
          <w:bdr w:val="nil"/>
          <w:lang w:eastAsia="en-GB"/>
        </w:rPr>
      </w:pPr>
      <w:r w:rsidRPr="000C4F35">
        <w:rPr>
          <w:noProof/>
          <w:u w:color="000000"/>
          <w:bdr w:val="nil"/>
          <w:lang w:eastAsia="en-GB"/>
        </w:rPr>
        <w:t xml:space="preserve">consultation </w:t>
      </w:r>
      <w:r w:rsidR="00DE4950" w:rsidRPr="000C4F35">
        <w:rPr>
          <w:noProof/>
          <w:u w:color="000000"/>
          <w:bdr w:val="nil"/>
          <w:lang w:eastAsia="en-GB"/>
        </w:rPr>
        <w:t>on an inception impact assessment</w:t>
      </w:r>
      <w:r w:rsidR="00DE4950" w:rsidRPr="000C4F35">
        <w:rPr>
          <w:rStyle w:val="FootnoteReference"/>
          <w:rFonts w:eastAsia="Arial Unicode MS"/>
          <w:noProof/>
          <w:szCs w:val="24"/>
          <w:u w:color="000000"/>
          <w:bdr w:val="nil"/>
          <w:lang w:eastAsia="en-GB"/>
        </w:rPr>
        <w:footnoteReference w:id="28"/>
      </w:r>
      <w:r w:rsidR="00DE4950" w:rsidRPr="000C4F35">
        <w:rPr>
          <w:noProof/>
          <w:u w:color="000000"/>
          <w:bdr w:val="nil"/>
          <w:lang w:eastAsia="en-GB"/>
        </w:rPr>
        <w:t xml:space="preserve"> between 8 March 2021 and 5 April 2021;</w:t>
      </w:r>
    </w:p>
    <w:p w14:paraId="039ACFD3" w14:textId="77777777" w:rsidR="00DE4950" w:rsidRPr="000C4F35" w:rsidRDefault="00DE4950" w:rsidP="00501D05">
      <w:pPr>
        <w:pStyle w:val="Bullet0"/>
        <w:tabs>
          <w:tab w:val="clear" w:pos="850"/>
          <w:tab w:val="num" w:pos="1570"/>
        </w:tabs>
        <w:rPr>
          <w:noProof/>
          <w:u w:color="000000"/>
          <w:bdr w:val="nil"/>
          <w:lang w:eastAsia="en-GB"/>
        </w:rPr>
      </w:pPr>
      <w:r w:rsidRPr="000C4F35">
        <w:rPr>
          <w:noProof/>
          <w:u w:color="000000"/>
          <w:bdr w:val="nil"/>
          <w:lang w:eastAsia="en-GB"/>
        </w:rPr>
        <w:t>two Member States’ Experts Group meetings (22 September 2020 and 15 July 2021) to which the European Central Bank (ECB), ESMA and the secretariat of European Parliament Economic and Monetary Affairs committee were also invited.</w:t>
      </w:r>
    </w:p>
    <w:p w14:paraId="65238188" w14:textId="77777777" w:rsidR="00DE4950" w:rsidRPr="000C4F35" w:rsidRDefault="00DE4950"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Generally, the objectives of CSDR to enhance the efficiency of settlement in the EU and ensure the soundness of CSDs were supported. Related core requirements were seen to be achieving these objectives, and delivering on the EU’s international commitments for regulatory reform. However, stakeholders, including Member State representatives, highlighted a number of areas where CSDR requirements could be adjusted without compromising its overall objectives in order to: (i) simplify and increase the efficiency of the requirements; and (ii) reduce disproportionate costs and burdens. </w:t>
      </w:r>
    </w:p>
    <w:p w14:paraId="1E2D1ADF" w14:textId="77777777" w:rsidR="00DE4950" w:rsidRPr="000C4F35" w:rsidRDefault="00DE4950"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The proposal takes this stakeholder feedback into account, as well as the feedback received through meetings with a broad range of stakeholders and EU authorities and institutions. It introduces targeted amendments to CSDR aimed at: </w:t>
      </w:r>
    </w:p>
    <w:p w14:paraId="436C9608" w14:textId="460081CE" w:rsidR="00DE4950" w:rsidRPr="000C4F35" w:rsidRDefault="001678E4" w:rsidP="001678E4">
      <w:pPr>
        <w:pStyle w:val="Point1"/>
        <w:rPr>
          <w:noProof/>
          <w:u w:color="000000"/>
          <w:bdr w:val="nil"/>
          <w:lang w:eastAsia="en-GB"/>
        </w:rPr>
      </w:pPr>
      <w:r w:rsidRPr="001678E4">
        <w:t>(a)</w:t>
      </w:r>
      <w:r w:rsidRPr="001678E4">
        <w:tab/>
      </w:r>
      <w:r w:rsidR="00DE4950" w:rsidRPr="000C4F35">
        <w:rPr>
          <w:noProof/>
          <w:u w:color="000000"/>
          <w:bdr w:val="nil"/>
          <w:lang w:eastAsia="en-GB"/>
        </w:rPr>
        <w:t xml:space="preserve">minimising barriers to cross-border settlement by simplifying and clarifying burdensome passporting requirements, improving cooperation between supervisors and facilitating access to banking-type ancillary services to facilitate settlement in foreign currencies; </w:t>
      </w:r>
    </w:p>
    <w:p w14:paraId="37C49383" w14:textId="7DF89F34" w:rsidR="00EB0548" w:rsidRPr="000C4F35" w:rsidRDefault="001678E4" w:rsidP="001678E4">
      <w:pPr>
        <w:pStyle w:val="Point1"/>
        <w:rPr>
          <w:noProof/>
          <w:u w:color="000000"/>
          <w:bdr w:val="nil"/>
          <w:lang w:eastAsia="en-GB"/>
        </w:rPr>
      </w:pPr>
      <w:r w:rsidRPr="001678E4">
        <w:t>(b)</w:t>
      </w:r>
      <w:r w:rsidRPr="001678E4">
        <w:tab/>
      </w:r>
      <w:r w:rsidR="00EB0548" w:rsidRPr="000C4F35">
        <w:rPr>
          <w:noProof/>
          <w:u w:color="000000"/>
          <w:bdr w:val="nil"/>
          <w:lang w:eastAsia="en-GB"/>
        </w:rPr>
        <w:t xml:space="preserve">better calibrating the application of some requirements (e.g. on settlement discipline, banking-type ancillary services) to reduce administrative burden and compliance costs without endangering financial stability; </w:t>
      </w:r>
    </w:p>
    <w:p w14:paraId="0B5BE3EE" w14:textId="757754AE" w:rsidR="00EB0548" w:rsidRPr="000C4F35" w:rsidRDefault="001678E4" w:rsidP="001678E4">
      <w:pPr>
        <w:pStyle w:val="Point1"/>
        <w:rPr>
          <w:noProof/>
          <w:u w:color="000000"/>
          <w:bdr w:val="nil"/>
          <w:lang w:eastAsia="en-GB"/>
        </w:rPr>
      </w:pPr>
      <w:r w:rsidRPr="001678E4">
        <w:t>(c)</w:t>
      </w:r>
      <w:r w:rsidRPr="001678E4">
        <w:tab/>
      </w:r>
      <w:r w:rsidR="00EB0548" w:rsidRPr="000C4F35">
        <w:rPr>
          <w:noProof/>
          <w:u w:color="000000"/>
          <w:bdr w:val="nil"/>
          <w:lang w:eastAsia="en-GB"/>
        </w:rPr>
        <w:t>ensuring that authorities in the EU have adequate powers and information to monitor risks in relation to both EU and third-country CSDs, including by enhancing their supervisory cooperation.</w:t>
      </w:r>
    </w:p>
    <w:p w14:paraId="5F43E50B" w14:textId="77777777" w:rsidR="00470D07" w:rsidRPr="000C4F35" w:rsidRDefault="00470D07" w:rsidP="00685329">
      <w:pPr>
        <w:pStyle w:val="ManualHeading2"/>
        <w:rPr>
          <w:rFonts w:eastAsia="Arial Unicode MS"/>
          <w:noProof/>
          <w:u w:color="000000"/>
          <w:bdr w:val="nil"/>
          <w:lang w:eastAsia="en-GB"/>
        </w:rPr>
      </w:pPr>
      <w:r w:rsidRPr="000C4F35">
        <w:rPr>
          <w:rFonts w:eastAsia="Arial Unicode MS"/>
          <w:noProof/>
          <w:u w:color="000000"/>
          <w:bdr w:val="nil"/>
          <w:lang w:eastAsia="en-GB"/>
        </w:rPr>
        <w:t>•</w:t>
      </w:r>
      <w:r w:rsidRPr="000C4F35">
        <w:rPr>
          <w:rFonts w:eastAsia="Arial Unicode MS"/>
          <w:noProof/>
          <w:u w:color="000000"/>
          <w:bdr w:val="nil"/>
          <w:lang w:eastAsia="en-GB"/>
        </w:rPr>
        <w:tab/>
        <w:t>Collection and use of expertise</w:t>
      </w:r>
    </w:p>
    <w:p w14:paraId="4AB6D10E" w14:textId="77777777" w:rsidR="00EB0548" w:rsidRPr="000C4F35" w:rsidRDefault="00EB0548"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In preparing this proposal the Commission relied on external expertise: </w:t>
      </w:r>
    </w:p>
    <w:p w14:paraId="627EDBCD" w14:textId="77777777" w:rsidR="00EB0548" w:rsidRPr="000C4F35" w:rsidRDefault="00EB0548" w:rsidP="00501D05">
      <w:pPr>
        <w:pStyle w:val="Tiret0"/>
        <w:numPr>
          <w:ilvl w:val="0"/>
          <w:numId w:val="24"/>
        </w:numPr>
        <w:tabs>
          <w:tab w:val="clear" w:pos="850"/>
          <w:tab w:val="num" w:pos="1570"/>
        </w:tabs>
        <w:rPr>
          <w:rFonts w:eastAsia="Arial Unicode MS"/>
          <w:noProof/>
          <w:color w:val="000000"/>
          <w:u w:color="000000"/>
          <w:bdr w:val="nil"/>
          <w:lang w:eastAsia="en-GB"/>
        </w:rPr>
      </w:pPr>
      <w:r w:rsidRPr="000C4F35">
        <w:rPr>
          <w:b/>
          <w:noProof/>
        </w:rPr>
        <w:t>Reports by ESMA</w:t>
      </w:r>
      <w:r w:rsidRPr="000C4F35">
        <w:rPr>
          <w:noProof/>
        </w:rPr>
        <w:t>: ESMA submitted</w:t>
      </w:r>
      <w:r w:rsidRPr="000C4F35">
        <w:rPr>
          <w:b/>
          <w:noProof/>
        </w:rPr>
        <w:t xml:space="preserve"> </w:t>
      </w:r>
      <w:r w:rsidRPr="000C4F35">
        <w:rPr>
          <w:noProof/>
        </w:rPr>
        <w:t>four reports in 2020 and 2021 to the Commission</w:t>
      </w:r>
      <w:r w:rsidRPr="000C4F35">
        <w:rPr>
          <w:b/>
          <w:noProof/>
        </w:rPr>
        <w:t xml:space="preserve"> </w:t>
      </w:r>
      <w:r w:rsidRPr="000C4F35">
        <w:rPr>
          <w:noProof/>
        </w:rPr>
        <w:t>on internalised settlement,</w:t>
      </w:r>
      <w:r w:rsidRPr="000C4F35">
        <w:rPr>
          <w:rStyle w:val="FootnoteReference"/>
          <w:noProof/>
        </w:rPr>
        <w:footnoteReference w:id="29"/>
      </w:r>
      <w:r w:rsidRPr="000C4F35">
        <w:rPr>
          <w:noProof/>
        </w:rPr>
        <w:t xml:space="preserve"> the cross-border provision of services by CSDs and the handling of applications to provide notary and central maintenance services cross-border,</w:t>
      </w:r>
      <w:r w:rsidRPr="000C4F35">
        <w:rPr>
          <w:rStyle w:val="FootnoteReference"/>
          <w:noProof/>
        </w:rPr>
        <w:footnoteReference w:id="30"/>
      </w:r>
      <w:r w:rsidRPr="000C4F35">
        <w:rPr>
          <w:noProof/>
        </w:rPr>
        <w:t xml:space="preserve"> the provision of banking-type ancillary services</w:t>
      </w:r>
      <w:r w:rsidRPr="000C4F35">
        <w:rPr>
          <w:rStyle w:val="FootnoteReference"/>
          <w:noProof/>
        </w:rPr>
        <w:footnoteReference w:id="31"/>
      </w:r>
      <w:r w:rsidRPr="000C4F35">
        <w:rPr>
          <w:noProof/>
        </w:rPr>
        <w:t xml:space="preserve"> and the use of FinTech by CSDs.</w:t>
      </w:r>
      <w:r w:rsidRPr="000C4F35">
        <w:rPr>
          <w:rStyle w:val="FootnoteReference"/>
          <w:noProof/>
        </w:rPr>
        <w:footnoteReference w:id="32"/>
      </w:r>
      <w:r w:rsidRPr="000C4F35">
        <w:rPr>
          <w:noProof/>
        </w:rPr>
        <w:t xml:space="preserve"> Such reports also took into account answers to ESMA surveys from national authorities, CSDs and participants</w:t>
      </w:r>
      <w:r w:rsidR="004D206A" w:rsidRPr="000C4F35">
        <w:rPr>
          <w:noProof/>
        </w:rPr>
        <w:t xml:space="preserve">. The Commission also </w:t>
      </w:r>
      <w:r w:rsidR="009F74BA" w:rsidRPr="000C4F35">
        <w:rPr>
          <w:noProof/>
        </w:rPr>
        <w:t>considered the</w:t>
      </w:r>
      <w:r w:rsidR="004D206A" w:rsidRPr="000C4F35">
        <w:rPr>
          <w:noProof/>
        </w:rPr>
        <w:t xml:space="preserve"> </w:t>
      </w:r>
      <w:r w:rsidR="00E50B3F" w:rsidRPr="000C4F35">
        <w:rPr>
          <w:noProof/>
        </w:rPr>
        <w:t xml:space="preserve">bi-annual </w:t>
      </w:r>
      <w:r w:rsidR="004D206A" w:rsidRPr="000C4F35">
        <w:rPr>
          <w:noProof/>
        </w:rPr>
        <w:t>ESMA Report</w:t>
      </w:r>
      <w:r w:rsidR="00E50B3F" w:rsidRPr="000C4F35">
        <w:rPr>
          <w:noProof/>
        </w:rPr>
        <w:t>s</w:t>
      </w:r>
      <w:r w:rsidR="004D206A" w:rsidRPr="000C4F35">
        <w:rPr>
          <w:noProof/>
        </w:rPr>
        <w:t xml:space="preserve"> on trends, risks and vulnerabilities</w:t>
      </w:r>
      <w:r w:rsidR="004D206A" w:rsidRPr="000C4F35">
        <w:rPr>
          <w:rStyle w:val="FootnoteReference"/>
          <w:noProof/>
        </w:rPr>
        <w:footnoteReference w:id="33"/>
      </w:r>
      <w:r w:rsidR="00E50B3F" w:rsidRPr="000C4F35">
        <w:rPr>
          <w:noProof/>
        </w:rPr>
        <w:t xml:space="preserve"> in the financial infrastructure and services sectors</w:t>
      </w:r>
      <w:r w:rsidRPr="000C4F35">
        <w:rPr>
          <w:noProof/>
        </w:rPr>
        <w:t>;</w:t>
      </w:r>
    </w:p>
    <w:p w14:paraId="37C33FE2" w14:textId="77777777" w:rsidR="00EB0548" w:rsidRPr="000C4F35" w:rsidRDefault="00EB0548" w:rsidP="00501D05">
      <w:pPr>
        <w:pStyle w:val="Tiret0"/>
        <w:tabs>
          <w:tab w:val="clear" w:pos="850"/>
          <w:tab w:val="num" w:pos="1570"/>
        </w:tabs>
        <w:rPr>
          <w:rFonts w:eastAsia="Arial Unicode MS"/>
          <w:noProof/>
          <w:color w:val="000000"/>
          <w:u w:color="000000"/>
          <w:bdr w:val="nil"/>
          <w:lang w:eastAsia="en-GB"/>
        </w:rPr>
      </w:pPr>
      <w:r w:rsidRPr="000C4F35">
        <w:rPr>
          <w:b/>
          <w:noProof/>
        </w:rPr>
        <w:t>Targeted input from the European System of Central Banks (ESCB)</w:t>
      </w:r>
      <w:r w:rsidRPr="000C4F35">
        <w:rPr>
          <w:noProof/>
        </w:rPr>
        <w:t xml:space="preserve"> to the CSDR consultation, including an anonymised and consolidated outcome of a survey conducted among CSDs.</w:t>
      </w:r>
    </w:p>
    <w:p w14:paraId="587696F8" w14:textId="77777777" w:rsidR="00470D07" w:rsidRPr="000C4F35" w:rsidRDefault="00EB0548"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This input has been complemented with, at times confidential, quantitative and qualitative input from </w:t>
      </w:r>
      <w:r w:rsidR="00DB3CC0" w:rsidRPr="000C4F35">
        <w:rPr>
          <w:rFonts w:eastAsia="Arial Unicode MS"/>
          <w:noProof/>
          <w:color w:val="000000"/>
          <w:szCs w:val="24"/>
          <w:u w:color="000000"/>
          <w:bdr w:val="nil"/>
          <w:lang w:eastAsia="en-GB"/>
        </w:rPr>
        <w:t>financial markets participants</w:t>
      </w:r>
      <w:r w:rsidRPr="000C4F35">
        <w:rPr>
          <w:rFonts w:eastAsia="Arial Unicode MS"/>
          <w:noProof/>
          <w:color w:val="000000"/>
          <w:szCs w:val="24"/>
          <w:u w:color="000000"/>
          <w:bdr w:val="nil"/>
          <w:lang w:eastAsia="en-GB"/>
        </w:rPr>
        <w:t>.</w:t>
      </w:r>
    </w:p>
    <w:p w14:paraId="588A8813" w14:textId="77777777" w:rsidR="00470D07" w:rsidRPr="000C4F35" w:rsidRDefault="00470D07" w:rsidP="00685329">
      <w:pPr>
        <w:pStyle w:val="ManualHeading2"/>
        <w:rPr>
          <w:rFonts w:eastAsia="Arial Unicode MS"/>
          <w:noProof/>
          <w:u w:color="000000"/>
          <w:bdr w:val="nil"/>
          <w:lang w:eastAsia="en-GB"/>
        </w:rPr>
      </w:pPr>
      <w:r w:rsidRPr="000C4F35">
        <w:rPr>
          <w:rFonts w:eastAsia="Arial Unicode MS"/>
          <w:noProof/>
          <w:u w:color="000000"/>
          <w:bdr w:val="nil"/>
          <w:lang w:eastAsia="en-GB"/>
        </w:rPr>
        <w:t>•</w:t>
      </w:r>
      <w:r w:rsidRPr="000C4F35">
        <w:rPr>
          <w:rFonts w:eastAsia="Arial Unicode MS"/>
          <w:noProof/>
          <w:u w:color="000000"/>
          <w:bdr w:val="nil"/>
          <w:lang w:eastAsia="en-GB"/>
        </w:rPr>
        <w:tab/>
        <w:t>Impact assessment</w:t>
      </w:r>
    </w:p>
    <w:p w14:paraId="559334E4" w14:textId="77777777" w:rsidR="00403E1E" w:rsidRPr="000C4F35" w:rsidRDefault="00403E1E"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The Commission conducted an impact assessment of relevant policy alternatives. Policy options were identified based on the following five drivers: (i) burdensome and unclear passporting requirements, (ii) insufficient coordination and cooperation between authorities, (iii) restrictive requirements for the provision of banking services related to settlement in foreign currencies, (iv) unclear and complicated requirements for settlement discipline and (v) insufficient </w:t>
      </w:r>
      <w:r w:rsidR="005139C3">
        <w:rPr>
          <w:rFonts w:eastAsia="Arial Unicode MS"/>
          <w:noProof/>
          <w:color w:val="000000"/>
          <w:szCs w:val="24"/>
          <w:u w:color="000000"/>
          <w:bdr w:val="nil"/>
          <w:lang w:eastAsia="en-GB"/>
        </w:rPr>
        <w:t>information about the activities of</w:t>
      </w:r>
      <w:r w:rsidR="00610BB2">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third-country CSDs</w:t>
      </w:r>
      <w:r w:rsidR="005139C3">
        <w:rPr>
          <w:rFonts w:eastAsia="Arial Unicode MS"/>
          <w:noProof/>
          <w:color w:val="000000"/>
          <w:szCs w:val="24"/>
          <w:u w:color="000000"/>
          <w:bdr w:val="nil"/>
          <w:lang w:eastAsia="en-GB"/>
        </w:rPr>
        <w:t xml:space="preserve"> in the EU</w:t>
      </w:r>
      <w:r w:rsidRPr="000C4F35">
        <w:rPr>
          <w:rFonts w:eastAsia="Arial Unicode MS"/>
          <w:noProof/>
          <w:color w:val="000000"/>
          <w:szCs w:val="24"/>
          <w:u w:color="000000"/>
          <w:bdr w:val="nil"/>
          <w:lang w:eastAsia="en-GB"/>
        </w:rPr>
        <w:t>. The policy options were assessed against the specific objectives of minimising barriers to cross-border settlement, reducing administrative burden and compliance costs without endangering financial stability and ensuring adequate powers and information to monitor risks.</w:t>
      </w:r>
    </w:p>
    <w:p w14:paraId="0B60EF90" w14:textId="2D78B4BC" w:rsidR="00403E1E" w:rsidRPr="000C4F35" w:rsidRDefault="00DB3CC0"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The</w:t>
      </w:r>
      <w:r w:rsidR="00403E1E" w:rsidRPr="000C4F35">
        <w:rPr>
          <w:rFonts w:eastAsia="Arial Unicode MS"/>
          <w:noProof/>
          <w:color w:val="000000"/>
          <w:szCs w:val="24"/>
          <w:u w:color="000000"/>
          <w:bdr w:val="nil"/>
          <w:lang w:eastAsia="en-GB"/>
        </w:rPr>
        <w:t xml:space="preserve"> Impact Assessment received a positive opinion with comments of the Regulatory Scrutiny Board on 29 October 2021 which made the following main recommendations for improvements:</w:t>
      </w:r>
    </w:p>
    <w:p w14:paraId="20D32DE6" w14:textId="77777777" w:rsidR="00403E1E" w:rsidRPr="000C4F35" w:rsidRDefault="00403E1E" w:rsidP="00501D05">
      <w:pPr>
        <w:pStyle w:val="Bullet0"/>
        <w:tabs>
          <w:tab w:val="clear" w:pos="850"/>
          <w:tab w:val="num" w:pos="1570"/>
        </w:tabs>
        <w:rPr>
          <w:noProof/>
          <w:u w:color="000000"/>
          <w:bdr w:val="nil"/>
          <w:lang w:eastAsia="en-GB"/>
        </w:rPr>
      </w:pPr>
      <w:r w:rsidRPr="000C4F35">
        <w:rPr>
          <w:noProof/>
          <w:u w:color="000000"/>
          <w:bdr w:val="nil"/>
          <w:lang w:eastAsia="en-GB"/>
        </w:rPr>
        <w:t>Clarify the interplay between the revised CSDR and the Communication on “The European economic and financial system: fostering openness, strength and resilience”;</w:t>
      </w:r>
    </w:p>
    <w:p w14:paraId="60948813" w14:textId="77777777" w:rsidR="00403E1E" w:rsidRPr="000C4F35" w:rsidRDefault="00403E1E" w:rsidP="00501D05">
      <w:pPr>
        <w:pStyle w:val="Bullet0"/>
        <w:tabs>
          <w:tab w:val="clear" w:pos="850"/>
          <w:tab w:val="num" w:pos="1570"/>
        </w:tabs>
        <w:rPr>
          <w:noProof/>
          <w:u w:color="000000"/>
          <w:bdr w:val="nil"/>
          <w:lang w:eastAsia="en-GB"/>
        </w:rPr>
      </w:pPr>
      <w:r w:rsidRPr="000C4F35">
        <w:rPr>
          <w:noProof/>
          <w:u w:color="000000"/>
          <w:bdr w:val="nil"/>
          <w:lang w:eastAsia="en-GB"/>
        </w:rPr>
        <w:t xml:space="preserve">Explain better why passporting, a practice </w:t>
      </w:r>
      <w:r w:rsidR="0027637B" w:rsidRPr="000C4F35">
        <w:rPr>
          <w:noProof/>
          <w:u w:color="000000"/>
          <w:bdr w:val="nil"/>
          <w:lang w:eastAsia="en-GB"/>
        </w:rPr>
        <w:t>successfully</w:t>
      </w:r>
      <w:r w:rsidRPr="000C4F35">
        <w:rPr>
          <w:noProof/>
          <w:u w:color="000000"/>
          <w:bdr w:val="nil"/>
          <w:lang w:eastAsia="en-GB"/>
        </w:rPr>
        <w:t xml:space="preserve"> used in many other areas of financial law, does not seem to work in this segment;</w:t>
      </w:r>
    </w:p>
    <w:p w14:paraId="3D353198" w14:textId="77777777" w:rsidR="00403E1E" w:rsidRPr="000C4F35" w:rsidRDefault="00403E1E" w:rsidP="00501D05">
      <w:pPr>
        <w:pStyle w:val="Bullet0"/>
        <w:tabs>
          <w:tab w:val="clear" w:pos="850"/>
          <w:tab w:val="num" w:pos="1570"/>
        </w:tabs>
        <w:rPr>
          <w:noProof/>
          <w:u w:color="000000"/>
          <w:bdr w:val="nil"/>
          <w:lang w:eastAsia="en-GB"/>
        </w:rPr>
      </w:pPr>
      <w:r w:rsidRPr="000C4F35">
        <w:rPr>
          <w:noProof/>
          <w:u w:color="000000"/>
          <w:bdr w:val="nil"/>
          <w:lang w:eastAsia="en-GB"/>
        </w:rPr>
        <w:t xml:space="preserve">Explain the analysis that led to the introduction of mandatory buy-ins as an element of the settlement discipline regime in 2014 and how the Commission’s assessment has changed since then; </w:t>
      </w:r>
    </w:p>
    <w:p w14:paraId="3CBC7540" w14:textId="77777777" w:rsidR="00403E1E" w:rsidRPr="000C4F35" w:rsidRDefault="00403E1E" w:rsidP="00501D05">
      <w:pPr>
        <w:pStyle w:val="Bullet0"/>
        <w:tabs>
          <w:tab w:val="clear" w:pos="850"/>
          <w:tab w:val="num" w:pos="1570"/>
        </w:tabs>
        <w:rPr>
          <w:noProof/>
          <w:u w:color="000000"/>
          <w:bdr w:val="nil"/>
          <w:lang w:eastAsia="en-GB"/>
        </w:rPr>
      </w:pPr>
      <w:r w:rsidRPr="000C4F35">
        <w:rPr>
          <w:noProof/>
          <w:u w:color="000000"/>
          <w:bdr w:val="nil"/>
          <w:lang w:eastAsia="en-GB"/>
        </w:rPr>
        <w:t>Clarify which policy options are complementary and which are mutually exclusive.</w:t>
      </w:r>
    </w:p>
    <w:p w14:paraId="24EAFAB5" w14:textId="36397BFD" w:rsidR="00403E1E" w:rsidRPr="000C4F35" w:rsidRDefault="00403E1E"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The requested clarifications were added in the relevant sections of the Impact Assessment, i.e</w:t>
      </w:r>
      <w:r w:rsidR="00DD46E1">
        <w:rPr>
          <w:rFonts w:eastAsia="Arial Unicode MS"/>
          <w:noProof/>
          <w:color w:val="000000"/>
          <w:szCs w:val="24"/>
          <w:u w:color="000000"/>
          <w:bdr w:val="nil"/>
          <w:lang w:eastAsia="en-GB"/>
        </w:rPr>
        <w:t>.</w:t>
      </w:r>
      <w:r w:rsidRPr="000C4F35">
        <w:rPr>
          <w:rFonts w:eastAsia="Arial Unicode MS"/>
          <w:noProof/>
          <w:color w:val="000000"/>
          <w:szCs w:val="24"/>
          <w:u w:color="000000"/>
          <w:bdr w:val="nil"/>
          <w:lang w:eastAsia="en-GB"/>
        </w:rPr>
        <w:t xml:space="preserve">, regarding the Communication on </w:t>
      </w:r>
      <w:r w:rsidR="00C61C46" w:rsidRPr="000C4F35">
        <w:rPr>
          <w:rFonts w:eastAsia="Arial Unicode MS"/>
          <w:noProof/>
          <w:color w:val="000000"/>
          <w:szCs w:val="24"/>
          <w:u w:color="000000"/>
          <w:bdr w:val="nil"/>
          <w:lang w:eastAsia="en-GB"/>
        </w:rPr>
        <w:t xml:space="preserve">open </w:t>
      </w:r>
      <w:r w:rsidRPr="000C4F35">
        <w:rPr>
          <w:rFonts w:eastAsia="Arial Unicode MS"/>
          <w:noProof/>
          <w:color w:val="000000"/>
          <w:szCs w:val="24"/>
          <w:u w:color="000000"/>
          <w:bdr w:val="nil"/>
          <w:lang w:eastAsia="en-GB"/>
        </w:rPr>
        <w:t xml:space="preserve">strategic autonomy in section 1.4.2, examples of burdensome passporting requirements faced by CSDs which hinder the provision of services cross-border in Annex 6, an explanation of the origin of mandatory buy-ins in Section 2.2.2 and a clarification as to the </w:t>
      </w:r>
      <w:r w:rsidR="0027637B" w:rsidRPr="000C4F35">
        <w:rPr>
          <w:rFonts w:eastAsia="Arial Unicode MS"/>
          <w:noProof/>
          <w:color w:val="000000"/>
          <w:szCs w:val="24"/>
          <w:u w:color="000000"/>
          <w:bdr w:val="nil"/>
          <w:lang w:eastAsia="en-GB"/>
        </w:rPr>
        <w:t>complementary</w:t>
      </w:r>
      <w:r w:rsidRPr="000C4F35">
        <w:rPr>
          <w:rFonts w:eastAsia="Arial Unicode MS"/>
          <w:noProof/>
          <w:color w:val="000000"/>
          <w:szCs w:val="24"/>
          <w:u w:color="000000"/>
          <w:bdr w:val="nil"/>
          <w:lang w:eastAsia="en-GB"/>
        </w:rPr>
        <w:t xml:space="preserve"> or mutually exclusive nature of the policy options in Section 6. </w:t>
      </w:r>
    </w:p>
    <w:p w14:paraId="65A0BF27" w14:textId="77777777" w:rsidR="00403E1E" w:rsidRPr="000C4F35" w:rsidRDefault="00403E1E"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Based on the assessment and comparison of all policy options, the Impact Assessment concluded on the following preferred policy options: </w:t>
      </w:r>
    </w:p>
    <w:p w14:paraId="62D22D5B" w14:textId="77777777" w:rsidR="00403E1E" w:rsidRPr="000C4F35" w:rsidRDefault="00C61C46" w:rsidP="00501D05">
      <w:pPr>
        <w:pStyle w:val="Bullet0"/>
        <w:tabs>
          <w:tab w:val="clear" w:pos="850"/>
          <w:tab w:val="num" w:pos="1570"/>
        </w:tabs>
        <w:rPr>
          <w:noProof/>
          <w:u w:color="000000"/>
          <w:bdr w:val="nil"/>
          <w:lang w:eastAsia="en-GB"/>
        </w:rPr>
      </w:pPr>
      <w:r w:rsidRPr="000C4F35">
        <w:rPr>
          <w:noProof/>
          <w:u w:color="000000"/>
          <w:bdr w:val="nil"/>
          <w:lang w:eastAsia="en-GB"/>
        </w:rPr>
        <w:t xml:space="preserve">Simplify </w:t>
      </w:r>
      <w:r w:rsidR="00403E1E" w:rsidRPr="000C4F35">
        <w:rPr>
          <w:noProof/>
          <w:u w:color="000000"/>
          <w:bdr w:val="nil"/>
          <w:lang w:eastAsia="en-GB"/>
        </w:rPr>
        <w:t>the CSDR passporting process</w:t>
      </w:r>
      <w:r w:rsidRPr="000C4F35">
        <w:rPr>
          <w:noProof/>
          <w:u w:color="000000"/>
          <w:bdr w:val="nil"/>
          <w:lang w:eastAsia="en-GB"/>
        </w:rPr>
        <w:t xml:space="preserve"> by removing the possibility for the host supervisors to refuse the passport</w:t>
      </w:r>
      <w:r w:rsidR="00366372" w:rsidRPr="000C4F35">
        <w:rPr>
          <w:noProof/>
          <w:u w:color="000000"/>
          <w:bdr w:val="nil"/>
          <w:lang w:eastAsia="en-GB"/>
        </w:rPr>
        <w:t>,</w:t>
      </w:r>
      <w:r w:rsidRPr="000C4F35">
        <w:rPr>
          <w:noProof/>
          <w:u w:color="000000"/>
          <w:bdr w:val="nil"/>
          <w:lang w:eastAsia="en-GB"/>
        </w:rPr>
        <w:t xml:space="preserve"> and </w:t>
      </w:r>
      <w:r w:rsidR="00366372" w:rsidRPr="000C4F35">
        <w:rPr>
          <w:noProof/>
          <w:u w:color="000000"/>
          <w:bdr w:val="nil"/>
          <w:lang w:eastAsia="en-GB"/>
        </w:rPr>
        <w:t xml:space="preserve">by </w:t>
      </w:r>
      <w:r w:rsidRPr="000C4F35">
        <w:rPr>
          <w:noProof/>
          <w:u w:color="000000"/>
          <w:bdr w:val="nil"/>
          <w:lang w:eastAsia="en-GB"/>
        </w:rPr>
        <w:t>replacing it</w:t>
      </w:r>
      <w:r w:rsidR="00403E1E" w:rsidRPr="000C4F35">
        <w:rPr>
          <w:noProof/>
          <w:u w:color="000000"/>
          <w:bdr w:val="nil"/>
          <w:lang w:eastAsia="en-GB"/>
        </w:rPr>
        <w:t xml:space="preserve"> with a notification </w:t>
      </w:r>
      <w:r w:rsidRPr="000C4F35">
        <w:rPr>
          <w:noProof/>
          <w:u w:color="000000"/>
          <w:bdr w:val="nil"/>
          <w:lang w:eastAsia="en-GB"/>
        </w:rPr>
        <w:t xml:space="preserve">from the </w:t>
      </w:r>
      <w:r w:rsidR="00403E1E" w:rsidRPr="000C4F35">
        <w:rPr>
          <w:noProof/>
          <w:u w:color="000000"/>
          <w:bdr w:val="nil"/>
          <w:lang w:eastAsia="en-GB"/>
        </w:rPr>
        <w:t xml:space="preserve">home </w:t>
      </w:r>
      <w:r w:rsidRPr="000C4F35">
        <w:rPr>
          <w:noProof/>
          <w:u w:color="000000"/>
          <w:bdr w:val="nil"/>
          <w:lang w:eastAsia="en-GB"/>
        </w:rPr>
        <w:t xml:space="preserve">supervisors to the </w:t>
      </w:r>
      <w:r w:rsidR="00403E1E" w:rsidRPr="000C4F35">
        <w:rPr>
          <w:noProof/>
          <w:u w:color="000000"/>
          <w:bdr w:val="nil"/>
          <w:lang w:eastAsia="en-GB"/>
        </w:rPr>
        <w:t>host supervisors. The preferred policy option minimis</w:t>
      </w:r>
      <w:r w:rsidR="00DB3CC0" w:rsidRPr="000C4F35">
        <w:rPr>
          <w:noProof/>
          <w:u w:color="000000"/>
          <w:bdr w:val="nil"/>
          <w:lang w:eastAsia="en-GB"/>
        </w:rPr>
        <w:t>es</w:t>
      </w:r>
      <w:r w:rsidR="00403E1E" w:rsidRPr="000C4F35">
        <w:rPr>
          <w:noProof/>
          <w:u w:color="000000"/>
          <w:bdr w:val="nil"/>
          <w:lang w:eastAsia="en-GB"/>
        </w:rPr>
        <w:t xml:space="preserve"> barriers to cross-border settlement and reduc</w:t>
      </w:r>
      <w:r w:rsidR="00DB3CC0" w:rsidRPr="000C4F35">
        <w:rPr>
          <w:noProof/>
          <w:u w:color="000000"/>
          <w:bdr w:val="nil"/>
          <w:lang w:eastAsia="en-GB"/>
        </w:rPr>
        <w:t>es the</w:t>
      </w:r>
      <w:r w:rsidR="00403E1E" w:rsidRPr="000C4F35">
        <w:rPr>
          <w:noProof/>
          <w:u w:color="000000"/>
          <w:bdr w:val="nil"/>
          <w:lang w:eastAsia="en-GB"/>
        </w:rPr>
        <w:t xml:space="preserve"> administrative burden and compliance costs. Other policy options assessed were reducing the scope of the passporting requirements to equity securities or clarifying the role and powers of competent authorities and requirements related to national laws. </w:t>
      </w:r>
      <w:r w:rsidR="00DB3CC0" w:rsidRPr="000C4F35">
        <w:rPr>
          <w:noProof/>
          <w:u w:color="000000"/>
          <w:bdr w:val="nil"/>
          <w:lang w:eastAsia="en-GB"/>
        </w:rPr>
        <w:t xml:space="preserve">However, both would </w:t>
      </w:r>
      <w:r w:rsidR="00403E1E" w:rsidRPr="000C4F35">
        <w:rPr>
          <w:noProof/>
          <w:u w:color="000000"/>
          <w:bdr w:val="nil"/>
          <w:lang w:eastAsia="en-GB"/>
        </w:rPr>
        <w:t xml:space="preserve">only partially </w:t>
      </w:r>
      <w:r w:rsidR="00DB3CC0" w:rsidRPr="000C4F35">
        <w:rPr>
          <w:noProof/>
          <w:u w:color="000000"/>
          <w:bdr w:val="nil"/>
          <w:lang w:eastAsia="en-GB"/>
        </w:rPr>
        <w:t xml:space="preserve">meet </w:t>
      </w:r>
      <w:r w:rsidR="00403E1E" w:rsidRPr="000C4F35">
        <w:rPr>
          <w:noProof/>
          <w:u w:color="000000"/>
          <w:bdr w:val="nil"/>
          <w:lang w:eastAsia="en-GB"/>
        </w:rPr>
        <w:t xml:space="preserve">the objectives. </w:t>
      </w:r>
    </w:p>
    <w:p w14:paraId="3422F55E" w14:textId="77777777" w:rsidR="00403E1E" w:rsidRPr="000C4F35" w:rsidRDefault="00403E1E" w:rsidP="00501D05">
      <w:pPr>
        <w:pStyle w:val="Bullet0"/>
        <w:tabs>
          <w:tab w:val="clear" w:pos="850"/>
          <w:tab w:val="num" w:pos="1570"/>
        </w:tabs>
        <w:rPr>
          <w:noProof/>
          <w:u w:color="000000"/>
          <w:bdr w:val="nil"/>
          <w:lang w:eastAsia="en-GB"/>
        </w:rPr>
      </w:pPr>
      <w:r w:rsidRPr="000C4F35">
        <w:rPr>
          <w:noProof/>
          <w:u w:color="000000"/>
          <w:bdr w:val="nil"/>
          <w:lang w:eastAsia="en-GB"/>
        </w:rPr>
        <w:t xml:space="preserve">Enhance the cooperation between national supervisors </w:t>
      </w:r>
      <w:r w:rsidR="00D64C19" w:rsidRPr="000C4F35">
        <w:rPr>
          <w:noProof/>
          <w:u w:color="000000"/>
          <w:bdr w:val="nil"/>
          <w:lang w:eastAsia="en-GB"/>
        </w:rPr>
        <w:t>by</w:t>
      </w:r>
      <w:r w:rsidRPr="000C4F35">
        <w:rPr>
          <w:noProof/>
          <w:u w:color="000000"/>
          <w:bdr w:val="nil"/>
          <w:lang w:eastAsia="en-GB"/>
        </w:rPr>
        <w:t xml:space="preserve"> establish</w:t>
      </w:r>
      <w:r w:rsidR="00D64C19" w:rsidRPr="000C4F35">
        <w:rPr>
          <w:noProof/>
          <w:u w:color="000000"/>
          <w:bdr w:val="nil"/>
          <w:lang w:eastAsia="en-GB"/>
        </w:rPr>
        <w:t>ing</w:t>
      </w:r>
      <w:r w:rsidRPr="000C4F35">
        <w:rPr>
          <w:noProof/>
          <w:u w:color="000000"/>
          <w:bdr w:val="nil"/>
          <w:lang w:eastAsia="en-GB"/>
        </w:rPr>
        <w:t xml:space="preserve"> colleges of supervisors</w:t>
      </w:r>
      <w:r w:rsidR="00B67A80" w:rsidRPr="000C4F35">
        <w:rPr>
          <w:noProof/>
        </w:rPr>
        <w:t xml:space="preserve"> to </w:t>
      </w:r>
      <w:r w:rsidR="00B67A80" w:rsidRPr="000C4F35">
        <w:rPr>
          <w:noProof/>
          <w:u w:color="000000"/>
          <w:bdr w:val="nil"/>
          <w:lang w:eastAsia="en-GB"/>
        </w:rPr>
        <w:t>facilitate CSDs’ access to markets other than that of their authorisation and ensure financial stability by providing supervisors with more powers to monitor risks</w:t>
      </w:r>
      <w:r w:rsidRPr="000C4F35">
        <w:rPr>
          <w:noProof/>
          <w:u w:color="000000"/>
          <w:bdr w:val="nil"/>
          <w:lang w:eastAsia="en-GB"/>
        </w:rPr>
        <w:t xml:space="preserve">. Other options considered included enhancing the existing CSDR rules for cooperation arrangements and introducing more supervision of CSDs at EU level. </w:t>
      </w:r>
      <w:r w:rsidR="00B67A80" w:rsidRPr="000C4F35">
        <w:rPr>
          <w:noProof/>
          <w:u w:color="000000"/>
          <w:bdr w:val="nil"/>
          <w:lang w:eastAsia="en-GB"/>
        </w:rPr>
        <w:t xml:space="preserve">However, colleges </w:t>
      </w:r>
      <w:r w:rsidRPr="000C4F35">
        <w:rPr>
          <w:noProof/>
          <w:u w:color="000000"/>
          <w:bdr w:val="nil"/>
          <w:lang w:eastAsia="en-GB"/>
        </w:rPr>
        <w:t>attain the right balance between achieving the objectives while reflecting the fact that</w:t>
      </w:r>
      <w:r w:rsidR="00FB00A7" w:rsidRPr="000C4F35">
        <w:rPr>
          <w:noProof/>
          <w:u w:color="000000"/>
          <w:bdr w:val="nil"/>
          <w:lang w:eastAsia="en-GB"/>
        </w:rPr>
        <w:t xml:space="preserve"> supervisory</w:t>
      </w:r>
      <w:r w:rsidRPr="000C4F35">
        <w:rPr>
          <w:noProof/>
          <w:u w:color="000000"/>
          <w:bdr w:val="nil"/>
          <w:lang w:eastAsia="en-GB"/>
        </w:rPr>
        <w:t xml:space="preserve"> responsibility remains with the CSDs’ home Member State.</w:t>
      </w:r>
    </w:p>
    <w:p w14:paraId="3C2BF3E9" w14:textId="77777777" w:rsidR="00403E1E" w:rsidRPr="000C4F35" w:rsidRDefault="00403E1E" w:rsidP="00501D05">
      <w:pPr>
        <w:pStyle w:val="Bullet0"/>
        <w:tabs>
          <w:tab w:val="clear" w:pos="850"/>
          <w:tab w:val="num" w:pos="1570"/>
        </w:tabs>
        <w:rPr>
          <w:noProof/>
          <w:u w:color="000000"/>
          <w:bdr w:val="nil"/>
          <w:lang w:eastAsia="en-GB"/>
        </w:rPr>
      </w:pPr>
      <w:r w:rsidRPr="000C4F35">
        <w:rPr>
          <w:noProof/>
          <w:u w:color="000000"/>
          <w:bdr w:val="nil"/>
          <w:lang w:eastAsia="en-GB"/>
        </w:rPr>
        <w:t xml:space="preserve">Facilitate CSDs’ access to banking-type ancillary services by allowing CSDs with a banking license to offer such services to other CSDs </w:t>
      </w:r>
      <w:r w:rsidR="00D64C19" w:rsidRPr="000C4F35">
        <w:rPr>
          <w:noProof/>
          <w:u w:color="000000"/>
          <w:bdr w:val="nil"/>
          <w:lang w:eastAsia="en-GB"/>
        </w:rPr>
        <w:t>and</w:t>
      </w:r>
      <w:r w:rsidRPr="000C4F35">
        <w:rPr>
          <w:noProof/>
          <w:u w:color="000000"/>
          <w:bdr w:val="nil"/>
          <w:lang w:eastAsia="en-GB"/>
        </w:rPr>
        <w:t xml:space="preserve"> reviewing the thresholds below which CSDs may use a commercial bank. Another option considered was the removal of restrictions for the provision of banking-type ancillary services to CSDs, however that was disregarded as potentially increas</w:t>
      </w:r>
      <w:r w:rsidR="00B67A80" w:rsidRPr="000C4F35">
        <w:rPr>
          <w:noProof/>
          <w:u w:color="000000"/>
          <w:bdr w:val="nil"/>
          <w:lang w:eastAsia="en-GB"/>
        </w:rPr>
        <w:t>ing</w:t>
      </w:r>
      <w:r w:rsidRPr="000C4F35">
        <w:rPr>
          <w:noProof/>
          <w:u w:color="000000"/>
          <w:bdr w:val="nil"/>
          <w:lang w:eastAsia="en-GB"/>
        </w:rPr>
        <w:t xml:space="preserve"> significantly </w:t>
      </w:r>
      <w:r w:rsidR="001A3802" w:rsidRPr="000C4F35">
        <w:rPr>
          <w:noProof/>
          <w:u w:color="000000"/>
          <w:bdr w:val="nil"/>
          <w:lang w:eastAsia="en-GB"/>
        </w:rPr>
        <w:t xml:space="preserve">the </w:t>
      </w:r>
      <w:r w:rsidRPr="000C4F35">
        <w:rPr>
          <w:noProof/>
          <w:u w:color="000000"/>
          <w:bdr w:val="nil"/>
          <w:lang w:eastAsia="en-GB"/>
        </w:rPr>
        <w:t>risks to financial stability.</w:t>
      </w:r>
    </w:p>
    <w:p w14:paraId="7D390689" w14:textId="77777777" w:rsidR="00403E1E" w:rsidRPr="000C4F35" w:rsidRDefault="00403E1E" w:rsidP="00501D05">
      <w:pPr>
        <w:pStyle w:val="Bullet0"/>
        <w:tabs>
          <w:tab w:val="clear" w:pos="850"/>
          <w:tab w:val="num" w:pos="1570"/>
        </w:tabs>
        <w:rPr>
          <w:noProof/>
          <w:u w:color="000000"/>
          <w:bdr w:val="nil"/>
          <w:lang w:eastAsia="en-GB"/>
        </w:rPr>
      </w:pPr>
      <w:r w:rsidRPr="000C4F35">
        <w:rPr>
          <w:noProof/>
          <w:u w:color="000000"/>
          <w:bdr w:val="nil"/>
          <w:lang w:eastAsia="en-GB"/>
        </w:rPr>
        <w:t xml:space="preserve">A combination of clarifying various elements related to settlement discipline (e.g. scope) and </w:t>
      </w:r>
      <w:r w:rsidR="00FA378E" w:rsidRPr="000C4F35">
        <w:rPr>
          <w:noProof/>
          <w:u w:color="000000"/>
          <w:bdr w:val="nil"/>
          <w:lang w:eastAsia="en-GB"/>
        </w:rPr>
        <w:t>modifying the timeline for the</w:t>
      </w:r>
      <w:r w:rsidRPr="000C4F35">
        <w:rPr>
          <w:noProof/>
          <w:u w:color="000000"/>
          <w:bdr w:val="nil"/>
          <w:lang w:eastAsia="en-GB"/>
        </w:rPr>
        <w:t xml:space="preserve"> implementation of mandatory buy-ins</w:t>
      </w:r>
      <w:r w:rsidR="005B320C" w:rsidRPr="000C4F35">
        <w:rPr>
          <w:rStyle w:val="FootnoteReference"/>
          <w:noProof/>
        </w:rPr>
        <w:footnoteReference w:id="34"/>
      </w:r>
      <w:r w:rsidRPr="000C4F35">
        <w:rPr>
          <w:noProof/>
          <w:u w:color="000000"/>
          <w:bdr w:val="nil"/>
          <w:lang w:eastAsia="en-GB"/>
        </w:rPr>
        <w:t xml:space="preserve"> (“two-step approach”)</w:t>
      </w:r>
      <w:r w:rsidR="00D64C19" w:rsidRPr="000C4F35">
        <w:rPr>
          <w:noProof/>
          <w:u w:color="000000"/>
          <w:bdr w:val="nil"/>
          <w:lang w:eastAsia="en-GB"/>
        </w:rPr>
        <w:t xml:space="preserve"> is </w:t>
      </w:r>
      <w:r w:rsidRPr="000C4F35">
        <w:rPr>
          <w:noProof/>
          <w:u w:color="000000"/>
          <w:bdr w:val="nil"/>
          <w:lang w:eastAsia="en-GB"/>
        </w:rPr>
        <w:t>the most effective</w:t>
      </w:r>
      <w:r w:rsidR="00C61C46" w:rsidRPr="000C4F35">
        <w:rPr>
          <w:noProof/>
          <w:u w:color="000000"/>
          <w:bdr w:val="nil"/>
          <w:lang w:eastAsia="en-GB"/>
        </w:rPr>
        <w:t xml:space="preserve"> and</w:t>
      </w:r>
      <w:r w:rsidRPr="000C4F35">
        <w:rPr>
          <w:noProof/>
          <w:u w:color="000000"/>
          <w:bdr w:val="nil"/>
          <w:lang w:eastAsia="en-GB"/>
        </w:rPr>
        <w:t xml:space="preserve"> efficient</w:t>
      </w:r>
      <w:r w:rsidR="004777F1" w:rsidRPr="000C4F35">
        <w:rPr>
          <w:noProof/>
          <w:u w:color="000000"/>
          <w:bdr w:val="nil"/>
          <w:lang w:eastAsia="en-GB"/>
        </w:rPr>
        <w:t xml:space="preserve"> option</w:t>
      </w:r>
      <w:r w:rsidRPr="000C4F35">
        <w:rPr>
          <w:noProof/>
          <w:u w:color="000000"/>
          <w:bdr w:val="nil"/>
          <w:lang w:eastAsia="en-GB"/>
        </w:rPr>
        <w:t xml:space="preserve">. </w:t>
      </w:r>
      <w:r w:rsidR="00C61C46" w:rsidRPr="000C4F35">
        <w:rPr>
          <w:rFonts w:eastAsia="Arial Unicode MS"/>
          <w:noProof/>
          <w:color w:val="000000"/>
          <w:szCs w:val="24"/>
          <w:u w:color="000000"/>
          <w:bdr w:val="nil"/>
          <w:lang w:eastAsia="en-GB"/>
        </w:rPr>
        <w:t xml:space="preserve">The implementation of mandatory buy-ins will be dependent on the evolution of settlement efficiency in the EU. </w:t>
      </w:r>
      <w:r w:rsidR="00D64C19" w:rsidRPr="000C4F35">
        <w:rPr>
          <w:noProof/>
          <w:u w:color="000000"/>
          <w:bdr w:val="nil"/>
          <w:lang w:eastAsia="en-GB"/>
        </w:rPr>
        <w:t xml:space="preserve">First, </w:t>
      </w:r>
      <w:r w:rsidR="001D374B" w:rsidRPr="000C4F35">
        <w:rPr>
          <w:noProof/>
          <w:u w:color="000000"/>
          <w:bdr w:val="nil"/>
          <w:lang w:eastAsia="en-GB"/>
        </w:rPr>
        <w:t xml:space="preserve">the gathered evidence suggests that </w:t>
      </w:r>
      <w:r w:rsidR="00D64C19" w:rsidRPr="000C4F35">
        <w:rPr>
          <w:noProof/>
          <w:u w:color="000000"/>
          <w:bdr w:val="nil"/>
          <w:lang w:eastAsia="en-GB"/>
        </w:rPr>
        <w:t>c</w:t>
      </w:r>
      <w:r w:rsidRPr="000C4F35">
        <w:rPr>
          <w:noProof/>
          <w:u w:color="000000"/>
          <w:bdr w:val="nil"/>
          <w:lang w:eastAsia="en-GB"/>
        </w:rPr>
        <w:t xml:space="preserve">ash penalties will incentivise improvements in settlement efficiency, without endangering stability and liquidity across markets and financial instruments. </w:t>
      </w:r>
      <w:r w:rsidR="00D64C19" w:rsidRPr="000C4F35">
        <w:rPr>
          <w:noProof/>
          <w:u w:color="000000"/>
          <w:bdr w:val="nil"/>
          <w:lang w:eastAsia="en-GB"/>
        </w:rPr>
        <w:t xml:space="preserve">Second, </w:t>
      </w:r>
      <w:r w:rsidR="005B320C" w:rsidRPr="000C4F35">
        <w:rPr>
          <w:noProof/>
          <w:u w:color="000000"/>
          <w:bdr w:val="nil"/>
          <w:lang w:eastAsia="en-GB"/>
        </w:rPr>
        <w:t xml:space="preserve">after cash penalties have applied, </w:t>
      </w:r>
      <w:r w:rsidR="00D64C19" w:rsidRPr="000C4F35">
        <w:rPr>
          <w:noProof/>
          <w:u w:color="000000"/>
          <w:bdr w:val="nil"/>
          <w:lang w:eastAsia="en-GB"/>
        </w:rPr>
        <w:t>it can then be assessed how to</w:t>
      </w:r>
      <w:r w:rsidR="001D374B" w:rsidRPr="000C4F35">
        <w:rPr>
          <w:noProof/>
          <w:u w:color="000000"/>
          <w:bdr w:val="nil"/>
          <w:lang w:eastAsia="en-GB"/>
        </w:rPr>
        <w:t xml:space="preserve"> best</w:t>
      </w:r>
      <w:r w:rsidR="00D64C19" w:rsidRPr="000C4F35">
        <w:rPr>
          <w:noProof/>
          <w:u w:color="000000"/>
          <w:bdr w:val="nil"/>
          <w:lang w:eastAsia="en-GB"/>
        </w:rPr>
        <w:t xml:space="preserve"> apply the mandatory buy-in</w:t>
      </w:r>
      <w:r w:rsidR="001D374B" w:rsidRPr="000C4F35">
        <w:rPr>
          <w:noProof/>
          <w:u w:color="000000"/>
          <w:bdr w:val="nil"/>
          <w:lang w:eastAsia="en-GB"/>
        </w:rPr>
        <w:t xml:space="preserve"> in light of the evolution of settlement efficiency</w:t>
      </w:r>
      <w:r w:rsidR="00D64C19" w:rsidRPr="000C4F35">
        <w:rPr>
          <w:noProof/>
          <w:u w:color="000000"/>
          <w:bdr w:val="nil"/>
          <w:lang w:eastAsia="en-GB"/>
        </w:rPr>
        <w:t xml:space="preserve">. </w:t>
      </w:r>
      <w:r w:rsidRPr="000C4F35">
        <w:rPr>
          <w:noProof/>
          <w:u w:color="000000"/>
          <w:bdr w:val="nil"/>
          <w:lang w:eastAsia="en-GB"/>
        </w:rPr>
        <w:t>The option to suspend the framework in its entirety was disregarded</w:t>
      </w:r>
      <w:r w:rsidR="00D64C19" w:rsidRPr="000C4F35">
        <w:rPr>
          <w:noProof/>
          <w:u w:color="000000"/>
          <w:bdr w:val="nil"/>
          <w:lang w:eastAsia="en-GB"/>
        </w:rPr>
        <w:t xml:space="preserve"> as</w:t>
      </w:r>
      <w:r w:rsidRPr="000C4F35">
        <w:rPr>
          <w:noProof/>
          <w:u w:color="000000"/>
          <w:bdr w:val="nil"/>
          <w:lang w:eastAsia="en-GB"/>
        </w:rPr>
        <w:t xml:space="preserve"> settlement fails in the EU remain consistently higher than in other major financial markets. </w:t>
      </w:r>
    </w:p>
    <w:p w14:paraId="0FBCAE42" w14:textId="77777777" w:rsidR="00403E1E" w:rsidRPr="000C4F35" w:rsidRDefault="00764A17" w:rsidP="00501D05">
      <w:pPr>
        <w:pStyle w:val="Bullet0"/>
        <w:tabs>
          <w:tab w:val="clear" w:pos="850"/>
          <w:tab w:val="num" w:pos="1570"/>
        </w:tabs>
        <w:rPr>
          <w:noProof/>
          <w:u w:color="000000"/>
          <w:bdr w:val="nil"/>
          <w:lang w:eastAsia="en-GB"/>
        </w:rPr>
      </w:pPr>
      <w:r w:rsidRPr="000C4F35">
        <w:rPr>
          <w:noProof/>
          <w:u w:color="000000"/>
          <w:bdr w:val="nil"/>
          <w:lang w:eastAsia="en-GB"/>
        </w:rPr>
        <w:t>Introduce an e</w:t>
      </w:r>
      <w:r w:rsidR="00403E1E" w:rsidRPr="000C4F35">
        <w:rPr>
          <w:noProof/>
          <w:u w:color="000000"/>
          <w:bdr w:val="nil"/>
          <w:lang w:eastAsia="en-GB"/>
        </w:rPr>
        <w:t>nd</w:t>
      </w:r>
      <w:r w:rsidRPr="000C4F35">
        <w:rPr>
          <w:noProof/>
          <w:u w:color="000000"/>
          <w:bdr w:val="nil"/>
          <w:lang w:eastAsia="en-GB"/>
        </w:rPr>
        <w:t xml:space="preserve"> date for</w:t>
      </w:r>
      <w:r w:rsidR="00403E1E" w:rsidRPr="000C4F35">
        <w:rPr>
          <w:noProof/>
          <w:u w:color="000000"/>
          <w:bdr w:val="nil"/>
          <w:lang w:eastAsia="en-GB"/>
        </w:rPr>
        <w:t xml:space="preserve"> the grandfathering clause for EU and third-country CSDs</w:t>
      </w:r>
      <w:r w:rsidR="005B320C" w:rsidRPr="000C4F35">
        <w:rPr>
          <w:rStyle w:val="FootnoteReference"/>
          <w:noProof/>
          <w:u w:color="000000"/>
          <w:bdr w:val="nil"/>
          <w:lang w:eastAsia="en-GB"/>
        </w:rPr>
        <w:footnoteReference w:id="35"/>
      </w:r>
      <w:r w:rsidR="00403E1E" w:rsidRPr="000C4F35">
        <w:rPr>
          <w:noProof/>
          <w:u w:color="000000"/>
          <w:bdr w:val="nil"/>
          <w:lang w:eastAsia="en-GB"/>
        </w:rPr>
        <w:t xml:space="preserve"> and a notification requirement for third-country CSDs. </w:t>
      </w:r>
      <w:r w:rsidR="0013731B" w:rsidRPr="000C4F35">
        <w:rPr>
          <w:noProof/>
          <w:u w:color="000000"/>
          <w:bdr w:val="nil"/>
          <w:lang w:eastAsia="en-GB"/>
        </w:rPr>
        <w:t xml:space="preserve">The information received </w:t>
      </w:r>
      <w:r w:rsidR="005139C3">
        <w:rPr>
          <w:noProof/>
          <w:u w:color="000000"/>
          <w:bdr w:val="nil"/>
          <w:lang w:eastAsia="en-GB"/>
        </w:rPr>
        <w:t>would</w:t>
      </w:r>
      <w:r w:rsidR="005139C3" w:rsidRPr="000C4F35">
        <w:rPr>
          <w:noProof/>
          <w:u w:color="000000"/>
          <w:bdr w:val="nil"/>
          <w:lang w:eastAsia="en-GB"/>
        </w:rPr>
        <w:t xml:space="preserve"> </w:t>
      </w:r>
      <w:r w:rsidR="0013731B" w:rsidRPr="000C4F35">
        <w:rPr>
          <w:noProof/>
          <w:u w:color="000000"/>
          <w:bdr w:val="nil"/>
          <w:lang w:eastAsia="en-GB"/>
        </w:rPr>
        <w:t>allow the Commission to prioritise its assessment of equivalence of third-country CSD frameworks, as the granting of equivalence by the Commission is a condition for the recognition</w:t>
      </w:r>
      <w:r w:rsidR="00610BB2">
        <w:rPr>
          <w:noProof/>
          <w:u w:color="000000"/>
          <w:bdr w:val="nil"/>
          <w:lang w:eastAsia="en-GB"/>
        </w:rPr>
        <w:t xml:space="preserve"> by ESMA</w:t>
      </w:r>
      <w:r w:rsidR="0013731B" w:rsidRPr="000C4F35">
        <w:rPr>
          <w:noProof/>
          <w:u w:color="000000"/>
          <w:bdr w:val="nil"/>
          <w:lang w:eastAsia="en-GB"/>
        </w:rPr>
        <w:t xml:space="preserve"> of third-country CSDs</w:t>
      </w:r>
      <w:r w:rsidR="00610BB2">
        <w:rPr>
          <w:noProof/>
          <w:u w:color="000000"/>
          <w:bdr w:val="nil"/>
          <w:lang w:eastAsia="en-GB"/>
        </w:rPr>
        <w:t xml:space="preserve"> that wish to offer notary and central</w:t>
      </w:r>
      <w:r w:rsidR="0013731B" w:rsidRPr="000C4F35">
        <w:rPr>
          <w:noProof/>
          <w:u w:color="000000"/>
          <w:bdr w:val="nil"/>
          <w:lang w:eastAsia="en-GB"/>
        </w:rPr>
        <w:t xml:space="preserve"> </w:t>
      </w:r>
      <w:r w:rsidR="00610BB2">
        <w:rPr>
          <w:noProof/>
          <w:u w:color="000000"/>
          <w:bdr w:val="nil"/>
          <w:lang w:eastAsia="en-GB"/>
        </w:rPr>
        <w:t>maintenance services in relation to financial instruments constituted under the law of a Member State</w:t>
      </w:r>
      <w:r w:rsidR="0013731B" w:rsidRPr="000C4F35">
        <w:rPr>
          <w:noProof/>
          <w:u w:color="000000"/>
          <w:bdr w:val="nil"/>
          <w:lang w:eastAsia="en-GB"/>
        </w:rPr>
        <w:t xml:space="preserve">. </w:t>
      </w:r>
      <w:r w:rsidR="00403E1E" w:rsidRPr="000C4F35">
        <w:rPr>
          <w:noProof/>
          <w:u w:color="000000"/>
          <w:bdr w:val="nil"/>
          <w:lang w:eastAsia="en-GB"/>
        </w:rPr>
        <w:t>Th</w:t>
      </w:r>
      <w:r w:rsidR="0013731B" w:rsidRPr="000C4F35">
        <w:rPr>
          <w:noProof/>
          <w:u w:color="000000"/>
          <w:bdr w:val="nil"/>
          <w:lang w:eastAsia="en-GB"/>
        </w:rPr>
        <w:t xml:space="preserve">e combination of these measures </w:t>
      </w:r>
      <w:r w:rsidR="00403E1E" w:rsidRPr="000C4F35">
        <w:rPr>
          <w:noProof/>
          <w:u w:color="000000"/>
          <w:bdr w:val="nil"/>
          <w:lang w:eastAsia="en-GB"/>
        </w:rPr>
        <w:t>will</w:t>
      </w:r>
      <w:r w:rsidR="0013731B" w:rsidRPr="000C4F35">
        <w:rPr>
          <w:noProof/>
          <w:u w:color="000000"/>
          <w:bdr w:val="nil"/>
          <w:lang w:eastAsia="en-GB"/>
        </w:rPr>
        <w:t xml:space="preserve"> therefore</w:t>
      </w:r>
      <w:r w:rsidR="00403E1E" w:rsidRPr="000C4F35">
        <w:rPr>
          <w:noProof/>
          <w:u w:color="000000"/>
          <w:bdr w:val="nil"/>
          <w:lang w:eastAsia="en-GB"/>
        </w:rPr>
        <w:t xml:space="preserve"> ensure</w:t>
      </w:r>
      <w:r w:rsidR="0013731B" w:rsidRPr="000C4F35">
        <w:rPr>
          <w:noProof/>
          <w:u w:color="000000"/>
          <w:bdr w:val="nil"/>
          <w:lang w:eastAsia="en-GB"/>
        </w:rPr>
        <w:t xml:space="preserve"> that</w:t>
      </w:r>
      <w:r w:rsidR="00403E1E" w:rsidRPr="000C4F35">
        <w:rPr>
          <w:noProof/>
          <w:u w:color="000000"/>
          <w:bdr w:val="nil"/>
          <w:lang w:eastAsia="en-GB"/>
        </w:rPr>
        <w:t xml:space="preserve"> authorities have adequate powers and </w:t>
      </w:r>
      <w:r w:rsidR="00E93CF7" w:rsidRPr="000C4F35">
        <w:rPr>
          <w:noProof/>
          <w:u w:color="000000"/>
          <w:bdr w:val="nil"/>
          <w:lang w:eastAsia="en-GB"/>
        </w:rPr>
        <w:t xml:space="preserve">timely </w:t>
      </w:r>
      <w:r w:rsidR="00403E1E" w:rsidRPr="000C4F35">
        <w:rPr>
          <w:noProof/>
          <w:u w:color="000000"/>
          <w:bdr w:val="nil"/>
          <w:lang w:eastAsia="en-GB"/>
        </w:rPr>
        <w:t>information to monitor risks</w:t>
      </w:r>
      <w:r w:rsidR="00E93CF7" w:rsidRPr="000C4F35">
        <w:rPr>
          <w:noProof/>
          <w:u w:color="000000"/>
          <w:bdr w:val="nil"/>
          <w:lang w:eastAsia="en-GB"/>
        </w:rPr>
        <w:t xml:space="preserve"> in line with the evolution of market needs</w:t>
      </w:r>
      <w:r w:rsidR="00403E1E" w:rsidRPr="000C4F35">
        <w:rPr>
          <w:noProof/>
          <w:u w:color="000000"/>
          <w:bdr w:val="nil"/>
          <w:lang w:eastAsia="en-GB"/>
        </w:rPr>
        <w:t>.</w:t>
      </w:r>
      <w:r w:rsidR="00E93CF7" w:rsidRPr="000C4F35">
        <w:rPr>
          <w:noProof/>
          <w:u w:color="000000"/>
          <w:bdr w:val="nil"/>
          <w:lang w:eastAsia="en-GB"/>
        </w:rPr>
        <w:t xml:space="preserve"> </w:t>
      </w:r>
      <w:r w:rsidR="00F9253D" w:rsidRPr="000C4F35">
        <w:rPr>
          <w:noProof/>
          <w:u w:color="000000"/>
          <w:bdr w:val="nil"/>
          <w:lang w:eastAsia="en-GB"/>
        </w:rPr>
        <w:t>Nonetheless, t</w:t>
      </w:r>
      <w:r w:rsidR="00E93CF7" w:rsidRPr="000C4F35">
        <w:rPr>
          <w:noProof/>
          <w:u w:color="000000"/>
          <w:bdr w:val="nil"/>
          <w:lang w:eastAsia="en-GB"/>
        </w:rPr>
        <w:t>he proposed amendments do not affect the equivalence and recognition processe</w:t>
      </w:r>
      <w:r w:rsidR="00F9253D" w:rsidRPr="000C4F35">
        <w:rPr>
          <w:noProof/>
          <w:u w:color="000000"/>
          <w:bdr w:val="nil"/>
          <w:lang w:eastAsia="en-GB"/>
        </w:rPr>
        <w:t>s already applicable under CSDR;</w:t>
      </w:r>
      <w:r w:rsidR="00E93CF7" w:rsidRPr="000C4F35">
        <w:rPr>
          <w:noProof/>
          <w:u w:color="000000"/>
          <w:bdr w:val="nil"/>
          <w:lang w:eastAsia="en-GB"/>
        </w:rPr>
        <w:t xml:space="preserve"> therefore</w:t>
      </w:r>
      <w:r w:rsidR="00F9253D" w:rsidRPr="000C4F35">
        <w:rPr>
          <w:noProof/>
          <w:u w:color="000000"/>
          <w:bdr w:val="nil"/>
          <w:lang w:eastAsia="en-GB"/>
        </w:rPr>
        <w:t>,</w:t>
      </w:r>
      <w:r w:rsidR="00E93CF7" w:rsidRPr="000C4F35">
        <w:rPr>
          <w:noProof/>
          <w:u w:color="000000"/>
          <w:bdr w:val="nil"/>
          <w:lang w:eastAsia="en-GB"/>
        </w:rPr>
        <w:t xml:space="preserve"> third-countries and </w:t>
      </w:r>
      <w:r w:rsidR="00F9253D" w:rsidRPr="000C4F35">
        <w:rPr>
          <w:noProof/>
          <w:u w:color="000000"/>
          <w:bdr w:val="nil"/>
          <w:lang w:eastAsia="en-GB"/>
        </w:rPr>
        <w:t xml:space="preserve">potential </w:t>
      </w:r>
      <w:r w:rsidR="00E93CF7" w:rsidRPr="000C4F35">
        <w:rPr>
          <w:noProof/>
          <w:u w:color="000000"/>
          <w:bdr w:val="nil"/>
          <w:lang w:eastAsia="en-GB"/>
        </w:rPr>
        <w:t>applicant</w:t>
      </w:r>
      <w:r w:rsidR="00F9253D" w:rsidRPr="000C4F35">
        <w:rPr>
          <w:noProof/>
          <w:u w:color="000000"/>
          <w:bdr w:val="nil"/>
          <w:lang w:eastAsia="en-GB"/>
        </w:rPr>
        <w:t xml:space="preserve"> third-country</w:t>
      </w:r>
      <w:r w:rsidR="00E93CF7" w:rsidRPr="000C4F35">
        <w:rPr>
          <w:noProof/>
          <w:u w:color="000000"/>
          <w:bdr w:val="nil"/>
          <w:lang w:eastAsia="en-GB"/>
        </w:rPr>
        <w:t xml:space="preserve"> CSDs remain invited to submit their requests for equivalence and applications for recognition respectively under the current CSDR requirements.</w:t>
      </w:r>
      <w:r w:rsidR="00403E1E" w:rsidRPr="000C4F35">
        <w:rPr>
          <w:noProof/>
          <w:u w:color="000000"/>
          <w:bdr w:val="nil"/>
          <w:lang w:eastAsia="en-GB"/>
        </w:rPr>
        <w:t xml:space="preserve"> Another option considered was to enhance the regime for third-country CSDs that provide services for financial instruments constituted under the law of a Member State by</w:t>
      </w:r>
      <w:r w:rsidR="00366372" w:rsidRPr="000C4F35">
        <w:rPr>
          <w:noProof/>
          <w:u w:color="000000"/>
          <w:bdr w:val="nil"/>
          <w:lang w:eastAsia="en-GB"/>
        </w:rPr>
        <w:t>, for</w:t>
      </w:r>
      <w:r w:rsidR="00403E1E" w:rsidRPr="000C4F35">
        <w:rPr>
          <w:noProof/>
          <w:u w:color="000000"/>
          <w:bdr w:val="nil"/>
          <w:lang w:eastAsia="en-GB"/>
        </w:rPr>
        <w:t xml:space="preserve"> e.g.</w:t>
      </w:r>
      <w:r w:rsidR="00366372" w:rsidRPr="000C4F35">
        <w:rPr>
          <w:noProof/>
          <w:u w:color="000000"/>
          <w:bdr w:val="nil"/>
          <w:lang w:eastAsia="en-GB"/>
        </w:rPr>
        <w:t>,</w:t>
      </w:r>
      <w:r w:rsidR="00403E1E" w:rsidRPr="000C4F35">
        <w:rPr>
          <w:noProof/>
          <w:u w:color="000000"/>
          <w:bdr w:val="nil"/>
          <w:lang w:eastAsia="en-GB"/>
        </w:rPr>
        <w:t xml:space="preserve"> requiring recognition by ESMA for the provision of settlement services or </w:t>
      </w:r>
      <w:r w:rsidR="00366372" w:rsidRPr="000C4F35">
        <w:rPr>
          <w:noProof/>
          <w:u w:color="000000"/>
          <w:bdr w:val="nil"/>
          <w:lang w:eastAsia="en-GB"/>
        </w:rPr>
        <w:t xml:space="preserve">by </w:t>
      </w:r>
      <w:r w:rsidR="00403E1E" w:rsidRPr="000C4F35">
        <w:rPr>
          <w:noProof/>
          <w:u w:color="000000"/>
          <w:bdr w:val="nil"/>
          <w:lang w:eastAsia="en-GB"/>
        </w:rPr>
        <w:t>increasing ESMA’s supervisory powers</w:t>
      </w:r>
      <w:r w:rsidR="00D64C19" w:rsidRPr="000C4F35">
        <w:rPr>
          <w:noProof/>
          <w:u w:color="000000"/>
          <w:bdr w:val="nil"/>
          <w:lang w:eastAsia="en-GB"/>
        </w:rPr>
        <w:t xml:space="preserve">, but that was </w:t>
      </w:r>
      <w:r w:rsidR="00403E1E" w:rsidRPr="000C4F35">
        <w:rPr>
          <w:noProof/>
          <w:u w:color="000000"/>
          <w:bdr w:val="nil"/>
          <w:lang w:eastAsia="en-GB"/>
        </w:rPr>
        <w:t>considered at this point premature and disproportionate.</w:t>
      </w:r>
    </w:p>
    <w:p w14:paraId="5475D073" w14:textId="77777777" w:rsidR="00470D07" w:rsidRPr="000C4F35" w:rsidRDefault="00403E1E" w:rsidP="00501D05">
      <w:pPr>
        <w:pStyle w:val="Bullet0"/>
        <w:tabs>
          <w:tab w:val="clear" w:pos="850"/>
          <w:tab w:val="num" w:pos="1570"/>
        </w:tabs>
        <w:rPr>
          <w:noProof/>
          <w:u w:color="000000"/>
          <w:bdr w:val="nil"/>
          <w:lang w:eastAsia="en-GB"/>
        </w:rPr>
      </w:pPr>
      <w:r w:rsidRPr="000C4F35">
        <w:rPr>
          <w:noProof/>
          <w:u w:color="000000"/>
          <w:bdr w:val="nil"/>
          <w:lang w:eastAsia="en-GB"/>
        </w:rPr>
        <w:t>The overall package of options will have a positive effect on the post-trading landscape in the EU by enabling a more proportionate regulation of CSDs, enhancing the efficiency of securities settlement and thus contributing to the competitiveness of the EU financial markets.</w:t>
      </w:r>
    </w:p>
    <w:p w14:paraId="46CAA7A4" w14:textId="77777777" w:rsidR="00470D07" w:rsidRPr="000C4F35" w:rsidRDefault="00470D07" w:rsidP="00685329">
      <w:pPr>
        <w:pStyle w:val="ManualHeading2"/>
        <w:rPr>
          <w:rFonts w:eastAsia="Arial Unicode MS"/>
          <w:noProof/>
          <w:u w:color="000000"/>
          <w:bdr w:val="nil"/>
          <w:lang w:eastAsia="en-GB"/>
        </w:rPr>
      </w:pPr>
      <w:r w:rsidRPr="000C4F35">
        <w:rPr>
          <w:rFonts w:eastAsia="Arial Unicode MS"/>
          <w:noProof/>
          <w:u w:color="000000"/>
          <w:bdr w:val="nil"/>
          <w:lang w:eastAsia="en-GB"/>
        </w:rPr>
        <w:t>•</w:t>
      </w:r>
      <w:r w:rsidRPr="000C4F35">
        <w:rPr>
          <w:rFonts w:eastAsia="Arial Unicode MS"/>
          <w:noProof/>
          <w:u w:color="000000"/>
          <w:bdr w:val="nil"/>
          <w:lang w:eastAsia="en-GB"/>
        </w:rPr>
        <w:tab/>
        <w:t>Regulatory fitness and simplification</w:t>
      </w:r>
    </w:p>
    <w:p w14:paraId="678E0C94" w14:textId="77777777" w:rsidR="00403E1E" w:rsidRPr="000C4F35" w:rsidRDefault="00403E1E"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The overall approach is to propose measures which are necessary in the interest of market integration and financial stability while reducing the regulatory and compliance burden for market participants. This is in line with the Commission's Better Regulation Agenda. The options retained have a positive effect, ensuring more proportionate regulation of CSDs and enhancing the competitiveness of the EU settlement market as a whole.</w:t>
      </w:r>
    </w:p>
    <w:p w14:paraId="4F8566FA" w14:textId="77777777" w:rsidR="00403E1E" w:rsidRPr="000C4F35" w:rsidRDefault="00403E1E"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CSDs would benefit from reduced costs when operating in the EU, notably due to a reduction of barriers to cross-border settlement stemming from (i) the establishment of colleges and (ii) the </w:t>
      </w:r>
      <w:r w:rsidR="004011B5" w:rsidRPr="000C4F35">
        <w:rPr>
          <w:rFonts w:eastAsia="Arial Unicode MS"/>
          <w:noProof/>
          <w:color w:val="000000"/>
          <w:szCs w:val="24"/>
          <w:u w:color="000000"/>
          <w:bdr w:val="nil"/>
          <w:lang w:eastAsia="en-GB"/>
        </w:rPr>
        <w:t xml:space="preserve">simplification </w:t>
      </w:r>
      <w:r w:rsidRPr="000C4F35">
        <w:rPr>
          <w:rFonts w:eastAsia="Arial Unicode MS"/>
          <w:noProof/>
          <w:color w:val="000000"/>
          <w:szCs w:val="24"/>
          <w:u w:color="000000"/>
          <w:bdr w:val="nil"/>
          <w:lang w:eastAsia="en-GB"/>
        </w:rPr>
        <w:t xml:space="preserve">of the current passporting procedure. In particular, easing the burdens associated with the passporting requirements would simplify and accelerate the process. The </w:t>
      </w:r>
      <w:r w:rsidR="004011B5" w:rsidRPr="000C4F35">
        <w:rPr>
          <w:rFonts w:eastAsia="Arial Unicode MS"/>
          <w:noProof/>
          <w:color w:val="000000"/>
          <w:szCs w:val="24"/>
          <w:u w:color="000000"/>
          <w:bdr w:val="nil"/>
          <w:lang w:eastAsia="en-GB"/>
        </w:rPr>
        <w:t>simplified passporting process</w:t>
      </w:r>
      <w:r w:rsidR="00FA378E" w:rsidRPr="000C4F35">
        <w:rPr>
          <w:rFonts w:eastAsia="Arial Unicode MS"/>
          <w:noProof/>
          <w:color w:val="000000"/>
          <w:szCs w:val="24"/>
          <w:u w:color="000000"/>
          <w:bdr w:val="nil"/>
          <w:lang w:eastAsia="en-GB"/>
        </w:rPr>
        <w:t>,</w:t>
      </w:r>
      <w:r w:rsidR="005B320C" w:rsidRPr="000C4F35">
        <w:rPr>
          <w:rFonts w:eastAsia="Arial Unicode MS"/>
          <w:noProof/>
          <w:color w:val="000000"/>
          <w:szCs w:val="24"/>
          <w:u w:color="000000"/>
          <w:bdr w:val="nil"/>
          <w:lang w:eastAsia="en-GB"/>
        </w:rPr>
        <w:t xml:space="preserve"> which includes a notification to host competent authorities</w:t>
      </w:r>
      <w:r w:rsidR="00FA378E" w:rsidRPr="000C4F35">
        <w:rPr>
          <w:rFonts w:eastAsia="Arial Unicode MS"/>
          <w:noProof/>
          <w:color w:val="000000"/>
          <w:szCs w:val="24"/>
          <w:u w:color="000000"/>
          <w:bdr w:val="nil"/>
          <w:lang w:eastAsia="en-GB"/>
        </w:rPr>
        <w:t xml:space="preserve"> rather than an approval by them,</w:t>
      </w:r>
      <w:r w:rsidRPr="000C4F35">
        <w:rPr>
          <w:rFonts w:eastAsia="Arial Unicode MS"/>
          <w:noProof/>
          <w:color w:val="000000"/>
          <w:szCs w:val="24"/>
          <w:u w:color="000000"/>
          <w:bdr w:val="nil"/>
          <w:lang w:eastAsia="en-GB"/>
        </w:rPr>
        <w:t xml:space="preserve"> is expected to reduce the costs by up to 75%, which would generate a one-off saving, on average, of EUR</w:t>
      </w:r>
      <w:r w:rsidRPr="000C4F35">
        <w:rPr>
          <w:noProof/>
          <w:szCs w:val="24"/>
        </w:rPr>
        <w:t> </w:t>
      </w:r>
      <w:r w:rsidRPr="000C4F35">
        <w:rPr>
          <w:rFonts w:eastAsia="Arial Unicode MS"/>
          <w:noProof/>
          <w:color w:val="000000"/>
          <w:szCs w:val="24"/>
          <w:u w:color="000000"/>
          <w:bdr w:val="nil"/>
          <w:lang w:eastAsia="en-GB"/>
        </w:rPr>
        <w:t>585</w:t>
      </w:r>
      <w:r w:rsidRPr="000C4F35">
        <w:rPr>
          <w:noProof/>
          <w:szCs w:val="24"/>
        </w:rPr>
        <w:t> </w:t>
      </w:r>
      <w:r w:rsidRPr="000C4F35">
        <w:rPr>
          <w:rFonts w:eastAsia="Arial Unicode MS"/>
          <w:noProof/>
          <w:color w:val="000000"/>
          <w:szCs w:val="24"/>
          <w:u w:color="000000"/>
          <w:bdr w:val="nil"/>
          <w:lang w:eastAsia="en-GB"/>
        </w:rPr>
        <w:t xml:space="preserve">000 per CSD. The introduction of colleges would also benefit EU CSDs due to the legal certainty resulting from the enhancement of supervisory convergence. Furthermore, the introduction of colleges and of an end date to the grandfathering clause would </w:t>
      </w:r>
      <w:r w:rsidR="00A00C9D">
        <w:rPr>
          <w:rFonts w:eastAsia="Arial Unicode MS"/>
          <w:noProof/>
          <w:color w:val="000000"/>
          <w:szCs w:val="24"/>
          <w:u w:color="000000"/>
          <w:bdr w:val="nil"/>
          <w:lang w:eastAsia="en-GB"/>
        </w:rPr>
        <w:t>enhance financial stability</w:t>
      </w:r>
      <w:r w:rsidR="00A00C9D" w:rsidRPr="00685329">
        <w:rPr>
          <w:rFonts w:eastAsia="Arial Unicode MS"/>
          <w:noProof/>
          <w:color w:val="000000"/>
          <w:szCs w:val="24"/>
          <w:u w:color="000000"/>
          <w:bdr w:val="nil"/>
          <w:lang w:eastAsia="en-GB"/>
        </w:rPr>
        <w:t xml:space="preserve"> </w:t>
      </w:r>
      <w:r w:rsidR="00A00C9D">
        <w:rPr>
          <w:rFonts w:eastAsia="Arial Unicode MS"/>
          <w:noProof/>
          <w:color w:val="000000"/>
          <w:szCs w:val="24"/>
          <w:u w:color="000000"/>
          <w:bdr w:val="nil"/>
          <w:lang w:eastAsia="en-GB"/>
        </w:rPr>
        <w:t>with regard to</w:t>
      </w:r>
      <w:r w:rsidR="00A00C9D" w:rsidRPr="000C4F35" w:rsidDel="00A00C9D">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 xml:space="preserve">EU CSDs and third-country CSDs. </w:t>
      </w:r>
    </w:p>
    <w:p w14:paraId="4BCC5D29" w14:textId="40E821DE" w:rsidR="00403E1E" w:rsidRPr="000C4F35" w:rsidRDefault="00403E1E"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Simplification of the requirements to access</w:t>
      </w:r>
      <w:r w:rsidRPr="000C4F35" w:rsidDel="00AC461B">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banking-type ancillary services by CSDs, which is required in order to settle in foreign currencies, would also increase competition in this domain. In this regard, a review of the threshold below which CSDs can use for such services credit institutions could enable CSDs to develop further their services to domestic investors and cross-border. It is estimated that EUR</w:t>
      </w:r>
      <w:r w:rsidRPr="000C4F35">
        <w:rPr>
          <w:noProof/>
          <w:szCs w:val="24"/>
        </w:rPr>
        <w:t> </w:t>
      </w:r>
      <w:r w:rsidRPr="000C4F35">
        <w:rPr>
          <w:rFonts w:eastAsia="Arial Unicode MS"/>
          <w:noProof/>
          <w:color w:val="000000"/>
          <w:szCs w:val="24"/>
          <w:u w:color="000000"/>
          <w:bdr w:val="nil"/>
          <w:lang w:eastAsia="en-GB"/>
        </w:rPr>
        <w:t>16</w:t>
      </w:r>
      <w:r w:rsidRPr="000C4F35">
        <w:rPr>
          <w:noProof/>
          <w:szCs w:val="24"/>
        </w:rPr>
        <w:t> </w:t>
      </w:r>
      <w:r w:rsidRPr="000C4F35">
        <w:rPr>
          <w:rFonts w:eastAsia="Arial Unicode MS"/>
          <w:noProof/>
          <w:color w:val="000000"/>
          <w:szCs w:val="24"/>
          <w:u w:color="000000"/>
          <w:bdr w:val="nil"/>
          <w:lang w:eastAsia="en-GB"/>
        </w:rPr>
        <w:t xml:space="preserve">billion of additional settlement in foreign currencies could be expected on an annual basis as a result of the proposed changes. </w:t>
      </w:r>
    </w:p>
    <w:p w14:paraId="7A1ECDA6" w14:textId="77777777" w:rsidR="00403E1E" w:rsidRPr="000C4F35" w:rsidRDefault="00403E1E"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The </w:t>
      </w:r>
      <w:r w:rsidR="006A46E7" w:rsidRPr="000C4F35">
        <w:rPr>
          <w:rFonts w:eastAsia="Arial Unicode MS"/>
          <w:noProof/>
          <w:color w:val="000000"/>
          <w:szCs w:val="24"/>
          <w:u w:color="000000"/>
          <w:bdr w:val="nil"/>
          <w:lang w:eastAsia="en-GB"/>
        </w:rPr>
        <w:t xml:space="preserve">simplification </w:t>
      </w:r>
      <w:r w:rsidRPr="000C4F35">
        <w:rPr>
          <w:rFonts w:eastAsia="Arial Unicode MS"/>
          <w:noProof/>
          <w:color w:val="000000"/>
          <w:szCs w:val="24"/>
          <w:u w:color="000000"/>
          <w:bdr w:val="nil"/>
          <w:lang w:eastAsia="en-GB"/>
        </w:rPr>
        <w:t xml:space="preserve">of the passporting procedure, the creation of mandatory colleges and the increased provision of banking services related to settlement in foreign currencies will increase competition between CSDs in the EU, thereby benefitting investors and issuers, SMEs included. Overall, issuers, in particular innovative start-ups and SMEs, and investors would have more choice in terms of financing arrangements and would benefit from the increased competition, a greater choice in issuance, risk diversification and currency diversification in their cross-border investments, thereby contributing to a deepening of the CMU. </w:t>
      </w:r>
    </w:p>
    <w:p w14:paraId="0AC45EC1" w14:textId="77777777" w:rsidR="00403E1E" w:rsidRPr="000C4F35" w:rsidRDefault="00403E1E"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Finally, the proposed changes to the settlement discipline regime would ensure a more proportionate approach to the treatment of settlement fails, while ensuring that levels of settlement efficiency continue to improve in the EU to the benefit of investors and the EU economy as a whole. The two-step approach in particular should alleviate the most negative impacts related to liquidity, where application of the relevant requirements is not </w:t>
      </w:r>
      <w:r w:rsidR="00B004C8" w:rsidRPr="000C4F35">
        <w:rPr>
          <w:rFonts w:eastAsia="Arial Unicode MS"/>
          <w:noProof/>
          <w:color w:val="000000"/>
          <w:szCs w:val="24"/>
          <w:u w:color="000000"/>
          <w:bdr w:val="nil"/>
          <w:lang w:eastAsia="en-GB"/>
        </w:rPr>
        <w:t>justified</w:t>
      </w:r>
      <w:r w:rsidRPr="000C4F35">
        <w:rPr>
          <w:rFonts w:eastAsia="Arial Unicode MS"/>
          <w:noProof/>
          <w:color w:val="000000"/>
          <w:szCs w:val="24"/>
          <w:u w:color="000000"/>
          <w:bdr w:val="nil"/>
          <w:lang w:eastAsia="en-GB"/>
        </w:rPr>
        <w:t>. This should indirectly positively impact SMEs, whose securities are less liquid.</w:t>
      </w:r>
    </w:p>
    <w:p w14:paraId="2A73D8EC" w14:textId="77777777" w:rsidR="00470D07" w:rsidRPr="000C4F35" w:rsidRDefault="00403E1E" w:rsidP="00685329">
      <w:pPr>
        <w:pBdr>
          <w:top w:val="nil"/>
          <w:left w:val="nil"/>
          <w:bottom w:val="nil"/>
          <w:right w:val="nil"/>
          <w:between w:val="nil"/>
          <w:bar w:val="nil"/>
        </w:pBdr>
        <w:spacing w:after="240"/>
        <w:rPr>
          <w:rFonts w:eastAsia="Arial Unicode MS"/>
          <w:i/>
          <w:noProof/>
          <w:color w:val="000000"/>
          <w:szCs w:val="24"/>
          <w:u w:color="000000"/>
          <w:bdr w:val="nil"/>
          <w:lang w:eastAsia="en-GB"/>
        </w:rPr>
      </w:pPr>
      <w:r w:rsidRPr="000C4F35">
        <w:rPr>
          <w:rFonts w:eastAsia="Arial Unicode MS"/>
          <w:noProof/>
          <w:color w:val="000000"/>
          <w:szCs w:val="24"/>
          <w:u w:color="000000"/>
          <w:bdr w:val="nil"/>
          <w:lang w:eastAsia="en-GB"/>
        </w:rPr>
        <w:t>Digit</w:t>
      </w:r>
      <w:r w:rsidR="004C3198">
        <w:rPr>
          <w:rFonts w:eastAsia="Arial Unicode MS"/>
          <w:noProof/>
          <w:color w:val="000000"/>
          <w:szCs w:val="24"/>
          <w:u w:color="000000"/>
          <w:bdr w:val="nil"/>
          <w:lang w:eastAsia="en-GB"/>
        </w:rPr>
        <w:t>al</w:t>
      </w:r>
      <w:r w:rsidRPr="000C4F35">
        <w:rPr>
          <w:rFonts w:eastAsia="Arial Unicode MS"/>
          <w:noProof/>
          <w:color w:val="000000"/>
          <w:szCs w:val="24"/>
          <w:u w:color="000000"/>
          <w:bdr w:val="nil"/>
          <w:lang w:eastAsia="en-GB"/>
        </w:rPr>
        <w:t>isation and the impact of new technologies on post-trade services have not been addressed in in this initiative as they have been deemed out of scope. The targeted consultation supporting this initiative indicated that stakeholders prefer to gather experiences in applying the DLT pilot regime Regulation before any changes to the CSDR are contemplated. ESMA in its report on the use of Fintech by CSDs, also did not support extensive amendments to CSDR at this point in time to facilitate the use of technological innovation by CSDs, but rather suggested to wait for the experiences of the EU pilot regime. It was hence decided that any fundamental changes to CSDR to realise the full potential of technology will be postponed until lessons can be drawn from the implementation of the DLT pilot regime Regulation</w:t>
      </w:r>
      <w:r w:rsidRPr="000C4F35">
        <w:rPr>
          <w:rFonts w:eastAsia="Arial Unicode MS"/>
          <w:i/>
          <w:noProof/>
          <w:color w:val="000000"/>
          <w:szCs w:val="24"/>
          <w:u w:color="000000"/>
          <w:bdr w:val="nil"/>
          <w:lang w:eastAsia="en-GB"/>
        </w:rPr>
        <w:t>.</w:t>
      </w:r>
    </w:p>
    <w:p w14:paraId="3955A229" w14:textId="77777777" w:rsidR="00470D07" w:rsidRPr="000C4F35" w:rsidRDefault="00470D07" w:rsidP="00685329">
      <w:pPr>
        <w:pStyle w:val="ManualHeading2"/>
        <w:rPr>
          <w:rFonts w:eastAsia="Arial Unicode MS"/>
          <w:noProof/>
          <w:u w:color="000000"/>
          <w:bdr w:val="nil"/>
          <w:lang w:eastAsia="en-GB"/>
        </w:rPr>
      </w:pPr>
      <w:r w:rsidRPr="000C4F35">
        <w:rPr>
          <w:rFonts w:eastAsia="Arial Unicode MS"/>
          <w:noProof/>
          <w:u w:color="000000"/>
          <w:bdr w:val="nil"/>
          <w:lang w:eastAsia="en-GB"/>
        </w:rPr>
        <w:t>•</w:t>
      </w:r>
      <w:r w:rsidRPr="000C4F35">
        <w:rPr>
          <w:rFonts w:eastAsia="Arial Unicode MS"/>
          <w:noProof/>
          <w:u w:color="000000"/>
          <w:bdr w:val="nil"/>
          <w:lang w:eastAsia="en-GB"/>
        </w:rPr>
        <w:tab/>
        <w:t>Fundamental rights</w:t>
      </w:r>
    </w:p>
    <w:p w14:paraId="253AE33A" w14:textId="77777777" w:rsidR="00470D07" w:rsidRPr="000C4F35" w:rsidRDefault="00403E1E"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The EU is committed to high standards of protection of fundamental rights and is signatory to a broad set of conventions on human rights. In this context, the proposal is not likely to have a direct impact on these rights, as listed in the main United Nations conventions on human rights, the Charter of Fundamental Rights of the European Union which is an integral part of the EU Treaties, and the European Convention on Human Rights. </w:t>
      </w:r>
    </w:p>
    <w:p w14:paraId="5F2BE3DD" w14:textId="77777777" w:rsidR="00470D07" w:rsidRPr="000C4F35" w:rsidRDefault="00470D07" w:rsidP="00685329">
      <w:pPr>
        <w:pStyle w:val="ManualHeading1"/>
        <w:rPr>
          <w:noProof/>
        </w:rPr>
      </w:pPr>
      <w:r w:rsidRPr="000C4F35">
        <w:rPr>
          <w:noProof/>
        </w:rPr>
        <w:t>4.</w:t>
      </w:r>
      <w:r w:rsidRPr="000C4F35">
        <w:rPr>
          <w:noProof/>
        </w:rPr>
        <w:tab/>
        <w:t>BUDGETARY IMPLICATIONS</w:t>
      </w:r>
    </w:p>
    <w:p w14:paraId="31D16D2D" w14:textId="77777777" w:rsidR="00403E1E" w:rsidRPr="000C4F35" w:rsidRDefault="00403E1E"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The proposal will have no implications for the budget of the Union.</w:t>
      </w:r>
    </w:p>
    <w:p w14:paraId="4A5633A9" w14:textId="77777777" w:rsidR="00403E1E" w:rsidRPr="000C4F35" w:rsidRDefault="00403E1E"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ESMA would mainly be impacted by the participation to colleges, the development or update of 5 technical standards and the management of the process for the notification by third-country CSDs of their EU activities. The latter would however be a small one-off cost. The </w:t>
      </w:r>
      <w:r w:rsidR="004011B5" w:rsidRPr="000C4F35">
        <w:rPr>
          <w:rFonts w:eastAsia="Arial Unicode MS"/>
          <w:noProof/>
          <w:color w:val="000000"/>
          <w:szCs w:val="24"/>
          <w:u w:color="000000"/>
          <w:bdr w:val="nil"/>
          <w:lang w:eastAsia="en-GB"/>
        </w:rPr>
        <w:t xml:space="preserve">simplification </w:t>
      </w:r>
      <w:r w:rsidRPr="000C4F35">
        <w:rPr>
          <w:rFonts w:eastAsia="Arial Unicode MS"/>
          <w:noProof/>
          <w:color w:val="000000"/>
          <w:szCs w:val="24"/>
          <w:u w:color="000000"/>
          <w:bdr w:val="nil"/>
          <w:lang w:eastAsia="en-GB"/>
        </w:rPr>
        <w:t>of the passporting procedure would nevertheless alleviate ESMA’s costs as the passporting requirements would be simpler and clearer. Furthermore, a clear determination of transactions falling within the scope of the settlement discipline regime would also lessen the administrative burden on ESMA related to replying to Q&amp;As. Moreover, the adaptation in the periodicity of the reports that ESMA is required to submit to the Commission will further reduce the administrative burden imposed on the Authority. ESMA would also benefit from some of the preferred policy options which would strengthen the supervisory environment, in particular the notification process for third-country CSDs.</w:t>
      </w:r>
    </w:p>
    <w:p w14:paraId="6808ABD7" w14:textId="77777777" w:rsidR="00470D07" w:rsidRPr="000C4F35" w:rsidRDefault="00403E1E"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The proposed tasks for ESMA will therefore not require the establishment of additional posts and can be carried out with existing resources. The same is also true for the EBA that will be required to develop one technical standard determining the threshold below which CSDs may use credit institutions for the provision of banking-type ancillary services.</w:t>
      </w:r>
    </w:p>
    <w:p w14:paraId="2FB541F4" w14:textId="77777777" w:rsidR="00470D07" w:rsidRPr="000C4F35" w:rsidRDefault="00470D07" w:rsidP="00685329">
      <w:pPr>
        <w:pStyle w:val="ManualHeading1"/>
        <w:rPr>
          <w:noProof/>
        </w:rPr>
      </w:pPr>
      <w:r w:rsidRPr="000C4F35">
        <w:rPr>
          <w:noProof/>
        </w:rPr>
        <w:t>5.</w:t>
      </w:r>
      <w:r w:rsidRPr="000C4F35">
        <w:rPr>
          <w:noProof/>
        </w:rPr>
        <w:tab/>
        <w:t>OTHER ELEMENTS</w:t>
      </w:r>
    </w:p>
    <w:p w14:paraId="57B0083A" w14:textId="77777777" w:rsidR="00470D07" w:rsidRPr="000C4F35" w:rsidRDefault="00470D07" w:rsidP="00685329">
      <w:pPr>
        <w:pStyle w:val="ManualHeading2"/>
        <w:rPr>
          <w:rFonts w:eastAsia="Arial Unicode MS"/>
          <w:noProof/>
          <w:u w:color="000000"/>
          <w:bdr w:val="nil"/>
          <w:lang w:eastAsia="en-GB"/>
        </w:rPr>
      </w:pPr>
      <w:r w:rsidRPr="000C4F35">
        <w:rPr>
          <w:rFonts w:eastAsia="Arial Unicode MS"/>
          <w:noProof/>
          <w:u w:color="000000"/>
          <w:bdr w:val="nil"/>
          <w:lang w:eastAsia="en-GB"/>
        </w:rPr>
        <w:t>•</w:t>
      </w:r>
      <w:r w:rsidRPr="000C4F35">
        <w:rPr>
          <w:rFonts w:eastAsia="Arial Unicode MS"/>
          <w:noProof/>
          <w:u w:color="000000"/>
          <w:bdr w:val="nil"/>
          <w:lang w:eastAsia="en-GB"/>
        </w:rPr>
        <w:tab/>
        <w:t>Implementation plans and monitoring, evaluation and reporting arrangements</w:t>
      </w:r>
    </w:p>
    <w:p w14:paraId="17388A11" w14:textId="77777777" w:rsidR="00403E1E" w:rsidRPr="000C4F35" w:rsidRDefault="00403E1E"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The proposal includes a requirement that the Commission reports to the European Parliament and to the Council on the application of CSDR in its entirety, with a focus on its effectiveness and efficiency in meeting its objectives (i.e. improve the efficiency and safety of EU settlement markets). </w:t>
      </w:r>
      <w:r w:rsidR="00EE071B" w:rsidRPr="000C4F35">
        <w:rPr>
          <w:rFonts w:eastAsia="Arial Unicode MS"/>
          <w:noProof/>
          <w:color w:val="000000"/>
          <w:szCs w:val="24"/>
          <w:u w:color="000000"/>
          <w:bdr w:val="nil"/>
          <w:lang w:eastAsia="en-GB"/>
        </w:rPr>
        <w:t>When doing so, t</w:t>
      </w:r>
      <w:r w:rsidRPr="000C4F35">
        <w:rPr>
          <w:rFonts w:eastAsia="Arial Unicode MS"/>
          <w:noProof/>
          <w:color w:val="000000"/>
          <w:szCs w:val="24"/>
          <w:u w:color="000000"/>
          <w:bdr w:val="nil"/>
          <w:lang w:eastAsia="en-GB"/>
        </w:rPr>
        <w:t xml:space="preserve">he Commission should consider all aspects of CSDR, including whether there are other substantive barriers to competition in relation to the services subject to this Regulation which should be addressed, the need to apply further measures to improve settlement efficiency and the potential need for further measures to limit the impact on taxpayers of the failure of CSDs. </w:t>
      </w:r>
    </w:p>
    <w:p w14:paraId="6F155E5A" w14:textId="77777777" w:rsidR="00470D07" w:rsidRPr="000C4F35" w:rsidRDefault="00403E1E" w:rsidP="00685329">
      <w:pPr>
        <w:pBdr>
          <w:top w:val="nil"/>
          <w:left w:val="nil"/>
          <w:bottom w:val="nil"/>
          <w:right w:val="nil"/>
          <w:between w:val="nil"/>
          <w:bar w:val="nil"/>
        </w:pBd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In principle, this evaluation should take place within five years after the entry into force of these amendments. Input would also be required from ESMA as well as national authorities and central banks. Statistical data for the analysis should be sought primarily from ESMA.</w:t>
      </w:r>
    </w:p>
    <w:p w14:paraId="21D19B08" w14:textId="77777777" w:rsidR="00470D07" w:rsidRPr="000C4F35" w:rsidRDefault="00470D07" w:rsidP="00685329">
      <w:pPr>
        <w:pStyle w:val="ManualHeading2"/>
        <w:rPr>
          <w:rFonts w:eastAsia="Arial Unicode MS"/>
          <w:noProof/>
          <w:u w:color="000000"/>
          <w:bdr w:val="nil"/>
          <w:lang w:eastAsia="en-GB"/>
        </w:rPr>
      </w:pPr>
      <w:r w:rsidRPr="000C4F35">
        <w:rPr>
          <w:rFonts w:eastAsia="Arial Unicode MS"/>
          <w:noProof/>
          <w:u w:color="000000"/>
          <w:bdr w:val="nil"/>
          <w:lang w:eastAsia="en-GB"/>
        </w:rPr>
        <w:t>•</w:t>
      </w:r>
      <w:r w:rsidRPr="000C4F35">
        <w:rPr>
          <w:rFonts w:eastAsia="Arial Unicode MS"/>
          <w:noProof/>
          <w:u w:color="000000"/>
          <w:bdr w:val="nil"/>
          <w:lang w:eastAsia="en-GB"/>
        </w:rPr>
        <w:tab/>
        <w:t>Detailed explanation of the specific provisions of the proposal</w:t>
      </w:r>
    </w:p>
    <w:p w14:paraId="013550F6" w14:textId="77777777" w:rsidR="00403E1E" w:rsidRPr="000C4F35" w:rsidRDefault="00403E1E" w:rsidP="00685329">
      <w:pPr>
        <w:pStyle w:val="ManualHeading3"/>
        <w:rPr>
          <w:noProof/>
          <w:u w:color="000000"/>
          <w:bdr w:val="nil"/>
          <w:lang w:eastAsia="en-GB"/>
        </w:rPr>
      </w:pPr>
      <w:r w:rsidRPr="000C4F35">
        <w:rPr>
          <w:noProof/>
          <w:u w:color="000000"/>
          <w:bdr w:val="nil"/>
          <w:lang w:eastAsia="en-GB"/>
        </w:rPr>
        <w:t>5.2.1 Definitions</w:t>
      </w:r>
      <w:r w:rsidRPr="000C4F35">
        <w:rPr>
          <w:noProof/>
          <w:u w:color="000000"/>
          <w:bdr w:val="nil"/>
          <w:lang w:eastAsia="en-GB"/>
        </w:rPr>
        <w:tab/>
      </w:r>
    </w:p>
    <w:p w14:paraId="756F92AE" w14:textId="77777777" w:rsidR="00403E1E" w:rsidRPr="000C4F35" w:rsidRDefault="00403E1E" w:rsidP="00685329">
      <w:pP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Article 1(1) introduces a definition of the notion of </w:t>
      </w:r>
      <w:r w:rsidR="000F0ECD">
        <w:rPr>
          <w:noProof/>
          <w:szCs w:val="24"/>
        </w:rPr>
        <w:t>group of undertakings</w:t>
      </w:r>
      <w:r w:rsidRPr="000C4F35">
        <w:rPr>
          <w:noProof/>
          <w:szCs w:val="24"/>
        </w:rPr>
        <w:t xml:space="preserve">, in line with the </w:t>
      </w:r>
      <w:r w:rsidR="000F0ECD">
        <w:rPr>
          <w:noProof/>
          <w:szCs w:val="24"/>
        </w:rPr>
        <w:t>definition in Regulation (EU) No 2019/2033</w:t>
      </w:r>
      <w:r w:rsidRPr="000C4F35">
        <w:rPr>
          <w:noProof/>
          <w:szCs w:val="24"/>
        </w:rPr>
        <w:t xml:space="preserve">. </w:t>
      </w:r>
    </w:p>
    <w:p w14:paraId="545B0895" w14:textId="77777777" w:rsidR="00403E1E" w:rsidRPr="000C4F35" w:rsidRDefault="00403E1E" w:rsidP="00685329">
      <w:pPr>
        <w:pStyle w:val="ManualHeading3"/>
        <w:rPr>
          <w:noProof/>
          <w:u w:color="000000"/>
          <w:bdr w:val="nil"/>
          <w:lang w:eastAsia="en-GB"/>
        </w:rPr>
      </w:pPr>
      <w:r w:rsidRPr="000C4F35">
        <w:rPr>
          <w:noProof/>
          <w:u w:color="000000"/>
          <w:bdr w:val="nil"/>
          <w:lang w:eastAsia="en-GB"/>
        </w:rPr>
        <w:t>5.2.2 Settlement discipline regime</w:t>
      </w:r>
    </w:p>
    <w:p w14:paraId="43652CBF" w14:textId="77777777" w:rsidR="00403E1E" w:rsidRPr="000C4F35" w:rsidRDefault="00403E1E" w:rsidP="00685329">
      <w:pPr>
        <w:spacing w:after="240"/>
        <w:rPr>
          <w:noProof/>
          <w:szCs w:val="24"/>
        </w:rPr>
      </w:pPr>
      <w:r w:rsidRPr="000C4F35">
        <w:rPr>
          <w:noProof/>
          <w:szCs w:val="24"/>
        </w:rPr>
        <w:t>Article 1(2) introduces amendments to the settlement discipline regime.</w:t>
      </w:r>
    </w:p>
    <w:p w14:paraId="1B727574" w14:textId="1471C687" w:rsidR="00403E1E" w:rsidRPr="000C4F35" w:rsidRDefault="00403E1E" w:rsidP="00685329">
      <w:pPr>
        <w:spacing w:after="240"/>
        <w:rPr>
          <w:noProof/>
          <w:szCs w:val="24"/>
        </w:rPr>
      </w:pPr>
      <w:r w:rsidRPr="000C4F35">
        <w:rPr>
          <w:noProof/>
          <w:szCs w:val="24"/>
        </w:rPr>
        <w:t xml:space="preserve">In point (a), amendments to Article 7(2) of CSDR provide that in situations where a settlement fail is caused by factors </w:t>
      </w:r>
      <w:r w:rsidR="00A44394">
        <w:rPr>
          <w:noProof/>
          <w:szCs w:val="24"/>
        </w:rPr>
        <w:t>not attributable to</w:t>
      </w:r>
      <w:r w:rsidRPr="000C4F35">
        <w:rPr>
          <w:noProof/>
          <w:szCs w:val="24"/>
        </w:rPr>
        <w:t xml:space="preserve"> the participants to the transaction or where a transaction does not involve two trading parties, such settlement fail is not subject to the penalty mechanism. </w:t>
      </w:r>
      <w:r w:rsidR="000F0ECD">
        <w:rPr>
          <w:noProof/>
          <w:szCs w:val="24"/>
        </w:rPr>
        <w:t>It also specifies that cash penalties should be calculated</w:t>
      </w:r>
      <w:r w:rsidR="004C3198">
        <w:rPr>
          <w:noProof/>
          <w:szCs w:val="24"/>
        </w:rPr>
        <w:t xml:space="preserve"> </w:t>
      </w:r>
      <w:r w:rsidR="000F0ECD">
        <w:rPr>
          <w:noProof/>
          <w:szCs w:val="24"/>
        </w:rPr>
        <w:t xml:space="preserve">either until the end of the buy-in process if the Commission has adopted the relevant implementing act or </w:t>
      </w:r>
      <w:r w:rsidR="00FF699C">
        <w:rPr>
          <w:noProof/>
          <w:szCs w:val="24"/>
        </w:rPr>
        <w:t xml:space="preserve">until </w:t>
      </w:r>
      <w:r w:rsidR="000F0ECD">
        <w:rPr>
          <w:noProof/>
          <w:szCs w:val="24"/>
        </w:rPr>
        <w:t xml:space="preserve">the actual settlement date, whichever is earlier. </w:t>
      </w:r>
    </w:p>
    <w:p w14:paraId="1110A35B" w14:textId="77777777" w:rsidR="000F0ECD" w:rsidRPr="000C4F35" w:rsidRDefault="000F0ECD">
      <w:pPr>
        <w:spacing w:after="240"/>
        <w:rPr>
          <w:noProof/>
          <w:szCs w:val="24"/>
        </w:rPr>
      </w:pPr>
      <w:r>
        <w:rPr>
          <w:noProof/>
          <w:szCs w:val="24"/>
        </w:rPr>
        <w:t>Point (b) introduces a new paragraph 2a according to which the Commission may adopt an implementing act, according with the examination procedure set out in Regulation (EU) No 182/2011, deciding to apply mandatory buy-ins to certain financial instruments or categories of transactions mandatory buy-ins should apply. The Commission may take that decision where it considers</w:t>
      </w:r>
      <w:r w:rsidR="00FB7B72">
        <w:rPr>
          <w:noProof/>
        </w:rPr>
        <w:t xml:space="preserve"> </w:t>
      </w:r>
      <w:r w:rsidR="00FB7B72" w:rsidRPr="00FB7B72">
        <w:rPr>
          <w:noProof/>
          <w:szCs w:val="24"/>
        </w:rPr>
        <w:t>that those measures constitute a proportionate means to address the level of settlement fails in the Union and that</w:t>
      </w:r>
      <w:r w:rsidR="008F299C">
        <w:rPr>
          <w:noProof/>
          <w:szCs w:val="24"/>
        </w:rPr>
        <w:t>,</w:t>
      </w:r>
      <w:r>
        <w:rPr>
          <w:noProof/>
          <w:szCs w:val="24"/>
        </w:rPr>
        <w:t xml:space="preserve"> based on the number and volume of settlement fails, certain conditions set out in that provision are met.</w:t>
      </w:r>
      <w:r w:rsidDel="000F0ECD">
        <w:rPr>
          <w:noProof/>
          <w:szCs w:val="24"/>
        </w:rPr>
        <w:t xml:space="preserve"> </w:t>
      </w:r>
    </w:p>
    <w:p w14:paraId="4657A716" w14:textId="6BD9DE77" w:rsidR="00403E1E" w:rsidRPr="000C4F35" w:rsidRDefault="00403E1E" w:rsidP="00685329">
      <w:pPr>
        <w:spacing w:after="240"/>
        <w:rPr>
          <w:noProof/>
          <w:szCs w:val="24"/>
        </w:rPr>
      </w:pPr>
      <w:r w:rsidRPr="000C4F35">
        <w:rPr>
          <w:noProof/>
          <w:szCs w:val="24"/>
        </w:rPr>
        <w:t>In point (</w:t>
      </w:r>
      <w:r w:rsidR="005313D1">
        <w:rPr>
          <w:noProof/>
          <w:szCs w:val="24"/>
        </w:rPr>
        <w:t>c</w:t>
      </w:r>
      <w:r w:rsidRPr="000C4F35">
        <w:rPr>
          <w:noProof/>
          <w:szCs w:val="24"/>
        </w:rPr>
        <w:t xml:space="preserve">), the amendment to Article 7(3) of CSDR specifies </w:t>
      </w:r>
      <w:r w:rsidR="005313D1">
        <w:rPr>
          <w:noProof/>
          <w:szCs w:val="24"/>
        </w:rPr>
        <w:t>when</w:t>
      </w:r>
      <w:r w:rsidR="009D3ABE">
        <w:rPr>
          <w:noProof/>
          <w:szCs w:val="24"/>
        </w:rPr>
        <w:t>,</w:t>
      </w:r>
      <w:r w:rsidR="005313D1">
        <w:rPr>
          <w:noProof/>
          <w:szCs w:val="24"/>
        </w:rPr>
        <w:t xml:space="preserve"> the buy-in process shall be initiated</w:t>
      </w:r>
      <w:r w:rsidR="009D3ABE">
        <w:rPr>
          <w:noProof/>
          <w:szCs w:val="24"/>
        </w:rPr>
        <w:t xml:space="preserve"> where the Commission has adopted an implementing act pursuant to Article 7(2a)</w:t>
      </w:r>
      <w:r w:rsidR="005313D1">
        <w:rPr>
          <w:noProof/>
          <w:szCs w:val="24"/>
        </w:rPr>
        <w:t xml:space="preserve"> and</w:t>
      </w:r>
      <w:r w:rsidRPr="000C4F35">
        <w:rPr>
          <w:noProof/>
          <w:szCs w:val="24"/>
        </w:rPr>
        <w:t xml:space="preserve"> that the extension period for financial instruments traded on an SME growth market is calculated on the basis of calendar days. </w:t>
      </w:r>
    </w:p>
    <w:p w14:paraId="2BB1C658" w14:textId="4C60B9E0" w:rsidR="00403E1E" w:rsidRPr="000C4F35" w:rsidRDefault="00403E1E" w:rsidP="00685329">
      <w:pPr>
        <w:spacing w:after="240"/>
        <w:rPr>
          <w:noProof/>
          <w:szCs w:val="24"/>
        </w:rPr>
      </w:pPr>
      <w:r w:rsidRPr="000C4F35">
        <w:rPr>
          <w:noProof/>
          <w:szCs w:val="24"/>
        </w:rPr>
        <w:t>Point (</w:t>
      </w:r>
      <w:r w:rsidR="005313D1">
        <w:rPr>
          <w:noProof/>
          <w:szCs w:val="24"/>
        </w:rPr>
        <w:t>d</w:t>
      </w:r>
      <w:r w:rsidRPr="000C4F35">
        <w:rPr>
          <w:noProof/>
          <w:szCs w:val="24"/>
        </w:rPr>
        <w:t>) introduces a new paragraph 3a in Article 7 of CSDR to explain how the pass-on mechanism will work. A pass-on mechanism will prevent a cascade of failed settlements each requiring a separate buy-in process by allowing each participant in the transaction chain to pass-on a buy-in notification to the failing participant such that only one buy-in is necessary to resolve the whole chain of transactions.</w:t>
      </w:r>
      <w:r>
        <w:rPr>
          <w:noProof/>
          <w:szCs w:val="24"/>
        </w:rPr>
        <w:t xml:space="preserve"> </w:t>
      </w:r>
      <w:r w:rsidR="00B124EE">
        <w:rPr>
          <w:noProof/>
          <w:szCs w:val="24"/>
        </w:rPr>
        <w:t>This pass-on mechanism can then be replicated contractually between the participants and their clients until the ultimate buyers and sellers.</w:t>
      </w:r>
      <w:r w:rsidRPr="000C4F35">
        <w:rPr>
          <w:noProof/>
          <w:szCs w:val="24"/>
        </w:rPr>
        <w:t xml:space="preserve"> </w:t>
      </w:r>
    </w:p>
    <w:p w14:paraId="5E12DF28" w14:textId="77777777" w:rsidR="00403E1E" w:rsidRPr="000C4F35" w:rsidRDefault="00403E1E" w:rsidP="00685329">
      <w:pPr>
        <w:spacing w:after="240"/>
        <w:rPr>
          <w:noProof/>
          <w:szCs w:val="24"/>
        </w:rPr>
      </w:pPr>
      <w:r w:rsidRPr="000C4F35">
        <w:rPr>
          <w:noProof/>
          <w:szCs w:val="24"/>
        </w:rPr>
        <w:t>Point (</w:t>
      </w:r>
      <w:r w:rsidR="005313D1">
        <w:rPr>
          <w:noProof/>
          <w:szCs w:val="24"/>
        </w:rPr>
        <w:t>e</w:t>
      </w:r>
      <w:r w:rsidRPr="000C4F35">
        <w:rPr>
          <w:noProof/>
          <w:szCs w:val="24"/>
        </w:rPr>
        <w:t xml:space="preserve">) amends Article 7(4) of CSDR providing that in </w:t>
      </w:r>
      <w:r w:rsidR="0027637B" w:rsidRPr="000C4F35">
        <w:rPr>
          <w:noProof/>
          <w:szCs w:val="24"/>
        </w:rPr>
        <w:t>situations</w:t>
      </w:r>
      <w:r w:rsidRPr="000C4F35">
        <w:rPr>
          <w:noProof/>
          <w:szCs w:val="24"/>
        </w:rPr>
        <w:t xml:space="preserve"> where a settlement fail is caused by factors </w:t>
      </w:r>
      <w:r w:rsidR="00A44394">
        <w:rPr>
          <w:noProof/>
          <w:szCs w:val="24"/>
        </w:rPr>
        <w:t>not attributable</w:t>
      </w:r>
      <w:r w:rsidR="00A44394" w:rsidRPr="000C4F35">
        <w:rPr>
          <w:noProof/>
          <w:szCs w:val="24"/>
        </w:rPr>
        <w:t xml:space="preserve"> </w:t>
      </w:r>
      <w:r w:rsidRPr="000C4F35">
        <w:rPr>
          <w:noProof/>
          <w:szCs w:val="24"/>
        </w:rPr>
        <w:t xml:space="preserve">to the participants to the transaction or where a transaction does not involve two trading parties, such settlement fail is not subject to the mandatory buy-in mechanism. </w:t>
      </w:r>
    </w:p>
    <w:p w14:paraId="1507DC6C" w14:textId="77777777" w:rsidR="00403E1E" w:rsidRPr="000C4F35" w:rsidRDefault="00403E1E" w:rsidP="00685329">
      <w:pPr>
        <w:spacing w:after="240"/>
        <w:rPr>
          <w:noProof/>
          <w:szCs w:val="24"/>
        </w:rPr>
      </w:pPr>
      <w:r w:rsidRPr="000C4F35">
        <w:rPr>
          <w:noProof/>
          <w:szCs w:val="24"/>
        </w:rPr>
        <w:t>Point (</w:t>
      </w:r>
      <w:r w:rsidR="005313D1">
        <w:rPr>
          <w:noProof/>
          <w:szCs w:val="24"/>
        </w:rPr>
        <w:t>f</w:t>
      </w:r>
      <w:r w:rsidRPr="000C4F35">
        <w:rPr>
          <w:noProof/>
          <w:szCs w:val="24"/>
        </w:rPr>
        <w:t>) amends Article 7(6) of CSDR introducing symmetry of payments between the buyer and the seller in case the economic terms of the transaction at execution of the buy-in differ from the or</w:t>
      </w:r>
      <w:r w:rsidR="00386E44" w:rsidRPr="000C4F35">
        <w:rPr>
          <w:noProof/>
          <w:szCs w:val="24"/>
        </w:rPr>
        <w:t>i</w:t>
      </w:r>
      <w:r w:rsidRPr="000C4F35">
        <w:rPr>
          <w:noProof/>
          <w:szCs w:val="24"/>
        </w:rPr>
        <w:t xml:space="preserve">ginal transaction. The objective is to ensure that the buy-in restores the parties to the </w:t>
      </w:r>
      <w:r w:rsidR="0027637B" w:rsidRPr="000C4F35">
        <w:rPr>
          <w:noProof/>
          <w:szCs w:val="24"/>
        </w:rPr>
        <w:t>transaction</w:t>
      </w:r>
      <w:r w:rsidRPr="000C4F35">
        <w:rPr>
          <w:noProof/>
          <w:szCs w:val="24"/>
        </w:rPr>
        <w:t xml:space="preserve"> to the same economic position had the original transaction taken place. </w:t>
      </w:r>
    </w:p>
    <w:p w14:paraId="699FDB5F" w14:textId="77777777" w:rsidR="00403E1E" w:rsidRPr="000C4F35" w:rsidRDefault="00403E1E" w:rsidP="00685329">
      <w:pPr>
        <w:spacing w:after="240"/>
        <w:rPr>
          <w:noProof/>
          <w:szCs w:val="24"/>
        </w:rPr>
      </w:pPr>
      <w:r w:rsidRPr="000C4F35">
        <w:rPr>
          <w:noProof/>
          <w:szCs w:val="24"/>
        </w:rPr>
        <w:t>Point (</w:t>
      </w:r>
      <w:r w:rsidR="005313D1">
        <w:rPr>
          <w:noProof/>
          <w:szCs w:val="24"/>
        </w:rPr>
        <w:t>g</w:t>
      </w:r>
      <w:r w:rsidRPr="000C4F35">
        <w:rPr>
          <w:noProof/>
          <w:szCs w:val="24"/>
        </w:rPr>
        <w:t xml:space="preserve">), amends Article 7(11) of CSDR clarifying that the exemption to the settlement discipline requirements for CCPs only applies when the CCP interposes itself between counterparties. </w:t>
      </w:r>
      <w:r w:rsidR="00255322">
        <w:rPr>
          <w:noProof/>
          <w:szCs w:val="24"/>
        </w:rPr>
        <w:t xml:space="preserve">It also clarifies that </w:t>
      </w:r>
      <w:r w:rsidR="00255322">
        <w:rPr>
          <w:noProof/>
        </w:rPr>
        <w:t>i</w:t>
      </w:r>
      <w:r w:rsidR="00255322" w:rsidRPr="00456A9F">
        <w:rPr>
          <w:noProof/>
        </w:rPr>
        <w:t xml:space="preserve">f CCPs incur losses from the application of </w:t>
      </w:r>
      <w:r w:rsidR="00255322">
        <w:rPr>
          <w:noProof/>
        </w:rPr>
        <w:t>mandatory buy-ins, they</w:t>
      </w:r>
      <w:r w:rsidR="00255322" w:rsidRPr="00456A9F">
        <w:rPr>
          <w:noProof/>
        </w:rPr>
        <w:t xml:space="preserve"> may establish in </w:t>
      </w:r>
      <w:r w:rsidR="00255322">
        <w:rPr>
          <w:noProof/>
        </w:rPr>
        <w:t>their</w:t>
      </w:r>
      <w:r w:rsidR="00255322" w:rsidRPr="00456A9F">
        <w:rPr>
          <w:noProof/>
        </w:rPr>
        <w:t xml:space="preserve"> rules a mechanism to cover such losses</w:t>
      </w:r>
      <w:r w:rsidR="00255322">
        <w:rPr>
          <w:noProof/>
        </w:rPr>
        <w:t>.</w:t>
      </w:r>
    </w:p>
    <w:p w14:paraId="34AFB7EF" w14:textId="35C793C7" w:rsidR="00403E1E" w:rsidRPr="000C4F35" w:rsidRDefault="00403E1E" w:rsidP="00685329">
      <w:pPr>
        <w:spacing w:after="240"/>
        <w:rPr>
          <w:noProof/>
          <w:szCs w:val="24"/>
        </w:rPr>
      </w:pPr>
      <w:r w:rsidRPr="000C4F35">
        <w:rPr>
          <w:noProof/>
          <w:szCs w:val="24"/>
        </w:rPr>
        <w:t>Point (</w:t>
      </w:r>
      <w:r w:rsidR="005313D1">
        <w:rPr>
          <w:noProof/>
          <w:szCs w:val="24"/>
        </w:rPr>
        <w:t>h</w:t>
      </w:r>
      <w:r w:rsidRPr="000C4F35">
        <w:rPr>
          <w:noProof/>
          <w:szCs w:val="24"/>
        </w:rPr>
        <w:t>) introduces a new 13a in Article 7 of CSDR which confers to the Commission the power to suspend the buy-in mechanism for specific categories of financial instruments where necessary to avoid or address a serious threat to financial stability or to the orderly functioning of financial markets in the Union. This new</w:t>
      </w:r>
      <w:r w:rsidRPr="000C4F35" w:rsidDel="00886CC9">
        <w:rPr>
          <w:noProof/>
          <w:szCs w:val="24"/>
        </w:rPr>
        <w:t xml:space="preserve"> </w:t>
      </w:r>
      <w:r w:rsidRPr="000C4F35">
        <w:rPr>
          <w:noProof/>
          <w:szCs w:val="24"/>
        </w:rPr>
        <w:t>paragraph 13a sets out the procedure that should be followed by the Commission for such a suspension</w:t>
      </w:r>
      <w:r w:rsidR="005313D1">
        <w:rPr>
          <w:noProof/>
          <w:szCs w:val="24"/>
        </w:rPr>
        <w:t>, i.e. following a recommendation by ESMA after</w:t>
      </w:r>
      <w:r w:rsidRPr="000C4F35">
        <w:rPr>
          <w:noProof/>
          <w:szCs w:val="24"/>
        </w:rPr>
        <w:t xml:space="preserve"> </w:t>
      </w:r>
      <w:r w:rsidR="005313D1">
        <w:rPr>
          <w:noProof/>
          <w:szCs w:val="24"/>
        </w:rPr>
        <w:t>consulting</w:t>
      </w:r>
      <w:r w:rsidRPr="000C4F35">
        <w:rPr>
          <w:noProof/>
          <w:szCs w:val="24"/>
        </w:rPr>
        <w:t xml:space="preserve"> </w:t>
      </w:r>
      <w:r w:rsidR="005313D1">
        <w:rPr>
          <w:noProof/>
          <w:szCs w:val="24"/>
        </w:rPr>
        <w:t xml:space="preserve">the </w:t>
      </w:r>
      <w:r w:rsidRPr="000C4F35">
        <w:rPr>
          <w:noProof/>
          <w:szCs w:val="24"/>
        </w:rPr>
        <w:t>ESCB</w:t>
      </w:r>
      <w:r w:rsidR="005313D1">
        <w:rPr>
          <w:noProof/>
          <w:szCs w:val="24"/>
        </w:rPr>
        <w:t xml:space="preserve"> and the ESRB</w:t>
      </w:r>
      <w:r w:rsidRPr="000C4F35">
        <w:rPr>
          <w:noProof/>
          <w:szCs w:val="24"/>
        </w:rPr>
        <w:t xml:space="preserve">. It also specifies that such a suspension shall be valid for a maximum period of six months, renewable by periods of three months for a maximum total period of 12 months from the beginning of the suspension. </w:t>
      </w:r>
    </w:p>
    <w:p w14:paraId="54301F4B" w14:textId="77777777" w:rsidR="00403E1E" w:rsidRPr="000C4F35" w:rsidRDefault="00403E1E" w:rsidP="00685329">
      <w:pPr>
        <w:spacing w:after="240"/>
        <w:rPr>
          <w:noProof/>
          <w:szCs w:val="24"/>
        </w:rPr>
      </w:pPr>
      <w:r w:rsidRPr="000C4F35">
        <w:rPr>
          <w:noProof/>
          <w:szCs w:val="24"/>
        </w:rPr>
        <w:t xml:space="preserve">In </w:t>
      </w:r>
      <w:r w:rsidR="005313D1">
        <w:rPr>
          <w:noProof/>
          <w:szCs w:val="24"/>
        </w:rPr>
        <w:t>point</w:t>
      </w:r>
      <w:r w:rsidR="005313D1" w:rsidRPr="000C4F35">
        <w:rPr>
          <w:noProof/>
          <w:szCs w:val="24"/>
        </w:rPr>
        <w:t xml:space="preserve"> </w:t>
      </w:r>
      <w:r w:rsidRPr="000C4F35">
        <w:rPr>
          <w:noProof/>
          <w:szCs w:val="24"/>
        </w:rPr>
        <w:t>(</w:t>
      </w:r>
      <w:r w:rsidR="005313D1">
        <w:rPr>
          <w:noProof/>
          <w:szCs w:val="24"/>
        </w:rPr>
        <w:t>i</w:t>
      </w:r>
      <w:r w:rsidRPr="000C4F35">
        <w:rPr>
          <w:noProof/>
          <w:szCs w:val="24"/>
        </w:rPr>
        <w:t xml:space="preserve">), amendments to Article 7(14) of CSDR clarify that the delegated act of the Commission specifying the parameters for the calculation of a deterrent and proportionate level of the cash penalties shall take into account the effects of negative interest rates. </w:t>
      </w:r>
    </w:p>
    <w:p w14:paraId="552D676C" w14:textId="77777777" w:rsidR="00403E1E" w:rsidRPr="000C4F35" w:rsidRDefault="00403E1E" w:rsidP="00685329">
      <w:pPr>
        <w:spacing w:after="240"/>
        <w:rPr>
          <w:noProof/>
          <w:szCs w:val="24"/>
        </w:rPr>
      </w:pPr>
      <w:r w:rsidRPr="000C4F35">
        <w:rPr>
          <w:noProof/>
          <w:szCs w:val="24"/>
        </w:rPr>
        <w:t>Point (</w:t>
      </w:r>
      <w:r w:rsidR="005313D1">
        <w:rPr>
          <w:noProof/>
          <w:szCs w:val="24"/>
        </w:rPr>
        <w:t>j</w:t>
      </w:r>
      <w:r w:rsidRPr="000C4F35">
        <w:rPr>
          <w:noProof/>
          <w:szCs w:val="24"/>
        </w:rPr>
        <w:t xml:space="preserve">) introduces a new paragraph 14a in Article 7 of CSDR empowering the Commission to specify the situations where a settlement fail should be considered as being caused by factors </w:t>
      </w:r>
      <w:r w:rsidR="00A44394">
        <w:rPr>
          <w:noProof/>
          <w:szCs w:val="24"/>
        </w:rPr>
        <w:t>not attributable</w:t>
      </w:r>
      <w:r w:rsidR="00A44394" w:rsidRPr="000C4F35">
        <w:rPr>
          <w:noProof/>
          <w:szCs w:val="24"/>
        </w:rPr>
        <w:t xml:space="preserve"> </w:t>
      </w:r>
      <w:r w:rsidRPr="000C4F35">
        <w:rPr>
          <w:noProof/>
          <w:szCs w:val="24"/>
        </w:rPr>
        <w:t xml:space="preserve">to the participants and where a transaction does not involve two trading parties, as per the amendments introduced in paragraphs 2 and 4 of Article 7. </w:t>
      </w:r>
    </w:p>
    <w:p w14:paraId="49E578A5" w14:textId="77777777" w:rsidR="00403E1E" w:rsidRPr="000C4F35" w:rsidRDefault="00403E1E" w:rsidP="00685329">
      <w:pPr>
        <w:spacing w:after="240"/>
        <w:rPr>
          <w:noProof/>
          <w:szCs w:val="24"/>
        </w:rPr>
      </w:pPr>
      <w:r w:rsidRPr="000C4F35">
        <w:rPr>
          <w:noProof/>
          <w:szCs w:val="24"/>
        </w:rPr>
        <w:t>Point (</w:t>
      </w:r>
      <w:r w:rsidR="005313D1">
        <w:rPr>
          <w:noProof/>
          <w:szCs w:val="24"/>
        </w:rPr>
        <w:t>k</w:t>
      </w:r>
      <w:r w:rsidRPr="000C4F35">
        <w:rPr>
          <w:noProof/>
          <w:szCs w:val="24"/>
        </w:rPr>
        <w:t xml:space="preserve">), amends Article 7(15) of CSDR introducing a new date by which ESMA shall submit regulatory technical standards specifying those aspects of the settlement discipline regime listed in that same paragraph. This change of the date should allow ESMA to revise the regulatory technical standards to take into account the changes made to CSDR following this review and make any necessary amendments with a view to clarify the requirements set out in such regulatory technical standards, such as the conditions under which participants may execute their own buy-ins. </w:t>
      </w:r>
    </w:p>
    <w:p w14:paraId="01A2F220" w14:textId="509EAA60" w:rsidR="00403E1E" w:rsidRPr="000C4F35" w:rsidRDefault="00403E1E" w:rsidP="00685329">
      <w:pPr>
        <w:pStyle w:val="ManualHeading3"/>
        <w:rPr>
          <w:noProof/>
          <w:u w:color="000000"/>
          <w:bdr w:val="nil"/>
          <w:lang w:eastAsia="en-GB"/>
        </w:rPr>
      </w:pPr>
      <w:r w:rsidRPr="000C4F35">
        <w:rPr>
          <w:noProof/>
          <w:u w:color="000000"/>
          <w:bdr w:val="nil"/>
          <w:lang w:eastAsia="en-GB"/>
        </w:rPr>
        <w:t xml:space="preserve">5.2.3 Cooperation between competent authorities and relevant authorities, review and evaluation and recovery and orderly wind-down strategies. </w:t>
      </w:r>
    </w:p>
    <w:p w14:paraId="632F7457" w14:textId="35C1EDFA" w:rsidR="00403E1E" w:rsidRPr="000C4F35" w:rsidRDefault="00403E1E" w:rsidP="00652D5B">
      <w:pPr>
        <w:rPr>
          <w:rFonts w:eastAsia="Arial Unicode MS"/>
          <w:noProof/>
          <w:color w:val="000000"/>
          <w:u w:color="000000"/>
          <w:bdr w:val="nil"/>
          <w:lang w:eastAsia="en-GB"/>
        </w:rPr>
      </w:pPr>
      <w:r w:rsidRPr="000C4F35">
        <w:rPr>
          <w:noProof/>
        </w:rPr>
        <w:t xml:space="preserve">Article 1(3) amends paragraphs (b) and (c) of Article 12 of CSDR with a view to clarify that where a CSD does not carry out settlement activity before the beginning of the authorisation process, the criteria determining which relevant authorities should be involved in that process shall take into account the anticipated settlement activity. </w:t>
      </w:r>
    </w:p>
    <w:p w14:paraId="2E8F1FB7" w14:textId="255EAE8A" w:rsidR="00403E1E" w:rsidRPr="000C4F35" w:rsidRDefault="00403E1E" w:rsidP="00652D5B">
      <w:pPr>
        <w:rPr>
          <w:noProof/>
          <w:u w:color="000000"/>
          <w:bdr w:val="nil"/>
          <w:lang w:eastAsia="en-GB"/>
        </w:rPr>
      </w:pPr>
      <w:r w:rsidRPr="000C4F35">
        <w:rPr>
          <w:noProof/>
          <w:u w:color="000000"/>
          <w:bdr w:val="nil"/>
          <w:lang w:eastAsia="en-GB"/>
        </w:rPr>
        <w:t xml:space="preserve">Point </w:t>
      </w:r>
      <w:r w:rsidR="009C003C" w:rsidRPr="000C4F35">
        <w:rPr>
          <w:noProof/>
          <w:u w:color="000000"/>
          <w:bdr w:val="nil"/>
          <w:lang w:eastAsia="en-GB"/>
        </w:rPr>
        <w:t xml:space="preserve">(b) </w:t>
      </w:r>
      <w:r w:rsidRPr="000C4F35">
        <w:rPr>
          <w:noProof/>
          <w:u w:color="000000"/>
          <w:bdr w:val="nil"/>
          <w:lang w:eastAsia="en-GB"/>
        </w:rPr>
        <w:t>of Article 1(4) amends Article 17(4) of CSDR on the consultation of relevant authorities by competent authorities regarding the authorisation process for a CSD. In point (e) Article 1(</w:t>
      </w:r>
      <w:r w:rsidR="009C003C" w:rsidRPr="000C4F35">
        <w:rPr>
          <w:noProof/>
          <w:u w:color="000000"/>
          <w:bdr w:val="nil"/>
          <w:lang w:eastAsia="en-GB"/>
        </w:rPr>
        <w:t>6</w:t>
      </w:r>
      <w:r w:rsidRPr="000C4F35">
        <w:rPr>
          <w:noProof/>
          <w:u w:color="000000"/>
          <w:bdr w:val="nil"/>
          <w:lang w:eastAsia="en-GB"/>
        </w:rPr>
        <w:t xml:space="preserve">), introduces equivalent amendments to Article 22(6) of CSDR, on the consultation of relevant authorities by competent authorities regarding the review and evaluation process. </w:t>
      </w:r>
      <w:r w:rsidR="00F40AE6">
        <w:rPr>
          <w:noProof/>
          <w:u w:color="000000"/>
          <w:bdr w:val="nil"/>
          <w:lang w:eastAsia="en-GB"/>
        </w:rPr>
        <w:t>The</w:t>
      </w:r>
      <w:r w:rsidR="00F40AE6" w:rsidRPr="000C4F35">
        <w:rPr>
          <w:noProof/>
          <w:u w:color="000000"/>
          <w:bdr w:val="nil"/>
          <w:lang w:eastAsia="en-GB"/>
        </w:rPr>
        <w:t xml:space="preserve"> </w:t>
      </w:r>
      <w:r w:rsidRPr="000C4F35">
        <w:rPr>
          <w:noProof/>
          <w:u w:color="000000"/>
          <w:bdr w:val="nil"/>
          <w:lang w:eastAsia="en-GB"/>
        </w:rPr>
        <w:t>changes</w:t>
      </w:r>
      <w:r w:rsidR="00F40AE6">
        <w:rPr>
          <w:noProof/>
          <w:u w:color="000000"/>
          <w:bdr w:val="nil"/>
          <w:lang w:eastAsia="en-GB"/>
        </w:rPr>
        <w:t xml:space="preserve"> in </w:t>
      </w:r>
      <w:r w:rsidR="00AD3EF8">
        <w:rPr>
          <w:noProof/>
          <w:u w:color="000000"/>
          <w:bdr w:val="nil"/>
          <w:lang w:eastAsia="en-GB"/>
        </w:rPr>
        <w:t>A</w:t>
      </w:r>
      <w:r w:rsidR="00F40AE6">
        <w:rPr>
          <w:noProof/>
          <w:u w:color="000000"/>
          <w:bdr w:val="nil"/>
          <w:lang w:eastAsia="en-GB"/>
        </w:rPr>
        <w:t>rticles</w:t>
      </w:r>
      <w:r w:rsidR="00AD3EF8">
        <w:rPr>
          <w:noProof/>
          <w:u w:color="000000"/>
          <w:bdr w:val="nil"/>
          <w:lang w:eastAsia="en-GB"/>
        </w:rPr>
        <w:t xml:space="preserve"> 17(4) and 22(6) of CSDR</w:t>
      </w:r>
      <w:r w:rsidRPr="000C4F35">
        <w:rPr>
          <w:noProof/>
          <w:u w:color="000000"/>
          <w:bdr w:val="nil"/>
          <w:lang w:eastAsia="en-GB"/>
        </w:rPr>
        <w:t xml:space="preserve"> introduce a process whereby the consulted authorities may issue a reasoned opinion within three months of the receipt of the information by the competent authority. In case of negative opinion by one of the relevant authorities consulted, the competent authority shall address such negative opinion in a reasoned decision, which may again be subject to a negative opinion from the consulted authorities. </w:t>
      </w:r>
      <w:r w:rsidR="00A4625F">
        <w:rPr>
          <w:noProof/>
          <w:u w:color="000000"/>
          <w:bdr w:val="nil"/>
          <w:lang w:eastAsia="en-GB"/>
        </w:rPr>
        <w:t xml:space="preserve">If the competent authority disagrees with that negative opinion it will inform those authorities that objected and </w:t>
      </w:r>
      <w:r w:rsidRPr="000C4F35">
        <w:rPr>
          <w:noProof/>
          <w:u w:color="000000"/>
          <w:bdr w:val="nil"/>
          <w:lang w:eastAsia="en-GB"/>
        </w:rPr>
        <w:t xml:space="preserve">the </w:t>
      </w:r>
      <w:r w:rsidR="00A4625F">
        <w:rPr>
          <w:noProof/>
          <w:u w:color="000000"/>
          <w:bdr w:val="nil"/>
          <w:lang w:eastAsia="en-GB"/>
        </w:rPr>
        <w:t>latter</w:t>
      </w:r>
      <w:r w:rsidRPr="000C4F35">
        <w:rPr>
          <w:noProof/>
          <w:u w:color="000000"/>
          <w:bdr w:val="nil"/>
          <w:lang w:eastAsia="en-GB"/>
        </w:rPr>
        <w:t xml:space="preserve"> may refer</w:t>
      </w:r>
      <w:r w:rsidR="00A4625F">
        <w:rPr>
          <w:noProof/>
          <w:u w:color="000000"/>
          <w:bdr w:val="nil"/>
          <w:lang w:eastAsia="en-GB"/>
        </w:rPr>
        <w:t xml:space="preserve"> the matter</w:t>
      </w:r>
      <w:r w:rsidRPr="000C4F35">
        <w:rPr>
          <w:noProof/>
          <w:u w:color="000000"/>
          <w:bdr w:val="nil"/>
          <w:lang w:eastAsia="en-GB"/>
        </w:rPr>
        <w:t xml:space="preserve"> to ESMA</w:t>
      </w:r>
      <w:r w:rsidR="005454EB">
        <w:rPr>
          <w:noProof/>
          <w:u w:color="000000"/>
          <w:bdr w:val="nil"/>
          <w:lang w:eastAsia="en-GB"/>
        </w:rPr>
        <w:t>.</w:t>
      </w:r>
      <w:r w:rsidRPr="000C4F35">
        <w:rPr>
          <w:noProof/>
          <w:u w:color="000000"/>
          <w:bdr w:val="nil"/>
          <w:lang w:eastAsia="en-GB"/>
        </w:rPr>
        <w:t xml:space="preserve"> </w:t>
      </w:r>
      <w:r w:rsidR="00A4625F">
        <w:rPr>
          <w:noProof/>
          <w:u w:color="000000"/>
          <w:bdr w:val="nil"/>
          <w:lang w:eastAsia="en-GB"/>
        </w:rPr>
        <w:t>I</w:t>
      </w:r>
      <w:r w:rsidRPr="000C4F35">
        <w:rPr>
          <w:noProof/>
          <w:u w:color="000000"/>
          <w:bdr w:val="nil"/>
          <w:lang w:eastAsia="en-GB"/>
        </w:rPr>
        <w:t xml:space="preserve">f the matter is not resolved within 30 days after such referral, the competent authority shall take the final decision on the review and evaluation and provide a detailed explanation of its decision in writing to the relevant authorities. </w:t>
      </w:r>
    </w:p>
    <w:p w14:paraId="43C08EB7" w14:textId="77777777" w:rsidR="00403E1E" w:rsidRPr="000C4F35" w:rsidRDefault="00403E1E" w:rsidP="00685329">
      <w:pP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Point (</w:t>
      </w:r>
      <w:r w:rsidR="00A4625F">
        <w:rPr>
          <w:rFonts w:eastAsia="Arial Unicode MS"/>
          <w:noProof/>
          <w:color w:val="000000"/>
          <w:szCs w:val="24"/>
          <w:u w:color="000000"/>
          <w:bdr w:val="nil"/>
          <w:lang w:eastAsia="en-GB"/>
        </w:rPr>
        <w:t>c</w:t>
      </w:r>
      <w:r w:rsidRPr="000C4F35">
        <w:rPr>
          <w:rFonts w:eastAsia="Arial Unicode MS"/>
          <w:noProof/>
          <w:color w:val="000000"/>
          <w:szCs w:val="24"/>
          <w:u w:color="000000"/>
          <w:bdr w:val="nil"/>
          <w:lang w:eastAsia="en-GB"/>
        </w:rPr>
        <w:t xml:space="preserve">) of Article 1(4) inserts a new paragraph (7a) in Article 17 of CSDR to introduce new requirements for competent authorities to share information with other authorities, notably relevant authorities. </w:t>
      </w:r>
    </w:p>
    <w:p w14:paraId="4D2FD726" w14:textId="77777777" w:rsidR="00403E1E" w:rsidRPr="000C4F35" w:rsidRDefault="00403E1E" w:rsidP="00685329">
      <w:pP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Article 1(5) </w:t>
      </w:r>
      <w:r w:rsidR="00A4625F">
        <w:rPr>
          <w:rFonts w:eastAsia="Arial Unicode MS"/>
          <w:noProof/>
          <w:color w:val="000000"/>
          <w:szCs w:val="24"/>
          <w:u w:color="000000"/>
          <w:bdr w:val="nil"/>
          <w:lang w:eastAsia="en-GB"/>
        </w:rPr>
        <w:t>amends</w:t>
      </w:r>
      <w:r w:rsidRPr="000C4F35">
        <w:rPr>
          <w:rFonts w:eastAsia="Arial Unicode MS"/>
          <w:noProof/>
          <w:color w:val="000000"/>
          <w:szCs w:val="24"/>
          <w:u w:color="000000"/>
          <w:bdr w:val="nil"/>
          <w:lang w:eastAsia="en-GB"/>
        </w:rPr>
        <w:t xml:space="preserve"> Article 20</w:t>
      </w:r>
      <w:r w:rsidR="00A4625F">
        <w:rPr>
          <w:rFonts w:eastAsia="Arial Unicode MS"/>
          <w:noProof/>
          <w:color w:val="000000"/>
          <w:szCs w:val="24"/>
          <w:u w:color="000000"/>
          <w:bdr w:val="nil"/>
          <w:lang w:eastAsia="en-GB"/>
        </w:rPr>
        <w:t>(5)</w:t>
      </w:r>
      <w:r w:rsidRPr="000C4F35">
        <w:rPr>
          <w:rFonts w:eastAsia="Arial Unicode MS"/>
          <w:noProof/>
          <w:color w:val="000000"/>
          <w:szCs w:val="24"/>
          <w:u w:color="000000"/>
          <w:bdr w:val="nil"/>
          <w:lang w:eastAsia="en-GB"/>
        </w:rPr>
        <w:t xml:space="preserve"> of CSDR, clarifying that the procedures that the CSD must have in place in the event of a withdrawal of authorisation shall include the transfer of issuance accounts and records maintained for the provision of core services referred to in points 1 and 2 of Section A of the Annex. </w:t>
      </w:r>
    </w:p>
    <w:p w14:paraId="3F5DB062" w14:textId="4AA5688E" w:rsidR="00403E1E" w:rsidRPr="00D473D5" w:rsidRDefault="00403E1E" w:rsidP="00D473D5">
      <w:pPr>
        <w:spacing w:after="240"/>
        <w:rPr>
          <w:noProof/>
          <w:color w:val="000000"/>
          <w:u w:color="000000"/>
          <w:bdr w:val="nil"/>
        </w:rPr>
      </w:pPr>
      <w:r w:rsidRPr="000C4F35">
        <w:rPr>
          <w:rFonts w:eastAsia="Arial Unicode MS"/>
          <w:noProof/>
          <w:color w:val="000000"/>
          <w:szCs w:val="24"/>
          <w:u w:color="000000"/>
          <w:bdr w:val="nil"/>
          <w:lang w:eastAsia="en-GB"/>
        </w:rPr>
        <w:t>Article 1(6) amend paragraphs 1,</w:t>
      </w:r>
      <w:r w:rsidR="005454EB">
        <w:rPr>
          <w:rFonts w:eastAsia="Arial Unicode MS"/>
          <w:noProof/>
          <w:color w:val="000000"/>
          <w:szCs w:val="24"/>
          <w:u w:color="000000"/>
          <w:bdr w:val="nil"/>
          <w:lang w:eastAsia="en-GB"/>
        </w:rPr>
        <w:t xml:space="preserve"> 4 and 7 of Article 22 of CSDR </w:t>
      </w:r>
      <w:r w:rsidRPr="000C4F35">
        <w:rPr>
          <w:rFonts w:eastAsia="Arial Unicode MS"/>
          <w:noProof/>
          <w:color w:val="000000"/>
          <w:szCs w:val="24"/>
          <w:u w:color="000000"/>
          <w:bdr w:val="nil"/>
          <w:lang w:eastAsia="en-GB"/>
        </w:rPr>
        <w:t xml:space="preserve">with a view to change the periodicity of the review and evaluation process, from a yearly basis to every two years. </w:t>
      </w:r>
      <w:r w:rsidR="0058292F">
        <w:rPr>
          <w:rFonts w:eastAsia="Arial Unicode MS"/>
          <w:noProof/>
          <w:color w:val="000000"/>
          <w:szCs w:val="24"/>
          <w:u w:color="000000"/>
          <w:bdr w:val="nil"/>
          <w:lang w:eastAsia="en-GB"/>
        </w:rPr>
        <w:t>In addition, it</w:t>
      </w:r>
      <w:r w:rsidR="0058292F" w:rsidRPr="00267709">
        <w:rPr>
          <w:noProof/>
          <w:u w:color="000000"/>
          <w:bdr w:val="nil"/>
          <w:lang w:eastAsia="en-GB"/>
        </w:rPr>
        <w:t xml:space="preserve"> </w:t>
      </w:r>
      <w:r w:rsidRPr="00267709">
        <w:rPr>
          <w:noProof/>
          <w:u w:color="000000"/>
          <w:bdr w:val="nil"/>
          <w:lang w:eastAsia="en-GB"/>
        </w:rPr>
        <w:t>amend</w:t>
      </w:r>
      <w:r w:rsidR="0058292F" w:rsidRPr="00267709">
        <w:rPr>
          <w:noProof/>
          <w:u w:color="000000"/>
          <w:bdr w:val="nil"/>
          <w:lang w:eastAsia="en-GB"/>
        </w:rPr>
        <w:t>s</w:t>
      </w:r>
      <w:r w:rsidRPr="00D473D5">
        <w:rPr>
          <w:noProof/>
          <w:u w:color="000000"/>
          <w:bdr w:val="nil"/>
        </w:rPr>
        <w:t xml:space="preserve"> paragraphs 2 and 3 of Arti</w:t>
      </w:r>
      <w:r w:rsidR="005454EB">
        <w:rPr>
          <w:noProof/>
          <w:u w:color="000000"/>
          <w:bdr w:val="nil"/>
        </w:rPr>
        <w:t xml:space="preserve">cle 22 of CSDR </w:t>
      </w:r>
      <w:r w:rsidRPr="00D473D5">
        <w:rPr>
          <w:noProof/>
          <w:u w:color="000000"/>
          <w:bdr w:val="nil"/>
        </w:rPr>
        <w:t xml:space="preserve">in order to clarify how CSDs should prepare to face scenarios that may potentially prevent them from being able to provide their critical operations and services as a going concern. The requirement to draw resolution plans is removed since it is deemed unclear and no </w:t>
      </w:r>
      <w:r w:rsidR="0058292F" w:rsidRPr="00E4531D">
        <w:rPr>
          <w:noProof/>
          <w:u w:color="000000"/>
          <w:bdr w:val="nil"/>
          <w:lang w:eastAsia="en-GB"/>
        </w:rPr>
        <w:t>Union</w:t>
      </w:r>
      <w:r w:rsidR="0058292F" w:rsidRPr="00D473D5">
        <w:rPr>
          <w:noProof/>
          <w:u w:color="000000"/>
          <w:bdr w:val="nil"/>
        </w:rPr>
        <w:t xml:space="preserve"> </w:t>
      </w:r>
      <w:r w:rsidRPr="00D473D5">
        <w:rPr>
          <w:noProof/>
          <w:u w:color="000000"/>
          <w:bdr w:val="nil"/>
        </w:rPr>
        <w:t xml:space="preserve">resolution regime on the basis of which a resolution plan could be drafted currently exists. Instead, the revised paragraph 2 requires CSDs to prepare and submit to the competent authority appropriate plans for their recovery or orderly wind-down. The revised paragraph 3 specifies the minimum content of the plans referred to in paragraph 2 as well as the periodicity for the review and update of such plans (at least every two years). It also clarifies that such plans shall have regard to the size, systemic importance, nature, scale and complexity of the activities of the CSD concerned and any relevant recovery or resolution plan established in accordance with the BRRD. The changes to paragraph 3 do not affect the requirement for competent authorities to inform ESMA where a resolution plan is established and maintained for a CSD. This can be the case due to national </w:t>
      </w:r>
      <w:r w:rsidR="0027637B" w:rsidRPr="00D473D5">
        <w:rPr>
          <w:noProof/>
          <w:color w:val="000000"/>
          <w:u w:color="000000"/>
          <w:bdr w:val="nil"/>
        </w:rPr>
        <w:t>legislation</w:t>
      </w:r>
      <w:r w:rsidRPr="00D473D5">
        <w:rPr>
          <w:noProof/>
          <w:color w:val="000000"/>
          <w:u w:color="000000"/>
          <w:bdr w:val="nil"/>
        </w:rPr>
        <w:t xml:space="preserve"> or the requirement to comply with other pieces of EU legislation such as the BRRD. </w:t>
      </w:r>
    </w:p>
    <w:p w14:paraId="084488CE" w14:textId="7C14FAB8" w:rsidR="00403E1E" w:rsidRPr="000C4F35" w:rsidRDefault="00403E1E" w:rsidP="00652D5B">
      <w:pPr>
        <w:rPr>
          <w:noProof/>
        </w:rPr>
      </w:pPr>
      <w:r w:rsidRPr="000C4F35">
        <w:rPr>
          <w:rFonts w:eastAsia="Arial Unicode MS"/>
          <w:noProof/>
          <w:color w:val="000000"/>
          <w:u w:color="000000"/>
          <w:bdr w:val="nil"/>
          <w:lang w:eastAsia="en-GB"/>
        </w:rPr>
        <w:t>Point (</w:t>
      </w:r>
      <w:r w:rsidR="0058292F">
        <w:rPr>
          <w:rFonts w:eastAsia="Arial Unicode MS"/>
          <w:noProof/>
          <w:color w:val="000000"/>
          <w:u w:color="000000"/>
          <w:bdr w:val="nil"/>
          <w:lang w:eastAsia="en-GB"/>
        </w:rPr>
        <w:t>c</w:t>
      </w:r>
      <w:r w:rsidRPr="000C4F35">
        <w:rPr>
          <w:rFonts w:eastAsia="Arial Unicode MS"/>
          <w:noProof/>
          <w:color w:val="000000"/>
          <w:u w:color="000000"/>
          <w:bdr w:val="nil"/>
          <w:lang w:eastAsia="en-GB"/>
        </w:rPr>
        <w:t>) of Article 1(6)</w:t>
      </w:r>
      <w:r w:rsidRPr="000C4F35">
        <w:rPr>
          <w:noProof/>
        </w:rPr>
        <w:t xml:space="preserve"> amends Article 22(11) of CSDR by introducing a new date by which ESMA shall submit draft regulatory technical standards to the Commission to specify standard forms, templates and procedures for the review and evaluation. This change of the date should allow ESMA to adapt, where necessary, the regulatory technical standards to the changes made to CSDR following this initiative. </w:t>
      </w:r>
    </w:p>
    <w:p w14:paraId="4840FB36" w14:textId="6AE52EEB" w:rsidR="00403E1E" w:rsidRPr="000C4F35" w:rsidRDefault="00403E1E" w:rsidP="00652D5B">
      <w:pPr>
        <w:rPr>
          <w:noProof/>
        </w:rPr>
      </w:pPr>
      <w:r w:rsidRPr="000C4F35">
        <w:rPr>
          <w:noProof/>
        </w:rPr>
        <w:t>Finally, Article 1(18) amends Article 55 of CSDR in order to extend the deadline within which relevant authorities and competent authorities can issue a reasoned opinion on the authorisation to provide banking-type ancillary from one months to two months. Indeed, the one</w:t>
      </w:r>
      <w:r w:rsidR="009C003C" w:rsidRPr="000C4F35">
        <w:rPr>
          <w:noProof/>
        </w:rPr>
        <w:t>-</w:t>
      </w:r>
      <w:r w:rsidRPr="000C4F35">
        <w:rPr>
          <w:noProof/>
        </w:rPr>
        <w:t xml:space="preserve">month deadline is too short for the issuance of such an opinion. </w:t>
      </w:r>
    </w:p>
    <w:p w14:paraId="7FF21F2E" w14:textId="77777777" w:rsidR="00403E1E" w:rsidRPr="000C4F35" w:rsidRDefault="00403E1E" w:rsidP="00685329">
      <w:pPr>
        <w:pStyle w:val="ManualHeading3"/>
        <w:rPr>
          <w:noProof/>
          <w:u w:color="000000"/>
          <w:bdr w:val="nil"/>
          <w:lang w:eastAsia="en-GB"/>
        </w:rPr>
      </w:pPr>
      <w:r w:rsidRPr="000C4F35">
        <w:rPr>
          <w:noProof/>
          <w:u w:color="000000"/>
          <w:bdr w:val="nil"/>
          <w:lang w:eastAsia="en-GB"/>
        </w:rPr>
        <w:t>5.2.4 Passporting regime and corporate or similar law of the Member State under which the securities are constituted</w:t>
      </w:r>
    </w:p>
    <w:p w14:paraId="06A31C61" w14:textId="77777777" w:rsidR="00403E1E" w:rsidRPr="000C4F35" w:rsidRDefault="00403E1E" w:rsidP="00685329">
      <w:pP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Article 1(15) amends the second subparagraph of Article 49(1) of CSDR</w:t>
      </w:r>
      <w:r w:rsidR="009C003C" w:rsidRPr="000C4F35">
        <w:rPr>
          <w:rFonts w:eastAsia="Arial Unicode MS"/>
          <w:noProof/>
          <w:color w:val="000000"/>
          <w:szCs w:val="24"/>
          <w:u w:color="000000"/>
          <w:bdr w:val="nil"/>
          <w:lang w:eastAsia="en-GB"/>
        </w:rPr>
        <w:t xml:space="preserve"> </w:t>
      </w:r>
      <w:r w:rsidRPr="000C4F35">
        <w:rPr>
          <w:rFonts w:eastAsia="Arial Unicode MS"/>
          <w:noProof/>
          <w:color w:val="000000"/>
          <w:szCs w:val="24"/>
          <w:u w:color="000000"/>
          <w:bdr w:val="nil"/>
          <w:lang w:eastAsia="en-GB"/>
        </w:rPr>
        <w:t xml:space="preserve">with a view to clarify that the corporate or similar law of the Member State under which the securities are constituted and which shall continue to apply in the context of cross-border issuances of securities includes both: (i) the corporate or similar law of the Member State where the issuer is established and (ii) where different, the governing corporate or similar law under which the securities are issued. This covers notably the case of bonds issued by an issuer located in one Member State but contractually subject to the law of another Member State. Article 1(15) also amends </w:t>
      </w:r>
      <w:r w:rsidR="009C003C" w:rsidRPr="000C4F35">
        <w:rPr>
          <w:rFonts w:eastAsia="Arial Unicode MS"/>
          <w:noProof/>
          <w:color w:val="000000"/>
          <w:szCs w:val="24"/>
          <w:u w:color="000000"/>
          <w:bdr w:val="nil"/>
          <w:lang w:eastAsia="en-GB"/>
        </w:rPr>
        <w:t xml:space="preserve">the third subparagraph of </w:t>
      </w:r>
      <w:r w:rsidRPr="000C4F35">
        <w:rPr>
          <w:rFonts w:eastAsia="Arial Unicode MS"/>
          <w:noProof/>
          <w:color w:val="000000"/>
          <w:szCs w:val="24"/>
          <w:u w:color="000000"/>
          <w:bdr w:val="nil"/>
          <w:lang w:eastAsia="en-GB"/>
        </w:rPr>
        <w:t xml:space="preserve">Article 49(3) of CSDR to include a requirement for Member States to update the list of relevant provisions on a regular basis. </w:t>
      </w:r>
    </w:p>
    <w:p w14:paraId="3A8461AC" w14:textId="77777777" w:rsidR="00403E1E" w:rsidRPr="000C4F35" w:rsidRDefault="00403E1E" w:rsidP="00685329">
      <w:pP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Article 1(7) amends Article 23 of CSDR in order to clarify the following aspects of the passporting process. </w:t>
      </w:r>
    </w:p>
    <w:p w14:paraId="03A3D250" w14:textId="77777777" w:rsidR="00403E1E" w:rsidRPr="000C4F35" w:rsidRDefault="00403E1E" w:rsidP="00685329">
      <w:pP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First, </w:t>
      </w:r>
      <w:r w:rsidR="00BE56F4">
        <w:rPr>
          <w:rFonts w:eastAsia="Arial Unicode MS"/>
          <w:noProof/>
          <w:color w:val="000000"/>
          <w:szCs w:val="24"/>
          <w:u w:color="000000"/>
          <w:bdr w:val="nil"/>
          <w:lang w:eastAsia="en-GB"/>
        </w:rPr>
        <w:t xml:space="preserve">it </w:t>
      </w:r>
      <w:r w:rsidRPr="000C4F35">
        <w:rPr>
          <w:rFonts w:eastAsia="Arial Unicode MS"/>
          <w:noProof/>
          <w:color w:val="000000"/>
          <w:szCs w:val="24"/>
          <w:u w:color="000000"/>
          <w:bdr w:val="nil"/>
          <w:lang w:eastAsia="en-GB"/>
        </w:rPr>
        <w:t>adapt</w:t>
      </w:r>
      <w:r w:rsidR="00BE56F4">
        <w:rPr>
          <w:rFonts w:eastAsia="Arial Unicode MS"/>
          <w:noProof/>
          <w:color w:val="000000"/>
          <w:szCs w:val="24"/>
          <w:u w:color="000000"/>
          <w:bdr w:val="nil"/>
          <w:lang w:eastAsia="en-GB"/>
        </w:rPr>
        <w:t>s</w:t>
      </w:r>
      <w:r w:rsidRPr="000C4F35">
        <w:rPr>
          <w:rFonts w:eastAsia="Arial Unicode MS"/>
          <w:noProof/>
          <w:color w:val="000000"/>
          <w:szCs w:val="24"/>
          <w:u w:color="000000"/>
          <w:bdr w:val="nil"/>
          <w:lang w:eastAsia="en-GB"/>
        </w:rPr>
        <w:t xml:space="preserve"> the cross-reference to the second subparagraph of Article 49(1), </w:t>
      </w:r>
      <w:r w:rsidR="009C003C" w:rsidRPr="000C4F35">
        <w:rPr>
          <w:rFonts w:eastAsia="Arial Unicode MS"/>
          <w:noProof/>
          <w:color w:val="000000"/>
          <w:szCs w:val="24"/>
          <w:u w:color="000000"/>
          <w:bdr w:val="nil"/>
          <w:lang w:eastAsia="en-GB"/>
        </w:rPr>
        <w:t xml:space="preserve">in </w:t>
      </w:r>
      <w:r w:rsidRPr="000C4F35">
        <w:rPr>
          <w:rFonts w:eastAsia="Arial Unicode MS"/>
          <w:noProof/>
          <w:color w:val="000000"/>
          <w:szCs w:val="24"/>
          <w:u w:color="000000"/>
          <w:bdr w:val="nil"/>
          <w:lang w:eastAsia="en-GB"/>
        </w:rPr>
        <w:t xml:space="preserve">paragraphs (2) and (3) of Article 23, such that a CSD wishing to provide notary or central maintenance services in relation to financial instruments constituted under the law of another Member State shall take into account both the law of the Member State where the issuer is established and, where different, the governing corporate or similar law under which the securities are issued. </w:t>
      </w:r>
    </w:p>
    <w:p w14:paraId="3EC7FDD6" w14:textId="77777777" w:rsidR="00403E1E" w:rsidRPr="000C4F35" w:rsidRDefault="00F52E04" w:rsidP="00685329">
      <w:pPr>
        <w:spacing w:after="240"/>
        <w:rPr>
          <w:rFonts w:eastAsia="Arial Unicode MS"/>
          <w:noProof/>
          <w:color w:val="000000"/>
          <w:szCs w:val="24"/>
          <w:u w:color="000000"/>
          <w:bdr w:val="nil"/>
          <w:lang w:eastAsia="en-GB"/>
        </w:rPr>
      </w:pPr>
      <w:r>
        <w:rPr>
          <w:rFonts w:eastAsia="Arial Unicode MS"/>
          <w:noProof/>
          <w:color w:val="000000"/>
          <w:szCs w:val="24"/>
          <w:u w:color="000000"/>
          <w:bdr w:val="nil"/>
          <w:lang w:eastAsia="en-GB"/>
        </w:rPr>
        <w:t xml:space="preserve">Second, it </w:t>
      </w:r>
      <w:r w:rsidR="00403E1E" w:rsidRPr="000C4F35">
        <w:rPr>
          <w:rFonts w:eastAsia="Arial Unicode MS"/>
          <w:noProof/>
          <w:color w:val="000000"/>
          <w:szCs w:val="24"/>
          <w:u w:color="000000"/>
          <w:bdr w:val="nil"/>
          <w:lang w:eastAsia="en-GB"/>
        </w:rPr>
        <w:t>amends Article 23(2) of CSDR to allow new CSDs to proceed with a passporting request in parallel with an authorisation application, so that they may start their cross-border activity from the date of authorisation by their home competent authority</w:t>
      </w:r>
      <w:r w:rsidR="000D29AE">
        <w:rPr>
          <w:rFonts w:eastAsia="Arial Unicode MS"/>
          <w:noProof/>
          <w:color w:val="000000"/>
          <w:szCs w:val="24"/>
          <w:u w:color="000000"/>
          <w:bdr w:val="nil"/>
          <w:lang w:eastAsia="en-GB"/>
        </w:rPr>
        <w:t xml:space="preserve"> provided that at least one month has passed </w:t>
      </w:r>
      <w:r w:rsidR="000D29AE" w:rsidRPr="000D29AE">
        <w:rPr>
          <w:rFonts w:eastAsia="Arial Unicode MS"/>
          <w:noProof/>
          <w:color w:val="000000"/>
          <w:szCs w:val="24"/>
          <w:u w:color="000000"/>
          <w:bdr w:val="nil"/>
          <w:lang w:eastAsia="en-GB"/>
        </w:rPr>
        <w:t>from the date of the communication of the passporting request by the home competent authority to the host competent authority</w:t>
      </w:r>
      <w:r w:rsidR="00403E1E" w:rsidRPr="000C4F35">
        <w:rPr>
          <w:rFonts w:eastAsia="Arial Unicode MS"/>
          <w:noProof/>
          <w:color w:val="000000"/>
          <w:szCs w:val="24"/>
          <w:u w:color="000000"/>
          <w:bdr w:val="nil"/>
          <w:lang w:eastAsia="en-GB"/>
        </w:rPr>
        <w:t>.</w:t>
      </w:r>
    </w:p>
    <w:p w14:paraId="1961CC1E" w14:textId="77777777" w:rsidR="00F52E04" w:rsidRDefault="00F52E04" w:rsidP="00685329">
      <w:pPr>
        <w:spacing w:after="240"/>
        <w:rPr>
          <w:rFonts w:eastAsia="Arial Unicode MS"/>
          <w:noProof/>
          <w:color w:val="000000"/>
          <w:szCs w:val="24"/>
          <w:u w:color="000000"/>
          <w:bdr w:val="nil"/>
          <w:lang w:eastAsia="en-GB"/>
        </w:rPr>
      </w:pPr>
      <w:r>
        <w:rPr>
          <w:rFonts w:eastAsia="Arial Unicode MS"/>
          <w:noProof/>
          <w:color w:val="000000"/>
          <w:szCs w:val="24"/>
          <w:u w:color="000000"/>
          <w:bdr w:val="nil"/>
          <w:lang w:eastAsia="en-GB"/>
        </w:rPr>
        <w:t xml:space="preserve">Third, it amends Article 23(3), point (e) of CSDR to clarify that a CSD requesting a passport should always provide an </w:t>
      </w:r>
      <w:r w:rsidRPr="000C4F35">
        <w:rPr>
          <w:noProof/>
        </w:rPr>
        <w:t xml:space="preserve">assessment of the measures </w:t>
      </w:r>
      <w:r>
        <w:rPr>
          <w:noProof/>
        </w:rPr>
        <w:t>it</w:t>
      </w:r>
      <w:r w:rsidRPr="000C4F35">
        <w:rPr>
          <w:noProof/>
        </w:rPr>
        <w:t xml:space="preserve"> intends to take to allow its users to comply with the national law referred to in Article 49(1)</w:t>
      </w:r>
      <w:r>
        <w:rPr>
          <w:noProof/>
        </w:rPr>
        <w:t xml:space="preserve">. </w:t>
      </w:r>
    </w:p>
    <w:p w14:paraId="57E0586A" w14:textId="77777777" w:rsidR="00403E1E" w:rsidRPr="000C4F35" w:rsidRDefault="00F52E04" w:rsidP="00685329">
      <w:pPr>
        <w:spacing w:after="240"/>
        <w:rPr>
          <w:rFonts w:eastAsia="Arial Unicode MS"/>
          <w:noProof/>
          <w:color w:val="000000"/>
          <w:szCs w:val="24"/>
          <w:u w:color="000000"/>
          <w:bdr w:val="nil"/>
          <w:lang w:eastAsia="en-GB"/>
        </w:rPr>
      </w:pPr>
      <w:r>
        <w:rPr>
          <w:rFonts w:eastAsia="Arial Unicode MS"/>
          <w:noProof/>
          <w:color w:val="000000"/>
          <w:szCs w:val="24"/>
          <w:u w:color="000000"/>
          <w:bdr w:val="nil"/>
          <w:lang w:eastAsia="en-GB"/>
        </w:rPr>
        <w:t>Fourth</w:t>
      </w:r>
      <w:r w:rsidR="00403E1E" w:rsidRPr="000C4F35">
        <w:rPr>
          <w:rFonts w:eastAsia="Arial Unicode MS"/>
          <w:noProof/>
          <w:color w:val="000000"/>
          <w:szCs w:val="24"/>
          <w:u w:color="000000"/>
          <w:bdr w:val="nil"/>
          <w:lang w:eastAsia="en-GB"/>
        </w:rPr>
        <w:t xml:space="preserve">, </w:t>
      </w:r>
      <w:r>
        <w:rPr>
          <w:rFonts w:eastAsia="Arial Unicode MS"/>
          <w:noProof/>
          <w:color w:val="000000"/>
          <w:szCs w:val="24"/>
          <w:u w:color="000000"/>
          <w:bdr w:val="nil"/>
          <w:lang w:eastAsia="en-GB"/>
        </w:rPr>
        <w:t>it</w:t>
      </w:r>
      <w:r w:rsidR="00403E1E" w:rsidRPr="000C4F35">
        <w:rPr>
          <w:rFonts w:eastAsia="Arial Unicode MS"/>
          <w:noProof/>
          <w:color w:val="000000"/>
          <w:szCs w:val="24"/>
          <w:u w:color="000000"/>
          <w:bdr w:val="nil"/>
          <w:lang w:eastAsia="en-GB"/>
        </w:rPr>
        <w:t xml:space="preserve"> amends Article 23(</w:t>
      </w:r>
      <w:r w:rsidR="009C003C" w:rsidRPr="000C4F35">
        <w:rPr>
          <w:rFonts w:eastAsia="Arial Unicode MS"/>
          <w:noProof/>
          <w:color w:val="000000"/>
          <w:szCs w:val="24"/>
          <w:u w:color="000000"/>
          <w:bdr w:val="nil"/>
          <w:lang w:eastAsia="en-GB"/>
        </w:rPr>
        <w:t>4</w:t>
      </w:r>
      <w:r w:rsidR="00403E1E" w:rsidRPr="000C4F35">
        <w:rPr>
          <w:rFonts w:eastAsia="Arial Unicode MS"/>
          <w:noProof/>
          <w:color w:val="000000"/>
          <w:szCs w:val="24"/>
          <w:u w:color="000000"/>
          <w:bdr w:val="nil"/>
          <w:lang w:eastAsia="en-GB"/>
        </w:rPr>
        <w:t xml:space="preserve">) of CSDR, to shorten the period of time under which a home competent authority shall communicate the passporting request to the host competent authority. </w:t>
      </w:r>
    </w:p>
    <w:p w14:paraId="54ACB937" w14:textId="77777777" w:rsidR="00403E1E" w:rsidRPr="000C4F35" w:rsidRDefault="00F52E04" w:rsidP="00685329">
      <w:pPr>
        <w:spacing w:after="240"/>
        <w:rPr>
          <w:rFonts w:eastAsia="Arial Unicode MS"/>
          <w:noProof/>
          <w:color w:val="000000"/>
          <w:szCs w:val="24"/>
          <w:u w:color="000000"/>
          <w:bdr w:val="nil"/>
          <w:lang w:eastAsia="en-GB"/>
        </w:rPr>
      </w:pPr>
      <w:r>
        <w:rPr>
          <w:rFonts w:eastAsia="Arial Unicode MS"/>
          <w:noProof/>
          <w:color w:val="000000"/>
          <w:szCs w:val="24"/>
          <w:u w:color="000000"/>
          <w:bdr w:val="nil"/>
          <w:lang w:eastAsia="en-GB"/>
        </w:rPr>
        <w:t>Fifth</w:t>
      </w:r>
      <w:r w:rsidR="00403E1E" w:rsidRPr="000C4F35">
        <w:rPr>
          <w:rFonts w:eastAsia="Arial Unicode MS"/>
          <w:noProof/>
          <w:color w:val="000000"/>
          <w:szCs w:val="24"/>
          <w:u w:color="000000"/>
          <w:bdr w:val="nil"/>
          <w:lang w:eastAsia="en-GB"/>
        </w:rPr>
        <w:t xml:space="preserve">, </w:t>
      </w:r>
      <w:r>
        <w:rPr>
          <w:rFonts w:eastAsia="Arial Unicode MS"/>
          <w:noProof/>
          <w:color w:val="000000"/>
          <w:szCs w:val="24"/>
          <w:u w:color="000000"/>
          <w:bdr w:val="nil"/>
          <w:lang w:eastAsia="en-GB"/>
        </w:rPr>
        <w:t>it</w:t>
      </w:r>
      <w:r w:rsidR="00403E1E" w:rsidRPr="000C4F35">
        <w:rPr>
          <w:rFonts w:eastAsia="Arial Unicode MS"/>
          <w:noProof/>
          <w:color w:val="000000"/>
          <w:szCs w:val="24"/>
          <w:u w:color="000000"/>
          <w:bdr w:val="nil"/>
          <w:lang w:eastAsia="en-GB"/>
        </w:rPr>
        <w:t xml:space="preserve"> amends Article 23(6) removing the possibility for a host competent authority to refuse a passporting request. Under the revised provision, the CSD may start providing services after one month from the date of the communication of the passporting request by the home competent authority to the host competent authority, or earlier if agreed upon by the host competent authority. </w:t>
      </w:r>
    </w:p>
    <w:p w14:paraId="014A639A" w14:textId="57B9BBA8" w:rsidR="00403E1E" w:rsidRPr="000C4F35" w:rsidRDefault="00652D5B" w:rsidP="00685329">
      <w:pPr>
        <w:pStyle w:val="ManualHeading3"/>
        <w:rPr>
          <w:noProof/>
          <w:u w:color="000000"/>
          <w:bdr w:val="nil"/>
          <w:lang w:eastAsia="en-GB"/>
        </w:rPr>
      </w:pPr>
      <w:r>
        <w:rPr>
          <w:noProof/>
          <w:u w:color="000000"/>
          <w:bdr w:val="nil"/>
          <w:lang w:eastAsia="en-GB"/>
        </w:rPr>
        <w:tab/>
      </w:r>
      <w:r w:rsidR="00403E1E" w:rsidRPr="000C4F35">
        <w:rPr>
          <w:noProof/>
          <w:u w:color="000000"/>
          <w:bdr w:val="nil"/>
          <w:lang w:eastAsia="en-GB"/>
        </w:rPr>
        <w:t>5.2.5 Colleges of supervisors</w:t>
      </w:r>
    </w:p>
    <w:p w14:paraId="1DDBBEA6" w14:textId="77777777" w:rsidR="00403E1E" w:rsidRPr="000C4F35" w:rsidRDefault="00403E1E" w:rsidP="00685329">
      <w:pP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Article 1(9) introduces Article 24a in CSDR as part of a new Section 4a in Title III on the cooperation of authorities through colleges, requiring the establishment of colleges of supervisors in two cases:</w:t>
      </w:r>
    </w:p>
    <w:p w14:paraId="122DA686" w14:textId="6F5D9DB0" w:rsidR="00403E1E" w:rsidRPr="005454EB" w:rsidRDefault="001678E4" w:rsidP="001678E4">
      <w:pPr>
        <w:pStyle w:val="Point1"/>
        <w:rPr>
          <w:noProof/>
          <w:u w:color="000000"/>
          <w:bdr w:val="nil"/>
          <w:lang w:eastAsia="en-GB"/>
        </w:rPr>
      </w:pPr>
      <w:r w:rsidRPr="001678E4">
        <w:t>(a)</w:t>
      </w:r>
      <w:r w:rsidRPr="001678E4">
        <w:tab/>
      </w:r>
      <w:r w:rsidR="00403E1E" w:rsidRPr="005454EB">
        <w:rPr>
          <w:noProof/>
          <w:u w:color="000000"/>
          <w:bdr w:val="nil"/>
          <w:lang w:eastAsia="en-GB"/>
        </w:rPr>
        <w:t>where a CSD is subject to the passporting procedure of Article 23(3) to (7), i.e. the so-called “passporting college”; or</w:t>
      </w:r>
    </w:p>
    <w:p w14:paraId="7C5A14D7" w14:textId="341A488A" w:rsidR="007902DF" w:rsidRPr="000C4F35" w:rsidRDefault="001678E4" w:rsidP="001678E4">
      <w:pPr>
        <w:pStyle w:val="Point1"/>
        <w:rPr>
          <w:noProof/>
          <w:u w:color="000000"/>
          <w:bdr w:val="nil"/>
          <w:lang w:eastAsia="en-GB"/>
        </w:rPr>
      </w:pPr>
      <w:r w:rsidRPr="001678E4">
        <w:t>(b)</w:t>
      </w:r>
      <w:r w:rsidRPr="001678E4">
        <w:tab/>
      </w:r>
      <w:r w:rsidR="007902DF" w:rsidRPr="000C4F35">
        <w:rPr>
          <w:noProof/>
          <w:u w:color="000000"/>
          <w:bdr w:val="nil"/>
          <w:lang w:eastAsia="en-GB"/>
        </w:rPr>
        <w:t>where a CSD is part of a corporate group comprising two or more CSDs</w:t>
      </w:r>
      <w:r w:rsidR="00D0153A">
        <w:rPr>
          <w:noProof/>
          <w:u w:color="000000"/>
          <w:bdr w:val="nil"/>
          <w:lang w:eastAsia="en-GB"/>
        </w:rPr>
        <w:t xml:space="preserve"> authorised in at least two Member States</w:t>
      </w:r>
      <w:r w:rsidR="007902DF" w:rsidRPr="000C4F35">
        <w:rPr>
          <w:noProof/>
          <w:u w:color="000000"/>
          <w:bdr w:val="nil"/>
          <w:lang w:eastAsia="en-GB"/>
        </w:rPr>
        <w:t xml:space="preserve">, i.e. the so-called “group-level college”. </w:t>
      </w:r>
    </w:p>
    <w:p w14:paraId="26DE8078" w14:textId="77777777" w:rsidR="00403E1E" w:rsidRPr="000C4F35" w:rsidRDefault="00403E1E" w:rsidP="00685329">
      <w:pP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Where a CSD subject to the passporting procedure of Article 23(3) to (7) is also part of a corporate group that comprises at least another CSD, it should be possible to establish only one college for that CSD rather than two separate colleges (i.e. a separate passporting college and a separate group-level college), to ensure synergies and avoid unnecessary administrative burden on the authorities involved. </w:t>
      </w:r>
    </w:p>
    <w:p w14:paraId="40F33D4E" w14:textId="4668FDD9" w:rsidR="00403E1E" w:rsidRPr="000C4F35" w:rsidRDefault="00403E1E" w:rsidP="00685329">
      <w:pP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The establishment of only one college should </w:t>
      </w:r>
      <w:r w:rsidR="00413E24">
        <w:rPr>
          <w:rFonts w:eastAsia="Arial Unicode MS"/>
          <w:noProof/>
          <w:color w:val="000000"/>
          <w:szCs w:val="24"/>
          <w:u w:color="000000"/>
          <w:bdr w:val="nil"/>
          <w:lang w:eastAsia="en-GB"/>
        </w:rPr>
        <w:t xml:space="preserve">also </w:t>
      </w:r>
      <w:r w:rsidRPr="000C4F35">
        <w:rPr>
          <w:rFonts w:eastAsia="Arial Unicode MS"/>
          <w:noProof/>
          <w:color w:val="000000"/>
          <w:szCs w:val="24"/>
          <w:u w:color="000000"/>
          <w:bdr w:val="nil"/>
          <w:lang w:eastAsia="en-GB"/>
        </w:rPr>
        <w:t xml:space="preserve">be possible where the other CSDs within the group are subject to the passporting procedure, to avoid a situation where there are multiple passporting colleges and a separate group-level college for CSDs that are part of the same group and which, in many cases, have common procedures, share resources, assessments of the measures they have put in place to ensure compliance with host Member State laws where they provide services cross-border etc. Nonetheless, where those other CSDs within the group are also subject to the passporting procedure, the establishment of just one college for the whole group shall be possible only with the agreement of those CSDs’ competent authorities. </w:t>
      </w:r>
    </w:p>
    <w:p w14:paraId="4E83BEA3" w14:textId="77777777" w:rsidR="00403E1E" w:rsidRPr="000C4F35" w:rsidRDefault="00403E1E" w:rsidP="00685329">
      <w:pP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In addition, Article 24a establishes the rules on the determination of the chair especially for the group-level college, the composition of the colleges and their tasks to ensure a coherent supervisory approach across the EU. ESMA is empowered to develop draft regulatory technical standards specifying the practical arrangements for the operation of colleges.</w:t>
      </w:r>
    </w:p>
    <w:p w14:paraId="2F35633C" w14:textId="77777777" w:rsidR="00403E1E" w:rsidRPr="000C4F35" w:rsidRDefault="00403E1E" w:rsidP="00685329">
      <w:pP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 xml:space="preserve">Finally, amendments are introduced throughout the Regulation to ensure that colleges are informed of important decisions taken in respect of CSDs (i.e. amendments to Article 22(7), paragraphs (4), (5) and (7) of Article 23, paragraphs (1) and (5) of Article 24, paragraphs (1) and (2) of Article 60 of CSDR.) </w:t>
      </w:r>
    </w:p>
    <w:p w14:paraId="2E2CBD7B" w14:textId="77777777" w:rsidR="00403E1E" w:rsidRPr="000C4F35" w:rsidRDefault="00403E1E" w:rsidP="00685329">
      <w:pPr>
        <w:pStyle w:val="ManualHeading3"/>
        <w:rPr>
          <w:noProof/>
          <w:u w:color="000000"/>
          <w:bdr w:val="nil"/>
          <w:lang w:eastAsia="en-GB"/>
        </w:rPr>
      </w:pPr>
      <w:r w:rsidRPr="000C4F35">
        <w:rPr>
          <w:noProof/>
          <w:u w:color="000000"/>
          <w:bdr w:val="nil"/>
          <w:lang w:eastAsia="en-GB"/>
        </w:rPr>
        <w:tab/>
        <w:t>5.2.6 Third-country CSDs and end of the grandfathering clause</w:t>
      </w:r>
    </w:p>
    <w:p w14:paraId="056DD282" w14:textId="77777777" w:rsidR="00403E1E" w:rsidRPr="000C4F35" w:rsidRDefault="00403E1E" w:rsidP="00685329">
      <w:pP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Article 1(10) amends Article 25 of CSDR which sets out the framework for third-cou</w:t>
      </w:r>
      <w:r w:rsidR="004011B5" w:rsidRPr="000C4F35">
        <w:rPr>
          <w:rFonts w:eastAsia="Arial Unicode MS"/>
          <w:noProof/>
          <w:color w:val="000000"/>
          <w:szCs w:val="24"/>
          <w:u w:color="000000"/>
          <w:bdr w:val="nil"/>
          <w:lang w:eastAsia="en-GB"/>
        </w:rPr>
        <w:t>nt</w:t>
      </w:r>
      <w:r w:rsidRPr="000C4F35">
        <w:rPr>
          <w:rFonts w:eastAsia="Arial Unicode MS"/>
          <w:noProof/>
          <w:color w:val="000000"/>
          <w:szCs w:val="24"/>
          <w:u w:color="000000"/>
          <w:bdr w:val="nil"/>
          <w:lang w:eastAsia="en-GB"/>
        </w:rPr>
        <w:t xml:space="preserve">ry CSDs. Point (a) introduces a requirement for CSDs that </w:t>
      </w:r>
      <w:r w:rsidR="00D0153A">
        <w:rPr>
          <w:rFonts w:eastAsia="Arial Unicode MS"/>
          <w:noProof/>
          <w:color w:val="000000"/>
          <w:szCs w:val="24"/>
          <w:u w:color="000000"/>
          <w:bdr w:val="nil"/>
          <w:lang w:eastAsia="en-GB"/>
        </w:rPr>
        <w:t xml:space="preserve">intend to </w:t>
      </w:r>
      <w:r w:rsidRPr="000C4F35">
        <w:rPr>
          <w:rFonts w:eastAsia="Arial Unicode MS"/>
          <w:noProof/>
          <w:color w:val="000000"/>
          <w:szCs w:val="24"/>
          <w:u w:color="000000"/>
          <w:bdr w:val="nil"/>
          <w:lang w:eastAsia="en-GB"/>
        </w:rPr>
        <w:t>provide settlement services in relation to financial instruments constituted under the law of a Member State to submit a notification to ESMA, thereby addressing the lack of information in this regard at both national and EU level. Point (c) empowers ESMA to draft regulatory technical standards to specify the information that the third-country CSD shall provide to ESMA in that notification</w:t>
      </w:r>
      <w:r w:rsidR="00D0153A">
        <w:rPr>
          <w:rFonts w:eastAsia="Arial Unicode MS"/>
          <w:noProof/>
          <w:color w:val="000000"/>
          <w:szCs w:val="24"/>
          <w:u w:color="000000"/>
          <w:bdr w:val="nil"/>
          <w:lang w:eastAsia="en-GB"/>
        </w:rPr>
        <w:t xml:space="preserve">, </w:t>
      </w:r>
      <w:r w:rsidR="000625E0">
        <w:rPr>
          <w:rFonts w:eastAsia="Arial Unicode MS"/>
          <w:noProof/>
          <w:color w:val="000000"/>
          <w:szCs w:val="24"/>
          <w:u w:color="000000"/>
          <w:bdr w:val="nil"/>
          <w:lang w:eastAsia="en-GB"/>
        </w:rPr>
        <w:t>specifies that s</w:t>
      </w:r>
      <w:r w:rsidR="000625E0" w:rsidRPr="00E4531D">
        <w:rPr>
          <w:rFonts w:eastAsia="Arial Unicode MS"/>
          <w:noProof/>
          <w:color w:val="000000"/>
          <w:szCs w:val="24"/>
          <w:u w:color="000000"/>
          <w:bdr w:val="nil"/>
          <w:lang w:eastAsia="en-GB"/>
        </w:rPr>
        <w:t>uch information shall be limited to what is strictly necessary</w:t>
      </w:r>
      <w:r w:rsidR="000625E0">
        <w:rPr>
          <w:rFonts w:eastAsia="Arial Unicode MS"/>
          <w:noProof/>
          <w:color w:val="000000"/>
          <w:szCs w:val="24"/>
          <w:u w:color="000000"/>
          <w:bdr w:val="nil"/>
          <w:lang w:eastAsia="en-GB"/>
        </w:rPr>
        <w:t xml:space="preserve"> and provides a list of examples. </w:t>
      </w:r>
    </w:p>
    <w:p w14:paraId="613168E4" w14:textId="0B3A4936" w:rsidR="00403E1E" w:rsidRPr="000C4F35" w:rsidRDefault="00403E1E" w:rsidP="00685329">
      <w:pP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Point (b) of Article 1(10) amends the fifth subparagraph of Article 25(6) specifying that ESMA shall inform the</w:t>
      </w:r>
      <w:r w:rsidR="00FF699C">
        <w:rPr>
          <w:rFonts w:eastAsia="Arial Unicode MS"/>
          <w:noProof/>
          <w:color w:val="000000"/>
          <w:szCs w:val="24"/>
          <w:u w:color="000000"/>
          <w:bdr w:val="nil"/>
          <w:lang w:eastAsia="en-GB"/>
        </w:rPr>
        <w:t xml:space="preserve"> third-country</w:t>
      </w:r>
      <w:r w:rsidRPr="000C4F35">
        <w:rPr>
          <w:rFonts w:eastAsia="Arial Unicode MS"/>
          <w:noProof/>
          <w:color w:val="000000"/>
          <w:szCs w:val="24"/>
          <w:u w:color="000000"/>
          <w:bdr w:val="nil"/>
          <w:lang w:eastAsia="en-GB"/>
        </w:rPr>
        <w:t xml:space="preserve"> CSD</w:t>
      </w:r>
      <w:r w:rsidR="006B0223">
        <w:rPr>
          <w:rFonts w:eastAsia="Arial Unicode MS"/>
          <w:noProof/>
          <w:color w:val="000000"/>
          <w:szCs w:val="24"/>
          <w:u w:color="000000"/>
          <w:bdr w:val="nil"/>
          <w:lang w:eastAsia="en-GB"/>
        </w:rPr>
        <w:t xml:space="preserve"> applying</w:t>
      </w:r>
      <w:r w:rsidR="00FF699C">
        <w:rPr>
          <w:rFonts w:eastAsia="Arial Unicode MS"/>
          <w:noProof/>
          <w:color w:val="000000"/>
          <w:szCs w:val="24"/>
          <w:u w:color="000000"/>
          <w:bdr w:val="nil"/>
          <w:lang w:eastAsia="en-GB"/>
        </w:rPr>
        <w:t xml:space="preserve"> for recognition</w:t>
      </w:r>
      <w:r w:rsidR="006B0223">
        <w:rPr>
          <w:rFonts w:eastAsia="Arial Unicode MS"/>
          <w:noProof/>
          <w:color w:val="000000"/>
          <w:szCs w:val="24"/>
          <w:u w:color="000000"/>
          <w:bdr w:val="nil"/>
          <w:lang w:eastAsia="en-GB"/>
        </w:rPr>
        <w:t xml:space="preserve"> to provide notary or central maintenance services</w:t>
      </w:r>
      <w:r w:rsidRPr="000C4F35">
        <w:rPr>
          <w:rFonts w:eastAsia="Arial Unicode MS"/>
          <w:noProof/>
          <w:color w:val="000000"/>
          <w:szCs w:val="24"/>
          <w:u w:color="000000"/>
          <w:bdr w:val="nil"/>
          <w:lang w:eastAsia="en-GB"/>
        </w:rPr>
        <w:t xml:space="preserve"> in writing with a fully reasoned decision whether the recognition has been granted or refused within six months from the latter date between the submission of a complete application and the adoption of an equivalence decision by the Commission.</w:t>
      </w:r>
    </w:p>
    <w:p w14:paraId="3F91DE5A" w14:textId="0B611378" w:rsidR="00403E1E" w:rsidRPr="000C4F35" w:rsidRDefault="00403E1E" w:rsidP="00E06D33">
      <w:pPr>
        <w:spacing w:after="240"/>
        <w:rPr>
          <w:rFonts w:eastAsia="Arial Unicode MS"/>
          <w:noProof/>
          <w:color w:val="000000"/>
          <w:szCs w:val="24"/>
          <w:u w:color="000000"/>
          <w:bdr w:val="nil"/>
          <w:lang w:eastAsia="en-GB"/>
        </w:rPr>
      </w:pPr>
      <w:r w:rsidRPr="000C4F35">
        <w:rPr>
          <w:rFonts w:eastAsia="Arial Unicode MS"/>
          <w:noProof/>
          <w:color w:val="000000"/>
          <w:szCs w:val="24"/>
          <w:u w:color="000000"/>
          <w:bdr w:val="nil"/>
          <w:lang w:eastAsia="en-GB"/>
        </w:rPr>
        <w:t>Article 1(2</w:t>
      </w:r>
      <w:r w:rsidR="006B4E89" w:rsidRPr="000C4F35">
        <w:rPr>
          <w:rFonts w:eastAsia="Arial Unicode MS"/>
          <w:noProof/>
          <w:color w:val="000000"/>
          <w:szCs w:val="24"/>
          <w:u w:color="000000"/>
          <w:bdr w:val="nil"/>
          <w:lang w:eastAsia="en-GB"/>
        </w:rPr>
        <w:t>3</w:t>
      </w:r>
      <w:r w:rsidRPr="000C4F35">
        <w:rPr>
          <w:rFonts w:eastAsia="Arial Unicode MS"/>
          <w:noProof/>
          <w:color w:val="000000"/>
          <w:szCs w:val="24"/>
          <w:u w:color="000000"/>
          <w:bdr w:val="nil"/>
          <w:lang w:eastAsia="en-GB"/>
        </w:rPr>
        <w:t>) amends Article 69(4) of CSDR by introducing an end-date to the grandfathering clause for both EU and third-country CSDs. More specifically, point (a) amends Article 69(4) by setting out that the end-date for the grandfathering clause for EU CSDs that shall be the one year from the entry into force of this Regulation. Point (b) introduces a new paragraph 4a which sets out an end-date to the grandfathering clause for third-country CSDs, which shall be three years from the entry into force of this Regulation</w:t>
      </w:r>
      <w:r w:rsidR="00DF0E96">
        <w:rPr>
          <w:rFonts w:eastAsia="Arial Unicode MS"/>
          <w:noProof/>
          <w:color w:val="000000"/>
          <w:szCs w:val="24"/>
          <w:u w:color="000000"/>
          <w:bdr w:val="nil"/>
          <w:lang w:eastAsia="en-GB"/>
        </w:rPr>
        <w:t xml:space="preserve"> due to the equivalence and recognition processes</w:t>
      </w:r>
      <w:r w:rsidRPr="000C4F35">
        <w:rPr>
          <w:rFonts w:eastAsia="Arial Unicode MS"/>
          <w:noProof/>
          <w:color w:val="000000"/>
          <w:szCs w:val="24"/>
          <w:u w:color="000000"/>
          <w:bdr w:val="nil"/>
          <w:lang w:eastAsia="en-GB"/>
        </w:rPr>
        <w:t xml:space="preserve">. In addition, third-country CSDs benefitting from the grandfathering clause shall be required to submit a notification to ESMA when offering notary and central maintenance services in relation to financial instruments constituted under the law of a Member State to address the lack of information in this regard both at national and at EU level. </w:t>
      </w:r>
      <w:r w:rsidR="00E06D33">
        <w:rPr>
          <w:rFonts w:eastAsia="Arial Unicode MS"/>
          <w:noProof/>
          <w:color w:val="000000"/>
          <w:szCs w:val="24"/>
          <w:u w:color="000000"/>
          <w:bdr w:val="nil"/>
          <w:lang w:eastAsia="en-GB"/>
        </w:rPr>
        <w:t xml:space="preserve">Point (b) </w:t>
      </w:r>
      <w:r w:rsidR="00E06D33" w:rsidRPr="000C4F35">
        <w:rPr>
          <w:rFonts w:eastAsia="Arial Unicode MS"/>
          <w:noProof/>
          <w:color w:val="000000"/>
          <w:szCs w:val="24"/>
          <w:u w:color="000000"/>
          <w:bdr w:val="nil"/>
          <w:lang w:eastAsia="en-GB"/>
        </w:rPr>
        <w:t>empowers ESMA to draft regulatory technical standards to specify the information that the third-country CSD shall provide to ESMA in that notification</w:t>
      </w:r>
      <w:r w:rsidR="00E06D33">
        <w:rPr>
          <w:rFonts w:eastAsia="Arial Unicode MS"/>
          <w:noProof/>
          <w:color w:val="000000"/>
          <w:szCs w:val="24"/>
          <w:u w:color="000000"/>
          <w:bdr w:val="nil"/>
          <w:lang w:eastAsia="en-GB"/>
        </w:rPr>
        <w:t xml:space="preserve"> and specifies that s</w:t>
      </w:r>
      <w:r w:rsidR="00E06D33" w:rsidRPr="005107D4">
        <w:rPr>
          <w:rFonts w:eastAsia="Arial Unicode MS"/>
          <w:noProof/>
          <w:color w:val="000000"/>
          <w:szCs w:val="24"/>
          <w:u w:color="000000"/>
          <w:bdr w:val="nil"/>
          <w:lang w:eastAsia="en-GB"/>
        </w:rPr>
        <w:t>uch information shall be limited to what is strictly necessary</w:t>
      </w:r>
      <w:r w:rsidR="00E06D33">
        <w:rPr>
          <w:rFonts w:eastAsia="Arial Unicode MS"/>
          <w:noProof/>
          <w:color w:val="000000"/>
          <w:szCs w:val="24"/>
          <w:u w:color="000000"/>
          <w:bdr w:val="nil"/>
          <w:lang w:eastAsia="en-GB"/>
        </w:rPr>
        <w:t xml:space="preserve"> and provides a list of examples.</w:t>
      </w:r>
      <w:r w:rsidR="00D0153A">
        <w:rPr>
          <w:rFonts w:eastAsia="Arial Unicode MS"/>
          <w:noProof/>
          <w:color w:val="000000"/>
          <w:szCs w:val="24"/>
          <w:u w:color="000000"/>
          <w:bdr w:val="nil"/>
          <w:lang w:eastAsia="en-GB"/>
        </w:rPr>
        <w:t xml:space="preserve"> Similarly, a notification requirement is also introduced for those third-country CSDs that offer</w:t>
      </w:r>
      <w:r w:rsidR="00BA7A59">
        <w:rPr>
          <w:rFonts w:eastAsia="Arial Unicode MS"/>
          <w:noProof/>
          <w:color w:val="000000"/>
          <w:szCs w:val="24"/>
          <w:u w:color="000000"/>
          <w:bdr w:val="nil"/>
          <w:lang w:eastAsia="en-GB"/>
        </w:rPr>
        <w:t>ed</w:t>
      </w:r>
      <w:r w:rsidR="00D0153A">
        <w:rPr>
          <w:rFonts w:eastAsia="Arial Unicode MS"/>
          <w:noProof/>
          <w:color w:val="000000"/>
          <w:szCs w:val="24"/>
          <w:u w:color="000000"/>
          <w:bdr w:val="nil"/>
          <w:lang w:eastAsia="en-GB"/>
        </w:rPr>
        <w:t xml:space="preserve"> settlement services before the entry into force of this Regulation.</w:t>
      </w:r>
      <w:r w:rsidR="00E06D33">
        <w:rPr>
          <w:rFonts w:eastAsia="Arial Unicode MS"/>
          <w:noProof/>
          <w:color w:val="000000"/>
          <w:szCs w:val="24"/>
          <w:u w:color="000000"/>
          <w:bdr w:val="nil"/>
          <w:lang w:eastAsia="en-GB"/>
        </w:rPr>
        <w:t xml:space="preserve"> </w:t>
      </w:r>
    </w:p>
    <w:p w14:paraId="5A0BEF45" w14:textId="77777777" w:rsidR="00403E1E" w:rsidRPr="000C4F35" w:rsidRDefault="00403E1E" w:rsidP="00E06D33">
      <w:pPr>
        <w:pStyle w:val="ManualHeading3"/>
        <w:rPr>
          <w:noProof/>
          <w:u w:color="000000"/>
          <w:bdr w:val="nil"/>
          <w:lang w:eastAsia="en-GB"/>
        </w:rPr>
      </w:pPr>
      <w:r w:rsidRPr="000C4F35">
        <w:rPr>
          <w:noProof/>
          <w:u w:color="000000"/>
          <w:bdr w:val="nil"/>
          <w:lang w:eastAsia="en-GB"/>
        </w:rPr>
        <w:tab/>
        <w:t>5.2.7 Banking-type ancillary services</w:t>
      </w:r>
    </w:p>
    <w:p w14:paraId="16E71C56" w14:textId="77777777" w:rsidR="00403E1E" w:rsidRPr="000C4F35" w:rsidRDefault="00403E1E" w:rsidP="00E06D33">
      <w:pPr>
        <w:spacing w:after="240"/>
        <w:rPr>
          <w:noProof/>
          <w:szCs w:val="24"/>
        </w:rPr>
      </w:pPr>
      <w:r w:rsidRPr="000C4F35">
        <w:rPr>
          <w:noProof/>
          <w:szCs w:val="24"/>
        </w:rPr>
        <w:t>First, Article 1(13) amends Article 40(2) of CSDR</w:t>
      </w:r>
      <w:r w:rsidRPr="000C4F35">
        <w:rPr>
          <w:noProof/>
        </w:rPr>
        <w:t xml:space="preserve"> </w:t>
      </w:r>
      <w:r w:rsidR="00F5019D">
        <w:rPr>
          <w:noProof/>
        </w:rPr>
        <w:t xml:space="preserve">and point (a) of Article 1(17) amends point (b) of Article 54(2) of CSDR </w:t>
      </w:r>
      <w:r w:rsidR="00F5019D">
        <w:rPr>
          <w:noProof/>
          <w:szCs w:val="24"/>
        </w:rPr>
        <w:t>in order to</w:t>
      </w:r>
      <w:r w:rsidRPr="000C4F35">
        <w:rPr>
          <w:noProof/>
          <w:szCs w:val="24"/>
        </w:rPr>
        <w:t xml:space="preserve"> introduce the possibility for CSDs</w:t>
      </w:r>
      <w:r w:rsidR="002142FA" w:rsidRPr="000C4F35">
        <w:rPr>
          <w:noProof/>
          <w:szCs w:val="24"/>
        </w:rPr>
        <w:t xml:space="preserve"> authorised to provide b</w:t>
      </w:r>
      <w:r w:rsidR="009E069F" w:rsidRPr="000C4F35">
        <w:rPr>
          <w:noProof/>
          <w:szCs w:val="24"/>
        </w:rPr>
        <w:t>anking-type ancillary services</w:t>
      </w:r>
      <w:r w:rsidR="002142FA" w:rsidRPr="000C4F35">
        <w:rPr>
          <w:noProof/>
          <w:szCs w:val="24"/>
        </w:rPr>
        <w:t xml:space="preserve"> </w:t>
      </w:r>
      <w:r w:rsidRPr="000C4F35">
        <w:rPr>
          <w:noProof/>
          <w:szCs w:val="24"/>
        </w:rPr>
        <w:t xml:space="preserve">to provide </w:t>
      </w:r>
      <w:r w:rsidR="009E069F" w:rsidRPr="000C4F35">
        <w:rPr>
          <w:noProof/>
          <w:szCs w:val="24"/>
        </w:rPr>
        <w:t>such</w:t>
      </w:r>
      <w:r w:rsidR="001D19F7" w:rsidRPr="000C4F35">
        <w:rPr>
          <w:noProof/>
          <w:szCs w:val="24"/>
        </w:rPr>
        <w:t xml:space="preserve"> services </w:t>
      </w:r>
      <w:r w:rsidR="00F5019D">
        <w:rPr>
          <w:noProof/>
          <w:szCs w:val="24"/>
        </w:rPr>
        <w:t>to</w:t>
      </w:r>
      <w:r w:rsidR="001D19F7" w:rsidRPr="000C4F35">
        <w:rPr>
          <w:noProof/>
          <w:szCs w:val="24"/>
        </w:rPr>
        <w:t xml:space="preserve"> </w:t>
      </w:r>
      <w:r w:rsidRPr="000C4F35">
        <w:rPr>
          <w:noProof/>
          <w:szCs w:val="24"/>
        </w:rPr>
        <w:t>CSDs that</w:t>
      </w:r>
      <w:r w:rsidR="009E069F" w:rsidRPr="000C4F35">
        <w:rPr>
          <w:noProof/>
          <w:szCs w:val="24"/>
        </w:rPr>
        <w:t xml:space="preserve"> have not obtained this authorisation and which, therefore, cannot settle in specific currencies</w:t>
      </w:r>
      <w:r w:rsidR="009E45C2">
        <w:rPr>
          <w:noProof/>
          <w:szCs w:val="24"/>
        </w:rPr>
        <w:t xml:space="preserve"> above certain amounts</w:t>
      </w:r>
      <w:r w:rsidR="009E069F" w:rsidRPr="000C4F35">
        <w:rPr>
          <w:noProof/>
          <w:szCs w:val="24"/>
        </w:rPr>
        <w:t xml:space="preserve"> where they</w:t>
      </w:r>
      <w:r w:rsidRPr="000C4F35">
        <w:rPr>
          <w:noProof/>
          <w:szCs w:val="24"/>
        </w:rPr>
        <w:t xml:space="preserve"> </w:t>
      </w:r>
      <w:r w:rsidR="001D19F7" w:rsidRPr="000C4F35">
        <w:rPr>
          <w:noProof/>
          <w:szCs w:val="24"/>
        </w:rPr>
        <w:t>do not have</w:t>
      </w:r>
      <w:r w:rsidRPr="000C4F35">
        <w:rPr>
          <w:noProof/>
          <w:szCs w:val="24"/>
        </w:rPr>
        <w:t xml:space="preserve"> access </w:t>
      </w:r>
      <w:r w:rsidR="00B004C8" w:rsidRPr="000C4F35">
        <w:rPr>
          <w:noProof/>
          <w:szCs w:val="24"/>
        </w:rPr>
        <w:t>to</w:t>
      </w:r>
      <w:r w:rsidR="009E069F" w:rsidRPr="000C4F35">
        <w:rPr>
          <w:noProof/>
          <w:szCs w:val="24"/>
        </w:rPr>
        <w:t xml:space="preserve"> the</w:t>
      </w:r>
      <w:r w:rsidR="00B004C8" w:rsidRPr="000C4F35">
        <w:rPr>
          <w:noProof/>
          <w:szCs w:val="24"/>
        </w:rPr>
        <w:t xml:space="preserve"> </w:t>
      </w:r>
      <w:r w:rsidRPr="000C4F35">
        <w:rPr>
          <w:noProof/>
          <w:szCs w:val="24"/>
        </w:rPr>
        <w:t xml:space="preserve">relevant central bank. </w:t>
      </w:r>
    </w:p>
    <w:p w14:paraId="3B36C2CB" w14:textId="2634AA9A" w:rsidR="00403E1E" w:rsidRPr="000C4F35" w:rsidRDefault="00403E1E" w:rsidP="00685329">
      <w:pPr>
        <w:spacing w:after="240"/>
        <w:rPr>
          <w:noProof/>
          <w:szCs w:val="24"/>
        </w:rPr>
      </w:pPr>
      <w:r w:rsidRPr="000C4F35">
        <w:rPr>
          <w:noProof/>
          <w:szCs w:val="24"/>
        </w:rPr>
        <w:t>Point (</w:t>
      </w:r>
      <w:r w:rsidR="00F5019D">
        <w:rPr>
          <w:noProof/>
          <w:szCs w:val="24"/>
        </w:rPr>
        <w:t>b</w:t>
      </w:r>
      <w:r w:rsidRPr="000C4F35">
        <w:rPr>
          <w:noProof/>
          <w:szCs w:val="24"/>
        </w:rPr>
        <w:t>)</w:t>
      </w:r>
      <w:r w:rsidR="009E45C2">
        <w:rPr>
          <w:noProof/>
          <w:szCs w:val="24"/>
        </w:rPr>
        <w:t xml:space="preserve"> of Article 1(17)</w:t>
      </w:r>
      <w:r w:rsidRPr="000C4F35">
        <w:rPr>
          <w:noProof/>
          <w:szCs w:val="24"/>
        </w:rPr>
        <w:t xml:space="preserve"> amends the </w:t>
      </w:r>
      <w:r w:rsidR="009E45C2">
        <w:rPr>
          <w:noProof/>
          <w:szCs w:val="24"/>
        </w:rPr>
        <w:t>introductory wording</w:t>
      </w:r>
      <w:r w:rsidRPr="000C4F35">
        <w:rPr>
          <w:noProof/>
          <w:szCs w:val="24"/>
        </w:rPr>
        <w:t xml:space="preserve"> of paragraph 4, thereby enabling CSDs to seek the provision of banking-type ancillary services not only from designated credit institutions but also from other CSDs that have been authorised to provide such services pursuant to Article 54(3), whether those CSDs are part of the same corporate group or not. In this regard, point (b) of Article 1</w:t>
      </w:r>
      <w:r w:rsidR="009C003C" w:rsidRPr="000C4F35">
        <w:rPr>
          <w:noProof/>
          <w:szCs w:val="24"/>
        </w:rPr>
        <w:t>(17)</w:t>
      </w:r>
      <w:r w:rsidRPr="000C4F35">
        <w:rPr>
          <w:noProof/>
          <w:szCs w:val="24"/>
        </w:rPr>
        <w:t xml:space="preserve"> deletes point (c) of Article 54(4)</w:t>
      </w:r>
      <w:r w:rsidR="00237A20">
        <w:rPr>
          <w:noProof/>
          <w:szCs w:val="24"/>
        </w:rPr>
        <w:t xml:space="preserve"> of CSDR</w:t>
      </w:r>
      <w:r w:rsidRPr="000C4F35">
        <w:rPr>
          <w:noProof/>
          <w:szCs w:val="24"/>
        </w:rPr>
        <w:t xml:space="preserve">, thereby eliminating the prohibition that designated credit institutions cannot offer core CSD services. </w:t>
      </w:r>
    </w:p>
    <w:p w14:paraId="3EDBBE63" w14:textId="4D819EC6" w:rsidR="00403E1E" w:rsidRPr="000C4F35" w:rsidRDefault="009E45C2" w:rsidP="00685329">
      <w:pPr>
        <w:spacing w:after="240"/>
        <w:rPr>
          <w:noProof/>
          <w:szCs w:val="24"/>
        </w:rPr>
      </w:pPr>
      <w:r>
        <w:rPr>
          <w:noProof/>
          <w:szCs w:val="24"/>
        </w:rPr>
        <w:t>Second, p</w:t>
      </w:r>
      <w:r w:rsidR="00403E1E" w:rsidRPr="000C4F35">
        <w:rPr>
          <w:noProof/>
          <w:szCs w:val="24"/>
        </w:rPr>
        <w:t xml:space="preserve">oint (c) of Article 1(17) amends Article 54(5) of CSDR which provided a specific threshold in CSDR under which CSDs could use a credit institution for banking services. In order to adequately calibrate this </w:t>
      </w:r>
      <w:r w:rsidR="0027637B" w:rsidRPr="000C4F35">
        <w:rPr>
          <w:noProof/>
          <w:szCs w:val="24"/>
        </w:rPr>
        <w:t>threshold and</w:t>
      </w:r>
      <w:r w:rsidR="00403E1E" w:rsidRPr="000C4F35">
        <w:rPr>
          <w:noProof/>
          <w:szCs w:val="24"/>
        </w:rPr>
        <w:t xml:space="preserve"> with a view of managing financial risks, point (d) of Article 1(1</w:t>
      </w:r>
      <w:r w:rsidR="00620AC2" w:rsidRPr="000C4F35">
        <w:rPr>
          <w:noProof/>
          <w:szCs w:val="24"/>
        </w:rPr>
        <w:t>7</w:t>
      </w:r>
      <w:r w:rsidR="00403E1E" w:rsidRPr="000C4F35">
        <w:rPr>
          <w:noProof/>
          <w:szCs w:val="24"/>
        </w:rPr>
        <w:t xml:space="preserve">) introduces a mandate for the EBA, in cooperation with the ESCB and ESMA, to develop draft regulatory technical standards, to be adopted by the Commission, setting an </w:t>
      </w:r>
      <w:r w:rsidR="007D08EC" w:rsidRPr="000C4F35">
        <w:rPr>
          <w:noProof/>
          <w:szCs w:val="24"/>
        </w:rPr>
        <w:t>appropriate</w:t>
      </w:r>
      <w:r w:rsidR="00403E1E" w:rsidRPr="000C4F35">
        <w:rPr>
          <w:noProof/>
          <w:szCs w:val="24"/>
        </w:rPr>
        <w:t xml:space="preserve"> threshold below which banking-type ancillary services can be provided by credit institutions, including relevant risk management and prudential standards, mitigating potential risks from amending the threshold. </w:t>
      </w:r>
    </w:p>
    <w:p w14:paraId="0F23B13D" w14:textId="77777777" w:rsidR="00403E1E" w:rsidRPr="000C4F35" w:rsidRDefault="009E45C2" w:rsidP="00685329">
      <w:pPr>
        <w:spacing w:after="240"/>
        <w:rPr>
          <w:noProof/>
          <w:szCs w:val="24"/>
        </w:rPr>
      </w:pPr>
      <w:r>
        <w:rPr>
          <w:noProof/>
          <w:szCs w:val="24"/>
        </w:rPr>
        <w:t xml:space="preserve">Finally, </w:t>
      </w:r>
      <w:r w:rsidR="00403E1E" w:rsidRPr="000C4F35">
        <w:rPr>
          <w:noProof/>
          <w:szCs w:val="24"/>
        </w:rPr>
        <w:t xml:space="preserve">Article 1(19) amends Article 59(4) of CSDR to ensure adequate prudential requirements, ensuring consistency with other </w:t>
      </w:r>
      <w:r w:rsidR="0027637B" w:rsidRPr="000C4F35">
        <w:rPr>
          <w:noProof/>
          <w:szCs w:val="24"/>
        </w:rPr>
        <w:t>applicable</w:t>
      </w:r>
      <w:r w:rsidR="00403E1E" w:rsidRPr="000C4F35">
        <w:rPr>
          <w:noProof/>
          <w:szCs w:val="24"/>
        </w:rPr>
        <w:t xml:space="preserve"> legislation or making more explicit certain requirements to ensure supervisory consistency or specify a number of smaller issues in the area of risk management. To that effect</w:t>
      </w:r>
      <w:r w:rsidR="00565763">
        <w:rPr>
          <w:noProof/>
          <w:szCs w:val="24"/>
        </w:rPr>
        <w:t xml:space="preserve"> point (a)</w:t>
      </w:r>
      <w:r w:rsidR="00403E1E" w:rsidRPr="000C4F35">
        <w:rPr>
          <w:noProof/>
          <w:szCs w:val="24"/>
        </w:rPr>
        <w:t>:</w:t>
      </w:r>
      <w:r w:rsidR="00565763">
        <w:rPr>
          <w:noProof/>
          <w:szCs w:val="24"/>
        </w:rPr>
        <w:t xml:space="preserve"> </w:t>
      </w:r>
    </w:p>
    <w:p w14:paraId="67531965" w14:textId="5BA06A49" w:rsidR="00403E1E" w:rsidRPr="009F3359" w:rsidRDefault="001678E4" w:rsidP="001678E4">
      <w:pPr>
        <w:pStyle w:val="Point1"/>
        <w:rPr>
          <w:noProof/>
        </w:rPr>
      </w:pPr>
      <w:r w:rsidRPr="001678E4">
        <w:t>(a)</w:t>
      </w:r>
      <w:r w:rsidRPr="001678E4">
        <w:tab/>
      </w:r>
      <w:r w:rsidR="00403E1E" w:rsidRPr="00BF5E51">
        <w:rPr>
          <w:noProof/>
        </w:rPr>
        <w:t xml:space="preserve">amends point (c) of Article 59(4) making it explicit and bringing it in line with the existing regulatory standards that for the liquidity stress scenario qualifying liquid resources should be maintained instead of liquid resources and the stress scenario should consider the largest two participants instead of only the largest one. </w:t>
      </w:r>
    </w:p>
    <w:p w14:paraId="7A022648" w14:textId="129E3D40" w:rsidR="00403E1E" w:rsidRPr="000C4F35" w:rsidRDefault="001678E4" w:rsidP="001678E4">
      <w:pPr>
        <w:pStyle w:val="Point1"/>
        <w:rPr>
          <w:noProof/>
        </w:rPr>
      </w:pPr>
      <w:r w:rsidRPr="001678E4">
        <w:t>(b)</w:t>
      </w:r>
      <w:r w:rsidRPr="001678E4">
        <w:tab/>
      </w:r>
      <w:r w:rsidR="00403E1E" w:rsidRPr="000C4F35">
        <w:rPr>
          <w:noProof/>
        </w:rPr>
        <w:t xml:space="preserve">amends point (d) of Article 59(4) clarifying that </w:t>
      </w:r>
      <w:r w:rsidR="007D08EC" w:rsidRPr="000C4F35">
        <w:rPr>
          <w:noProof/>
        </w:rPr>
        <w:t>qualifying</w:t>
      </w:r>
      <w:r w:rsidR="00403E1E" w:rsidRPr="000C4F35">
        <w:rPr>
          <w:noProof/>
        </w:rPr>
        <w:t xml:space="preserve"> liquid resources should be maintained for the relevant currencies instead of for all currencies. </w:t>
      </w:r>
    </w:p>
    <w:p w14:paraId="3F839C41" w14:textId="3193EAAA" w:rsidR="00403E1E" w:rsidRPr="000C4F35" w:rsidRDefault="001678E4" w:rsidP="001678E4">
      <w:pPr>
        <w:pStyle w:val="Point1"/>
        <w:rPr>
          <w:noProof/>
        </w:rPr>
      </w:pPr>
      <w:r w:rsidRPr="001678E4">
        <w:t>(c)</w:t>
      </w:r>
      <w:r w:rsidRPr="001678E4">
        <w:tab/>
      </w:r>
      <w:r w:rsidR="00403E1E" w:rsidRPr="000C4F35">
        <w:rPr>
          <w:noProof/>
        </w:rPr>
        <w:t>amends points (e) of Article 59(4), clarifying that in case prearranged funding arrangements are used, these should be highly reliable. It also</w:t>
      </w:r>
      <w:r w:rsidR="004011B5" w:rsidRPr="000C4F35">
        <w:rPr>
          <w:noProof/>
        </w:rPr>
        <w:t xml:space="preserve"> </w:t>
      </w:r>
      <w:r w:rsidR="00403E1E" w:rsidRPr="000C4F35">
        <w:rPr>
          <w:noProof/>
        </w:rPr>
        <w:t xml:space="preserve">makes explicit that when similar arrangements to committed arrangements are used these should be held against the same standard of highly reliable and held with only creditworthy credit institutions. </w:t>
      </w:r>
    </w:p>
    <w:p w14:paraId="370E4C72" w14:textId="2FD8F74C" w:rsidR="00403E1E" w:rsidRPr="000C4F35" w:rsidRDefault="001678E4" w:rsidP="001678E4">
      <w:pPr>
        <w:pStyle w:val="Point1"/>
        <w:rPr>
          <w:noProof/>
        </w:rPr>
      </w:pPr>
      <w:r w:rsidRPr="001678E4">
        <w:t>(d)</w:t>
      </w:r>
      <w:r w:rsidRPr="001678E4">
        <w:tab/>
      </w:r>
      <w:r w:rsidR="00403E1E" w:rsidRPr="000C4F35">
        <w:rPr>
          <w:noProof/>
        </w:rPr>
        <w:t xml:space="preserve">amends point (i) </w:t>
      </w:r>
      <w:r w:rsidR="009E45C2">
        <w:rPr>
          <w:noProof/>
        </w:rPr>
        <w:t xml:space="preserve">of </w:t>
      </w:r>
      <w:r w:rsidR="00403E1E" w:rsidRPr="000C4F35">
        <w:rPr>
          <w:noProof/>
        </w:rPr>
        <w:t xml:space="preserve">Article 59(4) clarifying that </w:t>
      </w:r>
      <w:r w:rsidR="00620AC2" w:rsidRPr="000C4F35">
        <w:rPr>
          <w:noProof/>
        </w:rPr>
        <w:t xml:space="preserve">a CSD </w:t>
      </w:r>
      <w:r w:rsidR="00403E1E" w:rsidRPr="000C4F35">
        <w:rPr>
          <w:noProof/>
        </w:rPr>
        <w:t xml:space="preserve">can convert </w:t>
      </w:r>
      <w:r w:rsidR="00620AC2" w:rsidRPr="000C4F35">
        <w:rPr>
          <w:noProof/>
        </w:rPr>
        <w:t xml:space="preserve">into cash, </w:t>
      </w:r>
      <w:r w:rsidR="00403E1E" w:rsidRPr="000C4F35">
        <w:rPr>
          <w:noProof/>
        </w:rPr>
        <w:t xml:space="preserve">instead of </w:t>
      </w:r>
      <w:r w:rsidR="00620AC2" w:rsidRPr="000C4F35">
        <w:rPr>
          <w:noProof/>
        </w:rPr>
        <w:t>‘</w:t>
      </w:r>
      <w:r w:rsidR="00403E1E" w:rsidRPr="000C4F35">
        <w:rPr>
          <w:noProof/>
        </w:rPr>
        <w:t>liquidate</w:t>
      </w:r>
      <w:r w:rsidR="00620AC2" w:rsidRPr="000C4F35">
        <w:rPr>
          <w:noProof/>
        </w:rPr>
        <w:t>’,</w:t>
      </w:r>
      <w:r w:rsidR="00403E1E" w:rsidRPr="000C4F35">
        <w:rPr>
          <w:noProof/>
        </w:rPr>
        <w:t xml:space="preserve"> any collateral provided by the </w:t>
      </w:r>
      <w:r w:rsidR="0027637B" w:rsidRPr="000C4F35">
        <w:rPr>
          <w:noProof/>
        </w:rPr>
        <w:t>defaulting</w:t>
      </w:r>
      <w:r w:rsidR="00403E1E" w:rsidRPr="000C4F35">
        <w:rPr>
          <w:noProof/>
        </w:rPr>
        <w:t xml:space="preserve"> client</w:t>
      </w:r>
      <w:r w:rsidR="00FD5B5B" w:rsidRPr="00D473D5">
        <w:rPr>
          <w:noProof/>
        </w:rPr>
        <w:t xml:space="preserve">, and that, where non-committed arrangements are used, a CSD should be able to establish that any associated potential risks have been identified and mitigated. </w:t>
      </w:r>
      <w:r w:rsidR="00FD5B5B" w:rsidRPr="000C4F35">
        <w:rPr>
          <w:noProof/>
        </w:rPr>
        <w:t>The objective is to allow uncommitted arrangements on the condition that a comprehensive framework is in place</w:t>
      </w:r>
      <w:r w:rsidR="00403E1E" w:rsidRPr="000C4F35">
        <w:rPr>
          <w:noProof/>
        </w:rPr>
        <w:t xml:space="preserve">. </w:t>
      </w:r>
    </w:p>
    <w:p w14:paraId="3A977B4B" w14:textId="22519BF6" w:rsidR="00403E1E" w:rsidRPr="000C4F35" w:rsidRDefault="001678E4" w:rsidP="001678E4">
      <w:pPr>
        <w:pStyle w:val="Point1"/>
        <w:rPr>
          <w:noProof/>
        </w:rPr>
      </w:pPr>
      <w:r w:rsidRPr="001678E4">
        <w:t>(e)</w:t>
      </w:r>
      <w:r w:rsidRPr="001678E4">
        <w:tab/>
      </w:r>
      <w:r w:rsidR="00FD5B5B" w:rsidRPr="000C4F35">
        <w:rPr>
          <w:noProof/>
        </w:rPr>
        <w:t xml:space="preserve">inserts a new </w:t>
      </w:r>
      <w:r w:rsidR="009C003C" w:rsidRPr="000C4F35">
        <w:rPr>
          <w:noProof/>
        </w:rPr>
        <w:t xml:space="preserve">point (k) </w:t>
      </w:r>
      <w:r w:rsidR="00FD5B5B" w:rsidRPr="000C4F35">
        <w:rPr>
          <w:noProof/>
        </w:rPr>
        <w:t xml:space="preserve">in </w:t>
      </w:r>
      <w:r w:rsidR="009C003C" w:rsidRPr="000C4F35">
        <w:rPr>
          <w:noProof/>
        </w:rPr>
        <w:t>A</w:t>
      </w:r>
      <w:r w:rsidR="00403E1E" w:rsidRPr="000C4F35">
        <w:rPr>
          <w:noProof/>
        </w:rPr>
        <w:t>rticle 59(4)</w:t>
      </w:r>
      <w:r w:rsidR="009C003C" w:rsidRPr="000C4F35">
        <w:rPr>
          <w:noProof/>
        </w:rPr>
        <w:t xml:space="preserve"> to </w:t>
      </w:r>
      <w:r w:rsidR="00403E1E" w:rsidRPr="000C4F35">
        <w:rPr>
          <w:noProof/>
        </w:rPr>
        <w:t>make more explicit that CSDs should cover relevant risks in their risk management and prudential frameworks, including relevant netting arrangements</w:t>
      </w:r>
      <w:r w:rsidR="00FD5B5B" w:rsidRPr="000C4F35">
        <w:rPr>
          <w:noProof/>
        </w:rPr>
        <w:t>.</w:t>
      </w:r>
      <w:r w:rsidR="00FD5B5B" w:rsidRPr="00D473D5">
        <w:rPr>
          <w:noProof/>
        </w:rPr>
        <w:t xml:space="preserve"> This should ensure that credit and liquidity risks in relation to netting arrangements are properly managed by CSDs. This requirement should be further clarified in the existing RTS developed by the EBA in accordance with Article 59(5)</w:t>
      </w:r>
      <w:r w:rsidR="00403E1E" w:rsidRPr="000C4F35">
        <w:rPr>
          <w:noProof/>
        </w:rPr>
        <w:t>.</w:t>
      </w:r>
      <w:r w:rsidR="00FD5B5B" w:rsidRPr="000C4F35">
        <w:rPr>
          <w:noProof/>
        </w:rPr>
        <w:t xml:space="preserve"> </w:t>
      </w:r>
    </w:p>
    <w:p w14:paraId="6061C9D4" w14:textId="77777777" w:rsidR="00403E1E" w:rsidRPr="000C4F35" w:rsidRDefault="00403E1E" w:rsidP="00685329">
      <w:pPr>
        <w:pStyle w:val="ManualHeading3"/>
        <w:rPr>
          <w:noProof/>
          <w:u w:color="000000"/>
          <w:bdr w:val="nil"/>
          <w:lang w:eastAsia="en-GB"/>
        </w:rPr>
      </w:pPr>
      <w:r w:rsidRPr="000C4F35">
        <w:rPr>
          <w:noProof/>
          <w:u w:color="000000"/>
          <w:bdr w:val="nil"/>
          <w:lang w:eastAsia="en-GB"/>
        </w:rPr>
        <w:t>5.2.</w:t>
      </w:r>
      <w:r w:rsidR="009C003C" w:rsidRPr="000C4F35">
        <w:rPr>
          <w:noProof/>
          <w:u w:color="000000"/>
          <w:bdr w:val="nil"/>
          <w:lang w:eastAsia="en-GB"/>
        </w:rPr>
        <w:t>8</w:t>
      </w:r>
      <w:r w:rsidRPr="000C4F35">
        <w:rPr>
          <w:noProof/>
          <w:u w:color="000000"/>
          <w:bdr w:val="nil"/>
          <w:lang w:eastAsia="en-GB"/>
        </w:rPr>
        <w:t xml:space="preserve"> Organisational requirements and links</w:t>
      </w:r>
    </w:p>
    <w:p w14:paraId="2288C533" w14:textId="606C6915" w:rsidR="00492219" w:rsidRDefault="00492219" w:rsidP="00685329">
      <w:pPr>
        <w:rPr>
          <w:noProof/>
          <w:szCs w:val="24"/>
        </w:rPr>
      </w:pPr>
      <w:r>
        <w:rPr>
          <w:noProof/>
          <w:szCs w:val="24"/>
        </w:rPr>
        <w:t xml:space="preserve">Point (a) of Article 1(4) </w:t>
      </w:r>
      <w:r w:rsidR="009E61B3">
        <w:rPr>
          <w:noProof/>
          <w:szCs w:val="24"/>
        </w:rPr>
        <w:t>inserts a new subparagraph in Article 17(2) of CSDR in order to allow a competent authority</w:t>
      </w:r>
      <w:r w:rsidR="00182AFC">
        <w:rPr>
          <w:noProof/>
          <w:szCs w:val="24"/>
        </w:rPr>
        <w:t xml:space="preserve">, where an applicant CSD does not comply with all requirements of CSDR at the time of application </w:t>
      </w:r>
      <w:r w:rsidR="00206F06">
        <w:rPr>
          <w:noProof/>
          <w:szCs w:val="24"/>
        </w:rPr>
        <w:t>but ca</w:t>
      </w:r>
      <w:r w:rsidR="00182AFC">
        <w:rPr>
          <w:noProof/>
          <w:szCs w:val="24"/>
        </w:rPr>
        <w:t>n</w:t>
      </w:r>
      <w:r w:rsidR="00206F06">
        <w:rPr>
          <w:noProof/>
          <w:szCs w:val="24"/>
        </w:rPr>
        <w:t xml:space="preserve"> </w:t>
      </w:r>
      <w:r w:rsidR="00182AFC">
        <w:rPr>
          <w:noProof/>
          <w:szCs w:val="24"/>
        </w:rPr>
        <w:t>be reasonably assumed that it will do so when it will actually launch its activities,</w:t>
      </w:r>
      <w:r w:rsidR="009E61B3">
        <w:rPr>
          <w:noProof/>
          <w:szCs w:val="24"/>
        </w:rPr>
        <w:t xml:space="preserve"> to grant </w:t>
      </w:r>
      <w:r w:rsidR="00182AFC">
        <w:rPr>
          <w:noProof/>
          <w:szCs w:val="24"/>
        </w:rPr>
        <w:t>the</w:t>
      </w:r>
      <w:r w:rsidR="009E61B3">
        <w:rPr>
          <w:noProof/>
          <w:szCs w:val="24"/>
        </w:rPr>
        <w:t xml:space="preserve"> authorisation to </w:t>
      </w:r>
      <w:r w:rsidR="00182AFC">
        <w:rPr>
          <w:noProof/>
          <w:szCs w:val="24"/>
        </w:rPr>
        <w:t>that</w:t>
      </w:r>
      <w:r w:rsidR="009E61B3">
        <w:rPr>
          <w:noProof/>
          <w:szCs w:val="24"/>
        </w:rPr>
        <w:t xml:space="preserve"> CSD subject to</w:t>
      </w:r>
      <w:r w:rsidR="00182AFC">
        <w:rPr>
          <w:noProof/>
          <w:szCs w:val="24"/>
        </w:rPr>
        <w:t xml:space="preserve"> the</w:t>
      </w:r>
      <w:r w:rsidR="009E61B3">
        <w:rPr>
          <w:noProof/>
          <w:szCs w:val="24"/>
        </w:rPr>
        <w:t xml:space="preserve"> condition that </w:t>
      </w:r>
      <w:r w:rsidR="00182AFC">
        <w:rPr>
          <w:noProof/>
          <w:szCs w:val="24"/>
        </w:rPr>
        <w:t xml:space="preserve">the CSD has all necessary arrangements in place to comply with CSDR when it </w:t>
      </w:r>
      <w:r w:rsidR="009E61B3">
        <w:rPr>
          <w:noProof/>
          <w:szCs w:val="24"/>
        </w:rPr>
        <w:t xml:space="preserve">actually launches its activities. </w:t>
      </w:r>
    </w:p>
    <w:p w14:paraId="740200AD" w14:textId="77777777" w:rsidR="00A53B21" w:rsidRDefault="00A53B21" w:rsidP="00685329">
      <w:pPr>
        <w:rPr>
          <w:noProof/>
          <w:szCs w:val="24"/>
        </w:rPr>
      </w:pPr>
      <w:r>
        <w:rPr>
          <w:noProof/>
          <w:szCs w:val="24"/>
        </w:rPr>
        <w:t xml:space="preserve">Article 1(11) inserts a new paragraph 3a in article 27 of CSDR in order to clarify </w:t>
      </w:r>
      <w:r w:rsidR="00182AFC">
        <w:rPr>
          <w:noProof/>
          <w:szCs w:val="24"/>
        </w:rPr>
        <w:t>the meaning of the term</w:t>
      </w:r>
      <w:r>
        <w:rPr>
          <w:noProof/>
          <w:szCs w:val="24"/>
        </w:rPr>
        <w:t xml:space="preserve"> ‘</w:t>
      </w:r>
      <w:r>
        <w:rPr>
          <w:noProof/>
        </w:rPr>
        <w:t xml:space="preserve">independent member of the management body’ in the context of </w:t>
      </w:r>
      <w:r w:rsidR="00182AFC">
        <w:rPr>
          <w:noProof/>
          <w:szCs w:val="24"/>
        </w:rPr>
        <w:t>that article</w:t>
      </w:r>
      <w:r>
        <w:rPr>
          <w:noProof/>
        </w:rPr>
        <w:t xml:space="preserve">. </w:t>
      </w:r>
    </w:p>
    <w:p w14:paraId="0BE0F42C" w14:textId="77777777" w:rsidR="00403E1E" w:rsidRPr="000C4F35" w:rsidRDefault="00403E1E" w:rsidP="00685329">
      <w:pPr>
        <w:rPr>
          <w:noProof/>
          <w:szCs w:val="24"/>
        </w:rPr>
      </w:pPr>
      <w:r w:rsidRPr="000C4F35">
        <w:rPr>
          <w:noProof/>
          <w:szCs w:val="24"/>
        </w:rPr>
        <w:t>Article 1(1</w:t>
      </w:r>
      <w:r w:rsidR="00A53B21">
        <w:rPr>
          <w:noProof/>
          <w:szCs w:val="24"/>
        </w:rPr>
        <w:t>2</w:t>
      </w:r>
      <w:r w:rsidRPr="000C4F35">
        <w:rPr>
          <w:noProof/>
          <w:szCs w:val="24"/>
        </w:rPr>
        <w:t xml:space="preserve">) amends paragraph 3 of Article 28 of CSDR in order to clarify and ensure the consistency of interpretation of the notion of ‘service level’, by adding a list of examples of the topics that it should cover. </w:t>
      </w:r>
    </w:p>
    <w:p w14:paraId="5003F142" w14:textId="77777777" w:rsidR="00403E1E" w:rsidRPr="000C4F35" w:rsidRDefault="00403E1E" w:rsidP="00685329">
      <w:pPr>
        <w:rPr>
          <w:noProof/>
          <w:szCs w:val="24"/>
        </w:rPr>
      </w:pPr>
      <w:r w:rsidRPr="000C4F35">
        <w:rPr>
          <w:noProof/>
          <w:szCs w:val="24"/>
        </w:rPr>
        <w:t>Article 1(</w:t>
      </w:r>
      <w:r w:rsidR="00654F7B">
        <w:rPr>
          <w:noProof/>
          <w:szCs w:val="24"/>
        </w:rPr>
        <w:t>3</w:t>
      </w:r>
      <w:r w:rsidRPr="000C4F35">
        <w:rPr>
          <w:noProof/>
          <w:szCs w:val="24"/>
        </w:rPr>
        <w:t xml:space="preserve">2) amends Article 36 of CSDR with a view to clarify that CSDs should not only reduce the risks associated with the safekeeping and settlement of transactions in securities, but should seek to minimise them. The term ‘reduce’ is therefore replaced by ‘minimise’. </w:t>
      </w:r>
    </w:p>
    <w:p w14:paraId="424B506F" w14:textId="77777777" w:rsidR="00403E1E" w:rsidRPr="000C4F35" w:rsidRDefault="00403E1E" w:rsidP="00685329">
      <w:pPr>
        <w:rPr>
          <w:noProof/>
          <w:szCs w:val="24"/>
        </w:rPr>
      </w:pPr>
      <w:r w:rsidRPr="000C4F35">
        <w:rPr>
          <w:noProof/>
          <w:szCs w:val="24"/>
        </w:rPr>
        <w:t xml:space="preserve">Article 1(16) amends </w:t>
      </w:r>
      <w:r w:rsidR="009C003C" w:rsidRPr="000C4F35">
        <w:rPr>
          <w:noProof/>
          <w:szCs w:val="24"/>
        </w:rPr>
        <w:t>A</w:t>
      </w:r>
      <w:r w:rsidRPr="000C4F35">
        <w:rPr>
          <w:noProof/>
          <w:szCs w:val="24"/>
        </w:rPr>
        <w:t>rticle 52</w:t>
      </w:r>
      <w:r w:rsidR="009C003C" w:rsidRPr="000C4F35">
        <w:rPr>
          <w:noProof/>
          <w:szCs w:val="24"/>
        </w:rPr>
        <w:t>(1)</w:t>
      </w:r>
      <w:r w:rsidRPr="000C4F35">
        <w:rPr>
          <w:noProof/>
          <w:szCs w:val="24"/>
        </w:rPr>
        <w:t xml:space="preserve"> of CSDR in order to ensure that a receiving CSD will not unnecessarily delay the operation of an authorised link. The receiving CSD should therefore be required to implement the link within 12 months. </w:t>
      </w:r>
    </w:p>
    <w:p w14:paraId="2EBE9DC6" w14:textId="280664D2" w:rsidR="00403E1E" w:rsidRPr="000C4F35" w:rsidRDefault="00403E1E" w:rsidP="00685329">
      <w:pPr>
        <w:pStyle w:val="ManualHeading3"/>
        <w:rPr>
          <w:noProof/>
          <w:u w:color="000000"/>
          <w:bdr w:val="nil"/>
          <w:lang w:eastAsia="en-GB"/>
        </w:rPr>
      </w:pPr>
      <w:r w:rsidRPr="000C4F35">
        <w:rPr>
          <w:noProof/>
          <w:u w:color="000000"/>
          <w:bdr w:val="nil"/>
          <w:lang w:eastAsia="en-GB"/>
        </w:rPr>
        <w:tab/>
        <w:t>5.2.</w:t>
      </w:r>
      <w:r w:rsidR="009C003C" w:rsidRPr="000C4F35">
        <w:rPr>
          <w:noProof/>
          <w:u w:color="000000"/>
          <w:bdr w:val="nil"/>
          <w:lang w:eastAsia="en-GB"/>
        </w:rPr>
        <w:t>9</w:t>
      </w:r>
      <w:r w:rsidRPr="000C4F35">
        <w:rPr>
          <w:noProof/>
          <w:u w:color="000000"/>
          <w:bdr w:val="nil"/>
          <w:lang w:eastAsia="en-GB"/>
        </w:rPr>
        <w:t xml:space="preserve"> ESMA reports</w:t>
      </w:r>
    </w:p>
    <w:p w14:paraId="61B778E3" w14:textId="77777777" w:rsidR="00470D07" w:rsidRPr="000C4F35" w:rsidRDefault="00403E1E" w:rsidP="00685329">
      <w:pPr>
        <w:spacing w:after="240"/>
        <w:rPr>
          <w:noProof/>
        </w:rPr>
      </w:pPr>
      <w:r w:rsidRPr="000C4F35">
        <w:rPr>
          <w:noProof/>
          <w:szCs w:val="24"/>
        </w:rPr>
        <w:t>Article 1(2</w:t>
      </w:r>
      <w:r w:rsidR="006B4E89" w:rsidRPr="000C4F35">
        <w:rPr>
          <w:noProof/>
          <w:szCs w:val="24"/>
        </w:rPr>
        <w:t>4</w:t>
      </w:r>
      <w:r w:rsidRPr="000C4F35">
        <w:rPr>
          <w:noProof/>
          <w:szCs w:val="24"/>
        </w:rPr>
        <w:t xml:space="preserve">) introduces changes to Article 74 of CSDR in order to better adapt the periodicity of the reports that ESMA shall submit to the Commission. </w:t>
      </w:r>
      <w:r w:rsidRPr="000C4F35">
        <w:rPr>
          <w:noProof/>
          <w:szCs w:val="24"/>
        </w:rPr>
        <w:br w:type="page"/>
      </w:r>
    </w:p>
    <w:p w14:paraId="56A59300" w14:textId="77777777" w:rsidR="00470D07" w:rsidRPr="000C4F35" w:rsidRDefault="00470D07" w:rsidP="00685329">
      <w:pPr>
        <w:rPr>
          <w:noProof/>
        </w:rPr>
        <w:sectPr w:rsidR="00470D07" w:rsidRPr="000C4F35" w:rsidSect="00E0492F">
          <w:footerReference w:type="default" r:id="rId10"/>
          <w:footerReference w:type="first" r:id="rId11"/>
          <w:pgSz w:w="11907" w:h="16839"/>
          <w:pgMar w:top="1134" w:right="1417" w:bottom="1134" w:left="1417" w:header="709" w:footer="709" w:gutter="0"/>
          <w:cols w:space="708"/>
          <w:docGrid w:linePitch="360"/>
        </w:sectPr>
      </w:pPr>
    </w:p>
    <w:p w14:paraId="10A47DEF" w14:textId="7C2EBDC8" w:rsidR="008658DA" w:rsidRDefault="00FC3BA6" w:rsidP="00FC3BA6">
      <w:pPr>
        <w:pStyle w:val="Rfrenceinterinstitutionnelle"/>
        <w:rPr>
          <w:noProof/>
        </w:rPr>
      </w:pPr>
      <w:r w:rsidRPr="00FC3BA6">
        <w:t>2022/0074 (COD)</w:t>
      </w:r>
    </w:p>
    <w:p w14:paraId="29054E7A" w14:textId="20EA9611" w:rsidR="00470D07" w:rsidRPr="000C4F35" w:rsidRDefault="006072E5" w:rsidP="006072E5">
      <w:pPr>
        <w:pStyle w:val="Statut"/>
        <w:rPr>
          <w:noProof/>
        </w:rPr>
      </w:pPr>
      <w:r w:rsidRPr="006072E5">
        <w:rPr>
          <w:noProof/>
        </w:rPr>
        <w:t>Proposal for a</w:t>
      </w:r>
    </w:p>
    <w:p w14:paraId="4BA0723D" w14:textId="25BE03EE" w:rsidR="00470D07" w:rsidRPr="000C4F35" w:rsidRDefault="006072E5" w:rsidP="006072E5">
      <w:pPr>
        <w:pStyle w:val="Typedudocument"/>
        <w:rPr>
          <w:noProof/>
        </w:rPr>
      </w:pPr>
      <w:r w:rsidRPr="006072E5">
        <w:rPr>
          <w:noProof/>
        </w:rPr>
        <w:t>REGULATION OF THE EUROPEAN PARLIAMENT AND OF THE COUNCIL</w:t>
      </w:r>
    </w:p>
    <w:p w14:paraId="654B78C8" w14:textId="51C123CE" w:rsidR="00470D07" w:rsidRPr="000C4F35" w:rsidRDefault="006072E5" w:rsidP="006072E5">
      <w:pPr>
        <w:pStyle w:val="Titreobjet"/>
        <w:rPr>
          <w:noProof/>
        </w:rPr>
      </w:pPr>
      <w:r w:rsidRPr="006072E5">
        <w:rPr>
          <w:noProof/>
        </w:rPr>
        <w:t>amending Regulation (EU) No 909/2014 as regards settlement discipline, cross-border provision of services, supervisory cooperation, provision of banking-type ancillary services and requirements for third-country central securities depositories</w:t>
      </w:r>
    </w:p>
    <w:p w14:paraId="2BB64097" w14:textId="5E85F27B" w:rsidR="004007CF" w:rsidRDefault="006072E5" w:rsidP="006072E5">
      <w:pPr>
        <w:pStyle w:val="IntrtEEE"/>
        <w:rPr>
          <w:noProof/>
        </w:rPr>
      </w:pPr>
      <w:r w:rsidRPr="006072E5">
        <w:rPr>
          <w:noProof/>
        </w:rPr>
        <w:t>(Text with EEA relevance)</w:t>
      </w:r>
    </w:p>
    <w:p w14:paraId="1B657CB5" w14:textId="6EAADB91" w:rsidR="00470D07" w:rsidRPr="000C4F35" w:rsidRDefault="00470D07" w:rsidP="00685329">
      <w:pPr>
        <w:pStyle w:val="Institutionquiagit"/>
        <w:rPr>
          <w:noProof/>
        </w:rPr>
      </w:pPr>
      <w:r w:rsidRPr="000C4F35">
        <w:rPr>
          <w:noProof/>
        </w:rPr>
        <w:t>THE EUROPEAN PARLIAMENT AND THE COUNCIL OF THE EUROPEAN UNION,</w:t>
      </w:r>
    </w:p>
    <w:p w14:paraId="1F6DDC62" w14:textId="77777777" w:rsidR="00470D07" w:rsidRPr="000C4F35" w:rsidRDefault="00470D07" w:rsidP="00685329">
      <w:pPr>
        <w:rPr>
          <w:noProof/>
        </w:rPr>
      </w:pPr>
      <w:r w:rsidRPr="000C4F35">
        <w:rPr>
          <w:noProof/>
        </w:rPr>
        <w:t xml:space="preserve">Having regard to the Treaty on the Functioning of the European Union, and in particular Article </w:t>
      </w:r>
      <w:r w:rsidR="007902DF" w:rsidRPr="000C4F35">
        <w:rPr>
          <w:noProof/>
        </w:rPr>
        <w:t>114</w:t>
      </w:r>
      <w:r w:rsidRPr="000C4F35">
        <w:rPr>
          <w:noProof/>
        </w:rPr>
        <w:t xml:space="preserve"> thereof,</w:t>
      </w:r>
    </w:p>
    <w:p w14:paraId="54AC7105" w14:textId="77777777" w:rsidR="00470D07" w:rsidRPr="000C4F35" w:rsidRDefault="00470D07" w:rsidP="00685329">
      <w:pPr>
        <w:rPr>
          <w:noProof/>
        </w:rPr>
      </w:pPr>
      <w:r w:rsidRPr="000C4F35">
        <w:rPr>
          <w:noProof/>
        </w:rPr>
        <w:t>Having regard to the proposal from the European Commission,</w:t>
      </w:r>
    </w:p>
    <w:p w14:paraId="7678A95A" w14:textId="77777777" w:rsidR="00A510E8" w:rsidRPr="000C4F35" w:rsidRDefault="00470D07" w:rsidP="00685329">
      <w:pPr>
        <w:rPr>
          <w:noProof/>
        </w:rPr>
      </w:pPr>
      <w:r w:rsidRPr="000C4F35">
        <w:rPr>
          <w:noProof/>
        </w:rPr>
        <w:t>After transmission of the draft legislative act to the national parliaments,</w:t>
      </w:r>
    </w:p>
    <w:p w14:paraId="2ECD72D7" w14:textId="67F2B152" w:rsidR="002E1337" w:rsidRDefault="002E1337" w:rsidP="00685329">
      <w:pPr>
        <w:rPr>
          <w:noProof/>
        </w:rPr>
      </w:pPr>
      <w:r w:rsidRPr="002E1337">
        <w:rPr>
          <w:noProof/>
        </w:rPr>
        <w:t>Having regard to the opinion of the European Central Bank</w:t>
      </w:r>
      <w:r>
        <w:rPr>
          <w:rStyle w:val="FootnoteReference"/>
          <w:noProof/>
        </w:rPr>
        <w:footnoteReference w:id="36"/>
      </w:r>
      <w:r>
        <w:rPr>
          <w:noProof/>
        </w:rPr>
        <w:t>,</w:t>
      </w:r>
    </w:p>
    <w:p w14:paraId="0E05C80D" w14:textId="461F0346" w:rsidR="00470D07" w:rsidRPr="000C4F35" w:rsidRDefault="00470D07" w:rsidP="00685329">
      <w:pPr>
        <w:rPr>
          <w:noProof/>
        </w:rPr>
      </w:pPr>
      <w:r w:rsidRPr="000C4F35">
        <w:rPr>
          <w:noProof/>
        </w:rPr>
        <w:t>Having regard to the opinion of the European Economic and Social Committee</w:t>
      </w:r>
      <w:r w:rsidRPr="000C4F35">
        <w:rPr>
          <w:rStyle w:val="FootnoteReference"/>
          <w:noProof/>
        </w:rPr>
        <w:footnoteReference w:id="37"/>
      </w:r>
      <w:r w:rsidRPr="000C4F35">
        <w:rPr>
          <w:noProof/>
        </w:rPr>
        <w:t xml:space="preserve">, </w:t>
      </w:r>
    </w:p>
    <w:p w14:paraId="0ED852FF" w14:textId="77777777" w:rsidR="00470D07" w:rsidRPr="000C4F35" w:rsidRDefault="00470D07" w:rsidP="00685329">
      <w:pPr>
        <w:rPr>
          <w:noProof/>
        </w:rPr>
      </w:pPr>
      <w:r w:rsidRPr="000C4F35">
        <w:rPr>
          <w:noProof/>
        </w:rPr>
        <w:t>Acting in accordance with the ordinary legislative procedure,</w:t>
      </w:r>
    </w:p>
    <w:p w14:paraId="1BF4C3ED" w14:textId="77777777" w:rsidR="00470D07" w:rsidRPr="000C4F35" w:rsidRDefault="00470D07" w:rsidP="00685329">
      <w:pPr>
        <w:rPr>
          <w:noProof/>
        </w:rPr>
      </w:pPr>
      <w:r w:rsidRPr="000C4F35">
        <w:rPr>
          <w:noProof/>
        </w:rPr>
        <w:t>Whereas:</w:t>
      </w:r>
    </w:p>
    <w:p w14:paraId="4965D42F" w14:textId="1DE2D6A8" w:rsidR="001303C2" w:rsidRPr="001303C2" w:rsidRDefault="001678E4" w:rsidP="001678E4">
      <w:pPr>
        <w:pStyle w:val="ManualConsidrant"/>
        <w:rPr>
          <w:noProof/>
        </w:rPr>
      </w:pPr>
      <w:r w:rsidRPr="001678E4">
        <w:t>(1)</w:t>
      </w:r>
      <w:r w:rsidRPr="001678E4">
        <w:tab/>
      </w:r>
      <w:r w:rsidR="001303C2" w:rsidRPr="001303C2">
        <w:rPr>
          <w:noProof/>
        </w:rPr>
        <w:t>Regulation (EU) No 909/2014 of the European Parliament and of the Council</w:t>
      </w:r>
      <w:r w:rsidR="00C7222F">
        <w:rPr>
          <w:rStyle w:val="FootnoteReference"/>
          <w:noProof/>
        </w:rPr>
        <w:footnoteReference w:id="38"/>
      </w:r>
      <w:r w:rsidR="001303C2" w:rsidRPr="001303C2">
        <w:rPr>
          <w:noProof/>
        </w:rPr>
        <w:t xml:space="preserve"> was published in the Official Journal of the European Union on 28 August 2014, and entered into force on 17 September 2014. It standardises the requirements for the settlement of financial instruments and rules on the organisation and conduct of central securities depositories (CSDs) to promote safe, efficient and smooth settlement. That Regulation introduced shorter settlement periods, settlement discipline measures, strict organisational, conduct of business and prudential requirements for CSDs, increased prudential and supervisory requirements for CSDs and other institutions providing banking services that support securities settlement, and regime allowing authorised CSDs to provide their services across the Union.</w:t>
      </w:r>
    </w:p>
    <w:p w14:paraId="6289FA72" w14:textId="62241913" w:rsidR="001303C2" w:rsidRPr="001303C2" w:rsidRDefault="001678E4" w:rsidP="001678E4">
      <w:pPr>
        <w:pStyle w:val="ManualConsidrant"/>
        <w:rPr>
          <w:noProof/>
        </w:rPr>
      </w:pPr>
      <w:r w:rsidRPr="001678E4">
        <w:t>(1)</w:t>
      </w:r>
      <w:r w:rsidRPr="001678E4">
        <w:tab/>
      </w:r>
      <w:r w:rsidR="001303C2" w:rsidRPr="001303C2">
        <w:rPr>
          <w:noProof/>
        </w:rPr>
        <w:t>A simplification of the requirements in certain areas covered by Regulation (EU) No 909/2014, and a more proportionate approach to those areas, is in line with the Commission's Regulatory Fitness and Performance (REFIT) programme which emphasises the need for cost reduction and simplification so that Union policies achieve their objectives in the most efficient way, and aims in particular at reducing regulatory and administrative burdens.</w:t>
      </w:r>
    </w:p>
    <w:p w14:paraId="7960F3F1" w14:textId="45BC415B" w:rsidR="001303C2" w:rsidRDefault="001678E4" w:rsidP="001678E4">
      <w:pPr>
        <w:pStyle w:val="ManualConsidrant"/>
        <w:rPr>
          <w:noProof/>
        </w:rPr>
      </w:pPr>
      <w:r w:rsidRPr="001678E4">
        <w:t>(2)</w:t>
      </w:r>
      <w:r w:rsidRPr="001678E4">
        <w:tab/>
      </w:r>
      <w:r w:rsidR="001303C2" w:rsidRPr="001303C2">
        <w:rPr>
          <w:noProof/>
        </w:rPr>
        <w:t>Efficient and resilient post-trading infrastructures are essential elements for a well-functioning Capital Markets Union and they deepen the efforts to support investments, growth and jobs in line with the political priorities of the Commission. For this reason, the Commission Capital Markets Union Action Plan adopted in 2020</w:t>
      </w:r>
      <w:r w:rsidR="00C7222F">
        <w:rPr>
          <w:rStyle w:val="FootnoteReference"/>
          <w:noProof/>
        </w:rPr>
        <w:footnoteReference w:id="39"/>
      </w:r>
      <w:r w:rsidR="001303C2" w:rsidRPr="001303C2">
        <w:rPr>
          <w:noProof/>
        </w:rPr>
        <w:t xml:space="preserve"> included as one of its key actions the review of Regulation (EU) No 909/2014.</w:t>
      </w:r>
    </w:p>
    <w:p w14:paraId="180D12EC" w14:textId="034D40D1" w:rsidR="004E1342" w:rsidRPr="000C4F35" w:rsidRDefault="001678E4" w:rsidP="001678E4">
      <w:pPr>
        <w:pStyle w:val="ManualConsidrant"/>
        <w:rPr>
          <w:noProof/>
        </w:rPr>
      </w:pPr>
      <w:r w:rsidRPr="001678E4">
        <w:t>(3)</w:t>
      </w:r>
      <w:r w:rsidRPr="001678E4">
        <w:tab/>
      </w:r>
      <w:r w:rsidR="004E1342" w:rsidRPr="000C4F35">
        <w:rPr>
          <w:noProof/>
        </w:rPr>
        <w:t>In 2019, the Commission carried out a targeted consultation on the application of Regulation (EU) No 909/2014</w:t>
      </w:r>
      <w:r w:rsidR="00C7222F">
        <w:rPr>
          <w:noProof/>
        </w:rPr>
        <w:t>.</w:t>
      </w:r>
      <w:r w:rsidR="004E1342" w:rsidRPr="000C4F35" w:rsidDel="008C71AA">
        <w:rPr>
          <w:noProof/>
        </w:rPr>
        <w:t>The Commission also</w:t>
      </w:r>
      <w:r w:rsidR="008C71AA">
        <w:rPr>
          <w:noProof/>
        </w:rPr>
        <w:t xml:space="preserve"> </w:t>
      </w:r>
      <w:r w:rsidR="004E1342" w:rsidRPr="000C4F35">
        <w:rPr>
          <w:noProof/>
        </w:rPr>
        <w:t>received input</w:t>
      </w:r>
      <w:r w:rsidR="00F92AA9">
        <w:rPr>
          <w:noProof/>
        </w:rPr>
        <w:t xml:space="preserve"> </w:t>
      </w:r>
      <w:r w:rsidR="004E1342" w:rsidRPr="000C4F35">
        <w:rPr>
          <w:noProof/>
        </w:rPr>
        <w:t>from the European Securities and Markets Authority (‘ESMA’) and the European System of Central Banks (‘ESCB’). It appeared from the consultations that stakeholders support and consider as relevant the objectives of that Regulation</w:t>
      </w:r>
      <w:r w:rsidR="0001125F">
        <w:rPr>
          <w:noProof/>
        </w:rPr>
        <w:t xml:space="preserve">, i.e. </w:t>
      </w:r>
      <w:r w:rsidR="0001125F" w:rsidRPr="000C4F35">
        <w:rPr>
          <w:noProof/>
        </w:rPr>
        <w:t>to promote safe, efficient and smooth settlement</w:t>
      </w:r>
      <w:r w:rsidR="004E1342" w:rsidRPr="000C4F35">
        <w:rPr>
          <w:noProof/>
        </w:rPr>
        <w:t xml:space="preserve"> </w:t>
      </w:r>
      <w:r w:rsidR="0001125F" w:rsidRPr="0001125F">
        <w:rPr>
          <w:noProof/>
          <w:szCs w:val="24"/>
        </w:rPr>
        <w:t>of financial instruments</w:t>
      </w:r>
      <w:r w:rsidR="0001125F">
        <w:rPr>
          <w:noProof/>
          <w:szCs w:val="24"/>
        </w:rPr>
        <w:t>,</w:t>
      </w:r>
      <w:r w:rsidR="0001125F" w:rsidRPr="0001125F">
        <w:rPr>
          <w:noProof/>
          <w:szCs w:val="24"/>
        </w:rPr>
        <w:t xml:space="preserve"> </w:t>
      </w:r>
      <w:r w:rsidR="004E1342" w:rsidRPr="000C4F35">
        <w:rPr>
          <w:noProof/>
        </w:rPr>
        <w:t>and that no major overhaul was necessary. On 1 July 2021, the Commission adopted a review report</w:t>
      </w:r>
      <w:r w:rsidR="00010489">
        <w:rPr>
          <w:rStyle w:val="FootnoteReference"/>
          <w:noProof/>
        </w:rPr>
        <w:footnoteReference w:id="40"/>
      </w:r>
      <w:r w:rsidR="004E1342" w:rsidRPr="000C4F35">
        <w:rPr>
          <w:noProof/>
        </w:rPr>
        <w:t xml:space="preserve"> in accordance with Article 75 of Regulation (EU) No 909/2014. Although not all the provisions of that Regulation are fully applicable yet, the report identified areas for which targeted action is necessary to ensure that its objectives are reached in a more proportionate, efficient and effective manner</w:t>
      </w:r>
      <w:r w:rsidR="0027637B" w:rsidRPr="000C4F35">
        <w:rPr>
          <w:noProof/>
        </w:rPr>
        <w:t>.</w:t>
      </w:r>
    </w:p>
    <w:p w14:paraId="489BA793" w14:textId="286344A5" w:rsidR="00862AB2" w:rsidRPr="00E4531D" w:rsidRDefault="001678E4" w:rsidP="001678E4">
      <w:pPr>
        <w:pStyle w:val="ManualConsidrant"/>
        <w:rPr>
          <w:noProof/>
        </w:rPr>
      </w:pPr>
      <w:r w:rsidRPr="001678E4">
        <w:t>(4)</w:t>
      </w:r>
      <w:r w:rsidRPr="001678E4">
        <w:tab/>
      </w:r>
      <w:r w:rsidR="004E1342" w:rsidRPr="00E4531D">
        <w:rPr>
          <w:noProof/>
        </w:rPr>
        <w:t xml:space="preserve">Regulation (EU) No 909/2014 </w:t>
      </w:r>
      <w:r w:rsidR="001B441C" w:rsidRPr="00E4531D">
        <w:rPr>
          <w:noProof/>
        </w:rPr>
        <w:t xml:space="preserve">has </w:t>
      </w:r>
      <w:r w:rsidR="004E1342" w:rsidRPr="00E4531D">
        <w:rPr>
          <w:noProof/>
        </w:rPr>
        <w:t>introduced rules on settlement discipline to prevent and address failures in the settlement of securities transactions and therefore ensure the safety of transaction settlement. Such rules include in particular reporting requirements, a cash penalties regime and mandatory buy-ins. Despite the absence of experience in applying th</w:t>
      </w:r>
      <w:r w:rsidR="00A42CEF" w:rsidRPr="00E4531D">
        <w:rPr>
          <w:noProof/>
        </w:rPr>
        <w:t>ose</w:t>
      </w:r>
      <w:r w:rsidR="004E1342" w:rsidRPr="00E4531D">
        <w:rPr>
          <w:noProof/>
        </w:rPr>
        <w:t xml:space="preserve"> rules, the development and specification of the framework in </w:t>
      </w:r>
      <w:r w:rsidR="00B82BEB" w:rsidRPr="00E4531D">
        <w:rPr>
          <w:noProof/>
        </w:rPr>
        <w:t xml:space="preserve">Commission </w:t>
      </w:r>
      <w:r w:rsidR="0098244C" w:rsidRPr="00E4531D">
        <w:rPr>
          <w:noProof/>
        </w:rPr>
        <w:t>D</w:t>
      </w:r>
      <w:r w:rsidR="00B82BEB" w:rsidRPr="00E4531D">
        <w:rPr>
          <w:noProof/>
        </w:rPr>
        <w:t xml:space="preserve">elegated </w:t>
      </w:r>
      <w:r w:rsidR="0098244C" w:rsidRPr="00E4531D">
        <w:rPr>
          <w:noProof/>
        </w:rPr>
        <w:t>R</w:t>
      </w:r>
      <w:r w:rsidR="00B82BEB" w:rsidRPr="00E4531D">
        <w:rPr>
          <w:noProof/>
        </w:rPr>
        <w:t>egulation (EU) 2018/1229</w:t>
      </w:r>
      <w:r w:rsidR="0098244C" w:rsidRPr="00E4531D">
        <w:rPr>
          <w:rStyle w:val="FootnoteReference"/>
          <w:noProof/>
          <w:szCs w:val="24"/>
        </w:rPr>
        <w:footnoteReference w:id="41"/>
      </w:r>
      <w:r w:rsidR="00B82BEB" w:rsidRPr="00E4531D">
        <w:rPr>
          <w:noProof/>
        </w:rPr>
        <w:t xml:space="preserve"> </w:t>
      </w:r>
      <w:r w:rsidR="004E1342" w:rsidRPr="00E4531D">
        <w:rPr>
          <w:noProof/>
        </w:rPr>
        <w:t>has allowed all interested parties to better understand the regime and the challenges its application could give rise to</w:t>
      </w:r>
      <w:r w:rsidR="0027637B" w:rsidRPr="00E4531D">
        <w:rPr>
          <w:noProof/>
        </w:rPr>
        <w:t>.</w:t>
      </w:r>
      <w:r w:rsidR="003631E9">
        <w:rPr>
          <w:noProof/>
        </w:rPr>
        <w:t xml:space="preserve"> </w:t>
      </w:r>
      <w:r w:rsidR="0098244C">
        <w:rPr>
          <w:noProof/>
        </w:rPr>
        <w:t>In this regard, t</w:t>
      </w:r>
      <w:r w:rsidR="004E1342" w:rsidRPr="000C4F35">
        <w:rPr>
          <w:noProof/>
        </w:rPr>
        <w:t xml:space="preserve">he scope of cash penalties and mandatory buy-ins </w:t>
      </w:r>
      <w:r w:rsidR="003004DE">
        <w:rPr>
          <w:noProof/>
        </w:rPr>
        <w:t xml:space="preserve">set out in Article 7 of </w:t>
      </w:r>
      <w:r w:rsidR="003004DE" w:rsidRPr="00E4531D">
        <w:rPr>
          <w:noProof/>
        </w:rPr>
        <w:t xml:space="preserve">Regulation (EU) No 909/2014 </w:t>
      </w:r>
      <w:r w:rsidR="004E1342" w:rsidRPr="003004DE">
        <w:rPr>
          <w:noProof/>
        </w:rPr>
        <w:t>should</w:t>
      </w:r>
      <w:r w:rsidR="004E1342" w:rsidRPr="000C4F35">
        <w:rPr>
          <w:noProof/>
        </w:rPr>
        <w:t xml:space="preserve"> be clarified, </w:t>
      </w:r>
      <w:r w:rsidR="00A42CEF">
        <w:rPr>
          <w:noProof/>
        </w:rPr>
        <w:t>in particular</w:t>
      </w:r>
      <w:r w:rsidR="004E1342" w:rsidRPr="000C4F35">
        <w:rPr>
          <w:noProof/>
        </w:rPr>
        <w:t xml:space="preserve"> by specifying which categories of transactions are excluded. Such exclusions should cover in particular transactions that failed for reasons </w:t>
      </w:r>
      <w:r w:rsidR="00E23896">
        <w:rPr>
          <w:noProof/>
        </w:rPr>
        <w:t xml:space="preserve">not attributable </w:t>
      </w:r>
      <w:r w:rsidR="004E1342" w:rsidRPr="000C4F35">
        <w:rPr>
          <w:noProof/>
        </w:rPr>
        <w:t xml:space="preserve">to the participants </w:t>
      </w:r>
      <w:r w:rsidR="00E23896">
        <w:rPr>
          <w:noProof/>
        </w:rPr>
        <w:t>and</w:t>
      </w:r>
      <w:r w:rsidR="00E23896" w:rsidRPr="000C4F35">
        <w:rPr>
          <w:noProof/>
        </w:rPr>
        <w:t xml:space="preserve"> </w:t>
      </w:r>
      <w:r w:rsidR="004E1342" w:rsidRPr="000C4F35">
        <w:rPr>
          <w:noProof/>
        </w:rPr>
        <w:t xml:space="preserve">transactions that do not involve two trading parties, </w:t>
      </w:r>
      <w:r w:rsidR="00E618A8" w:rsidRPr="006B3BA6">
        <w:rPr>
          <w:noProof/>
        </w:rPr>
        <w:t xml:space="preserve">for which the application of cash penalties or mandatory buy-ins would not be practicable or could lead to detrimental consequences for the market, such as certain transactions </w:t>
      </w:r>
      <w:r w:rsidR="004E1342" w:rsidRPr="000C4F35">
        <w:rPr>
          <w:noProof/>
        </w:rPr>
        <w:t xml:space="preserve">from the primary market, corporate actions, reorganisations, creation and redemption of fund units and realignments. </w:t>
      </w:r>
      <w:r w:rsidR="005D4B5C">
        <w:rPr>
          <w:noProof/>
        </w:rPr>
        <w:t xml:space="preserve">The </w:t>
      </w:r>
      <w:r w:rsidR="001B441C" w:rsidRPr="00E4531D">
        <w:rPr>
          <w:noProof/>
        </w:rPr>
        <w:t xml:space="preserve">Commission </w:t>
      </w:r>
      <w:r w:rsidR="009D5E02" w:rsidRPr="00E4531D">
        <w:rPr>
          <w:noProof/>
        </w:rPr>
        <w:t xml:space="preserve">should be empowered to </w:t>
      </w:r>
      <w:r w:rsidR="00963663" w:rsidRPr="00E4531D">
        <w:rPr>
          <w:noProof/>
        </w:rPr>
        <w:t xml:space="preserve">supplement Regulation </w:t>
      </w:r>
      <w:r w:rsidR="00963663" w:rsidRPr="00963663">
        <w:rPr>
          <w:noProof/>
        </w:rPr>
        <w:t xml:space="preserve">(EU) No 909/2014 </w:t>
      </w:r>
      <w:r w:rsidR="00963663">
        <w:rPr>
          <w:noProof/>
        </w:rPr>
        <w:t xml:space="preserve">by </w:t>
      </w:r>
      <w:r w:rsidR="001B441C" w:rsidRPr="00E4531D">
        <w:rPr>
          <w:noProof/>
        </w:rPr>
        <w:t>further specify</w:t>
      </w:r>
      <w:r w:rsidR="00963663" w:rsidRPr="00E4531D">
        <w:rPr>
          <w:noProof/>
        </w:rPr>
        <w:t>ing</w:t>
      </w:r>
      <w:r w:rsidR="001B441C" w:rsidRPr="00E4531D">
        <w:rPr>
          <w:noProof/>
        </w:rPr>
        <w:t xml:space="preserve"> t</w:t>
      </w:r>
      <w:r w:rsidR="004E1342" w:rsidRPr="00E4531D">
        <w:rPr>
          <w:noProof/>
        </w:rPr>
        <w:t xml:space="preserve">he details of such exclusions </w:t>
      </w:r>
      <w:r w:rsidR="005D4B5C" w:rsidRPr="00E4531D">
        <w:rPr>
          <w:noProof/>
        </w:rPr>
        <w:t>by means of a</w:t>
      </w:r>
      <w:r w:rsidR="004E1342" w:rsidRPr="00E4531D">
        <w:rPr>
          <w:noProof/>
        </w:rPr>
        <w:t xml:space="preserve"> delegated act</w:t>
      </w:r>
      <w:r w:rsidR="0027637B" w:rsidRPr="00E4531D">
        <w:rPr>
          <w:noProof/>
        </w:rPr>
        <w:t>.</w:t>
      </w:r>
    </w:p>
    <w:p w14:paraId="167882F4" w14:textId="39951C16" w:rsidR="00BA2808" w:rsidRPr="000C4F35" w:rsidRDefault="001678E4" w:rsidP="001678E4">
      <w:pPr>
        <w:pStyle w:val="ManualConsidrant"/>
        <w:rPr>
          <w:noProof/>
        </w:rPr>
      </w:pPr>
      <w:r w:rsidRPr="001678E4">
        <w:t>(5)</w:t>
      </w:r>
      <w:r w:rsidRPr="001678E4">
        <w:tab/>
      </w:r>
      <w:r w:rsidR="00BA2808" w:rsidRPr="000642EC">
        <w:rPr>
          <w:noProof/>
        </w:rPr>
        <w:t>The overarching objective of the settlement discipline regime is to improve settlement efficiency within the Union. However, the market volatility in 2020 amplified concerns about the potential negative effects of mandatory buy-in</w:t>
      </w:r>
      <w:r w:rsidR="00BA2808">
        <w:rPr>
          <w:noProof/>
        </w:rPr>
        <w:t xml:space="preserve"> rules</w:t>
      </w:r>
      <w:r w:rsidR="00BA2808" w:rsidRPr="000642EC">
        <w:rPr>
          <w:noProof/>
        </w:rPr>
        <w:t xml:space="preserve">, both in normal and stressed market conditions. The application of those rules should therefore be </w:t>
      </w:r>
      <w:r w:rsidR="00BA2808">
        <w:rPr>
          <w:noProof/>
        </w:rPr>
        <w:t>subject to an assessment by the Commission as to its appropriateness in the light of the evolution of settlement efficiency in the Union. C</w:t>
      </w:r>
      <w:r w:rsidR="00BA2808" w:rsidRPr="000642EC">
        <w:rPr>
          <w:noProof/>
        </w:rPr>
        <w:t xml:space="preserve">ash penalties and reporting requirements </w:t>
      </w:r>
      <w:r w:rsidR="00BA2808">
        <w:rPr>
          <w:noProof/>
        </w:rPr>
        <w:t>should</w:t>
      </w:r>
      <w:r w:rsidR="00BA2808" w:rsidRPr="000642EC">
        <w:rPr>
          <w:noProof/>
        </w:rPr>
        <w:t xml:space="preserve"> </w:t>
      </w:r>
      <w:r w:rsidR="00BA2808">
        <w:rPr>
          <w:noProof/>
        </w:rPr>
        <w:t xml:space="preserve">however </w:t>
      </w:r>
      <w:r w:rsidR="00BA2808" w:rsidRPr="000642EC">
        <w:rPr>
          <w:noProof/>
        </w:rPr>
        <w:t>continue to apply</w:t>
      </w:r>
      <w:r w:rsidR="00BA2808">
        <w:rPr>
          <w:noProof/>
        </w:rPr>
        <w:t xml:space="preserve"> in order to assess their impact on improving settlement efficiency in the Union</w:t>
      </w:r>
      <w:r w:rsidR="00BA2808" w:rsidRPr="000642EC">
        <w:rPr>
          <w:noProof/>
        </w:rPr>
        <w:t>. Considering the potential impacts of mandatory buy-in</w:t>
      </w:r>
      <w:r w:rsidR="00BA2808">
        <w:rPr>
          <w:noProof/>
        </w:rPr>
        <w:t xml:space="preserve"> rules</w:t>
      </w:r>
      <w:r w:rsidR="00BA2808" w:rsidRPr="000642EC">
        <w:rPr>
          <w:noProof/>
        </w:rPr>
        <w:t xml:space="preserve">, such rules should apply only where certain conditions are met, namely where the application of cash penalties </w:t>
      </w:r>
      <w:r w:rsidR="00BA2808" w:rsidRPr="00541785">
        <w:rPr>
          <w:noProof/>
        </w:rPr>
        <w:t>has not resu</w:t>
      </w:r>
      <w:r w:rsidR="00BA2808">
        <w:rPr>
          <w:noProof/>
        </w:rPr>
        <w:t>lted in a long-term, continuous</w:t>
      </w:r>
      <w:r w:rsidR="00BA2808" w:rsidRPr="00541785">
        <w:rPr>
          <w:noProof/>
        </w:rPr>
        <w:t xml:space="preserve"> reduction</w:t>
      </w:r>
      <w:r w:rsidR="00BA2808">
        <w:rPr>
          <w:noProof/>
        </w:rPr>
        <w:t xml:space="preserve"> of settlement fails in the Union,</w:t>
      </w:r>
      <w:r w:rsidR="00BA2808" w:rsidRPr="000642EC">
        <w:rPr>
          <w:noProof/>
        </w:rPr>
        <w:t xml:space="preserve"> where settlement efficiency in the Union has not reached appropriate levels </w:t>
      </w:r>
      <w:r w:rsidR="00BA2808">
        <w:rPr>
          <w:noProof/>
        </w:rPr>
        <w:t xml:space="preserve">considering </w:t>
      </w:r>
      <w:r w:rsidR="00BA2808" w:rsidRPr="000642EC">
        <w:rPr>
          <w:noProof/>
        </w:rPr>
        <w:t>the situation in third-country capital markets</w:t>
      </w:r>
      <w:r w:rsidR="00BA2808">
        <w:rPr>
          <w:noProof/>
        </w:rPr>
        <w:t xml:space="preserve"> that are comparable in terms of size, liquidity as well as </w:t>
      </w:r>
      <w:r w:rsidR="00BA2808" w:rsidRPr="00F60111">
        <w:rPr>
          <w:noProof/>
        </w:rPr>
        <w:t>instruments traded and types of transactions executed</w:t>
      </w:r>
      <w:r w:rsidR="00BA2808">
        <w:rPr>
          <w:noProof/>
        </w:rPr>
        <w:t xml:space="preserve"> on such markets,</w:t>
      </w:r>
      <w:r w:rsidR="00BA2808" w:rsidRPr="000642EC">
        <w:rPr>
          <w:noProof/>
        </w:rPr>
        <w:t xml:space="preserve"> or where the level of settlement fails in the Union has or is likely to have a negative effect on the financial stability of the Union. </w:t>
      </w:r>
      <w:r w:rsidR="00BA2808" w:rsidRPr="006B3BA6">
        <w:rPr>
          <w:noProof/>
        </w:rPr>
        <w:t>Where</w:t>
      </w:r>
      <w:r w:rsidR="00CC3D69">
        <w:rPr>
          <w:noProof/>
        </w:rPr>
        <w:t xml:space="preserve"> the Commission considers that </w:t>
      </w:r>
      <w:r w:rsidR="00BA2808" w:rsidRPr="00E4531D">
        <w:rPr>
          <w:noProof/>
        </w:rPr>
        <w:t>any</w:t>
      </w:r>
      <w:r w:rsidR="00BA2808">
        <w:rPr>
          <w:noProof/>
        </w:rPr>
        <w:t xml:space="preserve"> of </w:t>
      </w:r>
      <w:r w:rsidR="00BA2808" w:rsidRPr="000642EC">
        <w:rPr>
          <w:noProof/>
        </w:rPr>
        <w:t>th</w:t>
      </w:r>
      <w:r w:rsidR="00BA2808">
        <w:rPr>
          <w:noProof/>
        </w:rPr>
        <w:t>o</w:t>
      </w:r>
      <w:r w:rsidR="00BA2808" w:rsidRPr="000642EC">
        <w:rPr>
          <w:noProof/>
        </w:rPr>
        <w:t xml:space="preserve">se conditions </w:t>
      </w:r>
      <w:r w:rsidR="00BA2808">
        <w:rPr>
          <w:noProof/>
        </w:rPr>
        <w:t>is</w:t>
      </w:r>
      <w:r w:rsidR="00BA2808" w:rsidRPr="000642EC">
        <w:rPr>
          <w:noProof/>
        </w:rPr>
        <w:t xml:space="preserve"> met</w:t>
      </w:r>
      <w:r w:rsidR="00CC3D69">
        <w:rPr>
          <w:noProof/>
        </w:rPr>
        <w:t xml:space="preserve"> and that the application of mandatory buy-in</w:t>
      </w:r>
      <w:r w:rsidR="00FA34ED">
        <w:rPr>
          <w:noProof/>
        </w:rPr>
        <w:t>s</w:t>
      </w:r>
      <w:r w:rsidR="00CC3D69">
        <w:rPr>
          <w:noProof/>
        </w:rPr>
        <w:t xml:space="preserve"> is proportionate to address level of settlement fails in the Union</w:t>
      </w:r>
      <w:r w:rsidR="00BA2808" w:rsidRPr="000642EC">
        <w:rPr>
          <w:noProof/>
        </w:rPr>
        <w:t xml:space="preserve">, the Commission should be empowered to adopt an implementing act determining for which financial instruments or categories of transactions the mandatory buy-in rules should start to </w:t>
      </w:r>
      <w:r w:rsidR="00BA2808" w:rsidRPr="0053665F">
        <w:rPr>
          <w:noProof/>
        </w:rPr>
        <w:t>apply.</w:t>
      </w:r>
      <w:r w:rsidR="0053665F" w:rsidRPr="00D473D5">
        <w:rPr>
          <w:noProof/>
          <w:color w:val="1F497D"/>
        </w:rPr>
        <w:t xml:space="preserve"> </w:t>
      </w:r>
      <w:r w:rsidR="0053665F" w:rsidRPr="0053665F">
        <w:rPr>
          <w:noProof/>
        </w:rPr>
        <w:t xml:space="preserve">The cash penalties referred to in the third subparagraph of Article 7(2) of Regulation </w:t>
      </w:r>
      <w:r w:rsidR="004D5264">
        <w:rPr>
          <w:noProof/>
        </w:rPr>
        <w:t xml:space="preserve">(EU) No </w:t>
      </w:r>
      <w:r w:rsidR="0053665F" w:rsidRPr="0053665F">
        <w:rPr>
          <w:noProof/>
        </w:rPr>
        <w:t>909/2014 should be calculated on a daily basis for each business day that a transaction fails to be settled until the end of the buy-in process or the actual settlement day, whichever is the earlier</w:t>
      </w:r>
      <w:r w:rsidR="00824F11">
        <w:rPr>
          <w:noProof/>
        </w:rPr>
        <w:t xml:space="preserve">. </w:t>
      </w:r>
    </w:p>
    <w:p w14:paraId="2844883C" w14:textId="4BFCBABF" w:rsidR="004E1342" w:rsidRPr="000C4F35" w:rsidRDefault="001678E4" w:rsidP="001678E4">
      <w:pPr>
        <w:pStyle w:val="ManualConsidrant"/>
        <w:rPr>
          <w:noProof/>
        </w:rPr>
      </w:pPr>
      <w:r w:rsidRPr="001678E4">
        <w:t>(6)</w:t>
      </w:r>
      <w:r w:rsidRPr="001678E4">
        <w:tab/>
      </w:r>
      <w:r w:rsidR="004E1342" w:rsidRPr="000C4F35">
        <w:rPr>
          <w:noProof/>
        </w:rPr>
        <w:t>To avoid a multiplicity of buy-ins for a transactions on the same financial instrument along a chain of counterparties, which could trigger unnecessary duplicative costs and could affect the liquidity of the financial instrument, a ‘pass-on’ mechanism should be available to participants</w:t>
      </w:r>
      <w:r w:rsidR="001C74FD">
        <w:rPr>
          <w:noProof/>
        </w:rPr>
        <w:t xml:space="preserve"> in such transactions</w:t>
      </w:r>
      <w:r w:rsidR="001E584D">
        <w:rPr>
          <w:noProof/>
        </w:rPr>
        <w:t>.</w:t>
      </w:r>
      <w:r w:rsidR="004E1342" w:rsidRPr="000C4F35">
        <w:rPr>
          <w:noProof/>
        </w:rPr>
        <w:t xml:space="preserve"> </w:t>
      </w:r>
      <w:r w:rsidR="001E584D">
        <w:rPr>
          <w:noProof/>
        </w:rPr>
        <w:t>E</w:t>
      </w:r>
      <w:r w:rsidR="004E1342" w:rsidRPr="000C4F35">
        <w:rPr>
          <w:noProof/>
        </w:rPr>
        <w:t>ach participant involved in the transaction chain should be allowed to pass-on a buy-in notification to the participant failing to them until it reaches the original failing participant</w:t>
      </w:r>
      <w:r w:rsidR="0027637B" w:rsidRPr="000C4F35">
        <w:rPr>
          <w:noProof/>
        </w:rPr>
        <w:t>.</w:t>
      </w:r>
    </w:p>
    <w:p w14:paraId="682B251C" w14:textId="2F5ADDD3" w:rsidR="004E1342" w:rsidRPr="000C4F35" w:rsidRDefault="001678E4" w:rsidP="001678E4">
      <w:pPr>
        <w:pStyle w:val="ManualConsidrant"/>
        <w:rPr>
          <w:noProof/>
        </w:rPr>
      </w:pPr>
      <w:r w:rsidRPr="001678E4">
        <w:t>(7)</w:t>
      </w:r>
      <w:r w:rsidRPr="001678E4">
        <w:tab/>
      </w:r>
      <w:r w:rsidR="004E1342" w:rsidRPr="000C4F35">
        <w:rPr>
          <w:noProof/>
        </w:rPr>
        <w:t>Mandatory buy-ins and cash compensation processes allow for the payment of the difference between the buy-in price and the original trade price to be made from the seller to the purchaser only where that buy-in or cash compensation reference price is higher than the original trade price. This asymmetry for the payment of the differential could create an unequitable remedy that would unduly benefit the purchaser in the event that the buy-in or reference price is lower than the original trade price. The payment of the differential between the buy-in price and the original trade price should th</w:t>
      </w:r>
      <w:r w:rsidR="006555C3">
        <w:rPr>
          <w:noProof/>
        </w:rPr>
        <w:t>erefore</w:t>
      </w:r>
      <w:r w:rsidR="004E1342" w:rsidRPr="000C4F35">
        <w:rPr>
          <w:noProof/>
        </w:rPr>
        <w:t xml:space="preserve"> apply in both directions to ensure that the trading parties are restored to the economic terms, had the original transaction taken place</w:t>
      </w:r>
      <w:r w:rsidR="0027637B" w:rsidRPr="000C4F35">
        <w:rPr>
          <w:noProof/>
        </w:rPr>
        <w:t>.</w:t>
      </w:r>
    </w:p>
    <w:p w14:paraId="5A3B8FAB" w14:textId="75894CF9" w:rsidR="004E1342" w:rsidRPr="000C4F35" w:rsidRDefault="001678E4" w:rsidP="001678E4">
      <w:pPr>
        <w:pStyle w:val="ManualConsidrant"/>
        <w:rPr>
          <w:noProof/>
        </w:rPr>
      </w:pPr>
      <w:r w:rsidRPr="001678E4">
        <w:t>(8)</w:t>
      </w:r>
      <w:r w:rsidRPr="001678E4">
        <w:tab/>
      </w:r>
      <w:r w:rsidR="004E1342" w:rsidRPr="000C4F35">
        <w:rPr>
          <w:noProof/>
        </w:rPr>
        <w:t xml:space="preserve">The settlement discipline regime </w:t>
      </w:r>
      <w:r w:rsidR="00B82BEB">
        <w:rPr>
          <w:noProof/>
        </w:rPr>
        <w:t>set ou</w:t>
      </w:r>
      <w:r w:rsidR="00253331">
        <w:rPr>
          <w:noProof/>
        </w:rPr>
        <w:t>t</w:t>
      </w:r>
      <w:r w:rsidR="00B82BEB">
        <w:rPr>
          <w:noProof/>
        </w:rPr>
        <w:t xml:space="preserve"> in Article 7 of </w:t>
      </w:r>
      <w:r w:rsidR="00253331">
        <w:rPr>
          <w:noProof/>
        </w:rPr>
        <w:t>Regulation (EU) No 909/2014</w:t>
      </w:r>
      <w:r w:rsidR="00B82BEB">
        <w:rPr>
          <w:noProof/>
        </w:rPr>
        <w:t xml:space="preserve"> </w:t>
      </w:r>
      <w:r w:rsidR="004E1342" w:rsidRPr="000C4F35">
        <w:rPr>
          <w:noProof/>
        </w:rPr>
        <w:t>should not apply to a failing participant</w:t>
      </w:r>
      <w:r w:rsidR="00370AE0">
        <w:rPr>
          <w:noProof/>
        </w:rPr>
        <w:t>,</w:t>
      </w:r>
      <w:r w:rsidR="004E1342" w:rsidRPr="000C4F35">
        <w:rPr>
          <w:noProof/>
        </w:rPr>
        <w:t xml:space="preserve"> which is a central counterparty (‘CCP’) as defined in Regulation (EU) No 648/2012</w:t>
      </w:r>
      <w:r w:rsidR="00415A4E">
        <w:rPr>
          <w:noProof/>
        </w:rPr>
        <w:t xml:space="preserve"> </w:t>
      </w:r>
      <w:r w:rsidR="00415A4E" w:rsidRPr="0001125F">
        <w:rPr>
          <w:noProof/>
        </w:rPr>
        <w:t>of the European Parliament and of the Council</w:t>
      </w:r>
      <w:r w:rsidR="00415A4E" w:rsidRPr="000C4F35">
        <w:rPr>
          <w:rStyle w:val="FootnoteReference"/>
          <w:noProof/>
          <w:szCs w:val="24"/>
        </w:rPr>
        <w:footnoteReference w:id="42"/>
      </w:r>
      <w:r w:rsidR="004E1342" w:rsidRPr="000C4F35">
        <w:rPr>
          <w:noProof/>
        </w:rPr>
        <w:t>. However, for transactions entered into by a CCP where it does not interpose itself between counterparties, such as permitted use of collateral for investment purposes, the CPP should be subject to the settlement discipline regime like any other participant</w:t>
      </w:r>
      <w:r w:rsidR="0027637B" w:rsidRPr="000C4F35">
        <w:rPr>
          <w:noProof/>
        </w:rPr>
        <w:t>.</w:t>
      </w:r>
    </w:p>
    <w:p w14:paraId="3A036D8F" w14:textId="59ADA46A" w:rsidR="004E1342" w:rsidRPr="000C4F35" w:rsidRDefault="001678E4" w:rsidP="001678E4">
      <w:pPr>
        <w:pStyle w:val="ManualConsidrant"/>
        <w:rPr>
          <w:noProof/>
        </w:rPr>
      </w:pPr>
      <w:r w:rsidRPr="001678E4">
        <w:t>(9)</w:t>
      </w:r>
      <w:r w:rsidRPr="001678E4">
        <w:tab/>
      </w:r>
      <w:r w:rsidR="004E1342" w:rsidRPr="000C4F35">
        <w:rPr>
          <w:noProof/>
        </w:rPr>
        <w:t xml:space="preserve">Where the </w:t>
      </w:r>
      <w:r w:rsidR="004E1342" w:rsidRPr="006B3BA6">
        <w:rPr>
          <w:noProof/>
        </w:rPr>
        <w:t xml:space="preserve">mandatory buy-ins apply, it should </w:t>
      </w:r>
      <w:r w:rsidR="004E1342" w:rsidRPr="000C4F35">
        <w:rPr>
          <w:noProof/>
        </w:rPr>
        <w:t>be possible</w:t>
      </w:r>
      <w:r w:rsidR="00010489">
        <w:rPr>
          <w:noProof/>
        </w:rPr>
        <w:t xml:space="preserve"> for the Commission</w:t>
      </w:r>
      <w:r w:rsidR="004E1342" w:rsidRPr="000C4F35">
        <w:rPr>
          <w:noProof/>
        </w:rPr>
        <w:t xml:space="preserve"> to temporarily suspend their application in certain exceptional situations. Such a suspension should be possible for specific categories of financial instruments where necessary to avoid or address a serious threat to financial stability or to the orderly functioning of financial markets in the Union</w:t>
      </w:r>
      <w:r w:rsidR="00FE06B4">
        <w:rPr>
          <w:noProof/>
        </w:rPr>
        <w:t>. Such a</w:t>
      </w:r>
      <w:r w:rsidR="004E1342" w:rsidRPr="000C4F35">
        <w:rPr>
          <w:noProof/>
        </w:rPr>
        <w:t xml:space="preserve"> suspension </w:t>
      </w:r>
      <w:r w:rsidR="00FE06B4">
        <w:rPr>
          <w:noProof/>
        </w:rPr>
        <w:t>should be</w:t>
      </w:r>
      <w:r w:rsidR="004E1342" w:rsidRPr="000C4F35">
        <w:rPr>
          <w:noProof/>
        </w:rPr>
        <w:t xml:space="preserve"> proportionate to those aims</w:t>
      </w:r>
      <w:r w:rsidR="0027637B" w:rsidRPr="000C4F35">
        <w:rPr>
          <w:noProof/>
        </w:rPr>
        <w:t>.</w:t>
      </w:r>
    </w:p>
    <w:p w14:paraId="308EEA01" w14:textId="3D72016E" w:rsidR="004E1342" w:rsidRPr="000C4F35" w:rsidRDefault="001678E4" w:rsidP="001678E4">
      <w:pPr>
        <w:pStyle w:val="ManualConsidrant"/>
        <w:rPr>
          <w:noProof/>
        </w:rPr>
      </w:pPr>
      <w:r w:rsidRPr="001678E4">
        <w:t>(10)</w:t>
      </w:r>
      <w:r w:rsidRPr="001678E4">
        <w:tab/>
      </w:r>
      <w:r w:rsidR="00003E40">
        <w:rPr>
          <w:noProof/>
        </w:rPr>
        <w:t>T</w:t>
      </w:r>
      <w:r w:rsidR="004E1342" w:rsidRPr="000C4F35">
        <w:rPr>
          <w:noProof/>
        </w:rPr>
        <w:t xml:space="preserve">he context of negative interest rates should be taken into account </w:t>
      </w:r>
      <w:r w:rsidR="00003E40">
        <w:rPr>
          <w:noProof/>
        </w:rPr>
        <w:t xml:space="preserve">in the delegated act for the calculation of cash penalties </w:t>
      </w:r>
      <w:r w:rsidR="004E1342" w:rsidRPr="000C4F35">
        <w:rPr>
          <w:noProof/>
        </w:rPr>
        <w:t>in order to avoid unintended effects on the non-failing participant by eliminating any adverse incentives to fail that may arise in a low or negative interest rate environment</w:t>
      </w:r>
      <w:r w:rsidR="0027637B" w:rsidRPr="000C4F35">
        <w:rPr>
          <w:noProof/>
        </w:rPr>
        <w:t>.</w:t>
      </w:r>
    </w:p>
    <w:p w14:paraId="75B40725" w14:textId="181A2108" w:rsidR="004E1342" w:rsidRPr="000C4F35" w:rsidRDefault="001678E4" w:rsidP="001678E4">
      <w:pPr>
        <w:pStyle w:val="ManualConsidrant"/>
        <w:rPr>
          <w:noProof/>
        </w:rPr>
      </w:pPr>
      <w:r w:rsidRPr="001678E4">
        <w:t>(11)</w:t>
      </w:r>
      <w:r w:rsidRPr="001678E4">
        <w:tab/>
      </w:r>
      <w:r w:rsidR="004E1342" w:rsidRPr="000C4F35">
        <w:rPr>
          <w:noProof/>
        </w:rPr>
        <w:t xml:space="preserve">ESMA </w:t>
      </w:r>
      <w:r w:rsidR="004E1342" w:rsidRPr="006B3BA6">
        <w:rPr>
          <w:noProof/>
        </w:rPr>
        <w:t xml:space="preserve">should </w:t>
      </w:r>
      <w:r w:rsidR="00C42B3E" w:rsidRPr="006B3BA6">
        <w:rPr>
          <w:noProof/>
        </w:rPr>
        <w:t xml:space="preserve">prepare draft regulatory standards to </w:t>
      </w:r>
      <w:r w:rsidR="004E1342" w:rsidRPr="006B3BA6">
        <w:rPr>
          <w:noProof/>
        </w:rPr>
        <w:t xml:space="preserve">revise the existing regulatory technical standards in order to take into account the changes made to Regulation (EU) No 909/2014 </w:t>
      </w:r>
      <w:r w:rsidR="00C42B3E" w:rsidRPr="006B3BA6">
        <w:rPr>
          <w:noProof/>
        </w:rPr>
        <w:t>in order to enable the Commission to</w:t>
      </w:r>
      <w:r w:rsidR="004E1342" w:rsidRPr="000C4F35">
        <w:rPr>
          <w:noProof/>
        </w:rPr>
        <w:t xml:space="preserve"> make any necessary corrections or amendments with a view to clarifying the requirements set out in such regulatory technical standard, such as the conditions under which participants may execute their own buy-ins</w:t>
      </w:r>
      <w:r w:rsidR="0027637B" w:rsidRPr="000C4F35">
        <w:rPr>
          <w:noProof/>
        </w:rPr>
        <w:t>.</w:t>
      </w:r>
    </w:p>
    <w:p w14:paraId="16830E08" w14:textId="52E78D07" w:rsidR="004E1342" w:rsidRPr="000C4F35" w:rsidRDefault="001678E4" w:rsidP="001678E4">
      <w:pPr>
        <w:pStyle w:val="ManualConsidrant"/>
        <w:rPr>
          <w:noProof/>
        </w:rPr>
      </w:pPr>
      <w:r w:rsidRPr="001678E4">
        <w:t>(12)</w:t>
      </w:r>
      <w:r w:rsidRPr="001678E4">
        <w:tab/>
      </w:r>
      <w:r w:rsidR="004E1342" w:rsidRPr="000C4F35">
        <w:rPr>
          <w:noProof/>
        </w:rPr>
        <w:t>Where a</w:t>
      </w:r>
      <w:r w:rsidR="006F60A1">
        <w:rPr>
          <w:noProof/>
        </w:rPr>
        <w:t xml:space="preserve"> </w:t>
      </w:r>
      <w:r w:rsidR="006F60A1" w:rsidRPr="006B3BA6">
        <w:rPr>
          <w:noProof/>
        </w:rPr>
        <w:t>central securities depository</w:t>
      </w:r>
      <w:r w:rsidR="004E1342" w:rsidRPr="006B3BA6">
        <w:rPr>
          <w:noProof/>
        </w:rPr>
        <w:t xml:space="preserve"> </w:t>
      </w:r>
      <w:r w:rsidR="006F60A1" w:rsidRPr="006B3BA6">
        <w:rPr>
          <w:noProof/>
        </w:rPr>
        <w:t>(</w:t>
      </w:r>
      <w:r w:rsidR="004E1342" w:rsidRPr="006B3BA6">
        <w:rPr>
          <w:noProof/>
        </w:rPr>
        <w:t>CSD</w:t>
      </w:r>
      <w:r w:rsidR="006F60A1" w:rsidRPr="006B3BA6">
        <w:rPr>
          <w:noProof/>
        </w:rPr>
        <w:t>)</w:t>
      </w:r>
      <w:r w:rsidR="004E1342" w:rsidRPr="000C4F35">
        <w:rPr>
          <w:noProof/>
        </w:rPr>
        <w:t xml:space="preserve"> does not carry out a settlement activity before the beginning of the authorisation process, the criteria determining which relevant authorities should be involved in such authorisation process should take into account the anticipated settlement activity</w:t>
      </w:r>
      <w:r w:rsidR="00045186">
        <w:rPr>
          <w:noProof/>
        </w:rPr>
        <w:t xml:space="preserve"> </w:t>
      </w:r>
      <w:r w:rsidR="00456A9F">
        <w:rPr>
          <w:noProof/>
        </w:rPr>
        <w:t>to</w:t>
      </w:r>
      <w:r w:rsidR="004E1342" w:rsidRPr="000C4F35">
        <w:rPr>
          <w:noProof/>
        </w:rPr>
        <w:t xml:space="preserve"> ensure that the views of all relevant authorities potentially interested in the activities of that CSD are taken into account</w:t>
      </w:r>
      <w:r w:rsidR="0027637B" w:rsidRPr="000C4F35">
        <w:rPr>
          <w:noProof/>
        </w:rPr>
        <w:t xml:space="preserve">. </w:t>
      </w:r>
    </w:p>
    <w:p w14:paraId="3CBDF87C" w14:textId="4CA4373A" w:rsidR="004E1342" w:rsidRPr="000C4F35" w:rsidRDefault="001678E4" w:rsidP="001678E4">
      <w:pPr>
        <w:pStyle w:val="ManualConsidrant"/>
        <w:rPr>
          <w:noProof/>
        </w:rPr>
      </w:pPr>
      <w:r w:rsidRPr="001678E4">
        <w:t>(13)</w:t>
      </w:r>
      <w:r w:rsidRPr="001678E4">
        <w:tab/>
      </w:r>
      <w:r w:rsidR="0016747E">
        <w:rPr>
          <w:noProof/>
        </w:rPr>
        <w:t>W</w:t>
      </w:r>
      <w:r w:rsidR="004E1342" w:rsidRPr="000C4F35">
        <w:rPr>
          <w:noProof/>
        </w:rPr>
        <w:t xml:space="preserve">hile Regulation (EU) No 909/2014 requires national supervisors to </w:t>
      </w:r>
      <w:r w:rsidR="0016747E">
        <w:rPr>
          <w:noProof/>
        </w:rPr>
        <w:t xml:space="preserve">cooperate with and </w:t>
      </w:r>
      <w:r w:rsidR="004E1342" w:rsidRPr="000C4F35">
        <w:rPr>
          <w:noProof/>
        </w:rPr>
        <w:t xml:space="preserve">involve relevant authorities, </w:t>
      </w:r>
      <w:r w:rsidR="0016747E">
        <w:rPr>
          <w:noProof/>
        </w:rPr>
        <w:t>national supervisors</w:t>
      </w:r>
      <w:r w:rsidR="004E1342" w:rsidRPr="000C4F35">
        <w:rPr>
          <w:noProof/>
        </w:rPr>
        <w:t xml:space="preserve"> are not required to inform the </w:t>
      </w:r>
      <w:r w:rsidR="0016747E">
        <w:rPr>
          <w:noProof/>
        </w:rPr>
        <w:t>those relevant authorities</w:t>
      </w:r>
      <w:r w:rsidR="004E1342" w:rsidRPr="000C4F35">
        <w:rPr>
          <w:noProof/>
        </w:rPr>
        <w:t xml:space="preserve"> if and how their views have been considered in the outcome of the authorisation process and if additional issues have been identified in the course of annual reviews and evaluations. The relevant authorities should therefore be able to issue reasoned opinions on the authorisation of CSDs and the review and evaluation process</w:t>
      </w:r>
      <w:r w:rsidR="009226C7">
        <w:rPr>
          <w:noProof/>
        </w:rPr>
        <w:t>. T</w:t>
      </w:r>
      <w:r w:rsidR="004E1342" w:rsidRPr="000C4F35">
        <w:rPr>
          <w:noProof/>
        </w:rPr>
        <w:t>he competent authorities should take into account such opinions or explain in a reasoned decision why such opinions were not followed</w:t>
      </w:r>
      <w:r w:rsidR="0027637B" w:rsidRPr="000C4F35">
        <w:rPr>
          <w:noProof/>
        </w:rPr>
        <w:t>.</w:t>
      </w:r>
    </w:p>
    <w:p w14:paraId="5EF293FF" w14:textId="53E9D52E" w:rsidR="004E1342" w:rsidRPr="000C4F35" w:rsidRDefault="001678E4" w:rsidP="001678E4">
      <w:pPr>
        <w:pStyle w:val="ManualConsidrant"/>
        <w:rPr>
          <w:noProof/>
        </w:rPr>
      </w:pPr>
      <w:r w:rsidRPr="001678E4">
        <w:t>(14)</w:t>
      </w:r>
      <w:r w:rsidRPr="001678E4">
        <w:tab/>
      </w:r>
      <w:r w:rsidR="004E1342" w:rsidRPr="000C4F35">
        <w:rPr>
          <w:noProof/>
        </w:rPr>
        <w:t>Regular reviews and evaluations of CSDs by competent authorities are necessary to ensure that CSDs continue to have in place appropriate arrangements, strategies, processes and mechanisms to evaluate the risks to which the CSD is, or might be, exposed or which may constitute a threat to the smooth functioning of securities markets. Experience has</w:t>
      </w:r>
      <w:r w:rsidR="009A50B6">
        <w:rPr>
          <w:noProof/>
        </w:rPr>
        <w:t>,</w:t>
      </w:r>
      <w:r w:rsidR="004E1342" w:rsidRPr="000C4F35">
        <w:rPr>
          <w:noProof/>
        </w:rPr>
        <w:t xml:space="preserve"> however</w:t>
      </w:r>
      <w:r w:rsidR="009A50B6">
        <w:rPr>
          <w:noProof/>
        </w:rPr>
        <w:t>,</w:t>
      </w:r>
      <w:r w:rsidR="004E1342" w:rsidRPr="000C4F35">
        <w:rPr>
          <w:noProof/>
        </w:rPr>
        <w:t xml:space="preserve"> shown that an annual review and evaluation is disproportionately burdensome for both CSDs and competent authorities and with limited added value. A more appropriately calibrated periodicity should therefore be set in order to alleviate this burden and avoid a duplication of information from one review the other. </w:t>
      </w:r>
      <w:r w:rsidR="009A50B6">
        <w:rPr>
          <w:noProof/>
        </w:rPr>
        <w:t>T</w:t>
      </w:r>
      <w:r w:rsidR="004E1342" w:rsidRPr="000C4F35">
        <w:rPr>
          <w:noProof/>
        </w:rPr>
        <w:t xml:space="preserve">he supervisory capacities of competent authorities </w:t>
      </w:r>
      <w:r w:rsidR="009A50B6">
        <w:rPr>
          <w:noProof/>
        </w:rPr>
        <w:t>and</w:t>
      </w:r>
      <w:r w:rsidR="004E1342" w:rsidRPr="000C4F35">
        <w:rPr>
          <w:noProof/>
        </w:rPr>
        <w:t xml:space="preserve"> the objective of safeguarding financial stability</w:t>
      </w:r>
      <w:r w:rsidR="009A50B6">
        <w:rPr>
          <w:noProof/>
        </w:rPr>
        <w:t xml:space="preserve"> should</w:t>
      </w:r>
      <w:r w:rsidR="00E44564">
        <w:rPr>
          <w:noProof/>
        </w:rPr>
        <w:t>, however, not</w:t>
      </w:r>
      <w:r w:rsidR="009A50B6">
        <w:rPr>
          <w:noProof/>
        </w:rPr>
        <w:t xml:space="preserve"> be</w:t>
      </w:r>
      <w:r w:rsidR="00E44564">
        <w:rPr>
          <w:noProof/>
        </w:rPr>
        <w:t xml:space="preserve"> </w:t>
      </w:r>
      <w:r w:rsidR="009A50B6">
        <w:rPr>
          <w:noProof/>
        </w:rPr>
        <w:t>u</w:t>
      </w:r>
      <w:r w:rsidR="00394457">
        <w:rPr>
          <w:noProof/>
        </w:rPr>
        <w:t>n</w:t>
      </w:r>
      <w:r w:rsidR="009A50B6">
        <w:rPr>
          <w:noProof/>
        </w:rPr>
        <w:t>dermined</w:t>
      </w:r>
      <w:r w:rsidR="0027637B" w:rsidRPr="000C4F35">
        <w:rPr>
          <w:noProof/>
        </w:rPr>
        <w:t>.</w:t>
      </w:r>
    </w:p>
    <w:p w14:paraId="1B248D82" w14:textId="2D8EA201" w:rsidR="004E1342" w:rsidRPr="00E4531D" w:rsidRDefault="001678E4" w:rsidP="001678E4">
      <w:pPr>
        <w:pStyle w:val="ManualConsidrant"/>
        <w:rPr>
          <w:noProof/>
        </w:rPr>
      </w:pPr>
      <w:r w:rsidRPr="001678E4">
        <w:t>(15)</w:t>
      </w:r>
      <w:r w:rsidRPr="001678E4">
        <w:tab/>
      </w:r>
      <w:r w:rsidR="004E1342" w:rsidRPr="000C4F35">
        <w:rPr>
          <w:noProof/>
        </w:rPr>
        <w:t xml:space="preserve">A CSD should be prepared to face scenarios that may potentially prevent it from being able to provide its critical operations and services as a going concern and assess the effectiveness of a full range of options for recovery or orderly wind-down. Regulation (EU) No 909/2014 introduced requirements in this respect, providing </w:t>
      </w:r>
      <w:r w:rsidR="008B213A">
        <w:rPr>
          <w:noProof/>
        </w:rPr>
        <w:t>in particular</w:t>
      </w:r>
      <w:r w:rsidR="004E1342" w:rsidRPr="000C4F35">
        <w:rPr>
          <w:noProof/>
        </w:rPr>
        <w:t xml:space="preserve"> that a competent authority </w:t>
      </w:r>
      <w:r w:rsidR="009226C7">
        <w:rPr>
          <w:noProof/>
        </w:rPr>
        <w:t>is to</w:t>
      </w:r>
      <w:r w:rsidR="004E1342" w:rsidRPr="000C4F35">
        <w:rPr>
          <w:noProof/>
        </w:rPr>
        <w:t xml:space="preserve"> require the CSD to submit an adequate recovery plan and </w:t>
      </w:r>
      <w:r w:rsidR="009226C7">
        <w:rPr>
          <w:noProof/>
        </w:rPr>
        <w:t>is to</w:t>
      </w:r>
      <w:r w:rsidR="004E1342" w:rsidRPr="000C4F35">
        <w:rPr>
          <w:noProof/>
        </w:rPr>
        <w:t xml:space="preserve"> ensure that an adequate resolution plan is established and maintained for each CSD. No harmoni</w:t>
      </w:r>
      <w:r w:rsidR="00C760AE" w:rsidRPr="000C4F35">
        <w:rPr>
          <w:noProof/>
        </w:rPr>
        <w:t>s</w:t>
      </w:r>
      <w:r w:rsidR="004E1342" w:rsidRPr="000C4F35">
        <w:rPr>
          <w:noProof/>
        </w:rPr>
        <w:t>ed resolution regime on which a resolution plan could be based</w:t>
      </w:r>
      <w:r w:rsidR="008B213A">
        <w:rPr>
          <w:noProof/>
        </w:rPr>
        <w:t>,</w:t>
      </w:r>
      <w:r w:rsidR="004E1342" w:rsidRPr="000C4F35">
        <w:rPr>
          <w:noProof/>
        </w:rPr>
        <w:t xml:space="preserve"> however</w:t>
      </w:r>
      <w:r w:rsidR="008B213A">
        <w:rPr>
          <w:noProof/>
        </w:rPr>
        <w:t>,</w:t>
      </w:r>
      <w:r w:rsidR="004E1342" w:rsidRPr="000C4F35">
        <w:rPr>
          <w:noProof/>
        </w:rPr>
        <w:t xml:space="preserve"> currently exists. While CSDs authorised to offer banking-type ancillary services </w:t>
      </w:r>
      <w:r w:rsidR="009F5E55">
        <w:rPr>
          <w:noProof/>
        </w:rPr>
        <w:t>fall within the scope of</w:t>
      </w:r>
      <w:r w:rsidR="004E1342" w:rsidRPr="000C4F35">
        <w:rPr>
          <w:noProof/>
        </w:rPr>
        <w:t xml:space="preserve"> Directive 2014/59/EU of the European Parliament and of the Council</w:t>
      </w:r>
      <w:r w:rsidR="009226C7">
        <w:rPr>
          <w:rStyle w:val="FootnoteReference"/>
          <w:noProof/>
        </w:rPr>
        <w:footnoteReference w:id="43"/>
      </w:r>
      <w:r w:rsidR="004E1342" w:rsidRPr="000C4F35">
        <w:rPr>
          <w:noProof/>
        </w:rPr>
        <w:t>, no specific provisions exist for CSDs that are not authorised to provide such services</w:t>
      </w:r>
      <w:r w:rsidR="00A1188B">
        <w:rPr>
          <w:noProof/>
        </w:rPr>
        <w:t xml:space="preserve"> and therefore are not considered credit institutions under Directive 2014/59/EU with the obligation to have recovery and resolution plans in place</w:t>
      </w:r>
      <w:r w:rsidR="004E1342" w:rsidRPr="000C4F35">
        <w:rPr>
          <w:noProof/>
        </w:rPr>
        <w:t xml:space="preserve">. </w:t>
      </w:r>
      <w:r w:rsidR="004E1342" w:rsidRPr="00E4531D">
        <w:rPr>
          <w:noProof/>
        </w:rPr>
        <w:t xml:space="preserve">Clarifications should therefore be introduced with a view to better align the requirements applicable to CSDs </w:t>
      </w:r>
      <w:r w:rsidR="00FD1245" w:rsidRPr="006B3BA6">
        <w:rPr>
          <w:noProof/>
        </w:rPr>
        <w:t>taking into account the absence of a U</w:t>
      </w:r>
      <w:r w:rsidR="00FB5F14" w:rsidRPr="00E4531D">
        <w:rPr>
          <w:noProof/>
        </w:rPr>
        <w:t>nion</w:t>
      </w:r>
      <w:r w:rsidR="00FD1245" w:rsidRPr="006B3BA6">
        <w:rPr>
          <w:noProof/>
        </w:rPr>
        <w:t xml:space="preserve"> framework for the recovery and resolution </w:t>
      </w:r>
      <w:r w:rsidR="00A1188B" w:rsidRPr="00E4531D">
        <w:rPr>
          <w:noProof/>
        </w:rPr>
        <w:t>for</w:t>
      </w:r>
      <w:r w:rsidR="00FD1245" w:rsidRPr="006B3BA6">
        <w:rPr>
          <w:noProof/>
        </w:rPr>
        <w:t xml:space="preserve"> </w:t>
      </w:r>
      <w:r w:rsidR="009F5E55" w:rsidRPr="00E4531D">
        <w:rPr>
          <w:noProof/>
        </w:rPr>
        <w:t xml:space="preserve">all </w:t>
      </w:r>
      <w:r w:rsidR="00FD1245" w:rsidRPr="006B3BA6">
        <w:rPr>
          <w:noProof/>
        </w:rPr>
        <w:t>CSDs</w:t>
      </w:r>
      <w:r w:rsidR="003C4EE5" w:rsidRPr="00E4531D">
        <w:rPr>
          <w:noProof/>
        </w:rPr>
        <w:t xml:space="preserve">. </w:t>
      </w:r>
    </w:p>
    <w:p w14:paraId="64556EF8" w14:textId="0FCC5968" w:rsidR="004E1342" w:rsidRPr="000C4F35" w:rsidRDefault="001678E4" w:rsidP="001678E4">
      <w:pPr>
        <w:pStyle w:val="ManualConsidrant"/>
        <w:rPr>
          <w:noProof/>
        </w:rPr>
      </w:pPr>
      <w:r w:rsidRPr="001678E4">
        <w:t>(16)</w:t>
      </w:r>
      <w:r w:rsidRPr="001678E4">
        <w:tab/>
      </w:r>
      <w:r w:rsidR="004E1342" w:rsidRPr="000C4F35">
        <w:rPr>
          <w:noProof/>
        </w:rPr>
        <w:t>Where a new CSD applies for authorisation</w:t>
      </w:r>
      <w:r w:rsidR="00F52E98" w:rsidRPr="000C4F35">
        <w:rPr>
          <w:noProof/>
        </w:rPr>
        <w:t xml:space="preserve"> and </w:t>
      </w:r>
      <w:r w:rsidR="0034101C" w:rsidRPr="000C4F35">
        <w:rPr>
          <w:noProof/>
        </w:rPr>
        <w:t xml:space="preserve">compliance with </w:t>
      </w:r>
      <w:r w:rsidR="00F52E98" w:rsidRPr="000C4F35">
        <w:rPr>
          <w:noProof/>
        </w:rPr>
        <w:t>certain requirements cannot be assessed because the CSD is not operational yet</w:t>
      </w:r>
      <w:r w:rsidR="004E1342" w:rsidRPr="000C4F35">
        <w:rPr>
          <w:noProof/>
        </w:rPr>
        <w:t xml:space="preserve">, the competent authority </w:t>
      </w:r>
      <w:r w:rsidR="006F60A1">
        <w:rPr>
          <w:noProof/>
        </w:rPr>
        <w:t>should be able to</w:t>
      </w:r>
      <w:r w:rsidR="006F60A1" w:rsidRPr="000C4F35">
        <w:rPr>
          <w:noProof/>
        </w:rPr>
        <w:t xml:space="preserve"> </w:t>
      </w:r>
      <w:r w:rsidR="004E1342" w:rsidRPr="000C4F35">
        <w:rPr>
          <w:noProof/>
        </w:rPr>
        <w:t xml:space="preserve">grant the authorisation </w:t>
      </w:r>
      <w:r w:rsidR="00D42806" w:rsidRPr="000C4F35">
        <w:rPr>
          <w:noProof/>
        </w:rPr>
        <w:t xml:space="preserve">subject to </w:t>
      </w:r>
      <w:r w:rsidR="00F52E98" w:rsidRPr="000C4F35">
        <w:rPr>
          <w:noProof/>
        </w:rPr>
        <w:t xml:space="preserve">the </w:t>
      </w:r>
      <w:r w:rsidR="004E1342" w:rsidRPr="000C4F35">
        <w:rPr>
          <w:noProof/>
        </w:rPr>
        <w:t>condition</w:t>
      </w:r>
      <w:r w:rsidR="00F52E98" w:rsidRPr="000C4F35">
        <w:rPr>
          <w:noProof/>
        </w:rPr>
        <w:t xml:space="preserve"> that those requirements are complied with when the CSD effectively launches its activities</w:t>
      </w:r>
      <w:r w:rsidR="00D42806" w:rsidRPr="000C4F35">
        <w:rPr>
          <w:noProof/>
        </w:rPr>
        <w:t>.</w:t>
      </w:r>
    </w:p>
    <w:p w14:paraId="3C8F0985" w14:textId="3101093E" w:rsidR="004E1342" w:rsidRPr="000C4F35" w:rsidRDefault="001678E4" w:rsidP="001678E4">
      <w:pPr>
        <w:pStyle w:val="ManualConsidrant"/>
        <w:rPr>
          <w:noProof/>
        </w:rPr>
      </w:pPr>
      <w:r w:rsidRPr="001678E4">
        <w:t>(17)</w:t>
      </w:r>
      <w:r w:rsidRPr="001678E4">
        <w:tab/>
      </w:r>
      <w:r w:rsidR="004E1342" w:rsidRPr="000C4F35">
        <w:rPr>
          <w:noProof/>
        </w:rPr>
        <w:t xml:space="preserve">The procedure set out in </w:t>
      </w:r>
      <w:r w:rsidR="00FD1245">
        <w:rPr>
          <w:noProof/>
        </w:rPr>
        <w:t xml:space="preserve">Article 23 of </w:t>
      </w:r>
      <w:r w:rsidR="004E1342" w:rsidRPr="000C4F35">
        <w:rPr>
          <w:noProof/>
        </w:rPr>
        <w:t xml:space="preserve">Regulation (EU) No 909/2014 regarding the provision by CSDs of notary and central maintenance services in relation to financial instruments constituted under the law of a Member State other than that of their authorisation has proven to be burdensome and some of its requirements are unclear. This </w:t>
      </w:r>
      <w:r w:rsidR="00FE3F3C">
        <w:rPr>
          <w:noProof/>
        </w:rPr>
        <w:t xml:space="preserve">has </w:t>
      </w:r>
      <w:r w:rsidR="004E1342" w:rsidRPr="000C4F35">
        <w:rPr>
          <w:noProof/>
        </w:rPr>
        <w:t xml:space="preserve">resulted in a disproportionately costly and lengthy process for CSDs. The procedure should therefore be </w:t>
      </w:r>
      <w:r w:rsidR="007E10F3">
        <w:rPr>
          <w:noProof/>
        </w:rPr>
        <w:t>simplified</w:t>
      </w:r>
      <w:r w:rsidR="004E1342" w:rsidRPr="000C4F35">
        <w:rPr>
          <w:noProof/>
        </w:rPr>
        <w:t xml:space="preserve"> to better dismantle the barriers to cross-border settlement in order for authorised CSDs to fully benefit from the freedom to provide services within the U</w:t>
      </w:r>
      <w:r w:rsidR="007E10F3">
        <w:rPr>
          <w:noProof/>
        </w:rPr>
        <w:t>nion</w:t>
      </w:r>
      <w:r w:rsidR="003C4EE5" w:rsidRPr="000C4F35">
        <w:rPr>
          <w:noProof/>
        </w:rPr>
        <w:t>.</w:t>
      </w:r>
    </w:p>
    <w:p w14:paraId="566CFC98" w14:textId="151A677E" w:rsidR="004E1342" w:rsidRPr="000C4F35" w:rsidRDefault="001678E4" w:rsidP="001678E4">
      <w:pPr>
        <w:pStyle w:val="ManualConsidrant"/>
        <w:rPr>
          <w:noProof/>
        </w:rPr>
      </w:pPr>
      <w:r w:rsidRPr="001678E4">
        <w:t>(18)</w:t>
      </w:r>
      <w:r w:rsidRPr="001678E4">
        <w:tab/>
      </w:r>
      <w:r w:rsidR="004E1342" w:rsidRPr="000C4F35">
        <w:rPr>
          <w:noProof/>
        </w:rPr>
        <w:t>Regulation (EU) No 909/2014 requires the cooperation of authorities that have an interest in the operations of CSDs that offer services in relation to financial instruments issued under the law of more than one Member States. Nonetheless, the supervisory arrangements remain fragmented and can lead to differences in the allocation and nature of supe</w:t>
      </w:r>
      <w:r w:rsidR="005454EB">
        <w:rPr>
          <w:noProof/>
        </w:rPr>
        <w:t>rvisory powers depending on the</w:t>
      </w:r>
      <w:r w:rsidR="004E1342" w:rsidRPr="000C4F35">
        <w:rPr>
          <w:noProof/>
        </w:rPr>
        <w:t xml:space="preserve"> CSD concerned. This in turn creates barriers to the cross-border provision of CSD services in the U</w:t>
      </w:r>
      <w:r w:rsidR="007E10F3">
        <w:rPr>
          <w:noProof/>
        </w:rPr>
        <w:t>nion</w:t>
      </w:r>
      <w:r w:rsidR="004E1342" w:rsidRPr="000C4F35">
        <w:rPr>
          <w:noProof/>
        </w:rPr>
        <w:t>, perpetuates the remaining inefficiencies in the Union settlement market and has negative impacts on the stability of Union financial markets. Despite the possibility to set up colleges</w:t>
      </w:r>
      <w:r w:rsidR="002B2021">
        <w:rPr>
          <w:noProof/>
        </w:rPr>
        <w:t xml:space="preserve"> </w:t>
      </w:r>
      <w:r w:rsidR="007244C3" w:rsidRPr="006B3BA6">
        <w:rPr>
          <w:noProof/>
        </w:rPr>
        <w:t>in accordance with</w:t>
      </w:r>
      <w:r w:rsidR="009F5E55">
        <w:rPr>
          <w:noProof/>
        </w:rPr>
        <w:t xml:space="preserve"> </w:t>
      </w:r>
      <w:r w:rsidR="002B2021">
        <w:rPr>
          <w:noProof/>
        </w:rPr>
        <w:t xml:space="preserve">Article 24(4) of </w:t>
      </w:r>
      <w:r w:rsidR="009F5E55">
        <w:rPr>
          <w:noProof/>
        </w:rPr>
        <w:t>that</w:t>
      </w:r>
      <w:r w:rsidR="002B2021" w:rsidRPr="002B2021">
        <w:rPr>
          <w:noProof/>
        </w:rPr>
        <w:t xml:space="preserve"> </w:t>
      </w:r>
      <w:r w:rsidR="002B2021" w:rsidRPr="000C4F35">
        <w:rPr>
          <w:noProof/>
        </w:rPr>
        <w:t>Regulation (</w:t>
      </w:r>
      <w:r w:rsidR="004E1342" w:rsidRPr="000C4F35">
        <w:rPr>
          <w:noProof/>
        </w:rPr>
        <w:t>, th</w:t>
      </w:r>
      <w:r w:rsidR="007E10F3">
        <w:rPr>
          <w:noProof/>
        </w:rPr>
        <w:t>at</w:t>
      </w:r>
      <w:r w:rsidR="004E1342" w:rsidRPr="000C4F35">
        <w:rPr>
          <w:noProof/>
        </w:rPr>
        <w:t xml:space="preserve"> option has barely been used. In order to ensure an effective and efficient coordination of the supervision by competent authorities, the requirement to set up mandatory colleges should apply in two cases</w:t>
      </w:r>
      <w:r w:rsidR="00113B55">
        <w:rPr>
          <w:noProof/>
        </w:rPr>
        <w:t>.</w:t>
      </w:r>
      <w:r w:rsidR="004E1342" w:rsidRPr="000C4F35">
        <w:rPr>
          <w:noProof/>
        </w:rPr>
        <w:t xml:space="preserve"> </w:t>
      </w:r>
      <w:r w:rsidR="00113B55">
        <w:rPr>
          <w:noProof/>
        </w:rPr>
        <w:t>F</w:t>
      </w:r>
      <w:r w:rsidR="004E1342" w:rsidRPr="000C4F35">
        <w:rPr>
          <w:noProof/>
        </w:rPr>
        <w:t>irst</w:t>
      </w:r>
      <w:r w:rsidR="00113B55">
        <w:rPr>
          <w:noProof/>
        </w:rPr>
        <w:t>ly</w:t>
      </w:r>
      <w:r w:rsidR="004E1342" w:rsidRPr="000C4F35">
        <w:rPr>
          <w:noProof/>
        </w:rPr>
        <w:t xml:space="preserve">, for CSDs that offer notary and central maintenance services in relation to financial instruments issued under the law of more than one Member States (the passporting colleges) and </w:t>
      </w:r>
      <w:r w:rsidR="00113B55">
        <w:rPr>
          <w:noProof/>
        </w:rPr>
        <w:t xml:space="preserve">secondly </w:t>
      </w:r>
      <w:r w:rsidR="004E1342" w:rsidRPr="000C4F35">
        <w:rPr>
          <w:noProof/>
        </w:rPr>
        <w:t>for CSDs tha</w:t>
      </w:r>
      <w:r w:rsidR="005454EB">
        <w:rPr>
          <w:noProof/>
        </w:rPr>
        <w:t>t belong to the same group (the</w:t>
      </w:r>
      <w:r w:rsidR="004E1342" w:rsidRPr="000C4F35">
        <w:rPr>
          <w:noProof/>
        </w:rPr>
        <w:t xml:space="preserve"> </w:t>
      </w:r>
      <w:r w:rsidR="00113B55">
        <w:rPr>
          <w:noProof/>
        </w:rPr>
        <w:t>“</w:t>
      </w:r>
      <w:r w:rsidR="004E1342" w:rsidRPr="000C4F35">
        <w:rPr>
          <w:noProof/>
        </w:rPr>
        <w:t>group-level colleges</w:t>
      </w:r>
      <w:r w:rsidR="00113B55">
        <w:rPr>
          <w:noProof/>
        </w:rPr>
        <w:t>”</w:t>
      </w:r>
      <w:r w:rsidR="004E1342" w:rsidRPr="000C4F35">
        <w:rPr>
          <w:noProof/>
        </w:rPr>
        <w:t xml:space="preserve">). To reduce the administrative burden on the authorities participating to colleges, where a CSD offering services cross-border is also part of a group of CSDs, the chair of the college should be able to decide that only one college is established for that CSD. Where the other CSDs in the group also offer services cross-border, the chair of the college should be able to make that decision only where the competent authorities of those other CSDs consent. </w:t>
      </w:r>
      <w:r w:rsidR="00113B55">
        <w:rPr>
          <w:noProof/>
        </w:rPr>
        <w:t>I</w:t>
      </w:r>
      <w:r w:rsidR="004E1342" w:rsidRPr="000C4F35">
        <w:rPr>
          <w:noProof/>
        </w:rPr>
        <w:t xml:space="preserve">n that case, there would be only one college for all CSDs within the group that would exercise the tasks assigned to passporting and group-level colleges. </w:t>
      </w:r>
      <w:r w:rsidR="000E4466">
        <w:rPr>
          <w:noProof/>
        </w:rPr>
        <w:t>S</w:t>
      </w:r>
      <w:r w:rsidR="004E1342" w:rsidRPr="000C4F35">
        <w:rPr>
          <w:noProof/>
        </w:rPr>
        <w:t xml:space="preserve">uch colleges should </w:t>
      </w:r>
      <w:r w:rsidR="000E4466">
        <w:rPr>
          <w:noProof/>
        </w:rPr>
        <w:t>ensure the</w:t>
      </w:r>
      <w:r w:rsidR="004E1342" w:rsidRPr="000C4F35">
        <w:rPr>
          <w:noProof/>
        </w:rPr>
        <w:t xml:space="preserve"> sharing </w:t>
      </w:r>
      <w:r w:rsidR="000E4466">
        <w:rPr>
          <w:noProof/>
        </w:rPr>
        <w:t xml:space="preserve">of </w:t>
      </w:r>
      <w:r w:rsidR="004E1342" w:rsidRPr="000C4F35">
        <w:rPr>
          <w:noProof/>
        </w:rPr>
        <w:t>information pertaining to the CSDs concerned</w:t>
      </w:r>
      <w:r w:rsidR="003C4EE5" w:rsidRPr="000C4F35">
        <w:rPr>
          <w:noProof/>
        </w:rPr>
        <w:t xml:space="preserve">. </w:t>
      </w:r>
    </w:p>
    <w:p w14:paraId="2E2345C9" w14:textId="47AB63A4" w:rsidR="004E1342" w:rsidRDefault="001678E4" w:rsidP="001678E4">
      <w:pPr>
        <w:pStyle w:val="ManualConsidrant"/>
        <w:rPr>
          <w:noProof/>
        </w:rPr>
      </w:pPr>
      <w:r w:rsidRPr="001678E4">
        <w:t>(19)</w:t>
      </w:r>
      <w:r w:rsidRPr="001678E4">
        <w:tab/>
      </w:r>
      <w:r w:rsidR="009F5E55" w:rsidRPr="00FB5F14">
        <w:rPr>
          <w:noProof/>
        </w:rPr>
        <w:t>ESMA and competent authorities currently have limited information</w:t>
      </w:r>
      <w:r w:rsidR="005454EB">
        <w:rPr>
          <w:noProof/>
        </w:rPr>
        <w:t xml:space="preserve"> </w:t>
      </w:r>
      <w:r w:rsidR="009F5E55" w:rsidRPr="00FB5F14">
        <w:rPr>
          <w:noProof/>
        </w:rPr>
        <w:t>on</w:t>
      </w:r>
      <w:r w:rsidR="004E1342" w:rsidRPr="00FB5F14">
        <w:rPr>
          <w:noProof/>
        </w:rPr>
        <w:t xml:space="preserve"> the services </w:t>
      </w:r>
      <w:r w:rsidR="00F8269E">
        <w:rPr>
          <w:noProof/>
        </w:rPr>
        <w:t xml:space="preserve">that </w:t>
      </w:r>
      <w:r w:rsidR="004E1342" w:rsidRPr="000C4F35">
        <w:rPr>
          <w:noProof/>
        </w:rPr>
        <w:t>CSDs established in a third-country offer in relation to financial instruments constituted under the law of a Member State</w:t>
      </w:r>
      <w:r w:rsidR="00F8269E">
        <w:rPr>
          <w:noProof/>
        </w:rPr>
        <w:t xml:space="preserve"> for several reasons</w:t>
      </w:r>
      <w:r w:rsidR="004E1342" w:rsidRPr="000C4F35">
        <w:rPr>
          <w:noProof/>
        </w:rPr>
        <w:t xml:space="preserve">. </w:t>
      </w:r>
      <w:r w:rsidR="00F8269E">
        <w:rPr>
          <w:noProof/>
        </w:rPr>
        <w:t>First,</w:t>
      </w:r>
      <w:r w:rsidR="005454EB">
        <w:rPr>
          <w:noProof/>
        </w:rPr>
        <w:t xml:space="preserve"> due to </w:t>
      </w:r>
      <w:r w:rsidR="004E1342" w:rsidRPr="000C4F35">
        <w:rPr>
          <w:noProof/>
        </w:rPr>
        <w:t xml:space="preserve">the deferred application, without an end date, of recognition requirements for </w:t>
      </w:r>
      <w:r w:rsidR="000F68CB">
        <w:rPr>
          <w:noProof/>
        </w:rPr>
        <w:t xml:space="preserve">third-country </w:t>
      </w:r>
      <w:r w:rsidR="004E1342" w:rsidRPr="000C4F35">
        <w:rPr>
          <w:noProof/>
        </w:rPr>
        <w:t xml:space="preserve">CSDs that already provided </w:t>
      </w:r>
      <w:r w:rsidR="006A7D36">
        <w:rPr>
          <w:noProof/>
        </w:rPr>
        <w:t>central maintenance and notary</w:t>
      </w:r>
      <w:r w:rsidR="006A7D36" w:rsidRPr="000C4F35">
        <w:rPr>
          <w:noProof/>
        </w:rPr>
        <w:t xml:space="preserve"> </w:t>
      </w:r>
      <w:r w:rsidR="004E1342" w:rsidRPr="000C4F35">
        <w:rPr>
          <w:noProof/>
        </w:rPr>
        <w:t xml:space="preserve">services in the Union before the </w:t>
      </w:r>
      <w:r w:rsidR="002A463F">
        <w:rPr>
          <w:noProof/>
        </w:rPr>
        <w:t>date of application</w:t>
      </w:r>
      <w:r w:rsidR="004E1342" w:rsidRPr="000C4F35">
        <w:rPr>
          <w:noProof/>
        </w:rPr>
        <w:t xml:space="preserve"> of Regulation (EU) No 909/2014</w:t>
      </w:r>
      <w:r w:rsidR="000F68CB">
        <w:rPr>
          <w:noProof/>
        </w:rPr>
        <w:t xml:space="preserve"> pursuant to Article 69(4) of that Regulation</w:t>
      </w:r>
      <w:r w:rsidR="00F8269E">
        <w:rPr>
          <w:noProof/>
        </w:rPr>
        <w:t>. Second, due to</w:t>
      </w:r>
      <w:r w:rsidR="004E1342" w:rsidRPr="000C4F35">
        <w:rPr>
          <w:noProof/>
        </w:rPr>
        <w:t xml:space="preserve"> the fact that where a </w:t>
      </w:r>
      <w:r w:rsidR="000F68CB">
        <w:rPr>
          <w:noProof/>
        </w:rPr>
        <w:t>third-country</w:t>
      </w:r>
      <w:r w:rsidR="004E1342" w:rsidRPr="000C4F35">
        <w:rPr>
          <w:noProof/>
        </w:rPr>
        <w:t xml:space="preserve"> CSD provides only the settlement service, it is not subject to recognition requirements</w:t>
      </w:r>
      <w:r w:rsidR="00F8269E">
        <w:rPr>
          <w:noProof/>
        </w:rPr>
        <w:t>. Finally, since</w:t>
      </w:r>
      <w:r w:rsidR="004E1342" w:rsidRPr="000C4F35">
        <w:rPr>
          <w:noProof/>
        </w:rPr>
        <w:t xml:space="preserve"> Regulation (EU) No 909/2014 does not require CSDs established in a third-country to notify Union authorities of their activities related to financial instruments constituted under the law of a Member State. </w:t>
      </w:r>
      <w:r w:rsidR="007E10F3">
        <w:rPr>
          <w:noProof/>
        </w:rPr>
        <w:t>Due to that</w:t>
      </w:r>
      <w:r w:rsidR="004E1342" w:rsidRPr="000C4F35">
        <w:rPr>
          <w:noProof/>
        </w:rPr>
        <w:t xml:space="preserve"> lack of information, neither issuers nor public authorities at national and Union level would be able to assess the activities of th</w:t>
      </w:r>
      <w:r w:rsidR="007E10F3">
        <w:rPr>
          <w:noProof/>
        </w:rPr>
        <w:t>o</w:t>
      </w:r>
      <w:r w:rsidR="004E1342" w:rsidRPr="000C4F35">
        <w:rPr>
          <w:noProof/>
        </w:rPr>
        <w:t>se CSDs in the Union</w:t>
      </w:r>
      <w:r w:rsidR="007E10F3" w:rsidRPr="000C4F35">
        <w:rPr>
          <w:noProof/>
        </w:rPr>
        <w:t xml:space="preserve"> if needed</w:t>
      </w:r>
      <w:r w:rsidR="004E1342" w:rsidRPr="000C4F35">
        <w:rPr>
          <w:noProof/>
        </w:rPr>
        <w:t xml:space="preserve">. </w:t>
      </w:r>
      <w:r w:rsidR="007D08EC" w:rsidRPr="000C4F35">
        <w:rPr>
          <w:noProof/>
        </w:rPr>
        <w:t xml:space="preserve">Therefore, </w:t>
      </w:r>
      <w:r w:rsidR="004E1342" w:rsidRPr="000C4F35">
        <w:rPr>
          <w:noProof/>
        </w:rPr>
        <w:t>CSDs established in a third-country should be required to inform Union authorities of their activities in relation to financial instruments constituted under the law of a Member State</w:t>
      </w:r>
      <w:r w:rsidR="00F52E98" w:rsidRPr="000C4F35">
        <w:rPr>
          <w:noProof/>
        </w:rPr>
        <w:t>.</w:t>
      </w:r>
    </w:p>
    <w:p w14:paraId="1A38FF72" w14:textId="3F700638" w:rsidR="00415A4E" w:rsidRPr="000C4F35" w:rsidRDefault="001678E4" w:rsidP="001678E4">
      <w:pPr>
        <w:pStyle w:val="ManualConsidrant"/>
        <w:rPr>
          <w:noProof/>
        </w:rPr>
      </w:pPr>
      <w:r w:rsidRPr="001678E4">
        <w:t>(20)</w:t>
      </w:r>
      <w:r w:rsidRPr="001678E4">
        <w:tab/>
      </w:r>
      <w:r w:rsidR="00415A4E" w:rsidRPr="00415A4E">
        <w:rPr>
          <w:noProof/>
        </w:rPr>
        <w:t>Article 27(2) of Regulation (EU) No 909/2014 requires a CSD to have a management body of which at least one third, but no less than two, of its members are independent. That concept of independence may, however, be subject to divergent interpretations and should therefore be clarified, in line with the definition of ‘independent members’ under Article 2(28) o</w:t>
      </w:r>
      <w:r w:rsidR="006A7D36">
        <w:rPr>
          <w:noProof/>
        </w:rPr>
        <w:t>f Regulation (EU) No 648/2012</w:t>
      </w:r>
      <w:r w:rsidR="00415A4E" w:rsidRPr="00415A4E">
        <w:rPr>
          <w:noProof/>
        </w:rPr>
        <w:t>.</w:t>
      </w:r>
    </w:p>
    <w:p w14:paraId="17AC8093" w14:textId="34A8812A" w:rsidR="004E1342" w:rsidRPr="000C4F35" w:rsidRDefault="001678E4" w:rsidP="001678E4">
      <w:pPr>
        <w:pStyle w:val="ManualConsidrant"/>
        <w:rPr>
          <w:noProof/>
        </w:rPr>
      </w:pPr>
      <w:r w:rsidRPr="001678E4">
        <w:t>(21)</w:t>
      </w:r>
      <w:r w:rsidRPr="001678E4">
        <w:tab/>
      </w:r>
      <w:r w:rsidR="004E1342" w:rsidRPr="000C4F35">
        <w:rPr>
          <w:noProof/>
        </w:rPr>
        <w:t xml:space="preserve">In order to ensure the consistency of interpretation of the </w:t>
      </w:r>
      <w:r w:rsidR="0030643A">
        <w:rPr>
          <w:noProof/>
        </w:rPr>
        <w:t>key issues</w:t>
      </w:r>
      <w:r w:rsidR="004E1342" w:rsidRPr="000C4F35">
        <w:rPr>
          <w:noProof/>
        </w:rPr>
        <w:t xml:space="preserve"> on which user committees should advise the management body, </w:t>
      </w:r>
      <w:r w:rsidR="0030643A">
        <w:rPr>
          <w:noProof/>
        </w:rPr>
        <w:t xml:space="preserve">it </w:t>
      </w:r>
      <w:r w:rsidR="0030643A" w:rsidRPr="000C4F35">
        <w:rPr>
          <w:noProof/>
        </w:rPr>
        <w:t xml:space="preserve">should be further clarified </w:t>
      </w:r>
      <w:r w:rsidR="0030643A">
        <w:rPr>
          <w:noProof/>
        </w:rPr>
        <w:t xml:space="preserve">what elements are included in </w:t>
      </w:r>
      <w:r w:rsidR="004E1342" w:rsidRPr="000C4F35">
        <w:rPr>
          <w:noProof/>
        </w:rPr>
        <w:t>the ‘service level’</w:t>
      </w:r>
      <w:r w:rsidR="003C4EE5" w:rsidRPr="000C4F35">
        <w:rPr>
          <w:noProof/>
        </w:rPr>
        <w:t>.</w:t>
      </w:r>
    </w:p>
    <w:p w14:paraId="0EE2C0B7" w14:textId="613B2287" w:rsidR="004E1342" w:rsidRPr="000C4F35" w:rsidRDefault="001678E4" w:rsidP="001678E4">
      <w:pPr>
        <w:pStyle w:val="ManualConsidrant"/>
        <w:rPr>
          <w:noProof/>
        </w:rPr>
      </w:pPr>
      <w:r w:rsidRPr="001678E4">
        <w:t>(22)</w:t>
      </w:r>
      <w:r w:rsidRPr="001678E4">
        <w:tab/>
      </w:r>
      <w:r w:rsidR="004E1342" w:rsidRPr="000C4F35">
        <w:rPr>
          <w:noProof/>
        </w:rPr>
        <w:t>Given their central role regarding the safety of transactions, CSDs should not only reduce the risks associated with the safekeeping and settlement of transactions in securities, but should seek to minimise th</w:t>
      </w:r>
      <w:r w:rsidR="0030643A">
        <w:rPr>
          <w:noProof/>
        </w:rPr>
        <w:t>ose risks</w:t>
      </w:r>
      <w:r w:rsidR="004E1342" w:rsidRPr="000C4F35">
        <w:rPr>
          <w:noProof/>
        </w:rPr>
        <w:t xml:space="preserve">. </w:t>
      </w:r>
    </w:p>
    <w:p w14:paraId="2C07EF05" w14:textId="6B66C908" w:rsidR="004E1342" w:rsidRPr="000C4F35" w:rsidRDefault="001678E4" w:rsidP="001678E4">
      <w:pPr>
        <w:pStyle w:val="ManualConsidrant"/>
        <w:rPr>
          <w:noProof/>
        </w:rPr>
      </w:pPr>
      <w:r w:rsidRPr="001678E4">
        <w:t>(23)</w:t>
      </w:r>
      <w:r w:rsidRPr="001678E4">
        <w:tab/>
      </w:r>
      <w:r w:rsidR="004E1342" w:rsidRPr="000C4F35">
        <w:rPr>
          <w:noProof/>
        </w:rPr>
        <w:t xml:space="preserve">Under certain circumstances, a security may be constituted under the national corporate or similar laws of two different Member States. This is </w:t>
      </w:r>
      <w:r w:rsidR="007E10F3">
        <w:rPr>
          <w:noProof/>
        </w:rPr>
        <w:t>in particular</w:t>
      </w:r>
      <w:r w:rsidR="004E1342" w:rsidRPr="000C4F35">
        <w:rPr>
          <w:noProof/>
        </w:rPr>
        <w:t xml:space="preserve"> the case for debt securities where the issuer is established in one Member State and the securities may be issued under the governing law of another Member State. In such a case, both national corporate or similar laws should continue to apply</w:t>
      </w:r>
      <w:r w:rsidR="003C4EE5" w:rsidRPr="000C4F35">
        <w:rPr>
          <w:noProof/>
        </w:rPr>
        <w:t>.</w:t>
      </w:r>
    </w:p>
    <w:p w14:paraId="476951AE" w14:textId="642E9DC0" w:rsidR="004E1342" w:rsidRPr="000C4F35" w:rsidRDefault="001678E4" w:rsidP="001678E4">
      <w:pPr>
        <w:pStyle w:val="ManualConsidrant"/>
        <w:rPr>
          <w:noProof/>
        </w:rPr>
      </w:pPr>
      <w:r w:rsidRPr="001678E4">
        <w:t>(24)</w:t>
      </w:r>
      <w:r w:rsidRPr="001678E4">
        <w:tab/>
      </w:r>
      <w:r w:rsidR="004E1342" w:rsidRPr="000C4F35">
        <w:rPr>
          <w:noProof/>
        </w:rPr>
        <w:t xml:space="preserve">In order to ensure that issuers who arrange for their securities to be recorded in a CSD established in another Member State can comply with the relevant provisions of the corporate or similar law of such Member States, </w:t>
      </w:r>
      <w:r w:rsidR="000F68CB" w:rsidRPr="00FB5F14">
        <w:rPr>
          <w:noProof/>
        </w:rPr>
        <w:t xml:space="preserve">Member States should regularly update </w:t>
      </w:r>
      <w:r w:rsidR="004E1342" w:rsidRPr="00FB5F14">
        <w:rPr>
          <w:noProof/>
        </w:rPr>
        <w:t xml:space="preserve">the list of </w:t>
      </w:r>
      <w:r w:rsidR="00F57962" w:rsidRPr="00FB5F14">
        <w:rPr>
          <w:noProof/>
        </w:rPr>
        <w:t xml:space="preserve">such national </w:t>
      </w:r>
      <w:r w:rsidR="004E1342" w:rsidRPr="00FB5F14">
        <w:rPr>
          <w:noProof/>
        </w:rPr>
        <w:t>key relevant provisions published by ESMA</w:t>
      </w:r>
      <w:r w:rsidR="003C4EE5" w:rsidRPr="000C4F35">
        <w:rPr>
          <w:noProof/>
        </w:rPr>
        <w:t>.</w:t>
      </w:r>
    </w:p>
    <w:p w14:paraId="2E6F6943" w14:textId="5105BCF3" w:rsidR="004E1342" w:rsidRPr="000C4F35" w:rsidRDefault="001678E4" w:rsidP="001678E4">
      <w:pPr>
        <w:pStyle w:val="ManualConsidrant"/>
        <w:rPr>
          <w:noProof/>
        </w:rPr>
      </w:pPr>
      <w:r w:rsidRPr="001678E4">
        <w:t>(25)</w:t>
      </w:r>
      <w:r w:rsidRPr="001678E4">
        <w:tab/>
      </w:r>
      <w:r w:rsidR="004E1342" w:rsidRPr="0030626B">
        <w:rPr>
          <w:noProof/>
        </w:rPr>
        <w:t>In order to avoid settlement</w:t>
      </w:r>
      <w:r w:rsidR="004E1342" w:rsidRPr="000C4F35">
        <w:rPr>
          <w:noProof/>
        </w:rPr>
        <w:t xml:space="preserve"> risks due to the insolvency of the settlement agent, a CSD should settle, whenever practical and available, the cash leg of the securities transaction through accounts opened with a central bank. Where th</w:t>
      </w:r>
      <w:r w:rsidR="007E10F3">
        <w:rPr>
          <w:noProof/>
        </w:rPr>
        <w:t>at</w:t>
      </w:r>
      <w:r w:rsidR="004E1342" w:rsidRPr="000C4F35">
        <w:rPr>
          <w:noProof/>
        </w:rPr>
        <w:t xml:space="preserve"> option is not practical and available,</w:t>
      </w:r>
      <w:r w:rsidR="004B56C3" w:rsidRPr="000C4F35">
        <w:rPr>
          <w:noProof/>
        </w:rPr>
        <w:t xml:space="preserve"> including where a CSD does not meet the conditions to access </w:t>
      </w:r>
      <w:r w:rsidR="00564732" w:rsidRPr="000C4F35">
        <w:rPr>
          <w:noProof/>
        </w:rPr>
        <w:t xml:space="preserve">a </w:t>
      </w:r>
      <w:r w:rsidR="004B56C3" w:rsidRPr="000C4F35">
        <w:rPr>
          <w:noProof/>
        </w:rPr>
        <w:t>central bank other than that of its home Member State,</w:t>
      </w:r>
      <w:r w:rsidR="004E1342" w:rsidRPr="000C4F35">
        <w:rPr>
          <w:noProof/>
        </w:rPr>
        <w:t xml:space="preserve"> </w:t>
      </w:r>
      <w:r w:rsidR="00564732" w:rsidRPr="000C4F35">
        <w:rPr>
          <w:noProof/>
        </w:rPr>
        <w:t>that</w:t>
      </w:r>
      <w:r w:rsidR="004E1342" w:rsidRPr="000C4F35">
        <w:rPr>
          <w:noProof/>
        </w:rPr>
        <w:t xml:space="preserve"> CSD</w:t>
      </w:r>
      <w:r w:rsidR="004B56C3" w:rsidRPr="000C4F35">
        <w:rPr>
          <w:noProof/>
        </w:rPr>
        <w:t xml:space="preserve"> </w:t>
      </w:r>
      <w:r w:rsidR="004E1342" w:rsidRPr="000C4F35">
        <w:rPr>
          <w:noProof/>
        </w:rPr>
        <w:t>should be able to settle the cash leg</w:t>
      </w:r>
      <w:r w:rsidR="00564732" w:rsidRPr="000C4F35">
        <w:rPr>
          <w:noProof/>
        </w:rPr>
        <w:t xml:space="preserve"> of</w:t>
      </w:r>
      <w:r w:rsidR="004E1342" w:rsidRPr="000C4F35">
        <w:rPr>
          <w:noProof/>
        </w:rPr>
        <w:t xml:space="preserve"> </w:t>
      </w:r>
      <w:r w:rsidR="00564732" w:rsidRPr="000C4F35">
        <w:rPr>
          <w:noProof/>
        </w:rPr>
        <w:t xml:space="preserve">transactions in foreign currencies </w:t>
      </w:r>
      <w:r w:rsidR="004E1342" w:rsidRPr="000C4F35">
        <w:rPr>
          <w:noProof/>
        </w:rPr>
        <w:t xml:space="preserve">through accounts opened with institutions authorised to provide banking services under the conditions provided in Regulation (EU) No 909/2014. </w:t>
      </w:r>
      <w:r w:rsidR="00C227A5" w:rsidRPr="000C4F35">
        <w:rPr>
          <w:noProof/>
        </w:rPr>
        <w:t>T</w:t>
      </w:r>
      <w:r w:rsidR="004E1342" w:rsidRPr="000C4F35">
        <w:rPr>
          <w:noProof/>
        </w:rPr>
        <w:t>he efficiency of the settlement market would be better served by enhancing the possibilities for CSDs to provide settlement in foreign currencies</w:t>
      </w:r>
      <w:r w:rsidR="00C227A5" w:rsidRPr="000C4F35">
        <w:rPr>
          <w:noProof/>
        </w:rPr>
        <w:t xml:space="preserve"> through th</w:t>
      </w:r>
      <w:r w:rsidR="00553B8F" w:rsidRPr="000C4F35">
        <w:rPr>
          <w:noProof/>
        </w:rPr>
        <w:t xml:space="preserve">e use of </w:t>
      </w:r>
      <w:r w:rsidR="00F640A8" w:rsidRPr="000C4F35">
        <w:rPr>
          <w:noProof/>
        </w:rPr>
        <w:t>accounts opened with institutions authorised to provide banking services</w:t>
      </w:r>
      <w:r w:rsidR="004E1342" w:rsidRPr="000C4F35">
        <w:rPr>
          <w:noProof/>
        </w:rPr>
        <w:t xml:space="preserve">, within appropriate risk limits, with a view to deepen capital markets and enhance cross-border settlement. For that purpose, CSDs authorised to provide banking-type ancillary services in accordance with Regulation (EU) No 909/2014 and for which the relevant risks are already monitored, should be able to offer </w:t>
      </w:r>
      <w:r w:rsidR="007E10F3">
        <w:rPr>
          <w:noProof/>
        </w:rPr>
        <w:t>such</w:t>
      </w:r>
      <w:r w:rsidR="004E1342" w:rsidRPr="000C4F35">
        <w:rPr>
          <w:noProof/>
        </w:rPr>
        <w:t xml:space="preserve"> services to other CSDs that do not hold such license</w:t>
      </w:r>
      <w:r w:rsidR="006A7D36" w:rsidRPr="006A7D36">
        <w:rPr>
          <w:noProof/>
        </w:rPr>
        <w:t xml:space="preserve"> </w:t>
      </w:r>
      <w:r w:rsidR="006A7D36" w:rsidRPr="000C4F35">
        <w:rPr>
          <w:noProof/>
        </w:rPr>
        <w:t xml:space="preserve">irrespective if </w:t>
      </w:r>
      <w:r w:rsidR="006A7D36">
        <w:rPr>
          <w:noProof/>
        </w:rPr>
        <w:t xml:space="preserve">the latter </w:t>
      </w:r>
      <w:r w:rsidR="006A7D36" w:rsidRPr="000C4F35">
        <w:rPr>
          <w:noProof/>
        </w:rPr>
        <w:t>are part of the same group of companies</w:t>
      </w:r>
      <w:r w:rsidR="003C4EE5" w:rsidRPr="000C4F35">
        <w:rPr>
          <w:noProof/>
        </w:rPr>
        <w:t>.</w:t>
      </w:r>
    </w:p>
    <w:p w14:paraId="0325FC25" w14:textId="2B896573" w:rsidR="004E1342" w:rsidRPr="000C4F35" w:rsidRDefault="001678E4" w:rsidP="001678E4">
      <w:pPr>
        <w:pStyle w:val="ManualConsidrant"/>
        <w:rPr>
          <w:noProof/>
        </w:rPr>
      </w:pPr>
      <w:r w:rsidRPr="001678E4">
        <w:t>(26)</w:t>
      </w:r>
      <w:r w:rsidRPr="001678E4">
        <w:tab/>
      </w:r>
      <w:r w:rsidR="004E1342" w:rsidRPr="000C4F35">
        <w:rPr>
          <w:noProof/>
        </w:rPr>
        <w:t xml:space="preserve">Within an appropriately set risk limit, CSDs that are not authorised to provide banking-type ancillary services should be able to offer a sufficient amount of foreign currency settlement through accounts opened with credit institutions or </w:t>
      </w:r>
      <w:r w:rsidR="007D63E0">
        <w:rPr>
          <w:noProof/>
        </w:rPr>
        <w:t>through</w:t>
      </w:r>
      <w:r w:rsidR="007D63E0" w:rsidRPr="000C4F35">
        <w:rPr>
          <w:noProof/>
        </w:rPr>
        <w:t xml:space="preserve"> </w:t>
      </w:r>
      <w:r w:rsidR="004E1342" w:rsidRPr="000C4F35">
        <w:rPr>
          <w:noProof/>
        </w:rPr>
        <w:t xml:space="preserve">its own account. The threshold below which a CSD may designate a credit institution to provide any banking-type ancillary services from within a separate legal entity without being required to comply with the conditions set out in Title IV of Regulation (EU) No 909/2014 </w:t>
      </w:r>
      <w:r w:rsidR="004E1342" w:rsidRPr="00184ED0">
        <w:rPr>
          <w:noProof/>
        </w:rPr>
        <w:t xml:space="preserve">should </w:t>
      </w:r>
      <w:r w:rsidR="002D5A5E" w:rsidRPr="00FF5517">
        <w:rPr>
          <w:noProof/>
          <w:lang w:val="en-IE"/>
        </w:rPr>
        <w:t>be calibrated in a way that promotes efficiency of settlement and the use of banking ancillary services while ensuring financial stability</w:t>
      </w:r>
      <w:r w:rsidR="004E1342" w:rsidRPr="00184ED0">
        <w:rPr>
          <w:noProof/>
        </w:rPr>
        <w:t xml:space="preserve">. </w:t>
      </w:r>
      <w:r w:rsidR="004E1342" w:rsidRPr="000C4F35">
        <w:rPr>
          <w:noProof/>
        </w:rPr>
        <w:t xml:space="preserve">As a body with specialised expertise regarding </w:t>
      </w:r>
      <w:r w:rsidR="00B141B3">
        <w:rPr>
          <w:noProof/>
        </w:rPr>
        <w:t>banking and credit risk matters</w:t>
      </w:r>
      <w:r w:rsidR="004E1342" w:rsidRPr="000C4F35">
        <w:rPr>
          <w:noProof/>
        </w:rPr>
        <w:t xml:space="preserve">, EBA </w:t>
      </w:r>
      <w:r w:rsidR="00310D1A">
        <w:rPr>
          <w:noProof/>
        </w:rPr>
        <w:t xml:space="preserve">should be entrusted </w:t>
      </w:r>
      <w:r w:rsidR="004E1342" w:rsidRPr="000C4F35">
        <w:rPr>
          <w:noProof/>
        </w:rPr>
        <w:t xml:space="preserve">with the development of draft regulatory technical standards to set the appropriate thresholds and, where necessary, any risk mitigating requirements. EBA should also closely cooperate with the members of the ESCB and </w:t>
      </w:r>
      <w:r w:rsidR="00F958AF">
        <w:rPr>
          <w:noProof/>
        </w:rPr>
        <w:t xml:space="preserve">with </w:t>
      </w:r>
      <w:r w:rsidR="004E1342" w:rsidRPr="000C4F35">
        <w:rPr>
          <w:noProof/>
        </w:rPr>
        <w:t xml:space="preserve">ESMA. The Commission should be empowered to adopt regulatory technical standards in accordance with Article 290 </w:t>
      </w:r>
      <w:r w:rsidR="00310D1A" w:rsidRPr="00310D1A">
        <w:rPr>
          <w:noProof/>
        </w:rPr>
        <w:t>of the Treaty on the Functioning of the European Union</w:t>
      </w:r>
      <w:r w:rsidR="00F958AF">
        <w:rPr>
          <w:noProof/>
        </w:rPr>
        <w:t xml:space="preserve"> (</w:t>
      </w:r>
      <w:r w:rsidR="004E1342" w:rsidRPr="000C4F35">
        <w:rPr>
          <w:noProof/>
        </w:rPr>
        <w:t>TFEU</w:t>
      </w:r>
      <w:r w:rsidR="00F958AF">
        <w:rPr>
          <w:noProof/>
        </w:rPr>
        <w:t>)</w:t>
      </w:r>
      <w:r w:rsidR="004E1342" w:rsidRPr="000C4F35">
        <w:rPr>
          <w:noProof/>
        </w:rPr>
        <w:t xml:space="preserve"> with regard to the detailed elements of the determining for the provisioning of banking type ancillary services, the accompanying details of the risk management and capital requirements for CSDs and the prudential requirements on credit and liquidity risks for CSDs and designated credit institutions that are authorised to provide banking-type ancillary services</w:t>
      </w:r>
      <w:r w:rsidR="003C4EE5" w:rsidRPr="000C4F35">
        <w:rPr>
          <w:noProof/>
        </w:rPr>
        <w:t>.</w:t>
      </w:r>
    </w:p>
    <w:p w14:paraId="6346D1E2" w14:textId="548C75A0" w:rsidR="004E1342" w:rsidRPr="000C4F35" w:rsidRDefault="001678E4" w:rsidP="001678E4">
      <w:pPr>
        <w:pStyle w:val="ManualConsidrant"/>
        <w:rPr>
          <w:noProof/>
        </w:rPr>
      </w:pPr>
      <w:r w:rsidRPr="001678E4">
        <w:t>(27)</w:t>
      </w:r>
      <w:r w:rsidRPr="001678E4">
        <w:tab/>
      </w:r>
      <w:r w:rsidR="004E1342" w:rsidRPr="000C4F35">
        <w:rPr>
          <w:noProof/>
        </w:rPr>
        <w:t xml:space="preserve">CSDs, including those authorised to provide banking-type ancillary services, and designated credit institutions should cover relevant risks in their risk management and prudential frameworks, including relevant netting arrangements. </w:t>
      </w:r>
      <w:r w:rsidR="007E546F">
        <w:rPr>
          <w:noProof/>
        </w:rPr>
        <w:t>Tools to cover those risks</w:t>
      </w:r>
      <w:r w:rsidR="007E546F" w:rsidRPr="000C4F35" w:rsidDel="007E546F">
        <w:rPr>
          <w:noProof/>
        </w:rPr>
        <w:t xml:space="preserve"> </w:t>
      </w:r>
      <w:r w:rsidR="004E1342" w:rsidRPr="000C4F35">
        <w:rPr>
          <w:noProof/>
        </w:rPr>
        <w:t xml:space="preserve">should include maintaining sufficient qualifying liquid resources in all relevant currencies and </w:t>
      </w:r>
      <w:r w:rsidR="00F958AF">
        <w:rPr>
          <w:noProof/>
        </w:rPr>
        <w:t>ensuring</w:t>
      </w:r>
      <w:r w:rsidR="004E1342" w:rsidRPr="000C4F35">
        <w:rPr>
          <w:noProof/>
        </w:rPr>
        <w:t xml:space="preserve"> that stress scenarios are sufficiently strong. </w:t>
      </w:r>
      <w:r w:rsidR="00B141B3">
        <w:rPr>
          <w:noProof/>
        </w:rPr>
        <w:t xml:space="preserve">CSDs </w:t>
      </w:r>
      <w:r w:rsidR="004E1342" w:rsidRPr="000C4F35">
        <w:rPr>
          <w:noProof/>
        </w:rPr>
        <w:t>should also ensure that corresponding liquidity risks are managed and covered by highly reliable funding arrangements with creditworthy institutions, whether those arrangements are committed or have similar reliability</w:t>
      </w:r>
      <w:r w:rsidR="003C4EE5" w:rsidRPr="000C4F35">
        <w:rPr>
          <w:noProof/>
        </w:rPr>
        <w:t>.</w:t>
      </w:r>
      <w:r w:rsidR="005B0AC4" w:rsidRPr="000C4F35">
        <w:rPr>
          <w:noProof/>
        </w:rPr>
        <w:t xml:space="preserve"> </w:t>
      </w:r>
      <w:r w:rsidR="005B0AC4" w:rsidRPr="000C4F35">
        <w:rPr>
          <w:noProof/>
          <w:szCs w:val="24"/>
        </w:rPr>
        <w:t xml:space="preserve">The EBA should </w:t>
      </w:r>
      <w:r w:rsidR="00B141B3" w:rsidRPr="00E4531D">
        <w:rPr>
          <w:noProof/>
          <w:szCs w:val="24"/>
        </w:rPr>
        <w:t xml:space="preserve">submit </w:t>
      </w:r>
      <w:r w:rsidR="00C42B3E" w:rsidRPr="006B3BA6">
        <w:rPr>
          <w:noProof/>
          <w:szCs w:val="24"/>
        </w:rPr>
        <w:t xml:space="preserve">draft </w:t>
      </w:r>
      <w:r w:rsidR="007E546F" w:rsidRPr="00E4531D">
        <w:rPr>
          <w:noProof/>
          <w:szCs w:val="24"/>
        </w:rPr>
        <w:t xml:space="preserve">regulatory </w:t>
      </w:r>
      <w:r w:rsidR="00C42B3E" w:rsidRPr="006B3BA6">
        <w:rPr>
          <w:noProof/>
          <w:szCs w:val="24"/>
        </w:rPr>
        <w:t xml:space="preserve">technical standards </w:t>
      </w:r>
      <w:r w:rsidR="005B0AC4" w:rsidRPr="006B3BA6">
        <w:rPr>
          <w:noProof/>
          <w:szCs w:val="24"/>
        </w:rPr>
        <w:t>to revise the existing regulatory technical standards in order to take into account th</w:t>
      </w:r>
      <w:r w:rsidR="00D96ED2" w:rsidRPr="006B3BA6">
        <w:rPr>
          <w:noProof/>
          <w:szCs w:val="24"/>
        </w:rPr>
        <w:t>ose</w:t>
      </w:r>
      <w:r w:rsidR="005B0AC4" w:rsidRPr="006B3BA6">
        <w:rPr>
          <w:noProof/>
          <w:szCs w:val="24"/>
        </w:rPr>
        <w:t xml:space="preserve"> changes </w:t>
      </w:r>
      <w:r w:rsidR="00D96ED2" w:rsidRPr="006B3BA6">
        <w:rPr>
          <w:noProof/>
          <w:szCs w:val="24"/>
        </w:rPr>
        <w:t>to prudential requirements</w:t>
      </w:r>
      <w:r w:rsidR="00C42B3E" w:rsidRPr="006B3BA6">
        <w:rPr>
          <w:noProof/>
          <w:szCs w:val="24"/>
        </w:rPr>
        <w:t xml:space="preserve">, in order to enable the Commission to </w:t>
      </w:r>
      <w:r w:rsidR="005B0AC4" w:rsidRPr="000C4F35">
        <w:rPr>
          <w:noProof/>
          <w:szCs w:val="24"/>
        </w:rPr>
        <w:t xml:space="preserve">make any necessary amendments with a view to clarifying the requirements set out in such regulatory technical standards, such as those related to the management of potential liquidity shortfalls. </w:t>
      </w:r>
    </w:p>
    <w:p w14:paraId="2EEEBF05" w14:textId="782C3F7C" w:rsidR="004E1342" w:rsidRPr="000C4F35" w:rsidRDefault="001678E4" w:rsidP="001678E4">
      <w:pPr>
        <w:pStyle w:val="ManualConsidrant"/>
        <w:rPr>
          <w:noProof/>
        </w:rPr>
      </w:pPr>
      <w:r w:rsidRPr="001678E4">
        <w:t>(28)</w:t>
      </w:r>
      <w:r w:rsidRPr="001678E4">
        <w:tab/>
      </w:r>
      <w:r w:rsidR="004E1342" w:rsidRPr="000C4F35">
        <w:rPr>
          <w:noProof/>
        </w:rPr>
        <w:t xml:space="preserve">A period of only </w:t>
      </w:r>
      <w:r w:rsidR="008C648F">
        <w:rPr>
          <w:noProof/>
        </w:rPr>
        <w:t>1</w:t>
      </w:r>
      <w:r w:rsidR="008C648F" w:rsidRPr="000C4F35">
        <w:rPr>
          <w:noProof/>
        </w:rPr>
        <w:t xml:space="preserve"> </w:t>
      </w:r>
      <w:r w:rsidR="004E1342" w:rsidRPr="000C4F35">
        <w:rPr>
          <w:noProof/>
        </w:rPr>
        <w:t>month for relevant authorities and competent authorities to issue a reasoned opinion on the authorisation to provide banking-type ancillary services has proven to be too short for th</w:t>
      </w:r>
      <w:r w:rsidR="00D96ED2">
        <w:rPr>
          <w:noProof/>
        </w:rPr>
        <w:t>ose authorities</w:t>
      </w:r>
      <w:r w:rsidR="004E1342" w:rsidRPr="000C4F35">
        <w:rPr>
          <w:noProof/>
        </w:rPr>
        <w:t xml:space="preserve"> to be able to make a substantiated analysis. Therefore, a longer </w:t>
      </w:r>
      <w:r w:rsidR="00D96ED2">
        <w:rPr>
          <w:noProof/>
        </w:rPr>
        <w:t>period</w:t>
      </w:r>
      <w:r w:rsidR="004E1342" w:rsidRPr="000C4F35">
        <w:rPr>
          <w:noProof/>
        </w:rPr>
        <w:t xml:space="preserve"> of </w:t>
      </w:r>
      <w:r w:rsidR="008C648F">
        <w:rPr>
          <w:noProof/>
        </w:rPr>
        <w:t>2</w:t>
      </w:r>
      <w:r w:rsidR="008C648F" w:rsidRPr="000C4F35">
        <w:rPr>
          <w:noProof/>
        </w:rPr>
        <w:t xml:space="preserve"> </w:t>
      </w:r>
      <w:r w:rsidR="004E1342" w:rsidRPr="000C4F35">
        <w:rPr>
          <w:noProof/>
        </w:rPr>
        <w:t xml:space="preserve">months should be </w:t>
      </w:r>
      <w:r w:rsidR="00310D1A">
        <w:rPr>
          <w:noProof/>
        </w:rPr>
        <w:t>laid down</w:t>
      </w:r>
      <w:r w:rsidR="003C4EE5" w:rsidRPr="000C4F35">
        <w:rPr>
          <w:noProof/>
        </w:rPr>
        <w:t>.</w:t>
      </w:r>
    </w:p>
    <w:p w14:paraId="1822ED39" w14:textId="0CD23AF3" w:rsidR="004E1342" w:rsidRPr="000C4F35" w:rsidRDefault="001678E4" w:rsidP="001678E4">
      <w:pPr>
        <w:pStyle w:val="ManualConsidrant"/>
        <w:rPr>
          <w:noProof/>
        </w:rPr>
      </w:pPr>
      <w:r w:rsidRPr="001678E4">
        <w:t>(29)</w:t>
      </w:r>
      <w:r w:rsidRPr="001678E4">
        <w:tab/>
      </w:r>
      <w:r w:rsidR="00715C96">
        <w:rPr>
          <w:noProof/>
        </w:rPr>
        <w:t>I</w:t>
      </w:r>
      <w:r w:rsidR="00715C96" w:rsidRPr="000C4F35">
        <w:rPr>
          <w:noProof/>
        </w:rPr>
        <w:t>n order to provide CSDs established in the Union or in third countries with sufficient time to apply for authorisation and recognition of their activities</w:t>
      </w:r>
      <w:r w:rsidR="00715C96">
        <w:rPr>
          <w:noProof/>
        </w:rPr>
        <w:t>,</w:t>
      </w:r>
      <w:r w:rsidR="00715C96" w:rsidRPr="000C4F35">
        <w:rPr>
          <w:noProof/>
        </w:rPr>
        <w:t xml:space="preserve"> </w:t>
      </w:r>
      <w:r w:rsidR="00715C96">
        <w:rPr>
          <w:noProof/>
        </w:rPr>
        <w:t>t</w:t>
      </w:r>
      <w:r w:rsidR="004E1342" w:rsidRPr="000C4F35">
        <w:rPr>
          <w:noProof/>
        </w:rPr>
        <w:t xml:space="preserve">he </w:t>
      </w:r>
      <w:r w:rsidR="00715C96">
        <w:rPr>
          <w:noProof/>
        </w:rPr>
        <w:t xml:space="preserve">date of </w:t>
      </w:r>
      <w:r w:rsidR="004E1342" w:rsidRPr="000C4F35">
        <w:rPr>
          <w:noProof/>
        </w:rPr>
        <w:t xml:space="preserve">application of the authorisation and recognition requirements of Regulation (EU) No 909/2014 was initially deferred until an authorisation or recognition decision was made pursuant to that Regulation. </w:t>
      </w:r>
      <w:r w:rsidR="00C724F0">
        <w:rPr>
          <w:noProof/>
        </w:rPr>
        <w:t>S</w:t>
      </w:r>
      <w:r w:rsidR="004E1342" w:rsidRPr="000C4F35">
        <w:rPr>
          <w:noProof/>
        </w:rPr>
        <w:t>ufficient time has elapsed since the entry into force of that Regulation</w:t>
      </w:r>
      <w:r w:rsidR="00C724F0">
        <w:rPr>
          <w:noProof/>
        </w:rPr>
        <w:t xml:space="preserve">. </w:t>
      </w:r>
      <w:r w:rsidR="00D96ED2">
        <w:rPr>
          <w:noProof/>
        </w:rPr>
        <w:t>,</w:t>
      </w:r>
      <w:r w:rsidR="00C724F0">
        <w:rPr>
          <w:noProof/>
        </w:rPr>
        <w:t xml:space="preserve"> Therefore, those require</w:t>
      </w:r>
      <w:r w:rsidR="005454EB">
        <w:rPr>
          <w:noProof/>
        </w:rPr>
        <w:t>ments should now start to apply</w:t>
      </w:r>
      <w:r w:rsidR="004E1342" w:rsidRPr="000C4F35">
        <w:rPr>
          <w:noProof/>
        </w:rPr>
        <w:t xml:space="preserve"> to ensure, on the one hand, a level-playing field amongst all CSDs offering services in relation to financial instruments constituted under the law of a Member State, and, on the other hand, that authorities at national and Union level have the necessary information to ensure investor protection and monitor financial stability</w:t>
      </w:r>
      <w:r w:rsidR="003C4EE5" w:rsidRPr="000C4F35">
        <w:rPr>
          <w:noProof/>
        </w:rPr>
        <w:t>.</w:t>
      </w:r>
    </w:p>
    <w:p w14:paraId="0EF36559" w14:textId="31B877A1" w:rsidR="004E1342" w:rsidRDefault="001678E4" w:rsidP="001678E4">
      <w:pPr>
        <w:pStyle w:val="ManualConsidrant"/>
        <w:rPr>
          <w:noProof/>
        </w:rPr>
      </w:pPr>
      <w:r w:rsidRPr="001678E4">
        <w:t>(30)</w:t>
      </w:r>
      <w:r w:rsidRPr="001678E4">
        <w:tab/>
      </w:r>
      <w:r w:rsidR="004E1342" w:rsidRPr="000C4F35">
        <w:rPr>
          <w:noProof/>
        </w:rPr>
        <w:t xml:space="preserve">Regulation (EU) No 909/2014 currently </w:t>
      </w:r>
      <w:r w:rsidR="00D96ED2">
        <w:rPr>
          <w:noProof/>
        </w:rPr>
        <w:t>requires</w:t>
      </w:r>
      <w:r w:rsidR="004E1342" w:rsidRPr="000C4F35">
        <w:rPr>
          <w:noProof/>
        </w:rPr>
        <w:t xml:space="preserve"> ESMA </w:t>
      </w:r>
      <w:r w:rsidR="00D96ED2">
        <w:rPr>
          <w:noProof/>
        </w:rPr>
        <w:t>to prepare</w:t>
      </w:r>
      <w:r w:rsidR="004E1342" w:rsidRPr="000C4F35">
        <w:rPr>
          <w:noProof/>
        </w:rPr>
        <w:t>, in cooperation with national com</w:t>
      </w:r>
      <w:r w:rsidR="005454EB">
        <w:rPr>
          <w:noProof/>
        </w:rPr>
        <w:t>petent authorities and the EBA,</w:t>
      </w:r>
      <w:r w:rsidR="004E1342" w:rsidRPr="000C4F35">
        <w:rPr>
          <w:noProof/>
        </w:rPr>
        <w:t xml:space="preserve"> annual reports on 12 topics and submit th</w:t>
      </w:r>
      <w:r w:rsidR="00D96ED2">
        <w:rPr>
          <w:noProof/>
        </w:rPr>
        <w:t>ose reports</w:t>
      </w:r>
      <w:r w:rsidR="004E1342" w:rsidRPr="000C4F35">
        <w:rPr>
          <w:noProof/>
        </w:rPr>
        <w:t xml:space="preserve"> to the Commission. Th</w:t>
      </w:r>
      <w:r w:rsidR="00D96ED2">
        <w:rPr>
          <w:noProof/>
        </w:rPr>
        <w:t>at</w:t>
      </w:r>
      <w:r w:rsidR="004E1342" w:rsidRPr="000C4F35">
        <w:rPr>
          <w:noProof/>
        </w:rPr>
        <w:t xml:space="preserve"> requirement </w:t>
      </w:r>
      <w:r w:rsidR="001E63AA">
        <w:rPr>
          <w:noProof/>
        </w:rPr>
        <w:t>is</w:t>
      </w:r>
      <w:r w:rsidR="001E63AA" w:rsidRPr="000C4F35">
        <w:rPr>
          <w:noProof/>
        </w:rPr>
        <w:t xml:space="preserve"> </w:t>
      </w:r>
      <w:r w:rsidR="004E1342" w:rsidRPr="000C4F35">
        <w:rPr>
          <w:noProof/>
        </w:rPr>
        <w:t>disproportionate considering the nature of certain topics which do not require an annual update. The frequency and number of th</w:t>
      </w:r>
      <w:r w:rsidR="00563085">
        <w:rPr>
          <w:noProof/>
        </w:rPr>
        <w:t>o</w:t>
      </w:r>
      <w:r w:rsidR="004E1342" w:rsidRPr="000C4F35">
        <w:rPr>
          <w:noProof/>
        </w:rPr>
        <w:t xml:space="preserve">se reports should therefore be recalibrated in order to reduce the burden on ESMA and competent authorities while ensuring that the Commission is provided with the necessary information </w:t>
      </w:r>
      <w:r w:rsidR="001E63AA">
        <w:rPr>
          <w:noProof/>
        </w:rPr>
        <w:t>it needs</w:t>
      </w:r>
      <w:r w:rsidR="004E1342" w:rsidRPr="000C4F35">
        <w:rPr>
          <w:noProof/>
        </w:rPr>
        <w:t xml:space="preserve"> to review the implementation of Regulation (EU) No 909/2014</w:t>
      </w:r>
      <w:r w:rsidR="003C4EE5" w:rsidRPr="000C4F35">
        <w:rPr>
          <w:noProof/>
        </w:rPr>
        <w:t>.</w:t>
      </w:r>
    </w:p>
    <w:p w14:paraId="2A83BF4E" w14:textId="4C249016" w:rsidR="0030626B" w:rsidRPr="000C4F35" w:rsidRDefault="001678E4" w:rsidP="001678E4">
      <w:pPr>
        <w:pStyle w:val="ManualConsidrant"/>
        <w:rPr>
          <w:noProof/>
        </w:rPr>
      </w:pPr>
      <w:r w:rsidRPr="001678E4">
        <w:t>(31)</w:t>
      </w:r>
      <w:r w:rsidRPr="001678E4">
        <w:tab/>
      </w:r>
      <w:r w:rsidR="0030626B" w:rsidRPr="000C4F35">
        <w:rPr>
          <w:noProof/>
        </w:rPr>
        <w:t>Regulation (EU) No 909/2014 should therefore be amended accordingly</w:t>
      </w:r>
      <w:r w:rsidR="0030626B">
        <w:rPr>
          <w:noProof/>
        </w:rPr>
        <w:t>.</w:t>
      </w:r>
    </w:p>
    <w:p w14:paraId="1B4EE11D" w14:textId="532EF973" w:rsidR="004E1342" w:rsidRPr="000C4F35" w:rsidRDefault="001678E4" w:rsidP="001678E4">
      <w:pPr>
        <w:pStyle w:val="ManualConsidrant"/>
        <w:rPr>
          <w:noProof/>
        </w:rPr>
      </w:pPr>
      <w:r w:rsidRPr="001678E4">
        <w:t>(32)</w:t>
      </w:r>
      <w:r w:rsidRPr="001678E4">
        <w:tab/>
      </w:r>
      <w:r w:rsidR="004E1342" w:rsidRPr="000C4F35">
        <w:rPr>
          <w:noProof/>
        </w:rPr>
        <w:t xml:space="preserve">The power to adopt acts in accordance with Article 290 </w:t>
      </w:r>
      <w:r w:rsidR="00563085">
        <w:rPr>
          <w:noProof/>
        </w:rPr>
        <w:t>TFEU</w:t>
      </w:r>
      <w:r w:rsidR="004E1342" w:rsidRPr="000C4F35">
        <w:rPr>
          <w:noProof/>
        </w:rPr>
        <w:t xml:space="preserve"> should be delegated to the Commission to specify the effect that, in a context of negative interest rates, fails could have on the affected counterparties in relation to the calculation of cash penalties or their adverse incentives to fail</w:t>
      </w:r>
      <w:r w:rsidR="00563085">
        <w:rPr>
          <w:noProof/>
        </w:rPr>
        <w:t>,</w:t>
      </w:r>
      <w:r w:rsidR="004E1342" w:rsidRPr="000C4F35">
        <w:rPr>
          <w:noProof/>
        </w:rPr>
        <w:t xml:space="preserve"> the reasons causing settlement fails that </w:t>
      </w:r>
      <w:r w:rsidR="008931E0">
        <w:rPr>
          <w:noProof/>
        </w:rPr>
        <w:t>are to</w:t>
      </w:r>
      <w:r w:rsidR="008931E0" w:rsidRPr="000C4F35">
        <w:rPr>
          <w:noProof/>
        </w:rPr>
        <w:t xml:space="preserve"> </w:t>
      </w:r>
      <w:r w:rsidR="004E1342" w:rsidRPr="000C4F35">
        <w:rPr>
          <w:noProof/>
        </w:rPr>
        <w:t xml:space="preserve">be considered </w:t>
      </w:r>
      <w:r w:rsidR="008931E0">
        <w:rPr>
          <w:noProof/>
        </w:rPr>
        <w:t>to be</w:t>
      </w:r>
      <w:r w:rsidR="008931E0" w:rsidRPr="000C4F35">
        <w:rPr>
          <w:noProof/>
        </w:rPr>
        <w:t xml:space="preserve"> </w:t>
      </w:r>
      <w:r w:rsidR="00B141B3">
        <w:rPr>
          <w:noProof/>
        </w:rPr>
        <w:t>not attributable to</w:t>
      </w:r>
      <w:r w:rsidR="004E1342" w:rsidRPr="000C4F35">
        <w:rPr>
          <w:noProof/>
        </w:rPr>
        <w:t xml:space="preserve"> the participants to the transaction and the transactions that </w:t>
      </w:r>
      <w:r w:rsidR="008931E0">
        <w:rPr>
          <w:noProof/>
        </w:rPr>
        <w:t>are</w:t>
      </w:r>
      <w:r w:rsidR="008931E0" w:rsidRPr="000C4F35">
        <w:rPr>
          <w:noProof/>
        </w:rPr>
        <w:t xml:space="preserve"> </w:t>
      </w:r>
      <w:r w:rsidR="004E1342" w:rsidRPr="000C4F35">
        <w:rPr>
          <w:noProof/>
        </w:rPr>
        <w:t xml:space="preserve">not </w:t>
      </w:r>
      <w:r w:rsidR="008931E0">
        <w:rPr>
          <w:noProof/>
        </w:rPr>
        <w:t xml:space="preserve">to </w:t>
      </w:r>
      <w:r w:rsidR="004E1342" w:rsidRPr="000C4F35">
        <w:rPr>
          <w:noProof/>
        </w:rPr>
        <w:t xml:space="preserve">be considered </w:t>
      </w:r>
      <w:r w:rsidR="008931E0">
        <w:rPr>
          <w:noProof/>
        </w:rPr>
        <w:t>to</w:t>
      </w:r>
      <w:r w:rsidR="008931E0" w:rsidRPr="000C4F35">
        <w:rPr>
          <w:noProof/>
        </w:rPr>
        <w:t xml:space="preserve"> involv</w:t>
      </w:r>
      <w:r w:rsidR="008931E0">
        <w:rPr>
          <w:noProof/>
        </w:rPr>
        <w:t>e</w:t>
      </w:r>
      <w:r w:rsidR="008931E0" w:rsidRPr="000C4F35">
        <w:rPr>
          <w:noProof/>
        </w:rPr>
        <w:t xml:space="preserve"> </w:t>
      </w:r>
      <w:r w:rsidR="004E1342" w:rsidRPr="000C4F35">
        <w:rPr>
          <w:noProof/>
        </w:rPr>
        <w:t>two trading parties</w:t>
      </w:r>
      <w:r w:rsidR="00563085">
        <w:rPr>
          <w:noProof/>
        </w:rPr>
        <w:t>,</w:t>
      </w:r>
      <w:r w:rsidR="004E1342" w:rsidRPr="000C4F35">
        <w:rPr>
          <w:noProof/>
        </w:rPr>
        <w:t xml:space="preserve"> the functioning of colleges of supervisors</w:t>
      </w:r>
      <w:r w:rsidR="00563085">
        <w:rPr>
          <w:noProof/>
        </w:rPr>
        <w:t>,</w:t>
      </w:r>
      <w:r w:rsidR="004E1342" w:rsidRPr="000C4F35">
        <w:rPr>
          <w:noProof/>
        </w:rPr>
        <w:t xml:space="preserve"> the information to be notified by third-country CSDs; </w:t>
      </w:r>
      <w:r w:rsidR="007E546F">
        <w:rPr>
          <w:noProof/>
        </w:rPr>
        <w:t xml:space="preserve">and </w:t>
      </w:r>
      <w:r w:rsidR="004E1342" w:rsidRPr="000C4F35">
        <w:rPr>
          <w:noProof/>
        </w:rPr>
        <w:t>the maximum amount below which CSDs may use any credit institution to settle the cash payments</w:t>
      </w:r>
      <w:r w:rsidR="003C4EE5" w:rsidRPr="000C4F35">
        <w:rPr>
          <w:noProof/>
        </w:rPr>
        <w:t>.</w:t>
      </w:r>
    </w:p>
    <w:p w14:paraId="3C1EDDD7" w14:textId="09DF3633" w:rsidR="004E1342" w:rsidRPr="000C4F35" w:rsidRDefault="001678E4" w:rsidP="001678E4">
      <w:pPr>
        <w:pStyle w:val="ManualConsidrant"/>
        <w:rPr>
          <w:noProof/>
        </w:rPr>
      </w:pPr>
      <w:r w:rsidRPr="001678E4">
        <w:t>(33)</w:t>
      </w:r>
      <w:r w:rsidRPr="001678E4">
        <w:tab/>
      </w:r>
      <w:r w:rsidR="004E1342" w:rsidRPr="000C4F35">
        <w:rPr>
          <w:noProof/>
        </w:rPr>
        <w:t xml:space="preserve">To ensure uniform conditions for the implementation of this Regulation, and in particular with regard to the </w:t>
      </w:r>
      <w:r w:rsidR="00850E23">
        <w:rPr>
          <w:noProof/>
        </w:rPr>
        <w:t>application and the</w:t>
      </w:r>
      <w:r w:rsidR="004E1342" w:rsidRPr="000C4F35">
        <w:rPr>
          <w:noProof/>
        </w:rPr>
        <w:t xml:space="preserve"> suspension of mandatory buy-in requirements where those apply, implementing powers should be conferred on the Commission</w:t>
      </w:r>
      <w:r w:rsidR="003C4EE5" w:rsidRPr="000C4F35">
        <w:rPr>
          <w:noProof/>
        </w:rPr>
        <w:t>.</w:t>
      </w:r>
      <w:r w:rsidR="00563085" w:rsidRPr="00563085">
        <w:rPr>
          <w:noProof/>
        </w:rPr>
        <w:t xml:space="preserve"> </w:t>
      </w:r>
      <w:r w:rsidR="00563085">
        <w:rPr>
          <w:noProof/>
        </w:rPr>
        <w:t>Those powers should be exercised in accordance with Regulation (EU) No 182/2011 of the European Parliament and of the Council</w:t>
      </w:r>
      <w:r w:rsidR="00563085">
        <w:rPr>
          <w:rStyle w:val="FootnoteReference"/>
          <w:noProof/>
        </w:rPr>
        <w:footnoteReference w:id="44"/>
      </w:r>
      <w:r w:rsidR="00563085">
        <w:rPr>
          <w:noProof/>
        </w:rPr>
        <w:t>.</w:t>
      </w:r>
      <w:r w:rsidR="003C4EE5" w:rsidRPr="000C4F35">
        <w:rPr>
          <w:noProof/>
        </w:rPr>
        <w:t xml:space="preserve"> </w:t>
      </w:r>
    </w:p>
    <w:p w14:paraId="073165D0" w14:textId="206CD2C9" w:rsidR="004E1342" w:rsidRPr="000C4F35" w:rsidRDefault="001678E4" w:rsidP="001678E4">
      <w:pPr>
        <w:pStyle w:val="ManualConsidrant"/>
        <w:rPr>
          <w:noProof/>
        </w:rPr>
      </w:pPr>
      <w:r w:rsidRPr="001678E4">
        <w:t>(34)</w:t>
      </w:r>
      <w:r w:rsidRPr="001678E4">
        <w:tab/>
      </w:r>
      <w:r w:rsidR="004E1342" w:rsidRPr="000C4F35">
        <w:rPr>
          <w:noProof/>
        </w:rPr>
        <w:t>Since the objectives of this Regulation, namely to increase the provision of cross-border settlement by CSDs, reduce administrative burden and compliance costs and ensure that authorities have sufficient information in order to monitor risks, cannot be sufficiently achieved by the Member States but can rather, by reason of their scale and effects,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r w:rsidR="0030626B">
        <w:rPr>
          <w:noProof/>
        </w:rPr>
        <w:t>.</w:t>
      </w:r>
    </w:p>
    <w:p w14:paraId="0D1B94D6" w14:textId="039FB198" w:rsidR="008D5CAE" w:rsidRPr="00FE36E9" w:rsidRDefault="001678E4" w:rsidP="001678E4">
      <w:pPr>
        <w:pStyle w:val="ManualConsidrant"/>
        <w:rPr>
          <w:noProof/>
        </w:rPr>
      </w:pPr>
      <w:r w:rsidRPr="001678E4">
        <w:t>(35)</w:t>
      </w:r>
      <w:r w:rsidRPr="001678E4">
        <w:tab/>
      </w:r>
      <w:r w:rsidR="000F27D4" w:rsidRPr="00E4531D">
        <w:rPr>
          <w:noProof/>
        </w:rPr>
        <w:t>T</w:t>
      </w:r>
      <w:r w:rsidR="008D5CAE" w:rsidRPr="00E4531D">
        <w:rPr>
          <w:noProof/>
        </w:rPr>
        <w:t>he application of the revised scope of the</w:t>
      </w:r>
      <w:r w:rsidR="00555CB0" w:rsidRPr="00E4531D">
        <w:rPr>
          <w:noProof/>
        </w:rPr>
        <w:t xml:space="preserve"> rules on</w:t>
      </w:r>
      <w:r w:rsidR="008D5CAE" w:rsidRPr="00E4531D">
        <w:rPr>
          <w:noProof/>
        </w:rPr>
        <w:t xml:space="preserve"> cash penalties</w:t>
      </w:r>
      <w:r w:rsidR="00555CB0" w:rsidRPr="00E4531D">
        <w:rPr>
          <w:noProof/>
        </w:rPr>
        <w:t>,</w:t>
      </w:r>
      <w:r w:rsidR="008D5CAE" w:rsidRPr="00E4531D">
        <w:rPr>
          <w:noProof/>
        </w:rPr>
        <w:t xml:space="preserve"> the new requirements </w:t>
      </w:r>
      <w:r w:rsidR="00CD3061" w:rsidRPr="00E4531D">
        <w:rPr>
          <w:noProof/>
        </w:rPr>
        <w:t>regarding the establishment of</w:t>
      </w:r>
      <w:r w:rsidR="008D5CAE" w:rsidRPr="00E4531D">
        <w:rPr>
          <w:noProof/>
        </w:rPr>
        <w:t xml:space="preserve"> colleges of supervisors</w:t>
      </w:r>
      <w:r w:rsidR="000F27D4" w:rsidRPr="00E4531D">
        <w:rPr>
          <w:noProof/>
        </w:rPr>
        <w:t>,</w:t>
      </w:r>
      <w:r w:rsidR="008D5CAE" w:rsidRPr="00E4531D">
        <w:rPr>
          <w:noProof/>
        </w:rPr>
        <w:t xml:space="preserve"> the </w:t>
      </w:r>
      <w:r w:rsidR="000F27D4" w:rsidRPr="00E4531D">
        <w:rPr>
          <w:noProof/>
        </w:rPr>
        <w:t xml:space="preserve">submission of a </w:t>
      </w:r>
      <w:r w:rsidR="008D5CAE" w:rsidRPr="00E4531D">
        <w:rPr>
          <w:noProof/>
        </w:rPr>
        <w:t xml:space="preserve">notification by third-country CSDs of the core services they provide </w:t>
      </w:r>
      <w:r w:rsidR="000F27D4" w:rsidRPr="00E4531D">
        <w:rPr>
          <w:noProof/>
        </w:rPr>
        <w:t>in relation to financial instruments constituted under the law of a Member State</w:t>
      </w:r>
      <w:r w:rsidR="008D5CAE" w:rsidRPr="00E4531D">
        <w:rPr>
          <w:noProof/>
        </w:rPr>
        <w:t xml:space="preserve">, the revised threshold </w:t>
      </w:r>
      <w:r w:rsidR="00CD3061" w:rsidRPr="00E4531D">
        <w:rPr>
          <w:noProof/>
        </w:rPr>
        <w:t>under which</w:t>
      </w:r>
      <w:r w:rsidR="008D5CAE" w:rsidRPr="00E4531D">
        <w:rPr>
          <w:noProof/>
        </w:rPr>
        <w:t xml:space="preserve"> </w:t>
      </w:r>
      <w:r w:rsidR="008D5CAE" w:rsidRPr="002D5A5E">
        <w:rPr>
          <w:noProof/>
        </w:rPr>
        <w:t xml:space="preserve">credit institutions </w:t>
      </w:r>
      <w:r w:rsidR="008D5CAE" w:rsidRPr="00E4531D">
        <w:rPr>
          <w:noProof/>
        </w:rPr>
        <w:t xml:space="preserve">may </w:t>
      </w:r>
      <w:r w:rsidR="008D5CAE" w:rsidRPr="002D5A5E">
        <w:rPr>
          <w:noProof/>
        </w:rPr>
        <w:t>offer to settle the cash payments for part of the CSD’s securities settlement system</w:t>
      </w:r>
      <w:r w:rsidR="008D5CAE" w:rsidRPr="00E4531D">
        <w:rPr>
          <w:noProof/>
        </w:rPr>
        <w:t xml:space="preserve"> and the revised p</w:t>
      </w:r>
      <w:r w:rsidR="008D5CAE" w:rsidRPr="002D5A5E">
        <w:rPr>
          <w:noProof/>
        </w:rPr>
        <w:t>rudential requirements applicable to credit institutions or CSDs authorised to provide banking-type ancillary services</w:t>
      </w:r>
      <w:r w:rsidR="008D5CAE" w:rsidRPr="00E4531D">
        <w:rPr>
          <w:noProof/>
        </w:rPr>
        <w:t xml:space="preserve"> </w:t>
      </w:r>
      <w:r w:rsidR="00CD3061" w:rsidRPr="00E4531D">
        <w:rPr>
          <w:noProof/>
        </w:rPr>
        <w:t>pursuant to</w:t>
      </w:r>
      <w:r w:rsidR="008D5CAE" w:rsidRPr="00E4531D">
        <w:rPr>
          <w:noProof/>
        </w:rPr>
        <w:t xml:space="preserve"> Article 59</w:t>
      </w:r>
      <w:r w:rsidR="000F27D4" w:rsidRPr="00E4531D">
        <w:rPr>
          <w:noProof/>
        </w:rPr>
        <w:t xml:space="preserve"> </w:t>
      </w:r>
      <w:r w:rsidR="007244C3" w:rsidRPr="006B3BA6">
        <w:rPr>
          <w:noProof/>
        </w:rPr>
        <w:t xml:space="preserve">of </w:t>
      </w:r>
      <w:r w:rsidR="007244C3" w:rsidRPr="00E4531D">
        <w:rPr>
          <w:noProof/>
        </w:rPr>
        <w:t>Regulation (EU) No 909/2014</w:t>
      </w:r>
      <w:r w:rsidR="007244C3" w:rsidRPr="00D6473C">
        <w:rPr>
          <w:noProof/>
        </w:rPr>
        <w:t xml:space="preserve"> </w:t>
      </w:r>
      <w:r w:rsidR="000F27D4" w:rsidRPr="00E4531D">
        <w:rPr>
          <w:noProof/>
        </w:rPr>
        <w:t>should be deferred</w:t>
      </w:r>
      <w:r w:rsidR="000B773C">
        <w:rPr>
          <w:noProof/>
        </w:rPr>
        <w:t xml:space="preserve"> </w:t>
      </w:r>
      <w:r w:rsidR="000B773C" w:rsidRPr="006B3BA6">
        <w:rPr>
          <w:noProof/>
        </w:rPr>
        <w:t>to give sufficient time for the adoption of</w:t>
      </w:r>
      <w:r w:rsidR="008D5CAE" w:rsidRPr="00E4531D">
        <w:rPr>
          <w:noProof/>
        </w:rPr>
        <w:t xml:space="preserve"> the necessary delegated </w:t>
      </w:r>
      <w:r w:rsidR="004765C2" w:rsidRPr="00E4531D">
        <w:rPr>
          <w:noProof/>
        </w:rPr>
        <w:t xml:space="preserve">acts </w:t>
      </w:r>
      <w:r w:rsidR="008D5CAE" w:rsidRPr="00E4531D">
        <w:rPr>
          <w:noProof/>
        </w:rPr>
        <w:t>further specifying such requirements</w:t>
      </w:r>
      <w:r w:rsidR="007244C3" w:rsidRPr="006B3BA6">
        <w:rPr>
          <w:noProof/>
        </w:rPr>
        <w:t>,</w:t>
      </w:r>
      <w:r w:rsidR="008D5CAE" w:rsidRPr="00E4531D">
        <w:rPr>
          <w:noProof/>
        </w:rPr>
        <w:t xml:space="preserve"> </w:t>
      </w:r>
    </w:p>
    <w:p w14:paraId="76299906" w14:textId="77777777" w:rsidR="00470D07" w:rsidRPr="000C4F35" w:rsidRDefault="00470D07" w:rsidP="00685329">
      <w:pPr>
        <w:pStyle w:val="Formuledadoption"/>
        <w:rPr>
          <w:noProof/>
        </w:rPr>
      </w:pPr>
      <w:r w:rsidRPr="000C4F35">
        <w:rPr>
          <w:noProof/>
        </w:rPr>
        <w:t>HAVE ADOPTED THIS REGULATION:</w:t>
      </w:r>
    </w:p>
    <w:p w14:paraId="34E07FBB" w14:textId="77777777" w:rsidR="00470D07" w:rsidRPr="000C4F35" w:rsidRDefault="00470D07" w:rsidP="00685329">
      <w:pPr>
        <w:pStyle w:val="Titrearticle"/>
        <w:rPr>
          <w:noProof/>
        </w:rPr>
      </w:pPr>
      <w:r w:rsidRPr="000C4F35">
        <w:rPr>
          <w:noProof/>
        </w:rPr>
        <w:t>Article 1</w:t>
      </w:r>
    </w:p>
    <w:p w14:paraId="2390E8D9" w14:textId="77777777" w:rsidR="004E1342" w:rsidRPr="00D473D5" w:rsidRDefault="004E1342" w:rsidP="00685329">
      <w:pPr>
        <w:jc w:val="center"/>
        <w:rPr>
          <w:b/>
          <w:noProof/>
        </w:rPr>
      </w:pPr>
      <w:r w:rsidRPr="00D473D5">
        <w:rPr>
          <w:b/>
          <w:noProof/>
        </w:rPr>
        <w:t>Amendments to Regulation (EU) No 909/2014</w:t>
      </w:r>
    </w:p>
    <w:p w14:paraId="0941A45A" w14:textId="77777777" w:rsidR="004F677E" w:rsidRPr="000C4F35" w:rsidRDefault="004F677E" w:rsidP="00685329">
      <w:pPr>
        <w:rPr>
          <w:noProof/>
          <w:szCs w:val="24"/>
        </w:rPr>
      </w:pPr>
      <w:r w:rsidRPr="000C4F35">
        <w:rPr>
          <w:noProof/>
          <w:szCs w:val="24"/>
        </w:rPr>
        <w:t>Regulation (EU) No 909/2014 is amended as follows:</w:t>
      </w:r>
    </w:p>
    <w:p w14:paraId="364ACA2B" w14:textId="77777777" w:rsidR="004F677E" w:rsidRPr="000C4F35" w:rsidRDefault="00061B3C" w:rsidP="00685329">
      <w:pPr>
        <w:pStyle w:val="ManualNumPar1"/>
        <w:rPr>
          <w:noProof/>
        </w:rPr>
      </w:pPr>
      <w:r>
        <w:rPr>
          <w:noProof/>
        </w:rPr>
        <w:t>(</w:t>
      </w:r>
      <w:r w:rsidR="00A96AA1" w:rsidRPr="000C4F35">
        <w:rPr>
          <w:noProof/>
        </w:rPr>
        <w:t>1</w:t>
      </w:r>
      <w:r>
        <w:rPr>
          <w:noProof/>
        </w:rPr>
        <w:t>)</w:t>
      </w:r>
      <w:r w:rsidR="00A96AA1" w:rsidRPr="000C4F35">
        <w:rPr>
          <w:noProof/>
        </w:rPr>
        <w:t xml:space="preserve"> </w:t>
      </w:r>
      <w:r w:rsidR="004801A6" w:rsidRPr="006B3BA6">
        <w:rPr>
          <w:noProof/>
        </w:rPr>
        <w:t>i</w:t>
      </w:r>
      <w:r w:rsidR="0073720B" w:rsidRPr="006B3BA6">
        <w:rPr>
          <w:noProof/>
        </w:rPr>
        <w:t>n</w:t>
      </w:r>
      <w:r w:rsidR="0073720B">
        <w:rPr>
          <w:noProof/>
        </w:rPr>
        <w:t xml:space="preserve"> </w:t>
      </w:r>
      <w:r w:rsidR="007D5589" w:rsidRPr="000C4F35">
        <w:rPr>
          <w:noProof/>
        </w:rPr>
        <w:t xml:space="preserve">Article </w:t>
      </w:r>
      <w:r w:rsidR="004F677E" w:rsidRPr="000C4F35">
        <w:rPr>
          <w:noProof/>
        </w:rPr>
        <w:t>2</w:t>
      </w:r>
      <w:r>
        <w:rPr>
          <w:noProof/>
        </w:rPr>
        <w:t xml:space="preserve"> </w:t>
      </w:r>
      <w:r w:rsidR="0073720B" w:rsidRPr="000C4F35">
        <w:rPr>
          <w:noProof/>
        </w:rPr>
        <w:t xml:space="preserve">the following point </w:t>
      </w:r>
      <w:r w:rsidR="0073720B">
        <w:rPr>
          <w:noProof/>
        </w:rPr>
        <w:t>(</w:t>
      </w:r>
      <w:r w:rsidR="0073720B" w:rsidRPr="000C4F35">
        <w:rPr>
          <w:noProof/>
        </w:rPr>
        <w:t>25a)</w:t>
      </w:r>
      <w:r w:rsidR="0073720B">
        <w:rPr>
          <w:noProof/>
        </w:rPr>
        <w:t xml:space="preserve"> is inserted</w:t>
      </w:r>
      <w:r>
        <w:rPr>
          <w:noProof/>
        </w:rPr>
        <w:t>:</w:t>
      </w:r>
    </w:p>
    <w:p w14:paraId="6E3A934F" w14:textId="11733BEA" w:rsidR="00B07985" w:rsidRPr="000C4F35" w:rsidRDefault="00061B3C" w:rsidP="00685329">
      <w:pPr>
        <w:pStyle w:val="Text1"/>
        <w:rPr>
          <w:noProof/>
        </w:rPr>
      </w:pPr>
      <w:r>
        <w:rPr>
          <w:noProof/>
        </w:rPr>
        <w:t>‘(25a)</w:t>
      </w:r>
      <w:r w:rsidR="00B07985" w:rsidRPr="000C4F35">
        <w:rPr>
          <w:noProof/>
        </w:rPr>
        <w:t xml:space="preserve"> ‘group’ means a group within the meaning of Article 2(</w:t>
      </w:r>
      <w:r w:rsidR="00AB4D2C">
        <w:rPr>
          <w:noProof/>
        </w:rPr>
        <w:t>11</w:t>
      </w:r>
      <w:r w:rsidR="00B07985" w:rsidRPr="000C4F35">
        <w:rPr>
          <w:noProof/>
        </w:rPr>
        <w:t>) of Directive 2013/34/EU</w:t>
      </w:r>
      <w:r w:rsidR="0065222F" w:rsidRPr="006B3BA6">
        <w:rPr>
          <w:noProof/>
        </w:rPr>
        <w:t>;</w:t>
      </w:r>
      <w:r w:rsidR="00E147B7" w:rsidRPr="006B3BA6">
        <w:rPr>
          <w:noProof/>
        </w:rPr>
        <w:t>’</w:t>
      </w:r>
      <w:r w:rsidR="0073720B" w:rsidRPr="006B3BA6">
        <w:rPr>
          <w:noProof/>
        </w:rPr>
        <w:t>;</w:t>
      </w:r>
    </w:p>
    <w:p w14:paraId="583226AC" w14:textId="0CCE28C6" w:rsidR="004F677E" w:rsidRPr="000C4F35" w:rsidRDefault="006C5B9D" w:rsidP="00685329">
      <w:pPr>
        <w:pStyle w:val="ManualNumPar1"/>
        <w:rPr>
          <w:noProof/>
        </w:rPr>
      </w:pPr>
      <w:r>
        <w:rPr>
          <w:noProof/>
        </w:rPr>
        <w:t>(</w:t>
      </w:r>
      <w:r w:rsidR="00A96AA1" w:rsidRPr="000C4F35">
        <w:rPr>
          <w:noProof/>
        </w:rPr>
        <w:t>2</w:t>
      </w:r>
      <w:r>
        <w:rPr>
          <w:noProof/>
        </w:rPr>
        <w:t>)</w:t>
      </w:r>
      <w:r w:rsidR="00A96AA1" w:rsidRPr="000C4F35">
        <w:rPr>
          <w:noProof/>
        </w:rPr>
        <w:t xml:space="preserve"> </w:t>
      </w:r>
      <w:r w:rsidR="004F677E" w:rsidRPr="000C4F35">
        <w:rPr>
          <w:noProof/>
        </w:rPr>
        <w:t>Article 7 is amended as follows:</w:t>
      </w:r>
    </w:p>
    <w:p w14:paraId="170280C2" w14:textId="05A41AAA" w:rsidR="004F677E" w:rsidRPr="00456A9F" w:rsidRDefault="001678E4" w:rsidP="001678E4">
      <w:pPr>
        <w:pStyle w:val="Point1"/>
        <w:rPr>
          <w:noProof/>
        </w:rPr>
      </w:pPr>
      <w:r w:rsidRPr="001678E4">
        <w:t>(a)</w:t>
      </w:r>
      <w:r w:rsidRPr="001678E4">
        <w:tab/>
      </w:r>
      <w:r w:rsidR="006C5B9D" w:rsidRPr="00456A9F">
        <w:rPr>
          <w:noProof/>
        </w:rPr>
        <w:t>i</w:t>
      </w:r>
      <w:r w:rsidR="004F677E" w:rsidRPr="00456A9F">
        <w:rPr>
          <w:noProof/>
        </w:rPr>
        <w:t xml:space="preserve">n paragraph 2, the </w:t>
      </w:r>
      <w:r w:rsidR="006C5B9D" w:rsidRPr="00456A9F">
        <w:rPr>
          <w:noProof/>
        </w:rPr>
        <w:t>third</w:t>
      </w:r>
      <w:r w:rsidR="004F677E" w:rsidRPr="00456A9F">
        <w:rPr>
          <w:noProof/>
        </w:rPr>
        <w:t xml:space="preserve"> subparagraph is replaced by the following: </w:t>
      </w:r>
    </w:p>
    <w:p w14:paraId="56125802" w14:textId="77777777" w:rsidR="004F677E" w:rsidRPr="000C4F35" w:rsidRDefault="00E147B7" w:rsidP="00685329">
      <w:pPr>
        <w:pStyle w:val="Text1"/>
        <w:rPr>
          <w:noProof/>
        </w:rPr>
      </w:pPr>
      <w:r>
        <w:rPr>
          <w:noProof/>
        </w:rPr>
        <w:t>‘</w:t>
      </w:r>
      <w:r w:rsidR="004F677E" w:rsidRPr="00456A9F">
        <w:rPr>
          <w:noProof/>
        </w:rPr>
        <w:t xml:space="preserve">The penalty mechanism referred to in the first subparagraph shall include cash penalties for participants that cause settlement fails (‘failing participants’) except where those settlement fails are caused by factors </w:t>
      </w:r>
      <w:r w:rsidR="008A4445">
        <w:rPr>
          <w:noProof/>
        </w:rPr>
        <w:t>not attributable</w:t>
      </w:r>
      <w:r w:rsidR="008A4445" w:rsidRPr="00456A9F">
        <w:rPr>
          <w:noProof/>
        </w:rPr>
        <w:t xml:space="preserve"> </w:t>
      </w:r>
      <w:r w:rsidR="004F677E" w:rsidRPr="00456A9F">
        <w:rPr>
          <w:noProof/>
        </w:rPr>
        <w:t xml:space="preserve">to the participants to the transaction or </w:t>
      </w:r>
      <w:r w:rsidR="00FF0C91">
        <w:rPr>
          <w:noProof/>
        </w:rPr>
        <w:t xml:space="preserve">for </w:t>
      </w:r>
      <w:r w:rsidR="004F677E" w:rsidRPr="00456A9F">
        <w:rPr>
          <w:noProof/>
        </w:rPr>
        <w:t>operations that do not involve two trading parties. Cash penalties shall be calculated on a daily basis for each business day that a transaction fails to</w:t>
      </w:r>
      <w:r w:rsidR="00FF0C91">
        <w:rPr>
          <w:noProof/>
        </w:rPr>
        <w:t xml:space="preserve"> be</w:t>
      </w:r>
      <w:r w:rsidR="004F677E" w:rsidRPr="00456A9F">
        <w:rPr>
          <w:noProof/>
        </w:rPr>
        <w:t xml:space="preserve"> settle</w:t>
      </w:r>
      <w:r w:rsidR="00FF0C91">
        <w:rPr>
          <w:noProof/>
        </w:rPr>
        <w:t>d</w:t>
      </w:r>
      <w:r w:rsidR="004F677E" w:rsidRPr="00456A9F">
        <w:rPr>
          <w:noProof/>
        </w:rPr>
        <w:t xml:space="preserve"> after its intended settlement date until the end of </w:t>
      </w:r>
      <w:r w:rsidR="00EF3FED">
        <w:rPr>
          <w:noProof/>
        </w:rPr>
        <w:t>the</w:t>
      </w:r>
      <w:r w:rsidR="00EF3FED" w:rsidRPr="00456A9F">
        <w:rPr>
          <w:noProof/>
        </w:rPr>
        <w:t xml:space="preserve"> </w:t>
      </w:r>
      <w:r w:rsidR="004F677E" w:rsidRPr="00456A9F">
        <w:rPr>
          <w:noProof/>
        </w:rPr>
        <w:t>buy-in process referred to in paragraph</w:t>
      </w:r>
      <w:r w:rsidR="00EF3FED">
        <w:rPr>
          <w:noProof/>
        </w:rPr>
        <w:t>s</w:t>
      </w:r>
      <w:r w:rsidR="004F677E" w:rsidRPr="00456A9F">
        <w:rPr>
          <w:noProof/>
        </w:rPr>
        <w:t xml:space="preserve"> 3</w:t>
      </w:r>
      <w:r w:rsidR="00EF3FED">
        <w:rPr>
          <w:noProof/>
        </w:rPr>
        <w:t xml:space="preserve"> to 8</w:t>
      </w:r>
      <w:r w:rsidR="004F677E" w:rsidRPr="00456A9F">
        <w:rPr>
          <w:noProof/>
        </w:rPr>
        <w:t xml:space="preserve"> </w:t>
      </w:r>
      <w:r w:rsidR="00EF3FED" w:rsidRPr="00E4531D">
        <w:rPr>
          <w:noProof/>
        </w:rPr>
        <w:t xml:space="preserve">that is to be applied pursuant to </w:t>
      </w:r>
      <w:r w:rsidR="006632A3">
        <w:rPr>
          <w:noProof/>
        </w:rPr>
        <w:t>paragraph 2a,</w:t>
      </w:r>
      <w:r w:rsidR="00EF3FED" w:rsidRPr="00E4531D">
        <w:rPr>
          <w:noProof/>
        </w:rPr>
        <w:t xml:space="preserve"> or the actual settlement day, whichever is the earlier</w:t>
      </w:r>
      <w:r w:rsidR="004F677E" w:rsidRPr="00456A9F">
        <w:rPr>
          <w:noProof/>
        </w:rPr>
        <w:t>. The cash penalties shall not be configured as a revenue source for the CSD.</w:t>
      </w:r>
      <w:r>
        <w:rPr>
          <w:noProof/>
        </w:rPr>
        <w:t>’</w:t>
      </w:r>
      <w:r w:rsidR="00A502E1" w:rsidRPr="00456A9F">
        <w:rPr>
          <w:noProof/>
        </w:rPr>
        <w:t>;</w:t>
      </w:r>
    </w:p>
    <w:p w14:paraId="18C73426" w14:textId="44477D70" w:rsidR="004F677E" w:rsidRPr="00456A9F" w:rsidRDefault="001678E4" w:rsidP="001678E4">
      <w:pPr>
        <w:pStyle w:val="Point1"/>
        <w:rPr>
          <w:noProof/>
        </w:rPr>
      </w:pPr>
      <w:r w:rsidRPr="001678E4">
        <w:t>(b)</w:t>
      </w:r>
      <w:r w:rsidRPr="001678E4">
        <w:tab/>
      </w:r>
      <w:r w:rsidR="00D16F14">
        <w:rPr>
          <w:noProof/>
        </w:rPr>
        <w:t>the following paragraph 2a is inserted</w:t>
      </w:r>
      <w:r w:rsidR="004F677E" w:rsidRPr="00456A9F">
        <w:rPr>
          <w:noProof/>
        </w:rPr>
        <w:t>:</w:t>
      </w:r>
    </w:p>
    <w:p w14:paraId="2D284D1A" w14:textId="77777777" w:rsidR="00C20FBF" w:rsidRPr="00C20FBF" w:rsidRDefault="00E147B7" w:rsidP="00C20FBF">
      <w:pPr>
        <w:pStyle w:val="Text1"/>
        <w:rPr>
          <w:rFonts w:eastAsia="Calibri"/>
          <w:noProof/>
          <w:szCs w:val="24"/>
        </w:rPr>
      </w:pPr>
      <w:r>
        <w:rPr>
          <w:noProof/>
        </w:rPr>
        <w:t>‘</w:t>
      </w:r>
      <w:r w:rsidR="002A679A" w:rsidRPr="00E4531D">
        <w:rPr>
          <w:noProof/>
        </w:rPr>
        <w:t>2a</w:t>
      </w:r>
      <w:r w:rsidR="0065222F" w:rsidRPr="006B3BA6">
        <w:rPr>
          <w:noProof/>
        </w:rPr>
        <w:t>.</w:t>
      </w:r>
      <w:r w:rsidR="00C20FBF" w:rsidRPr="00C20FBF">
        <w:rPr>
          <w:rFonts w:eastAsia="Calibri"/>
          <w:noProof/>
        </w:rPr>
        <w:t xml:space="preserve"> Without prejudice to the penalty mechanism referred to in paragraph 2</w:t>
      </w:r>
      <w:r w:rsidR="004801A6">
        <w:rPr>
          <w:rFonts w:eastAsia="Calibri"/>
          <w:noProof/>
        </w:rPr>
        <w:t xml:space="preserve"> of this Article</w:t>
      </w:r>
      <w:r w:rsidR="00C20FBF" w:rsidRPr="00C20FBF">
        <w:rPr>
          <w:rFonts w:eastAsia="Calibri"/>
          <w:noProof/>
        </w:rPr>
        <w:t xml:space="preserve"> and the right to bilaterally cancel the transaction, the Commission may, by means of an implementing act, decide to which of the </w:t>
      </w:r>
      <w:r w:rsidR="00C20FBF" w:rsidRPr="00C20FBF">
        <w:rPr>
          <w:rFonts w:eastAsia="Calibri"/>
          <w:noProof/>
          <w:szCs w:val="24"/>
        </w:rPr>
        <w:t>financial instruments referred to in Article 5(1) or categories of transactions in those financial instruments</w:t>
      </w:r>
      <w:r w:rsidR="00C20FBF" w:rsidRPr="00C20FBF">
        <w:rPr>
          <w:rFonts w:eastAsia="Calibri"/>
          <w:noProof/>
        </w:rPr>
        <w:t xml:space="preserve"> the settlement discipline measures referred to in paragraphs 3 to 8 </w:t>
      </w:r>
      <w:r w:rsidR="004801A6">
        <w:rPr>
          <w:rFonts w:eastAsia="Calibri"/>
          <w:noProof/>
        </w:rPr>
        <w:t xml:space="preserve">of this Article </w:t>
      </w:r>
      <w:r w:rsidR="00C20FBF" w:rsidRPr="00C20FBF">
        <w:rPr>
          <w:rFonts w:eastAsia="Calibri"/>
          <w:noProof/>
        </w:rPr>
        <w:t>are to be applied where the Commission considers</w:t>
      </w:r>
      <w:r w:rsidR="00A36211">
        <w:rPr>
          <w:rFonts w:eastAsia="Calibri"/>
          <w:noProof/>
        </w:rPr>
        <w:t xml:space="preserve"> that those measures constitute</w:t>
      </w:r>
      <w:r w:rsidR="00A36211" w:rsidRPr="00A36211">
        <w:rPr>
          <w:rFonts w:eastAsia="Calibri"/>
          <w:noProof/>
        </w:rPr>
        <w:t xml:space="preserve"> a proportionate means to address the level of settlement fails in the Union</w:t>
      </w:r>
      <w:r w:rsidR="00A36211">
        <w:rPr>
          <w:rFonts w:eastAsia="Calibri"/>
          <w:noProof/>
        </w:rPr>
        <w:t xml:space="preserve"> and that,</w:t>
      </w:r>
      <w:r w:rsidR="00C20FBF" w:rsidRPr="00C20FBF">
        <w:rPr>
          <w:rFonts w:eastAsia="Calibri"/>
          <w:noProof/>
        </w:rPr>
        <w:t xml:space="preserve"> </w:t>
      </w:r>
      <w:r w:rsidR="00C20FBF" w:rsidRPr="00C20FBF">
        <w:rPr>
          <w:rFonts w:eastAsia="Calibri"/>
          <w:noProof/>
          <w:szCs w:val="24"/>
        </w:rPr>
        <w:t xml:space="preserve">based on the number and volume of settlement fails, any of the following conditions is met: </w:t>
      </w:r>
    </w:p>
    <w:p w14:paraId="7E22BA3B" w14:textId="77777777" w:rsidR="00C20FBF" w:rsidRPr="00C20FBF" w:rsidRDefault="00C20FBF" w:rsidP="00C20FBF">
      <w:pPr>
        <w:spacing w:before="0" w:after="160" w:line="259" w:lineRule="auto"/>
        <w:ind w:left="850"/>
        <w:jc w:val="left"/>
        <w:rPr>
          <w:rFonts w:eastAsia="Calibri"/>
          <w:noProof/>
          <w:szCs w:val="24"/>
          <w:lang w:val="en-US"/>
        </w:rPr>
      </w:pPr>
      <w:r w:rsidRPr="00C20FBF">
        <w:rPr>
          <w:rFonts w:eastAsia="Calibri"/>
          <w:noProof/>
          <w:szCs w:val="24"/>
        </w:rPr>
        <w:t xml:space="preserve">(a) the </w:t>
      </w:r>
      <w:r w:rsidRPr="00C20FBF">
        <w:rPr>
          <w:rFonts w:eastAsia="Calibri"/>
          <w:noProof/>
          <w:szCs w:val="24"/>
          <w:lang w:val="en-US"/>
        </w:rPr>
        <w:t>application of the cash penalty mechanism referred to in paragraph 2 has not resul</w:t>
      </w:r>
      <w:r w:rsidR="005454EB">
        <w:rPr>
          <w:rFonts w:eastAsia="Calibri"/>
          <w:noProof/>
          <w:szCs w:val="24"/>
          <w:lang w:val="en-US"/>
        </w:rPr>
        <w:t xml:space="preserve">ted in a long-term, continuous </w:t>
      </w:r>
      <w:r w:rsidRPr="00C20FBF">
        <w:rPr>
          <w:rFonts w:eastAsia="Calibri"/>
          <w:noProof/>
          <w:szCs w:val="24"/>
          <w:lang w:val="en-US"/>
        </w:rPr>
        <w:t xml:space="preserve">reduction of settlement fails in the Union; </w:t>
      </w:r>
    </w:p>
    <w:p w14:paraId="154F56D5" w14:textId="77777777" w:rsidR="00C20FBF" w:rsidRPr="00C20FBF" w:rsidRDefault="00C20FBF" w:rsidP="00C20FBF">
      <w:pPr>
        <w:spacing w:before="0" w:after="160" w:line="259" w:lineRule="auto"/>
        <w:ind w:left="850"/>
        <w:jc w:val="left"/>
        <w:rPr>
          <w:rFonts w:eastAsia="Calibri"/>
          <w:noProof/>
          <w:szCs w:val="24"/>
        </w:rPr>
      </w:pPr>
      <w:r w:rsidRPr="00C20FBF">
        <w:rPr>
          <w:rFonts w:eastAsia="Calibri"/>
          <w:noProof/>
          <w:szCs w:val="24"/>
          <w:lang w:val="en-US"/>
        </w:rPr>
        <w:t>(b) settlement efficiency in the Union has not reached appropriate levels considering</w:t>
      </w:r>
      <w:r w:rsidRPr="00C20FBF" w:rsidDel="00486F1D">
        <w:rPr>
          <w:rFonts w:eastAsia="Calibri"/>
          <w:noProof/>
          <w:szCs w:val="24"/>
          <w:lang w:val="en-US"/>
        </w:rPr>
        <w:t xml:space="preserve"> </w:t>
      </w:r>
      <w:r w:rsidRPr="00C20FBF">
        <w:rPr>
          <w:rFonts w:eastAsia="Calibri"/>
          <w:noProof/>
          <w:szCs w:val="24"/>
          <w:lang w:val="en-US"/>
        </w:rPr>
        <w:t xml:space="preserve">the situation in third-country capital markets that are comparable in terms of size, liquidity </w:t>
      </w:r>
      <w:r w:rsidR="003B3368">
        <w:rPr>
          <w:rFonts w:eastAsia="Calibri"/>
          <w:noProof/>
          <w:szCs w:val="24"/>
          <w:lang w:val="en-US"/>
        </w:rPr>
        <w:t xml:space="preserve">as well as </w:t>
      </w:r>
      <w:r w:rsidRPr="00C20FBF">
        <w:rPr>
          <w:rFonts w:eastAsia="Calibri"/>
          <w:noProof/>
          <w:szCs w:val="24"/>
          <w:lang w:val="en-US"/>
        </w:rPr>
        <w:t xml:space="preserve">instruments traded and types of transactions executed on such markets; </w:t>
      </w:r>
    </w:p>
    <w:p w14:paraId="1FC2E45A" w14:textId="77777777" w:rsidR="00C20FBF" w:rsidRPr="00C20FBF" w:rsidRDefault="00C20FBF" w:rsidP="00C20FBF">
      <w:pPr>
        <w:spacing w:before="0" w:after="160" w:line="259" w:lineRule="auto"/>
        <w:ind w:left="850"/>
        <w:jc w:val="left"/>
        <w:rPr>
          <w:rFonts w:eastAsia="Calibri"/>
          <w:noProof/>
          <w:szCs w:val="24"/>
        </w:rPr>
      </w:pPr>
      <w:r w:rsidRPr="00C20FBF">
        <w:rPr>
          <w:rFonts w:eastAsia="Calibri"/>
          <w:noProof/>
          <w:szCs w:val="24"/>
        </w:rPr>
        <w:t>(c) the level of settlement fails in the Union has or is likely to have a negative effect on the financial stability of the Union.</w:t>
      </w:r>
    </w:p>
    <w:p w14:paraId="12BF024D" w14:textId="77777777" w:rsidR="004F677E" w:rsidRPr="000C4F35" w:rsidRDefault="00C20FBF" w:rsidP="00E4531D">
      <w:pPr>
        <w:spacing w:before="0" w:after="160" w:line="259" w:lineRule="auto"/>
        <w:ind w:left="720"/>
        <w:jc w:val="left"/>
        <w:rPr>
          <w:noProof/>
        </w:rPr>
      </w:pPr>
      <w:r w:rsidRPr="00C20FBF">
        <w:rPr>
          <w:rFonts w:eastAsia="Calibri"/>
          <w:noProof/>
          <w:szCs w:val="24"/>
        </w:rPr>
        <w:t>The implementing act shall be adopted in accordance with the examination procedure referred to in Article 68(2).</w:t>
      </w:r>
      <w:r w:rsidR="00453FAD">
        <w:rPr>
          <w:noProof/>
        </w:rPr>
        <w:t>’</w:t>
      </w:r>
      <w:r w:rsidR="00370AE0" w:rsidRPr="00456A9F">
        <w:rPr>
          <w:noProof/>
        </w:rPr>
        <w:t>;</w:t>
      </w:r>
    </w:p>
    <w:p w14:paraId="44C800E4" w14:textId="30C658C0" w:rsidR="004F677E" w:rsidRPr="00456A9F" w:rsidRDefault="001678E4" w:rsidP="001678E4">
      <w:pPr>
        <w:pStyle w:val="Point1"/>
        <w:rPr>
          <w:noProof/>
        </w:rPr>
      </w:pPr>
      <w:r w:rsidRPr="001678E4">
        <w:t>(c)</w:t>
      </w:r>
      <w:r w:rsidRPr="001678E4">
        <w:tab/>
      </w:r>
      <w:r w:rsidR="00D16F14" w:rsidRPr="00456A9F">
        <w:rPr>
          <w:noProof/>
        </w:rPr>
        <w:t>paragraph 3 is replaced by the following</w:t>
      </w:r>
      <w:r w:rsidR="004F677E" w:rsidRPr="00456A9F">
        <w:rPr>
          <w:noProof/>
        </w:rPr>
        <w:t>:</w:t>
      </w:r>
    </w:p>
    <w:p w14:paraId="47D6F827" w14:textId="77777777" w:rsidR="00C20FBF" w:rsidRPr="00C20FBF" w:rsidRDefault="00453FAD" w:rsidP="00C20FBF">
      <w:pPr>
        <w:pStyle w:val="Text1"/>
        <w:rPr>
          <w:rFonts w:eastAsia="Calibri"/>
          <w:noProof/>
        </w:rPr>
      </w:pPr>
      <w:r>
        <w:rPr>
          <w:noProof/>
        </w:rPr>
        <w:t>‘</w:t>
      </w:r>
      <w:r w:rsidR="00FA5A98" w:rsidRPr="006B3BA6">
        <w:rPr>
          <w:rFonts w:eastAsia="Calibri"/>
          <w:noProof/>
        </w:rPr>
        <w:t>3.</w:t>
      </w:r>
      <w:r w:rsidR="00FA5A98">
        <w:rPr>
          <w:rFonts w:eastAsia="Calibri"/>
          <w:noProof/>
        </w:rPr>
        <w:t xml:space="preserve"> </w:t>
      </w:r>
      <w:r w:rsidR="00C20FBF" w:rsidRPr="00C20FBF">
        <w:rPr>
          <w:rFonts w:eastAsia="Calibri"/>
          <w:noProof/>
        </w:rPr>
        <w:t xml:space="preserve">Where the Commission has adopted an implementing act pursuant to paragraph </w:t>
      </w:r>
      <w:r w:rsidR="000432F4">
        <w:rPr>
          <w:rFonts w:eastAsia="Calibri"/>
          <w:noProof/>
        </w:rPr>
        <w:t>2a</w:t>
      </w:r>
      <w:r w:rsidR="00C20FBF" w:rsidRPr="00C20FBF">
        <w:rPr>
          <w:rFonts w:eastAsia="Calibri"/>
          <w:noProof/>
        </w:rPr>
        <w:t xml:space="preserve"> and where a failing participant has not delivered financial instruments covered by that implementing act to the receiving participant within a period after the intended settlement date (‘extension period’) equal to 4 business days</w:t>
      </w:r>
      <w:r w:rsidR="00BD44D7" w:rsidRPr="006B3BA6">
        <w:rPr>
          <w:rFonts w:eastAsia="Calibri"/>
          <w:noProof/>
        </w:rPr>
        <w:t>,</w:t>
      </w:r>
      <w:r w:rsidR="00C20FBF" w:rsidRPr="00C20FBF">
        <w:rPr>
          <w:rFonts w:eastAsia="Calibri"/>
          <w:noProof/>
        </w:rPr>
        <w:t xml:space="preserve"> a buy-in process shall be initiated whereby those instruments shall be available for settlement and delivered to the receiving participant within an appropriate timeframe. </w:t>
      </w:r>
    </w:p>
    <w:p w14:paraId="1CFADB65" w14:textId="77777777" w:rsidR="00C20FBF" w:rsidRPr="00E4531D" w:rsidRDefault="00C20FBF" w:rsidP="00E4531D">
      <w:pPr>
        <w:pStyle w:val="Text1"/>
        <w:rPr>
          <w:noProof/>
        </w:rPr>
      </w:pPr>
      <w:r w:rsidRPr="00E4531D">
        <w:rPr>
          <w:noProof/>
        </w:rPr>
        <w:t>Where the transaction relates to a financial instrument traded on an SME growth market, the extension period shall be 15 calendar days unless the SME growth market decides to apply a shorter period.</w:t>
      </w:r>
      <w:r w:rsidR="005454EB">
        <w:rPr>
          <w:noProof/>
        </w:rPr>
        <w:t>’</w:t>
      </w:r>
    </w:p>
    <w:p w14:paraId="5EBF6265" w14:textId="0B8CB9F3" w:rsidR="00C20FBF" w:rsidRDefault="001678E4" w:rsidP="001678E4">
      <w:pPr>
        <w:pStyle w:val="Point1"/>
        <w:rPr>
          <w:noProof/>
        </w:rPr>
      </w:pPr>
      <w:r w:rsidRPr="001678E4">
        <w:t>(d)</w:t>
      </w:r>
      <w:r w:rsidRPr="001678E4">
        <w:tab/>
      </w:r>
      <w:r w:rsidR="00D16F14" w:rsidRPr="00456A9F">
        <w:rPr>
          <w:noProof/>
        </w:rPr>
        <w:t>the following paragraph 3a</w:t>
      </w:r>
      <w:r w:rsidR="00D16F14">
        <w:rPr>
          <w:noProof/>
        </w:rPr>
        <w:t xml:space="preserve"> is</w:t>
      </w:r>
      <w:r w:rsidR="00D16F14" w:rsidRPr="00456A9F">
        <w:rPr>
          <w:noProof/>
        </w:rPr>
        <w:t xml:space="preserve"> inserted</w:t>
      </w:r>
      <w:r w:rsidR="001520A4" w:rsidRPr="006B3BA6">
        <w:rPr>
          <w:noProof/>
        </w:rPr>
        <w:t>:</w:t>
      </w:r>
    </w:p>
    <w:p w14:paraId="6F2E9913" w14:textId="77777777" w:rsidR="004F677E" w:rsidRPr="000C4F35" w:rsidRDefault="005454EB" w:rsidP="00685329">
      <w:pPr>
        <w:pStyle w:val="Text1"/>
        <w:rPr>
          <w:noProof/>
        </w:rPr>
      </w:pPr>
      <w:r>
        <w:rPr>
          <w:noProof/>
        </w:rPr>
        <w:t>‘</w:t>
      </w:r>
      <w:r w:rsidR="004F677E" w:rsidRPr="00456A9F">
        <w:rPr>
          <w:noProof/>
        </w:rPr>
        <w:t>3a. Where a receiving participant (the ‘intermediate receiving participant’) does not receive the financial instruments by the date referred to in paragraph 3 leading to a failing onward delivery of those financial instruments to another receiving participant (the ‘end receiving participant’), the intermediate receiving participant shall be considered as complying with the obligation to execute a buy-in against the failing participant</w:t>
      </w:r>
      <w:r w:rsidR="004F677E" w:rsidRPr="00456A9F" w:rsidDel="007516B9">
        <w:rPr>
          <w:noProof/>
        </w:rPr>
        <w:t xml:space="preserve"> </w:t>
      </w:r>
      <w:r w:rsidR="004F677E" w:rsidRPr="00456A9F">
        <w:rPr>
          <w:noProof/>
        </w:rPr>
        <w:t>where the end receiving participant executes the buy-in for those financial instruments. Similarly, the intermediate receiving participant may pass-on to the failing participant its obligations toward the end receiving participant pur</w:t>
      </w:r>
      <w:r>
        <w:rPr>
          <w:noProof/>
        </w:rPr>
        <w:t>suant to paragraphs 6, 7 and 8.’</w:t>
      </w:r>
      <w:r w:rsidR="00370AE0" w:rsidRPr="00456A9F">
        <w:rPr>
          <w:noProof/>
        </w:rPr>
        <w:t>;</w:t>
      </w:r>
      <w:r w:rsidR="004F677E" w:rsidRPr="000C4F35">
        <w:rPr>
          <w:noProof/>
        </w:rPr>
        <w:t xml:space="preserve"> </w:t>
      </w:r>
    </w:p>
    <w:p w14:paraId="69B36CAE" w14:textId="3D8AA946" w:rsidR="004F677E" w:rsidRPr="00456A9F" w:rsidRDefault="001678E4" w:rsidP="001678E4">
      <w:pPr>
        <w:pStyle w:val="Point1"/>
        <w:rPr>
          <w:noProof/>
        </w:rPr>
      </w:pPr>
      <w:r w:rsidRPr="001678E4">
        <w:t>(e)</w:t>
      </w:r>
      <w:r w:rsidRPr="001678E4">
        <w:tab/>
      </w:r>
      <w:r w:rsidR="00E20640" w:rsidRPr="00456A9F">
        <w:rPr>
          <w:noProof/>
        </w:rPr>
        <w:t>p</w:t>
      </w:r>
      <w:r w:rsidR="004F677E" w:rsidRPr="00456A9F">
        <w:rPr>
          <w:noProof/>
        </w:rPr>
        <w:t>aragraph 4 is replaced by the following:</w:t>
      </w:r>
    </w:p>
    <w:p w14:paraId="235D35F1" w14:textId="77777777" w:rsidR="004F677E" w:rsidRPr="00456A9F" w:rsidRDefault="00453FAD" w:rsidP="00685329">
      <w:pPr>
        <w:pStyle w:val="Text1"/>
        <w:rPr>
          <w:noProof/>
        </w:rPr>
      </w:pPr>
      <w:r>
        <w:rPr>
          <w:noProof/>
        </w:rPr>
        <w:t>‘</w:t>
      </w:r>
      <w:r w:rsidR="004F677E" w:rsidRPr="00456A9F">
        <w:rPr>
          <w:noProof/>
        </w:rPr>
        <w:t xml:space="preserve">4. Without prejudice to paragraph 3a, the following </w:t>
      </w:r>
      <w:r w:rsidR="007075C8">
        <w:rPr>
          <w:noProof/>
        </w:rPr>
        <w:t>derogations</w:t>
      </w:r>
      <w:r w:rsidR="007075C8" w:rsidRPr="00456A9F">
        <w:rPr>
          <w:noProof/>
        </w:rPr>
        <w:t xml:space="preserve"> </w:t>
      </w:r>
      <w:r w:rsidR="004F677E" w:rsidRPr="00456A9F">
        <w:rPr>
          <w:noProof/>
        </w:rPr>
        <w:t>from the requirement referred to in paragraph 3 shall apply:</w:t>
      </w:r>
    </w:p>
    <w:p w14:paraId="49EB1326" w14:textId="77777777" w:rsidR="004F677E" w:rsidRPr="00456A9F" w:rsidRDefault="00161D6F" w:rsidP="00685329">
      <w:pPr>
        <w:pStyle w:val="Text1"/>
        <w:rPr>
          <w:noProof/>
        </w:rPr>
      </w:pPr>
      <w:r w:rsidRPr="00456A9F">
        <w:rPr>
          <w:noProof/>
        </w:rPr>
        <w:t xml:space="preserve">(a) </w:t>
      </w:r>
      <w:r w:rsidR="004F677E" w:rsidRPr="00456A9F">
        <w:rPr>
          <w:noProof/>
        </w:rPr>
        <w:t xml:space="preserve">based on asset type and liquidity of the financial instruments concerned, the extension period may be increased from </w:t>
      </w:r>
      <w:r w:rsidR="00E20640" w:rsidRPr="00456A9F">
        <w:rPr>
          <w:noProof/>
        </w:rPr>
        <w:t>4</w:t>
      </w:r>
      <w:r w:rsidR="004F677E" w:rsidRPr="00456A9F">
        <w:rPr>
          <w:noProof/>
        </w:rPr>
        <w:t xml:space="preserve"> business days up to a maximum of </w:t>
      </w:r>
      <w:r w:rsidR="00E20640" w:rsidRPr="00456A9F">
        <w:rPr>
          <w:noProof/>
        </w:rPr>
        <w:t>7</w:t>
      </w:r>
      <w:r w:rsidR="004F677E" w:rsidRPr="00456A9F">
        <w:rPr>
          <w:noProof/>
        </w:rPr>
        <w:t xml:space="preserve"> business days where a shorter extension period would affect the smooth and orderly functioning of the financial markets concerned;</w:t>
      </w:r>
    </w:p>
    <w:p w14:paraId="5A4A8646" w14:textId="77777777" w:rsidR="004F677E" w:rsidRPr="00456A9F" w:rsidRDefault="00161D6F" w:rsidP="00685329">
      <w:pPr>
        <w:pStyle w:val="Text1"/>
        <w:rPr>
          <w:noProof/>
        </w:rPr>
      </w:pPr>
      <w:r w:rsidRPr="00456A9F">
        <w:rPr>
          <w:noProof/>
        </w:rPr>
        <w:t xml:space="preserve">(b) </w:t>
      </w:r>
      <w:r w:rsidR="004F677E" w:rsidRPr="00456A9F">
        <w:rPr>
          <w:noProof/>
        </w:rPr>
        <w:t>for operations composed of several transactions including securities repurchase or lending agreements, the buy-in process referred to in paragraph 3 shall not apply where the timeframe of those operations is sufficiently short and renders the buy-in process ineffective;</w:t>
      </w:r>
    </w:p>
    <w:p w14:paraId="780E13BA" w14:textId="77777777" w:rsidR="004F677E" w:rsidRPr="000C4F35" w:rsidRDefault="00161D6F" w:rsidP="00685329">
      <w:pPr>
        <w:pStyle w:val="Text1"/>
        <w:rPr>
          <w:noProof/>
        </w:rPr>
      </w:pPr>
      <w:r w:rsidRPr="00456A9F">
        <w:rPr>
          <w:noProof/>
        </w:rPr>
        <w:t xml:space="preserve">(c) </w:t>
      </w:r>
      <w:r w:rsidR="004F677E" w:rsidRPr="00456A9F">
        <w:rPr>
          <w:noProof/>
        </w:rPr>
        <w:t xml:space="preserve">for settlement fails that occurred for reasons </w:t>
      </w:r>
      <w:r w:rsidR="00A44394">
        <w:rPr>
          <w:noProof/>
        </w:rPr>
        <w:t>not attributable</w:t>
      </w:r>
      <w:r w:rsidR="00A44394" w:rsidRPr="00456A9F">
        <w:rPr>
          <w:noProof/>
        </w:rPr>
        <w:t xml:space="preserve"> </w:t>
      </w:r>
      <w:r w:rsidR="004F677E" w:rsidRPr="00456A9F">
        <w:rPr>
          <w:noProof/>
        </w:rPr>
        <w:t>to the participants, the buy-in process referred to in paragraph 3 shall not apply;</w:t>
      </w:r>
      <w:r w:rsidR="004F677E" w:rsidRPr="000C4F35">
        <w:rPr>
          <w:noProof/>
        </w:rPr>
        <w:t xml:space="preserve"> </w:t>
      </w:r>
    </w:p>
    <w:p w14:paraId="4F17C0C7" w14:textId="77777777" w:rsidR="004F677E" w:rsidRDefault="00161D6F" w:rsidP="00685329">
      <w:pPr>
        <w:pStyle w:val="Text1"/>
        <w:rPr>
          <w:noProof/>
        </w:rPr>
      </w:pPr>
      <w:r w:rsidRPr="000C4F35">
        <w:rPr>
          <w:noProof/>
        </w:rPr>
        <w:t>(d) f</w:t>
      </w:r>
      <w:r w:rsidR="004F677E" w:rsidRPr="000C4F35">
        <w:rPr>
          <w:noProof/>
        </w:rPr>
        <w:t>or transactions that do not involve two trading parties the buy-in process referred to in paragraph 3 shall not apply.</w:t>
      </w:r>
      <w:r w:rsidR="00453FAD">
        <w:rPr>
          <w:noProof/>
        </w:rPr>
        <w:t>’</w:t>
      </w:r>
      <w:r w:rsidR="00370AE0">
        <w:rPr>
          <w:noProof/>
        </w:rPr>
        <w:t>;</w:t>
      </w:r>
    </w:p>
    <w:p w14:paraId="5D4B7605" w14:textId="22D0C10C" w:rsidR="004F677E" w:rsidRPr="000C4F35" w:rsidRDefault="001678E4" w:rsidP="001678E4">
      <w:pPr>
        <w:pStyle w:val="Point1"/>
        <w:rPr>
          <w:noProof/>
          <w:szCs w:val="24"/>
        </w:rPr>
      </w:pPr>
      <w:r w:rsidRPr="001678E4">
        <w:t>(f)</w:t>
      </w:r>
      <w:r w:rsidRPr="001678E4">
        <w:tab/>
      </w:r>
      <w:r w:rsidR="00E20640">
        <w:rPr>
          <w:noProof/>
        </w:rPr>
        <w:t>p</w:t>
      </w:r>
      <w:r w:rsidR="004F677E" w:rsidRPr="000C4F35">
        <w:rPr>
          <w:noProof/>
        </w:rPr>
        <w:t>aragraph 6 is replaced by the following:</w:t>
      </w:r>
    </w:p>
    <w:p w14:paraId="32FB94F4" w14:textId="77777777" w:rsidR="004F677E" w:rsidRPr="000C4F35" w:rsidRDefault="00453FAD" w:rsidP="00685329">
      <w:pPr>
        <w:pStyle w:val="Text1"/>
        <w:rPr>
          <w:noProof/>
        </w:rPr>
      </w:pPr>
      <w:r>
        <w:rPr>
          <w:noProof/>
        </w:rPr>
        <w:t>‘</w:t>
      </w:r>
      <w:r w:rsidR="004F677E" w:rsidRPr="000C4F35">
        <w:rPr>
          <w:noProof/>
        </w:rPr>
        <w:t>6. Without prejudice to the penalty mechanism referred to in paragraph 2, where the price of the financial instruments agreed at the time of the trade is different from the price paid for the execution of the buy-in, the corresponding difference shall be paid by the participant benefitting from such price difference to the other participant no later than on the second business day after the financial instruments have been delivered following the buy-in.</w:t>
      </w:r>
      <w:r>
        <w:rPr>
          <w:noProof/>
        </w:rPr>
        <w:t>’</w:t>
      </w:r>
      <w:r w:rsidR="00370AE0">
        <w:rPr>
          <w:noProof/>
        </w:rPr>
        <w:t>;</w:t>
      </w:r>
    </w:p>
    <w:p w14:paraId="788E2722" w14:textId="63D5F97B" w:rsidR="004F677E" w:rsidRPr="00456A9F" w:rsidRDefault="001678E4" w:rsidP="001678E4">
      <w:pPr>
        <w:pStyle w:val="Point1"/>
        <w:rPr>
          <w:noProof/>
        </w:rPr>
      </w:pPr>
      <w:r w:rsidRPr="001678E4">
        <w:t>(g)</w:t>
      </w:r>
      <w:r w:rsidRPr="001678E4">
        <w:tab/>
      </w:r>
      <w:r w:rsidR="004B356E" w:rsidRPr="00456A9F">
        <w:rPr>
          <w:noProof/>
        </w:rPr>
        <w:t>p</w:t>
      </w:r>
      <w:r w:rsidR="004F677E" w:rsidRPr="00456A9F">
        <w:rPr>
          <w:noProof/>
        </w:rPr>
        <w:t>aragraph 11 is replaced by the following:</w:t>
      </w:r>
    </w:p>
    <w:p w14:paraId="00804309" w14:textId="77777777" w:rsidR="004F677E" w:rsidRPr="00456A9F" w:rsidRDefault="00453FAD" w:rsidP="00685329">
      <w:pPr>
        <w:pStyle w:val="Text1"/>
        <w:rPr>
          <w:noProof/>
        </w:rPr>
      </w:pPr>
      <w:r>
        <w:rPr>
          <w:noProof/>
        </w:rPr>
        <w:t>‘</w:t>
      </w:r>
      <w:r w:rsidR="004F677E" w:rsidRPr="00456A9F">
        <w:rPr>
          <w:noProof/>
        </w:rPr>
        <w:t>11. Paragraphs 2 to 9 shall not apply to failing participants which are CCPs, except for transactions entered into by a CCP where it does not interpose itself between counterparties.</w:t>
      </w:r>
    </w:p>
    <w:p w14:paraId="5398512A" w14:textId="77777777" w:rsidR="004F677E" w:rsidRPr="000C4F35" w:rsidRDefault="004F677E" w:rsidP="00685329">
      <w:pPr>
        <w:pStyle w:val="Text1"/>
        <w:rPr>
          <w:noProof/>
        </w:rPr>
      </w:pPr>
      <w:r w:rsidRPr="00456A9F">
        <w:rPr>
          <w:noProof/>
        </w:rPr>
        <w:t xml:space="preserve">If </w:t>
      </w:r>
      <w:r w:rsidR="00255322">
        <w:rPr>
          <w:noProof/>
        </w:rPr>
        <w:t xml:space="preserve">a </w:t>
      </w:r>
      <w:r w:rsidRPr="00456A9F">
        <w:rPr>
          <w:noProof/>
        </w:rPr>
        <w:t>CCP incur</w:t>
      </w:r>
      <w:r w:rsidR="00255322">
        <w:rPr>
          <w:noProof/>
        </w:rPr>
        <w:t>s</w:t>
      </w:r>
      <w:r w:rsidRPr="00456A9F">
        <w:rPr>
          <w:noProof/>
        </w:rPr>
        <w:t xml:space="preserve"> losses from the application of </w:t>
      </w:r>
      <w:r w:rsidR="004B356E" w:rsidRPr="00456A9F">
        <w:rPr>
          <w:noProof/>
        </w:rPr>
        <w:t>Article 7(2), third</w:t>
      </w:r>
      <w:r w:rsidRPr="00456A9F">
        <w:rPr>
          <w:noProof/>
        </w:rPr>
        <w:t xml:space="preserve"> subparagraph, the CCP may establish in its rules a mechanism to cover such losses.</w:t>
      </w:r>
      <w:r w:rsidR="00453FAD">
        <w:rPr>
          <w:noProof/>
        </w:rPr>
        <w:t>’</w:t>
      </w:r>
      <w:r w:rsidR="00370AE0" w:rsidRPr="00456A9F">
        <w:rPr>
          <w:noProof/>
        </w:rPr>
        <w:t>;</w:t>
      </w:r>
      <w:r w:rsidRPr="000C4F35">
        <w:rPr>
          <w:noProof/>
        </w:rPr>
        <w:t xml:space="preserve"> </w:t>
      </w:r>
    </w:p>
    <w:p w14:paraId="156E8823" w14:textId="317EAD95" w:rsidR="004F677E" w:rsidRPr="000C4F35" w:rsidRDefault="001678E4" w:rsidP="001678E4">
      <w:pPr>
        <w:pStyle w:val="Point1"/>
        <w:rPr>
          <w:noProof/>
        </w:rPr>
      </w:pPr>
      <w:r w:rsidRPr="001678E4">
        <w:t>(h)</w:t>
      </w:r>
      <w:r w:rsidRPr="001678E4">
        <w:tab/>
      </w:r>
      <w:r w:rsidR="004B356E">
        <w:rPr>
          <w:noProof/>
        </w:rPr>
        <w:t>t</w:t>
      </w:r>
      <w:r w:rsidR="004F18A6" w:rsidRPr="000C4F35">
        <w:rPr>
          <w:noProof/>
        </w:rPr>
        <w:t xml:space="preserve">he </w:t>
      </w:r>
      <w:r w:rsidR="004F677E" w:rsidRPr="000C4F35">
        <w:rPr>
          <w:noProof/>
        </w:rPr>
        <w:t>following paragraph 13a is inserted:</w:t>
      </w:r>
    </w:p>
    <w:p w14:paraId="4C69576B" w14:textId="77777777" w:rsidR="004F677E" w:rsidRPr="000C4F35" w:rsidRDefault="00453FAD" w:rsidP="00685329">
      <w:pPr>
        <w:pStyle w:val="Text1"/>
        <w:rPr>
          <w:noProof/>
        </w:rPr>
      </w:pPr>
      <w:r>
        <w:rPr>
          <w:noProof/>
        </w:rPr>
        <w:t>‘</w:t>
      </w:r>
      <w:r w:rsidR="004F677E" w:rsidRPr="000C4F35">
        <w:rPr>
          <w:noProof/>
        </w:rPr>
        <w:t xml:space="preserve">13a. ESMA may </w:t>
      </w:r>
      <w:r w:rsidR="00C1100D">
        <w:rPr>
          <w:noProof/>
        </w:rPr>
        <w:t>recommend</w:t>
      </w:r>
      <w:r w:rsidR="00C1100D" w:rsidRPr="000C4F35">
        <w:rPr>
          <w:noProof/>
        </w:rPr>
        <w:t xml:space="preserve"> </w:t>
      </w:r>
      <w:r w:rsidR="004F677E" w:rsidRPr="000C4F35">
        <w:rPr>
          <w:noProof/>
        </w:rPr>
        <w:t>that the Commission suspend</w:t>
      </w:r>
      <w:r w:rsidR="00C1100D">
        <w:rPr>
          <w:noProof/>
        </w:rPr>
        <w:t xml:space="preserve"> in a proportionate way</w:t>
      </w:r>
      <w:r w:rsidR="004F677E" w:rsidRPr="000C4F35">
        <w:rPr>
          <w:noProof/>
        </w:rPr>
        <w:t xml:space="preserve"> the buy-in mechanism referred to in paragraph</w:t>
      </w:r>
      <w:r w:rsidR="00D5532E">
        <w:rPr>
          <w:noProof/>
        </w:rPr>
        <w:t>s</w:t>
      </w:r>
      <w:r w:rsidR="004F677E" w:rsidRPr="000C4F35">
        <w:rPr>
          <w:noProof/>
        </w:rPr>
        <w:t xml:space="preserve"> 3</w:t>
      </w:r>
      <w:r w:rsidR="00D5532E">
        <w:rPr>
          <w:noProof/>
        </w:rPr>
        <w:t xml:space="preserve"> to 8</w:t>
      </w:r>
      <w:r w:rsidR="004F677E" w:rsidRPr="000C4F35">
        <w:rPr>
          <w:noProof/>
        </w:rPr>
        <w:t xml:space="preserve"> for specific categories of financial instruments where necessary to avoid or address a serious threat to financial stability or to the orderly functioning of financial markets in the Union</w:t>
      </w:r>
      <w:r w:rsidR="004B356E">
        <w:rPr>
          <w:noProof/>
        </w:rPr>
        <w:t>.</w:t>
      </w:r>
      <w:r w:rsidR="004F677E" w:rsidRPr="000C4F35">
        <w:rPr>
          <w:noProof/>
        </w:rPr>
        <w:t xml:space="preserve"> Such </w:t>
      </w:r>
      <w:r w:rsidR="00C1100D">
        <w:rPr>
          <w:noProof/>
        </w:rPr>
        <w:t>recommendation</w:t>
      </w:r>
      <w:r w:rsidR="00C1100D" w:rsidRPr="000C4F35">
        <w:rPr>
          <w:noProof/>
        </w:rPr>
        <w:t xml:space="preserve"> </w:t>
      </w:r>
      <w:r w:rsidR="004F677E" w:rsidRPr="000C4F35">
        <w:rPr>
          <w:noProof/>
        </w:rPr>
        <w:t xml:space="preserve">shall be accompanied by </w:t>
      </w:r>
      <w:r w:rsidR="00C1100D">
        <w:rPr>
          <w:noProof/>
        </w:rPr>
        <w:t>a fully reasoned assessment</w:t>
      </w:r>
      <w:r w:rsidR="00C1100D" w:rsidRPr="000C4F35">
        <w:rPr>
          <w:noProof/>
        </w:rPr>
        <w:t xml:space="preserve"> </w:t>
      </w:r>
      <w:r w:rsidR="004F677E" w:rsidRPr="000C4F35">
        <w:rPr>
          <w:noProof/>
        </w:rPr>
        <w:t>of its necessity</w:t>
      </w:r>
      <w:r w:rsidR="00680277">
        <w:rPr>
          <w:noProof/>
        </w:rPr>
        <w:t xml:space="preserve"> and</w:t>
      </w:r>
      <w:r w:rsidR="004F677E" w:rsidRPr="000C4F35">
        <w:rPr>
          <w:noProof/>
        </w:rPr>
        <w:t xml:space="preserve"> shall not be made public. </w:t>
      </w:r>
    </w:p>
    <w:p w14:paraId="004B8043" w14:textId="77777777" w:rsidR="004F677E" w:rsidRPr="000C4F35" w:rsidRDefault="00F831AB" w:rsidP="00685329">
      <w:pPr>
        <w:pStyle w:val="Text1"/>
        <w:rPr>
          <w:noProof/>
        </w:rPr>
      </w:pPr>
      <w:r>
        <w:rPr>
          <w:noProof/>
        </w:rPr>
        <w:t>Before making the recommendation</w:t>
      </w:r>
      <w:r w:rsidR="004F677E" w:rsidRPr="000C4F35">
        <w:rPr>
          <w:noProof/>
        </w:rPr>
        <w:t xml:space="preserve">, ESMA shall consult the ESRB and the ESCB. </w:t>
      </w:r>
    </w:p>
    <w:p w14:paraId="6B843C64" w14:textId="77777777" w:rsidR="004F677E" w:rsidRPr="000C4F35" w:rsidRDefault="004F677E" w:rsidP="00685329">
      <w:pPr>
        <w:pStyle w:val="Text1"/>
        <w:rPr>
          <w:noProof/>
        </w:rPr>
      </w:pPr>
      <w:r w:rsidRPr="000C4F35">
        <w:rPr>
          <w:noProof/>
        </w:rPr>
        <w:t xml:space="preserve">The Commission shall, without undue delay after receipt of the </w:t>
      </w:r>
      <w:r w:rsidR="00F831AB">
        <w:rPr>
          <w:noProof/>
        </w:rPr>
        <w:t>recommendation</w:t>
      </w:r>
      <w:r w:rsidRPr="000C4F35">
        <w:rPr>
          <w:noProof/>
        </w:rPr>
        <w:t xml:space="preserve">, on the basis of the reasons and evidence provided by ESMA, either suspend the buy-in mechanism referred to in paragraph 3 for the specific categories of financial instruments by </w:t>
      </w:r>
      <w:r w:rsidR="00B002E8">
        <w:rPr>
          <w:noProof/>
        </w:rPr>
        <w:t>means</w:t>
      </w:r>
      <w:r w:rsidRPr="000C4F35">
        <w:rPr>
          <w:noProof/>
        </w:rPr>
        <w:t xml:space="preserve"> of an implementing act</w:t>
      </w:r>
      <w:r w:rsidRPr="006B3BA6">
        <w:rPr>
          <w:noProof/>
        </w:rPr>
        <w:t xml:space="preserve">, </w:t>
      </w:r>
      <w:r w:rsidRPr="000C4F35">
        <w:rPr>
          <w:noProof/>
        </w:rPr>
        <w:t xml:space="preserve">or reject the </w:t>
      </w:r>
      <w:r w:rsidR="00D45A32">
        <w:rPr>
          <w:noProof/>
        </w:rPr>
        <w:t>recommended</w:t>
      </w:r>
      <w:r w:rsidR="00D45A32" w:rsidRPr="000C4F35">
        <w:rPr>
          <w:noProof/>
        </w:rPr>
        <w:t xml:space="preserve"> </w:t>
      </w:r>
      <w:r w:rsidRPr="000C4F35">
        <w:rPr>
          <w:noProof/>
        </w:rPr>
        <w:t>suspension.</w:t>
      </w:r>
      <w:r w:rsidR="00FB5F14">
        <w:rPr>
          <w:noProof/>
        </w:rPr>
        <w:t xml:space="preserve"> </w:t>
      </w:r>
      <w:r w:rsidRPr="000C4F35">
        <w:rPr>
          <w:noProof/>
        </w:rPr>
        <w:t xml:space="preserve">Where the Commission rejects the requested suspension, it shall provide the reasons thereof in writing to ESMA. Such information shall not be made public. </w:t>
      </w:r>
    </w:p>
    <w:p w14:paraId="4B0DAF0E" w14:textId="77777777" w:rsidR="00680277" w:rsidRDefault="008E6990" w:rsidP="00685329">
      <w:pPr>
        <w:pStyle w:val="Text1"/>
        <w:rPr>
          <w:noProof/>
        </w:rPr>
      </w:pPr>
      <w:r>
        <w:rPr>
          <w:noProof/>
        </w:rPr>
        <w:t xml:space="preserve">The implementing act shall be adopted in accordance with the procedure referred to in Article 68(3). </w:t>
      </w:r>
    </w:p>
    <w:p w14:paraId="67019582" w14:textId="77777777" w:rsidR="004F677E" w:rsidRPr="000C4F35" w:rsidRDefault="004F677E" w:rsidP="00685329">
      <w:pPr>
        <w:pStyle w:val="Text1"/>
        <w:rPr>
          <w:noProof/>
        </w:rPr>
      </w:pPr>
      <w:r w:rsidRPr="000C4F35">
        <w:rPr>
          <w:noProof/>
        </w:rPr>
        <w:t xml:space="preserve">The suspension of the buy-in mechanism shall be communicated to ESMA and shall be published in the </w:t>
      </w:r>
      <w:r w:rsidRPr="00D473D5">
        <w:rPr>
          <w:i/>
          <w:noProof/>
        </w:rPr>
        <w:t>Official Journal of the European Union</w:t>
      </w:r>
      <w:r w:rsidRPr="000C4F35">
        <w:rPr>
          <w:noProof/>
        </w:rPr>
        <w:t xml:space="preserve"> and on the Commission's website. </w:t>
      </w:r>
    </w:p>
    <w:p w14:paraId="42D18BDF" w14:textId="77777777" w:rsidR="004F677E" w:rsidRPr="000C4F35" w:rsidRDefault="004F677E" w:rsidP="00685329">
      <w:pPr>
        <w:pStyle w:val="Text1"/>
        <w:rPr>
          <w:noProof/>
        </w:rPr>
      </w:pPr>
      <w:r w:rsidRPr="000C4F35">
        <w:rPr>
          <w:noProof/>
        </w:rPr>
        <w:t xml:space="preserve">The suspension of the buy-in mechanism shall be valid for an initial period of no more than </w:t>
      </w:r>
      <w:r w:rsidR="00150BDD">
        <w:rPr>
          <w:noProof/>
        </w:rPr>
        <w:t>6</w:t>
      </w:r>
      <w:r w:rsidR="00150BDD" w:rsidRPr="000C4F35">
        <w:rPr>
          <w:noProof/>
        </w:rPr>
        <w:t xml:space="preserve"> </w:t>
      </w:r>
      <w:r w:rsidRPr="000C4F35">
        <w:rPr>
          <w:noProof/>
        </w:rPr>
        <w:t>months from the date of application of that suspension.</w:t>
      </w:r>
    </w:p>
    <w:p w14:paraId="7BEFB636" w14:textId="77777777" w:rsidR="004F677E" w:rsidRPr="000C4F35" w:rsidRDefault="004F677E" w:rsidP="00685329">
      <w:pPr>
        <w:pStyle w:val="Text1"/>
        <w:rPr>
          <w:noProof/>
        </w:rPr>
      </w:pPr>
      <w:r w:rsidRPr="000C4F35">
        <w:rPr>
          <w:noProof/>
        </w:rPr>
        <w:t xml:space="preserve">Where the grounds for the suspension continue to apply, the Commission may, by way of an implementing act, extend the suspension referred to in the third subparagraph for additional periods of no more than </w:t>
      </w:r>
      <w:r w:rsidR="00150BDD">
        <w:rPr>
          <w:noProof/>
        </w:rPr>
        <w:t>3</w:t>
      </w:r>
      <w:r w:rsidR="00150BDD" w:rsidRPr="000C4F35">
        <w:rPr>
          <w:noProof/>
        </w:rPr>
        <w:t xml:space="preserve"> </w:t>
      </w:r>
      <w:r w:rsidRPr="000C4F35">
        <w:rPr>
          <w:noProof/>
        </w:rPr>
        <w:t xml:space="preserve">months, with the total period of the suspension not exceeding 12 months. Any extensions of the suspension shall be published in accordance with the </w:t>
      </w:r>
      <w:r w:rsidR="00C64C02" w:rsidRPr="006B3BA6">
        <w:rPr>
          <w:noProof/>
        </w:rPr>
        <w:t>fifth</w:t>
      </w:r>
      <w:r w:rsidRPr="000C4F35">
        <w:rPr>
          <w:noProof/>
        </w:rPr>
        <w:t xml:space="preserve"> subparagraph. </w:t>
      </w:r>
    </w:p>
    <w:p w14:paraId="362E2B68" w14:textId="77777777" w:rsidR="004F677E" w:rsidRPr="000C4F35" w:rsidRDefault="00CB5C64" w:rsidP="00685329">
      <w:pPr>
        <w:pStyle w:val="Text1"/>
        <w:rPr>
          <w:noProof/>
        </w:rPr>
      </w:pPr>
      <w:r>
        <w:rPr>
          <w:noProof/>
        </w:rPr>
        <w:t xml:space="preserve">The implementing act shall be adopted in accordance with the procedure referred to in Article 68(3). </w:t>
      </w:r>
      <w:r w:rsidR="004F677E" w:rsidRPr="000C4F35">
        <w:rPr>
          <w:noProof/>
        </w:rPr>
        <w:t xml:space="preserve">ESMA shall, in sufficient time before the end of the suspension period referred to in the </w:t>
      </w:r>
      <w:r w:rsidR="00C64C02" w:rsidRPr="006B3BA6">
        <w:rPr>
          <w:noProof/>
        </w:rPr>
        <w:t>sixth</w:t>
      </w:r>
      <w:r w:rsidR="004F677E" w:rsidRPr="006B3BA6">
        <w:rPr>
          <w:noProof/>
        </w:rPr>
        <w:t xml:space="preserve"> subparagraph</w:t>
      </w:r>
      <w:r w:rsidR="004F677E" w:rsidRPr="000C4F35">
        <w:rPr>
          <w:noProof/>
        </w:rPr>
        <w:t xml:space="preserve"> or of the extension period referred to in the </w:t>
      </w:r>
      <w:r w:rsidR="00C64C02" w:rsidRPr="006B3BA6">
        <w:rPr>
          <w:noProof/>
        </w:rPr>
        <w:t>seventh</w:t>
      </w:r>
      <w:r w:rsidR="004F677E" w:rsidRPr="006B3BA6">
        <w:rPr>
          <w:noProof/>
        </w:rPr>
        <w:t xml:space="preserve"> subparagraph</w:t>
      </w:r>
      <w:r w:rsidR="004F677E" w:rsidRPr="000C4F35">
        <w:rPr>
          <w:noProof/>
        </w:rPr>
        <w:t>, issue an opinion to the Commission on whether the grounds for the suspension continue to apply.</w:t>
      </w:r>
      <w:r w:rsidR="00150BDD">
        <w:rPr>
          <w:noProof/>
        </w:rPr>
        <w:t>’</w:t>
      </w:r>
      <w:r w:rsidR="00680277">
        <w:rPr>
          <w:noProof/>
        </w:rPr>
        <w:t>;</w:t>
      </w:r>
    </w:p>
    <w:p w14:paraId="2443FCF0" w14:textId="3216D88F" w:rsidR="004F677E" w:rsidRPr="00456A9F" w:rsidRDefault="001678E4" w:rsidP="001678E4">
      <w:pPr>
        <w:pStyle w:val="Point1"/>
        <w:rPr>
          <w:noProof/>
        </w:rPr>
      </w:pPr>
      <w:r w:rsidRPr="001678E4">
        <w:t>(i)</w:t>
      </w:r>
      <w:r w:rsidRPr="001678E4">
        <w:tab/>
      </w:r>
      <w:r w:rsidR="00370AE0" w:rsidRPr="00456A9F">
        <w:rPr>
          <w:noProof/>
        </w:rPr>
        <w:t>p</w:t>
      </w:r>
      <w:r w:rsidR="004F677E" w:rsidRPr="00456A9F">
        <w:rPr>
          <w:noProof/>
        </w:rPr>
        <w:t>aragraph 14 is replaced by the following:</w:t>
      </w:r>
    </w:p>
    <w:p w14:paraId="5F4B59F4" w14:textId="77777777" w:rsidR="004F677E" w:rsidRPr="000C4F35" w:rsidRDefault="00150BDD" w:rsidP="00685329">
      <w:pPr>
        <w:pStyle w:val="Text1"/>
        <w:rPr>
          <w:noProof/>
        </w:rPr>
      </w:pPr>
      <w:r>
        <w:rPr>
          <w:noProof/>
        </w:rPr>
        <w:t>‘</w:t>
      </w:r>
      <w:r w:rsidR="004F677E" w:rsidRPr="00456A9F">
        <w:rPr>
          <w:noProof/>
        </w:rPr>
        <w:t xml:space="preserve">14. The Commission shall be empowered to </w:t>
      </w:r>
      <w:r w:rsidR="003A366C">
        <w:rPr>
          <w:noProof/>
        </w:rPr>
        <w:t xml:space="preserve">supplement this Regulation by </w:t>
      </w:r>
      <w:r w:rsidR="004F677E" w:rsidRPr="00456A9F">
        <w:rPr>
          <w:noProof/>
        </w:rPr>
        <w:t>adopt</w:t>
      </w:r>
      <w:r w:rsidR="003A366C">
        <w:rPr>
          <w:noProof/>
        </w:rPr>
        <w:t>ing</w:t>
      </w:r>
      <w:r w:rsidR="004F677E" w:rsidRPr="00456A9F">
        <w:rPr>
          <w:noProof/>
        </w:rPr>
        <w:t xml:space="preserve"> delegated acts in accordance with Article 67 specify</w:t>
      </w:r>
      <w:r w:rsidR="003A366C">
        <w:rPr>
          <w:noProof/>
        </w:rPr>
        <w:t>ing</w:t>
      </w:r>
      <w:r w:rsidR="004F677E" w:rsidRPr="00456A9F">
        <w:rPr>
          <w:noProof/>
        </w:rPr>
        <w:t xml:space="preserve"> parameters for the calculation of a deterrent and proportionate level of the cash penalties referred to in </w:t>
      </w:r>
      <w:r w:rsidR="004F433B" w:rsidRPr="00456A9F">
        <w:rPr>
          <w:noProof/>
        </w:rPr>
        <w:t>paragraph 2,</w:t>
      </w:r>
      <w:r w:rsidR="004F677E" w:rsidRPr="00456A9F">
        <w:rPr>
          <w:noProof/>
        </w:rPr>
        <w:t xml:space="preserve"> third subparagraph</w:t>
      </w:r>
      <w:r w:rsidR="004F433B" w:rsidRPr="00456A9F">
        <w:rPr>
          <w:noProof/>
        </w:rPr>
        <w:t>,</w:t>
      </w:r>
      <w:r w:rsidR="004F677E" w:rsidRPr="00456A9F">
        <w:rPr>
          <w:noProof/>
        </w:rPr>
        <w:t xml:space="preserve"> </w:t>
      </w:r>
      <w:r w:rsidR="00680277" w:rsidRPr="00456A9F">
        <w:rPr>
          <w:noProof/>
        </w:rPr>
        <w:t xml:space="preserve">of this Article </w:t>
      </w:r>
      <w:r w:rsidR="004F677E" w:rsidRPr="00456A9F">
        <w:rPr>
          <w:noProof/>
        </w:rPr>
        <w:t>based on asset type, liquidity of the financial instrument, type of transaction and the effect that low or negative interest rates could have on the incentives of counterparties and fails. The parameters used for the calculation of cash penalties shall ensure a high degree of settlement discipline and the smooth and orderly functioning of the financial markets concerned.</w:t>
      </w:r>
      <w:r>
        <w:rPr>
          <w:noProof/>
        </w:rPr>
        <w:t>’</w:t>
      </w:r>
      <w:r w:rsidR="00680277" w:rsidRPr="00456A9F">
        <w:rPr>
          <w:noProof/>
        </w:rPr>
        <w:t>;</w:t>
      </w:r>
    </w:p>
    <w:p w14:paraId="68C6CC84" w14:textId="4D398101" w:rsidR="004F677E" w:rsidRPr="000C4F35" w:rsidRDefault="001678E4" w:rsidP="001678E4">
      <w:pPr>
        <w:pStyle w:val="Point1"/>
        <w:rPr>
          <w:noProof/>
        </w:rPr>
      </w:pPr>
      <w:r w:rsidRPr="001678E4">
        <w:t>(j)</w:t>
      </w:r>
      <w:r w:rsidRPr="001678E4">
        <w:tab/>
      </w:r>
      <w:r w:rsidR="00680277">
        <w:rPr>
          <w:noProof/>
        </w:rPr>
        <w:t>t</w:t>
      </w:r>
      <w:r w:rsidR="004F677E" w:rsidRPr="000C4F35">
        <w:rPr>
          <w:noProof/>
        </w:rPr>
        <w:t>he following paragraph 14a is inserted:</w:t>
      </w:r>
    </w:p>
    <w:p w14:paraId="2DA0CCDB" w14:textId="77777777" w:rsidR="004F677E" w:rsidRPr="000C4F35" w:rsidRDefault="00150BDD" w:rsidP="00685329">
      <w:pPr>
        <w:pStyle w:val="Text1"/>
        <w:rPr>
          <w:noProof/>
        </w:rPr>
      </w:pPr>
      <w:r>
        <w:rPr>
          <w:noProof/>
        </w:rPr>
        <w:t>‘</w:t>
      </w:r>
      <w:r w:rsidR="004F677E" w:rsidRPr="000C4F35">
        <w:rPr>
          <w:noProof/>
        </w:rPr>
        <w:t xml:space="preserve">14a. The Commission may adopt delegated acts in accordance with Article 67 to </w:t>
      </w:r>
      <w:r w:rsidR="00D2008B">
        <w:rPr>
          <w:noProof/>
        </w:rPr>
        <w:t xml:space="preserve">supplement this Regulation </w:t>
      </w:r>
      <w:r w:rsidR="004F677E" w:rsidRPr="000C4F35">
        <w:rPr>
          <w:noProof/>
        </w:rPr>
        <w:t>specify</w:t>
      </w:r>
      <w:r w:rsidR="00D2008B">
        <w:rPr>
          <w:noProof/>
        </w:rPr>
        <w:t>ing</w:t>
      </w:r>
      <w:r w:rsidR="004F677E" w:rsidRPr="000C4F35">
        <w:rPr>
          <w:noProof/>
        </w:rPr>
        <w:t xml:space="preserve"> the reasons </w:t>
      </w:r>
      <w:r w:rsidR="008931E0">
        <w:rPr>
          <w:noProof/>
        </w:rPr>
        <w:t>for</w:t>
      </w:r>
      <w:r w:rsidR="008931E0" w:rsidRPr="000C4F35">
        <w:rPr>
          <w:noProof/>
        </w:rPr>
        <w:t xml:space="preserve"> </w:t>
      </w:r>
      <w:r w:rsidR="004F677E" w:rsidRPr="000C4F35">
        <w:rPr>
          <w:noProof/>
        </w:rPr>
        <w:t xml:space="preserve">settlement fails that </w:t>
      </w:r>
      <w:r w:rsidR="008931E0">
        <w:rPr>
          <w:noProof/>
        </w:rPr>
        <w:t xml:space="preserve">are to </w:t>
      </w:r>
      <w:r w:rsidR="004F677E" w:rsidRPr="000C4F35">
        <w:rPr>
          <w:noProof/>
        </w:rPr>
        <w:t xml:space="preserve">be considered as </w:t>
      </w:r>
      <w:r w:rsidR="007605A0">
        <w:rPr>
          <w:noProof/>
        </w:rPr>
        <w:t>not attributable to</w:t>
      </w:r>
      <w:r w:rsidR="004F677E" w:rsidRPr="000C4F35">
        <w:rPr>
          <w:noProof/>
        </w:rPr>
        <w:t xml:space="preserve"> the participants to the transaction and the transactions that </w:t>
      </w:r>
      <w:r w:rsidR="008931E0">
        <w:rPr>
          <w:noProof/>
        </w:rPr>
        <w:t xml:space="preserve">are </w:t>
      </w:r>
      <w:r w:rsidR="004F677E" w:rsidRPr="000C4F35">
        <w:rPr>
          <w:noProof/>
        </w:rPr>
        <w:t xml:space="preserve">not </w:t>
      </w:r>
      <w:r w:rsidR="008931E0">
        <w:rPr>
          <w:noProof/>
        </w:rPr>
        <w:t xml:space="preserve">to </w:t>
      </w:r>
      <w:r w:rsidR="004F677E" w:rsidRPr="000C4F35">
        <w:rPr>
          <w:noProof/>
        </w:rPr>
        <w:t xml:space="preserve">be considered </w:t>
      </w:r>
      <w:r w:rsidR="008931E0">
        <w:rPr>
          <w:noProof/>
        </w:rPr>
        <w:t>to</w:t>
      </w:r>
      <w:r w:rsidR="008931E0" w:rsidRPr="000C4F35">
        <w:rPr>
          <w:noProof/>
        </w:rPr>
        <w:t xml:space="preserve"> involv</w:t>
      </w:r>
      <w:r w:rsidR="008931E0">
        <w:rPr>
          <w:noProof/>
        </w:rPr>
        <w:t>e</w:t>
      </w:r>
      <w:r w:rsidR="008931E0" w:rsidRPr="000C4F35">
        <w:rPr>
          <w:noProof/>
        </w:rPr>
        <w:t xml:space="preserve"> </w:t>
      </w:r>
      <w:r w:rsidR="004F677E" w:rsidRPr="000C4F35">
        <w:rPr>
          <w:noProof/>
        </w:rPr>
        <w:t>two trading parties</w:t>
      </w:r>
      <w:r w:rsidR="004F677E" w:rsidRPr="000C4F35" w:rsidDel="00542AFA">
        <w:rPr>
          <w:noProof/>
        </w:rPr>
        <w:t xml:space="preserve"> </w:t>
      </w:r>
      <w:r w:rsidR="004F677E" w:rsidRPr="000C4F35">
        <w:rPr>
          <w:noProof/>
        </w:rPr>
        <w:t>under paragraph 2</w:t>
      </w:r>
      <w:r w:rsidR="00680277">
        <w:rPr>
          <w:noProof/>
        </w:rPr>
        <w:t xml:space="preserve"> and paragraph</w:t>
      </w:r>
      <w:r w:rsidR="004F677E" w:rsidRPr="000C4F35">
        <w:rPr>
          <w:noProof/>
        </w:rPr>
        <w:t xml:space="preserve"> 4</w:t>
      </w:r>
      <w:r w:rsidR="00680277">
        <w:rPr>
          <w:noProof/>
        </w:rPr>
        <w:t xml:space="preserve">, points </w:t>
      </w:r>
      <w:r w:rsidR="004F677E" w:rsidRPr="000C4F35">
        <w:rPr>
          <w:noProof/>
        </w:rPr>
        <w:t>(c) and</w:t>
      </w:r>
      <w:r w:rsidR="00680277">
        <w:rPr>
          <w:noProof/>
        </w:rPr>
        <w:t xml:space="preserve"> </w:t>
      </w:r>
      <w:r w:rsidR="004F677E" w:rsidRPr="000C4F35">
        <w:rPr>
          <w:noProof/>
        </w:rPr>
        <w:t>(d)</w:t>
      </w:r>
      <w:r w:rsidR="00456A9F">
        <w:rPr>
          <w:noProof/>
        </w:rPr>
        <w:t>,</w:t>
      </w:r>
      <w:r w:rsidR="00680277">
        <w:rPr>
          <w:noProof/>
        </w:rPr>
        <w:t xml:space="preserve"> of this Article</w:t>
      </w:r>
      <w:r w:rsidR="004F677E" w:rsidRPr="000C4F35">
        <w:rPr>
          <w:noProof/>
        </w:rPr>
        <w:t>.</w:t>
      </w:r>
      <w:r>
        <w:rPr>
          <w:noProof/>
        </w:rPr>
        <w:t>’</w:t>
      </w:r>
      <w:r w:rsidR="00680277">
        <w:rPr>
          <w:noProof/>
        </w:rPr>
        <w:t>;</w:t>
      </w:r>
    </w:p>
    <w:p w14:paraId="0CDFAC6D" w14:textId="6C7E8822" w:rsidR="004F677E" w:rsidRPr="000C4F35" w:rsidRDefault="001678E4" w:rsidP="001678E4">
      <w:pPr>
        <w:pStyle w:val="Point1"/>
        <w:rPr>
          <w:noProof/>
        </w:rPr>
      </w:pPr>
      <w:r w:rsidRPr="001678E4">
        <w:t>(k)</w:t>
      </w:r>
      <w:r w:rsidRPr="001678E4">
        <w:tab/>
      </w:r>
      <w:r w:rsidR="00680277">
        <w:rPr>
          <w:noProof/>
        </w:rPr>
        <w:t>i</w:t>
      </w:r>
      <w:r w:rsidR="004F677E" w:rsidRPr="000C4F35">
        <w:rPr>
          <w:noProof/>
        </w:rPr>
        <w:t xml:space="preserve">n paragraph 15, the second subparagraph is replaced by the following: </w:t>
      </w:r>
    </w:p>
    <w:p w14:paraId="7BE69448" w14:textId="77777777" w:rsidR="004F677E" w:rsidRPr="000C4F35" w:rsidRDefault="00150BDD" w:rsidP="00685329">
      <w:pPr>
        <w:pStyle w:val="Text1"/>
        <w:rPr>
          <w:noProof/>
        </w:rPr>
      </w:pPr>
      <w:r>
        <w:rPr>
          <w:noProof/>
        </w:rPr>
        <w:t>‘</w:t>
      </w:r>
      <w:r w:rsidR="004F677E" w:rsidRPr="000C4F35">
        <w:rPr>
          <w:noProof/>
        </w:rPr>
        <w:t xml:space="preserve">ESMA shall submit those draft regulatory technical standards to the Commission by </w:t>
      </w:r>
      <w:r w:rsidR="00456A9F">
        <w:rPr>
          <w:noProof/>
        </w:rPr>
        <w:t xml:space="preserve">… </w:t>
      </w:r>
      <w:r w:rsidR="004F677E" w:rsidRPr="000C4F35">
        <w:rPr>
          <w:noProof/>
        </w:rPr>
        <w:t>[</w:t>
      </w:r>
      <w:r w:rsidR="004F677E" w:rsidRPr="00D473D5">
        <w:rPr>
          <w:i/>
          <w:noProof/>
        </w:rPr>
        <w:t xml:space="preserve">PO please insert </w:t>
      </w:r>
      <w:r w:rsidR="00456A9F" w:rsidRPr="00D473D5">
        <w:rPr>
          <w:i/>
          <w:noProof/>
        </w:rPr>
        <w:t xml:space="preserve">the date </w:t>
      </w:r>
      <w:r w:rsidR="00456A9F" w:rsidRPr="00E4531D">
        <w:rPr>
          <w:i/>
          <w:noProof/>
        </w:rPr>
        <w:t xml:space="preserve">= </w:t>
      </w:r>
      <w:r w:rsidR="008C648F">
        <w:rPr>
          <w:i/>
          <w:noProof/>
        </w:rPr>
        <w:t>1</w:t>
      </w:r>
      <w:r w:rsidR="008C648F" w:rsidRPr="00D473D5">
        <w:rPr>
          <w:i/>
          <w:noProof/>
        </w:rPr>
        <w:t xml:space="preserve"> </w:t>
      </w:r>
      <w:r w:rsidR="004F677E" w:rsidRPr="00D473D5">
        <w:rPr>
          <w:i/>
          <w:noProof/>
        </w:rPr>
        <w:t xml:space="preserve">year </w:t>
      </w:r>
      <w:r w:rsidR="00456A9F" w:rsidRPr="00D473D5">
        <w:rPr>
          <w:i/>
          <w:noProof/>
        </w:rPr>
        <w:t>after</w:t>
      </w:r>
      <w:r w:rsidR="004F677E" w:rsidRPr="00D473D5">
        <w:rPr>
          <w:i/>
          <w:noProof/>
        </w:rPr>
        <w:t xml:space="preserve"> the entry into force of </w:t>
      </w:r>
      <w:r w:rsidR="004F677E" w:rsidRPr="00E4531D">
        <w:rPr>
          <w:i/>
          <w:noProof/>
        </w:rPr>
        <w:t>this Regulation</w:t>
      </w:r>
      <w:r w:rsidR="004F677E" w:rsidRPr="000C4F35">
        <w:rPr>
          <w:noProof/>
        </w:rPr>
        <w:t>].</w:t>
      </w:r>
      <w:r>
        <w:rPr>
          <w:noProof/>
        </w:rPr>
        <w:t>’</w:t>
      </w:r>
      <w:r w:rsidR="0012213D">
        <w:rPr>
          <w:noProof/>
        </w:rPr>
        <w:t>;</w:t>
      </w:r>
      <w:r w:rsidR="004F677E" w:rsidRPr="000C4F35">
        <w:rPr>
          <w:noProof/>
        </w:rPr>
        <w:t xml:space="preserve"> </w:t>
      </w:r>
    </w:p>
    <w:p w14:paraId="681507AB" w14:textId="18568BE8" w:rsidR="004F677E" w:rsidRPr="000C4F35" w:rsidRDefault="001B56C0" w:rsidP="00D473D5">
      <w:pPr>
        <w:pStyle w:val="ManualNumPar1"/>
        <w:rPr>
          <w:noProof/>
        </w:rPr>
      </w:pPr>
      <w:r>
        <w:rPr>
          <w:noProof/>
        </w:rPr>
        <w:t>(</w:t>
      </w:r>
      <w:r w:rsidR="00BC43D5" w:rsidRPr="000C4F35">
        <w:rPr>
          <w:noProof/>
        </w:rPr>
        <w:t>3</w:t>
      </w:r>
      <w:r>
        <w:rPr>
          <w:noProof/>
        </w:rPr>
        <w:t>)</w:t>
      </w:r>
      <w:r w:rsidR="00BC43D5" w:rsidRPr="000C4F35">
        <w:rPr>
          <w:noProof/>
        </w:rPr>
        <w:t xml:space="preserve"> </w:t>
      </w:r>
      <w:r w:rsidR="004556BD">
        <w:rPr>
          <w:noProof/>
        </w:rPr>
        <w:t>i</w:t>
      </w:r>
      <w:r>
        <w:rPr>
          <w:noProof/>
        </w:rPr>
        <w:t xml:space="preserve">n </w:t>
      </w:r>
      <w:r w:rsidR="004F677E" w:rsidRPr="000C4F35">
        <w:rPr>
          <w:noProof/>
        </w:rPr>
        <w:t>Article 12</w:t>
      </w:r>
      <w:r>
        <w:rPr>
          <w:noProof/>
        </w:rPr>
        <w:t>(1),</w:t>
      </w:r>
      <w:r w:rsidR="004F677E" w:rsidRPr="000C4F35">
        <w:rPr>
          <w:noProof/>
        </w:rPr>
        <w:t xml:space="preserve"> </w:t>
      </w:r>
      <w:r>
        <w:rPr>
          <w:noProof/>
        </w:rPr>
        <w:t>points (b) and (c) are replaced by the following</w:t>
      </w:r>
      <w:r w:rsidR="004F677E" w:rsidRPr="000C4F35">
        <w:rPr>
          <w:noProof/>
        </w:rPr>
        <w:t>:</w:t>
      </w:r>
    </w:p>
    <w:p w14:paraId="09D42602" w14:textId="16005008" w:rsidR="00BC43D5" w:rsidRPr="000C4F35" w:rsidRDefault="00150BDD" w:rsidP="009658FF">
      <w:pPr>
        <w:pStyle w:val="Text1"/>
        <w:ind w:left="567"/>
        <w:rPr>
          <w:noProof/>
        </w:rPr>
      </w:pPr>
      <w:r>
        <w:rPr>
          <w:noProof/>
        </w:rPr>
        <w:t>‘</w:t>
      </w:r>
      <w:r w:rsidR="004F677E" w:rsidRPr="000C4F35">
        <w:rPr>
          <w:noProof/>
        </w:rPr>
        <w:t>(b) the central banks in the Union issuing the most relevant currencies in which</w:t>
      </w:r>
      <w:r w:rsidR="00614F13">
        <w:rPr>
          <w:noProof/>
        </w:rPr>
        <w:t xml:space="preserve"> </w:t>
      </w:r>
      <w:r w:rsidR="004F677E" w:rsidRPr="000C4F35">
        <w:rPr>
          <w:noProof/>
        </w:rPr>
        <w:t>settlement takes or will take place;</w:t>
      </w:r>
    </w:p>
    <w:p w14:paraId="2AC2CA02" w14:textId="250AED2B" w:rsidR="004F677E" w:rsidRPr="000C4F35" w:rsidRDefault="004F677E" w:rsidP="00685329">
      <w:pPr>
        <w:ind w:left="567"/>
        <w:rPr>
          <w:noProof/>
          <w:szCs w:val="24"/>
        </w:rPr>
      </w:pPr>
      <w:r w:rsidRPr="000C4F35">
        <w:rPr>
          <w:noProof/>
          <w:szCs w:val="24"/>
        </w:rPr>
        <w:t>(c) where relevant, the central bank in the Union in whose books the cash leg of a securities settlement system operated by the CSD is or will be settled.</w:t>
      </w:r>
      <w:r w:rsidR="00150BDD">
        <w:rPr>
          <w:noProof/>
          <w:szCs w:val="24"/>
        </w:rPr>
        <w:t>’</w:t>
      </w:r>
      <w:r w:rsidR="00731084">
        <w:rPr>
          <w:noProof/>
          <w:szCs w:val="24"/>
        </w:rPr>
        <w:t>;</w:t>
      </w:r>
    </w:p>
    <w:p w14:paraId="0DCC79CF" w14:textId="77777777" w:rsidR="004F677E" w:rsidRPr="000C4F35" w:rsidRDefault="004556BD" w:rsidP="00685329">
      <w:pPr>
        <w:pStyle w:val="ManualNumPar1"/>
        <w:rPr>
          <w:noProof/>
        </w:rPr>
      </w:pPr>
      <w:r>
        <w:rPr>
          <w:noProof/>
        </w:rPr>
        <w:t>(</w:t>
      </w:r>
      <w:r w:rsidR="004F677E" w:rsidRPr="000C4F35">
        <w:rPr>
          <w:noProof/>
        </w:rPr>
        <w:t>4</w:t>
      </w:r>
      <w:r>
        <w:rPr>
          <w:noProof/>
        </w:rPr>
        <w:t>)</w:t>
      </w:r>
      <w:r w:rsidR="004F677E" w:rsidRPr="000C4F35">
        <w:rPr>
          <w:noProof/>
        </w:rPr>
        <w:t xml:space="preserve"> Article 17 is amended as follows:</w:t>
      </w:r>
    </w:p>
    <w:p w14:paraId="7869ADD2" w14:textId="35E6A617" w:rsidR="004F677E" w:rsidRPr="000C4F35" w:rsidRDefault="001678E4" w:rsidP="001678E4">
      <w:pPr>
        <w:pStyle w:val="Point1"/>
        <w:rPr>
          <w:noProof/>
        </w:rPr>
      </w:pPr>
      <w:r w:rsidRPr="001678E4">
        <w:t>(a)</w:t>
      </w:r>
      <w:r w:rsidRPr="001678E4">
        <w:tab/>
      </w:r>
      <w:r w:rsidR="004556BD">
        <w:rPr>
          <w:noProof/>
        </w:rPr>
        <w:t>i</w:t>
      </w:r>
      <w:r w:rsidR="004F677E" w:rsidRPr="000C4F35">
        <w:rPr>
          <w:noProof/>
        </w:rPr>
        <w:t>n paragraph 2, the following subparagraph is added:</w:t>
      </w:r>
    </w:p>
    <w:p w14:paraId="093E5744" w14:textId="3E03135D" w:rsidR="004F677E" w:rsidRPr="000C4F35" w:rsidRDefault="003C1FB8" w:rsidP="00685329">
      <w:pPr>
        <w:pStyle w:val="Text1"/>
        <w:rPr>
          <w:noProof/>
        </w:rPr>
      </w:pPr>
      <w:r w:rsidRPr="006B3BA6">
        <w:rPr>
          <w:noProof/>
        </w:rPr>
        <w:t>’</w:t>
      </w:r>
      <w:r w:rsidR="00D77339" w:rsidRPr="006B3BA6">
        <w:rPr>
          <w:noProof/>
        </w:rPr>
        <w:t xml:space="preserve">By way of derogation from the first subparagraph, where an applicant CSD </w:t>
      </w:r>
      <w:r w:rsidR="005C6239" w:rsidRPr="006B3BA6">
        <w:rPr>
          <w:noProof/>
        </w:rPr>
        <w:t>does not</w:t>
      </w:r>
      <w:r w:rsidR="00D77339" w:rsidRPr="006B3BA6">
        <w:rPr>
          <w:noProof/>
        </w:rPr>
        <w:t xml:space="preserve"> comply with </w:t>
      </w:r>
      <w:r w:rsidR="005C6239" w:rsidRPr="006B3BA6">
        <w:rPr>
          <w:noProof/>
        </w:rPr>
        <w:t xml:space="preserve">all </w:t>
      </w:r>
      <w:r w:rsidR="00D77339" w:rsidRPr="006B3BA6">
        <w:rPr>
          <w:noProof/>
        </w:rPr>
        <w:t>requirements of this Regulation</w:t>
      </w:r>
      <w:r w:rsidR="005C6239" w:rsidRPr="006B3BA6">
        <w:rPr>
          <w:noProof/>
        </w:rPr>
        <w:t>,</w:t>
      </w:r>
      <w:r w:rsidR="005454EB">
        <w:rPr>
          <w:noProof/>
        </w:rPr>
        <w:t xml:space="preserve"> but where it may be</w:t>
      </w:r>
      <w:r w:rsidR="00EF26F3" w:rsidRPr="00E4531D">
        <w:rPr>
          <w:noProof/>
        </w:rPr>
        <w:t xml:space="preserve"> reasonably assumed that it will do so when it will have actually launched its activities</w:t>
      </w:r>
      <w:r w:rsidR="00D77339" w:rsidRPr="006B3BA6">
        <w:rPr>
          <w:noProof/>
        </w:rPr>
        <w:t>,</w:t>
      </w:r>
      <w:r w:rsidR="00D77339">
        <w:rPr>
          <w:noProof/>
        </w:rPr>
        <w:t xml:space="preserve"> the competent authority may g</w:t>
      </w:r>
      <w:r w:rsidR="004F677E" w:rsidRPr="000C4F35">
        <w:rPr>
          <w:noProof/>
        </w:rPr>
        <w:t>rant</w:t>
      </w:r>
      <w:r w:rsidR="00D77339">
        <w:rPr>
          <w:noProof/>
        </w:rPr>
        <w:t xml:space="preserve"> </w:t>
      </w:r>
      <w:r w:rsidR="004F677E" w:rsidRPr="000C4F35">
        <w:rPr>
          <w:noProof/>
        </w:rPr>
        <w:t>the authorisation</w:t>
      </w:r>
      <w:r w:rsidR="00D77339">
        <w:rPr>
          <w:noProof/>
        </w:rPr>
        <w:t xml:space="preserve"> </w:t>
      </w:r>
      <w:r w:rsidR="004F677E" w:rsidRPr="000C4F35">
        <w:rPr>
          <w:noProof/>
        </w:rPr>
        <w:t xml:space="preserve">subject to the condition that </w:t>
      </w:r>
      <w:r w:rsidR="00D77339">
        <w:rPr>
          <w:noProof/>
        </w:rPr>
        <w:t>that</w:t>
      </w:r>
      <w:r w:rsidR="004F677E" w:rsidRPr="000C4F35">
        <w:rPr>
          <w:noProof/>
        </w:rPr>
        <w:t xml:space="preserve"> CSD has all the necessary arrangements in place to comply with the requirements of this Regulation when it </w:t>
      </w:r>
      <w:r w:rsidR="003E614A">
        <w:rPr>
          <w:noProof/>
        </w:rPr>
        <w:t xml:space="preserve">actually </w:t>
      </w:r>
      <w:r w:rsidR="004F677E" w:rsidRPr="000C4F35">
        <w:rPr>
          <w:noProof/>
        </w:rPr>
        <w:t>launches its activities.”</w:t>
      </w:r>
      <w:r w:rsidR="00354964">
        <w:rPr>
          <w:noProof/>
        </w:rPr>
        <w:t>;</w:t>
      </w:r>
    </w:p>
    <w:p w14:paraId="37A6767D" w14:textId="5A637E07" w:rsidR="004F677E" w:rsidRPr="000C4F35" w:rsidRDefault="001678E4" w:rsidP="001678E4">
      <w:pPr>
        <w:pStyle w:val="Point1"/>
        <w:rPr>
          <w:noProof/>
        </w:rPr>
      </w:pPr>
      <w:r w:rsidRPr="001678E4">
        <w:t>(b)</w:t>
      </w:r>
      <w:r w:rsidRPr="001678E4">
        <w:tab/>
      </w:r>
      <w:r w:rsidR="00B504B8">
        <w:rPr>
          <w:noProof/>
        </w:rPr>
        <w:t>p</w:t>
      </w:r>
      <w:r w:rsidR="004F677E" w:rsidRPr="000C4F35">
        <w:rPr>
          <w:noProof/>
        </w:rPr>
        <w:t>aragraph 4 is replaced by the following:</w:t>
      </w:r>
    </w:p>
    <w:p w14:paraId="081C6863" w14:textId="77777777" w:rsidR="004F677E" w:rsidRPr="000C4F35" w:rsidRDefault="00653450" w:rsidP="00685329">
      <w:pPr>
        <w:pStyle w:val="Text1"/>
        <w:rPr>
          <w:noProof/>
        </w:rPr>
      </w:pPr>
      <w:r>
        <w:rPr>
          <w:noProof/>
        </w:rPr>
        <w:t>‘</w:t>
      </w:r>
      <w:r w:rsidR="004F677E" w:rsidRPr="000C4F35">
        <w:rPr>
          <w:noProof/>
        </w:rPr>
        <w:t xml:space="preserve">4. From the moment when the application is considered to be complete, the competent authority shall transmit all information included in the application to the relevant authorities and consult those authorities concerning the features of the securities settlement system operated by the applicant CSD. </w:t>
      </w:r>
    </w:p>
    <w:p w14:paraId="44DD62AD" w14:textId="77777777" w:rsidR="004F677E" w:rsidRPr="000C4F35" w:rsidRDefault="004F677E" w:rsidP="00685329">
      <w:pPr>
        <w:pStyle w:val="Text1"/>
        <w:rPr>
          <w:noProof/>
        </w:rPr>
      </w:pPr>
      <w:r w:rsidRPr="000C4F35">
        <w:rPr>
          <w:noProof/>
        </w:rPr>
        <w:t>Each relevant authority may issue a reasoned opinion to the competent authority within 3 months of the receipt of the information by the relevant authority. Where a relevant authority does not provide an opinion within that timeframe it shall be deemed to have issued a positive opinion.</w:t>
      </w:r>
    </w:p>
    <w:p w14:paraId="7C1F4FF9" w14:textId="77777777" w:rsidR="004F677E" w:rsidRPr="000C4F35" w:rsidRDefault="004F677E" w:rsidP="00685329">
      <w:pPr>
        <w:pStyle w:val="Text1"/>
        <w:rPr>
          <w:noProof/>
        </w:rPr>
      </w:pPr>
      <w:r w:rsidRPr="000C4F35">
        <w:rPr>
          <w:noProof/>
        </w:rPr>
        <w:t xml:space="preserve">Where at least one of the relevant authorities issues a negative reasoned opinion, the competent authority wishing to grant the authorisation shall within 30 calendar days provide the relevant authorities </w:t>
      </w:r>
      <w:r w:rsidRPr="006B3BA6">
        <w:rPr>
          <w:noProof/>
        </w:rPr>
        <w:t>with a</w:t>
      </w:r>
      <w:r w:rsidR="00351E65" w:rsidRPr="00E4531D">
        <w:rPr>
          <w:noProof/>
        </w:rPr>
        <w:t xml:space="preserve"> reasoned decision</w:t>
      </w:r>
      <w:r w:rsidR="005454EB">
        <w:rPr>
          <w:noProof/>
        </w:rPr>
        <w:t xml:space="preserve"> </w:t>
      </w:r>
      <w:r w:rsidR="00351E65" w:rsidRPr="00E4531D">
        <w:rPr>
          <w:noProof/>
        </w:rPr>
        <w:t xml:space="preserve">addressing </w:t>
      </w:r>
      <w:r w:rsidRPr="006B3BA6">
        <w:rPr>
          <w:noProof/>
        </w:rPr>
        <w:t>the</w:t>
      </w:r>
      <w:r w:rsidRPr="000C4F35">
        <w:rPr>
          <w:noProof/>
        </w:rPr>
        <w:t xml:space="preserve"> negative opinion.</w:t>
      </w:r>
    </w:p>
    <w:p w14:paraId="584C0E73" w14:textId="77777777" w:rsidR="004F677E" w:rsidRPr="000C4F35" w:rsidRDefault="004F677E" w:rsidP="00685329">
      <w:pPr>
        <w:pStyle w:val="Text1"/>
        <w:rPr>
          <w:noProof/>
        </w:rPr>
      </w:pPr>
      <w:r w:rsidRPr="000C4F35">
        <w:rPr>
          <w:noProof/>
        </w:rPr>
        <w:t>Where</w:t>
      </w:r>
      <w:r w:rsidR="003E614A">
        <w:rPr>
          <w:noProof/>
        </w:rPr>
        <w:t xml:space="preserve"> within</w:t>
      </w:r>
      <w:r w:rsidRPr="000C4F35">
        <w:rPr>
          <w:noProof/>
        </w:rPr>
        <w:t xml:space="preserve"> 30 calendar days after the competent authority has</w:t>
      </w:r>
      <w:r w:rsidR="00351E65">
        <w:rPr>
          <w:noProof/>
        </w:rPr>
        <w:t xml:space="preserve"> issued the reasoned decision</w:t>
      </w:r>
      <w:r w:rsidRPr="000C4F35">
        <w:rPr>
          <w:noProof/>
        </w:rPr>
        <w:t xml:space="preserve"> </w:t>
      </w:r>
      <w:r w:rsidRPr="006B3BA6">
        <w:rPr>
          <w:noProof/>
        </w:rPr>
        <w:t>referred to in the third subparagraph, any of the relevant authorities issues a</w:t>
      </w:r>
      <w:r w:rsidR="00124CFA" w:rsidRPr="006B3BA6">
        <w:rPr>
          <w:noProof/>
        </w:rPr>
        <w:t>nother</w:t>
      </w:r>
      <w:r w:rsidRPr="006B3BA6">
        <w:rPr>
          <w:noProof/>
        </w:rPr>
        <w:t xml:space="preserve"> negative opinion and the competent authority</w:t>
      </w:r>
      <w:r w:rsidR="008F299C">
        <w:rPr>
          <w:noProof/>
        </w:rPr>
        <w:t xml:space="preserve"> disagrees</w:t>
      </w:r>
      <w:r w:rsidR="00F668F5" w:rsidRPr="00E4531D">
        <w:rPr>
          <w:noProof/>
        </w:rPr>
        <w:t xml:space="preserve"> it shall inform those relevant authorities</w:t>
      </w:r>
      <w:r w:rsidR="00F12F88" w:rsidRPr="00E4531D">
        <w:rPr>
          <w:noProof/>
        </w:rPr>
        <w:t>. A</w:t>
      </w:r>
      <w:r w:rsidRPr="006B3BA6">
        <w:rPr>
          <w:noProof/>
        </w:rPr>
        <w:t>ny of the authorities that issued a negat</w:t>
      </w:r>
      <w:r w:rsidRPr="000C4F35">
        <w:rPr>
          <w:noProof/>
        </w:rPr>
        <w:t xml:space="preserve">ive opinion may refer the matter to ESMA for assistance under </w:t>
      </w:r>
      <w:r w:rsidR="00354964" w:rsidRPr="000C4F35">
        <w:rPr>
          <w:noProof/>
        </w:rPr>
        <w:t>Article 31</w:t>
      </w:r>
      <w:r w:rsidR="00E55A33">
        <w:rPr>
          <w:noProof/>
        </w:rPr>
        <w:t>(</w:t>
      </w:r>
      <w:r w:rsidR="00B71FA4">
        <w:rPr>
          <w:noProof/>
        </w:rPr>
        <w:t>2</w:t>
      </w:r>
      <w:r w:rsidR="00E55A33">
        <w:rPr>
          <w:noProof/>
        </w:rPr>
        <w:t>)</w:t>
      </w:r>
      <w:r w:rsidR="00354964" w:rsidRPr="000C4F35">
        <w:rPr>
          <w:noProof/>
        </w:rPr>
        <w:t xml:space="preserve"> </w:t>
      </w:r>
      <w:r w:rsidRPr="000C4F35">
        <w:rPr>
          <w:noProof/>
        </w:rPr>
        <w:t>point (c)</w:t>
      </w:r>
      <w:r w:rsidR="00354964">
        <w:rPr>
          <w:noProof/>
        </w:rPr>
        <w:t>,</w:t>
      </w:r>
      <w:r w:rsidRPr="000C4F35">
        <w:rPr>
          <w:noProof/>
        </w:rPr>
        <w:t xml:space="preserve"> of Regulation (EU) No 1095/2010.</w:t>
      </w:r>
    </w:p>
    <w:p w14:paraId="78D32984" w14:textId="77777777" w:rsidR="004F677E" w:rsidRPr="000C4F35" w:rsidRDefault="004F677E" w:rsidP="00685329">
      <w:pPr>
        <w:pStyle w:val="Text1"/>
        <w:rPr>
          <w:noProof/>
        </w:rPr>
      </w:pPr>
      <w:r w:rsidRPr="000C4F35">
        <w:rPr>
          <w:noProof/>
        </w:rPr>
        <w:t>Where 30 calendar days after referral to ESMA the issue is not settled, the competent authority wishing to grant the authorisation shall take the final decision and provide a detailed explanation of its decision in writing to the relevant authorities.</w:t>
      </w:r>
    </w:p>
    <w:p w14:paraId="57ECA1B1" w14:textId="77777777" w:rsidR="004F677E" w:rsidRPr="000C4F35" w:rsidRDefault="004F677E" w:rsidP="00685329">
      <w:pPr>
        <w:pStyle w:val="Text1"/>
        <w:rPr>
          <w:noProof/>
        </w:rPr>
      </w:pPr>
      <w:r w:rsidRPr="000C4F35">
        <w:rPr>
          <w:noProof/>
        </w:rPr>
        <w:t>Where the competent authority wishes to refuse authorisation, the matter shall not be referred to ESMA.</w:t>
      </w:r>
    </w:p>
    <w:p w14:paraId="2C03DD24" w14:textId="77777777" w:rsidR="004F677E" w:rsidRPr="000C4F35" w:rsidRDefault="004F677E" w:rsidP="00685329">
      <w:pPr>
        <w:pStyle w:val="Text1"/>
        <w:rPr>
          <w:noProof/>
        </w:rPr>
      </w:pPr>
      <w:r w:rsidRPr="000C4F35">
        <w:rPr>
          <w:noProof/>
        </w:rPr>
        <w:t xml:space="preserve">Negative opinions shall state in writing the full and detailed reasons why the requirements laid down in this Regulation or other </w:t>
      </w:r>
      <w:r w:rsidR="00045186">
        <w:rPr>
          <w:noProof/>
        </w:rPr>
        <w:t>requirements</w:t>
      </w:r>
      <w:r w:rsidRPr="000C4F35">
        <w:rPr>
          <w:noProof/>
        </w:rPr>
        <w:t xml:space="preserve"> of Union law are not met.</w:t>
      </w:r>
      <w:r w:rsidR="00653450">
        <w:rPr>
          <w:noProof/>
        </w:rPr>
        <w:t>’</w:t>
      </w:r>
      <w:r w:rsidR="00354964">
        <w:rPr>
          <w:noProof/>
        </w:rPr>
        <w:t>;</w:t>
      </w:r>
    </w:p>
    <w:p w14:paraId="2B477FC0" w14:textId="709D3768" w:rsidR="004F677E" w:rsidRPr="000C4F35" w:rsidRDefault="001678E4" w:rsidP="001678E4">
      <w:pPr>
        <w:pStyle w:val="Point1"/>
        <w:rPr>
          <w:noProof/>
        </w:rPr>
      </w:pPr>
      <w:r w:rsidRPr="001678E4">
        <w:t>(c)</w:t>
      </w:r>
      <w:r w:rsidRPr="001678E4">
        <w:tab/>
      </w:r>
      <w:r w:rsidR="00354964">
        <w:rPr>
          <w:noProof/>
        </w:rPr>
        <w:t>the following</w:t>
      </w:r>
      <w:r w:rsidR="004F677E" w:rsidRPr="000C4F35">
        <w:rPr>
          <w:noProof/>
        </w:rPr>
        <w:t xml:space="preserve"> paragraph 7a is inserted: </w:t>
      </w:r>
    </w:p>
    <w:p w14:paraId="70FCC223" w14:textId="77777777" w:rsidR="004F677E" w:rsidRPr="000C4F35" w:rsidRDefault="00653450" w:rsidP="00685329">
      <w:pPr>
        <w:pStyle w:val="Text1"/>
        <w:rPr>
          <w:noProof/>
        </w:rPr>
      </w:pPr>
      <w:r>
        <w:rPr>
          <w:noProof/>
        </w:rPr>
        <w:t>‘</w:t>
      </w:r>
      <w:r w:rsidR="004F677E" w:rsidRPr="000C4F35">
        <w:rPr>
          <w:noProof/>
        </w:rPr>
        <w:t>7a. The competent authority shall inform without undue delay the authorities consulted pursuant to paragraphs 4</w:t>
      </w:r>
      <w:r w:rsidR="007B44F8">
        <w:rPr>
          <w:noProof/>
        </w:rPr>
        <w:t xml:space="preserve"> to</w:t>
      </w:r>
      <w:r w:rsidR="004F677E" w:rsidRPr="000C4F35">
        <w:rPr>
          <w:noProof/>
        </w:rPr>
        <w:t xml:space="preserve"> 7 of the results, including any remedial actions, of the authorisation process.</w:t>
      </w:r>
      <w:r>
        <w:rPr>
          <w:noProof/>
        </w:rPr>
        <w:t>’</w:t>
      </w:r>
      <w:r w:rsidR="007B44F8">
        <w:rPr>
          <w:noProof/>
        </w:rPr>
        <w:t>;</w:t>
      </w:r>
      <w:r w:rsidR="004F677E" w:rsidRPr="000C4F35" w:rsidDel="00DF4E35">
        <w:rPr>
          <w:noProof/>
        </w:rPr>
        <w:t xml:space="preserve"> </w:t>
      </w:r>
    </w:p>
    <w:p w14:paraId="2BB0AD4E" w14:textId="77777777" w:rsidR="004F677E" w:rsidRPr="000C4F35" w:rsidRDefault="007B44F8" w:rsidP="00685329">
      <w:pPr>
        <w:pStyle w:val="ManualNumPar1"/>
        <w:rPr>
          <w:noProof/>
        </w:rPr>
      </w:pPr>
      <w:r>
        <w:rPr>
          <w:noProof/>
        </w:rPr>
        <w:t>(</w:t>
      </w:r>
      <w:r w:rsidR="004F677E" w:rsidRPr="000C4F35">
        <w:rPr>
          <w:noProof/>
        </w:rPr>
        <w:t>5</w:t>
      </w:r>
      <w:r>
        <w:rPr>
          <w:noProof/>
        </w:rPr>
        <w:t>)</w:t>
      </w:r>
      <w:r w:rsidR="004F677E" w:rsidRPr="000C4F35">
        <w:rPr>
          <w:noProof/>
        </w:rPr>
        <w:t xml:space="preserve"> </w:t>
      </w:r>
      <w:r>
        <w:rPr>
          <w:noProof/>
        </w:rPr>
        <w:t>i</w:t>
      </w:r>
      <w:r w:rsidR="004F677E" w:rsidRPr="000C4F35">
        <w:rPr>
          <w:noProof/>
        </w:rPr>
        <w:t xml:space="preserve">n Article 20, paragraph 5 is </w:t>
      </w:r>
      <w:r>
        <w:rPr>
          <w:noProof/>
        </w:rPr>
        <w:t>replaced by the following</w:t>
      </w:r>
      <w:r w:rsidR="004F677E" w:rsidRPr="000C4F35">
        <w:rPr>
          <w:noProof/>
        </w:rPr>
        <w:t>:</w:t>
      </w:r>
    </w:p>
    <w:p w14:paraId="33F55517" w14:textId="77777777" w:rsidR="004F677E" w:rsidRPr="000C4F35" w:rsidRDefault="00653450" w:rsidP="00685329">
      <w:pPr>
        <w:pStyle w:val="Text1"/>
        <w:rPr>
          <w:noProof/>
        </w:rPr>
      </w:pPr>
      <w:r>
        <w:rPr>
          <w:noProof/>
        </w:rPr>
        <w:t>‘</w:t>
      </w:r>
      <w:r w:rsidR="004F677E" w:rsidRPr="000C4F35">
        <w:rPr>
          <w:noProof/>
        </w:rPr>
        <w:t xml:space="preserve">5. A CSD shall establish, implement and maintain adequate procedures ensuring the timely and orderly settlement and transfer of the assets of clients and participants to another CSD in the event of a withdrawal of authorisation referred to in paragraph 1. </w:t>
      </w:r>
      <w:r w:rsidR="007B44F8">
        <w:rPr>
          <w:noProof/>
        </w:rPr>
        <w:t>Such procedures shall</w:t>
      </w:r>
      <w:r w:rsidR="004F677E" w:rsidRPr="000C4F35">
        <w:rPr>
          <w:noProof/>
        </w:rPr>
        <w:t xml:space="preserve"> include the transfer of issuance accounts and records linked to the provision of core services referred to in </w:t>
      </w:r>
      <w:r w:rsidR="007B44F8" w:rsidRPr="000C4F35">
        <w:rPr>
          <w:noProof/>
        </w:rPr>
        <w:t>Section A</w:t>
      </w:r>
      <w:r w:rsidR="007B44F8">
        <w:rPr>
          <w:noProof/>
        </w:rPr>
        <w:t>,</w:t>
      </w:r>
      <w:r w:rsidR="007B44F8" w:rsidRPr="000C4F35">
        <w:rPr>
          <w:noProof/>
        </w:rPr>
        <w:t xml:space="preserve"> </w:t>
      </w:r>
      <w:r w:rsidR="004F677E" w:rsidRPr="000C4F35">
        <w:rPr>
          <w:noProof/>
        </w:rPr>
        <w:t>points 1 and 2</w:t>
      </w:r>
      <w:r w:rsidR="007B44F8">
        <w:rPr>
          <w:noProof/>
        </w:rPr>
        <w:t>,</w:t>
      </w:r>
      <w:r w:rsidR="004F677E" w:rsidRPr="000C4F35">
        <w:rPr>
          <w:noProof/>
        </w:rPr>
        <w:t xml:space="preserve"> of the Annex.</w:t>
      </w:r>
      <w:r>
        <w:rPr>
          <w:noProof/>
        </w:rPr>
        <w:t>’</w:t>
      </w:r>
      <w:r w:rsidR="00A96E8C">
        <w:rPr>
          <w:noProof/>
        </w:rPr>
        <w:t>;</w:t>
      </w:r>
    </w:p>
    <w:p w14:paraId="65CE1F55" w14:textId="77777777" w:rsidR="004F677E" w:rsidRPr="000C4F35" w:rsidRDefault="007B44F8" w:rsidP="00685329">
      <w:pPr>
        <w:pStyle w:val="ManualNumPar1"/>
        <w:rPr>
          <w:noProof/>
        </w:rPr>
      </w:pPr>
      <w:r>
        <w:rPr>
          <w:noProof/>
        </w:rPr>
        <w:t>(</w:t>
      </w:r>
      <w:r w:rsidR="004F677E" w:rsidRPr="000C4F35">
        <w:rPr>
          <w:noProof/>
        </w:rPr>
        <w:t>6</w:t>
      </w:r>
      <w:r>
        <w:rPr>
          <w:noProof/>
        </w:rPr>
        <w:t>)</w:t>
      </w:r>
      <w:r w:rsidR="004F677E" w:rsidRPr="000C4F35">
        <w:rPr>
          <w:noProof/>
        </w:rPr>
        <w:t xml:space="preserve"> Article 22 is amended as follows:</w:t>
      </w:r>
    </w:p>
    <w:p w14:paraId="2F94E0C3" w14:textId="4FAB104D" w:rsidR="004F677E" w:rsidRPr="000C4F35" w:rsidRDefault="001678E4" w:rsidP="001678E4">
      <w:pPr>
        <w:pStyle w:val="Point1"/>
        <w:rPr>
          <w:noProof/>
        </w:rPr>
      </w:pPr>
      <w:r w:rsidRPr="001678E4">
        <w:t>(a)</w:t>
      </w:r>
      <w:r w:rsidRPr="001678E4">
        <w:tab/>
      </w:r>
      <w:r w:rsidR="007B44F8">
        <w:rPr>
          <w:noProof/>
        </w:rPr>
        <w:t>p</w:t>
      </w:r>
      <w:r w:rsidR="00E615CC" w:rsidRPr="000C4F35">
        <w:rPr>
          <w:noProof/>
        </w:rPr>
        <w:t>aragraph</w:t>
      </w:r>
      <w:r w:rsidR="007B44F8">
        <w:rPr>
          <w:noProof/>
        </w:rPr>
        <w:t>s</w:t>
      </w:r>
      <w:r w:rsidR="00E615CC" w:rsidRPr="000C4F35">
        <w:rPr>
          <w:noProof/>
        </w:rPr>
        <w:t xml:space="preserve"> </w:t>
      </w:r>
      <w:r w:rsidR="004F677E" w:rsidRPr="000C4F35">
        <w:rPr>
          <w:noProof/>
        </w:rPr>
        <w:t>1</w:t>
      </w:r>
      <w:r w:rsidR="007B44F8">
        <w:rPr>
          <w:noProof/>
        </w:rPr>
        <w:t xml:space="preserve"> to 4 are</w:t>
      </w:r>
      <w:r w:rsidR="004F677E" w:rsidRPr="000C4F35">
        <w:rPr>
          <w:noProof/>
        </w:rPr>
        <w:t xml:space="preserve"> replaced by the following:</w:t>
      </w:r>
    </w:p>
    <w:p w14:paraId="7D7F6D5B" w14:textId="77777777" w:rsidR="00A96E8C" w:rsidRDefault="00653450" w:rsidP="00685329">
      <w:pPr>
        <w:pStyle w:val="Text1"/>
        <w:rPr>
          <w:noProof/>
        </w:rPr>
      </w:pPr>
      <w:r>
        <w:rPr>
          <w:noProof/>
        </w:rPr>
        <w:t>‘</w:t>
      </w:r>
      <w:r w:rsidR="004F677E" w:rsidRPr="000C4F35">
        <w:rPr>
          <w:noProof/>
        </w:rPr>
        <w:t xml:space="preserve">1. The competent authority shall, at least every </w:t>
      </w:r>
      <w:r>
        <w:rPr>
          <w:noProof/>
        </w:rPr>
        <w:t>2</w:t>
      </w:r>
      <w:r w:rsidRPr="000C4F35">
        <w:rPr>
          <w:noProof/>
        </w:rPr>
        <w:t xml:space="preserve"> </w:t>
      </w:r>
      <w:r w:rsidR="004F677E" w:rsidRPr="000C4F35">
        <w:rPr>
          <w:noProof/>
        </w:rPr>
        <w:t>years, review the arrangements, strategies, processes and mechanisms implemented by a CSD with respect to compliance with this Regulation and evaluate the risks to which the CSD is, or might be, exposed to or which it creates for the smooth functioning of securities markets or stability of the financial markets.</w:t>
      </w:r>
    </w:p>
    <w:p w14:paraId="1C933811" w14:textId="77777777" w:rsidR="004F677E" w:rsidRPr="000C4F35" w:rsidRDefault="004F677E" w:rsidP="00685329">
      <w:pPr>
        <w:pStyle w:val="Text1"/>
        <w:rPr>
          <w:noProof/>
        </w:rPr>
      </w:pPr>
      <w:r w:rsidRPr="000C4F35">
        <w:rPr>
          <w:noProof/>
        </w:rPr>
        <w:t>2. The CSD shall identify scenarios that may potentially prevent it from being able to provide its critical operations and services as a going concern and assess the effectiveness of a full range of options for recovery or orderly wind-down. Th</w:t>
      </w:r>
      <w:r w:rsidR="007B44F8">
        <w:rPr>
          <w:noProof/>
        </w:rPr>
        <w:t>o</w:t>
      </w:r>
      <w:r w:rsidRPr="000C4F35">
        <w:rPr>
          <w:noProof/>
        </w:rPr>
        <w:t>se scenarios shall take into account the various independent and related risks to which the CSD is exposed. Using th</w:t>
      </w:r>
      <w:r w:rsidR="007B44F8">
        <w:rPr>
          <w:noProof/>
        </w:rPr>
        <w:t>at</w:t>
      </w:r>
      <w:r w:rsidRPr="000C4F35">
        <w:rPr>
          <w:noProof/>
        </w:rPr>
        <w:t xml:space="preserve"> analysis, the CSD shall prepare and submit to the competent authority appropriate plans for its recovery or orderly wind-down.</w:t>
      </w:r>
    </w:p>
    <w:p w14:paraId="56DAAF54" w14:textId="3A083960" w:rsidR="007B44F8" w:rsidRDefault="004F677E" w:rsidP="00685329">
      <w:pPr>
        <w:pStyle w:val="Text1"/>
        <w:rPr>
          <w:noProof/>
        </w:rPr>
      </w:pPr>
      <w:r w:rsidRPr="000C4F35">
        <w:rPr>
          <w:noProof/>
        </w:rPr>
        <w:t>3. The plans referred to in paragraph 2 shall contain</w:t>
      </w:r>
      <w:r w:rsidR="00E23769">
        <w:rPr>
          <w:noProof/>
        </w:rPr>
        <w:t xml:space="preserve"> at least</w:t>
      </w:r>
      <w:r w:rsidR="007B44F8">
        <w:rPr>
          <w:noProof/>
        </w:rPr>
        <w:t xml:space="preserve"> the following:</w:t>
      </w:r>
      <w:r w:rsidRPr="000C4F35">
        <w:rPr>
          <w:noProof/>
        </w:rPr>
        <w:t xml:space="preserve"> </w:t>
      </w:r>
    </w:p>
    <w:p w14:paraId="1E850A7A" w14:textId="77777777" w:rsidR="007B44F8" w:rsidRDefault="007B44F8" w:rsidP="00685329">
      <w:pPr>
        <w:pStyle w:val="Text1"/>
        <w:rPr>
          <w:noProof/>
        </w:rPr>
      </w:pPr>
      <w:r>
        <w:rPr>
          <w:noProof/>
        </w:rPr>
        <w:t xml:space="preserve">(a) </w:t>
      </w:r>
      <w:r w:rsidR="004F677E" w:rsidRPr="000C4F35">
        <w:rPr>
          <w:noProof/>
        </w:rPr>
        <w:t>a substantive summary of the key recovery or orderly wind-down strategies</w:t>
      </w:r>
      <w:r>
        <w:rPr>
          <w:noProof/>
        </w:rPr>
        <w:t>;</w:t>
      </w:r>
    </w:p>
    <w:p w14:paraId="70EF9F71" w14:textId="77777777" w:rsidR="007B44F8" w:rsidRDefault="007B44F8" w:rsidP="00685329">
      <w:pPr>
        <w:pStyle w:val="Text1"/>
        <w:rPr>
          <w:noProof/>
        </w:rPr>
      </w:pPr>
      <w:r>
        <w:rPr>
          <w:noProof/>
        </w:rPr>
        <w:t>(b)</w:t>
      </w:r>
      <w:r w:rsidR="004F677E" w:rsidRPr="000C4F35">
        <w:rPr>
          <w:noProof/>
        </w:rPr>
        <w:t xml:space="preserve"> </w:t>
      </w:r>
      <w:r>
        <w:rPr>
          <w:noProof/>
        </w:rPr>
        <w:t>an</w:t>
      </w:r>
      <w:r w:rsidR="004F677E" w:rsidRPr="000C4F35">
        <w:rPr>
          <w:noProof/>
        </w:rPr>
        <w:t xml:space="preserve"> identification of the CSD’s critical operations and services</w:t>
      </w:r>
      <w:r>
        <w:rPr>
          <w:noProof/>
        </w:rPr>
        <w:t>;</w:t>
      </w:r>
    </w:p>
    <w:p w14:paraId="33C4A9F0" w14:textId="77777777" w:rsidR="007B44F8" w:rsidRDefault="007B44F8" w:rsidP="00685329">
      <w:pPr>
        <w:pStyle w:val="Text1"/>
        <w:rPr>
          <w:noProof/>
        </w:rPr>
      </w:pPr>
      <w:r>
        <w:rPr>
          <w:noProof/>
        </w:rPr>
        <w:t>(c)</w:t>
      </w:r>
      <w:r w:rsidR="004F677E" w:rsidRPr="000C4F35">
        <w:rPr>
          <w:noProof/>
        </w:rPr>
        <w:t xml:space="preserve"> adequate procedures ensuring the timely and orderly settlement and transfer of the assets of clients and participants to another CSD in the event it became permanently impossible for the CSD to restore its critical operations and services</w:t>
      </w:r>
      <w:r>
        <w:rPr>
          <w:noProof/>
        </w:rPr>
        <w:t>;</w:t>
      </w:r>
    </w:p>
    <w:p w14:paraId="1AB827A5" w14:textId="77777777" w:rsidR="007B44F8" w:rsidRDefault="007B44F8" w:rsidP="00685329">
      <w:pPr>
        <w:pStyle w:val="Text1"/>
        <w:rPr>
          <w:noProof/>
        </w:rPr>
      </w:pPr>
      <w:r>
        <w:rPr>
          <w:noProof/>
        </w:rPr>
        <w:t>(d)</w:t>
      </w:r>
      <w:r w:rsidR="004F677E" w:rsidRPr="000C4F35">
        <w:rPr>
          <w:noProof/>
        </w:rPr>
        <w:t xml:space="preserve"> a description of the measures needed to implement the key strategies. </w:t>
      </w:r>
    </w:p>
    <w:p w14:paraId="25D5950C" w14:textId="77777777" w:rsidR="004F677E" w:rsidRPr="000C4F35" w:rsidRDefault="004F677E" w:rsidP="00685329">
      <w:pPr>
        <w:pStyle w:val="Text1"/>
        <w:rPr>
          <w:noProof/>
        </w:rPr>
      </w:pPr>
      <w:r w:rsidRPr="000C4F35">
        <w:rPr>
          <w:noProof/>
        </w:rPr>
        <w:t xml:space="preserve">The CSD shall have the capacity to identify and provide to related entities the information needed to implement the plans on a timely basis during stress scenarios. </w:t>
      </w:r>
    </w:p>
    <w:p w14:paraId="0DC3B85E" w14:textId="77777777" w:rsidR="004F677E" w:rsidRPr="000C4F35" w:rsidRDefault="007B44F8" w:rsidP="00685329">
      <w:pPr>
        <w:pStyle w:val="Text1"/>
        <w:rPr>
          <w:noProof/>
        </w:rPr>
      </w:pPr>
      <w:r>
        <w:rPr>
          <w:noProof/>
        </w:rPr>
        <w:t xml:space="preserve">The CSD </w:t>
      </w:r>
      <w:r w:rsidR="004F677E" w:rsidRPr="000C4F35">
        <w:rPr>
          <w:noProof/>
        </w:rPr>
        <w:t xml:space="preserve">shall review and update </w:t>
      </w:r>
      <w:r>
        <w:rPr>
          <w:noProof/>
        </w:rPr>
        <w:t xml:space="preserve">the plans </w:t>
      </w:r>
      <w:r w:rsidR="004F677E" w:rsidRPr="000C4F35">
        <w:rPr>
          <w:noProof/>
        </w:rPr>
        <w:t xml:space="preserve">regularly and a least every </w:t>
      </w:r>
      <w:r w:rsidR="008C648F">
        <w:rPr>
          <w:noProof/>
        </w:rPr>
        <w:t>2</w:t>
      </w:r>
      <w:r w:rsidR="008C648F" w:rsidRPr="000C4F35">
        <w:rPr>
          <w:noProof/>
        </w:rPr>
        <w:t xml:space="preserve"> </w:t>
      </w:r>
      <w:r w:rsidR="004F677E" w:rsidRPr="000C4F35">
        <w:rPr>
          <w:noProof/>
        </w:rPr>
        <w:t>years. Th</w:t>
      </w:r>
      <w:r w:rsidR="00474CCE">
        <w:rPr>
          <w:noProof/>
        </w:rPr>
        <w:t>e plans</w:t>
      </w:r>
      <w:r w:rsidR="004F677E" w:rsidRPr="000C4F35">
        <w:rPr>
          <w:noProof/>
        </w:rPr>
        <w:t xml:space="preserve"> shall have regard to the size, systemic importance, nature, scale and complexity of the activities of the CSD concerned and any relevant recovery or resolution plan established in accordance with Directive 2014/59/EU.</w:t>
      </w:r>
    </w:p>
    <w:p w14:paraId="28849ACF" w14:textId="77777777" w:rsidR="00C73920" w:rsidRDefault="004F677E" w:rsidP="00685329">
      <w:pPr>
        <w:pStyle w:val="Text1"/>
        <w:rPr>
          <w:noProof/>
        </w:rPr>
      </w:pPr>
      <w:r w:rsidRPr="000C4F35">
        <w:rPr>
          <w:noProof/>
        </w:rPr>
        <w:t>Where a resolution plan is established and maintained for a CSD with the aim of ensuring its core functions, the competent authority shall inform ESMA</w:t>
      </w:r>
      <w:r w:rsidR="00474CCE">
        <w:rPr>
          <w:noProof/>
        </w:rPr>
        <w:t xml:space="preserve"> thereof</w:t>
      </w:r>
      <w:r w:rsidRPr="000C4F35">
        <w:rPr>
          <w:noProof/>
        </w:rPr>
        <w:t>.</w:t>
      </w:r>
    </w:p>
    <w:p w14:paraId="0233B492" w14:textId="77777777" w:rsidR="004F677E" w:rsidRPr="000C4F35" w:rsidRDefault="004F677E" w:rsidP="00685329">
      <w:pPr>
        <w:pStyle w:val="Text1"/>
        <w:rPr>
          <w:noProof/>
        </w:rPr>
      </w:pPr>
      <w:r w:rsidRPr="000C4F35">
        <w:rPr>
          <w:noProof/>
        </w:rPr>
        <w:t xml:space="preserve">4. The competent authority shall establish the frequency and depth of the review and evaluation referred to in paragraph 1 having regard to the size, systemic importance, nature, scale and complexity of the activities of the CSD concerned. The review and evaluation shall be updated at least every </w:t>
      </w:r>
      <w:r w:rsidR="008C648F">
        <w:rPr>
          <w:noProof/>
        </w:rPr>
        <w:t>2</w:t>
      </w:r>
      <w:r w:rsidR="008C648F" w:rsidRPr="000C4F35">
        <w:rPr>
          <w:noProof/>
        </w:rPr>
        <w:t xml:space="preserve"> </w:t>
      </w:r>
      <w:r w:rsidRPr="000C4F35">
        <w:rPr>
          <w:noProof/>
        </w:rPr>
        <w:t>years.</w:t>
      </w:r>
      <w:r w:rsidR="00653450">
        <w:rPr>
          <w:noProof/>
        </w:rPr>
        <w:t>’</w:t>
      </w:r>
      <w:r w:rsidR="00474CCE">
        <w:rPr>
          <w:noProof/>
        </w:rPr>
        <w:t>;</w:t>
      </w:r>
    </w:p>
    <w:p w14:paraId="14A2EF74" w14:textId="20DCBF7E" w:rsidR="004F677E" w:rsidRPr="000C4F35" w:rsidRDefault="001678E4" w:rsidP="001678E4">
      <w:pPr>
        <w:pStyle w:val="Point1"/>
        <w:rPr>
          <w:noProof/>
        </w:rPr>
      </w:pPr>
      <w:r w:rsidRPr="001678E4">
        <w:t>(b)</w:t>
      </w:r>
      <w:r w:rsidRPr="001678E4">
        <w:tab/>
      </w:r>
      <w:r w:rsidR="00474CCE">
        <w:rPr>
          <w:noProof/>
        </w:rPr>
        <w:t>p</w:t>
      </w:r>
      <w:r w:rsidR="00E615CC" w:rsidRPr="000C4F35">
        <w:rPr>
          <w:noProof/>
        </w:rPr>
        <w:t>aragraph</w:t>
      </w:r>
      <w:r w:rsidR="00474CCE">
        <w:rPr>
          <w:noProof/>
        </w:rPr>
        <w:t>s</w:t>
      </w:r>
      <w:r w:rsidR="00E615CC" w:rsidRPr="000C4F35">
        <w:rPr>
          <w:noProof/>
        </w:rPr>
        <w:t xml:space="preserve"> </w:t>
      </w:r>
      <w:r w:rsidR="004F677E" w:rsidRPr="000C4F35">
        <w:rPr>
          <w:noProof/>
        </w:rPr>
        <w:t xml:space="preserve">6 </w:t>
      </w:r>
      <w:r w:rsidR="00474CCE">
        <w:rPr>
          <w:noProof/>
        </w:rPr>
        <w:t>and 7 are</w:t>
      </w:r>
      <w:r w:rsidR="004F677E" w:rsidRPr="000C4F35">
        <w:rPr>
          <w:noProof/>
        </w:rPr>
        <w:t xml:space="preserve"> replaced by the following:</w:t>
      </w:r>
    </w:p>
    <w:p w14:paraId="49C8E147" w14:textId="77777777" w:rsidR="004F677E" w:rsidRPr="000C4F35" w:rsidRDefault="00653450" w:rsidP="00685329">
      <w:pPr>
        <w:pStyle w:val="Text1"/>
        <w:rPr>
          <w:noProof/>
        </w:rPr>
      </w:pPr>
      <w:r>
        <w:rPr>
          <w:noProof/>
        </w:rPr>
        <w:t>‘</w:t>
      </w:r>
      <w:r w:rsidR="004F677E" w:rsidRPr="000C4F35">
        <w:rPr>
          <w:noProof/>
        </w:rPr>
        <w:t>6. When performing the review and evaluation referred to in paragraph 1, the competent authority shall, at an early stage</w:t>
      </w:r>
      <w:r w:rsidR="00404A5A">
        <w:rPr>
          <w:noProof/>
        </w:rPr>
        <w:t>,</w:t>
      </w:r>
      <w:r w:rsidR="004F677E" w:rsidRPr="000C4F35">
        <w:rPr>
          <w:noProof/>
        </w:rPr>
        <w:t xml:space="preserve"> transmit necessary information to the relevant authorities and, where applicable, the authority referred to in Article 67 of Directive 2014/65/EU, and consult them in particular concerning the functioning of the securities settlement systems operated by the CSD.</w:t>
      </w:r>
    </w:p>
    <w:p w14:paraId="3A772ABF" w14:textId="77777777" w:rsidR="004F677E" w:rsidRPr="000C4F35" w:rsidRDefault="004F677E" w:rsidP="00685329">
      <w:pPr>
        <w:pStyle w:val="Text1"/>
        <w:rPr>
          <w:noProof/>
        </w:rPr>
      </w:pPr>
      <w:r w:rsidRPr="000C4F35">
        <w:rPr>
          <w:noProof/>
        </w:rPr>
        <w:t>The consulted authorities may issue a reasoned opinion within 3 months of the receipt of the information by the competent authority.</w:t>
      </w:r>
    </w:p>
    <w:p w14:paraId="08AFC5F2" w14:textId="77777777" w:rsidR="004F677E" w:rsidRPr="000C4F35" w:rsidRDefault="004F677E" w:rsidP="00685329">
      <w:pPr>
        <w:pStyle w:val="Text1"/>
        <w:rPr>
          <w:noProof/>
        </w:rPr>
      </w:pPr>
      <w:r w:rsidRPr="000C4F35">
        <w:rPr>
          <w:noProof/>
        </w:rPr>
        <w:t>Where an authority does not provide an opinion within that deadline it shall be deemed to have issued a positive opinion.</w:t>
      </w:r>
    </w:p>
    <w:p w14:paraId="5A497F3F" w14:textId="77777777" w:rsidR="004F677E" w:rsidRPr="000C4F35" w:rsidRDefault="004F677E" w:rsidP="00685329">
      <w:pPr>
        <w:pStyle w:val="Text1"/>
        <w:rPr>
          <w:noProof/>
        </w:rPr>
      </w:pPr>
      <w:r w:rsidRPr="000C4F35">
        <w:rPr>
          <w:noProof/>
        </w:rPr>
        <w:t>Where at least one of the relevant authorities issues a negative reasoned opinion, the competent authority shall within 30 calendar days provide the relevant authorities with a</w:t>
      </w:r>
      <w:r w:rsidR="00E23769">
        <w:rPr>
          <w:noProof/>
        </w:rPr>
        <w:t xml:space="preserve"> reasoned decision addressing</w:t>
      </w:r>
      <w:r w:rsidRPr="000C4F35">
        <w:rPr>
          <w:noProof/>
        </w:rPr>
        <w:t xml:space="preserve"> the negative opinion.</w:t>
      </w:r>
    </w:p>
    <w:p w14:paraId="50A385C7" w14:textId="77777777" w:rsidR="004F677E" w:rsidRPr="000C4F35" w:rsidRDefault="004F677E" w:rsidP="00685329">
      <w:pPr>
        <w:pStyle w:val="Text1"/>
        <w:rPr>
          <w:noProof/>
        </w:rPr>
      </w:pPr>
      <w:r w:rsidRPr="000C4F35">
        <w:rPr>
          <w:noProof/>
        </w:rPr>
        <w:t xml:space="preserve">Where </w:t>
      </w:r>
      <w:r w:rsidR="002025B2">
        <w:rPr>
          <w:noProof/>
        </w:rPr>
        <w:t xml:space="preserve">within </w:t>
      </w:r>
      <w:r w:rsidRPr="000C4F35">
        <w:rPr>
          <w:noProof/>
        </w:rPr>
        <w:t>30 calendar days after the</w:t>
      </w:r>
      <w:r w:rsidR="00E23769">
        <w:rPr>
          <w:noProof/>
        </w:rPr>
        <w:t xml:space="preserve"> reasoned decision</w:t>
      </w:r>
      <w:r w:rsidRPr="000C4F35">
        <w:rPr>
          <w:noProof/>
        </w:rPr>
        <w:t xml:space="preserve"> referred to in </w:t>
      </w:r>
      <w:r w:rsidR="00474CCE">
        <w:rPr>
          <w:noProof/>
        </w:rPr>
        <w:t xml:space="preserve">the fourth </w:t>
      </w:r>
      <w:r w:rsidRPr="000C4F35">
        <w:rPr>
          <w:noProof/>
        </w:rPr>
        <w:t>subparagraph</w:t>
      </w:r>
      <w:r w:rsidR="00474CCE">
        <w:rPr>
          <w:noProof/>
        </w:rPr>
        <w:t xml:space="preserve"> of this paragraph</w:t>
      </w:r>
      <w:r w:rsidRPr="000C4F35">
        <w:rPr>
          <w:noProof/>
        </w:rPr>
        <w:t xml:space="preserve"> is issued, any of the relevant authorities issues a</w:t>
      </w:r>
      <w:r w:rsidR="002025B2">
        <w:rPr>
          <w:noProof/>
        </w:rPr>
        <w:t>nother</w:t>
      </w:r>
      <w:r w:rsidRPr="000C4F35">
        <w:rPr>
          <w:noProof/>
        </w:rPr>
        <w:t xml:space="preserve"> negative opinion and the competent authority disagrees, </w:t>
      </w:r>
      <w:r w:rsidR="00F668F5">
        <w:rPr>
          <w:noProof/>
        </w:rPr>
        <w:t>the competent authority shall inform that relevant authority. A</w:t>
      </w:r>
      <w:r w:rsidRPr="000C4F35">
        <w:rPr>
          <w:noProof/>
        </w:rPr>
        <w:t xml:space="preserve">ny of the authorities that issued a negative opinion may refer the matter to ESMA for assistance under </w:t>
      </w:r>
      <w:r w:rsidR="00474CCE" w:rsidRPr="000C4F35">
        <w:rPr>
          <w:noProof/>
        </w:rPr>
        <w:t>Article 31</w:t>
      </w:r>
      <w:r w:rsidR="00E55A33">
        <w:rPr>
          <w:noProof/>
        </w:rPr>
        <w:t>(</w:t>
      </w:r>
      <w:r w:rsidR="00F668F5">
        <w:rPr>
          <w:noProof/>
        </w:rPr>
        <w:t>2</w:t>
      </w:r>
      <w:r w:rsidR="00E55A33" w:rsidRPr="006B3BA6">
        <w:rPr>
          <w:noProof/>
        </w:rPr>
        <w:t>)</w:t>
      </w:r>
      <w:r w:rsidR="00F668F5" w:rsidRPr="006B3BA6">
        <w:rPr>
          <w:noProof/>
        </w:rPr>
        <w:t xml:space="preserve">, </w:t>
      </w:r>
      <w:r w:rsidRPr="000C4F35">
        <w:rPr>
          <w:noProof/>
        </w:rPr>
        <w:t>point (c)</w:t>
      </w:r>
      <w:r w:rsidR="00474CCE">
        <w:rPr>
          <w:noProof/>
        </w:rPr>
        <w:t>,</w:t>
      </w:r>
      <w:r w:rsidRPr="000C4F35">
        <w:rPr>
          <w:noProof/>
        </w:rPr>
        <w:t xml:space="preserve"> of Regulation (EU) No 1095/2010.</w:t>
      </w:r>
    </w:p>
    <w:p w14:paraId="2C5000BB" w14:textId="77777777" w:rsidR="004F677E" w:rsidRPr="000C4F35" w:rsidRDefault="004F677E" w:rsidP="00685329">
      <w:pPr>
        <w:pStyle w:val="Text1"/>
        <w:rPr>
          <w:noProof/>
        </w:rPr>
      </w:pPr>
      <w:r w:rsidRPr="000C4F35">
        <w:rPr>
          <w:noProof/>
        </w:rPr>
        <w:t>Where 30 calendar days after referral to ESMA the issue is not settled, the competent authority shall take the final decision on the review and evaluation and provide a detailed explanation of its decision in writing to the relevant authorities.</w:t>
      </w:r>
    </w:p>
    <w:p w14:paraId="1438CCD2" w14:textId="77777777" w:rsidR="004F677E" w:rsidRPr="000C4F35" w:rsidRDefault="004F677E" w:rsidP="00685329">
      <w:pPr>
        <w:pStyle w:val="Text1"/>
        <w:rPr>
          <w:noProof/>
        </w:rPr>
      </w:pPr>
      <w:r w:rsidRPr="000C4F35">
        <w:rPr>
          <w:noProof/>
        </w:rPr>
        <w:t xml:space="preserve">Negative opinions shall state in writing the full and detailed reasons why the requirements laid down in this Regulation or other </w:t>
      </w:r>
      <w:r w:rsidR="00045186">
        <w:rPr>
          <w:noProof/>
        </w:rPr>
        <w:t>requirements</w:t>
      </w:r>
      <w:r w:rsidRPr="000C4F35">
        <w:rPr>
          <w:noProof/>
        </w:rPr>
        <w:t xml:space="preserve"> of Union law are not met.</w:t>
      </w:r>
    </w:p>
    <w:p w14:paraId="62164152" w14:textId="77777777" w:rsidR="004F677E" w:rsidRPr="000C4F35" w:rsidRDefault="004F677E" w:rsidP="009658FF">
      <w:pPr>
        <w:pStyle w:val="Text1"/>
        <w:rPr>
          <w:noProof/>
        </w:rPr>
      </w:pPr>
      <w:r w:rsidRPr="000C4F35">
        <w:rPr>
          <w:noProof/>
        </w:rPr>
        <w:t xml:space="preserve">7. The competent authority shall regularly, and at least once every </w:t>
      </w:r>
      <w:r w:rsidR="008C648F">
        <w:rPr>
          <w:noProof/>
        </w:rPr>
        <w:t>2</w:t>
      </w:r>
      <w:r w:rsidR="008C648F" w:rsidRPr="000C4F35">
        <w:rPr>
          <w:noProof/>
        </w:rPr>
        <w:t xml:space="preserve"> </w:t>
      </w:r>
      <w:r w:rsidRPr="000C4F35">
        <w:rPr>
          <w:noProof/>
        </w:rPr>
        <w:t xml:space="preserve">years, inform the relevant authorities and, where applicable, the colleges referred to in Article 24a </w:t>
      </w:r>
      <w:r w:rsidR="00474CCE">
        <w:rPr>
          <w:noProof/>
        </w:rPr>
        <w:t xml:space="preserve">of this Regulation </w:t>
      </w:r>
      <w:r w:rsidRPr="000C4F35">
        <w:rPr>
          <w:noProof/>
        </w:rPr>
        <w:t>and the authority referred to in Article 67 of Directive 2014/65/EU of the results, including any remedial actions or penalties, of the review and evaluation referred to in paragraph 1</w:t>
      </w:r>
      <w:r w:rsidR="00474CCE">
        <w:rPr>
          <w:noProof/>
        </w:rPr>
        <w:t xml:space="preserve"> of this Article</w:t>
      </w:r>
      <w:r w:rsidRPr="000C4F35">
        <w:rPr>
          <w:noProof/>
        </w:rPr>
        <w:t>.</w:t>
      </w:r>
      <w:r w:rsidR="00653450">
        <w:rPr>
          <w:noProof/>
        </w:rPr>
        <w:t>’</w:t>
      </w:r>
      <w:r w:rsidR="00474CCE">
        <w:rPr>
          <w:noProof/>
        </w:rPr>
        <w:t>;</w:t>
      </w:r>
    </w:p>
    <w:p w14:paraId="0AD4C700" w14:textId="428FC747" w:rsidR="004F677E" w:rsidRPr="000C4F35" w:rsidRDefault="001678E4" w:rsidP="001678E4">
      <w:pPr>
        <w:pStyle w:val="Point1"/>
        <w:rPr>
          <w:noProof/>
        </w:rPr>
      </w:pPr>
      <w:r w:rsidRPr="001678E4">
        <w:t>(c)</w:t>
      </w:r>
      <w:r w:rsidRPr="001678E4">
        <w:tab/>
      </w:r>
      <w:r w:rsidR="00474CCE">
        <w:rPr>
          <w:noProof/>
        </w:rPr>
        <w:t xml:space="preserve">in </w:t>
      </w:r>
      <w:r w:rsidR="00474CCE" w:rsidRPr="000C4F35">
        <w:rPr>
          <w:noProof/>
        </w:rPr>
        <w:t>paragraph 11</w:t>
      </w:r>
      <w:r w:rsidR="00474CCE">
        <w:rPr>
          <w:noProof/>
        </w:rPr>
        <w:t>,</w:t>
      </w:r>
      <w:r w:rsidR="00474CCE" w:rsidRPr="000C4F35">
        <w:rPr>
          <w:noProof/>
        </w:rPr>
        <w:t xml:space="preserve"> </w:t>
      </w:r>
      <w:r w:rsidR="00474CCE">
        <w:rPr>
          <w:noProof/>
        </w:rPr>
        <w:t>t</w:t>
      </w:r>
      <w:r w:rsidR="004F677E" w:rsidRPr="000C4F35">
        <w:rPr>
          <w:noProof/>
        </w:rPr>
        <w:t>he second subparagraph of is replaced by the following:</w:t>
      </w:r>
    </w:p>
    <w:p w14:paraId="1FE3072B" w14:textId="77777777" w:rsidR="004F677E" w:rsidRPr="000C4F35" w:rsidRDefault="00653450" w:rsidP="00685329">
      <w:pPr>
        <w:pStyle w:val="Text1"/>
        <w:rPr>
          <w:noProof/>
        </w:rPr>
      </w:pPr>
      <w:r>
        <w:rPr>
          <w:noProof/>
        </w:rPr>
        <w:t>‘</w:t>
      </w:r>
      <w:r w:rsidR="004F677E" w:rsidRPr="000C4F35">
        <w:rPr>
          <w:noProof/>
        </w:rPr>
        <w:t>ESMA shall submit those draft implementing technical standards to the Commission by [</w:t>
      </w:r>
      <w:r w:rsidR="004F677E" w:rsidRPr="00D473D5">
        <w:rPr>
          <w:i/>
          <w:noProof/>
        </w:rPr>
        <w:t xml:space="preserve">PO please insert </w:t>
      </w:r>
      <w:r w:rsidR="008C648F" w:rsidRPr="00E4531D">
        <w:rPr>
          <w:i/>
          <w:noProof/>
        </w:rPr>
        <w:t>1</w:t>
      </w:r>
      <w:r w:rsidR="008C648F" w:rsidRPr="00D473D5">
        <w:rPr>
          <w:i/>
          <w:noProof/>
        </w:rPr>
        <w:t xml:space="preserve"> </w:t>
      </w:r>
      <w:r w:rsidR="004F677E" w:rsidRPr="00D473D5">
        <w:rPr>
          <w:i/>
          <w:noProof/>
        </w:rPr>
        <w:t>year after the entry into force of this Regulation</w:t>
      </w:r>
      <w:r w:rsidR="004F677E" w:rsidRPr="000C4F35">
        <w:rPr>
          <w:noProof/>
        </w:rPr>
        <w:t>]</w:t>
      </w:r>
      <w:r w:rsidR="00C73920">
        <w:rPr>
          <w:noProof/>
        </w:rPr>
        <w:t>.</w:t>
      </w:r>
      <w:r>
        <w:rPr>
          <w:noProof/>
        </w:rPr>
        <w:t>’</w:t>
      </w:r>
      <w:r w:rsidR="00474CCE">
        <w:rPr>
          <w:noProof/>
        </w:rPr>
        <w:t>;</w:t>
      </w:r>
    </w:p>
    <w:p w14:paraId="6396D0FD" w14:textId="77777777" w:rsidR="004F677E" w:rsidRPr="000C4F35" w:rsidRDefault="007505A4" w:rsidP="00D473D5">
      <w:pPr>
        <w:pStyle w:val="ManualNumPar1"/>
        <w:rPr>
          <w:noProof/>
        </w:rPr>
      </w:pPr>
      <w:r>
        <w:rPr>
          <w:noProof/>
        </w:rPr>
        <w:t>(</w:t>
      </w:r>
      <w:r w:rsidR="004F677E" w:rsidRPr="000C4F35">
        <w:rPr>
          <w:noProof/>
        </w:rPr>
        <w:t>7</w:t>
      </w:r>
      <w:r>
        <w:rPr>
          <w:noProof/>
        </w:rPr>
        <w:t>)</w:t>
      </w:r>
      <w:r w:rsidR="004F677E" w:rsidRPr="000C4F35">
        <w:rPr>
          <w:noProof/>
        </w:rPr>
        <w:t xml:space="preserve"> </w:t>
      </w:r>
      <w:r w:rsidR="00C73920">
        <w:rPr>
          <w:noProof/>
        </w:rPr>
        <w:t>i</w:t>
      </w:r>
      <w:r>
        <w:rPr>
          <w:noProof/>
        </w:rPr>
        <w:t xml:space="preserve">n </w:t>
      </w:r>
      <w:r w:rsidR="004F677E" w:rsidRPr="000C4F35">
        <w:rPr>
          <w:noProof/>
        </w:rPr>
        <w:t>Article 23</w:t>
      </w:r>
      <w:r>
        <w:rPr>
          <w:noProof/>
        </w:rPr>
        <w:t>,</w:t>
      </w:r>
      <w:r w:rsidR="004F677E" w:rsidRPr="000C4F35">
        <w:rPr>
          <w:noProof/>
        </w:rPr>
        <w:t xml:space="preserve"> </w:t>
      </w:r>
      <w:r w:rsidR="00474CCE">
        <w:rPr>
          <w:noProof/>
        </w:rPr>
        <w:t>p</w:t>
      </w:r>
      <w:r w:rsidR="004F677E" w:rsidRPr="000C4F35">
        <w:rPr>
          <w:noProof/>
        </w:rPr>
        <w:t>aragraph</w:t>
      </w:r>
      <w:r w:rsidR="00474CCE">
        <w:rPr>
          <w:noProof/>
        </w:rPr>
        <w:t>s</w:t>
      </w:r>
      <w:r w:rsidR="004F677E" w:rsidRPr="000C4F35">
        <w:rPr>
          <w:noProof/>
        </w:rPr>
        <w:t xml:space="preserve"> 2</w:t>
      </w:r>
      <w:r w:rsidR="00474CCE">
        <w:rPr>
          <w:noProof/>
        </w:rPr>
        <w:t xml:space="preserve"> to </w:t>
      </w:r>
      <w:r>
        <w:rPr>
          <w:noProof/>
        </w:rPr>
        <w:t xml:space="preserve">7 </w:t>
      </w:r>
      <w:r w:rsidR="00474CCE">
        <w:rPr>
          <w:noProof/>
        </w:rPr>
        <w:t>are</w:t>
      </w:r>
      <w:r w:rsidR="004F677E" w:rsidRPr="000C4F35">
        <w:rPr>
          <w:noProof/>
        </w:rPr>
        <w:t xml:space="preserve"> replaced by the following</w:t>
      </w:r>
      <w:r w:rsidR="00653450">
        <w:rPr>
          <w:noProof/>
        </w:rPr>
        <w:t>:</w:t>
      </w:r>
    </w:p>
    <w:p w14:paraId="2BDC67FB" w14:textId="77777777" w:rsidR="004F677E" w:rsidRPr="000C4F35" w:rsidRDefault="00653450" w:rsidP="00D473D5">
      <w:pPr>
        <w:pStyle w:val="Text1"/>
        <w:ind w:left="840"/>
        <w:rPr>
          <w:noProof/>
        </w:rPr>
      </w:pPr>
      <w:r>
        <w:rPr>
          <w:noProof/>
        </w:rPr>
        <w:t>‘</w:t>
      </w:r>
      <w:r w:rsidR="004F677E" w:rsidRPr="000C4F35">
        <w:rPr>
          <w:noProof/>
        </w:rPr>
        <w:t xml:space="preserve">2. An authorised CSD or a CSD that has applied for authorisation pursuant to Article 17 that intends to provide the core services referred to in </w:t>
      </w:r>
      <w:r w:rsidR="00B748EC" w:rsidRPr="000C4F35">
        <w:rPr>
          <w:noProof/>
        </w:rPr>
        <w:t>Section A</w:t>
      </w:r>
      <w:r w:rsidR="00B748EC">
        <w:rPr>
          <w:noProof/>
        </w:rPr>
        <w:t>,</w:t>
      </w:r>
      <w:r w:rsidR="00B748EC" w:rsidRPr="000C4F35">
        <w:rPr>
          <w:noProof/>
        </w:rPr>
        <w:t xml:space="preserve"> </w:t>
      </w:r>
      <w:r w:rsidR="004F677E" w:rsidRPr="000C4F35">
        <w:rPr>
          <w:noProof/>
        </w:rPr>
        <w:t>points 1 and 2</w:t>
      </w:r>
      <w:r w:rsidR="00B748EC">
        <w:rPr>
          <w:noProof/>
        </w:rPr>
        <w:t>,</w:t>
      </w:r>
      <w:r w:rsidR="004F677E" w:rsidRPr="000C4F35">
        <w:rPr>
          <w:noProof/>
        </w:rPr>
        <w:t xml:space="preserve"> of the Annex in relation to financial instruments constituted under the laws of another Member State referred to in Article 49(1)</w:t>
      </w:r>
      <w:r w:rsidR="00B748EC">
        <w:rPr>
          <w:noProof/>
        </w:rPr>
        <w:t>,</w:t>
      </w:r>
      <w:r w:rsidR="00B748EC" w:rsidRPr="000C4F35">
        <w:rPr>
          <w:noProof/>
        </w:rPr>
        <w:t xml:space="preserve"> second subparagraph</w:t>
      </w:r>
      <w:r w:rsidR="00B748EC">
        <w:rPr>
          <w:noProof/>
        </w:rPr>
        <w:t>,</w:t>
      </w:r>
      <w:r w:rsidR="00B748EC" w:rsidRPr="000C4F35">
        <w:rPr>
          <w:noProof/>
        </w:rPr>
        <w:t xml:space="preserve"> </w:t>
      </w:r>
      <w:r w:rsidR="004F677E" w:rsidRPr="000C4F35">
        <w:rPr>
          <w:noProof/>
        </w:rPr>
        <w:t>or to set up a branch in another Member State shall be subject to the procedure referred to in paragraphs 3 to 7</w:t>
      </w:r>
      <w:r w:rsidR="00B748EC">
        <w:rPr>
          <w:noProof/>
        </w:rPr>
        <w:t xml:space="preserve"> of this Article</w:t>
      </w:r>
      <w:r w:rsidR="004F677E" w:rsidRPr="000C4F35">
        <w:rPr>
          <w:noProof/>
        </w:rPr>
        <w:t>. The CSD may provide such services only after it has been authorised pursuant to Article 17 but not earlier than the relevant date applicable in accordance with paragraph 6.</w:t>
      </w:r>
    </w:p>
    <w:p w14:paraId="418DDB81" w14:textId="77777777" w:rsidR="004F677E" w:rsidRPr="000C4F35" w:rsidRDefault="004F677E" w:rsidP="00685329">
      <w:pPr>
        <w:pStyle w:val="Text1"/>
        <w:rPr>
          <w:noProof/>
        </w:rPr>
      </w:pPr>
      <w:r w:rsidRPr="000C4F35">
        <w:rPr>
          <w:noProof/>
        </w:rPr>
        <w:t xml:space="preserve">3. Any CSD wishing to provide the services referred to in paragraph 2 </w:t>
      </w:r>
      <w:r w:rsidR="00B748EC">
        <w:rPr>
          <w:noProof/>
        </w:rPr>
        <w:t xml:space="preserve">of this Article </w:t>
      </w:r>
      <w:r w:rsidRPr="000C4F35">
        <w:rPr>
          <w:noProof/>
        </w:rPr>
        <w:t xml:space="preserve">in relation to financial instruments constituted under the law of another Member State referred to in </w:t>
      </w:r>
      <w:r w:rsidR="00B748EC" w:rsidRPr="000C4F35">
        <w:rPr>
          <w:noProof/>
        </w:rPr>
        <w:t>Article 49(1)</w:t>
      </w:r>
      <w:r w:rsidR="00B748EC">
        <w:rPr>
          <w:noProof/>
        </w:rPr>
        <w:t>,</w:t>
      </w:r>
      <w:r w:rsidRPr="000C4F35">
        <w:rPr>
          <w:noProof/>
        </w:rPr>
        <w:t xml:space="preserve"> second subparagraph</w:t>
      </w:r>
      <w:r w:rsidR="00B748EC">
        <w:rPr>
          <w:noProof/>
        </w:rPr>
        <w:t>,</w:t>
      </w:r>
      <w:r w:rsidRPr="000C4F35">
        <w:rPr>
          <w:noProof/>
        </w:rPr>
        <w:t xml:space="preserve"> for the first time, or to change the range of those services provided shall submit documents with the following information to the competent authority of the home Member State:</w:t>
      </w:r>
    </w:p>
    <w:p w14:paraId="7A2ABD1A" w14:textId="77777777" w:rsidR="004F677E" w:rsidRPr="000C4F35" w:rsidRDefault="004F677E" w:rsidP="00685329">
      <w:pPr>
        <w:pStyle w:val="Text1"/>
        <w:rPr>
          <w:noProof/>
        </w:rPr>
      </w:pPr>
      <w:r w:rsidRPr="000C4F35">
        <w:rPr>
          <w:noProof/>
        </w:rPr>
        <w:t>(a) the host Member State;</w:t>
      </w:r>
    </w:p>
    <w:p w14:paraId="54A57519" w14:textId="77777777" w:rsidR="004F677E" w:rsidRPr="000C4F35" w:rsidRDefault="004F677E" w:rsidP="00685329">
      <w:pPr>
        <w:pStyle w:val="Text1"/>
        <w:rPr>
          <w:noProof/>
        </w:rPr>
      </w:pPr>
      <w:r w:rsidRPr="000C4F35">
        <w:rPr>
          <w:noProof/>
        </w:rPr>
        <w:t>(b) a programme of operations stating in particular the services which the CSD intends to provide;</w:t>
      </w:r>
    </w:p>
    <w:p w14:paraId="6A8A1439" w14:textId="77777777" w:rsidR="004F677E" w:rsidRPr="000C4F35" w:rsidRDefault="004F677E" w:rsidP="00685329">
      <w:pPr>
        <w:pStyle w:val="Text1"/>
        <w:rPr>
          <w:noProof/>
        </w:rPr>
      </w:pPr>
      <w:r w:rsidRPr="000C4F35">
        <w:rPr>
          <w:noProof/>
        </w:rPr>
        <w:t>(c) the currency or currencies that the CSD intends to process;</w:t>
      </w:r>
    </w:p>
    <w:p w14:paraId="4E36CE3C" w14:textId="77777777" w:rsidR="004F677E" w:rsidRPr="000C4F35" w:rsidRDefault="004F677E" w:rsidP="00685329">
      <w:pPr>
        <w:pStyle w:val="Text1"/>
        <w:rPr>
          <w:noProof/>
        </w:rPr>
      </w:pPr>
      <w:r w:rsidRPr="000C4F35">
        <w:rPr>
          <w:noProof/>
        </w:rPr>
        <w:t>(d) where there is a branch, the organisational structure of the branch and the names of those responsible for the management of the branch;</w:t>
      </w:r>
    </w:p>
    <w:p w14:paraId="2792B37B" w14:textId="77777777" w:rsidR="00C73920" w:rsidRDefault="004F677E" w:rsidP="00685329">
      <w:pPr>
        <w:pStyle w:val="Text1"/>
        <w:rPr>
          <w:noProof/>
        </w:rPr>
      </w:pPr>
      <w:r w:rsidRPr="000C4F35">
        <w:rPr>
          <w:noProof/>
        </w:rPr>
        <w:t>(e) an assessment of the measures the CSD intends to take to allow its users to comply with the national law referred to in Article 49(1)</w:t>
      </w:r>
      <w:r w:rsidR="0038288E">
        <w:rPr>
          <w:noProof/>
        </w:rPr>
        <w:t>.</w:t>
      </w:r>
    </w:p>
    <w:p w14:paraId="41FC4DCD" w14:textId="77777777" w:rsidR="004F677E" w:rsidRPr="000C4F35" w:rsidRDefault="004F677E" w:rsidP="00685329">
      <w:pPr>
        <w:pStyle w:val="Text1"/>
        <w:rPr>
          <w:noProof/>
        </w:rPr>
      </w:pPr>
      <w:r w:rsidRPr="000C4F35">
        <w:rPr>
          <w:noProof/>
        </w:rPr>
        <w:t xml:space="preserve">4. Within </w:t>
      </w:r>
      <w:r w:rsidR="0038288E">
        <w:rPr>
          <w:noProof/>
        </w:rPr>
        <w:t>1</w:t>
      </w:r>
      <w:r w:rsidR="0038288E" w:rsidRPr="000C4F35">
        <w:rPr>
          <w:noProof/>
        </w:rPr>
        <w:t xml:space="preserve"> </w:t>
      </w:r>
      <w:r w:rsidRPr="000C4F35">
        <w:rPr>
          <w:noProof/>
        </w:rPr>
        <w:t>month from the receipt of the information referred to in paragraph 3, the competent authority of the home Member State shall communicate that information to the competent authority of the host Member State unless, by taking into account the provision of services envisaged, it has reasons to doubt the adequacy of the administrative structure or the financial situation of the CSD wishing to provide its services in the host Member State. Where the CSD already provides services to other host Member States, the competent authority of the home Member State shall also inform the passporting college referred to in Article 24a.</w:t>
      </w:r>
    </w:p>
    <w:p w14:paraId="07417C54" w14:textId="77777777" w:rsidR="00C73920" w:rsidRDefault="004F677E" w:rsidP="00D473D5">
      <w:pPr>
        <w:pStyle w:val="Text1"/>
        <w:ind w:left="840"/>
        <w:rPr>
          <w:noProof/>
        </w:rPr>
      </w:pPr>
      <w:r w:rsidRPr="000C4F35">
        <w:rPr>
          <w:noProof/>
        </w:rPr>
        <w:t>The competent authority of the host Member State shall without delay inform the relevant authorities of that Member State of any communication received under the first subparagraph.</w:t>
      </w:r>
    </w:p>
    <w:p w14:paraId="764B6799" w14:textId="170AA790" w:rsidR="004F677E" w:rsidRPr="000C4F35" w:rsidRDefault="004F677E" w:rsidP="00D473D5">
      <w:pPr>
        <w:pStyle w:val="Text1"/>
        <w:ind w:left="840"/>
        <w:rPr>
          <w:noProof/>
          <w:szCs w:val="24"/>
        </w:rPr>
      </w:pPr>
      <w:r w:rsidRPr="000C4F35">
        <w:rPr>
          <w:noProof/>
        </w:rPr>
        <w:t>5. Where the competent authority of the home Member State decides in accordance with paragraph 4 not to communicate all the information referred to in paragraph 3 to the competent authority of the host Member State</w:t>
      </w:r>
      <w:r w:rsidR="00790AA1" w:rsidRPr="006B3BA6">
        <w:rPr>
          <w:noProof/>
        </w:rPr>
        <w:t>,</w:t>
      </w:r>
      <w:r w:rsidRPr="000C4F35">
        <w:rPr>
          <w:noProof/>
        </w:rPr>
        <w:t xml:space="preserve"> it shall give reasons for its refusal to the CSD concerned within </w:t>
      </w:r>
      <w:r w:rsidR="0038288E">
        <w:rPr>
          <w:noProof/>
        </w:rPr>
        <w:t>3</w:t>
      </w:r>
      <w:r w:rsidR="0038288E" w:rsidRPr="000C4F35">
        <w:rPr>
          <w:noProof/>
        </w:rPr>
        <w:t xml:space="preserve"> </w:t>
      </w:r>
      <w:r w:rsidRPr="000C4F35">
        <w:rPr>
          <w:noProof/>
        </w:rPr>
        <w:t>months of receiving all the information and inform the competent authority of the host Member State and the passporting college referred to in Article 24a of its decision.</w:t>
      </w:r>
    </w:p>
    <w:p w14:paraId="45D2448E" w14:textId="77777777" w:rsidR="004F677E" w:rsidRPr="000C4F35" w:rsidRDefault="004F677E" w:rsidP="00685329">
      <w:pPr>
        <w:pStyle w:val="Text1"/>
        <w:rPr>
          <w:noProof/>
        </w:rPr>
      </w:pPr>
      <w:r w:rsidRPr="000C4F35">
        <w:rPr>
          <w:noProof/>
        </w:rPr>
        <w:t>6. The CSD may start providing the services referred to in paragraph 2 in the host Member State at the earliest of the following dates:</w:t>
      </w:r>
    </w:p>
    <w:p w14:paraId="2E9CCBB0" w14:textId="77777777" w:rsidR="004F677E" w:rsidRPr="000C4F35" w:rsidRDefault="00BC43D5" w:rsidP="005454EB">
      <w:pPr>
        <w:pStyle w:val="Text1"/>
        <w:rPr>
          <w:noProof/>
        </w:rPr>
      </w:pPr>
      <w:r w:rsidRPr="000C4F35">
        <w:rPr>
          <w:noProof/>
        </w:rPr>
        <w:t xml:space="preserve">(a) </w:t>
      </w:r>
      <w:r w:rsidR="007505A4">
        <w:rPr>
          <w:noProof/>
        </w:rPr>
        <w:t>a</w:t>
      </w:r>
      <w:r w:rsidR="004F677E" w:rsidRPr="000C4F35">
        <w:rPr>
          <w:noProof/>
        </w:rPr>
        <w:t xml:space="preserve">fter </w:t>
      </w:r>
      <w:r w:rsidR="0038288E">
        <w:rPr>
          <w:noProof/>
        </w:rPr>
        <w:t>1</w:t>
      </w:r>
      <w:r w:rsidR="0038288E" w:rsidRPr="000C4F35">
        <w:rPr>
          <w:noProof/>
        </w:rPr>
        <w:t xml:space="preserve"> </w:t>
      </w:r>
      <w:r w:rsidR="004F677E" w:rsidRPr="000C4F35">
        <w:rPr>
          <w:noProof/>
        </w:rPr>
        <w:t>month from the date of transmission of the communication referred to in paragraph 4;</w:t>
      </w:r>
    </w:p>
    <w:p w14:paraId="2F752F3E" w14:textId="77777777" w:rsidR="00184ED0" w:rsidRDefault="00BC43D5" w:rsidP="005454EB">
      <w:pPr>
        <w:pStyle w:val="Text1"/>
        <w:rPr>
          <w:noProof/>
        </w:rPr>
      </w:pPr>
      <w:r w:rsidRPr="000C4F35">
        <w:rPr>
          <w:noProof/>
        </w:rPr>
        <w:t xml:space="preserve">(b) </w:t>
      </w:r>
      <w:r w:rsidR="007505A4">
        <w:rPr>
          <w:noProof/>
        </w:rPr>
        <w:t>o</w:t>
      </w:r>
      <w:r w:rsidR="004F677E" w:rsidRPr="000C4F35">
        <w:rPr>
          <w:noProof/>
        </w:rPr>
        <w:t>n receipt of a communication from the competent authorit</w:t>
      </w:r>
      <w:r w:rsidR="00572D7D">
        <w:rPr>
          <w:noProof/>
        </w:rPr>
        <w:t>y</w:t>
      </w:r>
      <w:r w:rsidR="004F677E" w:rsidRPr="000C4F35">
        <w:rPr>
          <w:noProof/>
        </w:rPr>
        <w:t xml:space="preserve"> </w:t>
      </w:r>
      <w:r w:rsidR="00572D7D">
        <w:rPr>
          <w:noProof/>
        </w:rPr>
        <w:t>of</w:t>
      </w:r>
      <w:r w:rsidR="004F677E" w:rsidRPr="000C4F35">
        <w:rPr>
          <w:noProof/>
        </w:rPr>
        <w:t xml:space="preserve"> the host Member State approving the provision of services in </w:t>
      </w:r>
      <w:r w:rsidR="001129DD">
        <w:rPr>
          <w:noProof/>
        </w:rPr>
        <w:t>the</w:t>
      </w:r>
      <w:r w:rsidR="001129DD" w:rsidRPr="000C4F35">
        <w:rPr>
          <w:noProof/>
        </w:rPr>
        <w:t xml:space="preserve"> </w:t>
      </w:r>
      <w:r w:rsidR="001129DD">
        <w:rPr>
          <w:noProof/>
        </w:rPr>
        <w:t>host</w:t>
      </w:r>
      <w:r w:rsidR="001129DD" w:rsidRPr="000C4F35">
        <w:rPr>
          <w:noProof/>
        </w:rPr>
        <w:t xml:space="preserve"> </w:t>
      </w:r>
      <w:r w:rsidR="004F677E" w:rsidRPr="000C4F35">
        <w:rPr>
          <w:noProof/>
        </w:rPr>
        <w:t>Member State.</w:t>
      </w:r>
      <w:r w:rsidR="005454EB">
        <w:rPr>
          <w:noProof/>
        </w:rPr>
        <w:t xml:space="preserve"> </w:t>
      </w:r>
    </w:p>
    <w:p w14:paraId="503ED915" w14:textId="51CFE446" w:rsidR="004F677E" w:rsidRPr="000C4F35" w:rsidRDefault="00AF2386" w:rsidP="005454EB">
      <w:pPr>
        <w:pStyle w:val="Text1"/>
        <w:rPr>
          <w:noProof/>
        </w:rPr>
      </w:pPr>
      <w:r>
        <w:rPr>
          <w:noProof/>
        </w:rPr>
        <w:t xml:space="preserve">The competent authority of the home Member State shall immediately inform the CSD </w:t>
      </w:r>
      <w:r w:rsidR="00B043EE" w:rsidRPr="006B3BA6">
        <w:rPr>
          <w:noProof/>
        </w:rPr>
        <w:t>of the date of transmission of the communication referred to in paragraph 4</w:t>
      </w:r>
      <w:r>
        <w:rPr>
          <w:noProof/>
        </w:rPr>
        <w:t>.</w:t>
      </w:r>
    </w:p>
    <w:p w14:paraId="161AD2AC" w14:textId="77777777" w:rsidR="004F677E" w:rsidRPr="000C4F35" w:rsidRDefault="004F677E" w:rsidP="00685329">
      <w:pPr>
        <w:pStyle w:val="Text1"/>
        <w:rPr>
          <w:noProof/>
        </w:rPr>
      </w:pPr>
      <w:r w:rsidRPr="000C4F35">
        <w:rPr>
          <w:noProof/>
        </w:rPr>
        <w:t xml:space="preserve">7. In the event of a change of the information </w:t>
      </w:r>
      <w:r w:rsidR="00572D7D" w:rsidRPr="006B3BA6">
        <w:rPr>
          <w:noProof/>
        </w:rPr>
        <w:t>set out</w:t>
      </w:r>
      <w:r w:rsidR="00572D7D">
        <w:rPr>
          <w:noProof/>
        </w:rPr>
        <w:t xml:space="preserve"> </w:t>
      </w:r>
      <w:r w:rsidRPr="000C4F35">
        <w:rPr>
          <w:noProof/>
        </w:rPr>
        <w:t>in the documents submitted in accordance with paragraph 3</w:t>
      </w:r>
      <w:r w:rsidR="007505A4">
        <w:rPr>
          <w:noProof/>
        </w:rPr>
        <w:t xml:space="preserve"> of this Article</w:t>
      </w:r>
      <w:r w:rsidRPr="000C4F35">
        <w:rPr>
          <w:noProof/>
        </w:rPr>
        <w:t xml:space="preserve">, a CSD shall give written notice of that change to the competent authority of the home Member State at least </w:t>
      </w:r>
      <w:r w:rsidR="0038288E">
        <w:rPr>
          <w:noProof/>
        </w:rPr>
        <w:t>1</w:t>
      </w:r>
      <w:r w:rsidR="0038288E" w:rsidRPr="000C4F35">
        <w:rPr>
          <w:noProof/>
        </w:rPr>
        <w:t xml:space="preserve"> </w:t>
      </w:r>
      <w:r w:rsidRPr="000C4F35">
        <w:rPr>
          <w:noProof/>
        </w:rPr>
        <w:t>month before implementing the change. The competent authority of the host Member State and the passporting college referred to in Article 24a shall also be informed of that change without delay by the competent authority of the home Member State</w:t>
      </w:r>
      <w:r w:rsidR="00C73920">
        <w:rPr>
          <w:noProof/>
        </w:rPr>
        <w:t>.</w:t>
      </w:r>
      <w:r w:rsidR="0038288E">
        <w:rPr>
          <w:noProof/>
        </w:rPr>
        <w:t>’</w:t>
      </w:r>
      <w:r w:rsidR="007505A4">
        <w:rPr>
          <w:noProof/>
        </w:rPr>
        <w:t>;</w:t>
      </w:r>
    </w:p>
    <w:p w14:paraId="1E10D45F" w14:textId="77777777" w:rsidR="004F677E" w:rsidRPr="000C4F35" w:rsidRDefault="007505A4" w:rsidP="00685329">
      <w:pPr>
        <w:pStyle w:val="ManualNumPar1"/>
        <w:rPr>
          <w:noProof/>
        </w:rPr>
      </w:pPr>
      <w:r>
        <w:rPr>
          <w:noProof/>
        </w:rPr>
        <w:t>(</w:t>
      </w:r>
      <w:r w:rsidR="004F677E" w:rsidRPr="000C4F35">
        <w:rPr>
          <w:noProof/>
        </w:rPr>
        <w:t>8</w:t>
      </w:r>
      <w:r>
        <w:rPr>
          <w:noProof/>
        </w:rPr>
        <w:t>)</w:t>
      </w:r>
      <w:r w:rsidR="004F677E" w:rsidRPr="000C4F35">
        <w:rPr>
          <w:noProof/>
        </w:rPr>
        <w:t xml:space="preserve"> Article 24 is amended as follows:</w:t>
      </w:r>
    </w:p>
    <w:p w14:paraId="06B009B8" w14:textId="0D95B00E" w:rsidR="004F677E" w:rsidRPr="000C4F35" w:rsidRDefault="001678E4" w:rsidP="001678E4">
      <w:pPr>
        <w:pStyle w:val="Point1"/>
        <w:rPr>
          <w:noProof/>
        </w:rPr>
      </w:pPr>
      <w:r w:rsidRPr="001678E4">
        <w:t>(a)</w:t>
      </w:r>
      <w:r w:rsidRPr="001678E4">
        <w:tab/>
      </w:r>
      <w:r w:rsidR="007505A4">
        <w:rPr>
          <w:noProof/>
        </w:rPr>
        <w:t>i</w:t>
      </w:r>
      <w:r w:rsidR="004F677E" w:rsidRPr="000C4F35">
        <w:rPr>
          <w:noProof/>
        </w:rPr>
        <w:t>n paragraph 1, the following subparagraphs are added:</w:t>
      </w:r>
    </w:p>
    <w:p w14:paraId="2A719D14" w14:textId="77777777" w:rsidR="004F677E" w:rsidRPr="000C4F35" w:rsidRDefault="0038288E" w:rsidP="00685329">
      <w:pPr>
        <w:pStyle w:val="Text1"/>
        <w:rPr>
          <w:noProof/>
        </w:rPr>
      </w:pPr>
      <w:r>
        <w:rPr>
          <w:noProof/>
        </w:rPr>
        <w:t>‘</w:t>
      </w:r>
      <w:r w:rsidR="004F677E" w:rsidRPr="000C4F35">
        <w:rPr>
          <w:noProof/>
        </w:rPr>
        <w:t>Upon the request of any member of the passporting college</w:t>
      </w:r>
      <w:r w:rsidR="007505A4">
        <w:rPr>
          <w:noProof/>
        </w:rPr>
        <w:t xml:space="preserve"> referred to in Article 24a</w:t>
      </w:r>
      <w:r w:rsidR="004F677E" w:rsidRPr="000C4F35">
        <w:rPr>
          <w:noProof/>
        </w:rPr>
        <w:t xml:space="preserve">, </w:t>
      </w:r>
      <w:r w:rsidR="00820612" w:rsidRPr="000C4F35">
        <w:rPr>
          <w:noProof/>
        </w:rPr>
        <w:t xml:space="preserve">the </w:t>
      </w:r>
      <w:r w:rsidR="004F677E" w:rsidRPr="006B3BA6">
        <w:rPr>
          <w:noProof/>
        </w:rPr>
        <w:t>competent authorit</w:t>
      </w:r>
      <w:r w:rsidR="00820612" w:rsidRPr="006B3BA6">
        <w:rPr>
          <w:noProof/>
        </w:rPr>
        <w:t>y</w:t>
      </w:r>
      <w:r w:rsidR="00572D7D" w:rsidRPr="006B3BA6">
        <w:rPr>
          <w:noProof/>
        </w:rPr>
        <w:t xml:space="preserve"> of the home Member State</w:t>
      </w:r>
      <w:r w:rsidR="004F677E" w:rsidRPr="000C4F35">
        <w:rPr>
          <w:noProof/>
        </w:rPr>
        <w:t xml:space="preserve"> may invite staff from </w:t>
      </w:r>
      <w:r w:rsidR="004F677E" w:rsidRPr="006B3BA6">
        <w:rPr>
          <w:noProof/>
        </w:rPr>
        <w:t>competent authorities</w:t>
      </w:r>
      <w:r w:rsidR="00572D7D" w:rsidRPr="006B3BA6">
        <w:rPr>
          <w:noProof/>
        </w:rPr>
        <w:t xml:space="preserve"> of the host Member States</w:t>
      </w:r>
      <w:r w:rsidR="004F677E" w:rsidRPr="000C4F35">
        <w:rPr>
          <w:noProof/>
        </w:rPr>
        <w:t xml:space="preserve"> and ESMA to participate in on-site inspections.</w:t>
      </w:r>
    </w:p>
    <w:p w14:paraId="63A3DBCF" w14:textId="77777777" w:rsidR="004F677E" w:rsidRPr="000C4F35" w:rsidRDefault="004F677E" w:rsidP="00685329">
      <w:pPr>
        <w:ind w:left="850"/>
        <w:rPr>
          <w:noProof/>
          <w:szCs w:val="24"/>
        </w:rPr>
      </w:pPr>
      <w:r w:rsidRPr="000C4F35">
        <w:rPr>
          <w:noProof/>
          <w:szCs w:val="24"/>
        </w:rPr>
        <w:t xml:space="preserve">The competent authority </w:t>
      </w:r>
      <w:r w:rsidR="00AB7CAA">
        <w:rPr>
          <w:noProof/>
          <w:szCs w:val="24"/>
        </w:rPr>
        <w:t xml:space="preserve">of the home Member State </w:t>
      </w:r>
      <w:r w:rsidRPr="000C4F35">
        <w:rPr>
          <w:noProof/>
          <w:szCs w:val="24"/>
        </w:rPr>
        <w:t xml:space="preserve">may </w:t>
      </w:r>
      <w:r w:rsidR="00820612" w:rsidRPr="000C4F35">
        <w:rPr>
          <w:noProof/>
          <w:szCs w:val="24"/>
        </w:rPr>
        <w:t xml:space="preserve">transmit </w:t>
      </w:r>
      <w:r w:rsidRPr="000C4F35">
        <w:rPr>
          <w:noProof/>
          <w:szCs w:val="24"/>
        </w:rPr>
        <w:t>to ESMA any information received from the CSDs during or in relation to on-site inspections.</w:t>
      </w:r>
      <w:r w:rsidR="0038288E">
        <w:rPr>
          <w:noProof/>
          <w:szCs w:val="24"/>
        </w:rPr>
        <w:t>’</w:t>
      </w:r>
      <w:r w:rsidR="007505A4">
        <w:rPr>
          <w:noProof/>
          <w:szCs w:val="24"/>
        </w:rPr>
        <w:t>;</w:t>
      </w:r>
    </w:p>
    <w:p w14:paraId="20348259" w14:textId="22A0CAED" w:rsidR="004F677E" w:rsidRPr="00C56232" w:rsidRDefault="001678E4" w:rsidP="001678E4">
      <w:pPr>
        <w:pStyle w:val="Point1"/>
        <w:rPr>
          <w:noProof/>
        </w:rPr>
      </w:pPr>
      <w:r w:rsidRPr="001678E4">
        <w:t>(b)</w:t>
      </w:r>
      <w:r w:rsidRPr="001678E4">
        <w:tab/>
      </w:r>
      <w:r w:rsidR="007505A4" w:rsidRPr="00C56232">
        <w:rPr>
          <w:noProof/>
        </w:rPr>
        <w:t>p</w:t>
      </w:r>
      <w:r w:rsidR="004F677E" w:rsidRPr="00C56232">
        <w:rPr>
          <w:noProof/>
        </w:rPr>
        <w:t>aragraph 4 is deleted;</w:t>
      </w:r>
    </w:p>
    <w:p w14:paraId="19794443" w14:textId="582BC7E7" w:rsidR="004F677E" w:rsidRPr="00C56232" w:rsidRDefault="001678E4" w:rsidP="001678E4">
      <w:pPr>
        <w:pStyle w:val="Point1"/>
        <w:rPr>
          <w:noProof/>
        </w:rPr>
      </w:pPr>
      <w:r w:rsidRPr="001678E4">
        <w:t>(c)</w:t>
      </w:r>
      <w:r w:rsidRPr="001678E4">
        <w:tab/>
      </w:r>
      <w:r w:rsidR="007505A4" w:rsidRPr="00C56232">
        <w:rPr>
          <w:noProof/>
        </w:rPr>
        <w:t>p</w:t>
      </w:r>
      <w:r w:rsidR="004F677E" w:rsidRPr="00C56232">
        <w:rPr>
          <w:noProof/>
        </w:rPr>
        <w:t>aragraph 5 is replaced by the following:</w:t>
      </w:r>
    </w:p>
    <w:p w14:paraId="5C3C6D18" w14:textId="77777777" w:rsidR="004F677E" w:rsidRPr="000C4F35" w:rsidRDefault="0038288E" w:rsidP="00685329">
      <w:pPr>
        <w:pStyle w:val="Text1"/>
        <w:rPr>
          <w:noProof/>
        </w:rPr>
      </w:pPr>
      <w:r>
        <w:rPr>
          <w:noProof/>
        </w:rPr>
        <w:t>‘</w:t>
      </w:r>
      <w:r w:rsidR="004F677E" w:rsidRPr="000C4F35">
        <w:rPr>
          <w:noProof/>
        </w:rPr>
        <w:t xml:space="preserve">5. Where the competent authority of the host Member State has clear and demonstrable grounds for believing that a CSD providing services within its territory in accordance with Article 23 is in breach of the obligations arising from the provisions of this Regulation, it shall inform the competent authority of the home Member State, ESMA and the passporting college </w:t>
      </w:r>
      <w:r w:rsidR="007505A4">
        <w:rPr>
          <w:noProof/>
        </w:rPr>
        <w:t>referred to in Article 24a</w:t>
      </w:r>
      <w:r w:rsidR="007505A4" w:rsidRPr="000C4F35">
        <w:rPr>
          <w:noProof/>
        </w:rPr>
        <w:t xml:space="preserve"> </w:t>
      </w:r>
      <w:r w:rsidR="004F677E" w:rsidRPr="000C4F35">
        <w:rPr>
          <w:noProof/>
        </w:rPr>
        <w:t>of those findings.</w:t>
      </w:r>
    </w:p>
    <w:p w14:paraId="153218C0" w14:textId="77777777" w:rsidR="004F677E" w:rsidRPr="000C4F35" w:rsidRDefault="004F677E" w:rsidP="00685329">
      <w:pPr>
        <w:pStyle w:val="Text1"/>
        <w:rPr>
          <w:noProof/>
        </w:rPr>
      </w:pPr>
      <w:r w:rsidRPr="000C4F35">
        <w:rPr>
          <w:noProof/>
        </w:rPr>
        <w:t xml:space="preserve">Where, despite measures taken by the competent authority of the home Member State, the CSD persists in acting in infringement of the obligations arising from the provisions of this Regulation, the competent authority of the host Member State shall, after informing the competent authority of the home Member State, take all the appropriate measures needed in order to ensure compliance with the provisions of this Regulation within the territory of the host Member State. ESMA and the passporting college </w:t>
      </w:r>
      <w:r w:rsidR="00EF19B5" w:rsidRPr="00EF19B5">
        <w:rPr>
          <w:noProof/>
        </w:rPr>
        <w:t xml:space="preserve">referred to in Article 24a </w:t>
      </w:r>
      <w:r w:rsidRPr="000C4F35">
        <w:rPr>
          <w:noProof/>
        </w:rPr>
        <w:t>shall be informed of such measures without delay.</w:t>
      </w:r>
    </w:p>
    <w:p w14:paraId="3DEC27DC" w14:textId="77777777" w:rsidR="004F677E" w:rsidRPr="000C4F35" w:rsidRDefault="004F677E" w:rsidP="00685329">
      <w:pPr>
        <w:pStyle w:val="Text1"/>
        <w:rPr>
          <w:noProof/>
        </w:rPr>
      </w:pPr>
      <w:r w:rsidRPr="000C4F35">
        <w:rPr>
          <w:noProof/>
        </w:rPr>
        <w:t>The competent authority of the host Member State and of the home Member State may refer the matter to ESMA, which may act in accordance with the powers conferred on it under Article 19 of Regulation (EU) No 1095/2010.</w:t>
      </w:r>
      <w:r w:rsidR="0038288E">
        <w:rPr>
          <w:noProof/>
        </w:rPr>
        <w:t>’</w:t>
      </w:r>
      <w:r w:rsidR="00EF19B5">
        <w:rPr>
          <w:noProof/>
        </w:rPr>
        <w:t>;</w:t>
      </w:r>
    </w:p>
    <w:p w14:paraId="27C1FFE9" w14:textId="0FE4D0D2" w:rsidR="004F677E" w:rsidRPr="000C4F35" w:rsidRDefault="001678E4" w:rsidP="001678E4">
      <w:pPr>
        <w:pStyle w:val="Point1"/>
        <w:rPr>
          <w:noProof/>
        </w:rPr>
      </w:pPr>
      <w:r w:rsidRPr="001678E4">
        <w:t>(d)</w:t>
      </w:r>
      <w:r w:rsidRPr="001678E4">
        <w:tab/>
      </w:r>
      <w:r w:rsidR="00EF19B5">
        <w:rPr>
          <w:noProof/>
        </w:rPr>
        <w:t>p</w:t>
      </w:r>
      <w:r w:rsidR="004F677E" w:rsidRPr="000C4F35">
        <w:rPr>
          <w:noProof/>
        </w:rPr>
        <w:t>aragraphs 7 and 8 are deleted</w:t>
      </w:r>
      <w:r w:rsidR="00EF19B5">
        <w:rPr>
          <w:noProof/>
        </w:rPr>
        <w:t>;</w:t>
      </w:r>
    </w:p>
    <w:p w14:paraId="58835114" w14:textId="77777777" w:rsidR="004F677E" w:rsidRPr="000C4F35" w:rsidRDefault="00EF19B5" w:rsidP="00685329">
      <w:pPr>
        <w:pStyle w:val="ManualNumPar1"/>
        <w:rPr>
          <w:noProof/>
        </w:rPr>
      </w:pPr>
      <w:r>
        <w:rPr>
          <w:noProof/>
        </w:rPr>
        <w:t>(</w:t>
      </w:r>
      <w:r w:rsidR="004F677E" w:rsidRPr="000C4F35">
        <w:rPr>
          <w:noProof/>
        </w:rPr>
        <w:t>9</w:t>
      </w:r>
      <w:r>
        <w:rPr>
          <w:noProof/>
        </w:rPr>
        <w:t>)</w:t>
      </w:r>
      <w:r w:rsidR="004F677E" w:rsidRPr="000C4F35">
        <w:rPr>
          <w:noProof/>
        </w:rPr>
        <w:t xml:space="preserve"> </w:t>
      </w:r>
      <w:r>
        <w:rPr>
          <w:noProof/>
        </w:rPr>
        <w:t>i</w:t>
      </w:r>
      <w:r w:rsidR="004F677E" w:rsidRPr="000C4F35">
        <w:rPr>
          <w:noProof/>
        </w:rPr>
        <w:t>n Title III, the following Section 4a is inserted</w:t>
      </w:r>
      <w:r w:rsidR="004F18A6" w:rsidRPr="000C4F35">
        <w:rPr>
          <w:noProof/>
        </w:rPr>
        <w:t>:</w:t>
      </w:r>
    </w:p>
    <w:p w14:paraId="40CA5863" w14:textId="77777777" w:rsidR="00EF19B5" w:rsidRDefault="0038288E" w:rsidP="00E4531D">
      <w:pPr>
        <w:pStyle w:val="Text1"/>
        <w:jc w:val="center"/>
        <w:rPr>
          <w:noProof/>
        </w:rPr>
      </w:pPr>
      <w:r>
        <w:rPr>
          <w:noProof/>
        </w:rPr>
        <w:t>‘</w:t>
      </w:r>
      <w:r w:rsidR="004F677E" w:rsidRPr="000C4F35">
        <w:rPr>
          <w:noProof/>
        </w:rPr>
        <w:t>Section 4a</w:t>
      </w:r>
    </w:p>
    <w:p w14:paraId="2DADABED" w14:textId="77777777" w:rsidR="004F677E" w:rsidRPr="00D473D5" w:rsidRDefault="004F677E" w:rsidP="00D473D5">
      <w:pPr>
        <w:pStyle w:val="Text1"/>
        <w:jc w:val="center"/>
        <w:rPr>
          <w:b/>
          <w:noProof/>
        </w:rPr>
      </w:pPr>
      <w:r w:rsidRPr="00D473D5">
        <w:rPr>
          <w:b/>
          <w:noProof/>
        </w:rPr>
        <w:t>Cooperation of authorities through colleges</w:t>
      </w:r>
    </w:p>
    <w:p w14:paraId="7AA97464" w14:textId="77777777" w:rsidR="00EF19B5" w:rsidRPr="00E4531D" w:rsidRDefault="004F677E" w:rsidP="00E4531D">
      <w:pPr>
        <w:pStyle w:val="Text1"/>
        <w:jc w:val="center"/>
        <w:rPr>
          <w:i/>
          <w:noProof/>
        </w:rPr>
      </w:pPr>
      <w:r w:rsidRPr="00D473D5">
        <w:rPr>
          <w:i/>
          <w:noProof/>
        </w:rPr>
        <w:t xml:space="preserve">Article </w:t>
      </w:r>
      <w:r w:rsidRPr="00E4531D">
        <w:rPr>
          <w:i/>
          <w:noProof/>
        </w:rPr>
        <w:t>24a</w:t>
      </w:r>
    </w:p>
    <w:p w14:paraId="51E3239A" w14:textId="77777777" w:rsidR="004F677E" w:rsidRPr="00D473D5" w:rsidRDefault="004F677E" w:rsidP="00D473D5">
      <w:pPr>
        <w:pStyle w:val="Text1"/>
        <w:jc w:val="center"/>
        <w:rPr>
          <w:b/>
          <w:noProof/>
        </w:rPr>
      </w:pPr>
      <w:r w:rsidRPr="00D473D5">
        <w:rPr>
          <w:b/>
          <w:noProof/>
        </w:rPr>
        <w:t>Colleges of Supervisors for CSDs providing services in another Member State and for CSDs that are part of a group with two or more CSDs</w:t>
      </w:r>
    </w:p>
    <w:p w14:paraId="11D9ADC7" w14:textId="77777777" w:rsidR="004F677E" w:rsidRPr="000C4F35" w:rsidRDefault="00EF19B5" w:rsidP="00F75CFB">
      <w:pPr>
        <w:pStyle w:val="Point1"/>
        <w:rPr>
          <w:noProof/>
        </w:rPr>
      </w:pPr>
      <w:r>
        <w:rPr>
          <w:noProof/>
        </w:rPr>
        <w:t xml:space="preserve">1. </w:t>
      </w:r>
      <w:r w:rsidR="004F677E" w:rsidRPr="000C4F35">
        <w:rPr>
          <w:noProof/>
        </w:rPr>
        <w:t>Colleges of supervisors shall be established to carry out the tasks referred to in paragraph 6 in the following cases:</w:t>
      </w:r>
    </w:p>
    <w:p w14:paraId="66EC752C" w14:textId="77777777" w:rsidR="004F677E" w:rsidRPr="000C4F35" w:rsidRDefault="00F164CC" w:rsidP="00685329">
      <w:pPr>
        <w:pStyle w:val="Text1"/>
        <w:rPr>
          <w:noProof/>
        </w:rPr>
      </w:pPr>
      <w:r w:rsidRPr="000C4F35">
        <w:rPr>
          <w:noProof/>
        </w:rPr>
        <w:t xml:space="preserve">(a) </w:t>
      </w:r>
      <w:r w:rsidR="004F677E" w:rsidRPr="000C4F35">
        <w:rPr>
          <w:noProof/>
        </w:rPr>
        <w:t>where a CSD is subject to the procedure referred to in Article 23(3) to (7) (‘passporting college’);</w:t>
      </w:r>
    </w:p>
    <w:p w14:paraId="1857F693" w14:textId="77777777" w:rsidR="004F677E" w:rsidRPr="000C4F35" w:rsidRDefault="00F164CC" w:rsidP="00685329">
      <w:pPr>
        <w:pStyle w:val="Text1"/>
        <w:rPr>
          <w:noProof/>
        </w:rPr>
      </w:pPr>
      <w:r w:rsidRPr="000C4F35">
        <w:rPr>
          <w:noProof/>
        </w:rPr>
        <w:t xml:space="preserve">(b) </w:t>
      </w:r>
      <w:r w:rsidR="004F677E" w:rsidRPr="000C4F35">
        <w:rPr>
          <w:noProof/>
        </w:rPr>
        <w:t>where a CSD is part of a group</w:t>
      </w:r>
      <w:r w:rsidR="00564732" w:rsidRPr="000C4F35">
        <w:rPr>
          <w:noProof/>
        </w:rPr>
        <w:t xml:space="preserve"> </w:t>
      </w:r>
      <w:r w:rsidR="004F677E" w:rsidRPr="000C4F35">
        <w:rPr>
          <w:noProof/>
        </w:rPr>
        <w:t xml:space="preserve">that comprises two or more CSDs authorised in </w:t>
      </w:r>
      <w:r w:rsidR="00C43B4F" w:rsidRPr="006B3BA6">
        <w:rPr>
          <w:noProof/>
        </w:rPr>
        <w:t>at</w:t>
      </w:r>
      <w:r w:rsidR="00C43B4F">
        <w:rPr>
          <w:noProof/>
        </w:rPr>
        <w:t xml:space="preserve"> least two Member States</w:t>
      </w:r>
      <w:r w:rsidR="004F677E" w:rsidRPr="000C4F35">
        <w:rPr>
          <w:noProof/>
        </w:rPr>
        <w:t xml:space="preserve"> (‘group-level college’). </w:t>
      </w:r>
    </w:p>
    <w:p w14:paraId="019B13DD" w14:textId="77777777" w:rsidR="004F677E" w:rsidRPr="000C4F35" w:rsidRDefault="004F677E" w:rsidP="00685329">
      <w:pPr>
        <w:pStyle w:val="Text1"/>
        <w:rPr>
          <w:noProof/>
        </w:rPr>
      </w:pPr>
      <w:r w:rsidRPr="000C4F35">
        <w:rPr>
          <w:noProof/>
        </w:rPr>
        <w:t xml:space="preserve">In the case referred to in </w:t>
      </w:r>
      <w:r w:rsidR="00EF19B5" w:rsidRPr="000C4F35">
        <w:rPr>
          <w:noProof/>
        </w:rPr>
        <w:t>the first subparagraph</w:t>
      </w:r>
      <w:r w:rsidR="00EF19B5">
        <w:rPr>
          <w:noProof/>
        </w:rPr>
        <w:t>,</w:t>
      </w:r>
      <w:r w:rsidR="00EF19B5" w:rsidRPr="000C4F35">
        <w:rPr>
          <w:noProof/>
        </w:rPr>
        <w:t xml:space="preserve"> </w:t>
      </w:r>
      <w:r w:rsidRPr="000C4F35">
        <w:rPr>
          <w:noProof/>
        </w:rPr>
        <w:t xml:space="preserve">point (a), the CSD’s home competent authority shall establish, manage and chair the passporting college. That college shall be established within </w:t>
      </w:r>
      <w:r w:rsidR="0038288E">
        <w:rPr>
          <w:noProof/>
        </w:rPr>
        <w:t>1</w:t>
      </w:r>
      <w:r w:rsidR="0038288E" w:rsidRPr="000C4F35">
        <w:rPr>
          <w:noProof/>
        </w:rPr>
        <w:t xml:space="preserve"> </w:t>
      </w:r>
      <w:r w:rsidRPr="000C4F35">
        <w:rPr>
          <w:noProof/>
        </w:rPr>
        <w:t xml:space="preserve">month from the date referred to in Article 23(6). Where the CSD submits subsequent notifications pursuant to Article 23(3), the </w:t>
      </w:r>
      <w:r w:rsidRPr="006B3BA6">
        <w:rPr>
          <w:noProof/>
        </w:rPr>
        <w:t xml:space="preserve">competent authority </w:t>
      </w:r>
      <w:r w:rsidR="006D2308" w:rsidRPr="006B3BA6">
        <w:rPr>
          <w:noProof/>
        </w:rPr>
        <w:t>of the home Member State</w:t>
      </w:r>
      <w:r w:rsidR="006D2308">
        <w:rPr>
          <w:noProof/>
        </w:rPr>
        <w:t xml:space="preserve"> </w:t>
      </w:r>
      <w:r w:rsidRPr="000C4F35">
        <w:rPr>
          <w:noProof/>
        </w:rPr>
        <w:t xml:space="preserve">shall invite the </w:t>
      </w:r>
      <w:r w:rsidRPr="006B3BA6">
        <w:rPr>
          <w:noProof/>
        </w:rPr>
        <w:t xml:space="preserve">competent authorities </w:t>
      </w:r>
      <w:r w:rsidR="006D2308" w:rsidRPr="006B3BA6">
        <w:rPr>
          <w:noProof/>
        </w:rPr>
        <w:t>of the relevant host Member States</w:t>
      </w:r>
      <w:r w:rsidR="006D2308">
        <w:rPr>
          <w:noProof/>
        </w:rPr>
        <w:t xml:space="preserve"> </w:t>
      </w:r>
      <w:r w:rsidRPr="000C4F35">
        <w:rPr>
          <w:noProof/>
        </w:rPr>
        <w:t xml:space="preserve">to the passporting college within </w:t>
      </w:r>
      <w:r w:rsidR="0038288E">
        <w:rPr>
          <w:noProof/>
        </w:rPr>
        <w:t>1</w:t>
      </w:r>
      <w:r w:rsidR="0038288E" w:rsidRPr="000C4F35">
        <w:rPr>
          <w:noProof/>
        </w:rPr>
        <w:t xml:space="preserve"> </w:t>
      </w:r>
      <w:r w:rsidRPr="000C4F35">
        <w:rPr>
          <w:noProof/>
        </w:rPr>
        <w:t>month from the date referred to in Article 23(6).</w:t>
      </w:r>
    </w:p>
    <w:p w14:paraId="3555AA13" w14:textId="77777777" w:rsidR="004F677E" w:rsidRPr="000C4F35" w:rsidRDefault="004F677E" w:rsidP="00685329">
      <w:pPr>
        <w:pStyle w:val="Text1"/>
        <w:rPr>
          <w:noProof/>
        </w:rPr>
      </w:pPr>
      <w:r w:rsidRPr="000C4F35">
        <w:rPr>
          <w:noProof/>
        </w:rPr>
        <w:t xml:space="preserve">In the case referred to in </w:t>
      </w:r>
      <w:r w:rsidR="00EF19B5" w:rsidRPr="000C4F35">
        <w:rPr>
          <w:noProof/>
        </w:rPr>
        <w:t>the first subparagraph</w:t>
      </w:r>
      <w:r w:rsidR="00EF19B5">
        <w:rPr>
          <w:noProof/>
        </w:rPr>
        <w:t>,</w:t>
      </w:r>
      <w:r w:rsidR="00EF19B5" w:rsidRPr="000C4F35">
        <w:rPr>
          <w:noProof/>
        </w:rPr>
        <w:t xml:space="preserve"> </w:t>
      </w:r>
      <w:r w:rsidRPr="000C4F35">
        <w:rPr>
          <w:noProof/>
        </w:rPr>
        <w:t xml:space="preserve">point (b), where the parent undertaking is a CSD authorised in the Union, </w:t>
      </w:r>
      <w:r w:rsidR="006D2308" w:rsidRPr="006B3BA6">
        <w:rPr>
          <w:noProof/>
        </w:rPr>
        <w:t xml:space="preserve">the competent authority of the home Member State of that CSD shall establish, manage and chair </w:t>
      </w:r>
      <w:r w:rsidRPr="006B3BA6">
        <w:rPr>
          <w:noProof/>
        </w:rPr>
        <w:t>the group-level college</w:t>
      </w:r>
      <w:r w:rsidRPr="000C4F35">
        <w:rPr>
          <w:noProof/>
        </w:rPr>
        <w:t xml:space="preserve">. Where the parent undertaking is not a CSD authorised in the Union, </w:t>
      </w:r>
      <w:r w:rsidR="006D2308" w:rsidRPr="006B3BA6">
        <w:rPr>
          <w:noProof/>
        </w:rPr>
        <w:t>the competent authority of the home Member State of the CSD with the largest balance sheet total</w:t>
      </w:r>
      <w:r w:rsidR="006D2308" w:rsidRPr="00E4531D">
        <w:rPr>
          <w:noProof/>
        </w:rPr>
        <w:t xml:space="preserve"> shall establish, manage and chair</w:t>
      </w:r>
      <w:r w:rsidR="006D2308" w:rsidRPr="006B3BA6">
        <w:rPr>
          <w:noProof/>
        </w:rPr>
        <w:t xml:space="preserve"> </w:t>
      </w:r>
      <w:r w:rsidRPr="006B3BA6">
        <w:rPr>
          <w:noProof/>
        </w:rPr>
        <w:t>the group-level college</w:t>
      </w:r>
      <w:r w:rsidRPr="000C4F35">
        <w:rPr>
          <w:noProof/>
        </w:rPr>
        <w:t xml:space="preserve">. </w:t>
      </w:r>
    </w:p>
    <w:p w14:paraId="326A7BDD" w14:textId="77777777" w:rsidR="004F677E" w:rsidRPr="000C4F35" w:rsidRDefault="004F677E" w:rsidP="00685329">
      <w:pPr>
        <w:pStyle w:val="Text1"/>
        <w:rPr>
          <w:noProof/>
        </w:rPr>
      </w:pPr>
      <w:r w:rsidRPr="000C4F35">
        <w:rPr>
          <w:noProof/>
        </w:rPr>
        <w:t xml:space="preserve">By way of derogation from the third subparagraph, </w:t>
      </w:r>
      <w:r w:rsidR="00EF19B5" w:rsidRPr="000C4F35">
        <w:rPr>
          <w:noProof/>
        </w:rPr>
        <w:t xml:space="preserve">where the application of the criteria referred to </w:t>
      </w:r>
      <w:r w:rsidR="00EF19B5">
        <w:rPr>
          <w:noProof/>
        </w:rPr>
        <w:t>in that subparagraph</w:t>
      </w:r>
      <w:r w:rsidR="00EF19B5" w:rsidRPr="000C4F35">
        <w:rPr>
          <w:noProof/>
        </w:rPr>
        <w:t xml:space="preserve"> would be inappropriate,</w:t>
      </w:r>
      <w:r w:rsidRPr="000C4F35">
        <w:rPr>
          <w:noProof/>
        </w:rPr>
        <w:t xml:space="preserve"> the competent authorities may waive by common agreement th</w:t>
      </w:r>
      <w:r w:rsidR="00EF19B5">
        <w:rPr>
          <w:noProof/>
        </w:rPr>
        <w:t>ose</w:t>
      </w:r>
      <w:r w:rsidR="005454EB">
        <w:rPr>
          <w:noProof/>
        </w:rPr>
        <w:t xml:space="preserve"> criteria</w:t>
      </w:r>
      <w:r w:rsidRPr="000C4F35">
        <w:rPr>
          <w:noProof/>
        </w:rPr>
        <w:t xml:space="preserve"> and appoint a different CSD’s competent authority to manage and chair the college</w:t>
      </w:r>
      <w:r w:rsidR="00EF19B5">
        <w:rPr>
          <w:noProof/>
        </w:rPr>
        <w:t>,</w:t>
      </w:r>
      <w:r w:rsidRPr="000C4F35">
        <w:rPr>
          <w:noProof/>
        </w:rPr>
        <w:t xml:space="preserve"> taking into account the CSDs concerned and the relative importance of their activities in the relevant Member States. In such cases, the parent CSD or the CSD with the largest balance sheet total, as applicable, shall have the right to be heard before the competent authorities take the decision.</w:t>
      </w:r>
    </w:p>
    <w:p w14:paraId="3A1E8DE9" w14:textId="77777777" w:rsidR="004F677E" w:rsidRPr="000C4F35" w:rsidRDefault="004F677E" w:rsidP="00685329">
      <w:pPr>
        <w:pStyle w:val="Text1"/>
        <w:rPr>
          <w:noProof/>
        </w:rPr>
      </w:pPr>
      <w:r w:rsidRPr="000C4F35">
        <w:rPr>
          <w:noProof/>
        </w:rPr>
        <w:t xml:space="preserve">The competent authorities shall notify the Commission and ESMA without delay of any agreement made pursuant to the </w:t>
      </w:r>
      <w:r w:rsidR="00EF19B5">
        <w:rPr>
          <w:noProof/>
        </w:rPr>
        <w:t>fourth</w:t>
      </w:r>
      <w:r w:rsidRPr="000C4F35">
        <w:rPr>
          <w:noProof/>
        </w:rPr>
        <w:t xml:space="preserve"> subparagraph.</w:t>
      </w:r>
    </w:p>
    <w:p w14:paraId="413703D1" w14:textId="77777777" w:rsidR="004F677E" w:rsidRPr="000C4F35" w:rsidRDefault="00EF19B5" w:rsidP="00F75CFB">
      <w:pPr>
        <w:pStyle w:val="Point1"/>
        <w:rPr>
          <w:noProof/>
        </w:rPr>
      </w:pPr>
      <w:r>
        <w:rPr>
          <w:noProof/>
        </w:rPr>
        <w:t xml:space="preserve">2. </w:t>
      </w:r>
      <w:r w:rsidR="004F677E" w:rsidRPr="000C4F35">
        <w:rPr>
          <w:noProof/>
        </w:rPr>
        <w:t xml:space="preserve">The college </w:t>
      </w:r>
      <w:r w:rsidR="00B50AD0">
        <w:rPr>
          <w:noProof/>
        </w:rPr>
        <w:t xml:space="preserve">referred to in paragraph 1 </w:t>
      </w:r>
      <w:r w:rsidR="004F677E" w:rsidRPr="000C4F35">
        <w:rPr>
          <w:noProof/>
        </w:rPr>
        <w:t>shall consist of:</w:t>
      </w:r>
    </w:p>
    <w:p w14:paraId="769A34C0" w14:textId="77777777" w:rsidR="004F677E" w:rsidRPr="000C4F35" w:rsidRDefault="004F677E" w:rsidP="00685329">
      <w:pPr>
        <w:pStyle w:val="Text1"/>
        <w:rPr>
          <w:noProof/>
        </w:rPr>
      </w:pPr>
      <w:r w:rsidRPr="000C4F35">
        <w:rPr>
          <w:noProof/>
        </w:rPr>
        <w:t>(a) ESMA;</w:t>
      </w:r>
    </w:p>
    <w:p w14:paraId="14E6A310" w14:textId="77777777" w:rsidR="004F677E" w:rsidRPr="000C4F35" w:rsidRDefault="004F677E" w:rsidP="00685329">
      <w:pPr>
        <w:pStyle w:val="Text1"/>
        <w:rPr>
          <w:noProof/>
        </w:rPr>
      </w:pPr>
      <w:r w:rsidRPr="000C4F35">
        <w:rPr>
          <w:noProof/>
        </w:rPr>
        <w:t>(b) the competent authority of the CSD’s home Member State;</w:t>
      </w:r>
    </w:p>
    <w:p w14:paraId="6F0A5348" w14:textId="77777777" w:rsidR="004F677E" w:rsidRPr="000C4F35" w:rsidRDefault="004F677E" w:rsidP="00685329">
      <w:pPr>
        <w:pStyle w:val="Text1"/>
        <w:rPr>
          <w:noProof/>
        </w:rPr>
      </w:pPr>
      <w:r w:rsidRPr="000C4F35">
        <w:rPr>
          <w:noProof/>
        </w:rPr>
        <w:t xml:space="preserve">(c) the relevant authorities referred to in Article 12; </w:t>
      </w:r>
    </w:p>
    <w:p w14:paraId="7A29F361" w14:textId="77777777" w:rsidR="004F677E" w:rsidRPr="000C4F35" w:rsidRDefault="004F677E" w:rsidP="00685329">
      <w:pPr>
        <w:pStyle w:val="Text1"/>
        <w:rPr>
          <w:noProof/>
        </w:rPr>
      </w:pPr>
      <w:r w:rsidRPr="000C4F35">
        <w:rPr>
          <w:noProof/>
        </w:rPr>
        <w:t xml:space="preserve">(d) </w:t>
      </w:r>
      <w:r w:rsidR="00EF19B5" w:rsidRPr="000C4F35">
        <w:rPr>
          <w:noProof/>
        </w:rPr>
        <w:t>in the case of a passporting college</w:t>
      </w:r>
      <w:r w:rsidR="00EF19B5">
        <w:rPr>
          <w:noProof/>
        </w:rPr>
        <w:t>,</w:t>
      </w:r>
      <w:r w:rsidR="00EF19B5" w:rsidRPr="000C4F35">
        <w:rPr>
          <w:noProof/>
        </w:rPr>
        <w:t xml:space="preserve"> </w:t>
      </w:r>
      <w:r w:rsidRPr="000C4F35">
        <w:rPr>
          <w:noProof/>
        </w:rPr>
        <w:t>the competent authority of the host Member States;</w:t>
      </w:r>
    </w:p>
    <w:p w14:paraId="366AC4C1" w14:textId="77777777" w:rsidR="004F677E" w:rsidRPr="000C4F35" w:rsidRDefault="004F677E" w:rsidP="00685329">
      <w:pPr>
        <w:pStyle w:val="Text1"/>
        <w:rPr>
          <w:noProof/>
        </w:rPr>
      </w:pPr>
      <w:r w:rsidRPr="000C4F35">
        <w:rPr>
          <w:noProof/>
        </w:rPr>
        <w:t xml:space="preserve">(e) </w:t>
      </w:r>
      <w:r w:rsidR="00EF19B5" w:rsidRPr="000C4F35">
        <w:rPr>
          <w:noProof/>
        </w:rPr>
        <w:t>in the case of a group-level college</w:t>
      </w:r>
      <w:r w:rsidR="00EF19B5">
        <w:rPr>
          <w:noProof/>
        </w:rPr>
        <w:t>,</w:t>
      </w:r>
      <w:r w:rsidR="00EF19B5" w:rsidRPr="000C4F35">
        <w:rPr>
          <w:noProof/>
        </w:rPr>
        <w:t xml:space="preserve"> </w:t>
      </w:r>
      <w:r w:rsidRPr="000C4F35">
        <w:rPr>
          <w:noProof/>
        </w:rPr>
        <w:t>the competent authority and the relevant authorities of each CSD in the group;</w:t>
      </w:r>
    </w:p>
    <w:p w14:paraId="390AE4F9" w14:textId="77777777" w:rsidR="004F677E" w:rsidRPr="000C4F35" w:rsidRDefault="004F677E" w:rsidP="00685329">
      <w:pPr>
        <w:pStyle w:val="Text1"/>
        <w:rPr>
          <w:noProof/>
        </w:rPr>
      </w:pPr>
      <w:r w:rsidRPr="000C4F35">
        <w:rPr>
          <w:noProof/>
        </w:rPr>
        <w:t>(f) EBA, where a CSD has been authorised pursuant to Article 54(3).</w:t>
      </w:r>
    </w:p>
    <w:p w14:paraId="71FEFB85" w14:textId="77777777" w:rsidR="004F677E" w:rsidRPr="000C4F35" w:rsidRDefault="00EF19B5" w:rsidP="00F75CFB">
      <w:pPr>
        <w:pStyle w:val="Point1"/>
        <w:rPr>
          <w:noProof/>
        </w:rPr>
      </w:pPr>
      <w:r>
        <w:rPr>
          <w:noProof/>
        </w:rPr>
        <w:t xml:space="preserve">3. </w:t>
      </w:r>
      <w:r w:rsidR="004F677E" w:rsidRPr="000C4F35">
        <w:rPr>
          <w:noProof/>
        </w:rPr>
        <w:t xml:space="preserve">Where a CSD subject to the procedure referred to in </w:t>
      </w:r>
      <w:r w:rsidR="001B66A7" w:rsidRPr="000C4F35">
        <w:rPr>
          <w:noProof/>
        </w:rPr>
        <w:t>Article 23</w:t>
      </w:r>
      <w:r w:rsidR="00AE7ED6" w:rsidRPr="000C4F35">
        <w:rPr>
          <w:noProof/>
        </w:rPr>
        <w:t xml:space="preserve">(3) to (7) is </w:t>
      </w:r>
      <w:r w:rsidR="004F677E" w:rsidRPr="000C4F35">
        <w:rPr>
          <w:noProof/>
        </w:rPr>
        <w:t xml:space="preserve">also part of a group that comprises two or more CSDs and its competent authority is the chair of the group-level college, that competent authority may decide that only one college shall be established for the purposes of </w:t>
      </w:r>
      <w:r w:rsidR="001B66A7" w:rsidRPr="000C4F35">
        <w:rPr>
          <w:noProof/>
        </w:rPr>
        <w:t>paragraph 1</w:t>
      </w:r>
      <w:r w:rsidR="001B66A7">
        <w:rPr>
          <w:noProof/>
        </w:rPr>
        <w:t>,</w:t>
      </w:r>
      <w:r w:rsidR="001B66A7" w:rsidRPr="000C4F35">
        <w:rPr>
          <w:noProof/>
        </w:rPr>
        <w:t xml:space="preserve"> </w:t>
      </w:r>
      <w:r w:rsidR="004F677E" w:rsidRPr="000C4F35">
        <w:rPr>
          <w:noProof/>
        </w:rPr>
        <w:t>points (a) and (b)</w:t>
      </w:r>
      <w:r w:rsidR="001B66A7">
        <w:rPr>
          <w:noProof/>
        </w:rPr>
        <w:t>,</w:t>
      </w:r>
      <w:r w:rsidR="004F677E" w:rsidRPr="000C4F35">
        <w:rPr>
          <w:noProof/>
        </w:rPr>
        <w:t xml:space="preserve"> of </w:t>
      </w:r>
      <w:r w:rsidR="001B66A7">
        <w:rPr>
          <w:noProof/>
        </w:rPr>
        <w:t xml:space="preserve">this Article </w:t>
      </w:r>
      <w:r w:rsidR="004F677E" w:rsidRPr="000C4F35">
        <w:rPr>
          <w:noProof/>
        </w:rPr>
        <w:t xml:space="preserve">for that CSD. Where any of the other CSDs within the group are also subject to the procedure referred to in </w:t>
      </w:r>
      <w:r w:rsidR="001B66A7" w:rsidRPr="000C4F35">
        <w:rPr>
          <w:noProof/>
        </w:rPr>
        <w:t>Article 23</w:t>
      </w:r>
      <w:r w:rsidR="004F677E" w:rsidRPr="000C4F35">
        <w:rPr>
          <w:noProof/>
        </w:rPr>
        <w:t xml:space="preserve">(3) to (7), the chair of the college may make that decision only with the agreement of the competent authorities of those CSDs. </w:t>
      </w:r>
    </w:p>
    <w:p w14:paraId="5E042011" w14:textId="77777777" w:rsidR="004F677E" w:rsidRPr="000C4F35" w:rsidRDefault="004F677E" w:rsidP="00501D05">
      <w:pPr>
        <w:ind w:left="720" w:firstLine="120"/>
        <w:rPr>
          <w:noProof/>
          <w:szCs w:val="24"/>
        </w:rPr>
      </w:pPr>
      <w:r w:rsidRPr="000C4F35">
        <w:rPr>
          <w:noProof/>
          <w:szCs w:val="24"/>
        </w:rPr>
        <w:t>Where a college established pursuant to the first subparagraph:</w:t>
      </w:r>
    </w:p>
    <w:p w14:paraId="5F4F04AA" w14:textId="1C053C3E" w:rsidR="004F677E" w:rsidRPr="000C4F35" w:rsidRDefault="001678E4" w:rsidP="001678E4">
      <w:pPr>
        <w:pStyle w:val="Point0"/>
        <w:rPr>
          <w:noProof/>
        </w:rPr>
      </w:pPr>
      <w:r w:rsidRPr="001678E4">
        <w:t>(a)</w:t>
      </w:r>
      <w:r w:rsidRPr="001678E4">
        <w:tab/>
      </w:r>
      <w:r w:rsidR="004F677E" w:rsidRPr="000C4F35">
        <w:rPr>
          <w:noProof/>
        </w:rPr>
        <w:t xml:space="preserve">convenes for the exercise of the tasks referred to in </w:t>
      </w:r>
      <w:r w:rsidR="006B0414" w:rsidRPr="000C4F35">
        <w:rPr>
          <w:noProof/>
        </w:rPr>
        <w:t>paragraph 6</w:t>
      </w:r>
      <w:r w:rsidR="006B0414">
        <w:rPr>
          <w:noProof/>
        </w:rPr>
        <w:t xml:space="preserve">, </w:t>
      </w:r>
      <w:r w:rsidR="004F677E" w:rsidRPr="000C4F35">
        <w:rPr>
          <w:noProof/>
        </w:rPr>
        <w:t>points (a) to (d)</w:t>
      </w:r>
      <w:r w:rsidR="006B0414">
        <w:rPr>
          <w:noProof/>
        </w:rPr>
        <w:t xml:space="preserve">, of this Article </w:t>
      </w:r>
      <w:r w:rsidR="004F677E" w:rsidRPr="000C4F35">
        <w:rPr>
          <w:noProof/>
        </w:rPr>
        <w:t xml:space="preserve">, the authorities referred to in </w:t>
      </w:r>
      <w:r w:rsidR="00ED4672">
        <w:rPr>
          <w:noProof/>
        </w:rPr>
        <w:t>paragraph 2</w:t>
      </w:r>
      <w:r w:rsidR="006B0414">
        <w:rPr>
          <w:noProof/>
        </w:rPr>
        <w:t>,</w:t>
      </w:r>
      <w:r w:rsidR="006B0414" w:rsidRPr="000C4F35">
        <w:rPr>
          <w:noProof/>
        </w:rPr>
        <w:t xml:space="preserve"> </w:t>
      </w:r>
      <w:r w:rsidR="004F677E" w:rsidRPr="000C4F35">
        <w:rPr>
          <w:noProof/>
        </w:rPr>
        <w:t>points (a) to (f) of</w:t>
      </w:r>
      <w:r w:rsidR="00ED4672">
        <w:rPr>
          <w:noProof/>
        </w:rPr>
        <w:t xml:space="preserve"> this Article</w:t>
      </w:r>
      <w:r w:rsidR="004F677E" w:rsidRPr="000C4F35">
        <w:rPr>
          <w:noProof/>
        </w:rPr>
        <w:t xml:space="preserve"> in relation to each CSD within the group shall participate to that meeting of the college; </w:t>
      </w:r>
    </w:p>
    <w:p w14:paraId="7572DB73" w14:textId="61127451" w:rsidR="00AE7ED6" w:rsidRPr="000C4F35" w:rsidRDefault="001678E4" w:rsidP="001678E4">
      <w:pPr>
        <w:pStyle w:val="Point0"/>
        <w:rPr>
          <w:noProof/>
        </w:rPr>
      </w:pPr>
      <w:r w:rsidRPr="001678E4">
        <w:t>(b)</w:t>
      </w:r>
      <w:r w:rsidRPr="001678E4">
        <w:tab/>
      </w:r>
      <w:r w:rsidR="00AE7ED6" w:rsidRPr="000C4F35">
        <w:rPr>
          <w:noProof/>
        </w:rPr>
        <w:t xml:space="preserve">convenes for the exercise of the tasks referred to in </w:t>
      </w:r>
      <w:r w:rsidR="007A4166" w:rsidRPr="000C4F35">
        <w:rPr>
          <w:noProof/>
        </w:rPr>
        <w:t xml:space="preserve">paragraph 6, </w:t>
      </w:r>
      <w:r w:rsidR="00AE7ED6" w:rsidRPr="000C4F35">
        <w:rPr>
          <w:noProof/>
        </w:rPr>
        <w:t>point (e)</w:t>
      </w:r>
      <w:r w:rsidR="007A4166">
        <w:rPr>
          <w:noProof/>
        </w:rPr>
        <w:t>,</w:t>
      </w:r>
      <w:r w:rsidR="00AE7ED6" w:rsidRPr="000C4F35">
        <w:rPr>
          <w:noProof/>
        </w:rPr>
        <w:t xml:space="preserve"> of</w:t>
      </w:r>
      <w:r w:rsidR="007A4166">
        <w:rPr>
          <w:noProof/>
        </w:rPr>
        <w:t xml:space="preserve"> this Article </w:t>
      </w:r>
      <w:r w:rsidR="00AE7ED6" w:rsidRPr="000C4F35">
        <w:rPr>
          <w:noProof/>
        </w:rPr>
        <w:t>only the authorities referred to</w:t>
      </w:r>
      <w:r w:rsidR="007A4166">
        <w:rPr>
          <w:noProof/>
        </w:rPr>
        <w:t>,</w:t>
      </w:r>
      <w:r w:rsidR="00AE7ED6" w:rsidRPr="000C4F35">
        <w:rPr>
          <w:noProof/>
        </w:rPr>
        <w:t xml:space="preserve"> in</w:t>
      </w:r>
      <w:r w:rsidR="00497604">
        <w:rPr>
          <w:noProof/>
        </w:rPr>
        <w:t xml:space="preserve"> paragraph 2</w:t>
      </w:r>
      <w:r w:rsidR="007A4166">
        <w:rPr>
          <w:noProof/>
        </w:rPr>
        <w:t xml:space="preserve">, </w:t>
      </w:r>
      <w:r w:rsidR="00AE7ED6" w:rsidRPr="000C4F35">
        <w:rPr>
          <w:noProof/>
        </w:rPr>
        <w:t xml:space="preserve">points (a), (b), (c), (e) and, where applicable, (f) of </w:t>
      </w:r>
      <w:r w:rsidR="00497604">
        <w:rPr>
          <w:noProof/>
        </w:rPr>
        <w:t xml:space="preserve">this Article </w:t>
      </w:r>
      <w:r w:rsidR="00AE7ED6" w:rsidRPr="000C4F35">
        <w:rPr>
          <w:noProof/>
        </w:rPr>
        <w:t>shall participate to that meeting of the college.</w:t>
      </w:r>
    </w:p>
    <w:p w14:paraId="5259C7FB" w14:textId="77777777" w:rsidR="004F677E" w:rsidRPr="000C4F35" w:rsidRDefault="00E326DA" w:rsidP="00F75CFB">
      <w:pPr>
        <w:pStyle w:val="Point1"/>
        <w:rPr>
          <w:noProof/>
        </w:rPr>
      </w:pPr>
      <w:r>
        <w:rPr>
          <w:noProof/>
        </w:rPr>
        <w:t xml:space="preserve">4. </w:t>
      </w:r>
      <w:r w:rsidR="004F677E" w:rsidRPr="000C4F35">
        <w:rPr>
          <w:noProof/>
        </w:rPr>
        <w:t xml:space="preserve">The chair shall notify the composition of the college to ESMA within 30 calendar days of the college's establishment </w:t>
      </w:r>
      <w:r w:rsidR="00143B02">
        <w:rPr>
          <w:noProof/>
        </w:rPr>
        <w:t>and any</w:t>
      </w:r>
      <w:r w:rsidR="004F677E" w:rsidRPr="000C4F35">
        <w:rPr>
          <w:noProof/>
        </w:rPr>
        <w:t xml:space="preserve"> change in its composition</w:t>
      </w:r>
      <w:r w:rsidR="00143B02" w:rsidRPr="00E4531D">
        <w:rPr>
          <w:noProof/>
          <w:lang w:val="en-US"/>
        </w:rPr>
        <w:t xml:space="preserve"> </w:t>
      </w:r>
      <w:r w:rsidR="00143B02" w:rsidRPr="00143B02">
        <w:rPr>
          <w:noProof/>
        </w:rPr>
        <w:t>within 30 calendar days</w:t>
      </w:r>
      <w:r w:rsidR="00143B02">
        <w:rPr>
          <w:noProof/>
        </w:rPr>
        <w:t xml:space="preserve"> of that change</w:t>
      </w:r>
      <w:r w:rsidR="004F677E" w:rsidRPr="000C4F35">
        <w:rPr>
          <w:noProof/>
        </w:rPr>
        <w:t>. ESMA shall publish on its website without undue delay the list of the members of that college</w:t>
      </w:r>
      <w:r w:rsidR="00143B02">
        <w:rPr>
          <w:noProof/>
        </w:rPr>
        <w:t xml:space="preserve"> and keep that list up-to-date</w:t>
      </w:r>
      <w:r w:rsidR="004F677E" w:rsidRPr="000C4F35">
        <w:rPr>
          <w:noProof/>
        </w:rPr>
        <w:t>.</w:t>
      </w:r>
    </w:p>
    <w:p w14:paraId="5959D61A" w14:textId="77777777" w:rsidR="004F677E" w:rsidRPr="000C4F35" w:rsidRDefault="00216E22" w:rsidP="00F75CFB">
      <w:pPr>
        <w:pStyle w:val="Point1"/>
        <w:rPr>
          <w:noProof/>
        </w:rPr>
      </w:pPr>
      <w:r>
        <w:rPr>
          <w:noProof/>
        </w:rPr>
        <w:t xml:space="preserve">5. </w:t>
      </w:r>
      <w:r w:rsidR="004F677E" w:rsidRPr="000C4F35">
        <w:rPr>
          <w:noProof/>
        </w:rPr>
        <w:t>The competent authority of a Member State which is not a member of the college may request from the college any information relevant for the performance of its supervisory duties.</w:t>
      </w:r>
    </w:p>
    <w:p w14:paraId="66778F31" w14:textId="77777777" w:rsidR="004F677E" w:rsidRPr="000C4F35" w:rsidRDefault="00216E22" w:rsidP="00F75CFB">
      <w:pPr>
        <w:pStyle w:val="Point1"/>
        <w:rPr>
          <w:noProof/>
        </w:rPr>
      </w:pPr>
      <w:r>
        <w:rPr>
          <w:noProof/>
        </w:rPr>
        <w:t xml:space="preserve">6. </w:t>
      </w:r>
      <w:r w:rsidR="004F677E" w:rsidRPr="000C4F35">
        <w:rPr>
          <w:noProof/>
        </w:rPr>
        <w:t>The college shall, without prejudice to the responsibilities of competent authorities under this Regulation, ensure:</w:t>
      </w:r>
    </w:p>
    <w:p w14:paraId="13BD2C49" w14:textId="759E9DA3" w:rsidR="004F677E" w:rsidRPr="000C4F35" w:rsidRDefault="001678E4" w:rsidP="001678E4">
      <w:pPr>
        <w:pStyle w:val="Point0"/>
        <w:rPr>
          <w:noProof/>
        </w:rPr>
      </w:pPr>
      <w:r w:rsidRPr="001678E4">
        <w:t>(a)</w:t>
      </w:r>
      <w:r w:rsidRPr="001678E4">
        <w:tab/>
      </w:r>
      <w:r w:rsidR="004F677E" w:rsidRPr="000C4F35">
        <w:rPr>
          <w:noProof/>
        </w:rPr>
        <w:t>the exchange of information, including requests for information pursuant to Articles 13, 14 and 15 and information on the review and evaluation process pursuant to Article 22;</w:t>
      </w:r>
    </w:p>
    <w:p w14:paraId="5B58AC0F" w14:textId="6BA6B5F0" w:rsidR="004F677E" w:rsidRPr="000C4F35" w:rsidRDefault="001678E4" w:rsidP="001678E4">
      <w:pPr>
        <w:pStyle w:val="Point0"/>
        <w:rPr>
          <w:noProof/>
        </w:rPr>
      </w:pPr>
      <w:r w:rsidRPr="001678E4">
        <w:t>(b)</w:t>
      </w:r>
      <w:r w:rsidRPr="001678E4">
        <w:tab/>
      </w:r>
      <w:r w:rsidR="004F677E" w:rsidRPr="000C4F35">
        <w:rPr>
          <w:noProof/>
        </w:rPr>
        <w:t xml:space="preserve">more efficient supervision by </w:t>
      </w:r>
      <w:r w:rsidR="00497604">
        <w:rPr>
          <w:noProof/>
        </w:rPr>
        <w:t>avoiding</w:t>
      </w:r>
      <w:r w:rsidR="00497604" w:rsidRPr="000C4F35">
        <w:rPr>
          <w:noProof/>
        </w:rPr>
        <w:t xml:space="preserve"> </w:t>
      </w:r>
      <w:r w:rsidR="004F677E" w:rsidRPr="000C4F35">
        <w:rPr>
          <w:noProof/>
        </w:rPr>
        <w:t>unnecessary duplicati</w:t>
      </w:r>
      <w:r w:rsidR="00497604">
        <w:rPr>
          <w:noProof/>
        </w:rPr>
        <w:t>ve</w:t>
      </w:r>
      <w:r w:rsidR="004F677E" w:rsidRPr="000C4F35">
        <w:rPr>
          <w:noProof/>
        </w:rPr>
        <w:t xml:space="preserve"> supervisory </w:t>
      </w:r>
      <w:r w:rsidR="00497604">
        <w:rPr>
          <w:noProof/>
        </w:rPr>
        <w:t>actions</w:t>
      </w:r>
      <w:r w:rsidR="004F677E" w:rsidRPr="000C4F35">
        <w:rPr>
          <w:noProof/>
        </w:rPr>
        <w:t xml:space="preserve">, </w:t>
      </w:r>
      <w:r w:rsidR="00497604">
        <w:rPr>
          <w:noProof/>
        </w:rPr>
        <w:t>such as</w:t>
      </w:r>
      <w:r w:rsidR="004F677E" w:rsidRPr="000C4F35">
        <w:rPr>
          <w:noProof/>
        </w:rPr>
        <w:t xml:space="preserve"> information requests</w:t>
      </w:r>
      <w:r w:rsidR="00216E22">
        <w:rPr>
          <w:noProof/>
        </w:rPr>
        <w:t xml:space="preserve"> </w:t>
      </w:r>
      <w:r w:rsidR="004F677E" w:rsidRPr="000C4F35">
        <w:rPr>
          <w:noProof/>
        </w:rPr>
        <w:t>;</w:t>
      </w:r>
    </w:p>
    <w:p w14:paraId="73CD967C" w14:textId="467AAF5F" w:rsidR="004F677E" w:rsidRPr="000C4F35" w:rsidRDefault="001678E4" w:rsidP="001678E4">
      <w:pPr>
        <w:pStyle w:val="Point0"/>
        <w:rPr>
          <w:noProof/>
        </w:rPr>
      </w:pPr>
      <w:r w:rsidRPr="001678E4">
        <w:t>(c)</w:t>
      </w:r>
      <w:r w:rsidRPr="001678E4">
        <w:tab/>
      </w:r>
      <w:r w:rsidR="004F677E" w:rsidRPr="000C4F35">
        <w:rPr>
          <w:noProof/>
        </w:rPr>
        <w:t>agreement on the voluntary entrustment of tasks among its members.</w:t>
      </w:r>
    </w:p>
    <w:p w14:paraId="3113077D" w14:textId="6C0993DE" w:rsidR="004F677E" w:rsidRPr="000C4F35" w:rsidRDefault="001678E4" w:rsidP="001678E4">
      <w:pPr>
        <w:pStyle w:val="Point0"/>
        <w:rPr>
          <w:noProof/>
        </w:rPr>
      </w:pPr>
      <w:r w:rsidRPr="001678E4">
        <w:t>(d)</w:t>
      </w:r>
      <w:r w:rsidRPr="001678E4">
        <w:tab/>
      </w:r>
      <w:r w:rsidR="004F677E" w:rsidRPr="000C4F35">
        <w:rPr>
          <w:noProof/>
        </w:rPr>
        <w:t>in the case of a passporting college, the cooperation of the home and host Member State pursuant to Article 24</w:t>
      </w:r>
      <w:r w:rsidR="00C243CF">
        <w:rPr>
          <w:noProof/>
        </w:rPr>
        <w:t xml:space="preserve"> and regarding</w:t>
      </w:r>
      <w:r w:rsidR="004F677E" w:rsidRPr="000C4F35">
        <w:rPr>
          <w:noProof/>
        </w:rPr>
        <w:t xml:space="preserve"> the measures referred to in Article 23(4)</w:t>
      </w:r>
      <w:r w:rsidR="0090015A">
        <w:rPr>
          <w:noProof/>
        </w:rPr>
        <w:t xml:space="preserve">, point </w:t>
      </w:r>
      <w:r w:rsidR="004F677E" w:rsidRPr="000C4F35">
        <w:rPr>
          <w:noProof/>
        </w:rPr>
        <w:t xml:space="preserve">(e) and </w:t>
      </w:r>
      <w:r w:rsidR="008F716B">
        <w:rPr>
          <w:noProof/>
        </w:rPr>
        <w:t xml:space="preserve">on </w:t>
      </w:r>
      <w:r w:rsidR="004F677E" w:rsidRPr="000C4F35">
        <w:rPr>
          <w:noProof/>
        </w:rPr>
        <w:t>any issues encountered in the provision of services in other Member States;</w:t>
      </w:r>
    </w:p>
    <w:p w14:paraId="42130460" w14:textId="350DC349" w:rsidR="004F677E" w:rsidRPr="000C4F35" w:rsidRDefault="001678E4" w:rsidP="001678E4">
      <w:pPr>
        <w:pStyle w:val="Point0"/>
        <w:rPr>
          <w:noProof/>
        </w:rPr>
      </w:pPr>
      <w:r w:rsidRPr="001678E4">
        <w:t>(e)</w:t>
      </w:r>
      <w:r w:rsidRPr="001678E4">
        <w:tab/>
      </w:r>
      <w:r w:rsidR="004F677E" w:rsidRPr="000C4F35">
        <w:rPr>
          <w:noProof/>
        </w:rPr>
        <w:t xml:space="preserve">in the case of a group-level college, the exchange of information on resources shared and outsourcing arrangements in place within a group of CSDs pursuant to Article 19, </w:t>
      </w:r>
      <w:r w:rsidR="0090015A">
        <w:rPr>
          <w:noProof/>
        </w:rPr>
        <w:t xml:space="preserve">on </w:t>
      </w:r>
      <w:r w:rsidR="004F677E" w:rsidRPr="000C4F35">
        <w:rPr>
          <w:noProof/>
        </w:rPr>
        <w:t xml:space="preserve">significant changes to the structure and ownership of the group, and </w:t>
      </w:r>
      <w:r w:rsidR="0090015A">
        <w:rPr>
          <w:noProof/>
        </w:rPr>
        <w:t xml:space="preserve">on </w:t>
      </w:r>
      <w:r w:rsidR="004F677E" w:rsidRPr="000C4F35">
        <w:rPr>
          <w:noProof/>
        </w:rPr>
        <w:t xml:space="preserve">changes in the organisation, senior management, processes or arrangements where those changes have a significant impact on governance or risk management for the CSDs belonging to the group. </w:t>
      </w:r>
    </w:p>
    <w:p w14:paraId="6E9BB907" w14:textId="77777777" w:rsidR="004F677E" w:rsidRPr="000C4F35" w:rsidRDefault="004F677E" w:rsidP="00501D05">
      <w:pPr>
        <w:ind w:left="851"/>
        <w:rPr>
          <w:noProof/>
          <w:szCs w:val="24"/>
        </w:rPr>
      </w:pPr>
      <w:r w:rsidRPr="000C4F35">
        <w:rPr>
          <w:noProof/>
          <w:szCs w:val="24"/>
        </w:rPr>
        <w:t xml:space="preserve">The chair shall convene a meeting of the college at least once a year. </w:t>
      </w:r>
    </w:p>
    <w:p w14:paraId="67163FCC" w14:textId="77777777" w:rsidR="004F677E" w:rsidRPr="000C4F35" w:rsidRDefault="004F677E" w:rsidP="00501D05">
      <w:pPr>
        <w:ind w:left="851"/>
        <w:rPr>
          <w:noProof/>
          <w:szCs w:val="24"/>
        </w:rPr>
      </w:pPr>
      <w:r w:rsidRPr="000C4F35">
        <w:rPr>
          <w:noProof/>
          <w:szCs w:val="24"/>
        </w:rPr>
        <w:t>In order to facilitate the performance of the tasks assigned to colleges pursuant to the first subparagraph</w:t>
      </w:r>
      <w:r w:rsidR="0090015A">
        <w:rPr>
          <w:noProof/>
          <w:szCs w:val="24"/>
        </w:rPr>
        <w:t xml:space="preserve"> of this paragraph</w:t>
      </w:r>
      <w:r w:rsidRPr="000C4F35">
        <w:rPr>
          <w:noProof/>
          <w:szCs w:val="24"/>
        </w:rPr>
        <w:t>, members of the college referred to in paragraph 2 may add points to the agenda of a meeting.</w:t>
      </w:r>
    </w:p>
    <w:p w14:paraId="5B9A517F" w14:textId="77777777" w:rsidR="004F677E" w:rsidRPr="000C4F35" w:rsidRDefault="0090015A" w:rsidP="00F75CFB">
      <w:pPr>
        <w:pStyle w:val="Point1"/>
        <w:rPr>
          <w:noProof/>
        </w:rPr>
      </w:pPr>
      <w:r>
        <w:rPr>
          <w:noProof/>
        </w:rPr>
        <w:t xml:space="preserve">7. </w:t>
      </w:r>
      <w:r w:rsidR="004F677E" w:rsidRPr="000C4F35">
        <w:rPr>
          <w:noProof/>
        </w:rPr>
        <w:t>The establishment and functioning of the college shall be based on a written agreement between all its members.</w:t>
      </w:r>
    </w:p>
    <w:p w14:paraId="4A354D8D" w14:textId="77777777" w:rsidR="004F677E" w:rsidRPr="000C4F35" w:rsidRDefault="004F677E" w:rsidP="00501D05">
      <w:pPr>
        <w:ind w:left="851"/>
        <w:rPr>
          <w:noProof/>
          <w:szCs w:val="24"/>
        </w:rPr>
      </w:pPr>
      <w:r w:rsidRPr="000C4F35">
        <w:rPr>
          <w:noProof/>
          <w:szCs w:val="24"/>
        </w:rPr>
        <w:t>That agreement shall determine the practical arrangements for the functioning of the college, including the modalities of communication amongst college members, and may determine tasks to be entrusted to the CSD’s competent authority or another member of the college.</w:t>
      </w:r>
    </w:p>
    <w:p w14:paraId="79ED00F2" w14:textId="77777777" w:rsidR="004F677E" w:rsidRPr="000C4F35" w:rsidRDefault="00B51170" w:rsidP="00F75CFB">
      <w:pPr>
        <w:pStyle w:val="Point1"/>
        <w:rPr>
          <w:noProof/>
        </w:rPr>
      </w:pPr>
      <w:r>
        <w:rPr>
          <w:noProof/>
        </w:rPr>
        <w:t>8.</w:t>
      </w:r>
      <w:r w:rsidR="004F677E" w:rsidRPr="000C4F35">
        <w:rPr>
          <w:noProof/>
        </w:rPr>
        <w:t xml:space="preserve"> ESMA shall develop draft regulatory technical standards specifying the details of the practical arrangements referred to in paragraph 7.</w:t>
      </w:r>
    </w:p>
    <w:p w14:paraId="144A453E" w14:textId="77777777" w:rsidR="004F677E" w:rsidRPr="000C4F35" w:rsidRDefault="004F677E" w:rsidP="00501D05">
      <w:pPr>
        <w:ind w:left="851"/>
        <w:rPr>
          <w:noProof/>
          <w:szCs w:val="24"/>
        </w:rPr>
      </w:pPr>
      <w:r w:rsidRPr="000C4F35">
        <w:rPr>
          <w:noProof/>
          <w:szCs w:val="24"/>
        </w:rPr>
        <w:t xml:space="preserve">ESMA shall submit those draft regulatory technical standards to the Commission by </w:t>
      </w:r>
      <w:r w:rsidR="00FB001B">
        <w:rPr>
          <w:noProof/>
          <w:szCs w:val="24"/>
        </w:rPr>
        <w:t xml:space="preserve">… </w:t>
      </w:r>
      <w:r w:rsidRPr="000C4F35">
        <w:rPr>
          <w:noProof/>
          <w:szCs w:val="24"/>
        </w:rPr>
        <w:t>[</w:t>
      </w:r>
      <w:r w:rsidRPr="000C4F35">
        <w:rPr>
          <w:i/>
          <w:noProof/>
          <w:szCs w:val="24"/>
        </w:rPr>
        <w:t xml:space="preserve">PO please insert </w:t>
      </w:r>
      <w:r w:rsidR="00D6491E">
        <w:rPr>
          <w:i/>
          <w:noProof/>
          <w:szCs w:val="24"/>
        </w:rPr>
        <w:t xml:space="preserve">the date = </w:t>
      </w:r>
      <w:r w:rsidR="008C648F">
        <w:rPr>
          <w:i/>
          <w:noProof/>
          <w:szCs w:val="24"/>
        </w:rPr>
        <w:t>1</w:t>
      </w:r>
      <w:r w:rsidR="008C648F" w:rsidRPr="000C4F35">
        <w:rPr>
          <w:i/>
          <w:noProof/>
          <w:szCs w:val="24"/>
        </w:rPr>
        <w:t xml:space="preserve"> </w:t>
      </w:r>
      <w:r w:rsidRPr="000C4F35">
        <w:rPr>
          <w:i/>
          <w:noProof/>
          <w:szCs w:val="24"/>
        </w:rPr>
        <w:t xml:space="preserve">year </w:t>
      </w:r>
      <w:r w:rsidR="00D6491E">
        <w:rPr>
          <w:i/>
          <w:noProof/>
          <w:szCs w:val="24"/>
        </w:rPr>
        <w:t>after the date of entry into force of</w:t>
      </w:r>
      <w:r w:rsidRPr="000C4F35">
        <w:rPr>
          <w:i/>
          <w:noProof/>
          <w:szCs w:val="24"/>
        </w:rPr>
        <w:t xml:space="preserve"> this Regulation</w:t>
      </w:r>
      <w:r w:rsidRPr="000C4F35">
        <w:rPr>
          <w:noProof/>
          <w:szCs w:val="24"/>
        </w:rPr>
        <w:t>].</w:t>
      </w:r>
    </w:p>
    <w:p w14:paraId="004F22C9" w14:textId="77777777" w:rsidR="004F677E" w:rsidRPr="000C4F35" w:rsidRDefault="004F677E" w:rsidP="00501D05">
      <w:pPr>
        <w:ind w:left="851"/>
        <w:rPr>
          <w:noProof/>
          <w:szCs w:val="24"/>
        </w:rPr>
      </w:pPr>
      <w:r w:rsidRPr="000C4F35">
        <w:rPr>
          <w:noProof/>
          <w:szCs w:val="24"/>
        </w:rPr>
        <w:t xml:space="preserve">Power is delegated to the Commission to </w:t>
      </w:r>
      <w:r w:rsidR="00D2008B">
        <w:rPr>
          <w:noProof/>
          <w:szCs w:val="24"/>
        </w:rPr>
        <w:t xml:space="preserve">supplement this Regulation by </w:t>
      </w:r>
      <w:r w:rsidRPr="000C4F35">
        <w:rPr>
          <w:noProof/>
          <w:szCs w:val="24"/>
        </w:rPr>
        <w:t>adopt</w:t>
      </w:r>
      <w:r w:rsidR="00D2008B">
        <w:rPr>
          <w:noProof/>
          <w:szCs w:val="24"/>
        </w:rPr>
        <w:t>ing</w:t>
      </w:r>
      <w:r w:rsidRPr="000C4F35">
        <w:rPr>
          <w:noProof/>
          <w:szCs w:val="24"/>
        </w:rPr>
        <w:t xml:space="preserve"> the regulatory technical standards referred to in the first subparagraph in accordance with Articles 10 to 14 of Regulation (EU) No 1095/2010.</w:t>
      </w:r>
      <w:r w:rsidR="00B42134">
        <w:rPr>
          <w:noProof/>
          <w:szCs w:val="24"/>
        </w:rPr>
        <w:t>’</w:t>
      </w:r>
      <w:r w:rsidR="00B50AD0">
        <w:rPr>
          <w:noProof/>
          <w:szCs w:val="24"/>
        </w:rPr>
        <w:t>;</w:t>
      </w:r>
    </w:p>
    <w:p w14:paraId="76F62287" w14:textId="77777777" w:rsidR="004F677E" w:rsidRPr="000C4F35" w:rsidRDefault="00D6491E" w:rsidP="00685329">
      <w:pPr>
        <w:pStyle w:val="ManualNumPar1"/>
        <w:rPr>
          <w:noProof/>
        </w:rPr>
      </w:pPr>
      <w:r>
        <w:rPr>
          <w:noProof/>
        </w:rPr>
        <w:t>(</w:t>
      </w:r>
      <w:r w:rsidR="004F677E" w:rsidRPr="000C4F35">
        <w:rPr>
          <w:noProof/>
        </w:rPr>
        <w:t>10</w:t>
      </w:r>
      <w:r>
        <w:rPr>
          <w:noProof/>
        </w:rPr>
        <w:t>)</w:t>
      </w:r>
      <w:r w:rsidR="004F677E" w:rsidRPr="000C4F35">
        <w:rPr>
          <w:noProof/>
        </w:rPr>
        <w:t xml:space="preserve"> Article 25 is amended as follows:</w:t>
      </w:r>
    </w:p>
    <w:p w14:paraId="5B978702" w14:textId="6BCD10E3" w:rsidR="004F677E" w:rsidRPr="000C4F35" w:rsidRDefault="001678E4" w:rsidP="001678E4">
      <w:pPr>
        <w:pStyle w:val="Point0"/>
        <w:rPr>
          <w:noProof/>
        </w:rPr>
      </w:pPr>
      <w:r w:rsidRPr="001678E4">
        <w:t>(a)</w:t>
      </w:r>
      <w:r w:rsidRPr="001678E4">
        <w:tab/>
      </w:r>
      <w:r w:rsidR="00D6491E">
        <w:rPr>
          <w:noProof/>
        </w:rPr>
        <w:t>t</w:t>
      </w:r>
      <w:r w:rsidR="004F18A6" w:rsidRPr="000C4F35">
        <w:rPr>
          <w:noProof/>
        </w:rPr>
        <w:t xml:space="preserve">he </w:t>
      </w:r>
      <w:r w:rsidR="004F677E" w:rsidRPr="000C4F35">
        <w:rPr>
          <w:noProof/>
        </w:rPr>
        <w:t xml:space="preserve">following paragraph 2a is inserted: </w:t>
      </w:r>
    </w:p>
    <w:p w14:paraId="5F234A97" w14:textId="77777777" w:rsidR="004F677E" w:rsidRPr="000C4F35" w:rsidRDefault="004F677E" w:rsidP="00685329">
      <w:pPr>
        <w:pStyle w:val="Text1"/>
        <w:rPr>
          <w:noProof/>
        </w:rPr>
      </w:pPr>
      <w:r w:rsidRPr="000C4F35">
        <w:rPr>
          <w:noProof/>
        </w:rPr>
        <w:t xml:space="preserve">“2a. A third-country CSD that intends to provide the core service referred to in point (3) of Section A of the Annex in relation to financial instruments constituted under the law of a Member State referred to in </w:t>
      </w:r>
      <w:r w:rsidR="00D6491E" w:rsidRPr="000C4F35">
        <w:rPr>
          <w:noProof/>
        </w:rPr>
        <w:t>Article 49(1)</w:t>
      </w:r>
      <w:r w:rsidR="00D6491E">
        <w:rPr>
          <w:noProof/>
        </w:rPr>
        <w:t>,</w:t>
      </w:r>
      <w:r w:rsidRPr="000C4F35">
        <w:rPr>
          <w:noProof/>
        </w:rPr>
        <w:t xml:space="preserve"> second subparagraph</w:t>
      </w:r>
      <w:r w:rsidR="00D6491E">
        <w:rPr>
          <w:noProof/>
        </w:rPr>
        <w:t>,</w:t>
      </w:r>
      <w:r w:rsidRPr="000C4F35">
        <w:rPr>
          <w:noProof/>
        </w:rPr>
        <w:t xml:space="preserve"> shall submit a notification to ESMA.”</w:t>
      </w:r>
      <w:r w:rsidR="00D6491E">
        <w:rPr>
          <w:noProof/>
        </w:rPr>
        <w:t>;</w:t>
      </w:r>
      <w:r w:rsidRPr="000C4F35">
        <w:rPr>
          <w:noProof/>
        </w:rPr>
        <w:t xml:space="preserve"> </w:t>
      </w:r>
    </w:p>
    <w:p w14:paraId="67F16E27" w14:textId="6BC1259E" w:rsidR="004F677E" w:rsidRPr="000C4F35" w:rsidRDefault="001678E4" w:rsidP="001678E4">
      <w:pPr>
        <w:pStyle w:val="Point0"/>
        <w:rPr>
          <w:noProof/>
        </w:rPr>
      </w:pPr>
      <w:r w:rsidRPr="001678E4">
        <w:t>(b)</w:t>
      </w:r>
      <w:r w:rsidRPr="001678E4">
        <w:tab/>
      </w:r>
      <w:r w:rsidR="00D6491E">
        <w:rPr>
          <w:noProof/>
        </w:rPr>
        <w:t xml:space="preserve">in </w:t>
      </w:r>
      <w:r w:rsidR="00D6491E" w:rsidRPr="000C4F35">
        <w:rPr>
          <w:noProof/>
        </w:rPr>
        <w:t>paragraph 6</w:t>
      </w:r>
      <w:r w:rsidR="00D6491E">
        <w:rPr>
          <w:noProof/>
        </w:rPr>
        <w:t>, t</w:t>
      </w:r>
      <w:r w:rsidR="004F677E" w:rsidRPr="000C4F35">
        <w:rPr>
          <w:noProof/>
        </w:rPr>
        <w:t xml:space="preserve">he fifth subparagraph is replaced by the following: </w:t>
      </w:r>
    </w:p>
    <w:p w14:paraId="341BAC34" w14:textId="77777777" w:rsidR="004F677E" w:rsidRPr="000C4F35" w:rsidRDefault="00B42134" w:rsidP="00685329">
      <w:pPr>
        <w:pStyle w:val="Text1"/>
        <w:rPr>
          <w:noProof/>
        </w:rPr>
      </w:pPr>
      <w:r>
        <w:rPr>
          <w:noProof/>
        </w:rPr>
        <w:t>‘</w:t>
      </w:r>
      <w:r w:rsidR="004F677E" w:rsidRPr="000C4F35">
        <w:rPr>
          <w:noProof/>
        </w:rPr>
        <w:t xml:space="preserve">Within </w:t>
      </w:r>
      <w:r w:rsidR="008C648F">
        <w:rPr>
          <w:noProof/>
        </w:rPr>
        <w:t>6</w:t>
      </w:r>
      <w:r w:rsidR="008C648F" w:rsidRPr="000C4F35">
        <w:rPr>
          <w:noProof/>
        </w:rPr>
        <w:t xml:space="preserve"> </w:t>
      </w:r>
      <w:r w:rsidR="004F677E" w:rsidRPr="000C4F35">
        <w:rPr>
          <w:noProof/>
        </w:rPr>
        <w:t xml:space="preserve">months from the submission of a complete application </w:t>
      </w:r>
      <w:r w:rsidR="00D6491E">
        <w:rPr>
          <w:noProof/>
        </w:rPr>
        <w:t>or from</w:t>
      </w:r>
      <w:r w:rsidR="004F677E" w:rsidRPr="000C4F35">
        <w:rPr>
          <w:noProof/>
        </w:rPr>
        <w:t xml:space="preserve"> the adoption of an equivalence decision by the Commission in accordance with paragraph 9,</w:t>
      </w:r>
      <w:r w:rsidR="00D6491E" w:rsidRPr="00D6491E">
        <w:rPr>
          <w:noProof/>
        </w:rPr>
        <w:t xml:space="preserve"> whichever is later</w:t>
      </w:r>
      <w:r w:rsidR="00D6491E">
        <w:rPr>
          <w:noProof/>
        </w:rPr>
        <w:t>,</w:t>
      </w:r>
      <w:r w:rsidR="004F677E" w:rsidRPr="000C4F35">
        <w:rPr>
          <w:noProof/>
        </w:rPr>
        <w:t xml:space="preserve"> ESMA shall inform the applicant CSD in writing with a fully reasoned decision whether the recognition has been granted or refused.</w:t>
      </w:r>
      <w:r>
        <w:rPr>
          <w:noProof/>
        </w:rPr>
        <w:t>’</w:t>
      </w:r>
      <w:r w:rsidR="00D6491E">
        <w:rPr>
          <w:noProof/>
        </w:rPr>
        <w:t>;</w:t>
      </w:r>
    </w:p>
    <w:p w14:paraId="24AA1F28" w14:textId="2AA08954" w:rsidR="004F677E" w:rsidRPr="000C4F35" w:rsidRDefault="001678E4" w:rsidP="001678E4">
      <w:pPr>
        <w:pStyle w:val="Point0"/>
        <w:rPr>
          <w:noProof/>
        </w:rPr>
      </w:pPr>
      <w:r w:rsidRPr="001678E4">
        <w:t>(c)</w:t>
      </w:r>
      <w:r w:rsidRPr="001678E4">
        <w:tab/>
      </w:r>
      <w:r w:rsidR="00D6491E">
        <w:rPr>
          <w:noProof/>
        </w:rPr>
        <w:t>t</w:t>
      </w:r>
      <w:r w:rsidR="004F677E" w:rsidRPr="000C4F35">
        <w:rPr>
          <w:noProof/>
        </w:rPr>
        <w:t xml:space="preserve">he following paragraph </w:t>
      </w:r>
      <w:r w:rsidR="00D6491E">
        <w:rPr>
          <w:noProof/>
        </w:rPr>
        <w:t xml:space="preserve">13 </w:t>
      </w:r>
      <w:r w:rsidR="004F677E" w:rsidRPr="000C4F35">
        <w:rPr>
          <w:noProof/>
        </w:rPr>
        <w:t xml:space="preserve">is </w:t>
      </w:r>
      <w:r w:rsidR="00D6491E">
        <w:rPr>
          <w:noProof/>
        </w:rPr>
        <w:t>added</w:t>
      </w:r>
      <w:r w:rsidR="004F677E" w:rsidRPr="000C4F35">
        <w:rPr>
          <w:noProof/>
        </w:rPr>
        <w:t xml:space="preserve">: </w:t>
      </w:r>
    </w:p>
    <w:p w14:paraId="2D7A1A53" w14:textId="0ECAEB73" w:rsidR="00FD36E5" w:rsidRDefault="00B42134" w:rsidP="00685329">
      <w:pPr>
        <w:pStyle w:val="Text1"/>
        <w:rPr>
          <w:noProof/>
        </w:rPr>
      </w:pPr>
      <w:r>
        <w:rPr>
          <w:noProof/>
        </w:rPr>
        <w:t>‘</w:t>
      </w:r>
      <w:r w:rsidR="004F677E" w:rsidRPr="000C4F35">
        <w:rPr>
          <w:noProof/>
        </w:rPr>
        <w:t xml:space="preserve">13. ESMA shall develop draft regulatory technical standards to specify the information that the third-country CSD </w:t>
      </w:r>
      <w:r w:rsidR="00FB001B">
        <w:rPr>
          <w:noProof/>
        </w:rPr>
        <w:t>is to</w:t>
      </w:r>
      <w:r w:rsidR="004F677E" w:rsidRPr="000C4F35">
        <w:rPr>
          <w:noProof/>
        </w:rPr>
        <w:t xml:space="preserve"> provide to ESMA in the notification referred to in paragraph 2a.</w:t>
      </w:r>
      <w:r w:rsidR="0024785D">
        <w:rPr>
          <w:noProof/>
        </w:rPr>
        <w:t xml:space="preserve"> Such information shall</w:t>
      </w:r>
      <w:r w:rsidR="009E20F6">
        <w:rPr>
          <w:noProof/>
        </w:rPr>
        <w:t xml:space="preserve"> be limited to</w:t>
      </w:r>
      <w:r w:rsidR="00BD781D">
        <w:rPr>
          <w:noProof/>
        </w:rPr>
        <w:t xml:space="preserve"> </w:t>
      </w:r>
      <w:r w:rsidR="00BD781D" w:rsidRPr="006B3BA6">
        <w:rPr>
          <w:noProof/>
        </w:rPr>
        <w:t>what is strictly necessary</w:t>
      </w:r>
      <w:r w:rsidR="007E0761" w:rsidRPr="00E4531D">
        <w:rPr>
          <w:noProof/>
        </w:rPr>
        <w:t>, including</w:t>
      </w:r>
      <w:r w:rsidR="00FD36E5">
        <w:rPr>
          <w:noProof/>
        </w:rPr>
        <w:t>, where applicable and</w:t>
      </w:r>
      <w:r w:rsidR="00156311">
        <w:rPr>
          <w:noProof/>
        </w:rPr>
        <w:t xml:space="preserve"> </w:t>
      </w:r>
      <w:r w:rsidR="00FD36E5">
        <w:rPr>
          <w:noProof/>
        </w:rPr>
        <w:t>available:</w:t>
      </w:r>
      <w:r w:rsidR="0024785D">
        <w:rPr>
          <w:noProof/>
        </w:rPr>
        <w:t xml:space="preserve"> </w:t>
      </w:r>
    </w:p>
    <w:p w14:paraId="40509EFF" w14:textId="4B26CD58" w:rsidR="00FD36E5" w:rsidRDefault="001678E4" w:rsidP="001678E4">
      <w:pPr>
        <w:pStyle w:val="Point1"/>
        <w:rPr>
          <w:noProof/>
        </w:rPr>
      </w:pPr>
      <w:r w:rsidRPr="001678E4">
        <w:t>(a)</w:t>
      </w:r>
      <w:r w:rsidRPr="001678E4">
        <w:tab/>
      </w:r>
      <w:r w:rsidR="0024785D">
        <w:rPr>
          <w:noProof/>
        </w:rPr>
        <w:t xml:space="preserve">the number of </w:t>
      </w:r>
      <w:r w:rsidR="00EF47DF">
        <w:rPr>
          <w:noProof/>
        </w:rPr>
        <w:t xml:space="preserve">Union </w:t>
      </w:r>
      <w:r w:rsidR="0024785D">
        <w:rPr>
          <w:noProof/>
        </w:rPr>
        <w:t xml:space="preserve">participants to whom the third-country CSD provides the services </w:t>
      </w:r>
      <w:r w:rsidR="0024785D" w:rsidRPr="000C4F35">
        <w:rPr>
          <w:noProof/>
        </w:rPr>
        <w:t>referred to in paragraph 2a</w:t>
      </w:r>
      <w:r w:rsidR="00FD36E5">
        <w:rPr>
          <w:noProof/>
        </w:rPr>
        <w:t>;</w:t>
      </w:r>
      <w:r w:rsidR="0024785D">
        <w:rPr>
          <w:noProof/>
        </w:rPr>
        <w:t xml:space="preserve"> </w:t>
      </w:r>
    </w:p>
    <w:p w14:paraId="6FF062FE" w14:textId="3389DE6D" w:rsidR="00FD36E5" w:rsidRDefault="001678E4" w:rsidP="001678E4">
      <w:pPr>
        <w:pStyle w:val="Point1"/>
        <w:rPr>
          <w:noProof/>
        </w:rPr>
      </w:pPr>
      <w:r w:rsidRPr="001678E4">
        <w:t>(b)</w:t>
      </w:r>
      <w:r w:rsidRPr="001678E4">
        <w:tab/>
      </w:r>
      <w:r w:rsidR="0024785D">
        <w:rPr>
          <w:noProof/>
        </w:rPr>
        <w:t>the number and volume of transactions</w:t>
      </w:r>
      <w:r w:rsidR="00EF47DF">
        <w:rPr>
          <w:noProof/>
        </w:rPr>
        <w:t xml:space="preserve"> in financial instruments constituted under the law of a Member State</w:t>
      </w:r>
      <w:r w:rsidR="0024785D">
        <w:rPr>
          <w:noProof/>
        </w:rPr>
        <w:t xml:space="preserve"> settled</w:t>
      </w:r>
      <w:r w:rsidR="00EF47DF">
        <w:rPr>
          <w:noProof/>
        </w:rPr>
        <w:t xml:space="preserve"> </w:t>
      </w:r>
      <w:r w:rsidR="0024785D">
        <w:rPr>
          <w:noProof/>
        </w:rPr>
        <w:t>during the previous year</w:t>
      </w:r>
      <w:r w:rsidR="00FD36E5">
        <w:rPr>
          <w:noProof/>
        </w:rPr>
        <w:t>;</w:t>
      </w:r>
    </w:p>
    <w:p w14:paraId="7412999D" w14:textId="299AD27D" w:rsidR="004F677E" w:rsidRPr="000C4F35" w:rsidRDefault="001678E4" w:rsidP="001678E4">
      <w:pPr>
        <w:pStyle w:val="Point1"/>
        <w:rPr>
          <w:noProof/>
        </w:rPr>
      </w:pPr>
      <w:r w:rsidRPr="001678E4">
        <w:t>(c)</w:t>
      </w:r>
      <w:r w:rsidRPr="001678E4">
        <w:tab/>
      </w:r>
      <w:r w:rsidR="00EF47DF">
        <w:rPr>
          <w:noProof/>
        </w:rPr>
        <w:t>the number and volume of transactions settled by Union participants during the previous year</w:t>
      </w:r>
      <w:r w:rsidR="0024785D">
        <w:rPr>
          <w:noProof/>
        </w:rPr>
        <w:t xml:space="preserve">. </w:t>
      </w:r>
    </w:p>
    <w:p w14:paraId="089C193E" w14:textId="77777777" w:rsidR="004F677E" w:rsidRPr="000C4F35" w:rsidRDefault="004F677E" w:rsidP="00685329">
      <w:pPr>
        <w:pStyle w:val="Text1"/>
        <w:rPr>
          <w:noProof/>
        </w:rPr>
      </w:pPr>
      <w:r w:rsidRPr="000C4F35">
        <w:rPr>
          <w:noProof/>
        </w:rPr>
        <w:t>ESMA shall submit those draft regulatory technical standards to the Commission by</w:t>
      </w:r>
      <w:r w:rsidR="00FB001B">
        <w:rPr>
          <w:noProof/>
        </w:rPr>
        <w:t xml:space="preserve"> …</w:t>
      </w:r>
      <w:r w:rsidRPr="000C4F35">
        <w:rPr>
          <w:noProof/>
        </w:rPr>
        <w:t xml:space="preserve"> [</w:t>
      </w:r>
      <w:r w:rsidRPr="00D473D5">
        <w:rPr>
          <w:i/>
          <w:noProof/>
        </w:rPr>
        <w:t xml:space="preserve">PO please insert </w:t>
      </w:r>
      <w:r w:rsidR="00FB001B" w:rsidRPr="00E4531D">
        <w:rPr>
          <w:i/>
          <w:noProof/>
        </w:rPr>
        <w:t xml:space="preserve">the date = </w:t>
      </w:r>
      <w:r w:rsidR="008C648F">
        <w:rPr>
          <w:i/>
          <w:noProof/>
        </w:rPr>
        <w:t>1</w:t>
      </w:r>
      <w:r w:rsidR="008C648F" w:rsidRPr="00D473D5">
        <w:rPr>
          <w:i/>
          <w:noProof/>
        </w:rPr>
        <w:t xml:space="preserve"> </w:t>
      </w:r>
      <w:r w:rsidRPr="00D473D5">
        <w:rPr>
          <w:i/>
          <w:noProof/>
        </w:rPr>
        <w:t xml:space="preserve">year </w:t>
      </w:r>
      <w:r w:rsidR="00FB001B">
        <w:rPr>
          <w:i/>
          <w:noProof/>
        </w:rPr>
        <w:t>after</w:t>
      </w:r>
      <w:r w:rsidRPr="00D473D5">
        <w:rPr>
          <w:i/>
          <w:noProof/>
        </w:rPr>
        <w:t xml:space="preserve"> the date of entry into force of this Regulation</w:t>
      </w:r>
      <w:r w:rsidRPr="000C4F35">
        <w:rPr>
          <w:noProof/>
        </w:rPr>
        <w:t xml:space="preserve">]. </w:t>
      </w:r>
    </w:p>
    <w:p w14:paraId="67812714" w14:textId="77777777" w:rsidR="004F677E" w:rsidRPr="000C4F35" w:rsidRDefault="004F677E" w:rsidP="00685329">
      <w:pPr>
        <w:pStyle w:val="Text1"/>
        <w:rPr>
          <w:noProof/>
        </w:rPr>
      </w:pPr>
      <w:r w:rsidRPr="000C4F35">
        <w:rPr>
          <w:noProof/>
        </w:rPr>
        <w:t xml:space="preserve">Power is delegated to the Commission to </w:t>
      </w:r>
      <w:r w:rsidR="00D2008B">
        <w:rPr>
          <w:noProof/>
        </w:rPr>
        <w:t xml:space="preserve">supplement this Regulation by </w:t>
      </w:r>
      <w:r w:rsidRPr="000C4F35">
        <w:rPr>
          <w:noProof/>
        </w:rPr>
        <w:t>adopt</w:t>
      </w:r>
      <w:r w:rsidR="00D2008B">
        <w:rPr>
          <w:noProof/>
        </w:rPr>
        <w:t>ing</w:t>
      </w:r>
      <w:r w:rsidRPr="000C4F35">
        <w:rPr>
          <w:noProof/>
        </w:rPr>
        <w:t xml:space="preserve"> the regulatory technical standards referred to in the first subparagraph in accordance with Articles 10 to 14 of Regulation (EU) No 1095/2010.</w:t>
      </w:r>
      <w:r w:rsidR="00B42134">
        <w:rPr>
          <w:noProof/>
        </w:rPr>
        <w:t>’</w:t>
      </w:r>
      <w:r w:rsidR="00FB001B">
        <w:rPr>
          <w:noProof/>
        </w:rPr>
        <w:t>;</w:t>
      </w:r>
    </w:p>
    <w:p w14:paraId="60C51603" w14:textId="77777777" w:rsidR="0049199C" w:rsidRDefault="0049199C" w:rsidP="00685329">
      <w:pPr>
        <w:pStyle w:val="ManualNumPar1"/>
        <w:rPr>
          <w:noProof/>
        </w:rPr>
      </w:pPr>
      <w:r>
        <w:rPr>
          <w:noProof/>
        </w:rPr>
        <w:t xml:space="preserve">(11) </w:t>
      </w:r>
      <w:r w:rsidR="00CB09B5">
        <w:rPr>
          <w:noProof/>
        </w:rPr>
        <w:t>i</w:t>
      </w:r>
      <w:r>
        <w:rPr>
          <w:noProof/>
        </w:rPr>
        <w:t xml:space="preserve">n Article 27, the following paragraph 3a is inserted: </w:t>
      </w:r>
    </w:p>
    <w:p w14:paraId="03EA5293" w14:textId="77777777" w:rsidR="0049199C" w:rsidRPr="0049199C" w:rsidRDefault="0049199C" w:rsidP="00E4531D">
      <w:pPr>
        <w:pStyle w:val="Text1"/>
        <w:rPr>
          <w:noProof/>
        </w:rPr>
      </w:pPr>
      <w:r>
        <w:rPr>
          <w:noProof/>
        </w:rPr>
        <w:t>“</w:t>
      </w:r>
      <w:r w:rsidR="0065222F" w:rsidRPr="006B3BA6">
        <w:rPr>
          <w:noProof/>
        </w:rPr>
        <w:t>3a.</w:t>
      </w:r>
      <w:r w:rsidR="0065222F">
        <w:rPr>
          <w:noProof/>
        </w:rPr>
        <w:t xml:space="preserve"> </w:t>
      </w:r>
      <w:r>
        <w:rPr>
          <w:noProof/>
        </w:rPr>
        <w:t xml:space="preserve">For the purposes of paragraphs 2 and 3, </w:t>
      </w:r>
      <w:r w:rsidRPr="006B3BA6">
        <w:rPr>
          <w:noProof/>
        </w:rPr>
        <w:t>independent</w:t>
      </w:r>
      <w:r>
        <w:rPr>
          <w:noProof/>
        </w:rPr>
        <w:t xml:space="preserve"> member of the management body shall mean </w:t>
      </w:r>
      <w:r w:rsidRPr="000C4F35">
        <w:rPr>
          <w:noProof/>
        </w:rPr>
        <w:t>a member of the management body who has no business, family or other relationship that raises a conflict of interests regarding the CSD concerned or its controlling shareholders, its management or its participants, and who has had no such relationship during the five years preceding his membership of the management body;”</w:t>
      </w:r>
    </w:p>
    <w:p w14:paraId="4F6E90F1" w14:textId="496A6E77" w:rsidR="004F677E" w:rsidRPr="000C4F35" w:rsidRDefault="00FB001B" w:rsidP="00685329">
      <w:pPr>
        <w:pStyle w:val="ManualNumPar1"/>
        <w:rPr>
          <w:noProof/>
        </w:rPr>
      </w:pPr>
      <w:r>
        <w:rPr>
          <w:noProof/>
        </w:rPr>
        <w:t>(</w:t>
      </w:r>
      <w:r w:rsidR="004F677E" w:rsidRPr="000C4F35">
        <w:rPr>
          <w:noProof/>
        </w:rPr>
        <w:t>1</w:t>
      </w:r>
      <w:r w:rsidR="0044417D">
        <w:rPr>
          <w:noProof/>
        </w:rPr>
        <w:t>2</w:t>
      </w:r>
      <w:r>
        <w:rPr>
          <w:noProof/>
        </w:rPr>
        <w:t>)</w:t>
      </w:r>
      <w:r w:rsidR="004F677E" w:rsidRPr="000C4F35">
        <w:rPr>
          <w:noProof/>
        </w:rPr>
        <w:t xml:space="preserve"> </w:t>
      </w:r>
      <w:r>
        <w:rPr>
          <w:noProof/>
        </w:rPr>
        <w:t>i</w:t>
      </w:r>
      <w:r w:rsidR="004F677E" w:rsidRPr="000C4F35">
        <w:rPr>
          <w:noProof/>
        </w:rPr>
        <w:t>n Article 28, paragraph 3 is replaced by the following</w:t>
      </w:r>
      <w:r w:rsidR="00E2712A">
        <w:rPr>
          <w:noProof/>
        </w:rPr>
        <w:t>:</w:t>
      </w:r>
    </w:p>
    <w:p w14:paraId="5FBB4896" w14:textId="77777777" w:rsidR="004F677E" w:rsidRPr="000C4F35" w:rsidRDefault="00B42134" w:rsidP="00685329">
      <w:pPr>
        <w:pStyle w:val="Text1"/>
        <w:rPr>
          <w:noProof/>
        </w:rPr>
      </w:pPr>
      <w:r>
        <w:rPr>
          <w:noProof/>
        </w:rPr>
        <w:t>‘</w:t>
      </w:r>
      <w:r w:rsidR="004F677E" w:rsidRPr="000C4F35">
        <w:rPr>
          <w:noProof/>
        </w:rPr>
        <w:t xml:space="preserve">3. User committees shall advise the management body on key arrangements that impact on their members, including the criteria for accepting issuers or participants in their respective securities settlement systems and on service level, </w:t>
      </w:r>
      <w:r w:rsidR="0030643A">
        <w:rPr>
          <w:noProof/>
        </w:rPr>
        <w:t xml:space="preserve">which </w:t>
      </w:r>
      <w:r w:rsidR="004F677E" w:rsidRPr="000C4F35">
        <w:rPr>
          <w:noProof/>
        </w:rPr>
        <w:t>includ</w:t>
      </w:r>
      <w:r w:rsidR="0030643A">
        <w:rPr>
          <w:noProof/>
        </w:rPr>
        <w:t>es</w:t>
      </w:r>
      <w:r w:rsidR="004F677E" w:rsidRPr="000C4F35">
        <w:rPr>
          <w:noProof/>
        </w:rPr>
        <w:t xml:space="preserve"> the choice of a clearing and settlement arrangement, operating structure</w:t>
      </w:r>
      <w:r w:rsidR="00FB001B">
        <w:rPr>
          <w:noProof/>
        </w:rPr>
        <w:t xml:space="preserve"> of </w:t>
      </w:r>
      <w:r w:rsidR="00254D20" w:rsidRPr="00E4531D">
        <w:rPr>
          <w:noProof/>
        </w:rPr>
        <w:t>the CSD</w:t>
      </w:r>
      <w:r w:rsidR="004F677E" w:rsidRPr="000C4F35">
        <w:rPr>
          <w:noProof/>
        </w:rPr>
        <w:t>, scope of products settled or recorded, and the use of technology and procedures</w:t>
      </w:r>
      <w:r w:rsidR="00254D20">
        <w:rPr>
          <w:noProof/>
        </w:rPr>
        <w:t xml:space="preserve"> for the operations of the CSD</w:t>
      </w:r>
      <w:r w:rsidR="00FB001B">
        <w:rPr>
          <w:noProof/>
        </w:rPr>
        <w:t xml:space="preserve"> </w:t>
      </w:r>
      <w:r w:rsidR="00B50AD0" w:rsidRPr="006B3BA6">
        <w:rPr>
          <w:i/>
          <w:noProof/>
        </w:rPr>
        <w:t>.</w:t>
      </w:r>
      <w:r>
        <w:rPr>
          <w:noProof/>
        </w:rPr>
        <w:t>’</w:t>
      </w:r>
      <w:r w:rsidR="00FB001B">
        <w:rPr>
          <w:noProof/>
        </w:rPr>
        <w:t>;</w:t>
      </w:r>
    </w:p>
    <w:p w14:paraId="2EDC96EF" w14:textId="77777777" w:rsidR="004F677E" w:rsidRPr="000C4F35" w:rsidRDefault="00FB001B" w:rsidP="00685329">
      <w:pPr>
        <w:pStyle w:val="ManualNumPar1"/>
        <w:rPr>
          <w:noProof/>
        </w:rPr>
      </w:pPr>
      <w:r>
        <w:rPr>
          <w:noProof/>
        </w:rPr>
        <w:t>(</w:t>
      </w:r>
      <w:r w:rsidR="004F677E" w:rsidRPr="000C4F35">
        <w:rPr>
          <w:noProof/>
        </w:rPr>
        <w:t>1</w:t>
      </w:r>
      <w:r w:rsidR="0044417D">
        <w:rPr>
          <w:noProof/>
        </w:rPr>
        <w:t>3</w:t>
      </w:r>
      <w:r>
        <w:rPr>
          <w:noProof/>
        </w:rPr>
        <w:t>)</w:t>
      </w:r>
      <w:r w:rsidR="004F677E" w:rsidRPr="000C4F35">
        <w:rPr>
          <w:noProof/>
        </w:rPr>
        <w:t xml:space="preserve"> Article 36 is replaced by the following: </w:t>
      </w:r>
    </w:p>
    <w:p w14:paraId="5F970CA3" w14:textId="77777777" w:rsidR="00FB001B" w:rsidRDefault="004F677E" w:rsidP="00E4531D">
      <w:pPr>
        <w:pStyle w:val="Text1"/>
        <w:jc w:val="center"/>
        <w:rPr>
          <w:noProof/>
        </w:rPr>
      </w:pPr>
      <w:r w:rsidRPr="000C4F35">
        <w:rPr>
          <w:noProof/>
        </w:rPr>
        <w:t>“</w:t>
      </w:r>
      <w:r w:rsidR="00FB001B" w:rsidRPr="00E4531D">
        <w:rPr>
          <w:i/>
          <w:noProof/>
        </w:rPr>
        <w:t>Article 36</w:t>
      </w:r>
    </w:p>
    <w:p w14:paraId="40CCC3CC" w14:textId="77777777" w:rsidR="00FB001B" w:rsidRPr="00E4531D" w:rsidRDefault="00FB001B" w:rsidP="00E4531D">
      <w:pPr>
        <w:pStyle w:val="Text1"/>
        <w:jc w:val="center"/>
        <w:rPr>
          <w:b/>
          <w:noProof/>
        </w:rPr>
      </w:pPr>
      <w:r w:rsidRPr="00E4531D">
        <w:rPr>
          <w:b/>
          <w:noProof/>
        </w:rPr>
        <w:t>General provisions</w:t>
      </w:r>
    </w:p>
    <w:p w14:paraId="0A80493F" w14:textId="77777777" w:rsidR="004F677E" w:rsidRPr="000C4F35" w:rsidRDefault="004F677E" w:rsidP="00685329">
      <w:pPr>
        <w:pStyle w:val="Text1"/>
        <w:rPr>
          <w:noProof/>
        </w:rPr>
      </w:pPr>
      <w:r w:rsidRPr="000C4F35">
        <w:rPr>
          <w:noProof/>
        </w:rPr>
        <w:t>For each securities settlement system it operates a CSD shall have appropriate rules and procedures, including robust accounting practices and controls, to help ensure the integrity of securities issues, and minimise and manage the risks associated with the safekeeping and settlement of transactions in securities</w:t>
      </w:r>
      <w:r w:rsidR="00B50AD0">
        <w:rPr>
          <w:noProof/>
        </w:rPr>
        <w:t>.</w:t>
      </w:r>
      <w:r w:rsidRPr="000C4F35">
        <w:rPr>
          <w:noProof/>
        </w:rPr>
        <w:t>”</w:t>
      </w:r>
      <w:r w:rsidR="00FB001B">
        <w:rPr>
          <w:noProof/>
        </w:rPr>
        <w:t>;</w:t>
      </w:r>
    </w:p>
    <w:p w14:paraId="7686AB15" w14:textId="77777777" w:rsidR="004F677E" w:rsidRPr="000C4F35" w:rsidRDefault="00FB001B" w:rsidP="00685329">
      <w:pPr>
        <w:pStyle w:val="ManualNumPar1"/>
        <w:rPr>
          <w:noProof/>
        </w:rPr>
      </w:pPr>
      <w:r>
        <w:rPr>
          <w:noProof/>
        </w:rPr>
        <w:t>(</w:t>
      </w:r>
      <w:r w:rsidR="004F677E" w:rsidRPr="000C4F35">
        <w:rPr>
          <w:noProof/>
        </w:rPr>
        <w:t>1</w:t>
      </w:r>
      <w:r w:rsidR="0044417D">
        <w:rPr>
          <w:noProof/>
        </w:rPr>
        <w:t>4</w:t>
      </w:r>
      <w:r>
        <w:rPr>
          <w:noProof/>
        </w:rPr>
        <w:t>)</w:t>
      </w:r>
      <w:r w:rsidR="004F677E" w:rsidRPr="000C4F35">
        <w:rPr>
          <w:noProof/>
        </w:rPr>
        <w:t xml:space="preserve"> </w:t>
      </w:r>
      <w:r>
        <w:rPr>
          <w:noProof/>
        </w:rPr>
        <w:t>i</w:t>
      </w:r>
      <w:r w:rsidR="004F677E" w:rsidRPr="000C4F35">
        <w:rPr>
          <w:noProof/>
        </w:rPr>
        <w:t>n Article 40, paragraph 2 is replaced by the following:</w:t>
      </w:r>
    </w:p>
    <w:p w14:paraId="275E437C" w14:textId="77777777" w:rsidR="004F677E" w:rsidRPr="000C4F35" w:rsidRDefault="00B42134">
      <w:pPr>
        <w:pStyle w:val="Text1"/>
        <w:rPr>
          <w:noProof/>
        </w:rPr>
      </w:pPr>
      <w:r>
        <w:rPr>
          <w:noProof/>
        </w:rPr>
        <w:t>‘</w:t>
      </w:r>
      <w:r w:rsidR="004F677E" w:rsidRPr="000C4F35">
        <w:rPr>
          <w:noProof/>
        </w:rPr>
        <w:t>2</w:t>
      </w:r>
      <w:r w:rsidR="009C003C" w:rsidRPr="000C4F35">
        <w:rPr>
          <w:noProof/>
        </w:rPr>
        <w:t>.</w:t>
      </w:r>
      <w:r w:rsidR="004F677E" w:rsidRPr="000C4F35">
        <w:rPr>
          <w:noProof/>
        </w:rPr>
        <w:t xml:space="preserve"> Where it is not practical</w:t>
      </w:r>
      <w:r w:rsidR="00B04614">
        <w:rPr>
          <w:noProof/>
        </w:rPr>
        <w:t xml:space="preserve"> and available</w:t>
      </w:r>
      <w:r w:rsidR="004F677E" w:rsidRPr="000C4F35">
        <w:rPr>
          <w:noProof/>
        </w:rPr>
        <w:t xml:space="preserve"> to settle in central bank accounts as provided in paragraph 1, a CSD may offer to settle the cash payments for all or part of its securities settlement systems through accounts opened with a credit institution, through a CSD that is authorised to provide the services </w:t>
      </w:r>
      <w:r w:rsidR="00FB001B">
        <w:rPr>
          <w:noProof/>
        </w:rPr>
        <w:t xml:space="preserve">listed </w:t>
      </w:r>
      <w:r w:rsidR="004F677E" w:rsidRPr="000C4F35">
        <w:rPr>
          <w:noProof/>
        </w:rPr>
        <w:t xml:space="preserve">in </w:t>
      </w:r>
      <w:r w:rsidR="00FB001B">
        <w:rPr>
          <w:noProof/>
        </w:rPr>
        <w:t>Section</w:t>
      </w:r>
      <w:r w:rsidR="004F677E" w:rsidRPr="000C4F35">
        <w:rPr>
          <w:noProof/>
        </w:rPr>
        <w:t xml:space="preserve"> C </w:t>
      </w:r>
      <w:r w:rsidR="00FB001B">
        <w:rPr>
          <w:noProof/>
        </w:rPr>
        <w:t xml:space="preserve">of the Annex </w:t>
      </w:r>
      <w:r w:rsidR="004F677E" w:rsidRPr="000C4F35">
        <w:rPr>
          <w:noProof/>
        </w:rPr>
        <w:t>whether within the same group of undertakings ultimately controlled by the same parent undertaking or not, or through its own accounts. If a CSD offers to settle in accounts opened with a credit institution</w:t>
      </w:r>
      <w:r w:rsidR="00CB09B5">
        <w:rPr>
          <w:noProof/>
        </w:rPr>
        <w:t xml:space="preserve">, </w:t>
      </w:r>
      <w:r w:rsidR="004F677E" w:rsidRPr="000C4F35">
        <w:rPr>
          <w:noProof/>
        </w:rPr>
        <w:t>through its own accounts</w:t>
      </w:r>
      <w:r w:rsidR="00CB09B5">
        <w:rPr>
          <w:noProof/>
        </w:rPr>
        <w:t xml:space="preserve"> or the accounts of another CSD</w:t>
      </w:r>
      <w:r w:rsidR="004F677E" w:rsidRPr="000C4F35">
        <w:rPr>
          <w:noProof/>
        </w:rPr>
        <w:t>, it shall do so in accordance with the provisions of Title IV</w:t>
      </w:r>
      <w:r w:rsidR="004F677E" w:rsidRPr="006B3BA6">
        <w:rPr>
          <w:noProof/>
        </w:rPr>
        <w:t>.</w:t>
      </w:r>
      <w:r>
        <w:rPr>
          <w:noProof/>
        </w:rPr>
        <w:t>’</w:t>
      </w:r>
      <w:r w:rsidR="00FB001B">
        <w:rPr>
          <w:noProof/>
        </w:rPr>
        <w:t>;</w:t>
      </w:r>
    </w:p>
    <w:p w14:paraId="664FB374" w14:textId="77777777" w:rsidR="004F677E" w:rsidRPr="000C4F35" w:rsidRDefault="00B43F19" w:rsidP="00E4531D">
      <w:pPr>
        <w:pStyle w:val="ManualNumPar1"/>
        <w:rPr>
          <w:noProof/>
        </w:rPr>
      </w:pPr>
      <w:r>
        <w:rPr>
          <w:noProof/>
        </w:rPr>
        <w:t>(</w:t>
      </w:r>
      <w:r w:rsidR="004F677E" w:rsidRPr="000C4F35">
        <w:rPr>
          <w:noProof/>
        </w:rPr>
        <w:t>1</w:t>
      </w:r>
      <w:r w:rsidR="006C0D2D">
        <w:rPr>
          <w:noProof/>
        </w:rPr>
        <w:t>5</w:t>
      </w:r>
      <w:r>
        <w:rPr>
          <w:noProof/>
        </w:rPr>
        <w:t>)</w:t>
      </w:r>
      <w:r w:rsidR="004F677E" w:rsidRPr="000C4F35">
        <w:rPr>
          <w:noProof/>
        </w:rPr>
        <w:t xml:space="preserve"> </w:t>
      </w:r>
      <w:r w:rsidR="00211BC6">
        <w:rPr>
          <w:noProof/>
        </w:rPr>
        <w:t>i</w:t>
      </w:r>
      <w:r w:rsidR="004F677E" w:rsidRPr="000C4F35">
        <w:rPr>
          <w:noProof/>
        </w:rPr>
        <w:t>n Article 49</w:t>
      </w:r>
      <w:r w:rsidR="00211BC6">
        <w:rPr>
          <w:noProof/>
        </w:rPr>
        <w:t>(1)</w:t>
      </w:r>
      <w:r w:rsidR="004F677E" w:rsidRPr="000C4F35">
        <w:rPr>
          <w:noProof/>
        </w:rPr>
        <w:t xml:space="preserve">, </w:t>
      </w:r>
      <w:r w:rsidR="0028271B">
        <w:rPr>
          <w:noProof/>
        </w:rPr>
        <w:t xml:space="preserve">the </w:t>
      </w:r>
      <w:r w:rsidR="00211BC6">
        <w:rPr>
          <w:noProof/>
        </w:rPr>
        <w:t xml:space="preserve">second and </w:t>
      </w:r>
      <w:r w:rsidR="0028271B">
        <w:rPr>
          <w:noProof/>
        </w:rPr>
        <w:t xml:space="preserve">the </w:t>
      </w:r>
      <w:r w:rsidR="00211BC6">
        <w:rPr>
          <w:noProof/>
        </w:rPr>
        <w:t>third sub</w:t>
      </w:r>
      <w:r w:rsidR="004F677E" w:rsidRPr="000C4F35">
        <w:rPr>
          <w:noProof/>
        </w:rPr>
        <w:t>paragraph</w:t>
      </w:r>
      <w:r w:rsidR="00211BC6">
        <w:rPr>
          <w:noProof/>
        </w:rPr>
        <w:t>s are</w:t>
      </w:r>
      <w:r w:rsidR="004F677E" w:rsidRPr="000C4F35">
        <w:rPr>
          <w:noProof/>
        </w:rPr>
        <w:t xml:space="preserve"> replaced by the following: </w:t>
      </w:r>
    </w:p>
    <w:p w14:paraId="1AA446F4" w14:textId="77777777" w:rsidR="004F677E" w:rsidRPr="000C4F35" w:rsidRDefault="00B42134" w:rsidP="00685329">
      <w:pPr>
        <w:pStyle w:val="Text1"/>
        <w:rPr>
          <w:noProof/>
        </w:rPr>
      </w:pPr>
      <w:r>
        <w:rPr>
          <w:noProof/>
        </w:rPr>
        <w:t>‘</w:t>
      </w:r>
      <w:r w:rsidR="004F677E" w:rsidRPr="000C4F35">
        <w:rPr>
          <w:noProof/>
        </w:rPr>
        <w:t>Without prejudice to the issuer’s right referred to in the first subparagraph, the corporate or similar law of the Member State under which the securities are constituted shall continue to apply. The corporate or similar law of the Member State under which the securities are constituted includes:</w:t>
      </w:r>
    </w:p>
    <w:p w14:paraId="2B42C201" w14:textId="4F7A805A" w:rsidR="004F677E" w:rsidRPr="000C4F35" w:rsidRDefault="001678E4" w:rsidP="001678E4">
      <w:pPr>
        <w:pStyle w:val="Point2"/>
        <w:rPr>
          <w:noProof/>
        </w:rPr>
      </w:pPr>
      <w:r w:rsidRPr="001678E4">
        <w:t>(a)</w:t>
      </w:r>
      <w:r w:rsidRPr="001678E4">
        <w:tab/>
      </w:r>
      <w:r w:rsidR="004F677E" w:rsidRPr="000C4F35">
        <w:rPr>
          <w:noProof/>
        </w:rPr>
        <w:t>the corporate or similar law of the Member State where the issuer is established; and</w:t>
      </w:r>
    </w:p>
    <w:p w14:paraId="3B195F27" w14:textId="35D535B7" w:rsidR="00B43F19" w:rsidRDefault="001678E4" w:rsidP="001678E4">
      <w:pPr>
        <w:pStyle w:val="Point2"/>
        <w:rPr>
          <w:noProof/>
        </w:rPr>
      </w:pPr>
      <w:r w:rsidRPr="001678E4">
        <w:t>(b)</w:t>
      </w:r>
      <w:r w:rsidRPr="001678E4">
        <w:tab/>
      </w:r>
      <w:r w:rsidR="004F677E" w:rsidRPr="000C4F35">
        <w:rPr>
          <w:noProof/>
        </w:rPr>
        <w:t>the governing corporate or similar law under which the securities are issued.</w:t>
      </w:r>
    </w:p>
    <w:p w14:paraId="57643D3F" w14:textId="77777777" w:rsidR="004F677E" w:rsidRPr="000C4F35" w:rsidRDefault="004F677E" w:rsidP="00501D05">
      <w:pPr>
        <w:ind w:left="850"/>
        <w:rPr>
          <w:noProof/>
        </w:rPr>
      </w:pPr>
      <w:r w:rsidRPr="000C4F35">
        <w:rPr>
          <w:noProof/>
        </w:rPr>
        <w:t xml:space="preserve">Member States shall </w:t>
      </w:r>
      <w:r w:rsidR="003C6E34">
        <w:rPr>
          <w:noProof/>
        </w:rPr>
        <w:t>compile</w:t>
      </w:r>
      <w:r w:rsidRPr="000C4F35">
        <w:rPr>
          <w:noProof/>
        </w:rPr>
        <w:t xml:space="preserve"> a list of key relevant provisions of their law, as referred to in the second subparagraph. Competent authorities shall communicate that list to ESMA by 18 December 2014. ESMA shall publish the list by 18 January 2015. </w:t>
      </w:r>
      <w:r w:rsidR="003C6E34" w:rsidRPr="006B3BA6">
        <w:rPr>
          <w:noProof/>
        </w:rPr>
        <w:t>Member</w:t>
      </w:r>
      <w:r w:rsidR="003C6E34">
        <w:rPr>
          <w:noProof/>
        </w:rPr>
        <w:t xml:space="preserve"> States</w:t>
      </w:r>
      <w:r w:rsidR="005454EB">
        <w:rPr>
          <w:noProof/>
        </w:rPr>
        <w:t xml:space="preserve"> shall</w:t>
      </w:r>
      <w:r w:rsidRPr="000C4F35">
        <w:rPr>
          <w:noProof/>
        </w:rPr>
        <w:t xml:space="preserve"> update</w:t>
      </w:r>
      <w:r w:rsidR="00211BC6">
        <w:rPr>
          <w:noProof/>
        </w:rPr>
        <w:t xml:space="preserve"> that list</w:t>
      </w:r>
      <w:r w:rsidRPr="000C4F35">
        <w:rPr>
          <w:noProof/>
        </w:rPr>
        <w:t xml:space="preserve"> regularly and at least every </w:t>
      </w:r>
      <w:r w:rsidR="008C648F">
        <w:rPr>
          <w:noProof/>
        </w:rPr>
        <w:t>2</w:t>
      </w:r>
      <w:r w:rsidR="008C648F" w:rsidRPr="000C4F35">
        <w:rPr>
          <w:noProof/>
        </w:rPr>
        <w:t xml:space="preserve"> </w:t>
      </w:r>
      <w:r w:rsidRPr="000C4F35">
        <w:rPr>
          <w:noProof/>
        </w:rPr>
        <w:t>years</w:t>
      </w:r>
      <w:r w:rsidRPr="006B3BA6">
        <w:rPr>
          <w:noProof/>
        </w:rPr>
        <w:t>.</w:t>
      </w:r>
      <w:r w:rsidR="007E0761">
        <w:rPr>
          <w:noProof/>
        </w:rPr>
        <w:t xml:space="preserve"> They shall communicate the updated list at those regular intervals to ESMA. ESMA shall publish the updated list.</w:t>
      </w:r>
      <w:r w:rsidR="00B42134">
        <w:rPr>
          <w:noProof/>
        </w:rPr>
        <w:t>’</w:t>
      </w:r>
      <w:r w:rsidR="00211BC6">
        <w:rPr>
          <w:noProof/>
        </w:rPr>
        <w:t>;</w:t>
      </w:r>
      <w:r w:rsidRPr="000C4F35">
        <w:rPr>
          <w:noProof/>
        </w:rPr>
        <w:t xml:space="preserve"> </w:t>
      </w:r>
    </w:p>
    <w:p w14:paraId="3B8E912C" w14:textId="77777777" w:rsidR="004F677E" w:rsidRPr="000C4F35" w:rsidRDefault="00B43F19" w:rsidP="00685329">
      <w:pPr>
        <w:pStyle w:val="ManualNumPar1"/>
        <w:rPr>
          <w:noProof/>
        </w:rPr>
      </w:pPr>
      <w:r>
        <w:rPr>
          <w:noProof/>
        </w:rPr>
        <w:t>(</w:t>
      </w:r>
      <w:r w:rsidR="004F677E" w:rsidRPr="000C4F35">
        <w:rPr>
          <w:noProof/>
        </w:rPr>
        <w:t>1</w:t>
      </w:r>
      <w:r w:rsidR="006C0D2D">
        <w:rPr>
          <w:noProof/>
        </w:rPr>
        <w:t>6</w:t>
      </w:r>
      <w:r>
        <w:rPr>
          <w:noProof/>
        </w:rPr>
        <w:t>)</w:t>
      </w:r>
      <w:r w:rsidR="004F677E" w:rsidRPr="000C4F35">
        <w:rPr>
          <w:noProof/>
        </w:rPr>
        <w:t xml:space="preserve"> </w:t>
      </w:r>
      <w:r>
        <w:rPr>
          <w:noProof/>
        </w:rPr>
        <w:t>i</w:t>
      </w:r>
      <w:r w:rsidR="004F677E" w:rsidRPr="000C4F35">
        <w:rPr>
          <w:noProof/>
        </w:rPr>
        <w:t>n Article 52, paragraph 1 is replaced by the following:</w:t>
      </w:r>
    </w:p>
    <w:p w14:paraId="6764256A" w14:textId="77777777" w:rsidR="004F677E" w:rsidRPr="000C4F35" w:rsidRDefault="00B42134" w:rsidP="00685329">
      <w:pPr>
        <w:pStyle w:val="Text1"/>
        <w:rPr>
          <w:noProof/>
        </w:rPr>
      </w:pPr>
      <w:r>
        <w:rPr>
          <w:noProof/>
        </w:rPr>
        <w:t>‘</w:t>
      </w:r>
      <w:r w:rsidR="009C003C" w:rsidRPr="000C4F35">
        <w:rPr>
          <w:noProof/>
        </w:rPr>
        <w:t xml:space="preserve">1. </w:t>
      </w:r>
      <w:r w:rsidR="004F677E" w:rsidRPr="000C4F35">
        <w:rPr>
          <w:noProof/>
        </w:rPr>
        <w:t xml:space="preserve">When a CSD submits a request for access to another CSD pursuant to Articles 50 and 51, the </w:t>
      </w:r>
      <w:r w:rsidR="0028271B">
        <w:rPr>
          <w:noProof/>
        </w:rPr>
        <w:t xml:space="preserve">receiving CSD </w:t>
      </w:r>
      <w:r w:rsidR="004F677E" w:rsidRPr="000C4F35">
        <w:rPr>
          <w:noProof/>
        </w:rPr>
        <w:t xml:space="preserve">shall treat such request promptly and shall provide a response to the requesting CSD within </w:t>
      </w:r>
      <w:r>
        <w:rPr>
          <w:noProof/>
        </w:rPr>
        <w:t>3</w:t>
      </w:r>
      <w:r w:rsidRPr="000C4F35">
        <w:rPr>
          <w:noProof/>
        </w:rPr>
        <w:t xml:space="preserve"> </w:t>
      </w:r>
      <w:r w:rsidR="004F677E" w:rsidRPr="000C4F35">
        <w:rPr>
          <w:noProof/>
        </w:rPr>
        <w:t>months. If the receiving CSD agrees to the request, the link shall be implemented within a reasonable timeframe, but no longer than 12 months.</w:t>
      </w:r>
      <w:r>
        <w:rPr>
          <w:noProof/>
        </w:rPr>
        <w:t>’</w:t>
      </w:r>
      <w:r w:rsidR="00B50AD0">
        <w:rPr>
          <w:noProof/>
        </w:rPr>
        <w:t>;</w:t>
      </w:r>
    </w:p>
    <w:p w14:paraId="07FC4AF2" w14:textId="77777777" w:rsidR="004F677E" w:rsidRPr="000C4F35" w:rsidRDefault="00B43F19" w:rsidP="00685329">
      <w:pPr>
        <w:pStyle w:val="ManualNumPar1"/>
        <w:rPr>
          <w:noProof/>
        </w:rPr>
      </w:pPr>
      <w:r>
        <w:rPr>
          <w:noProof/>
        </w:rPr>
        <w:t>(</w:t>
      </w:r>
      <w:r w:rsidR="004F677E" w:rsidRPr="000C4F35">
        <w:rPr>
          <w:noProof/>
        </w:rPr>
        <w:t>1</w:t>
      </w:r>
      <w:r w:rsidR="006C0D2D">
        <w:rPr>
          <w:noProof/>
        </w:rPr>
        <w:t>7</w:t>
      </w:r>
      <w:r>
        <w:rPr>
          <w:noProof/>
        </w:rPr>
        <w:t>)</w:t>
      </w:r>
      <w:r w:rsidR="004F677E" w:rsidRPr="000C4F35">
        <w:rPr>
          <w:noProof/>
        </w:rPr>
        <w:t xml:space="preserve"> Article 54 is amended as follows:</w:t>
      </w:r>
    </w:p>
    <w:p w14:paraId="74D3EDEB" w14:textId="2B8F5C50" w:rsidR="00B71FA4" w:rsidRDefault="001678E4" w:rsidP="001678E4">
      <w:pPr>
        <w:pStyle w:val="Point1"/>
        <w:rPr>
          <w:noProof/>
        </w:rPr>
      </w:pPr>
      <w:r w:rsidRPr="001678E4">
        <w:t>(a)</w:t>
      </w:r>
      <w:r w:rsidRPr="001678E4">
        <w:tab/>
      </w:r>
      <w:r w:rsidR="00B71FA4">
        <w:rPr>
          <w:noProof/>
        </w:rPr>
        <w:t>in paragraph 2, point (b) is replaced by the following:</w:t>
      </w:r>
    </w:p>
    <w:p w14:paraId="015B3F92" w14:textId="77777777" w:rsidR="00B71FA4" w:rsidRDefault="00B71FA4" w:rsidP="00501D05">
      <w:pPr>
        <w:ind w:left="850"/>
        <w:rPr>
          <w:noProof/>
        </w:rPr>
      </w:pPr>
      <w:r>
        <w:rPr>
          <w:noProof/>
        </w:rPr>
        <w:t>‘</w:t>
      </w:r>
      <w:r w:rsidR="000E45D1">
        <w:rPr>
          <w:noProof/>
        </w:rPr>
        <w:t xml:space="preserve">(b) </w:t>
      </w:r>
      <w:r w:rsidRPr="00B71FA4">
        <w:rPr>
          <w:noProof/>
        </w:rPr>
        <w:t>to designate for that purpose one or more credit institutions authorised in accordance with Article 8 of Directive 2013/36/EU</w:t>
      </w:r>
      <w:r>
        <w:rPr>
          <w:noProof/>
        </w:rPr>
        <w:t xml:space="preserve"> or a CSD authorised to provide banking-type ancillary services pursuant to paragraph 3</w:t>
      </w:r>
      <w:r w:rsidR="000E45D1">
        <w:rPr>
          <w:noProof/>
        </w:rPr>
        <w:t xml:space="preserve"> of this Article</w:t>
      </w:r>
      <w:r>
        <w:rPr>
          <w:noProof/>
        </w:rPr>
        <w:t>’.</w:t>
      </w:r>
    </w:p>
    <w:p w14:paraId="24A2666F" w14:textId="2AE84442" w:rsidR="00B43F19" w:rsidRDefault="001678E4" w:rsidP="001678E4">
      <w:pPr>
        <w:pStyle w:val="Point1"/>
        <w:rPr>
          <w:noProof/>
        </w:rPr>
      </w:pPr>
      <w:r w:rsidRPr="001678E4">
        <w:t>(b)</w:t>
      </w:r>
      <w:r w:rsidRPr="001678E4">
        <w:tab/>
      </w:r>
      <w:r w:rsidR="008844B3">
        <w:rPr>
          <w:noProof/>
        </w:rPr>
        <w:t xml:space="preserve">in </w:t>
      </w:r>
      <w:r w:rsidR="004F677E" w:rsidRPr="000C4F35">
        <w:rPr>
          <w:noProof/>
        </w:rPr>
        <w:t>paragraph 4</w:t>
      </w:r>
      <w:r w:rsidR="008844B3">
        <w:rPr>
          <w:noProof/>
        </w:rPr>
        <w:t>, the first subparagraph</w:t>
      </w:r>
      <w:r w:rsidR="004F677E" w:rsidRPr="000C4F35">
        <w:rPr>
          <w:noProof/>
        </w:rPr>
        <w:t xml:space="preserve"> is </w:t>
      </w:r>
      <w:r w:rsidR="00B43F19">
        <w:rPr>
          <w:noProof/>
        </w:rPr>
        <w:t>amended as follows:</w:t>
      </w:r>
    </w:p>
    <w:p w14:paraId="0540721E" w14:textId="77777777" w:rsidR="004F677E" w:rsidRPr="000C4F35" w:rsidRDefault="00B43F19" w:rsidP="00501D05">
      <w:pPr>
        <w:ind w:left="130" w:firstLine="720"/>
        <w:rPr>
          <w:noProof/>
        </w:rPr>
      </w:pPr>
      <w:r>
        <w:rPr>
          <w:noProof/>
        </w:rPr>
        <w:t xml:space="preserve">(i) </w:t>
      </w:r>
      <w:r w:rsidR="008844B3">
        <w:rPr>
          <w:noProof/>
        </w:rPr>
        <w:t>the introductory wording</w:t>
      </w:r>
      <w:r>
        <w:rPr>
          <w:noProof/>
        </w:rPr>
        <w:t xml:space="preserve"> is </w:t>
      </w:r>
      <w:r w:rsidR="004F677E" w:rsidRPr="000C4F35">
        <w:rPr>
          <w:noProof/>
        </w:rPr>
        <w:t>replaced by the following:</w:t>
      </w:r>
    </w:p>
    <w:p w14:paraId="146693F3" w14:textId="77777777" w:rsidR="004F677E" w:rsidRDefault="004F677E" w:rsidP="00685329">
      <w:pPr>
        <w:pStyle w:val="Text1"/>
        <w:rPr>
          <w:noProof/>
        </w:rPr>
      </w:pPr>
      <w:r w:rsidRPr="000C4F35">
        <w:rPr>
          <w:noProof/>
        </w:rPr>
        <w:t xml:space="preserve">“Where a CSD seeks to designate a credit institution or use a CSD that is authorised pursuant to paragraph </w:t>
      </w:r>
      <w:r w:rsidRPr="006B3BA6">
        <w:rPr>
          <w:noProof/>
        </w:rPr>
        <w:t>3 to provide any banking-type ancillary services from within a separate legal entity</w:t>
      </w:r>
      <w:r w:rsidR="00B37EE6" w:rsidRPr="006B3BA6">
        <w:rPr>
          <w:noProof/>
        </w:rPr>
        <w:t>,</w:t>
      </w:r>
      <w:r w:rsidRPr="006B3BA6">
        <w:rPr>
          <w:noProof/>
        </w:rPr>
        <w:t xml:space="preserve"> which may be part of the group </w:t>
      </w:r>
      <w:r w:rsidR="00B37EE6" w:rsidRPr="00E4531D">
        <w:rPr>
          <w:noProof/>
        </w:rPr>
        <w:t xml:space="preserve">to which </w:t>
      </w:r>
      <w:r w:rsidR="00B37EE6" w:rsidRPr="006B3BA6">
        <w:rPr>
          <w:noProof/>
        </w:rPr>
        <w:t xml:space="preserve">the former CSD belongs, whether or not </w:t>
      </w:r>
      <w:r w:rsidRPr="006B3BA6">
        <w:rPr>
          <w:noProof/>
        </w:rPr>
        <w:t>ultimately controlled by the same parent undertaking</w:t>
      </w:r>
      <w:r w:rsidRPr="000C4F35">
        <w:rPr>
          <w:noProof/>
        </w:rPr>
        <w:t>, the authorisation referred to in paragraph 2 shall be granted only where the following conditions are met:”</w:t>
      </w:r>
      <w:r w:rsidR="008844B3">
        <w:rPr>
          <w:noProof/>
        </w:rPr>
        <w:t>;</w:t>
      </w:r>
    </w:p>
    <w:p w14:paraId="3E467F19" w14:textId="77777777" w:rsidR="004F677E" w:rsidRPr="000C4F35" w:rsidRDefault="008844B3" w:rsidP="00D473D5">
      <w:pPr>
        <w:pStyle w:val="Text1"/>
        <w:rPr>
          <w:noProof/>
        </w:rPr>
      </w:pPr>
      <w:r>
        <w:rPr>
          <w:noProof/>
        </w:rPr>
        <w:t>(ii)</w:t>
      </w:r>
      <w:r w:rsidR="004F677E" w:rsidRPr="000C4F35">
        <w:rPr>
          <w:noProof/>
        </w:rPr>
        <w:t xml:space="preserve"> point (c) is deleted</w:t>
      </w:r>
      <w:r>
        <w:rPr>
          <w:noProof/>
        </w:rPr>
        <w:t>;</w:t>
      </w:r>
    </w:p>
    <w:p w14:paraId="3186AB8D" w14:textId="5DBCB13C" w:rsidR="004F677E" w:rsidRPr="000C4F35" w:rsidRDefault="001678E4" w:rsidP="001678E4">
      <w:pPr>
        <w:pStyle w:val="Point1"/>
        <w:rPr>
          <w:noProof/>
        </w:rPr>
      </w:pPr>
      <w:r w:rsidRPr="001678E4">
        <w:t>(c)</w:t>
      </w:r>
      <w:r w:rsidRPr="001678E4">
        <w:tab/>
      </w:r>
      <w:r w:rsidR="008844B3">
        <w:rPr>
          <w:noProof/>
        </w:rPr>
        <w:t>p</w:t>
      </w:r>
      <w:r w:rsidR="004F677E" w:rsidRPr="000C4F35">
        <w:rPr>
          <w:noProof/>
        </w:rPr>
        <w:t>aragraph 5 is replaced by the following:</w:t>
      </w:r>
    </w:p>
    <w:p w14:paraId="16700AB4" w14:textId="77777777" w:rsidR="004F677E" w:rsidRPr="000C4F35" w:rsidRDefault="00B42134">
      <w:pPr>
        <w:pStyle w:val="Text1"/>
        <w:rPr>
          <w:noProof/>
        </w:rPr>
      </w:pPr>
      <w:r>
        <w:rPr>
          <w:noProof/>
        </w:rPr>
        <w:t>‘</w:t>
      </w:r>
      <w:r w:rsidR="004F677E" w:rsidRPr="000C4F35">
        <w:rPr>
          <w:noProof/>
        </w:rPr>
        <w:t>5</w:t>
      </w:r>
      <w:r w:rsidR="009C003C" w:rsidRPr="000C4F35">
        <w:rPr>
          <w:noProof/>
        </w:rPr>
        <w:t>.</w:t>
      </w:r>
      <w:r w:rsidR="004F677E" w:rsidRPr="000C4F35">
        <w:rPr>
          <w:noProof/>
        </w:rPr>
        <w:t xml:space="preserve"> Paragraph 4 shall not apply to credit institutions referred to in </w:t>
      </w:r>
      <w:r w:rsidR="008844B3" w:rsidRPr="000C4F35">
        <w:rPr>
          <w:noProof/>
        </w:rPr>
        <w:t>paragraph 2</w:t>
      </w:r>
      <w:r w:rsidR="008844B3">
        <w:rPr>
          <w:noProof/>
        </w:rPr>
        <w:t xml:space="preserve">, </w:t>
      </w:r>
      <w:r w:rsidR="004F677E" w:rsidRPr="000C4F35">
        <w:rPr>
          <w:noProof/>
        </w:rPr>
        <w:t>point (b)</w:t>
      </w:r>
      <w:r w:rsidR="008844B3">
        <w:rPr>
          <w:noProof/>
        </w:rPr>
        <w:t>,</w:t>
      </w:r>
      <w:r w:rsidR="004F677E" w:rsidRPr="000C4F35">
        <w:rPr>
          <w:noProof/>
        </w:rPr>
        <w:t xml:space="preserve"> that offer to settle the cash payments for part of the CSD’s securities settlement </w:t>
      </w:r>
      <w:r w:rsidR="004F677E" w:rsidRPr="006B3BA6">
        <w:rPr>
          <w:noProof/>
        </w:rPr>
        <w:t>system</w:t>
      </w:r>
      <w:r w:rsidR="00EF1C6D" w:rsidRPr="00E4531D">
        <w:rPr>
          <w:noProof/>
        </w:rPr>
        <w:t xml:space="preserve">, </w:t>
      </w:r>
      <w:r w:rsidR="00544475">
        <w:rPr>
          <w:noProof/>
        </w:rPr>
        <w:t xml:space="preserve">if the total value of such cash settlement through accounts opened with those credit institutions does </w:t>
      </w:r>
      <w:r w:rsidR="004F677E" w:rsidRPr="006B3BA6">
        <w:rPr>
          <w:noProof/>
        </w:rPr>
        <w:t>not exceed a maximum amount calculated over a one-year period</w:t>
      </w:r>
      <w:r w:rsidR="004F677E" w:rsidRPr="000C4F35">
        <w:rPr>
          <w:noProof/>
        </w:rPr>
        <w:t>. Th</w:t>
      </w:r>
      <w:r w:rsidR="008844B3">
        <w:rPr>
          <w:noProof/>
        </w:rPr>
        <w:t>at</w:t>
      </w:r>
      <w:r w:rsidR="004F677E" w:rsidRPr="000C4F35">
        <w:rPr>
          <w:noProof/>
        </w:rPr>
        <w:t xml:space="preserve"> threshold shall be determined in accordance with paragraph 9.</w:t>
      </w:r>
    </w:p>
    <w:p w14:paraId="635763FF" w14:textId="77777777" w:rsidR="004F677E" w:rsidRPr="000C4F35" w:rsidRDefault="004F677E" w:rsidP="00685329">
      <w:pPr>
        <w:pStyle w:val="Text1"/>
        <w:rPr>
          <w:noProof/>
        </w:rPr>
      </w:pPr>
      <w:r w:rsidRPr="000C4F35">
        <w:rPr>
          <w:noProof/>
        </w:rPr>
        <w:t xml:space="preserve">The competent authority shall monitor at least once per year that the threshold </w:t>
      </w:r>
      <w:r w:rsidR="008844B3">
        <w:rPr>
          <w:noProof/>
        </w:rPr>
        <w:t xml:space="preserve">referred to </w:t>
      </w:r>
      <w:r w:rsidRPr="000C4F35">
        <w:rPr>
          <w:noProof/>
        </w:rPr>
        <w:t xml:space="preserve">in the first subparagraph is respected and report its findings to ESMA, ESCB and EBA. Where the competent authority determines that the threshold has been exceeded, it shall require the CSD concerned to seek authorisation in accordance with paragraph 4. The CSD concerned shall submit its application for authorisation within </w:t>
      </w:r>
      <w:r w:rsidR="00B42134">
        <w:rPr>
          <w:noProof/>
        </w:rPr>
        <w:t>6</w:t>
      </w:r>
      <w:r w:rsidR="00B42134" w:rsidRPr="000C4F35">
        <w:rPr>
          <w:noProof/>
        </w:rPr>
        <w:t xml:space="preserve"> </w:t>
      </w:r>
      <w:r w:rsidRPr="000C4F35">
        <w:rPr>
          <w:noProof/>
        </w:rPr>
        <w:t>months.</w:t>
      </w:r>
      <w:r w:rsidR="00B42134">
        <w:rPr>
          <w:noProof/>
        </w:rPr>
        <w:t>’</w:t>
      </w:r>
      <w:r w:rsidR="008844B3">
        <w:rPr>
          <w:noProof/>
        </w:rPr>
        <w:t>;</w:t>
      </w:r>
    </w:p>
    <w:p w14:paraId="2AA407DA" w14:textId="7AD5236B" w:rsidR="004F677E" w:rsidRPr="000C4F35" w:rsidRDefault="001678E4" w:rsidP="001678E4">
      <w:pPr>
        <w:pStyle w:val="Point1"/>
        <w:rPr>
          <w:noProof/>
        </w:rPr>
      </w:pPr>
      <w:r w:rsidRPr="001678E4">
        <w:t>(d)</w:t>
      </w:r>
      <w:r w:rsidRPr="001678E4">
        <w:tab/>
      </w:r>
      <w:r w:rsidR="008844B3">
        <w:rPr>
          <w:noProof/>
        </w:rPr>
        <w:t>t</w:t>
      </w:r>
      <w:r w:rsidR="004F677E" w:rsidRPr="000C4F35">
        <w:rPr>
          <w:noProof/>
        </w:rPr>
        <w:t xml:space="preserve">he following paragraph 9 is </w:t>
      </w:r>
      <w:r w:rsidR="008844B3">
        <w:rPr>
          <w:noProof/>
        </w:rPr>
        <w:t>added</w:t>
      </w:r>
      <w:r w:rsidR="004F677E" w:rsidRPr="000C4F35">
        <w:rPr>
          <w:noProof/>
        </w:rPr>
        <w:t xml:space="preserve">: </w:t>
      </w:r>
    </w:p>
    <w:p w14:paraId="71CE0458" w14:textId="77777777" w:rsidR="004F677E" w:rsidRPr="000C4F35" w:rsidRDefault="00B42134" w:rsidP="00685329">
      <w:pPr>
        <w:pStyle w:val="Text1"/>
        <w:rPr>
          <w:noProof/>
        </w:rPr>
      </w:pPr>
      <w:r>
        <w:rPr>
          <w:noProof/>
        </w:rPr>
        <w:t>‘</w:t>
      </w:r>
      <w:r w:rsidR="004F677E" w:rsidRPr="000C4F35">
        <w:rPr>
          <w:noProof/>
        </w:rPr>
        <w:t>9. EBA shall, in close cooperation with ESMA and the members of the ESCB, develop draft regulatory technical standards to determine the maximum amount referred to in paragraph 5</w:t>
      </w:r>
      <w:r w:rsidR="00FE7A5B">
        <w:rPr>
          <w:noProof/>
        </w:rPr>
        <w:t>, taking into account</w:t>
      </w:r>
      <w:r w:rsidR="004F677E" w:rsidRPr="000C4F35">
        <w:rPr>
          <w:noProof/>
        </w:rPr>
        <w:t xml:space="preserve"> </w:t>
      </w:r>
      <w:r w:rsidR="003E62A9">
        <w:rPr>
          <w:noProof/>
        </w:rPr>
        <w:t xml:space="preserve">the need to balance the </w:t>
      </w:r>
      <w:r w:rsidR="00FE7A5B">
        <w:rPr>
          <w:noProof/>
        </w:rPr>
        <w:t xml:space="preserve">credit and liquidity risks for CSDs that result from the settlement of cash payments through accounts opened with </w:t>
      </w:r>
      <w:r w:rsidR="00FE7A5B" w:rsidRPr="000C4F35">
        <w:rPr>
          <w:noProof/>
        </w:rPr>
        <w:t xml:space="preserve">credit institutions </w:t>
      </w:r>
      <w:r w:rsidR="0033185B">
        <w:rPr>
          <w:noProof/>
        </w:rPr>
        <w:t>and the need to allow CSDs to settle</w:t>
      </w:r>
      <w:r w:rsidR="0033185B" w:rsidRPr="000C4F35">
        <w:rPr>
          <w:noProof/>
        </w:rPr>
        <w:t xml:space="preserve"> </w:t>
      </w:r>
      <w:r w:rsidR="003E62A9">
        <w:rPr>
          <w:noProof/>
        </w:rPr>
        <w:t xml:space="preserve">in </w:t>
      </w:r>
      <w:r w:rsidR="0033185B" w:rsidRPr="000C4F35">
        <w:rPr>
          <w:noProof/>
        </w:rPr>
        <w:t>foreign currenc</w:t>
      </w:r>
      <w:r w:rsidR="003E62A9">
        <w:rPr>
          <w:noProof/>
        </w:rPr>
        <w:t>ies</w:t>
      </w:r>
      <w:r w:rsidR="0033185B" w:rsidRPr="000C4F35">
        <w:rPr>
          <w:noProof/>
        </w:rPr>
        <w:t xml:space="preserve"> through accounts opened with </w:t>
      </w:r>
      <w:r w:rsidR="0033185B">
        <w:rPr>
          <w:noProof/>
        </w:rPr>
        <w:t xml:space="preserve">such </w:t>
      </w:r>
      <w:r w:rsidR="0033185B" w:rsidRPr="000C4F35">
        <w:rPr>
          <w:noProof/>
        </w:rPr>
        <w:t>credit institutions</w:t>
      </w:r>
      <w:r w:rsidR="00FE7A5B">
        <w:rPr>
          <w:noProof/>
        </w:rPr>
        <w:t xml:space="preserve">. When developing these </w:t>
      </w:r>
      <w:r w:rsidR="00FE7A5B" w:rsidRPr="000C4F35">
        <w:rPr>
          <w:noProof/>
        </w:rPr>
        <w:t xml:space="preserve">draft regulatory technical standards </w:t>
      </w:r>
      <w:r w:rsidR="00FE7A5B">
        <w:rPr>
          <w:noProof/>
        </w:rPr>
        <w:t xml:space="preserve">the EBA shall also determine, </w:t>
      </w:r>
      <w:r w:rsidR="004F677E" w:rsidRPr="000C4F35">
        <w:rPr>
          <w:noProof/>
        </w:rPr>
        <w:t>where necessary, any accompanying appropriate risk management and prudential mitigating requirements.</w:t>
      </w:r>
    </w:p>
    <w:p w14:paraId="07898F1F" w14:textId="77777777" w:rsidR="004F677E" w:rsidRPr="000C4F35" w:rsidRDefault="004F677E" w:rsidP="00685329">
      <w:pPr>
        <w:pStyle w:val="Text1"/>
        <w:rPr>
          <w:noProof/>
        </w:rPr>
      </w:pPr>
      <w:r w:rsidRPr="000C4F35">
        <w:rPr>
          <w:noProof/>
        </w:rPr>
        <w:t>EBA shall submit those draft regulatory technical standards to the Commission by [</w:t>
      </w:r>
      <w:r w:rsidRPr="00D473D5">
        <w:rPr>
          <w:i/>
          <w:noProof/>
        </w:rPr>
        <w:t xml:space="preserve">PO please insert </w:t>
      </w:r>
      <w:r w:rsidR="006D29F1" w:rsidRPr="00E4531D">
        <w:rPr>
          <w:i/>
          <w:noProof/>
        </w:rPr>
        <w:t xml:space="preserve">the date= </w:t>
      </w:r>
      <w:r w:rsidR="008C648F">
        <w:rPr>
          <w:i/>
          <w:noProof/>
        </w:rPr>
        <w:t>1</w:t>
      </w:r>
      <w:r w:rsidR="008C648F" w:rsidRPr="00D473D5">
        <w:rPr>
          <w:i/>
          <w:noProof/>
        </w:rPr>
        <w:t xml:space="preserve"> </w:t>
      </w:r>
      <w:r w:rsidRPr="00D473D5">
        <w:rPr>
          <w:i/>
          <w:noProof/>
        </w:rPr>
        <w:t>year after</w:t>
      </w:r>
      <w:r w:rsidRPr="00E4531D">
        <w:rPr>
          <w:i/>
          <w:noProof/>
        </w:rPr>
        <w:t xml:space="preserve"> </w:t>
      </w:r>
      <w:r w:rsidR="006D29F1" w:rsidRPr="00E4531D">
        <w:rPr>
          <w:i/>
          <w:noProof/>
        </w:rPr>
        <w:t>the date of</w:t>
      </w:r>
      <w:r w:rsidR="006D29F1" w:rsidRPr="00D473D5">
        <w:rPr>
          <w:i/>
          <w:noProof/>
        </w:rPr>
        <w:t xml:space="preserve"> </w:t>
      </w:r>
      <w:r w:rsidRPr="00D473D5">
        <w:rPr>
          <w:i/>
          <w:noProof/>
        </w:rPr>
        <w:t>entry into force of this Regulation</w:t>
      </w:r>
      <w:r w:rsidRPr="000C4F35">
        <w:rPr>
          <w:noProof/>
        </w:rPr>
        <w:t>].</w:t>
      </w:r>
    </w:p>
    <w:p w14:paraId="43444226" w14:textId="77777777" w:rsidR="004F677E" w:rsidRPr="000C4F35" w:rsidRDefault="004F677E" w:rsidP="00685329">
      <w:pPr>
        <w:pStyle w:val="Text1"/>
        <w:rPr>
          <w:noProof/>
        </w:rPr>
      </w:pPr>
      <w:r w:rsidRPr="000C4F35">
        <w:rPr>
          <w:noProof/>
        </w:rPr>
        <w:t xml:space="preserve">Power is delegated to the Commission to </w:t>
      </w:r>
      <w:r w:rsidR="00D2008B">
        <w:rPr>
          <w:noProof/>
        </w:rPr>
        <w:t xml:space="preserve">supplement this Regulation by </w:t>
      </w:r>
      <w:r w:rsidRPr="000C4F35">
        <w:rPr>
          <w:noProof/>
        </w:rPr>
        <w:t>adopt</w:t>
      </w:r>
      <w:r w:rsidR="00D2008B">
        <w:rPr>
          <w:noProof/>
        </w:rPr>
        <w:t>ing</w:t>
      </w:r>
      <w:r w:rsidRPr="000C4F35">
        <w:rPr>
          <w:noProof/>
        </w:rPr>
        <w:t xml:space="preserve"> the regulatory technical standards referred to in the first subparagraph in accordance with Articles 10 to 14 of Regulation (EU) No 1095/2010.</w:t>
      </w:r>
      <w:r w:rsidR="00B42134">
        <w:rPr>
          <w:noProof/>
        </w:rPr>
        <w:t>’</w:t>
      </w:r>
      <w:r w:rsidR="006D29F1">
        <w:rPr>
          <w:noProof/>
        </w:rPr>
        <w:t>;</w:t>
      </w:r>
    </w:p>
    <w:p w14:paraId="2CAA73E3" w14:textId="77777777" w:rsidR="004F677E" w:rsidRPr="000C4F35" w:rsidRDefault="006D29F1" w:rsidP="00685329">
      <w:pPr>
        <w:pStyle w:val="ManualNumPar1"/>
        <w:rPr>
          <w:noProof/>
        </w:rPr>
      </w:pPr>
      <w:r>
        <w:rPr>
          <w:noProof/>
        </w:rPr>
        <w:t>(</w:t>
      </w:r>
      <w:r w:rsidR="004F677E" w:rsidRPr="000C4F35">
        <w:rPr>
          <w:noProof/>
        </w:rPr>
        <w:t>1</w:t>
      </w:r>
      <w:r w:rsidR="006C0D2D">
        <w:rPr>
          <w:noProof/>
        </w:rPr>
        <w:t>8</w:t>
      </w:r>
      <w:r>
        <w:rPr>
          <w:noProof/>
        </w:rPr>
        <w:t>)</w:t>
      </w:r>
      <w:r w:rsidR="004F677E" w:rsidRPr="000C4F35">
        <w:rPr>
          <w:noProof/>
        </w:rPr>
        <w:t xml:space="preserve"> </w:t>
      </w:r>
      <w:r>
        <w:rPr>
          <w:noProof/>
        </w:rPr>
        <w:t>i</w:t>
      </w:r>
      <w:r w:rsidR="004F677E" w:rsidRPr="000C4F35">
        <w:rPr>
          <w:noProof/>
        </w:rPr>
        <w:t>n Article 55</w:t>
      </w:r>
      <w:r>
        <w:rPr>
          <w:noProof/>
        </w:rPr>
        <w:t>(5)</w:t>
      </w:r>
      <w:r w:rsidR="004F677E" w:rsidRPr="000C4F35">
        <w:rPr>
          <w:noProof/>
        </w:rPr>
        <w:t>, the first subparagraph is replaced by the following:</w:t>
      </w:r>
    </w:p>
    <w:p w14:paraId="222C9B44" w14:textId="78AF2362" w:rsidR="004F677E" w:rsidRPr="000C4F35" w:rsidRDefault="00B42134" w:rsidP="00685329">
      <w:pPr>
        <w:ind w:left="426"/>
        <w:rPr>
          <w:noProof/>
          <w:szCs w:val="24"/>
        </w:rPr>
      </w:pPr>
      <w:r>
        <w:rPr>
          <w:noProof/>
          <w:szCs w:val="24"/>
        </w:rPr>
        <w:t>‘</w:t>
      </w:r>
      <w:r w:rsidR="004F677E" w:rsidRPr="000C4F35">
        <w:rPr>
          <w:noProof/>
          <w:szCs w:val="24"/>
        </w:rPr>
        <w:t xml:space="preserve">The authorities referred to in </w:t>
      </w:r>
      <w:r w:rsidR="006D29F1" w:rsidRPr="000C4F35">
        <w:rPr>
          <w:noProof/>
          <w:szCs w:val="24"/>
        </w:rPr>
        <w:t>paragraph 4</w:t>
      </w:r>
      <w:r w:rsidR="006D29F1">
        <w:rPr>
          <w:noProof/>
          <w:szCs w:val="24"/>
        </w:rPr>
        <w:t xml:space="preserve">, </w:t>
      </w:r>
      <w:r w:rsidR="004F677E" w:rsidRPr="000C4F35">
        <w:rPr>
          <w:noProof/>
          <w:szCs w:val="24"/>
        </w:rPr>
        <w:t>points (a) to (e)</w:t>
      </w:r>
      <w:r w:rsidR="006D29F1">
        <w:rPr>
          <w:noProof/>
          <w:szCs w:val="24"/>
        </w:rPr>
        <w:t>,</w:t>
      </w:r>
      <w:r w:rsidR="004F677E" w:rsidRPr="000C4F35">
        <w:rPr>
          <w:noProof/>
          <w:szCs w:val="24"/>
        </w:rPr>
        <w:t xml:space="preserve"> shall issue a reasoned opinion on the authorisation within </w:t>
      </w:r>
      <w:r>
        <w:rPr>
          <w:noProof/>
          <w:szCs w:val="24"/>
        </w:rPr>
        <w:t>2</w:t>
      </w:r>
      <w:r w:rsidRPr="000C4F35">
        <w:rPr>
          <w:noProof/>
          <w:szCs w:val="24"/>
        </w:rPr>
        <w:t xml:space="preserve"> </w:t>
      </w:r>
      <w:r w:rsidR="004F677E" w:rsidRPr="000C4F35">
        <w:rPr>
          <w:noProof/>
          <w:szCs w:val="24"/>
        </w:rPr>
        <w:t xml:space="preserve">months of receipt of the information referred to in </w:t>
      </w:r>
      <w:r w:rsidR="00183243">
        <w:rPr>
          <w:noProof/>
          <w:szCs w:val="24"/>
        </w:rPr>
        <w:t xml:space="preserve">that </w:t>
      </w:r>
      <w:r w:rsidR="004F677E" w:rsidRPr="000C4F35">
        <w:rPr>
          <w:noProof/>
          <w:szCs w:val="24"/>
        </w:rPr>
        <w:t>paragraph. Where an authority does not provide an opinion within that deadline it shall be deemed to have a positive opinion.</w:t>
      </w:r>
      <w:r>
        <w:rPr>
          <w:noProof/>
          <w:szCs w:val="24"/>
        </w:rPr>
        <w:t>’</w:t>
      </w:r>
      <w:r w:rsidR="00183243">
        <w:rPr>
          <w:noProof/>
          <w:szCs w:val="24"/>
        </w:rPr>
        <w:t>;</w:t>
      </w:r>
    </w:p>
    <w:p w14:paraId="244D4457" w14:textId="77777777" w:rsidR="00183243" w:rsidRDefault="00183243" w:rsidP="00685329">
      <w:pPr>
        <w:pStyle w:val="ManualNumPar1"/>
        <w:rPr>
          <w:noProof/>
        </w:rPr>
      </w:pPr>
      <w:r>
        <w:rPr>
          <w:noProof/>
        </w:rPr>
        <w:t>(</w:t>
      </w:r>
      <w:r w:rsidR="006C0D2D">
        <w:rPr>
          <w:noProof/>
        </w:rPr>
        <w:t>19</w:t>
      </w:r>
      <w:r>
        <w:rPr>
          <w:noProof/>
        </w:rPr>
        <w:t>)</w:t>
      </w:r>
      <w:r w:rsidR="004F677E" w:rsidRPr="000C4F35">
        <w:rPr>
          <w:noProof/>
        </w:rPr>
        <w:t xml:space="preserve"> Article 59</w:t>
      </w:r>
      <w:r>
        <w:rPr>
          <w:noProof/>
        </w:rPr>
        <w:t xml:space="preserve"> is amended as follows:</w:t>
      </w:r>
    </w:p>
    <w:p w14:paraId="43437FC4" w14:textId="77777777" w:rsidR="004F677E" w:rsidRPr="000C4F35" w:rsidRDefault="00183243" w:rsidP="00685329">
      <w:pPr>
        <w:pStyle w:val="ManualNumPar1"/>
        <w:rPr>
          <w:noProof/>
        </w:rPr>
      </w:pPr>
      <w:r>
        <w:rPr>
          <w:noProof/>
        </w:rPr>
        <w:t>(a)</w:t>
      </w:r>
      <w:r w:rsidR="004F677E" w:rsidRPr="000C4F35">
        <w:rPr>
          <w:noProof/>
        </w:rPr>
        <w:t xml:space="preserve"> paragraph 4 is amended as follows:</w:t>
      </w:r>
    </w:p>
    <w:p w14:paraId="0F896AF5" w14:textId="77777777" w:rsidR="004F677E" w:rsidRPr="000C4F35" w:rsidRDefault="00183243" w:rsidP="00A728D2">
      <w:pPr>
        <w:rPr>
          <w:noProof/>
        </w:rPr>
      </w:pPr>
      <w:r>
        <w:rPr>
          <w:noProof/>
        </w:rPr>
        <w:t>(i) p</w:t>
      </w:r>
      <w:r w:rsidR="004F18A6" w:rsidRPr="000C4F35">
        <w:rPr>
          <w:noProof/>
        </w:rPr>
        <w:t>oint</w:t>
      </w:r>
      <w:r>
        <w:rPr>
          <w:noProof/>
        </w:rPr>
        <w:t>s</w:t>
      </w:r>
      <w:r w:rsidR="004F18A6" w:rsidRPr="000C4F35">
        <w:rPr>
          <w:noProof/>
        </w:rPr>
        <w:t xml:space="preserve"> </w:t>
      </w:r>
      <w:r w:rsidR="004F677E" w:rsidRPr="000C4F35">
        <w:rPr>
          <w:noProof/>
        </w:rPr>
        <w:t>(c)</w:t>
      </w:r>
      <w:r>
        <w:rPr>
          <w:noProof/>
        </w:rPr>
        <w:t>, (d) and (e) are</w:t>
      </w:r>
      <w:r w:rsidR="004F677E" w:rsidRPr="000C4F35">
        <w:rPr>
          <w:noProof/>
        </w:rPr>
        <w:t xml:space="preserve"> replaced by the following:</w:t>
      </w:r>
    </w:p>
    <w:p w14:paraId="25D8E9EF" w14:textId="77777777" w:rsidR="004F677E" w:rsidRPr="000C4F35" w:rsidRDefault="00B42134" w:rsidP="00E4531D">
      <w:pPr>
        <w:pStyle w:val="Text1"/>
        <w:rPr>
          <w:noProof/>
        </w:rPr>
      </w:pPr>
      <w:r>
        <w:rPr>
          <w:noProof/>
        </w:rPr>
        <w:t>‘</w:t>
      </w:r>
      <w:r w:rsidR="004F677E" w:rsidRPr="000C4F35">
        <w:rPr>
          <w:noProof/>
        </w:rPr>
        <w:t>(c) it shall maintain sufficient qualifying liquid resources in all relevant currencies for a timely provision of settlement services under a wide range of potential stress scenarios including the liquidity risk generated by the default of at least two participants, including its parent undertakings and subsidiaries, to which it has the largest exposures</w:t>
      </w:r>
      <w:r w:rsidR="00183243">
        <w:rPr>
          <w:noProof/>
        </w:rPr>
        <w:t>;</w:t>
      </w:r>
    </w:p>
    <w:p w14:paraId="0D9340C2" w14:textId="77777777" w:rsidR="004F677E" w:rsidRPr="000C4F35" w:rsidRDefault="004F677E" w:rsidP="00E4531D">
      <w:pPr>
        <w:pStyle w:val="Text1"/>
        <w:rPr>
          <w:noProof/>
        </w:rPr>
      </w:pPr>
      <w:r w:rsidRPr="000C4F35">
        <w:rPr>
          <w:noProof/>
        </w:rPr>
        <w:t>(d) it shall mitigate the corresponding liquidity risks with qualifying liquid resources in each relevant currency such as cash at the central bank of issue and at other creditworthy financial institutions, committed lines of credit or similar arrangements and highly liquid collateral or investments that are readily available and convertible into cash with prearranged and highly reliable funding arrangements, even in extreme but plausible market conditions and it shall identify, measure and monitor its liquidity risk stemming from the various financial institutions used for the management of its liquidity risks</w:t>
      </w:r>
      <w:r w:rsidR="00B42134">
        <w:rPr>
          <w:noProof/>
        </w:rPr>
        <w:t>;</w:t>
      </w:r>
    </w:p>
    <w:p w14:paraId="6527F82A" w14:textId="77777777" w:rsidR="004F677E" w:rsidRPr="000C4F35" w:rsidRDefault="004F677E" w:rsidP="00D473D5">
      <w:pPr>
        <w:ind w:left="840"/>
        <w:rPr>
          <w:noProof/>
          <w:szCs w:val="24"/>
        </w:rPr>
      </w:pPr>
      <w:r w:rsidRPr="000C4F35">
        <w:rPr>
          <w:noProof/>
          <w:szCs w:val="24"/>
        </w:rPr>
        <w:t>(e) where prearranged and highly reliable funding arrangements, committed lines of credit or similar arrangements are used, it shall select only creditworthy financial institutions as liquidity providers; it shall establish and apply appropriate concentration limits for each of the corresponding liquidity providers including its parent undertaking and subsidiaries;</w:t>
      </w:r>
      <w:r w:rsidR="00B42134">
        <w:rPr>
          <w:noProof/>
          <w:szCs w:val="24"/>
        </w:rPr>
        <w:t>’</w:t>
      </w:r>
      <w:r w:rsidR="00183243">
        <w:rPr>
          <w:noProof/>
          <w:szCs w:val="24"/>
        </w:rPr>
        <w:t>;</w:t>
      </w:r>
    </w:p>
    <w:p w14:paraId="49684B1C" w14:textId="77777777" w:rsidR="004F677E" w:rsidRPr="000C4F35" w:rsidRDefault="00183243" w:rsidP="00A728D2">
      <w:pPr>
        <w:rPr>
          <w:noProof/>
        </w:rPr>
      </w:pPr>
      <w:r>
        <w:rPr>
          <w:noProof/>
        </w:rPr>
        <w:t>(ii) p</w:t>
      </w:r>
      <w:r w:rsidR="004F18A6" w:rsidRPr="000C4F35">
        <w:rPr>
          <w:noProof/>
        </w:rPr>
        <w:t xml:space="preserve">oint </w:t>
      </w:r>
      <w:r w:rsidR="004F677E" w:rsidRPr="000C4F35">
        <w:rPr>
          <w:noProof/>
        </w:rPr>
        <w:t>(i) is replaced by the following:</w:t>
      </w:r>
    </w:p>
    <w:p w14:paraId="41164192" w14:textId="77777777" w:rsidR="004F677E" w:rsidRPr="000C4F35" w:rsidRDefault="00B42134" w:rsidP="00685329">
      <w:pPr>
        <w:pStyle w:val="Text1"/>
        <w:rPr>
          <w:noProof/>
        </w:rPr>
      </w:pPr>
      <w:r>
        <w:rPr>
          <w:noProof/>
        </w:rPr>
        <w:t>‘</w:t>
      </w:r>
      <w:r w:rsidR="004F677E" w:rsidRPr="000C4F35">
        <w:rPr>
          <w:noProof/>
        </w:rPr>
        <w:t>(i)</w:t>
      </w:r>
      <w:r w:rsidR="004F677E" w:rsidRPr="000C4F35">
        <w:rPr>
          <w:noProof/>
        </w:rPr>
        <w:tab/>
        <w:t>it shall have prearranged and highly reliable arrangements to ensure that it can convert in a timely fashion the collateral provided to it by a defaulting client into cash and where non-committed arrangements are used, establish that any associated potential risks have been identified and mitigated;</w:t>
      </w:r>
      <w:r>
        <w:rPr>
          <w:noProof/>
        </w:rPr>
        <w:t>’;</w:t>
      </w:r>
    </w:p>
    <w:p w14:paraId="0DDE540F" w14:textId="77777777" w:rsidR="004F677E" w:rsidRPr="000C4F35" w:rsidRDefault="00183243" w:rsidP="00A728D2">
      <w:pPr>
        <w:rPr>
          <w:noProof/>
        </w:rPr>
      </w:pPr>
      <w:r>
        <w:rPr>
          <w:noProof/>
        </w:rPr>
        <w:t>(iii) t</w:t>
      </w:r>
      <w:r w:rsidR="004F677E" w:rsidRPr="000C4F35">
        <w:rPr>
          <w:noProof/>
        </w:rPr>
        <w:t xml:space="preserve">he following point (k) </w:t>
      </w:r>
      <w:r>
        <w:rPr>
          <w:noProof/>
        </w:rPr>
        <w:t>is added</w:t>
      </w:r>
      <w:r w:rsidR="004F677E" w:rsidRPr="000C4F35">
        <w:rPr>
          <w:noProof/>
        </w:rPr>
        <w:t xml:space="preserve">: </w:t>
      </w:r>
    </w:p>
    <w:p w14:paraId="254B8B02" w14:textId="77777777" w:rsidR="004F677E" w:rsidRPr="000C4F35" w:rsidRDefault="00B42134" w:rsidP="00685329">
      <w:pPr>
        <w:pStyle w:val="Text1"/>
        <w:rPr>
          <w:noProof/>
        </w:rPr>
      </w:pPr>
      <w:r>
        <w:rPr>
          <w:noProof/>
        </w:rPr>
        <w:t>‘</w:t>
      </w:r>
      <w:r w:rsidR="004F677E" w:rsidRPr="000C4F35">
        <w:rPr>
          <w:noProof/>
        </w:rPr>
        <w:t>(k) it sh</w:t>
      </w:r>
      <w:r w:rsidR="00CA0CDE">
        <w:rPr>
          <w:noProof/>
        </w:rPr>
        <w:t>all</w:t>
      </w:r>
      <w:r w:rsidR="004F677E" w:rsidRPr="000C4F35">
        <w:rPr>
          <w:noProof/>
        </w:rPr>
        <w:t xml:space="preserve"> adequately monitor and manage any risks, including relevant netting arrangements in relation to the cash leg of their applied settlement model.</w:t>
      </w:r>
      <w:r>
        <w:rPr>
          <w:noProof/>
        </w:rPr>
        <w:t>’</w:t>
      </w:r>
      <w:r w:rsidR="00CA0CDE">
        <w:rPr>
          <w:noProof/>
        </w:rPr>
        <w:t>;</w:t>
      </w:r>
    </w:p>
    <w:p w14:paraId="5E20911C" w14:textId="77777777" w:rsidR="00FD5B5B" w:rsidRPr="000C4F35" w:rsidRDefault="00D54AE4" w:rsidP="00685329">
      <w:pPr>
        <w:pStyle w:val="ManualNumPar1"/>
        <w:rPr>
          <w:noProof/>
        </w:rPr>
      </w:pPr>
      <w:r>
        <w:rPr>
          <w:noProof/>
        </w:rPr>
        <w:t>(b)</w:t>
      </w:r>
      <w:r w:rsidR="006B01C1" w:rsidRPr="000C4F35">
        <w:rPr>
          <w:noProof/>
        </w:rPr>
        <w:t xml:space="preserve"> </w:t>
      </w:r>
      <w:r>
        <w:rPr>
          <w:noProof/>
        </w:rPr>
        <w:t xml:space="preserve">in </w:t>
      </w:r>
      <w:r w:rsidRPr="000C4F35">
        <w:rPr>
          <w:noProof/>
        </w:rPr>
        <w:t>paragraph 5</w:t>
      </w:r>
      <w:r>
        <w:rPr>
          <w:noProof/>
        </w:rPr>
        <w:t xml:space="preserve">, </w:t>
      </w:r>
      <w:r w:rsidR="006B01C1" w:rsidRPr="000C4F35">
        <w:rPr>
          <w:noProof/>
        </w:rPr>
        <w:t xml:space="preserve">the second subparagraph </w:t>
      </w:r>
      <w:r w:rsidR="00B07985" w:rsidRPr="000C4F35">
        <w:rPr>
          <w:noProof/>
        </w:rPr>
        <w:t>is</w:t>
      </w:r>
      <w:r w:rsidR="006B01C1" w:rsidRPr="000C4F35">
        <w:rPr>
          <w:noProof/>
        </w:rPr>
        <w:t xml:space="preserve"> replaced by the following: </w:t>
      </w:r>
    </w:p>
    <w:p w14:paraId="226BC0A8" w14:textId="77777777" w:rsidR="006B01C1" w:rsidRPr="000C4F35" w:rsidRDefault="00B42134" w:rsidP="00685329">
      <w:pPr>
        <w:pStyle w:val="Text1"/>
        <w:rPr>
          <w:noProof/>
        </w:rPr>
      </w:pPr>
      <w:r>
        <w:rPr>
          <w:noProof/>
        </w:rPr>
        <w:t>‘</w:t>
      </w:r>
      <w:r w:rsidR="006B01C1" w:rsidRPr="000C4F35">
        <w:rPr>
          <w:noProof/>
        </w:rPr>
        <w:t>EBA shall submit those draft regulatory technical standards to the Commission by</w:t>
      </w:r>
      <w:r w:rsidR="00B54568">
        <w:rPr>
          <w:noProof/>
        </w:rPr>
        <w:t xml:space="preserve"> …</w:t>
      </w:r>
      <w:r w:rsidR="006B01C1" w:rsidRPr="000C4F35">
        <w:rPr>
          <w:noProof/>
        </w:rPr>
        <w:t xml:space="preserve"> [</w:t>
      </w:r>
      <w:r w:rsidR="006B01C1" w:rsidRPr="00D473D5">
        <w:rPr>
          <w:i/>
          <w:noProof/>
        </w:rPr>
        <w:t xml:space="preserve">PO please insert </w:t>
      </w:r>
      <w:r w:rsidR="00B54568" w:rsidRPr="00E4531D">
        <w:rPr>
          <w:i/>
          <w:noProof/>
        </w:rPr>
        <w:t xml:space="preserve">the date = </w:t>
      </w:r>
      <w:r w:rsidR="008C648F">
        <w:rPr>
          <w:i/>
          <w:noProof/>
        </w:rPr>
        <w:t>1</w:t>
      </w:r>
      <w:r w:rsidR="008C648F" w:rsidRPr="00D473D5">
        <w:rPr>
          <w:i/>
          <w:noProof/>
        </w:rPr>
        <w:t xml:space="preserve"> </w:t>
      </w:r>
      <w:r w:rsidR="006B01C1" w:rsidRPr="00D473D5">
        <w:rPr>
          <w:i/>
          <w:noProof/>
        </w:rPr>
        <w:t xml:space="preserve">year after the </w:t>
      </w:r>
      <w:r w:rsidR="00B54568" w:rsidRPr="00E4531D">
        <w:rPr>
          <w:i/>
          <w:noProof/>
        </w:rPr>
        <w:t xml:space="preserve">date of </w:t>
      </w:r>
      <w:r w:rsidR="006B01C1" w:rsidRPr="00D473D5">
        <w:rPr>
          <w:i/>
          <w:noProof/>
        </w:rPr>
        <w:t>entry into force of this Regulation</w:t>
      </w:r>
      <w:r w:rsidR="006B01C1" w:rsidRPr="000C4F35">
        <w:rPr>
          <w:noProof/>
        </w:rPr>
        <w:t>]</w:t>
      </w:r>
      <w:r w:rsidR="00472B45">
        <w:rPr>
          <w:noProof/>
        </w:rPr>
        <w:t>.</w:t>
      </w:r>
      <w:r>
        <w:rPr>
          <w:noProof/>
        </w:rPr>
        <w:t>’</w:t>
      </w:r>
      <w:r w:rsidR="00472B45">
        <w:rPr>
          <w:noProof/>
        </w:rPr>
        <w:t>;</w:t>
      </w:r>
    </w:p>
    <w:p w14:paraId="1ACAAC93" w14:textId="77777777" w:rsidR="004F677E" w:rsidRPr="000C4F35" w:rsidRDefault="00B54568" w:rsidP="00685329">
      <w:pPr>
        <w:pStyle w:val="ManualNumPar1"/>
        <w:rPr>
          <w:noProof/>
        </w:rPr>
      </w:pPr>
      <w:r>
        <w:rPr>
          <w:noProof/>
        </w:rPr>
        <w:t>(</w:t>
      </w:r>
      <w:r w:rsidR="004F677E" w:rsidRPr="000C4F35">
        <w:rPr>
          <w:noProof/>
        </w:rPr>
        <w:t>2</w:t>
      </w:r>
      <w:r w:rsidR="006C0D2D">
        <w:rPr>
          <w:noProof/>
        </w:rPr>
        <w:t>0</w:t>
      </w:r>
      <w:r>
        <w:rPr>
          <w:noProof/>
        </w:rPr>
        <w:t>)</w:t>
      </w:r>
      <w:r w:rsidR="004F677E" w:rsidRPr="000C4F35">
        <w:rPr>
          <w:noProof/>
        </w:rPr>
        <w:t xml:space="preserve"> Article 60 is amended as follows:</w:t>
      </w:r>
    </w:p>
    <w:p w14:paraId="6C4B3813" w14:textId="53944984" w:rsidR="004F677E" w:rsidRPr="000C4F35" w:rsidRDefault="001678E4" w:rsidP="001678E4">
      <w:pPr>
        <w:pStyle w:val="Point1"/>
        <w:rPr>
          <w:noProof/>
        </w:rPr>
      </w:pPr>
      <w:r w:rsidRPr="001678E4">
        <w:t>(a)</w:t>
      </w:r>
      <w:r w:rsidRPr="001678E4">
        <w:tab/>
      </w:r>
      <w:r w:rsidR="00B54568">
        <w:rPr>
          <w:noProof/>
        </w:rPr>
        <w:t>i</w:t>
      </w:r>
      <w:r w:rsidR="004F677E" w:rsidRPr="000C4F35">
        <w:rPr>
          <w:noProof/>
        </w:rPr>
        <w:t>n paragraph 1, the third subparagraph is replaced by the following:</w:t>
      </w:r>
    </w:p>
    <w:p w14:paraId="1CB32558" w14:textId="77777777" w:rsidR="004F677E" w:rsidRPr="000C4F35" w:rsidRDefault="00B42134" w:rsidP="00685329">
      <w:pPr>
        <w:pStyle w:val="Text1"/>
        <w:rPr>
          <w:noProof/>
        </w:rPr>
      </w:pPr>
      <w:r>
        <w:rPr>
          <w:noProof/>
        </w:rPr>
        <w:t>‘</w:t>
      </w:r>
      <w:r w:rsidR="004F677E" w:rsidRPr="000C4F35">
        <w:rPr>
          <w:noProof/>
        </w:rPr>
        <w:t>The competent authorities referred to in the first subparagraph shall regularly, and at least once a year, assess whether the designated credit institution or CSD authorised to provide banking-type ancillary services complies with Article 59 and shall inform the competent authority of the CSD which shall then inform the authorities referred to in Article 55(4) and, where applicable, the colleges referred to in Article 24a, of the results, including any remedial actions or penalties, of its supervision under this paragraph.</w:t>
      </w:r>
      <w:r w:rsidR="00367591">
        <w:rPr>
          <w:noProof/>
        </w:rPr>
        <w:t>’</w:t>
      </w:r>
      <w:r w:rsidR="00B50AD0">
        <w:rPr>
          <w:noProof/>
        </w:rPr>
        <w:t>;</w:t>
      </w:r>
    </w:p>
    <w:p w14:paraId="1FAC5EF0" w14:textId="0D8F7550" w:rsidR="004F677E" w:rsidRPr="000C4F35" w:rsidRDefault="001678E4" w:rsidP="001678E4">
      <w:pPr>
        <w:pStyle w:val="Point1"/>
        <w:rPr>
          <w:noProof/>
        </w:rPr>
      </w:pPr>
      <w:r w:rsidRPr="001678E4">
        <w:t>(b)</w:t>
      </w:r>
      <w:r w:rsidRPr="001678E4">
        <w:tab/>
      </w:r>
      <w:r w:rsidR="00B54568">
        <w:rPr>
          <w:noProof/>
        </w:rPr>
        <w:t>i</w:t>
      </w:r>
      <w:r w:rsidR="004F18A6" w:rsidRPr="000C4F35">
        <w:rPr>
          <w:noProof/>
        </w:rPr>
        <w:t xml:space="preserve">n </w:t>
      </w:r>
      <w:r w:rsidR="004F677E" w:rsidRPr="000C4F35">
        <w:rPr>
          <w:noProof/>
        </w:rPr>
        <w:t>paragraph 2, the second subparagraph is replaced by the following:</w:t>
      </w:r>
    </w:p>
    <w:p w14:paraId="32C2D8FB" w14:textId="77777777" w:rsidR="004F677E" w:rsidRDefault="00367591" w:rsidP="00685329">
      <w:pPr>
        <w:pStyle w:val="Text1"/>
        <w:rPr>
          <w:noProof/>
        </w:rPr>
      </w:pPr>
      <w:r>
        <w:rPr>
          <w:noProof/>
        </w:rPr>
        <w:t>‘</w:t>
      </w:r>
      <w:r w:rsidR="004F677E" w:rsidRPr="000C4F35">
        <w:rPr>
          <w:noProof/>
        </w:rPr>
        <w:t>The competent authority of the CSD shall regularly, and at least once a year, inform the authorities referred to in Article 55(4) and, where applicable, the colleges referred to in Article 24a, of the results, including any remedial actions or penalties, of its review and evaluation under this paragraph.</w:t>
      </w:r>
      <w:r>
        <w:rPr>
          <w:noProof/>
        </w:rPr>
        <w:t>’</w:t>
      </w:r>
      <w:r w:rsidR="00472B45">
        <w:rPr>
          <w:noProof/>
        </w:rPr>
        <w:t>;</w:t>
      </w:r>
    </w:p>
    <w:p w14:paraId="5635CE37" w14:textId="71FB187D" w:rsidR="002F6210" w:rsidRDefault="0044417D" w:rsidP="00E4531D">
      <w:pPr>
        <w:pStyle w:val="ManualNumPar1"/>
        <w:rPr>
          <w:noProof/>
        </w:rPr>
      </w:pPr>
      <w:r>
        <w:rPr>
          <w:noProof/>
        </w:rPr>
        <w:t>(2</w:t>
      </w:r>
      <w:r w:rsidR="006C0D2D">
        <w:rPr>
          <w:noProof/>
        </w:rPr>
        <w:t>1</w:t>
      </w:r>
      <w:r w:rsidR="004F757E">
        <w:rPr>
          <w:noProof/>
        </w:rPr>
        <w:t xml:space="preserve">) </w:t>
      </w:r>
      <w:r w:rsidR="004F757E" w:rsidRPr="000C4F35">
        <w:rPr>
          <w:noProof/>
        </w:rPr>
        <w:t>Article 6</w:t>
      </w:r>
      <w:r w:rsidR="008B59A2">
        <w:rPr>
          <w:noProof/>
        </w:rPr>
        <w:t>7</w:t>
      </w:r>
      <w:r w:rsidR="004F757E" w:rsidRPr="000C4F35">
        <w:rPr>
          <w:noProof/>
        </w:rPr>
        <w:t xml:space="preserve"> is amended as follows:</w:t>
      </w:r>
    </w:p>
    <w:p w14:paraId="6934E56D" w14:textId="50F62252" w:rsidR="004F757E" w:rsidRDefault="001678E4" w:rsidP="001678E4">
      <w:pPr>
        <w:pStyle w:val="Point1"/>
        <w:rPr>
          <w:noProof/>
        </w:rPr>
      </w:pPr>
      <w:r w:rsidRPr="001678E4">
        <w:t>(a)</w:t>
      </w:r>
      <w:r w:rsidRPr="001678E4">
        <w:tab/>
      </w:r>
      <w:r w:rsidR="004F757E">
        <w:rPr>
          <w:noProof/>
        </w:rPr>
        <w:t xml:space="preserve">the following paragraph 2a is inserted: </w:t>
      </w:r>
    </w:p>
    <w:p w14:paraId="2D527172" w14:textId="77777777" w:rsidR="004F757E" w:rsidRDefault="004F757E" w:rsidP="00501D05">
      <w:pPr>
        <w:ind w:left="850"/>
        <w:rPr>
          <w:noProof/>
        </w:rPr>
      </w:pPr>
      <w:r>
        <w:rPr>
          <w:noProof/>
        </w:rPr>
        <w:t xml:space="preserve">‘2a. The power to adopt delegated acts referred to in Articles </w:t>
      </w:r>
      <w:r w:rsidR="00811E6B">
        <w:rPr>
          <w:noProof/>
        </w:rPr>
        <w:t xml:space="preserve">7(14a), 24a(8), 25(13) and 54(9) </w:t>
      </w:r>
      <w:r>
        <w:rPr>
          <w:noProof/>
        </w:rPr>
        <w:t>shall be conferred on the Commission for an indeterminate period of time from [</w:t>
      </w:r>
      <w:r w:rsidRPr="000E65A8">
        <w:rPr>
          <w:i/>
          <w:noProof/>
        </w:rPr>
        <w:t>PO please insert the date of entry into force of this Regulation</w:t>
      </w:r>
      <w:r w:rsidRPr="000C4F35">
        <w:rPr>
          <w:noProof/>
        </w:rPr>
        <w:t>]</w:t>
      </w:r>
      <w:r>
        <w:rPr>
          <w:noProof/>
        </w:rPr>
        <w:t>.’</w:t>
      </w:r>
      <w:r w:rsidR="000E45D1" w:rsidRPr="006B3BA6">
        <w:rPr>
          <w:noProof/>
        </w:rPr>
        <w:t>;</w:t>
      </w:r>
    </w:p>
    <w:p w14:paraId="4ED6FD00" w14:textId="4A9BAAD9" w:rsidR="004F757E" w:rsidRDefault="001678E4" w:rsidP="001678E4">
      <w:pPr>
        <w:pStyle w:val="Point1"/>
        <w:rPr>
          <w:noProof/>
        </w:rPr>
      </w:pPr>
      <w:r w:rsidRPr="001678E4">
        <w:t>(b)</w:t>
      </w:r>
      <w:r w:rsidRPr="001678E4">
        <w:tab/>
      </w:r>
      <w:r w:rsidR="004F757E">
        <w:rPr>
          <w:noProof/>
        </w:rPr>
        <w:t>paragraph 3</w:t>
      </w:r>
      <w:r w:rsidR="004F757E" w:rsidRPr="000C4F35">
        <w:rPr>
          <w:noProof/>
        </w:rPr>
        <w:t xml:space="preserve"> is replaced by the following:</w:t>
      </w:r>
    </w:p>
    <w:p w14:paraId="28B4D9FE" w14:textId="77777777" w:rsidR="004F757E" w:rsidRDefault="004F757E" w:rsidP="00501D05">
      <w:pPr>
        <w:ind w:left="850"/>
        <w:rPr>
          <w:noProof/>
        </w:rPr>
      </w:pPr>
      <w:r>
        <w:rPr>
          <w:noProof/>
        </w:rPr>
        <w:t xml:space="preserve">‘3. The delegation of power referred to in Articles 2(2), 7(14), 24(7), </w:t>
      </w:r>
      <w:r w:rsidR="00811E6B">
        <w:rPr>
          <w:noProof/>
        </w:rPr>
        <w:t xml:space="preserve">7(14a), 24a(8), 25(13) and 54(9) </w:t>
      </w:r>
      <w:r>
        <w:rPr>
          <w:noProof/>
        </w:rPr>
        <w:t>may be revoked at any time by the European Parliament or by the Council. A decision of revocation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r w:rsidR="000E45D1" w:rsidRPr="006B3BA6">
        <w:rPr>
          <w:noProof/>
        </w:rPr>
        <w:t>;</w:t>
      </w:r>
    </w:p>
    <w:p w14:paraId="3D1BBBD1" w14:textId="25550B35" w:rsidR="004F757E" w:rsidRDefault="001678E4" w:rsidP="001678E4">
      <w:pPr>
        <w:pStyle w:val="Point1"/>
        <w:rPr>
          <w:noProof/>
        </w:rPr>
      </w:pPr>
      <w:r w:rsidRPr="001678E4">
        <w:t>(c)</w:t>
      </w:r>
      <w:r w:rsidRPr="001678E4">
        <w:tab/>
      </w:r>
      <w:r w:rsidR="004F757E">
        <w:rPr>
          <w:noProof/>
        </w:rPr>
        <w:t>paragraph 5</w:t>
      </w:r>
      <w:r w:rsidR="004F757E" w:rsidRPr="000C4F35">
        <w:rPr>
          <w:noProof/>
        </w:rPr>
        <w:t xml:space="preserve"> is replaced by the following:</w:t>
      </w:r>
    </w:p>
    <w:p w14:paraId="6C0112E5" w14:textId="77777777" w:rsidR="004F757E" w:rsidRPr="004F757E" w:rsidRDefault="004F757E" w:rsidP="00501D05">
      <w:pPr>
        <w:ind w:left="850"/>
        <w:rPr>
          <w:noProof/>
        </w:rPr>
      </w:pPr>
      <w:r>
        <w:rPr>
          <w:noProof/>
        </w:rPr>
        <w:t xml:space="preserve">‘5. A delegated act adopted pursuant to Articles 2(2), 7(14), 24(7), </w:t>
      </w:r>
      <w:r w:rsidR="00811E6B">
        <w:rPr>
          <w:noProof/>
        </w:rPr>
        <w:t xml:space="preserve">7(14a), 24a(8), 25(13) and 54(9) </w:t>
      </w:r>
      <w:r>
        <w:rPr>
          <w:noProof/>
        </w:rPr>
        <w:t>shall enter into force only if no objection has been expressed either by the European Parliament or the Council within a period of three months of notification of that act to the European Parliament and the Council or if, before the expiry of that period, the European Parliament and the Council have both informed the Commission that they will not object. That period shall be extended by three months at the initiative of the European Parliament or of the Council.’</w:t>
      </w:r>
    </w:p>
    <w:p w14:paraId="003ED075" w14:textId="77777777" w:rsidR="004F677E" w:rsidRPr="000C4F35" w:rsidRDefault="006C0D2D">
      <w:pPr>
        <w:pStyle w:val="ManualNumPar1"/>
        <w:rPr>
          <w:noProof/>
        </w:rPr>
      </w:pPr>
      <w:r>
        <w:rPr>
          <w:noProof/>
        </w:rPr>
        <w:t>(</w:t>
      </w:r>
      <w:r w:rsidR="004F677E" w:rsidRPr="000C4F35">
        <w:rPr>
          <w:noProof/>
        </w:rPr>
        <w:t>2</w:t>
      </w:r>
      <w:r>
        <w:rPr>
          <w:noProof/>
        </w:rPr>
        <w:t>2)</w:t>
      </w:r>
      <w:r w:rsidR="004F677E" w:rsidRPr="000C4F35">
        <w:rPr>
          <w:noProof/>
        </w:rPr>
        <w:t xml:space="preserve"> </w:t>
      </w:r>
      <w:r w:rsidR="000E45D1" w:rsidRPr="006B3BA6">
        <w:rPr>
          <w:noProof/>
        </w:rPr>
        <w:t>in Article 68, t</w:t>
      </w:r>
      <w:r w:rsidR="004F677E" w:rsidRPr="006B3BA6">
        <w:rPr>
          <w:noProof/>
        </w:rPr>
        <w:t xml:space="preserve">he following paragraph </w:t>
      </w:r>
      <w:r w:rsidR="000E45D1" w:rsidRPr="006B3BA6">
        <w:rPr>
          <w:noProof/>
        </w:rPr>
        <w:t xml:space="preserve">3 </w:t>
      </w:r>
      <w:r w:rsidR="004F677E" w:rsidRPr="006B3BA6">
        <w:rPr>
          <w:noProof/>
        </w:rPr>
        <w:t xml:space="preserve">is </w:t>
      </w:r>
      <w:r w:rsidR="000E45D1" w:rsidRPr="006B3BA6">
        <w:rPr>
          <w:noProof/>
        </w:rPr>
        <w:t>added</w:t>
      </w:r>
      <w:r w:rsidR="004F677E" w:rsidRPr="000C4F35">
        <w:rPr>
          <w:noProof/>
        </w:rPr>
        <w:t xml:space="preserve">: </w:t>
      </w:r>
    </w:p>
    <w:p w14:paraId="04CFD653" w14:textId="77777777" w:rsidR="004F677E" w:rsidRPr="000C4F35" w:rsidRDefault="004F677E" w:rsidP="008E6990">
      <w:pPr>
        <w:pStyle w:val="Text1"/>
        <w:rPr>
          <w:noProof/>
        </w:rPr>
      </w:pPr>
      <w:r w:rsidRPr="000C4F35">
        <w:rPr>
          <w:noProof/>
        </w:rPr>
        <w:t>“3</w:t>
      </w:r>
      <w:r w:rsidR="009C003C" w:rsidRPr="000C4F35">
        <w:rPr>
          <w:noProof/>
        </w:rPr>
        <w:t>.</w:t>
      </w:r>
      <w:r w:rsidRPr="000C4F35">
        <w:rPr>
          <w:noProof/>
        </w:rPr>
        <w:t xml:space="preserve"> Where reference is made to this paragraph, Article 8 of Regulation (EU) No 182/2011</w:t>
      </w:r>
      <w:r w:rsidR="00555CB0">
        <w:rPr>
          <w:noProof/>
        </w:rPr>
        <w:t>,</w:t>
      </w:r>
      <w:r w:rsidR="00555CB0" w:rsidRPr="00555CB0">
        <w:rPr>
          <w:rFonts w:ascii="Arial Unicode MS" w:eastAsia="Arial Unicode MS" w:hAnsi="Arial Unicode MS" w:cs="Arial Unicode MS" w:hint="eastAsia"/>
          <w:noProof/>
          <w:color w:val="444444"/>
          <w:sz w:val="21"/>
          <w:szCs w:val="21"/>
          <w:shd w:val="clear" w:color="auto" w:fill="FFFFFF"/>
        </w:rPr>
        <w:t xml:space="preserve"> </w:t>
      </w:r>
      <w:r w:rsidR="00555CB0" w:rsidRPr="00555CB0">
        <w:rPr>
          <w:rFonts w:hint="eastAsia"/>
          <w:noProof/>
        </w:rPr>
        <w:t>in conjunction with Article 5 thereof, </w:t>
      </w:r>
      <w:r w:rsidRPr="000C4F35">
        <w:rPr>
          <w:noProof/>
        </w:rPr>
        <w:t>shall apply</w:t>
      </w:r>
      <w:r w:rsidR="0040651B" w:rsidRPr="006B3BA6">
        <w:rPr>
          <w:noProof/>
        </w:rPr>
        <w:t>.</w:t>
      </w:r>
      <w:r w:rsidRPr="000C4F35">
        <w:rPr>
          <w:noProof/>
        </w:rPr>
        <w:t>”</w:t>
      </w:r>
      <w:r w:rsidR="0040651B" w:rsidRPr="006B3BA6">
        <w:rPr>
          <w:noProof/>
        </w:rPr>
        <w:t>;</w:t>
      </w:r>
    </w:p>
    <w:p w14:paraId="345DDC03" w14:textId="77777777" w:rsidR="004F677E" w:rsidRPr="000C4F35" w:rsidRDefault="00472B45" w:rsidP="00685329">
      <w:pPr>
        <w:pStyle w:val="ManualNumPar1"/>
        <w:rPr>
          <w:noProof/>
        </w:rPr>
      </w:pPr>
      <w:r>
        <w:rPr>
          <w:noProof/>
        </w:rPr>
        <w:t>(</w:t>
      </w:r>
      <w:r w:rsidR="004F677E" w:rsidRPr="000C4F35">
        <w:rPr>
          <w:noProof/>
        </w:rPr>
        <w:t>2</w:t>
      </w:r>
      <w:r w:rsidR="006C0D2D">
        <w:rPr>
          <w:noProof/>
        </w:rPr>
        <w:t>3</w:t>
      </w:r>
      <w:r>
        <w:rPr>
          <w:noProof/>
        </w:rPr>
        <w:t>)</w:t>
      </w:r>
      <w:r w:rsidR="004F677E" w:rsidRPr="000C4F35">
        <w:rPr>
          <w:noProof/>
        </w:rPr>
        <w:t xml:space="preserve"> Article 69 is amended as follows: </w:t>
      </w:r>
    </w:p>
    <w:p w14:paraId="0FCE273C" w14:textId="38DD8571" w:rsidR="004F677E" w:rsidRPr="000C4F35" w:rsidRDefault="001678E4" w:rsidP="001678E4">
      <w:pPr>
        <w:pStyle w:val="Point1"/>
        <w:rPr>
          <w:noProof/>
        </w:rPr>
      </w:pPr>
      <w:r w:rsidRPr="001678E4">
        <w:t>(a)</w:t>
      </w:r>
      <w:r w:rsidRPr="001678E4">
        <w:tab/>
      </w:r>
      <w:r w:rsidR="00472B45">
        <w:rPr>
          <w:noProof/>
        </w:rPr>
        <w:t>p</w:t>
      </w:r>
      <w:r w:rsidR="004F677E" w:rsidRPr="000C4F35">
        <w:rPr>
          <w:noProof/>
        </w:rPr>
        <w:t xml:space="preserve">aragraph 4 is replaced by the following: </w:t>
      </w:r>
    </w:p>
    <w:p w14:paraId="72C3E8AC" w14:textId="77777777" w:rsidR="004F677E" w:rsidRPr="000C4F35" w:rsidRDefault="00367591" w:rsidP="00685329">
      <w:pPr>
        <w:pStyle w:val="Text1"/>
        <w:rPr>
          <w:noProof/>
        </w:rPr>
      </w:pPr>
      <w:r>
        <w:rPr>
          <w:noProof/>
        </w:rPr>
        <w:t>‘</w:t>
      </w:r>
      <w:r w:rsidR="004F677E" w:rsidRPr="000C4F35">
        <w:rPr>
          <w:noProof/>
        </w:rPr>
        <w:t>4. The national rules on the authorisation of CSDs sh</w:t>
      </w:r>
      <w:r w:rsidR="005454EB">
        <w:rPr>
          <w:noProof/>
        </w:rPr>
        <w:t>all continue to apply until the</w:t>
      </w:r>
      <w:r w:rsidR="004F677E" w:rsidRPr="000C4F35">
        <w:rPr>
          <w:noProof/>
        </w:rPr>
        <w:t xml:space="preserve"> following date</w:t>
      </w:r>
      <w:r w:rsidR="00A14BC9">
        <w:rPr>
          <w:noProof/>
        </w:rPr>
        <w:t>, whichever is earlier</w:t>
      </w:r>
      <w:r w:rsidR="004F677E" w:rsidRPr="000C4F35">
        <w:rPr>
          <w:noProof/>
        </w:rPr>
        <w:t xml:space="preserve">: </w:t>
      </w:r>
    </w:p>
    <w:p w14:paraId="60C1F5B2" w14:textId="77777777" w:rsidR="004F677E" w:rsidRPr="000C4F35" w:rsidRDefault="00A14BC9" w:rsidP="00685329">
      <w:pPr>
        <w:pStyle w:val="Text1"/>
        <w:rPr>
          <w:noProof/>
        </w:rPr>
      </w:pPr>
      <w:r>
        <w:rPr>
          <w:noProof/>
        </w:rPr>
        <w:t xml:space="preserve">(a) the date </w:t>
      </w:r>
      <w:r w:rsidR="004F677E" w:rsidRPr="000C4F35">
        <w:rPr>
          <w:noProof/>
        </w:rPr>
        <w:t>when a decision is made under this Regulation on the authorisation of CSDs and of their activities, including CSD links;</w:t>
      </w:r>
      <w:r>
        <w:rPr>
          <w:noProof/>
        </w:rPr>
        <w:t xml:space="preserve"> or</w:t>
      </w:r>
      <w:r w:rsidR="004F677E" w:rsidRPr="000C4F35">
        <w:rPr>
          <w:noProof/>
        </w:rPr>
        <w:t xml:space="preserve"> </w:t>
      </w:r>
    </w:p>
    <w:p w14:paraId="0BFBA2C8" w14:textId="77777777" w:rsidR="004F677E" w:rsidRPr="000C4F35" w:rsidRDefault="00A14BC9" w:rsidP="00685329">
      <w:pPr>
        <w:pStyle w:val="Text1"/>
        <w:rPr>
          <w:noProof/>
        </w:rPr>
      </w:pPr>
      <w:r>
        <w:rPr>
          <w:noProof/>
        </w:rPr>
        <w:t xml:space="preserve">(b) … </w:t>
      </w:r>
      <w:r w:rsidR="004F677E" w:rsidRPr="000C4F35">
        <w:rPr>
          <w:noProof/>
        </w:rPr>
        <w:t>[</w:t>
      </w:r>
      <w:r w:rsidR="004F677E" w:rsidRPr="00D473D5">
        <w:rPr>
          <w:i/>
          <w:noProof/>
        </w:rPr>
        <w:t>PO please insert</w:t>
      </w:r>
      <w:r w:rsidRPr="00D473D5">
        <w:rPr>
          <w:i/>
          <w:noProof/>
        </w:rPr>
        <w:t xml:space="preserve"> </w:t>
      </w:r>
      <w:r w:rsidRPr="00E4531D">
        <w:rPr>
          <w:i/>
          <w:noProof/>
        </w:rPr>
        <w:t xml:space="preserve">the </w:t>
      </w:r>
      <w:r w:rsidRPr="00A14BC9">
        <w:rPr>
          <w:i/>
          <w:noProof/>
        </w:rPr>
        <w:t>date</w:t>
      </w:r>
      <w:r w:rsidRPr="00E4531D">
        <w:rPr>
          <w:i/>
          <w:noProof/>
        </w:rPr>
        <w:t xml:space="preserve"> =</w:t>
      </w:r>
      <w:r w:rsidR="004F677E" w:rsidRPr="00E4531D">
        <w:rPr>
          <w:i/>
          <w:noProof/>
        </w:rPr>
        <w:t xml:space="preserve"> </w:t>
      </w:r>
      <w:r w:rsidR="00367591">
        <w:rPr>
          <w:noProof/>
        </w:rPr>
        <w:t>1</w:t>
      </w:r>
      <w:r w:rsidR="00367591" w:rsidRPr="00367591">
        <w:rPr>
          <w:noProof/>
        </w:rPr>
        <w:t xml:space="preserve"> </w:t>
      </w:r>
      <w:r w:rsidR="004F677E" w:rsidRPr="00367591">
        <w:rPr>
          <w:noProof/>
        </w:rPr>
        <w:t xml:space="preserve">year </w:t>
      </w:r>
      <w:r w:rsidRPr="00E4531D">
        <w:rPr>
          <w:i/>
          <w:noProof/>
        </w:rPr>
        <w:t>after</w:t>
      </w:r>
      <w:r w:rsidRPr="00D473D5">
        <w:rPr>
          <w:i/>
          <w:noProof/>
        </w:rPr>
        <w:t xml:space="preserve"> the </w:t>
      </w:r>
      <w:r w:rsidRPr="00E4531D">
        <w:rPr>
          <w:i/>
          <w:noProof/>
        </w:rPr>
        <w:t>date of</w:t>
      </w:r>
      <w:r w:rsidR="004F677E" w:rsidRPr="00E4531D">
        <w:rPr>
          <w:i/>
          <w:noProof/>
        </w:rPr>
        <w:t xml:space="preserve"> </w:t>
      </w:r>
      <w:r w:rsidR="004F677E" w:rsidRPr="00D473D5">
        <w:rPr>
          <w:i/>
          <w:noProof/>
        </w:rPr>
        <w:t>entry into force of this Regulation</w:t>
      </w:r>
      <w:r w:rsidR="004F677E" w:rsidRPr="000C4F35">
        <w:rPr>
          <w:noProof/>
        </w:rPr>
        <w:t>]</w:t>
      </w:r>
      <w:r>
        <w:rPr>
          <w:noProof/>
        </w:rPr>
        <w:t>.</w:t>
      </w:r>
      <w:r w:rsidR="00367591">
        <w:rPr>
          <w:noProof/>
        </w:rPr>
        <w:t>’</w:t>
      </w:r>
      <w:r w:rsidR="002041D9">
        <w:rPr>
          <w:noProof/>
        </w:rPr>
        <w:t>;</w:t>
      </w:r>
    </w:p>
    <w:p w14:paraId="4FA08276" w14:textId="79F14B2A" w:rsidR="004F677E" w:rsidRPr="000C4F35" w:rsidRDefault="001678E4" w:rsidP="001678E4">
      <w:pPr>
        <w:pStyle w:val="Point1"/>
        <w:rPr>
          <w:noProof/>
        </w:rPr>
      </w:pPr>
      <w:r w:rsidRPr="001678E4">
        <w:t>(b)</w:t>
      </w:r>
      <w:r w:rsidRPr="001678E4">
        <w:tab/>
      </w:r>
      <w:r w:rsidR="00A14BC9">
        <w:rPr>
          <w:noProof/>
        </w:rPr>
        <w:t>t</w:t>
      </w:r>
      <w:r w:rsidR="004F18A6" w:rsidRPr="000C4F35">
        <w:rPr>
          <w:noProof/>
        </w:rPr>
        <w:t xml:space="preserve">he </w:t>
      </w:r>
      <w:r w:rsidR="004F677E" w:rsidRPr="000C4F35">
        <w:rPr>
          <w:noProof/>
        </w:rPr>
        <w:t>following paragraphs 4a</w:t>
      </w:r>
      <w:r w:rsidR="00F758C1">
        <w:rPr>
          <w:noProof/>
        </w:rPr>
        <w:t xml:space="preserve">, </w:t>
      </w:r>
      <w:r w:rsidR="004F677E" w:rsidRPr="000C4F35">
        <w:rPr>
          <w:noProof/>
        </w:rPr>
        <w:t xml:space="preserve">4b </w:t>
      </w:r>
      <w:r w:rsidR="00F758C1">
        <w:rPr>
          <w:noProof/>
        </w:rPr>
        <w:t xml:space="preserve">and 4c </w:t>
      </w:r>
      <w:r w:rsidR="004F677E" w:rsidRPr="000C4F35">
        <w:rPr>
          <w:noProof/>
        </w:rPr>
        <w:t xml:space="preserve">are inserted: </w:t>
      </w:r>
    </w:p>
    <w:p w14:paraId="5BB9BE5C" w14:textId="77777777" w:rsidR="004F677E" w:rsidRPr="000C4F35" w:rsidRDefault="00367591" w:rsidP="00685329">
      <w:pPr>
        <w:pStyle w:val="Text1"/>
        <w:rPr>
          <w:noProof/>
        </w:rPr>
      </w:pPr>
      <w:r>
        <w:rPr>
          <w:noProof/>
        </w:rPr>
        <w:t>‘</w:t>
      </w:r>
      <w:r w:rsidR="004F677E" w:rsidRPr="000C4F35">
        <w:rPr>
          <w:noProof/>
        </w:rPr>
        <w:t xml:space="preserve">4a. The national rules on the recognition of third-country CSDs shall continue to apply until the </w:t>
      </w:r>
      <w:r w:rsidR="00A14BC9">
        <w:rPr>
          <w:noProof/>
        </w:rPr>
        <w:t xml:space="preserve">following date, </w:t>
      </w:r>
      <w:r w:rsidR="00A14BC9" w:rsidRPr="00A14BC9">
        <w:rPr>
          <w:noProof/>
        </w:rPr>
        <w:t>whichever is earlier</w:t>
      </w:r>
      <w:r w:rsidR="004F677E" w:rsidRPr="000C4F35">
        <w:rPr>
          <w:noProof/>
        </w:rPr>
        <w:t xml:space="preserve">: </w:t>
      </w:r>
    </w:p>
    <w:p w14:paraId="7FC8B2EC" w14:textId="77777777" w:rsidR="004F677E" w:rsidRPr="000C4F35" w:rsidRDefault="00B770F9" w:rsidP="00685329">
      <w:pPr>
        <w:pStyle w:val="Text1"/>
        <w:rPr>
          <w:noProof/>
        </w:rPr>
      </w:pPr>
      <w:r w:rsidRPr="000C4F35">
        <w:rPr>
          <w:noProof/>
        </w:rPr>
        <w:t xml:space="preserve">(a) </w:t>
      </w:r>
      <w:r w:rsidR="00A14BC9">
        <w:rPr>
          <w:noProof/>
        </w:rPr>
        <w:t xml:space="preserve">the date </w:t>
      </w:r>
      <w:r w:rsidR="004F677E" w:rsidRPr="000C4F35">
        <w:rPr>
          <w:noProof/>
        </w:rPr>
        <w:t xml:space="preserve">when a decision is made under this Regulation on the recognition of </w:t>
      </w:r>
      <w:r w:rsidR="00320291">
        <w:rPr>
          <w:noProof/>
        </w:rPr>
        <w:t xml:space="preserve">the respective </w:t>
      </w:r>
      <w:r w:rsidR="004F677E" w:rsidRPr="000C4F35">
        <w:rPr>
          <w:noProof/>
        </w:rPr>
        <w:t xml:space="preserve">third-country CSDs and of their activities; </w:t>
      </w:r>
      <w:r w:rsidR="00A14BC9">
        <w:rPr>
          <w:noProof/>
        </w:rPr>
        <w:t>or</w:t>
      </w:r>
    </w:p>
    <w:p w14:paraId="51851054" w14:textId="77777777" w:rsidR="004F677E" w:rsidRPr="000C4F35" w:rsidRDefault="00B770F9" w:rsidP="00685329">
      <w:pPr>
        <w:pStyle w:val="Text1"/>
        <w:rPr>
          <w:noProof/>
        </w:rPr>
      </w:pPr>
      <w:r w:rsidRPr="000C4F35">
        <w:rPr>
          <w:noProof/>
        </w:rPr>
        <w:t xml:space="preserve">(b) </w:t>
      </w:r>
      <w:r w:rsidR="00A14BC9">
        <w:rPr>
          <w:noProof/>
        </w:rPr>
        <w:t xml:space="preserve">… </w:t>
      </w:r>
      <w:r w:rsidR="004F677E" w:rsidRPr="000C4F35">
        <w:rPr>
          <w:noProof/>
        </w:rPr>
        <w:t>[</w:t>
      </w:r>
      <w:r w:rsidR="004F677E" w:rsidRPr="000C4F35">
        <w:rPr>
          <w:i/>
          <w:noProof/>
        </w:rPr>
        <w:t xml:space="preserve">PO please insert </w:t>
      </w:r>
      <w:r w:rsidR="00A14BC9">
        <w:rPr>
          <w:i/>
          <w:noProof/>
        </w:rPr>
        <w:t xml:space="preserve">the date = </w:t>
      </w:r>
      <w:r w:rsidR="00367591">
        <w:rPr>
          <w:i/>
          <w:noProof/>
        </w:rPr>
        <w:t>3</w:t>
      </w:r>
      <w:r w:rsidR="00367591" w:rsidRPr="000C4F35">
        <w:rPr>
          <w:i/>
          <w:noProof/>
        </w:rPr>
        <w:t xml:space="preserve"> </w:t>
      </w:r>
      <w:r w:rsidR="004F677E" w:rsidRPr="000C4F35">
        <w:rPr>
          <w:i/>
          <w:noProof/>
        </w:rPr>
        <w:t xml:space="preserve">years after </w:t>
      </w:r>
      <w:r w:rsidR="00A14BC9">
        <w:rPr>
          <w:i/>
          <w:noProof/>
        </w:rPr>
        <w:t xml:space="preserve">the date of </w:t>
      </w:r>
      <w:r w:rsidR="004F677E" w:rsidRPr="000C4F35">
        <w:rPr>
          <w:i/>
          <w:noProof/>
        </w:rPr>
        <w:t xml:space="preserve">entry into </w:t>
      </w:r>
      <w:r w:rsidR="009C003C" w:rsidRPr="000C4F35">
        <w:rPr>
          <w:i/>
          <w:noProof/>
        </w:rPr>
        <w:t xml:space="preserve">force </w:t>
      </w:r>
      <w:r w:rsidR="004F677E" w:rsidRPr="000C4F35">
        <w:rPr>
          <w:i/>
          <w:noProof/>
        </w:rPr>
        <w:t>of this Regulation</w:t>
      </w:r>
      <w:r w:rsidR="004F677E" w:rsidRPr="000C4F35">
        <w:rPr>
          <w:noProof/>
        </w:rPr>
        <w:t>]</w:t>
      </w:r>
      <w:r w:rsidR="00A14BC9">
        <w:rPr>
          <w:noProof/>
        </w:rPr>
        <w:t>.</w:t>
      </w:r>
    </w:p>
    <w:p w14:paraId="78D04572" w14:textId="77777777" w:rsidR="006114DE" w:rsidRPr="000C4F35" w:rsidRDefault="004F677E">
      <w:pPr>
        <w:pStyle w:val="Text1"/>
        <w:rPr>
          <w:noProof/>
        </w:rPr>
      </w:pPr>
      <w:r w:rsidRPr="000C4F35">
        <w:rPr>
          <w:noProof/>
        </w:rPr>
        <w:t>A third-country CSD that provides the core services referred to</w:t>
      </w:r>
      <w:r w:rsidR="008B564A">
        <w:rPr>
          <w:noProof/>
        </w:rPr>
        <w:t xml:space="preserve"> in </w:t>
      </w:r>
      <w:r w:rsidRPr="000C4F35">
        <w:rPr>
          <w:noProof/>
        </w:rPr>
        <w:t>Section A</w:t>
      </w:r>
      <w:r w:rsidR="00367591">
        <w:rPr>
          <w:noProof/>
        </w:rPr>
        <w:t xml:space="preserve">, </w:t>
      </w:r>
      <w:r w:rsidR="00367591" w:rsidRPr="000C4F35">
        <w:rPr>
          <w:noProof/>
        </w:rPr>
        <w:t>points (1) and (2)</w:t>
      </w:r>
      <w:r w:rsidR="00367591">
        <w:rPr>
          <w:noProof/>
        </w:rPr>
        <w:t>,</w:t>
      </w:r>
      <w:r w:rsidRPr="000C4F35">
        <w:rPr>
          <w:noProof/>
        </w:rPr>
        <w:t xml:space="preserve"> of the Annex in relation to financial instruments constituted under the law of a Member State referred to in </w:t>
      </w:r>
      <w:r w:rsidR="004716AC" w:rsidRPr="000C4F35">
        <w:rPr>
          <w:noProof/>
        </w:rPr>
        <w:t>Article 49(1)</w:t>
      </w:r>
      <w:r w:rsidR="004716AC">
        <w:rPr>
          <w:noProof/>
        </w:rPr>
        <w:t>,</w:t>
      </w:r>
      <w:r w:rsidRPr="000C4F35">
        <w:rPr>
          <w:noProof/>
        </w:rPr>
        <w:t xml:space="preserve"> second subparagraph pursuant to </w:t>
      </w:r>
      <w:r w:rsidR="00AF196F">
        <w:rPr>
          <w:noProof/>
        </w:rPr>
        <w:t>the applicable national rules on the recognition of third-country CSDs</w:t>
      </w:r>
      <w:r w:rsidRPr="000C4F35">
        <w:rPr>
          <w:noProof/>
        </w:rPr>
        <w:t xml:space="preserve"> shall submit a notification to ESMA</w:t>
      </w:r>
      <w:r w:rsidR="00AF196F">
        <w:rPr>
          <w:noProof/>
        </w:rPr>
        <w:t xml:space="preserve"> within </w:t>
      </w:r>
      <w:r w:rsidR="00A40F59">
        <w:rPr>
          <w:noProof/>
        </w:rPr>
        <w:t>2 years</w:t>
      </w:r>
      <w:r w:rsidR="00AF196F">
        <w:rPr>
          <w:noProof/>
        </w:rPr>
        <w:t xml:space="preserve"> from </w:t>
      </w:r>
      <w:r w:rsidR="00AF196F" w:rsidRPr="00E4531D">
        <w:rPr>
          <w:i/>
          <w:noProof/>
        </w:rPr>
        <w:t>[PO please insert the date of entry into force of this Regulation].</w:t>
      </w:r>
    </w:p>
    <w:p w14:paraId="69052BEF" w14:textId="77777777" w:rsidR="006114DE" w:rsidRDefault="004F677E" w:rsidP="00685329">
      <w:pPr>
        <w:pStyle w:val="Text1"/>
        <w:rPr>
          <w:noProof/>
        </w:rPr>
      </w:pPr>
      <w:r w:rsidRPr="000C4F35">
        <w:rPr>
          <w:noProof/>
        </w:rPr>
        <w:t xml:space="preserve">ESMA shall develop draft regulatory technical standards to specify the information that the third- country CSD shall provide to ESMA in the notification referred to in the second subparagraph. </w:t>
      </w:r>
      <w:r w:rsidR="00C25A33">
        <w:rPr>
          <w:noProof/>
        </w:rPr>
        <w:t xml:space="preserve">Such information shall </w:t>
      </w:r>
      <w:r w:rsidR="006114DE">
        <w:rPr>
          <w:noProof/>
        </w:rPr>
        <w:t xml:space="preserve">be limited to </w:t>
      </w:r>
      <w:r w:rsidR="00AF196F">
        <w:rPr>
          <w:noProof/>
        </w:rPr>
        <w:t>what is strictly necessary</w:t>
      </w:r>
      <w:r w:rsidR="002F16D3">
        <w:rPr>
          <w:noProof/>
        </w:rPr>
        <w:t xml:space="preserve"> including</w:t>
      </w:r>
      <w:r w:rsidR="006114DE">
        <w:rPr>
          <w:noProof/>
        </w:rPr>
        <w:t xml:space="preserve">, where applicable and available: </w:t>
      </w:r>
    </w:p>
    <w:p w14:paraId="0673640B" w14:textId="222B809A" w:rsidR="006114DE" w:rsidRDefault="001678E4" w:rsidP="001678E4">
      <w:pPr>
        <w:pStyle w:val="Point2"/>
        <w:rPr>
          <w:noProof/>
        </w:rPr>
      </w:pPr>
      <w:r w:rsidRPr="001678E4">
        <w:t>(a)</w:t>
      </w:r>
      <w:r w:rsidRPr="001678E4">
        <w:tab/>
      </w:r>
      <w:r w:rsidR="00C25A33">
        <w:rPr>
          <w:noProof/>
        </w:rPr>
        <w:t xml:space="preserve">the number of participants to whom the third-country CSD provides the services </w:t>
      </w:r>
      <w:r w:rsidR="00C25A33" w:rsidRPr="000C4F35">
        <w:rPr>
          <w:noProof/>
        </w:rPr>
        <w:t xml:space="preserve">referred to in </w:t>
      </w:r>
      <w:r w:rsidR="00C25A33">
        <w:rPr>
          <w:noProof/>
        </w:rPr>
        <w:t xml:space="preserve">the second </w:t>
      </w:r>
      <w:r w:rsidR="006114DE">
        <w:rPr>
          <w:noProof/>
        </w:rPr>
        <w:t>sub</w:t>
      </w:r>
      <w:r w:rsidR="00C25A33">
        <w:rPr>
          <w:noProof/>
        </w:rPr>
        <w:t>paragraph</w:t>
      </w:r>
      <w:r w:rsidR="006114DE">
        <w:rPr>
          <w:noProof/>
        </w:rPr>
        <w:t>;</w:t>
      </w:r>
      <w:r w:rsidR="00C25A33">
        <w:rPr>
          <w:noProof/>
        </w:rPr>
        <w:t xml:space="preserve"> </w:t>
      </w:r>
    </w:p>
    <w:p w14:paraId="13D1A2E9" w14:textId="13D9B618" w:rsidR="006114DE" w:rsidRDefault="001678E4" w:rsidP="001678E4">
      <w:pPr>
        <w:pStyle w:val="Point2"/>
        <w:rPr>
          <w:noProof/>
        </w:rPr>
      </w:pPr>
      <w:r w:rsidRPr="001678E4">
        <w:t>(b)</w:t>
      </w:r>
      <w:r w:rsidRPr="001678E4">
        <w:tab/>
      </w:r>
      <w:r w:rsidR="00C25A33">
        <w:rPr>
          <w:noProof/>
        </w:rPr>
        <w:t>the categories of financial instruments in respect of which the third-country CSD provides such services</w:t>
      </w:r>
      <w:r w:rsidR="00C027E8">
        <w:rPr>
          <w:noProof/>
        </w:rPr>
        <w:t>; and</w:t>
      </w:r>
      <w:r w:rsidR="00C25A33">
        <w:rPr>
          <w:noProof/>
        </w:rPr>
        <w:t xml:space="preserve"> </w:t>
      </w:r>
    </w:p>
    <w:p w14:paraId="6C637EDD" w14:textId="554A061F" w:rsidR="004F677E" w:rsidRPr="000C4F35" w:rsidRDefault="001678E4" w:rsidP="001678E4">
      <w:pPr>
        <w:pStyle w:val="Point2"/>
        <w:rPr>
          <w:noProof/>
        </w:rPr>
      </w:pPr>
      <w:r w:rsidRPr="001678E4">
        <w:t>(c)</w:t>
      </w:r>
      <w:r w:rsidRPr="001678E4">
        <w:tab/>
      </w:r>
      <w:r w:rsidR="00C25A33">
        <w:rPr>
          <w:noProof/>
        </w:rPr>
        <w:t xml:space="preserve">the total </w:t>
      </w:r>
      <w:r w:rsidR="00C027E8">
        <w:rPr>
          <w:noProof/>
        </w:rPr>
        <w:t>volume</w:t>
      </w:r>
      <w:r w:rsidR="00C25A33">
        <w:rPr>
          <w:noProof/>
        </w:rPr>
        <w:t xml:space="preserve"> an</w:t>
      </w:r>
      <w:r w:rsidR="00C027E8">
        <w:rPr>
          <w:noProof/>
        </w:rPr>
        <w:t>d</w:t>
      </w:r>
      <w:r w:rsidR="00C25A33">
        <w:rPr>
          <w:noProof/>
        </w:rPr>
        <w:t xml:space="preserve"> value of such financial instruments. </w:t>
      </w:r>
    </w:p>
    <w:p w14:paraId="4006C34B" w14:textId="77777777" w:rsidR="004F677E" w:rsidRPr="000C4F35" w:rsidRDefault="004F677E" w:rsidP="00685329">
      <w:pPr>
        <w:pStyle w:val="Text1"/>
        <w:rPr>
          <w:noProof/>
        </w:rPr>
      </w:pPr>
      <w:r w:rsidRPr="000C4F35">
        <w:rPr>
          <w:noProof/>
        </w:rPr>
        <w:t>ESMA shall submit those draft regulatory technical standards to the Commission by [</w:t>
      </w:r>
      <w:r w:rsidRPr="000C4F35">
        <w:rPr>
          <w:i/>
          <w:noProof/>
        </w:rPr>
        <w:t xml:space="preserve">PO please insert </w:t>
      </w:r>
      <w:r w:rsidR="00E82B05">
        <w:rPr>
          <w:i/>
          <w:noProof/>
        </w:rPr>
        <w:t xml:space="preserve">the date = </w:t>
      </w:r>
      <w:r w:rsidR="00367591">
        <w:rPr>
          <w:i/>
          <w:noProof/>
        </w:rPr>
        <w:t>1</w:t>
      </w:r>
      <w:r w:rsidR="00367591" w:rsidRPr="000C4F35">
        <w:rPr>
          <w:i/>
          <w:noProof/>
        </w:rPr>
        <w:t xml:space="preserve"> </w:t>
      </w:r>
      <w:r w:rsidRPr="000C4F35">
        <w:rPr>
          <w:i/>
          <w:noProof/>
        </w:rPr>
        <w:t xml:space="preserve">year </w:t>
      </w:r>
      <w:r w:rsidR="00E82B05">
        <w:rPr>
          <w:i/>
          <w:noProof/>
        </w:rPr>
        <w:t>after</w:t>
      </w:r>
      <w:r w:rsidRPr="000C4F35">
        <w:rPr>
          <w:i/>
          <w:noProof/>
        </w:rPr>
        <w:t xml:space="preserve"> the date of entry into force of this Regulation</w:t>
      </w:r>
      <w:r w:rsidRPr="000C4F35">
        <w:rPr>
          <w:noProof/>
        </w:rPr>
        <w:t xml:space="preserve">]. </w:t>
      </w:r>
    </w:p>
    <w:p w14:paraId="5E7EFA5F" w14:textId="77777777" w:rsidR="004F677E" w:rsidRPr="000C4F35" w:rsidRDefault="004F677E" w:rsidP="00685329">
      <w:pPr>
        <w:pStyle w:val="Text1"/>
        <w:rPr>
          <w:noProof/>
        </w:rPr>
      </w:pPr>
      <w:r w:rsidRPr="000C4F35">
        <w:rPr>
          <w:noProof/>
        </w:rPr>
        <w:t xml:space="preserve">Power is delegated to the Commission to </w:t>
      </w:r>
      <w:r w:rsidR="00D2008B">
        <w:rPr>
          <w:noProof/>
        </w:rPr>
        <w:t xml:space="preserve">supplement this Regulation by </w:t>
      </w:r>
      <w:r w:rsidRPr="000C4F35">
        <w:rPr>
          <w:noProof/>
        </w:rPr>
        <w:t>adopt</w:t>
      </w:r>
      <w:r w:rsidR="00D2008B">
        <w:rPr>
          <w:noProof/>
        </w:rPr>
        <w:t>ing</w:t>
      </w:r>
      <w:r w:rsidRPr="000C4F35">
        <w:rPr>
          <w:noProof/>
        </w:rPr>
        <w:t xml:space="preserve"> the regulatory technical standards referred to in the first subparagraph in accordance with Articles 10 to 14 of Regulation (EU) No 1095/2010.</w:t>
      </w:r>
    </w:p>
    <w:p w14:paraId="4857FE74" w14:textId="31B17542" w:rsidR="00F758C1" w:rsidRDefault="009C003C" w:rsidP="00685329">
      <w:pPr>
        <w:pStyle w:val="Text1"/>
        <w:rPr>
          <w:noProof/>
        </w:rPr>
      </w:pPr>
      <w:r w:rsidRPr="000C4F35">
        <w:rPr>
          <w:noProof/>
        </w:rPr>
        <w:t xml:space="preserve">4b. </w:t>
      </w:r>
      <w:r w:rsidR="00F758C1">
        <w:rPr>
          <w:noProof/>
        </w:rPr>
        <w:t>A third</w:t>
      </w:r>
      <w:r w:rsidR="001303C2">
        <w:rPr>
          <w:noProof/>
        </w:rPr>
        <w:t>-</w:t>
      </w:r>
      <w:r w:rsidR="00F758C1">
        <w:rPr>
          <w:noProof/>
        </w:rPr>
        <w:t>country CSD that provided the core service referred to in Section A, point (3), of the Annex in relation to financial instruments constituted under the law of a Member State referred to in Article 49</w:t>
      </w:r>
      <w:r w:rsidR="00F758C1" w:rsidRPr="006B3BA6">
        <w:rPr>
          <w:noProof/>
        </w:rPr>
        <w:t xml:space="preserve">(1), before </w:t>
      </w:r>
      <w:r w:rsidR="0040651B" w:rsidRPr="006B3BA6">
        <w:rPr>
          <w:noProof/>
        </w:rPr>
        <w:t>…</w:t>
      </w:r>
      <w:r w:rsidR="0040651B">
        <w:rPr>
          <w:noProof/>
        </w:rPr>
        <w:t xml:space="preserve"> </w:t>
      </w:r>
      <w:r w:rsidR="00F758C1">
        <w:rPr>
          <w:noProof/>
        </w:rPr>
        <w:t>[</w:t>
      </w:r>
      <w:r w:rsidR="00F758C1" w:rsidRPr="00E4531D">
        <w:rPr>
          <w:i/>
          <w:noProof/>
        </w:rPr>
        <w:t>PO please enter the date of entry into force of this Regulation</w:t>
      </w:r>
      <w:r w:rsidR="00F758C1">
        <w:rPr>
          <w:noProof/>
        </w:rPr>
        <w:t xml:space="preserve">] shall submit the notification referred to in Article 25(2a) within </w:t>
      </w:r>
      <w:r w:rsidR="00A40F59">
        <w:rPr>
          <w:noProof/>
        </w:rPr>
        <w:t xml:space="preserve">2 years </w:t>
      </w:r>
      <w:r w:rsidR="00EA411F">
        <w:rPr>
          <w:noProof/>
        </w:rPr>
        <w:t xml:space="preserve">from </w:t>
      </w:r>
      <w:r w:rsidR="0040651B">
        <w:rPr>
          <w:noProof/>
        </w:rPr>
        <w:t>…</w:t>
      </w:r>
      <w:r w:rsidR="00EA411F" w:rsidRPr="00507452">
        <w:rPr>
          <w:i/>
          <w:noProof/>
        </w:rPr>
        <w:t>[PO please insert the date of entry into force of this Regulation]</w:t>
      </w:r>
      <w:r w:rsidR="00F758C1" w:rsidRPr="006B3BA6">
        <w:rPr>
          <w:noProof/>
        </w:rPr>
        <w:t>.</w:t>
      </w:r>
      <w:r w:rsidR="00F758C1">
        <w:rPr>
          <w:noProof/>
        </w:rPr>
        <w:t xml:space="preserve"> </w:t>
      </w:r>
    </w:p>
    <w:p w14:paraId="72C99037" w14:textId="77777777" w:rsidR="004F677E" w:rsidRPr="000C4F35" w:rsidRDefault="00F758C1" w:rsidP="00685329">
      <w:pPr>
        <w:pStyle w:val="Text1"/>
        <w:rPr>
          <w:noProof/>
        </w:rPr>
      </w:pPr>
      <w:r>
        <w:rPr>
          <w:noProof/>
        </w:rPr>
        <w:t xml:space="preserve">4c. </w:t>
      </w:r>
      <w:r w:rsidR="004F677E" w:rsidRPr="000C4F35">
        <w:rPr>
          <w:noProof/>
        </w:rPr>
        <w:t xml:space="preserve">Where a CSD has submitted a complete application for recognition in accordance with </w:t>
      </w:r>
      <w:r w:rsidR="002041D9" w:rsidRPr="000C4F35">
        <w:rPr>
          <w:noProof/>
        </w:rPr>
        <w:t>Article 25</w:t>
      </w:r>
      <w:r w:rsidR="004F677E" w:rsidRPr="000C4F35">
        <w:rPr>
          <w:noProof/>
        </w:rPr>
        <w:t>(4)</w:t>
      </w:r>
      <w:r w:rsidR="002041D9">
        <w:rPr>
          <w:noProof/>
        </w:rPr>
        <w:t>, (5) and</w:t>
      </w:r>
      <w:r w:rsidR="004F677E" w:rsidRPr="000C4F35">
        <w:rPr>
          <w:noProof/>
        </w:rPr>
        <w:t xml:space="preserve"> (6) before </w:t>
      </w:r>
      <w:r w:rsidR="002041D9">
        <w:rPr>
          <w:noProof/>
        </w:rPr>
        <w:t xml:space="preserve">… </w:t>
      </w:r>
      <w:r w:rsidR="004F677E" w:rsidRPr="000C4F35">
        <w:rPr>
          <w:noProof/>
        </w:rPr>
        <w:t>[</w:t>
      </w:r>
      <w:r w:rsidR="004F677E" w:rsidRPr="000C4F35">
        <w:rPr>
          <w:i/>
          <w:noProof/>
        </w:rPr>
        <w:t xml:space="preserve">PO please insert the date </w:t>
      </w:r>
      <w:r w:rsidR="002041D9">
        <w:rPr>
          <w:i/>
          <w:noProof/>
        </w:rPr>
        <w:t xml:space="preserve">= the date </w:t>
      </w:r>
      <w:r w:rsidR="004F677E" w:rsidRPr="000C4F35">
        <w:rPr>
          <w:i/>
          <w:noProof/>
        </w:rPr>
        <w:t>of entry into force of this Regulation</w:t>
      </w:r>
      <w:r w:rsidR="004F677E" w:rsidRPr="000C4F35">
        <w:rPr>
          <w:noProof/>
        </w:rPr>
        <w:t>] but ESMA has not issued a decision in accordance with Article 25(6) by that date, the national rules on recognition of CSDs shall continue to apply until the ESMA decision is issued.</w:t>
      </w:r>
      <w:r w:rsidR="00367591">
        <w:rPr>
          <w:noProof/>
        </w:rPr>
        <w:t>’</w:t>
      </w:r>
      <w:r w:rsidR="002041D9">
        <w:rPr>
          <w:noProof/>
        </w:rPr>
        <w:t>;</w:t>
      </w:r>
      <w:r w:rsidR="004F677E" w:rsidRPr="000C4F35">
        <w:rPr>
          <w:noProof/>
        </w:rPr>
        <w:t xml:space="preserve"> </w:t>
      </w:r>
    </w:p>
    <w:p w14:paraId="39AE7349" w14:textId="7D3E2CCF" w:rsidR="004F677E" w:rsidRPr="000C4F35" w:rsidRDefault="001678E4" w:rsidP="001678E4">
      <w:pPr>
        <w:pStyle w:val="Point1"/>
        <w:rPr>
          <w:noProof/>
        </w:rPr>
      </w:pPr>
      <w:r w:rsidRPr="001678E4">
        <w:t>(c)</w:t>
      </w:r>
      <w:r w:rsidRPr="001678E4">
        <w:tab/>
      </w:r>
      <w:r w:rsidR="002041D9">
        <w:rPr>
          <w:noProof/>
        </w:rPr>
        <w:t>t</w:t>
      </w:r>
      <w:r w:rsidR="004F677E" w:rsidRPr="000C4F35">
        <w:rPr>
          <w:noProof/>
        </w:rPr>
        <w:t xml:space="preserve">he following paragraph 6 is </w:t>
      </w:r>
      <w:r w:rsidR="002041D9">
        <w:rPr>
          <w:noProof/>
        </w:rPr>
        <w:t>added</w:t>
      </w:r>
      <w:r w:rsidR="004F677E" w:rsidRPr="000C4F35">
        <w:rPr>
          <w:noProof/>
        </w:rPr>
        <w:t>:</w:t>
      </w:r>
    </w:p>
    <w:p w14:paraId="7489812C" w14:textId="77777777" w:rsidR="004F677E" w:rsidRPr="000C4F35" w:rsidRDefault="00367591" w:rsidP="00685329">
      <w:pPr>
        <w:pStyle w:val="Text1"/>
        <w:rPr>
          <w:noProof/>
        </w:rPr>
      </w:pPr>
      <w:r>
        <w:rPr>
          <w:noProof/>
        </w:rPr>
        <w:t>‘</w:t>
      </w:r>
      <w:r w:rsidR="004F677E" w:rsidRPr="000C4F35">
        <w:rPr>
          <w:noProof/>
        </w:rPr>
        <w:t>6. Home competent authorities shall establish and manage colleges pursuant to Article 24a for all CSDs providing their services in relation to financial instruments constituted under the law of another Member State pursuant to Article 23(2) before</w:t>
      </w:r>
      <w:r w:rsidR="002041D9">
        <w:rPr>
          <w:noProof/>
        </w:rPr>
        <w:t xml:space="preserve"> …</w:t>
      </w:r>
      <w:r w:rsidR="004F677E" w:rsidRPr="000C4F35">
        <w:rPr>
          <w:noProof/>
        </w:rPr>
        <w:t xml:space="preserve"> [</w:t>
      </w:r>
      <w:r w:rsidR="004F677E" w:rsidRPr="00D473D5">
        <w:rPr>
          <w:i/>
          <w:noProof/>
        </w:rPr>
        <w:t>PO please insert</w:t>
      </w:r>
      <w:r w:rsidR="004F677E" w:rsidRPr="00E4531D">
        <w:rPr>
          <w:i/>
          <w:noProof/>
        </w:rPr>
        <w:t xml:space="preserve"> the date</w:t>
      </w:r>
      <w:r w:rsidR="002041D9" w:rsidRPr="00E4531D">
        <w:rPr>
          <w:i/>
          <w:noProof/>
        </w:rPr>
        <w:t xml:space="preserve"> =</w:t>
      </w:r>
      <w:r w:rsidR="002041D9" w:rsidRPr="00D473D5">
        <w:rPr>
          <w:i/>
          <w:noProof/>
        </w:rPr>
        <w:t xml:space="preserve"> the date</w:t>
      </w:r>
      <w:r w:rsidR="004F677E" w:rsidRPr="00D473D5">
        <w:rPr>
          <w:i/>
          <w:noProof/>
        </w:rPr>
        <w:t xml:space="preserve"> of entry into force of this Regulation</w:t>
      </w:r>
      <w:r w:rsidR="004F677E" w:rsidRPr="000C4F35">
        <w:rPr>
          <w:noProof/>
        </w:rPr>
        <w:t xml:space="preserve">] or for CSDs that belong to a group that comprises other CSDs by </w:t>
      </w:r>
      <w:r w:rsidR="002041D9">
        <w:rPr>
          <w:noProof/>
        </w:rPr>
        <w:t xml:space="preserve">… </w:t>
      </w:r>
      <w:r w:rsidR="004F677E" w:rsidRPr="000C4F35">
        <w:rPr>
          <w:noProof/>
        </w:rPr>
        <w:t>[</w:t>
      </w:r>
      <w:r w:rsidR="004F677E" w:rsidRPr="00D473D5">
        <w:rPr>
          <w:i/>
          <w:noProof/>
        </w:rPr>
        <w:t xml:space="preserve">PO please insert </w:t>
      </w:r>
      <w:r w:rsidR="002041D9" w:rsidRPr="00E4531D">
        <w:rPr>
          <w:i/>
          <w:noProof/>
        </w:rPr>
        <w:t xml:space="preserve">the date = </w:t>
      </w:r>
      <w:r>
        <w:rPr>
          <w:i/>
          <w:noProof/>
        </w:rPr>
        <w:t>4</w:t>
      </w:r>
      <w:r w:rsidRPr="00D473D5">
        <w:rPr>
          <w:i/>
          <w:noProof/>
        </w:rPr>
        <w:t xml:space="preserve"> </w:t>
      </w:r>
      <w:r w:rsidR="004F677E" w:rsidRPr="00D473D5">
        <w:rPr>
          <w:i/>
          <w:noProof/>
        </w:rPr>
        <w:t xml:space="preserve">months </w:t>
      </w:r>
      <w:r w:rsidR="002041D9" w:rsidRPr="00E4531D">
        <w:rPr>
          <w:i/>
          <w:noProof/>
        </w:rPr>
        <w:t>after</w:t>
      </w:r>
      <w:r w:rsidR="004F677E" w:rsidRPr="00D473D5">
        <w:rPr>
          <w:i/>
          <w:noProof/>
        </w:rPr>
        <w:t xml:space="preserve"> the date of entry into force of this Regulation</w:t>
      </w:r>
      <w:r w:rsidR="004F677E" w:rsidRPr="000C4F35">
        <w:rPr>
          <w:noProof/>
        </w:rPr>
        <w:t>].</w:t>
      </w:r>
      <w:r>
        <w:rPr>
          <w:noProof/>
        </w:rPr>
        <w:t>’</w:t>
      </w:r>
      <w:r w:rsidR="002041D9">
        <w:rPr>
          <w:noProof/>
        </w:rPr>
        <w:t>;</w:t>
      </w:r>
    </w:p>
    <w:p w14:paraId="5A2D6407" w14:textId="77777777" w:rsidR="004F677E" w:rsidRPr="000C4F35" w:rsidRDefault="002041D9" w:rsidP="00685329">
      <w:pPr>
        <w:pStyle w:val="ManualNumPar1"/>
        <w:rPr>
          <w:noProof/>
        </w:rPr>
      </w:pPr>
      <w:r>
        <w:rPr>
          <w:noProof/>
        </w:rPr>
        <w:t>(</w:t>
      </w:r>
      <w:r w:rsidR="004F677E" w:rsidRPr="000C4F35">
        <w:rPr>
          <w:noProof/>
        </w:rPr>
        <w:t>2</w:t>
      </w:r>
      <w:r w:rsidR="006C0D2D">
        <w:rPr>
          <w:noProof/>
        </w:rPr>
        <w:t>4</w:t>
      </w:r>
      <w:r>
        <w:rPr>
          <w:noProof/>
        </w:rPr>
        <w:t>)</w:t>
      </w:r>
      <w:r w:rsidR="004F677E" w:rsidRPr="000C4F35">
        <w:rPr>
          <w:noProof/>
        </w:rPr>
        <w:t xml:space="preserve"> Article 74 is amended as follows: </w:t>
      </w:r>
    </w:p>
    <w:p w14:paraId="1A6341E1" w14:textId="55DC3DDD" w:rsidR="002041D9" w:rsidRDefault="001678E4" w:rsidP="001678E4">
      <w:pPr>
        <w:pStyle w:val="Point1"/>
        <w:rPr>
          <w:noProof/>
        </w:rPr>
      </w:pPr>
      <w:r w:rsidRPr="001678E4">
        <w:t>(a)</w:t>
      </w:r>
      <w:r w:rsidRPr="001678E4">
        <w:tab/>
      </w:r>
      <w:r w:rsidR="004F677E" w:rsidRPr="000C4F35">
        <w:rPr>
          <w:noProof/>
        </w:rPr>
        <w:t>paragraph 1</w:t>
      </w:r>
      <w:r w:rsidR="002041D9">
        <w:rPr>
          <w:noProof/>
        </w:rPr>
        <w:t xml:space="preserve"> is amended as follows:</w:t>
      </w:r>
    </w:p>
    <w:p w14:paraId="6CE30657" w14:textId="77777777" w:rsidR="004F677E" w:rsidRPr="000C4F35" w:rsidRDefault="002041D9" w:rsidP="00A728D2">
      <w:pPr>
        <w:rPr>
          <w:noProof/>
        </w:rPr>
      </w:pPr>
      <w:r>
        <w:rPr>
          <w:noProof/>
        </w:rPr>
        <w:t>(i) the introductory wording</w:t>
      </w:r>
      <w:r w:rsidR="004F677E" w:rsidRPr="000C4F35">
        <w:rPr>
          <w:noProof/>
        </w:rPr>
        <w:t xml:space="preserve"> is replaced by the following:</w:t>
      </w:r>
    </w:p>
    <w:p w14:paraId="5C771AE2" w14:textId="77777777" w:rsidR="004F677E" w:rsidRPr="000C4F35" w:rsidRDefault="00367591" w:rsidP="00685329">
      <w:pPr>
        <w:pStyle w:val="Text1"/>
        <w:rPr>
          <w:noProof/>
        </w:rPr>
      </w:pPr>
      <w:r>
        <w:rPr>
          <w:noProof/>
        </w:rPr>
        <w:t>‘</w:t>
      </w:r>
      <w:r w:rsidR="004F677E" w:rsidRPr="000C4F35">
        <w:rPr>
          <w:noProof/>
        </w:rPr>
        <w:t>ESMA shall, in cooperation with EBA and the competent authorities and the relevant authorities, submit reports to the Commission providing assessments of trends, potential risks and vulnerabilities, and, where necessary, recommendations of preventative or remedial action in the markets for services covered by this Regulation. Those reports shall include an assessment of the following</w:t>
      </w:r>
      <w:r w:rsidR="002041D9">
        <w:rPr>
          <w:noProof/>
        </w:rPr>
        <w:t>:</w:t>
      </w:r>
      <w:r>
        <w:rPr>
          <w:noProof/>
        </w:rPr>
        <w:t>’</w:t>
      </w:r>
      <w:r w:rsidR="00B50AD0">
        <w:rPr>
          <w:noProof/>
        </w:rPr>
        <w:t>;</w:t>
      </w:r>
    </w:p>
    <w:p w14:paraId="604F43DD" w14:textId="77777777" w:rsidR="004F677E" w:rsidRPr="000C4F35" w:rsidRDefault="002041D9" w:rsidP="00A728D2">
      <w:pPr>
        <w:rPr>
          <w:noProof/>
        </w:rPr>
      </w:pPr>
      <w:r>
        <w:rPr>
          <w:noProof/>
        </w:rPr>
        <w:t xml:space="preserve">(ii) </w:t>
      </w:r>
      <w:r w:rsidR="004F677E" w:rsidRPr="000C4F35">
        <w:rPr>
          <w:noProof/>
        </w:rPr>
        <w:t>point (a) is replaced by the following:</w:t>
      </w:r>
    </w:p>
    <w:p w14:paraId="5BEB6779" w14:textId="71ED4ED3" w:rsidR="004F677E" w:rsidRPr="000C4F35" w:rsidRDefault="00367591" w:rsidP="00685329">
      <w:pPr>
        <w:pStyle w:val="Text1"/>
        <w:rPr>
          <w:noProof/>
        </w:rPr>
      </w:pPr>
      <w:r>
        <w:rPr>
          <w:noProof/>
        </w:rPr>
        <w:t>‘</w:t>
      </w:r>
      <w:r w:rsidR="00DF5EA5" w:rsidRPr="000C4F35">
        <w:rPr>
          <w:noProof/>
        </w:rPr>
        <w:t xml:space="preserve">(a) </w:t>
      </w:r>
      <w:r w:rsidR="004F677E" w:rsidRPr="000C4F35">
        <w:rPr>
          <w:noProof/>
        </w:rPr>
        <w:t>settlement efficiency for domestic and cross-border operations for each Member State based on the number and volume of settlement fails and their evolution, including an analysis of the impact of cash penalties on settlement fails across instruments, the duration and main drivers of settlement fails, the categories of financial instruments and markets where the highest settlement fail rates are observed and an international comparison of settlement fail rates</w:t>
      </w:r>
      <w:r w:rsidR="001F5828">
        <w:rPr>
          <w:noProof/>
        </w:rPr>
        <w:t>, including</w:t>
      </w:r>
      <w:r w:rsidR="004F677E" w:rsidRPr="000C4F35">
        <w:rPr>
          <w:noProof/>
        </w:rPr>
        <w:t xml:space="preserve"> an assessment of the amount of penalties referred to in Article 7(2), and, where applicable, the number and volumes of buy-in transactions referred to in Article 7(3) and (4) as well as any other relevant criteria;</w:t>
      </w:r>
      <w:r>
        <w:rPr>
          <w:noProof/>
        </w:rPr>
        <w:t>’</w:t>
      </w:r>
      <w:r w:rsidR="001F5828">
        <w:rPr>
          <w:noProof/>
        </w:rPr>
        <w:t>;</w:t>
      </w:r>
    </w:p>
    <w:p w14:paraId="70ED8643" w14:textId="77777777" w:rsidR="004F677E" w:rsidRPr="000C4F35" w:rsidRDefault="001F5828" w:rsidP="00A728D2">
      <w:pPr>
        <w:rPr>
          <w:noProof/>
        </w:rPr>
      </w:pPr>
      <w:r>
        <w:rPr>
          <w:noProof/>
        </w:rPr>
        <w:t xml:space="preserve">(iii) </w:t>
      </w:r>
      <w:r w:rsidR="004F677E" w:rsidRPr="000C4F35">
        <w:rPr>
          <w:noProof/>
        </w:rPr>
        <w:t xml:space="preserve">the following point (l) is </w:t>
      </w:r>
      <w:r>
        <w:rPr>
          <w:noProof/>
        </w:rPr>
        <w:t>added</w:t>
      </w:r>
      <w:r w:rsidR="004F677E" w:rsidRPr="000C4F35">
        <w:rPr>
          <w:noProof/>
        </w:rPr>
        <w:t>:</w:t>
      </w:r>
    </w:p>
    <w:p w14:paraId="6344BB76" w14:textId="77777777" w:rsidR="004F677E" w:rsidRPr="000C4F35" w:rsidRDefault="00367591" w:rsidP="00685329">
      <w:pPr>
        <w:pStyle w:val="Text1"/>
        <w:rPr>
          <w:noProof/>
        </w:rPr>
      </w:pPr>
      <w:r>
        <w:rPr>
          <w:noProof/>
        </w:rPr>
        <w:t>‘</w:t>
      </w:r>
      <w:r w:rsidR="004F677E" w:rsidRPr="000C4F35">
        <w:rPr>
          <w:noProof/>
        </w:rPr>
        <w:t>(l) the handling of notifications submitted in accordance with Article 25(2a);</w:t>
      </w:r>
      <w:r>
        <w:rPr>
          <w:noProof/>
        </w:rPr>
        <w:t>’</w:t>
      </w:r>
      <w:r w:rsidR="001F5828">
        <w:rPr>
          <w:noProof/>
        </w:rPr>
        <w:t>;</w:t>
      </w:r>
    </w:p>
    <w:p w14:paraId="5ED89946" w14:textId="13844F20" w:rsidR="004F677E" w:rsidRPr="000C4F35" w:rsidRDefault="001678E4" w:rsidP="001678E4">
      <w:pPr>
        <w:pStyle w:val="Point1"/>
        <w:rPr>
          <w:noProof/>
        </w:rPr>
      </w:pPr>
      <w:r w:rsidRPr="001678E4">
        <w:t>(b)</w:t>
      </w:r>
      <w:r w:rsidRPr="001678E4">
        <w:tab/>
      </w:r>
      <w:r w:rsidR="001F5828">
        <w:rPr>
          <w:noProof/>
        </w:rPr>
        <w:t>t</w:t>
      </w:r>
      <w:r w:rsidR="004F677E" w:rsidRPr="000C4F35">
        <w:rPr>
          <w:noProof/>
        </w:rPr>
        <w:t xml:space="preserve">he following paragraph 1a is inserted: </w:t>
      </w:r>
    </w:p>
    <w:p w14:paraId="367CF27D" w14:textId="77777777" w:rsidR="004F677E" w:rsidRPr="000C4F35" w:rsidRDefault="00367591" w:rsidP="00685329">
      <w:pPr>
        <w:pStyle w:val="Text1"/>
        <w:rPr>
          <w:noProof/>
        </w:rPr>
      </w:pPr>
      <w:r>
        <w:rPr>
          <w:noProof/>
        </w:rPr>
        <w:t>‘</w:t>
      </w:r>
      <w:r w:rsidR="004F677E" w:rsidRPr="000C4F35">
        <w:rPr>
          <w:noProof/>
        </w:rPr>
        <w:t>1a. The reports referred to in paragraph 1 shall be submitted to the Commission as follows:</w:t>
      </w:r>
    </w:p>
    <w:p w14:paraId="726F7A00" w14:textId="606EBE38" w:rsidR="004F677E" w:rsidRPr="000C4F35" w:rsidRDefault="001678E4" w:rsidP="001678E4">
      <w:pPr>
        <w:pStyle w:val="Point1"/>
        <w:rPr>
          <w:noProof/>
        </w:rPr>
      </w:pPr>
      <w:r w:rsidRPr="001678E4">
        <w:t>(a)</w:t>
      </w:r>
      <w:r w:rsidRPr="001678E4">
        <w:tab/>
      </w:r>
      <w:r w:rsidR="004F677E" w:rsidRPr="000C4F35">
        <w:rPr>
          <w:noProof/>
        </w:rPr>
        <w:t xml:space="preserve">at least every </w:t>
      </w:r>
      <w:r w:rsidR="00367591">
        <w:rPr>
          <w:noProof/>
        </w:rPr>
        <w:t>2</w:t>
      </w:r>
      <w:r w:rsidR="00367591" w:rsidRPr="000C4F35">
        <w:rPr>
          <w:noProof/>
        </w:rPr>
        <w:t xml:space="preserve"> </w:t>
      </w:r>
      <w:r w:rsidR="004F677E" w:rsidRPr="000C4F35">
        <w:rPr>
          <w:noProof/>
        </w:rPr>
        <w:t xml:space="preserve">years from </w:t>
      </w:r>
      <w:r w:rsidR="001F5828">
        <w:rPr>
          <w:noProof/>
        </w:rPr>
        <w:t xml:space="preserve">… </w:t>
      </w:r>
      <w:r w:rsidR="004F677E" w:rsidRPr="000C4F35">
        <w:rPr>
          <w:noProof/>
        </w:rPr>
        <w:t>[</w:t>
      </w:r>
      <w:r w:rsidR="004F677E" w:rsidRPr="00D473D5">
        <w:rPr>
          <w:i/>
          <w:noProof/>
        </w:rPr>
        <w:t>PO please</w:t>
      </w:r>
      <w:r w:rsidR="001F5828" w:rsidRPr="00D473D5">
        <w:rPr>
          <w:i/>
          <w:noProof/>
        </w:rPr>
        <w:t xml:space="preserve"> </w:t>
      </w:r>
      <w:r w:rsidR="001F5828" w:rsidRPr="00E4531D">
        <w:rPr>
          <w:i/>
          <w:noProof/>
        </w:rPr>
        <w:t>insert</w:t>
      </w:r>
      <w:r w:rsidR="001F5828" w:rsidRPr="00D473D5">
        <w:rPr>
          <w:i/>
          <w:noProof/>
        </w:rPr>
        <w:t xml:space="preserve"> the</w:t>
      </w:r>
      <w:r w:rsidR="001F5828" w:rsidRPr="00E4531D">
        <w:rPr>
          <w:i/>
          <w:noProof/>
        </w:rPr>
        <w:t xml:space="preserve"> date = the date of</w:t>
      </w:r>
      <w:r w:rsidR="004F677E" w:rsidRPr="00D473D5">
        <w:rPr>
          <w:i/>
          <w:noProof/>
        </w:rPr>
        <w:t xml:space="preserve"> entry into force of this Regulation</w:t>
      </w:r>
      <w:r w:rsidR="004F677E" w:rsidRPr="000C4F35">
        <w:rPr>
          <w:noProof/>
        </w:rPr>
        <w:t xml:space="preserve">] for the report referred to in </w:t>
      </w:r>
      <w:r w:rsidR="001F5828" w:rsidRPr="000C4F35">
        <w:rPr>
          <w:noProof/>
        </w:rPr>
        <w:t>paragraph 1</w:t>
      </w:r>
      <w:r w:rsidR="001F5828">
        <w:rPr>
          <w:noProof/>
        </w:rPr>
        <w:t>,</w:t>
      </w:r>
      <w:r w:rsidR="004F677E" w:rsidRPr="000C4F35">
        <w:rPr>
          <w:noProof/>
        </w:rPr>
        <w:t>point (a)</w:t>
      </w:r>
      <w:r w:rsidR="001F5828">
        <w:rPr>
          <w:noProof/>
        </w:rPr>
        <w:t>;</w:t>
      </w:r>
    </w:p>
    <w:p w14:paraId="39A854FA" w14:textId="78B55AF1" w:rsidR="004F677E" w:rsidRPr="000C4F35" w:rsidRDefault="001678E4" w:rsidP="001678E4">
      <w:pPr>
        <w:pStyle w:val="Point1"/>
        <w:rPr>
          <w:noProof/>
        </w:rPr>
      </w:pPr>
      <w:r w:rsidRPr="001678E4">
        <w:t>(b)</w:t>
      </w:r>
      <w:r w:rsidRPr="001678E4">
        <w:tab/>
      </w:r>
      <w:r w:rsidR="004F677E" w:rsidRPr="000C4F35">
        <w:rPr>
          <w:noProof/>
        </w:rPr>
        <w:t xml:space="preserve">every </w:t>
      </w:r>
      <w:r w:rsidR="00367591">
        <w:rPr>
          <w:noProof/>
        </w:rPr>
        <w:t>2</w:t>
      </w:r>
      <w:r w:rsidR="00367591" w:rsidRPr="000C4F35">
        <w:rPr>
          <w:noProof/>
        </w:rPr>
        <w:t xml:space="preserve"> </w:t>
      </w:r>
      <w:r w:rsidR="004F677E" w:rsidRPr="000C4F35">
        <w:rPr>
          <w:noProof/>
        </w:rPr>
        <w:t xml:space="preserve">years for the reports referred to in </w:t>
      </w:r>
      <w:r w:rsidR="001F5828" w:rsidRPr="000C4F35">
        <w:rPr>
          <w:noProof/>
        </w:rPr>
        <w:t>paragraph 1</w:t>
      </w:r>
      <w:r w:rsidR="001F5828">
        <w:rPr>
          <w:noProof/>
        </w:rPr>
        <w:t xml:space="preserve">, </w:t>
      </w:r>
      <w:r w:rsidR="004F677E" w:rsidRPr="000C4F35">
        <w:rPr>
          <w:noProof/>
        </w:rPr>
        <w:t>points (b) and (c);</w:t>
      </w:r>
    </w:p>
    <w:p w14:paraId="09D0C1C8" w14:textId="27F83927" w:rsidR="004F677E" w:rsidRPr="000C4F35" w:rsidRDefault="001678E4" w:rsidP="001678E4">
      <w:pPr>
        <w:pStyle w:val="Point1"/>
        <w:rPr>
          <w:noProof/>
        </w:rPr>
      </w:pPr>
      <w:r w:rsidRPr="001678E4">
        <w:t>(c)</w:t>
      </w:r>
      <w:r w:rsidRPr="001678E4">
        <w:tab/>
      </w:r>
      <w:r w:rsidR="004F677E" w:rsidRPr="000C4F35">
        <w:rPr>
          <w:noProof/>
        </w:rPr>
        <w:t xml:space="preserve">on an annual basis until </w:t>
      </w:r>
      <w:r w:rsidR="001F5828">
        <w:rPr>
          <w:noProof/>
        </w:rPr>
        <w:t xml:space="preserve">… </w:t>
      </w:r>
      <w:r w:rsidR="004F677E" w:rsidRPr="000C4F35">
        <w:rPr>
          <w:noProof/>
        </w:rPr>
        <w:t>[</w:t>
      </w:r>
      <w:r w:rsidR="004F677E" w:rsidRPr="00D473D5">
        <w:rPr>
          <w:noProof/>
        </w:rPr>
        <w:t xml:space="preserve">PO please </w:t>
      </w:r>
      <w:r w:rsidR="001F5828" w:rsidRPr="00E4531D">
        <w:rPr>
          <w:noProof/>
        </w:rPr>
        <w:t xml:space="preserve">insert the date = </w:t>
      </w:r>
      <w:r w:rsidR="00367591">
        <w:rPr>
          <w:noProof/>
        </w:rPr>
        <w:t>1</w:t>
      </w:r>
      <w:r w:rsidR="00367591" w:rsidRPr="00D473D5">
        <w:rPr>
          <w:noProof/>
        </w:rPr>
        <w:t xml:space="preserve"> </w:t>
      </w:r>
      <w:r w:rsidR="004F677E" w:rsidRPr="00D473D5">
        <w:rPr>
          <w:noProof/>
        </w:rPr>
        <w:t>year</w:t>
      </w:r>
      <w:r w:rsidR="001F5828" w:rsidRPr="00D473D5">
        <w:rPr>
          <w:noProof/>
        </w:rPr>
        <w:t xml:space="preserve"> </w:t>
      </w:r>
      <w:r w:rsidR="001F5828" w:rsidRPr="00E4531D">
        <w:rPr>
          <w:noProof/>
        </w:rPr>
        <w:t>after</w:t>
      </w:r>
      <w:r w:rsidR="001F5828" w:rsidRPr="00D473D5">
        <w:rPr>
          <w:noProof/>
        </w:rPr>
        <w:t xml:space="preserve"> the</w:t>
      </w:r>
      <w:r w:rsidR="001F5828" w:rsidRPr="00E4531D">
        <w:rPr>
          <w:noProof/>
        </w:rPr>
        <w:t xml:space="preserve"> date of</w:t>
      </w:r>
      <w:r w:rsidR="004F677E" w:rsidRPr="00D473D5">
        <w:rPr>
          <w:noProof/>
        </w:rPr>
        <w:t xml:space="preserve"> entry into force of this Regulation</w:t>
      </w:r>
      <w:r w:rsidR="004F677E" w:rsidRPr="000C4F35">
        <w:rPr>
          <w:noProof/>
        </w:rPr>
        <w:t xml:space="preserve">] and every </w:t>
      </w:r>
      <w:r w:rsidR="00367591">
        <w:rPr>
          <w:noProof/>
        </w:rPr>
        <w:t>3</w:t>
      </w:r>
      <w:r w:rsidR="00367591" w:rsidRPr="000C4F35">
        <w:rPr>
          <w:noProof/>
        </w:rPr>
        <w:t xml:space="preserve"> </w:t>
      </w:r>
      <w:r w:rsidR="004F677E" w:rsidRPr="000C4F35">
        <w:rPr>
          <w:noProof/>
        </w:rPr>
        <w:t xml:space="preserve">years from </w:t>
      </w:r>
      <w:r w:rsidR="001F5828">
        <w:rPr>
          <w:noProof/>
        </w:rPr>
        <w:t xml:space="preserve">… </w:t>
      </w:r>
      <w:r w:rsidR="004F677E" w:rsidRPr="000C4F35">
        <w:rPr>
          <w:noProof/>
        </w:rPr>
        <w:t>[</w:t>
      </w:r>
      <w:r w:rsidR="004F677E" w:rsidRPr="00D473D5">
        <w:rPr>
          <w:noProof/>
        </w:rPr>
        <w:t xml:space="preserve">PO please </w:t>
      </w:r>
      <w:r w:rsidR="004F677E" w:rsidRPr="00E4531D">
        <w:rPr>
          <w:noProof/>
        </w:rPr>
        <w:t>in</w:t>
      </w:r>
      <w:r w:rsidR="001F5828" w:rsidRPr="00E4531D">
        <w:rPr>
          <w:noProof/>
        </w:rPr>
        <w:t xml:space="preserve">sert the date = </w:t>
      </w:r>
      <w:r w:rsidR="00367591">
        <w:rPr>
          <w:noProof/>
        </w:rPr>
        <w:t>1</w:t>
      </w:r>
      <w:r w:rsidR="00367591" w:rsidRPr="00D473D5">
        <w:rPr>
          <w:noProof/>
        </w:rPr>
        <w:t xml:space="preserve"> </w:t>
      </w:r>
      <w:r w:rsidR="004F677E" w:rsidRPr="00D473D5">
        <w:rPr>
          <w:noProof/>
        </w:rPr>
        <w:t xml:space="preserve">year </w:t>
      </w:r>
      <w:r w:rsidR="001F5828" w:rsidRPr="00E4531D">
        <w:rPr>
          <w:noProof/>
        </w:rPr>
        <w:t>after</w:t>
      </w:r>
      <w:r w:rsidR="001F5828" w:rsidRPr="00D473D5">
        <w:rPr>
          <w:noProof/>
        </w:rPr>
        <w:t xml:space="preserve"> the</w:t>
      </w:r>
      <w:r w:rsidR="001F5828" w:rsidRPr="00E4531D">
        <w:rPr>
          <w:noProof/>
        </w:rPr>
        <w:t xml:space="preserve"> date of</w:t>
      </w:r>
      <w:r w:rsidR="004F677E" w:rsidRPr="00D473D5">
        <w:rPr>
          <w:noProof/>
        </w:rPr>
        <w:t xml:space="preserve"> entry into force of this Regulation</w:t>
      </w:r>
      <w:r w:rsidR="004F677E" w:rsidRPr="000C4F35">
        <w:rPr>
          <w:noProof/>
        </w:rPr>
        <w:t xml:space="preserve">], for the reports referred to in </w:t>
      </w:r>
      <w:r w:rsidR="001F5828" w:rsidRPr="000C4F35">
        <w:rPr>
          <w:noProof/>
        </w:rPr>
        <w:t>paragraph 1</w:t>
      </w:r>
      <w:r w:rsidR="001F5828">
        <w:rPr>
          <w:noProof/>
        </w:rPr>
        <w:t xml:space="preserve">, </w:t>
      </w:r>
      <w:r w:rsidR="004F677E" w:rsidRPr="000C4F35">
        <w:rPr>
          <w:noProof/>
        </w:rPr>
        <w:t>points (d)</w:t>
      </w:r>
      <w:r w:rsidR="001F5828">
        <w:rPr>
          <w:noProof/>
        </w:rPr>
        <w:t xml:space="preserve"> and</w:t>
      </w:r>
      <w:r w:rsidR="004F677E" w:rsidRPr="000C4F35">
        <w:rPr>
          <w:noProof/>
        </w:rPr>
        <w:t xml:space="preserve"> (f);</w:t>
      </w:r>
    </w:p>
    <w:p w14:paraId="28A6C9A9" w14:textId="1F555706" w:rsidR="004F677E" w:rsidRPr="000C4F35" w:rsidRDefault="001678E4" w:rsidP="001678E4">
      <w:pPr>
        <w:pStyle w:val="Point1"/>
        <w:rPr>
          <w:noProof/>
        </w:rPr>
      </w:pPr>
      <w:r w:rsidRPr="001678E4">
        <w:t>(d)</w:t>
      </w:r>
      <w:r w:rsidRPr="001678E4">
        <w:tab/>
      </w:r>
      <w:r w:rsidR="004F677E" w:rsidRPr="000C4F35">
        <w:rPr>
          <w:noProof/>
        </w:rPr>
        <w:t xml:space="preserve">upon request from the Commission, for the reports referred to in </w:t>
      </w:r>
      <w:r w:rsidR="001F5828" w:rsidRPr="000C4F35">
        <w:rPr>
          <w:noProof/>
        </w:rPr>
        <w:t>paragraph 1</w:t>
      </w:r>
      <w:r w:rsidR="001F5828">
        <w:rPr>
          <w:noProof/>
        </w:rPr>
        <w:t xml:space="preserve">, </w:t>
      </w:r>
      <w:r w:rsidR="004F677E" w:rsidRPr="000C4F35">
        <w:rPr>
          <w:noProof/>
        </w:rPr>
        <w:t>points (e), (h), (j) and (k);</w:t>
      </w:r>
    </w:p>
    <w:p w14:paraId="21930E1F" w14:textId="538E90C9" w:rsidR="004F677E" w:rsidRPr="000C4F35" w:rsidRDefault="001678E4" w:rsidP="001678E4">
      <w:pPr>
        <w:pStyle w:val="Point1"/>
        <w:rPr>
          <w:noProof/>
        </w:rPr>
      </w:pPr>
      <w:r w:rsidRPr="001678E4">
        <w:t>(e)</w:t>
      </w:r>
      <w:r w:rsidRPr="001678E4">
        <w:tab/>
      </w:r>
      <w:r w:rsidR="004F677E" w:rsidRPr="000C4F35">
        <w:rPr>
          <w:noProof/>
        </w:rPr>
        <w:t xml:space="preserve">on an annual basis until </w:t>
      </w:r>
      <w:r w:rsidR="001F5828">
        <w:rPr>
          <w:noProof/>
        </w:rPr>
        <w:t xml:space="preserve">… </w:t>
      </w:r>
      <w:r w:rsidR="004F677E" w:rsidRPr="000C4F35">
        <w:rPr>
          <w:noProof/>
        </w:rPr>
        <w:t>[</w:t>
      </w:r>
      <w:r w:rsidR="004F677E" w:rsidRPr="00D473D5">
        <w:rPr>
          <w:noProof/>
        </w:rPr>
        <w:t xml:space="preserve">PO please </w:t>
      </w:r>
      <w:r w:rsidR="004F677E" w:rsidRPr="00E4531D">
        <w:rPr>
          <w:noProof/>
        </w:rPr>
        <w:t>in</w:t>
      </w:r>
      <w:r w:rsidR="001F5828" w:rsidRPr="00E4531D">
        <w:rPr>
          <w:noProof/>
        </w:rPr>
        <w:t xml:space="preserve">sert the date = </w:t>
      </w:r>
      <w:r w:rsidR="00367591">
        <w:rPr>
          <w:noProof/>
        </w:rPr>
        <w:t>1</w:t>
      </w:r>
      <w:r w:rsidR="004F677E" w:rsidRPr="00D473D5">
        <w:rPr>
          <w:noProof/>
        </w:rPr>
        <w:t xml:space="preserve"> year </w:t>
      </w:r>
      <w:r w:rsidR="001F5828" w:rsidRPr="00E4531D">
        <w:rPr>
          <w:noProof/>
        </w:rPr>
        <w:t>after</w:t>
      </w:r>
      <w:r w:rsidR="004F677E" w:rsidRPr="00D473D5">
        <w:rPr>
          <w:noProof/>
        </w:rPr>
        <w:t xml:space="preserve"> the </w:t>
      </w:r>
      <w:r w:rsidR="001F5828" w:rsidRPr="00E4531D">
        <w:rPr>
          <w:noProof/>
        </w:rPr>
        <w:t xml:space="preserve">date of </w:t>
      </w:r>
      <w:r w:rsidR="004F677E" w:rsidRPr="00D473D5">
        <w:rPr>
          <w:noProof/>
        </w:rPr>
        <w:t>entry into force of this Regulation</w:t>
      </w:r>
      <w:r w:rsidR="004F677E" w:rsidRPr="000C4F35">
        <w:rPr>
          <w:noProof/>
        </w:rPr>
        <w:t xml:space="preserve">] and every </w:t>
      </w:r>
      <w:r w:rsidR="00367591">
        <w:rPr>
          <w:noProof/>
        </w:rPr>
        <w:t>2</w:t>
      </w:r>
      <w:r w:rsidR="00367591" w:rsidRPr="000C4F35">
        <w:rPr>
          <w:noProof/>
        </w:rPr>
        <w:t xml:space="preserve"> </w:t>
      </w:r>
      <w:r w:rsidR="004F677E" w:rsidRPr="000C4F35">
        <w:rPr>
          <w:noProof/>
        </w:rPr>
        <w:t xml:space="preserve">years </w:t>
      </w:r>
      <w:r w:rsidR="001F5828">
        <w:rPr>
          <w:noProof/>
        </w:rPr>
        <w:t>from …</w:t>
      </w:r>
      <w:r w:rsidR="004F677E" w:rsidRPr="000C4F35">
        <w:rPr>
          <w:noProof/>
        </w:rPr>
        <w:t xml:space="preserve"> [</w:t>
      </w:r>
      <w:r w:rsidR="004F677E" w:rsidRPr="00D473D5">
        <w:rPr>
          <w:noProof/>
        </w:rPr>
        <w:t xml:space="preserve">PO please </w:t>
      </w:r>
      <w:r w:rsidR="004F677E" w:rsidRPr="00E4531D">
        <w:rPr>
          <w:noProof/>
        </w:rPr>
        <w:t>in</w:t>
      </w:r>
      <w:r w:rsidR="001F5828" w:rsidRPr="00E4531D">
        <w:rPr>
          <w:noProof/>
        </w:rPr>
        <w:t xml:space="preserve">sert the date = </w:t>
      </w:r>
      <w:r w:rsidR="00367591">
        <w:rPr>
          <w:noProof/>
        </w:rPr>
        <w:t>1</w:t>
      </w:r>
      <w:r w:rsidR="004F677E" w:rsidRPr="00D473D5">
        <w:rPr>
          <w:noProof/>
        </w:rPr>
        <w:t xml:space="preserve"> year </w:t>
      </w:r>
      <w:r w:rsidR="001F5828" w:rsidRPr="00E4531D">
        <w:rPr>
          <w:noProof/>
        </w:rPr>
        <w:t>after</w:t>
      </w:r>
      <w:r w:rsidR="004F677E" w:rsidRPr="00D473D5">
        <w:rPr>
          <w:noProof/>
        </w:rPr>
        <w:t xml:space="preserve"> the</w:t>
      </w:r>
      <w:r w:rsidR="004F677E" w:rsidRPr="00E4531D">
        <w:rPr>
          <w:noProof/>
        </w:rPr>
        <w:t xml:space="preserve"> </w:t>
      </w:r>
      <w:r w:rsidR="001F5828" w:rsidRPr="00E4531D">
        <w:rPr>
          <w:noProof/>
        </w:rPr>
        <w:t>date of</w:t>
      </w:r>
      <w:r w:rsidR="001F5828" w:rsidRPr="00D473D5">
        <w:rPr>
          <w:noProof/>
        </w:rPr>
        <w:t xml:space="preserve"> </w:t>
      </w:r>
      <w:r w:rsidR="004F677E" w:rsidRPr="00D473D5">
        <w:rPr>
          <w:noProof/>
        </w:rPr>
        <w:t>entry into force of this Regulation</w:t>
      </w:r>
      <w:r w:rsidR="004F677E" w:rsidRPr="000C4F35">
        <w:rPr>
          <w:noProof/>
        </w:rPr>
        <w:t xml:space="preserve">] for the reports referred to in </w:t>
      </w:r>
      <w:r w:rsidR="006F0990" w:rsidRPr="000C4F35">
        <w:rPr>
          <w:noProof/>
        </w:rPr>
        <w:t>paragraph 1</w:t>
      </w:r>
      <w:r w:rsidR="006F0990">
        <w:rPr>
          <w:noProof/>
        </w:rPr>
        <w:t xml:space="preserve">, </w:t>
      </w:r>
      <w:r w:rsidR="004F677E" w:rsidRPr="000C4F35">
        <w:rPr>
          <w:noProof/>
        </w:rPr>
        <w:t>points (i) and (l).</w:t>
      </w:r>
      <w:r w:rsidR="00367591">
        <w:rPr>
          <w:noProof/>
        </w:rPr>
        <w:t>’</w:t>
      </w:r>
      <w:r w:rsidR="006F0990">
        <w:rPr>
          <w:noProof/>
        </w:rPr>
        <w:t>;</w:t>
      </w:r>
    </w:p>
    <w:p w14:paraId="219177CE" w14:textId="3E9775CA" w:rsidR="004F677E" w:rsidRPr="000C4F35" w:rsidRDefault="001678E4" w:rsidP="001678E4">
      <w:pPr>
        <w:pStyle w:val="Point1"/>
        <w:rPr>
          <w:noProof/>
        </w:rPr>
      </w:pPr>
      <w:r w:rsidRPr="001678E4">
        <w:t>(c)</w:t>
      </w:r>
      <w:r w:rsidRPr="001678E4">
        <w:tab/>
      </w:r>
      <w:r w:rsidR="006F0990">
        <w:rPr>
          <w:noProof/>
        </w:rPr>
        <w:t>p</w:t>
      </w:r>
      <w:r w:rsidR="004F677E" w:rsidRPr="000C4F35">
        <w:rPr>
          <w:noProof/>
        </w:rPr>
        <w:t xml:space="preserve">aragraph 2 is replaced by the following: </w:t>
      </w:r>
    </w:p>
    <w:p w14:paraId="64ADEAAF" w14:textId="77777777" w:rsidR="004F677E" w:rsidRPr="000C4F35" w:rsidRDefault="00367591" w:rsidP="00685329">
      <w:pPr>
        <w:ind w:left="720"/>
        <w:rPr>
          <w:noProof/>
          <w:szCs w:val="24"/>
        </w:rPr>
      </w:pPr>
      <w:r>
        <w:rPr>
          <w:noProof/>
          <w:szCs w:val="24"/>
        </w:rPr>
        <w:t>‘</w:t>
      </w:r>
      <w:r w:rsidR="0040651B" w:rsidRPr="006B3BA6">
        <w:rPr>
          <w:noProof/>
          <w:szCs w:val="24"/>
        </w:rPr>
        <w:t>2.</w:t>
      </w:r>
      <w:r w:rsidR="0040651B">
        <w:rPr>
          <w:noProof/>
          <w:szCs w:val="24"/>
        </w:rPr>
        <w:t xml:space="preserve"> </w:t>
      </w:r>
      <w:r w:rsidR="004F677E" w:rsidRPr="000C4F35">
        <w:rPr>
          <w:noProof/>
          <w:szCs w:val="24"/>
        </w:rPr>
        <w:t>The reports referred to in paragraph 1 shall be communicated to the Commission by 30 April of the relevant year as determined in accordance with the periodicity set out in paragraph 1a.</w:t>
      </w:r>
      <w:r>
        <w:rPr>
          <w:noProof/>
          <w:szCs w:val="24"/>
        </w:rPr>
        <w:t>’</w:t>
      </w:r>
      <w:r w:rsidR="006F0990">
        <w:rPr>
          <w:noProof/>
          <w:szCs w:val="24"/>
        </w:rPr>
        <w:t>;</w:t>
      </w:r>
    </w:p>
    <w:p w14:paraId="7F111509" w14:textId="77777777" w:rsidR="004F677E" w:rsidRPr="000C4F35" w:rsidRDefault="006F0990" w:rsidP="00685329">
      <w:pPr>
        <w:pStyle w:val="ManualNumPar1"/>
        <w:rPr>
          <w:noProof/>
        </w:rPr>
      </w:pPr>
      <w:r>
        <w:rPr>
          <w:noProof/>
        </w:rPr>
        <w:t>(</w:t>
      </w:r>
      <w:r w:rsidR="004F677E" w:rsidRPr="000C4F35">
        <w:rPr>
          <w:noProof/>
        </w:rPr>
        <w:t>2</w:t>
      </w:r>
      <w:r w:rsidR="006C0D2D">
        <w:rPr>
          <w:noProof/>
        </w:rPr>
        <w:t>5</w:t>
      </w:r>
      <w:r>
        <w:rPr>
          <w:noProof/>
        </w:rPr>
        <w:t>)</w:t>
      </w:r>
      <w:r w:rsidR="004F677E" w:rsidRPr="000C4F35">
        <w:rPr>
          <w:noProof/>
        </w:rPr>
        <w:t xml:space="preserve"> Article 75 is replaced by the following: </w:t>
      </w:r>
    </w:p>
    <w:p w14:paraId="4D60F5D3" w14:textId="77777777" w:rsidR="006F0990" w:rsidRDefault="00367591" w:rsidP="00E4531D">
      <w:pPr>
        <w:pStyle w:val="Text1"/>
        <w:jc w:val="center"/>
        <w:rPr>
          <w:noProof/>
        </w:rPr>
      </w:pPr>
      <w:r>
        <w:rPr>
          <w:noProof/>
        </w:rPr>
        <w:t>‘</w:t>
      </w:r>
      <w:r w:rsidR="006F0990" w:rsidRPr="00E4531D">
        <w:rPr>
          <w:i/>
          <w:noProof/>
        </w:rPr>
        <w:t>Article 75</w:t>
      </w:r>
    </w:p>
    <w:p w14:paraId="1BC38DB9" w14:textId="77777777" w:rsidR="006F0990" w:rsidRPr="00E4531D" w:rsidRDefault="006F0990" w:rsidP="00E4531D">
      <w:pPr>
        <w:pStyle w:val="Text1"/>
        <w:jc w:val="center"/>
        <w:rPr>
          <w:b/>
          <w:noProof/>
        </w:rPr>
      </w:pPr>
      <w:r w:rsidRPr="00E4531D">
        <w:rPr>
          <w:b/>
          <w:noProof/>
        </w:rPr>
        <w:t>Review</w:t>
      </w:r>
    </w:p>
    <w:p w14:paraId="3820C587" w14:textId="77777777" w:rsidR="004F677E" w:rsidRPr="000C4F35" w:rsidRDefault="004F677E" w:rsidP="006F0990">
      <w:pPr>
        <w:pStyle w:val="Text1"/>
        <w:rPr>
          <w:noProof/>
        </w:rPr>
      </w:pPr>
      <w:r w:rsidRPr="000C4F35">
        <w:rPr>
          <w:noProof/>
        </w:rPr>
        <w:t xml:space="preserve">By </w:t>
      </w:r>
      <w:r w:rsidR="006F0990">
        <w:rPr>
          <w:noProof/>
        </w:rPr>
        <w:t xml:space="preserve">… </w:t>
      </w:r>
      <w:r w:rsidRPr="000C4F35">
        <w:rPr>
          <w:noProof/>
        </w:rPr>
        <w:t>[</w:t>
      </w:r>
      <w:r w:rsidRPr="000C4F35">
        <w:rPr>
          <w:i/>
          <w:noProof/>
        </w:rPr>
        <w:t>PO</w:t>
      </w:r>
      <w:r w:rsidR="006F0990">
        <w:rPr>
          <w:i/>
          <w:noProof/>
        </w:rPr>
        <w:t xml:space="preserve"> please insert the date = </w:t>
      </w:r>
      <w:r w:rsidRPr="000C4F35">
        <w:rPr>
          <w:i/>
          <w:noProof/>
        </w:rPr>
        <w:t xml:space="preserve">5 years </w:t>
      </w:r>
      <w:r w:rsidR="006F0990">
        <w:rPr>
          <w:i/>
          <w:noProof/>
        </w:rPr>
        <w:t>after the date of</w:t>
      </w:r>
      <w:r w:rsidRPr="000C4F35">
        <w:rPr>
          <w:i/>
          <w:noProof/>
        </w:rPr>
        <w:t xml:space="preserve"> entry into </w:t>
      </w:r>
      <w:r w:rsidR="005E4652" w:rsidRPr="000C4F35">
        <w:rPr>
          <w:i/>
          <w:noProof/>
        </w:rPr>
        <w:t>force</w:t>
      </w:r>
      <w:r w:rsidR="000F6FF0" w:rsidRPr="000C4F35">
        <w:rPr>
          <w:i/>
          <w:noProof/>
        </w:rPr>
        <w:t xml:space="preserve"> </w:t>
      </w:r>
      <w:r w:rsidRPr="000C4F35">
        <w:rPr>
          <w:i/>
          <w:noProof/>
        </w:rPr>
        <w:t>of this Regulation</w:t>
      </w:r>
      <w:r w:rsidRPr="000C4F35">
        <w:rPr>
          <w:noProof/>
        </w:rPr>
        <w:t xml:space="preserve">], the Commission shall review and prepare a general report on this Regulation. That report shall, in particular, assess the matters referred to in </w:t>
      </w:r>
      <w:r w:rsidR="008A5EC7" w:rsidRPr="000C4F35">
        <w:rPr>
          <w:noProof/>
        </w:rPr>
        <w:t>Article 74(1)</w:t>
      </w:r>
      <w:r w:rsidR="008A5EC7">
        <w:rPr>
          <w:noProof/>
        </w:rPr>
        <w:t xml:space="preserve">, </w:t>
      </w:r>
      <w:r w:rsidRPr="000C4F35">
        <w:rPr>
          <w:noProof/>
        </w:rPr>
        <w:t xml:space="preserve">points (a) to (l), </w:t>
      </w:r>
      <w:r w:rsidR="00887388">
        <w:rPr>
          <w:noProof/>
        </w:rPr>
        <w:t xml:space="preserve">establish </w:t>
      </w:r>
      <w:r w:rsidRPr="000C4F35">
        <w:rPr>
          <w:noProof/>
        </w:rPr>
        <w:t xml:space="preserve">whether there are substantive barriers to competition in relation to the services subject to this Regulation which are insufficiently addressed and </w:t>
      </w:r>
      <w:r w:rsidR="00887388">
        <w:rPr>
          <w:noProof/>
        </w:rPr>
        <w:t xml:space="preserve">set out </w:t>
      </w:r>
      <w:r w:rsidRPr="000C4F35">
        <w:rPr>
          <w:noProof/>
        </w:rPr>
        <w:t>the potential need to apply further measures to</w:t>
      </w:r>
      <w:r w:rsidR="004F18A6" w:rsidRPr="000C4F35">
        <w:rPr>
          <w:noProof/>
        </w:rPr>
        <w:t xml:space="preserve">: </w:t>
      </w:r>
    </w:p>
    <w:p w14:paraId="5C46A548" w14:textId="77777777" w:rsidR="004F677E" w:rsidRPr="000C4F35" w:rsidRDefault="00B770F9" w:rsidP="00685329">
      <w:pPr>
        <w:pStyle w:val="Text1"/>
        <w:rPr>
          <w:noProof/>
        </w:rPr>
      </w:pPr>
      <w:r w:rsidRPr="000C4F35">
        <w:rPr>
          <w:noProof/>
        </w:rPr>
        <w:t xml:space="preserve">(a) </w:t>
      </w:r>
      <w:r w:rsidR="004F677E" w:rsidRPr="000C4F35">
        <w:rPr>
          <w:noProof/>
        </w:rPr>
        <w:t xml:space="preserve">improve settlement efficiency; </w:t>
      </w:r>
    </w:p>
    <w:p w14:paraId="1D3FA1CF" w14:textId="77777777" w:rsidR="004F677E" w:rsidRPr="000C4F35" w:rsidRDefault="00B770F9" w:rsidP="00685329">
      <w:pPr>
        <w:pStyle w:val="Text1"/>
        <w:rPr>
          <w:noProof/>
        </w:rPr>
      </w:pPr>
      <w:r w:rsidRPr="000C4F35">
        <w:rPr>
          <w:noProof/>
        </w:rPr>
        <w:t xml:space="preserve">(b) </w:t>
      </w:r>
      <w:r w:rsidR="004F677E" w:rsidRPr="000C4F35">
        <w:rPr>
          <w:noProof/>
        </w:rPr>
        <w:t>limit the impact on taxpayers of the failure of CSDs;</w:t>
      </w:r>
    </w:p>
    <w:p w14:paraId="2D2F5632" w14:textId="77777777" w:rsidR="004F677E" w:rsidRPr="000C4F35" w:rsidRDefault="00B770F9" w:rsidP="00685329">
      <w:pPr>
        <w:pStyle w:val="Text1"/>
        <w:rPr>
          <w:noProof/>
        </w:rPr>
      </w:pPr>
      <w:r w:rsidRPr="000C4F35">
        <w:rPr>
          <w:noProof/>
        </w:rPr>
        <w:t xml:space="preserve">(c) </w:t>
      </w:r>
      <w:r w:rsidR="004F677E" w:rsidRPr="000C4F35">
        <w:rPr>
          <w:noProof/>
        </w:rPr>
        <w:t>minimise barriers to cross-border settlement;</w:t>
      </w:r>
    </w:p>
    <w:p w14:paraId="0C0A8765" w14:textId="77777777" w:rsidR="004F677E" w:rsidRPr="000C4F35" w:rsidRDefault="00B770F9" w:rsidP="00685329">
      <w:pPr>
        <w:pStyle w:val="Text1"/>
        <w:rPr>
          <w:noProof/>
        </w:rPr>
      </w:pPr>
      <w:r w:rsidRPr="000C4F35">
        <w:rPr>
          <w:noProof/>
        </w:rPr>
        <w:t xml:space="preserve">(d) </w:t>
      </w:r>
      <w:r w:rsidR="004F677E" w:rsidRPr="000C4F35">
        <w:rPr>
          <w:noProof/>
        </w:rPr>
        <w:t>ensure adequate powers and information for authorities to monitor risks.</w:t>
      </w:r>
    </w:p>
    <w:p w14:paraId="0AF8EF42" w14:textId="37F5E7F8" w:rsidR="004F677E" w:rsidRPr="000C4F35" w:rsidRDefault="004F677E" w:rsidP="00685329">
      <w:pPr>
        <w:pStyle w:val="Text1"/>
        <w:rPr>
          <w:noProof/>
        </w:rPr>
      </w:pPr>
      <w:r w:rsidRPr="000C4F35">
        <w:rPr>
          <w:noProof/>
        </w:rPr>
        <w:t>The Commission shall submit the report to the European Parliament and to the Council, together with any appropriate proposals.</w:t>
      </w:r>
      <w:r w:rsidR="008C648F">
        <w:rPr>
          <w:noProof/>
        </w:rPr>
        <w:t>’</w:t>
      </w:r>
      <w:r w:rsidR="008A5EC7">
        <w:rPr>
          <w:noProof/>
        </w:rPr>
        <w:t>;</w:t>
      </w:r>
      <w:r w:rsidRPr="000C4F35">
        <w:rPr>
          <w:noProof/>
        </w:rPr>
        <w:t xml:space="preserve"> </w:t>
      </w:r>
    </w:p>
    <w:p w14:paraId="0344DA16" w14:textId="48E757AA" w:rsidR="00470D07" w:rsidRDefault="00470D07" w:rsidP="00685329">
      <w:pPr>
        <w:pStyle w:val="Titrearticle"/>
        <w:rPr>
          <w:noProof/>
        </w:rPr>
      </w:pPr>
      <w:r w:rsidRPr="000C4F35">
        <w:rPr>
          <w:noProof/>
        </w:rPr>
        <w:t xml:space="preserve">Article </w:t>
      </w:r>
      <w:r w:rsidR="00E13002" w:rsidRPr="000C4F35">
        <w:rPr>
          <w:noProof/>
        </w:rPr>
        <w:t>2</w:t>
      </w:r>
    </w:p>
    <w:p w14:paraId="036F1F90" w14:textId="77777777" w:rsidR="00675210" w:rsidRPr="00D473D5" w:rsidRDefault="00675210" w:rsidP="00D473D5">
      <w:pPr>
        <w:jc w:val="center"/>
        <w:rPr>
          <w:b/>
          <w:noProof/>
        </w:rPr>
      </w:pPr>
      <w:r w:rsidRPr="00E4531D">
        <w:rPr>
          <w:b/>
          <w:noProof/>
        </w:rPr>
        <w:t>Entry</w:t>
      </w:r>
      <w:r w:rsidRPr="00D473D5">
        <w:rPr>
          <w:b/>
          <w:noProof/>
        </w:rPr>
        <w:t xml:space="preserve"> into force and application</w:t>
      </w:r>
    </w:p>
    <w:p w14:paraId="591A992D" w14:textId="77777777" w:rsidR="00325CC7" w:rsidRPr="000C4F35" w:rsidRDefault="00E13002" w:rsidP="00685329">
      <w:pPr>
        <w:rPr>
          <w:noProof/>
          <w:szCs w:val="24"/>
        </w:rPr>
      </w:pPr>
      <w:r w:rsidRPr="000C4F35">
        <w:rPr>
          <w:noProof/>
          <w:szCs w:val="24"/>
        </w:rPr>
        <w:t>This Regulation shall enter into force on the twentieth day following that of its publication in the </w:t>
      </w:r>
      <w:r w:rsidRPr="00D473D5">
        <w:rPr>
          <w:i/>
          <w:noProof/>
        </w:rPr>
        <w:t>Official Journal of the European Union</w:t>
      </w:r>
      <w:r w:rsidRPr="000C4F35">
        <w:rPr>
          <w:noProof/>
          <w:szCs w:val="24"/>
        </w:rPr>
        <w:t>.</w:t>
      </w:r>
    </w:p>
    <w:p w14:paraId="6C733737" w14:textId="7FEC2EB4" w:rsidR="00470D07" w:rsidRPr="000C4F35" w:rsidRDefault="004146D9" w:rsidP="00685329">
      <w:pPr>
        <w:rPr>
          <w:noProof/>
        </w:rPr>
      </w:pPr>
      <w:r w:rsidRPr="00120A3C">
        <w:rPr>
          <w:noProof/>
        </w:rPr>
        <w:t xml:space="preserve">However, </w:t>
      </w:r>
      <w:r w:rsidR="00325CC7" w:rsidRPr="00120A3C">
        <w:rPr>
          <w:noProof/>
        </w:rPr>
        <w:t xml:space="preserve">Article </w:t>
      </w:r>
      <w:r w:rsidR="00A61C83" w:rsidRPr="00120A3C">
        <w:rPr>
          <w:noProof/>
        </w:rPr>
        <w:t>1</w:t>
      </w:r>
      <w:r w:rsidRPr="00120A3C">
        <w:rPr>
          <w:noProof/>
        </w:rPr>
        <w:t>, point</w:t>
      </w:r>
      <w:r w:rsidR="00073344" w:rsidRPr="00120A3C">
        <w:rPr>
          <w:noProof/>
        </w:rPr>
        <w:t xml:space="preserve"> </w:t>
      </w:r>
      <w:r w:rsidR="00A61C83" w:rsidRPr="00120A3C">
        <w:rPr>
          <w:noProof/>
        </w:rPr>
        <w:t xml:space="preserve">(2)(a), </w:t>
      </w:r>
      <w:r w:rsidRPr="00120A3C">
        <w:rPr>
          <w:noProof/>
        </w:rPr>
        <w:t xml:space="preserve">point </w:t>
      </w:r>
      <w:r w:rsidR="00325CC7" w:rsidRPr="00120A3C">
        <w:rPr>
          <w:noProof/>
        </w:rPr>
        <w:t xml:space="preserve">(9), </w:t>
      </w:r>
      <w:r w:rsidRPr="00120A3C">
        <w:rPr>
          <w:noProof/>
        </w:rPr>
        <w:t xml:space="preserve">point </w:t>
      </w:r>
      <w:r w:rsidR="00325CC7" w:rsidRPr="00120A3C">
        <w:rPr>
          <w:noProof/>
        </w:rPr>
        <w:t>(10)</w:t>
      </w:r>
      <w:r w:rsidR="00764A17" w:rsidRPr="00120A3C">
        <w:rPr>
          <w:noProof/>
        </w:rPr>
        <w:t xml:space="preserve">(a), </w:t>
      </w:r>
      <w:r w:rsidRPr="00120A3C">
        <w:rPr>
          <w:noProof/>
        </w:rPr>
        <w:t xml:space="preserve">point </w:t>
      </w:r>
      <w:r w:rsidR="00764A17" w:rsidRPr="00120A3C">
        <w:rPr>
          <w:noProof/>
        </w:rPr>
        <w:t xml:space="preserve">(17)(c), </w:t>
      </w:r>
      <w:r w:rsidRPr="00120A3C">
        <w:rPr>
          <w:noProof/>
        </w:rPr>
        <w:t xml:space="preserve">point </w:t>
      </w:r>
      <w:r w:rsidR="00764A17" w:rsidRPr="00120A3C">
        <w:rPr>
          <w:noProof/>
        </w:rPr>
        <w:t>(19)</w:t>
      </w:r>
      <w:r w:rsidR="000973E8" w:rsidRPr="00120A3C">
        <w:rPr>
          <w:noProof/>
        </w:rPr>
        <w:t>(a)</w:t>
      </w:r>
      <w:r w:rsidR="00325CC7" w:rsidRPr="00120A3C">
        <w:rPr>
          <w:noProof/>
        </w:rPr>
        <w:t xml:space="preserve"> and </w:t>
      </w:r>
      <w:r w:rsidRPr="00120A3C">
        <w:rPr>
          <w:noProof/>
        </w:rPr>
        <w:t>point (2</w:t>
      </w:r>
      <w:r w:rsidR="000973E8" w:rsidRPr="00E4531D">
        <w:rPr>
          <w:noProof/>
        </w:rPr>
        <w:t>3</w:t>
      </w:r>
      <w:r w:rsidRPr="00120A3C">
        <w:rPr>
          <w:noProof/>
        </w:rPr>
        <w:t>)(b),</w:t>
      </w:r>
      <w:r w:rsidRPr="000C4F35">
        <w:rPr>
          <w:noProof/>
        </w:rPr>
        <w:t xml:space="preserve"> </w:t>
      </w:r>
      <w:r w:rsidR="00325CC7" w:rsidRPr="000C4F35">
        <w:rPr>
          <w:noProof/>
        </w:rPr>
        <w:t>second subp</w:t>
      </w:r>
      <w:r w:rsidR="00DE7EEC" w:rsidRPr="000C4F35">
        <w:rPr>
          <w:noProof/>
        </w:rPr>
        <w:t>aragraph</w:t>
      </w:r>
      <w:r>
        <w:rPr>
          <w:noProof/>
        </w:rPr>
        <w:t>,</w:t>
      </w:r>
      <w:r w:rsidR="00DE7EEC" w:rsidRPr="000C4F35">
        <w:rPr>
          <w:noProof/>
        </w:rPr>
        <w:t xml:space="preserve"> </w:t>
      </w:r>
      <w:r w:rsidR="00325CC7" w:rsidRPr="000C4F35">
        <w:rPr>
          <w:noProof/>
        </w:rPr>
        <w:t>shall apply from</w:t>
      </w:r>
      <w:r>
        <w:rPr>
          <w:noProof/>
        </w:rPr>
        <w:t xml:space="preserve"> …. </w:t>
      </w:r>
      <w:r w:rsidR="00325CC7" w:rsidRPr="000C4F35">
        <w:rPr>
          <w:noProof/>
        </w:rPr>
        <w:t>[</w:t>
      </w:r>
      <w:r w:rsidR="00325CC7" w:rsidRPr="000C4F35">
        <w:rPr>
          <w:i/>
          <w:noProof/>
        </w:rPr>
        <w:t xml:space="preserve">PO please insert </w:t>
      </w:r>
      <w:r w:rsidR="00544362">
        <w:rPr>
          <w:i/>
          <w:noProof/>
        </w:rPr>
        <w:t xml:space="preserve">the date = </w:t>
      </w:r>
      <w:r w:rsidR="00BF5E51">
        <w:rPr>
          <w:i/>
          <w:noProof/>
        </w:rPr>
        <w:t>24</w:t>
      </w:r>
      <w:r w:rsidR="00BF5E51" w:rsidRPr="000C4F35">
        <w:rPr>
          <w:i/>
          <w:noProof/>
        </w:rPr>
        <w:t xml:space="preserve"> </w:t>
      </w:r>
      <w:r w:rsidR="00325CC7" w:rsidRPr="000C4F35">
        <w:rPr>
          <w:i/>
          <w:noProof/>
        </w:rPr>
        <w:t xml:space="preserve">months </w:t>
      </w:r>
      <w:r w:rsidR="00544362">
        <w:rPr>
          <w:i/>
          <w:noProof/>
        </w:rPr>
        <w:t>after</w:t>
      </w:r>
      <w:r w:rsidR="00325CC7" w:rsidRPr="000C4F35">
        <w:rPr>
          <w:i/>
          <w:noProof/>
        </w:rPr>
        <w:t xml:space="preserve"> the date of entry into force</w:t>
      </w:r>
      <w:r w:rsidR="00764A17" w:rsidRPr="000C4F35">
        <w:rPr>
          <w:noProof/>
        </w:rPr>
        <w:t xml:space="preserve"> </w:t>
      </w:r>
      <w:r w:rsidR="00764A17" w:rsidRPr="000C4F35">
        <w:rPr>
          <w:i/>
          <w:noProof/>
        </w:rPr>
        <w:t>of this Regulation</w:t>
      </w:r>
      <w:r w:rsidR="00764A17" w:rsidRPr="000C4F35">
        <w:rPr>
          <w:noProof/>
        </w:rPr>
        <w:t>]</w:t>
      </w:r>
      <w:r w:rsidR="00325CC7" w:rsidRPr="000C4F35">
        <w:rPr>
          <w:noProof/>
        </w:rPr>
        <w:t>.</w:t>
      </w:r>
      <w:r w:rsidR="00325CC7" w:rsidRPr="000C4F35">
        <w:rPr>
          <w:rStyle w:val="CommentReference"/>
          <w:noProof/>
          <w:sz w:val="24"/>
          <w:szCs w:val="22"/>
        </w:rPr>
        <w:t xml:space="preserve"> </w:t>
      </w:r>
    </w:p>
    <w:p w14:paraId="1B1A2EC5" w14:textId="77777777" w:rsidR="00470D07" w:rsidRPr="000C4F35" w:rsidRDefault="00470D07" w:rsidP="00685329">
      <w:pPr>
        <w:pStyle w:val="Applicationdirecte"/>
        <w:rPr>
          <w:noProof/>
        </w:rPr>
      </w:pPr>
      <w:r w:rsidRPr="000C4F35">
        <w:rPr>
          <w:noProof/>
        </w:rPr>
        <w:t>This Regulation shall be binding in its entirety and directly applicable in all Member States.</w:t>
      </w:r>
    </w:p>
    <w:p w14:paraId="568103B9" w14:textId="58598613" w:rsidR="00470D07" w:rsidRPr="000C4F35" w:rsidRDefault="009005F3" w:rsidP="00E22303">
      <w:pPr>
        <w:pStyle w:val="Fait"/>
        <w:rPr>
          <w:noProof/>
        </w:rPr>
      </w:pPr>
      <w:r w:rsidRPr="009005F3">
        <w:t>Done at Brussels,</w:t>
      </w:r>
    </w:p>
    <w:p w14:paraId="2E78A6FA" w14:textId="77777777" w:rsidR="00470D07" w:rsidRPr="000C4F35" w:rsidRDefault="00470D07" w:rsidP="00E22303">
      <w:pPr>
        <w:pStyle w:val="Institutionquisigne"/>
        <w:rPr>
          <w:noProof/>
        </w:rPr>
      </w:pPr>
      <w:r w:rsidRPr="000C4F35">
        <w:rPr>
          <w:noProof/>
        </w:rPr>
        <w:t>For the European Parliament</w:t>
      </w:r>
      <w:r w:rsidRPr="000C4F35">
        <w:rPr>
          <w:noProof/>
        </w:rPr>
        <w:tab/>
        <w:t>For the Council</w:t>
      </w:r>
    </w:p>
    <w:p w14:paraId="65AA8555" w14:textId="77777777" w:rsidR="00470D07" w:rsidRPr="000C4F35" w:rsidRDefault="00470D07" w:rsidP="00685329">
      <w:pPr>
        <w:pStyle w:val="Personnequisigne"/>
        <w:rPr>
          <w:noProof/>
        </w:rPr>
      </w:pPr>
      <w:r w:rsidRPr="000C4F35">
        <w:rPr>
          <w:noProof/>
        </w:rPr>
        <w:t>The President</w:t>
      </w:r>
      <w:r w:rsidRPr="000C4F35">
        <w:rPr>
          <w:noProof/>
        </w:rPr>
        <w:tab/>
        <w:t>The President</w:t>
      </w:r>
    </w:p>
    <w:p w14:paraId="59C9F6C7" w14:textId="77777777" w:rsidR="00470D07" w:rsidRPr="000C4F35" w:rsidRDefault="00470D07" w:rsidP="00685329">
      <w:pPr>
        <w:rPr>
          <w:noProof/>
        </w:rPr>
        <w:sectPr w:rsidR="00470D07" w:rsidRPr="000C4F35" w:rsidSect="00E0492F">
          <w:pgSz w:w="11907" w:h="16839"/>
          <w:pgMar w:top="1134" w:right="1417" w:bottom="1134" w:left="1417" w:header="709" w:footer="709" w:gutter="0"/>
          <w:cols w:space="708"/>
          <w:docGrid w:linePitch="360"/>
        </w:sectPr>
      </w:pPr>
    </w:p>
    <w:p w14:paraId="340D1586" w14:textId="77777777" w:rsidR="00470D07" w:rsidRPr="000C4F35" w:rsidRDefault="00470D07" w:rsidP="00685329">
      <w:pPr>
        <w:pStyle w:val="Fichefinanciretitre"/>
        <w:keepNext/>
        <w:rPr>
          <w:noProof/>
        </w:rPr>
      </w:pPr>
      <w:r w:rsidRPr="000C4F35">
        <w:rPr>
          <w:noProof/>
        </w:rPr>
        <w:t>LEGISLATIVE FINANCIAL STATEMENT</w:t>
      </w:r>
    </w:p>
    <w:p w14:paraId="74FF785D" w14:textId="77777777" w:rsidR="00470D07" w:rsidRPr="000C4F35" w:rsidRDefault="00470D07" w:rsidP="00685329">
      <w:pPr>
        <w:pStyle w:val="ManualHeading1"/>
        <w:rPr>
          <w:noProof/>
        </w:rPr>
      </w:pPr>
      <w:r w:rsidRPr="000C4F35">
        <w:rPr>
          <w:noProof/>
        </w:rPr>
        <w:t>1.</w:t>
      </w:r>
      <w:r w:rsidRPr="000C4F35">
        <w:rPr>
          <w:noProof/>
        </w:rPr>
        <w:tab/>
        <w:t>FRAMEWORK OF THE PROPOSAL/INITIATIVE</w:t>
      </w:r>
    </w:p>
    <w:p w14:paraId="07B97AF4" w14:textId="77777777" w:rsidR="00470D07" w:rsidRPr="000C4F35" w:rsidRDefault="00470D07" w:rsidP="00685329">
      <w:pPr>
        <w:pStyle w:val="ManualHeading2"/>
        <w:rPr>
          <w:noProof/>
        </w:rPr>
      </w:pPr>
      <w:r w:rsidRPr="000C4F35">
        <w:rPr>
          <w:noProof/>
        </w:rPr>
        <w:tab/>
        <w:t>1.1.</w:t>
      </w:r>
      <w:r w:rsidRPr="000C4F35">
        <w:rPr>
          <w:noProof/>
        </w:rPr>
        <w:tab/>
        <w:t>Title of the proposal/initiative</w:t>
      </w:r>
    </w:p>
    <w:p w14:paraId="71AE9D28" w14:textId="77777777" w:rsidR="00470D07" w:rsidRPr="000C4F35" w:rsidRDefault="00470D07" w:rsidP="00685329">
      <w:pPr>
        <w:pStyle w:val="ManualHeading2"/>
        <w:rPr>
          <w:noProof/>
        </w:rPr>
      </w:pPr>
      <w:r w:rsidRPr="000C4F35">
        <w:rPr>
          <w:noProof/>
        </w:rPr>
        <w:tab/>
        <w:t>1.2.</w:t>
      </w:r>
      <w:r w:rsidRPr="000C4F35">
        <w:rPr>
          <w:noProof/>
        </w:rPr>
        <w:tab/>
        <w:t>Policy area(s) concerned</w:t>
      </w:r>
    </w:p>
    <w:p w14:paraId="52D0026A" w14:textId="77777777" w:rsidR="00470D07" w:rsidRPr="000C4F35" w:rsidRDefault="00470D07" w:rsidP="00685329">
      <w:pPr>
        <w:pStyle w:val="ManualHeading2"/>
        <w:rPr>
          <w:noProof/>
        </w:rPr>
      </w:pPr>
      <w:r w:rsidRPr="000C4F35">
        <w:rPr>
          <w:noProof/>
        </w:rPr>
        <w:tab/>
        <w:t>1.3.</w:t>
      </w:r>
      <w:r w:rsidRPr="000C4F35">
        <w:rPr>
          <w:noProof/>
        </w:rPr>
        <w:tab/>
        <w:t>The proposal/initiative relates to:</w:t>
      </w:r>
    </w:p>
    <w:p w14:paraId="10F97227" w14:textId="77777777" w:rsidR="00470D07" w:rsidRPr="000C4F35" w:rsidRDefault="00470D07" w:rsidP="00685329">
      <w:pPr>
        <w:pStyle w:val="ManualHeading2"/>
        <w:rPr>
          <w:noProof/>
        </w:rPr>
      </w:pPr>
      <w:r w:rsidRPr="000C4F35">
        <w:rPr>
          <w:noProof/>
        </w:rPr>
        <w:tab/>
        <w:t>1.4.</w:t>
      </w:r>
      <w:r w:rsidRPr="000C4F35">
        <w:rPr>
          <w:noProof/>
        </w:rPr>
        <w:tab/>
        <w:t>Objective(s)</w:t>
      </w:r>
    </w:p>
    <w:p w14:paraId="4C9D0D3F" w14:textId="77777777" w:rsidR="00470D07" w:rsidRPr="000C4F35" w:rsidRDefault="00470D07" w:rsidP="00685329">
      <w:pPr>
        <w:pStyle w:val="ManualHeading3"/>
        <w:rPr>
          <w:noProof/>
        </w:rPr>
      </w:pPr>
      <w:r w:rsidRPr="000C4F35">
        <w:rPr>
          <w:noProof/>
        </w:rPr>
        <w:tab/>
        <w:t>1.4.1.</w:t>
      </w:r>
      <w:r w:rsidRPr="000C4F35">
        <w:rPr>
          <w:noProof/>
        </w:rPr>
        <w:tab/>
        <w:t>General objective(s)</w:t>
      </w:r>
    </w:p>
    <w:p w14:paraId="401203E0" w14:textId="77777777" w:rsidR="00470D07" w:rsidRPr="000C4F35" w:rsidRDefault="00470D07" w:rsidP="00685329">
      <w:pPr>
        <w:pStyle w:val="ManualHeading3"/>
        <w:rPr>
          <w:noProof/>
        </w:rPr>
      </w:pPr>
      <w:r w:rsidRPr="000C4F35">
        <w:rPr>
          <w:noProof/>
        </w:rPr>
        <w:tab/>
        <w:t>1.4.2.</w:t>
      </w:r>
      <w:r w:rsidRPr="000C4F35">
        <w:rPr>
          <w:noProof/>
        </w:rPr>
        <w:tab/>
        <w:t>Specific objective(s)</w:t>
      </w:r>
    </w:p>
    <w:p w14:paraId="0E2B87FD" w14:textId="77777777" w:rsidR="00470D07" w:rsidRPr="000C4F35" w:rsidRDefault="00470D07" w:rsidP="00685329">
      <w:pPr>
        <w:pStyle w:val="ManualHeading3"/>
        <w:rPr>
          <w:noProof/>
        </w:rPr>
      </w:pPr>
      <w:r w:rsidRPr="000C4F35">
        <w:rPr>
          <w:noProof/>
        </w:rPr>
        <w:tab/>
        <w:t>1.4.3.</w:t>
      </w:r>
      <w:r w:rsidRPr="000C4F35">
        <w:rPr>
          <w:noProof/>
        </w:rPr>
        <w:tab/>
        <w:t>Expected result(s) and impact</w:t>
      </w:r>
    </w:p>
    <w:p w14:paraId="370C9FB2" w14:textId="77777777" w:rsidR="00470D07" w:rsidRPr="000C4F35" w:rsidRDefault="00470D07" w:rsidP="00685329">
      <w:pPr>
        <w:pStyle w:val="ManualHeading3"/>
        <w:rPr>
          <w:noProof/>
        </w:rPr>
      </w:pPr>
      <w:r w:rsidRPr="000C4F35">
        <w:rPr>
          <w:noProof/>
        </w:rPr>
        <w:tab/>
        <w:t>1.4.4.</w:t>
      </w:r>
      <w:r w:rsidRPr="000C4F35">
        <w:rPr>
          <w:noProof/>
        </w:rPr>
        <w:tab/>
        <w:t>Indicators of performance</w:t>
      </w:r>
    </w:p>
    <w:p w14:paraId="7A573EA3" w14:textId="77777777" w:rsidR="00470D07" w:rsidRPr="000C4F35" w:rsidRDefault="00470D07" w:rsidP="00685329">
      <w:pPr>
        <w:pStyle w:val="ManualHeading2"/>
        <w:rPr>
          <w:noProof/>
        </w:rPr>
      </w:pPr>
      <w:r w:rsidRPr="000C4F35">
        <w:rPr>
          <w:noProof/>
        </w:rPr>
        <w:tab/>
        <w:t>1.5.</w:t>
      </w:r>
      <w:r w:rsidRPr="000C4F35">
        <w:rPr>
          <w:noProof/>
        </w:rPr>
        <w:tab/>
        <w:t>Grounds for the proposal/initiative</w:t>
      </w:r>
    </w:p>
    <w:p w14:paraId="000ADE4B" w14:textId="77777777" w:rsidR="00470D07" w:rsidRPr="000C4F35" w:rsidRDefault="00470D07" w:rsidP="00685329">
      <w:pPr>
        <w:pStyle w:val="ManualHeading3"/>
        <w:rPr>
          <w:noProof/>
        </w:rPr>
      </w:pPr>
      <w:r w:rsidRPr="000C4F35">
        <w:rPr>
          <w:noProof/>
        </w:rPr>
        <w:tab/>
        <w:t>1.5.1.</w:t>
      </w:r>
      <w:r w:rsidRPr="000C4F35">
        <w:rPr>
          <w:noProof/>
        </w:rPr>
        <w:tab/>
        <w:t>Requirement(s) to be met in the short or long term including a detailed timeline for roll-out of the implementation of the initiative</w:t>
      </w:r>
    </w:p>
    <w:p w14:paraId="3BFE8617" w14:textId="77777777" w:rsidR="00470D07" w:rsidRPr="000C4F35" w:rsidRDefault="00470D07" w:rsidP="00685329">
      <w:pPr>
        <w:pStyle w:val="ManualHeading3"/>
        <w:rPr>
          <w:noProof/>
        </w:rPr>
      </w:pPr>
      <w:r w:rsidRPr="000C4F35">
        <w:rPr>
          <w:noProof/>
        </w:rPr>
        <w:tab/>
        <w:t>1.5.2.</w:t>
      </w:r>
      <w:r w:rsidRPr="000C4F35">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14:paraId="2E6AE598" w14:textId="77777777" w:rsidR="00470D07" w:rsidRPr="000C4F35" w:rsidRDefault="00470D07" w:rsidP="00685329">
      <w:pPr>
        <w:pStyle w:val="ManualHeading3"/>
        <w:rPr>
          <w:noProof/>
        </w:rPr>
      </w:pPr>
      <w:r w:rsidRPr="000C4F35">
        <w:rPr>
          <w:noProof/>
        </w:rPr>
        <w:tab/>
        <w:t>1.5.3.</w:t>
      </w:r>
      <w:r w:rsidRPr="000C4F35">
        <w:rPr>
          <w:noProof/>
        </w:rPr>
        <w:tab/>
        <w:t>Lessons learned from similar experiences in the past</w:t>
      </w:r>
    </w:p>
    <w:p w14:paraId="55F6B309" w14:textId="77777777" w:rsidR="00470D07" w:rsidRPr="000C4F35" w:rsidRDefault="00470D07" w:rsidP="00685329">
      <w:pPr>
        <w:pStyle w:val="ManualHeading3"/>
        <w:rPr>
          <w:noProof/>
        </w:rPr>
      </w:pPr>
      <w:r w:rsidRPr="000C4F35">
        <w:rPr>
          <w:noProof/>
        </w:rPr>
        <w:tab/>
        <w:t>1.5.4.</w:t>
      </w:r>
      <w:r w:rsidRPr="000C4F35">
        <w:rPr>
          <w:noProof/>
        </w:rPr>
        <w:tab/>
        <w:t>Compatibility with the Multiannual Financial Framework and possible synergies with other appropriate instruments</w:t>
      </w:r>
    </w:p>
    <w:p w14:paraId="743F50A9" w14:textId="77777777" w:rsidR="00470D07" w:rsidRPr="000C4F35" w:rsidRDefault="00470D07" w:rsidP="00685329">
      <w:pPr>
        <w:pStyle w:val="ManualHeading3"/>
        <w:rPr>
          <w:noProof/>
        </w:rPr>
      </w:pPr>
      <w:r w:rsidRPr="000C4F35">
        <w:rPr>
          <w:noProof/>
        </w:rPr>
        <w:tab/>
        <w:t>1.5.5.</w:t>
      </w:r>
      <w:r w:rsidRPr="000C4F35">
        <w:rPr>
          <w:noProof/>
        </w:rPr>
        <w:tab/>
        <w:t>Assessment of the different available financing options, including scope for redeployment</w:t>
      </w:r>
    </w:p>
    <w:p w14:paraId="3C064EEB" w14:textId="77777777" w:rsidR="00470D07" w:rsidRPr="000C4F35" w:rsidRDefault="00470D07" w:rsidP="00685329">
      <w:pPr>
        <w:pStyle w:val="ManualHeading2"/>
        <w:rPr>
          <w:noProof/>
        </w:rPr>
      </w:pPr>
      <w:r w:rsidRPr="000C4F35">
        <w:rPr>
          <w:noProof/>
        </w:rPr>
        <w:tab/>
        <w:t>1.6.</w:t>
      </w:r>
      <w:r w:rsidRPr="000C4F35">
        <w:rPr>
          <w:noProof/>
        </w:rPr>
        <w:tab/>
        <w:t>Duration and financial impact of the proposal/initiative</w:t>
      </w:r>
    </w:p>
    <w:p w14:paraId="590E5A06" w14:textId="77777777" w:rsidR="00470D07" w:rsidRPr="000C4F35" w:rsidRDefault="00470D07" w:rsidP="00685329">
      <w:pPr>
        <w:pStyle w:val="ManualHeading2"/>
        <w:rPr>
          <w:noProof/>
        </w:rPr>
      </w:pPr>
      <w:r w:rsidRPr="000C4F35">
        <w:rPr>
          <w:noProof/>
        </w:rPr>
        <w:tab/>
        <w:t>1.7.</w:t>
      </w:r>
      <w:r w:rsidRPr="000C4F35">
        <w:rPr>
          <w:noProof/>
        </w:rPr>
        <w:tab/>
        <w:t>Management mode(s) planned</w:t>
      </w:r>
    </w:p>
    <w:p w14:paraId="16A06B0E" w14:textId="77777777" w:rsidR="00470D07" w:rsidRPr="000C4F35" w:rsidRDefault="00470D07" w:rsidP="00685329">
      <w:pPr>
        <w:pStyle w:val="ManualHeading1"/>
        <w:rPr>
          <w:noProof/>
        </w:rPr>
      </w:pPr>
      <w:r w:rsidRPr="000C4F35">
        <w:rPr>
          <w:noProof/>
        </w:rPr>
        <w:tab/>
        <w:t>2.</w:t>
      </w:r>
      <w:r w:rsidRPr="000C4F35">
        <w:rPr>
          <w:noProof/>
        </w:rPr>
        <w:tab/>
        <w:t>MANAGEMENT MEASURES</w:t>
      </w:r>
    </w:p>
    <w:p w14:paraId="2337A785" w14:textId="77777777" w:rsidR="00470D07" w:rsidRPr="000C4F35" w:rsidRDefault="00470D07" w:rsidP="00685329">
      <w:pPr>
        <w:pStyle w:val="ManualHeading2"/>
        <w:rPr>
          <w:noProof/>
        </w:rPr>
      </w:pPr>
      <w:r w:rsidRPr="000C4F35">
        <w:rPr>
          <w:noProof/>
        </w:rPr>
        <w:tab/>
        <w:t>2.1.</w:t>
      </w:r>
      <w:r w:rsidRPr="000C4F35">
        <w:rPr>
          <w:noProof/>
        </w:rPr>
        <w:tab/>
        <w:t>Monitoring and reporting rules</w:t>
      </w:r>
    </w:p>
    <w:p w14:paraId="29224BF8" w14:textId="77777777" w:rsidR="00470D07" w:rsidRPr="000C4F35" w:rsidRDefault="00470D07" w:rsidP="00685329">
      <w:pPr>
        <w:pStyle w:val="ManualHeading2"/>
        <w:rPr>
          <w:noProof/>
        </w:rPr>
      </w:pPr>
      <w:r w:rsidRPr="000C4F35">
        <w:rPr>
          <w:noProof/>
        </w:rPr>
        <w:tab/>
        <w:t>2.2.</w:t>
      </w:r>
      <w:r w:rsidRPr="000C4F35">
        <w:rPr>
          <w:noProof/>
        </w:rPr>
        <w:tab/>
        <w:t>Management and control system(s)</w:t>
      </w:r>
    </w:p>
    <w:p w14:paraId="23C93AD8" w14:textId="77777777" w:rsidR="00470D07" w:rsidRPr="000C4F35" w:rsidRDefault="00470D07" w:rsidP="00685329">
      <w:pPr>
        <w:pStyle w:val="ManualHeading3"/>
        <w:rPr>
          <w:noProof/>
        </w:rPr>
      </w:pPr>
      <w:r w:rsidRPr="000C4F35">
        <w:rPr>
          <w:noProof/>
        </w:rPr>
        <w:tab/>
        <w:t>2.2.1.</w:t>
      </w:r>
      <w:r w:rsidRPr="000C4F35">
        <w:rPr>
          <w:noProof/>
        </w:rPr>
        <w:tab/>
        <w:t>Justification of the management mode(s), the funding implementation mechanism(s), the payment modalities and the control strategy proposed</w:t>
      </w:r>
    </w:p>
    <w:p w14:paraId="79E32A76" w14:textId="77777777" w:rsidR="00470D07" w:rsidRPr="000C4F35" w:rsidRDefault="00470D07" w:rsidP="00685329">
      <w:pPr>
        <w:pStyle w:val="ManualHeading3"/>
        <w:rPr>
          <w:noProof/>
        </w:rPr>
      </w:pPr>
      <w:r w:rsidRPr="000C4F35">
        <w:rPr>
          <w:noProof/>
        </w:rPr>
        <w:tab/>
        <w:t>2.2.2.</w:t>
      </w:r>
      <w:r w:rsidRPr="000C4F35">
        <w:rPr>
          <w:noProof/>
        </w:rPr>
        <w:tab/>
        <w:t>Information concerning the risks identified and the internal control system(s) set up to mitigate them</w:t>
      </w:r>
    </w:p>
    <w:p w14:paraId="1AE0E156" w14:textId="77777777" w:rsidR="00470D07" w:rsidRPr="000C4F35" w:rsidRDefault="00470D07" w:rsidP="00685329">
      <w:pPr>
        <w:pStyle w:val="ManualHeading3"/>
        <w:rPr>
          <w:noProof/>
        </w:rPr>
      </w:pPr>
      <w:r w:rsidRPr="000C4F35">
        <w:rPr>
          <w:noProof/>
        </w:rPr>
        <w:tab/>
        <w:t>2.2.3.</w:t>
      </w:r>
      <w:r w:rsidRPr="000C4F35">
        <w:rPr>
          <w:noProof/>
        </w:rPr>
        <w:tab/>
        <w:t>Estimation and justification of the cost-effectiveness of the controls (ratio of "control costs ÷ value of the related funds managed"), and assessment of the expected levels of risk of error (at payment &amp; at closure)</w:t>
      </w:r>
    </w:p>
    <w:p w14:paraId="40316C72" w14:textId="77777777" w:rsidR="00470D07" w:rsidRPr="000C4F35" w:rsidRDefault="00470D07" w:rsidP="00685329">
      <w:pPr>
        <w:pStyle w:val="ManualHeading2"/>
        <w:rPr>
          <w:noProof/>
        </w:rPr>
      </w:pPr>
      <w:r w:rsidRPr="000C4F35">
        <w:rPr>
          <w:noProof/>
        </w:rPr>
        <w:tab/>
        <w:t>2.3.</w:t>
      </w:r>
      <w:r w:rsidRPr="000C4F35">
        <w:rPr>
          <w:noProof/>
        </w:rPr>
        <w:tab/>
        <w:t>Measures to prevent fraud and irregularities</w:t>
      </w:r>
    </w:p>
    <w:p w14:paraId="431A20D7" w14:textId="77777777" w:rsidR="00470D07" w:rsidRPr="000C4F35" w:rsidRDefault="00470D07" w:rsidP="00685329">
      <w:pPr>
        <w:pStyle w:val="ManualHeading1"/>
        <w:rPr>
          <w:noProof/>
        </w:rPr>
      </w:pPr>
      <w:r w:rsidRPr="000C4F35">
        <w:rPr>
          <w:noProof/>
        </w:rPr>
        <w:t>3.</w:t>
      </w:r>
      <w:r w:rsidRPr="000C4F35">
        <w:rPr>
          <w:noProof/>
        </w:rPr>
        <w:tab/>
        <w:t>ESTIMATED FINANCIAL IMPACT OF THE PROPOSAL/INITIATIVE</w:t>
      </w:r>
      <w:r w:rsidRPr="000C4F35">
        <w:rPr>
          <w:noProof/>
        </w:rPr>
        <w:tab/>
      </w:r>
    </w:p>
    <w:p w14:paraId="5C6AA043" w14:textId="77777777" w:rsidR="00470D07" w:rsidRPr="000C4F35" w:rsidRDefault="00470D07" w:rsidP="00685329">
      <w:pPr>
        <w:pStyle w:val="ManualHeading2"/>
        <w:rPr>
          <w:noProof/>
        </w:rPr>
      </w:pPr>
      <w:r w:rsidRPr="000C4F35">
        <w:rPr>
          <w:noProof/>
        </w:rPr>
        <w:tab/>
        <w:t>3.1.</w:t>
      </w:r>
      <w:r w:rsidRPr="000C4F35">
        <w:rPr>
          <w:noProof/>
        </w:rPr>
        <w:tab/>
        <w:t>Heading(s) of the multiannual financial framework and expenditure budget line(s) affected</w:t>
      </w:r>
    </w:p>
    <w:p w14:paraId="0193011C" w14:textId="77777777" w:rsidR="00470D07" w:rsidRPr="000C4F35" w:rsidRDefault="00470D07" w:rsidP="00685329">
      <w:pPr>
        <w:pStyle w:val="ManualHeading2"/>
        <w:rPr>
          <w:noProof/>
        </w:rPr>
      </w:pPr>
      <w:r w:rsidRPr="000C4F35">
        <w:rPr>
          <w:noProof/>
        </w:rPr>
        <w:tab/>
        <w:t>3.2.</w:t>
      </w:r>
      <w:r w:rsidRPr="000C4F35">
        <w:rPr>
          <w:noProof/>
        </w:rPr>
        <w:tab/>
        <w:t>Estimated financial impact of the proposal on appropriations</w:t>
      </w:r>
    </w:p>
    <w:p w14:paraId="7F9E4FAE" w14:textId="77777777" w:rsidR="00470D07" w:rsidRPr="000C4F35" w:rsidRDefault="00470D07" w:rsidP="00685329">
      <w:pPr>
        <w:pStyle w:val="ManualHeading3"/>
        <w:rPr>
          <w:noProof/>
        </w:rPr>
      </w:pPr>
      <w:r w:rsidRPr="000C4F35">
        <w:rPr>
          <w:noProof/>
        </w:rPr>
        <w:tab/>
        <w:t>3.2.1.</w:t>
      </w:r>
      <w:r w:rsidRPr="000C4F35">
        <w:rPr>
          <w:noProof/>
        </w:rPr>
        <w:tab/>
        <w:t>Summary of estimated impact on operational appropriations</w:t>
      </w:r>
    </w:p>
    <w:p w14:paraId="7763D579" w14:textId="77777777" w:rsidR="00470D07" w:rsidRPr="000C4F35" w:rsidRDefault="00470D07" w:rsidP="00685329">
      <w:pPr>
        <w:pStyle w:val="ManualHeading3"/>
        <w:rPr>
          <w:noProof/>
        </w:rPr>
      </w:pPr>
      <w:r w:rsidRPr="000C4F35">
        <w:rPr>
          <w:noProof/>
        </w:rPr>
        <w:tab/>
        <w:t>3.2.2.</w:t>
      </w:r>
      <w:r w:rsidRPr="000C4F35">
        <w:rPr>
          <w:noProof/>
        </w:rPr>
        <w:tab/>
        <w:t>Estimated output funded with operational appropriations</w:t>
      </w:r>
    </w:p>
    <w:p w14:paraId="4C0173B9" w14:textId="77777777" w:rsidR="00470D07" w:rsidRPr="000C4F35" w:rsidRDefault="00470D07" w:rsidP="00685329">
      <w:pPr>
        <w:pStyle w:val="ManualHeading3"/>
        <w:rPr>
          <w:noProof/>
        </w:rPr>
      </w:pPr>
      <w:r w:rsidRPr="000C4F35">
        <w:rPr>
          <w:noProof/>
        </w:rPr>
        <w:tab/>
        <w:t>3.2.3.</w:t>
      </w:r>
      <w:r w:rsidRPr="000C4F35">
        <w:rPr>
          <w:noProof/>
        </w:rPr>
        <w:tab/>
        <w:t>Summary of estimated impact on administrative appropriations</w:t>
      </w:r>
    </w:p>
    <w:p w14:paraId="6EC16848" w14:textId="77777777" w:rsidR="00470D07" w:rsidRPr="000C4F35" w:rsidRDefault="00470D07" w:rsidP="00685329">
      <w:pPr>
        <w:pStyle w:val="ManualHeading3"/>
        <w:rPr>
          <w:noProof/>
        </w:rPr>
      </w:pPr>
      <w:r w:rsidRPr="000C4F35">
        <w:rPr>
          <w:noProof/>
        </w:rPr>
        <w:tab/>
        <w:t>3.2.4.</w:t>
      </w:r>
      <w:r w:rsidRPr="000C4F35">
        <w:rPr>
          <w:noProof/>
        </w:rPr>
        <w:tab/>
        <w:t>Compatibility with the current multiannual financial framework</w:t>
      </w:r>
    </w:p>
    <w:p w14:paraId="0CCA7776" w14:textId="77777777" w:rsidR="00470D07" w:rsidRPr="000C4F35" w:rsidRDefault="00470D07" w:rsidP="00685329">
      <w:pPr>
        <w:pStyle w:val="ManualHeading3"/>
        <w:rPr>
          <w:noProof/>
        </w:rPr>
      </w:pPr>
      <w:r w:rsidRPr="000C4F35">
        <w:rPr>
          <w:noProof/>
        </w:rPr>
        <w:tab/>
        <w:t>3.2.5.</w:t>
      </w:r>
      <w:r w:rsidRPr="000C4F35">
        <w:rPr>
          <w:noProof/>
        </w:rPr>
        <w:tab/>
        <w:t>Third-party contributions</w:t>
      </w:r>
    </w:p>
    <w:p w14:paraId="4E55B385" w14:textId="77777777" w:rsidR="00470D07" w:rsidRPr="000C4F35" w:rsidRDefault="00470D07" w:rsidP="00685329">
      <w:pPr>
        <w:pStyle w:val="ManualHeading2"/>
        <w:rPr>
          <w:noProof/>
        </w:rPr>
      </w:pPr>
      <w:r w:rsidRPr="000C4F35">
        <w:rPr>
          <w:noProof/>
        </w:rPr>
        <w:tab/>
        <w:t>3.3.</w:t>
      </w:r>
      <w:r w:rsidRPr="000C4F35">
        <w:rPr>
          <w:noProof/>
        </w:rPr>
        <w:tab/>
        <w:t>Estimated impact on revenue</w:t>
      </w:r>
    </w:p>
    <w:p w14:paraId="48D4E45C" w14:textId="77777777" w:rsidR="00470D07" w:rsidRPr="000C4F35" w:rsidRDefault="00470D07" w:rsidP="00685329">
      <w:pPr>
        <w:rPr>
          <w:noProof/>
        </w:rPr>
        <w:sectPr w:rsidR="00470D07" w:rsidRPr="000C4F35" w:rsidSect="00E0492F">
          <w:pgSz w:w="11907" w:h="16840" w:code="9"/>
          <w:pgMar w:top="1134" w:right="1418" w:bottom="1134" w:left="1418" w:header="709" w:footer="709" w:gutter="0"/>
          <w:cols w:space="708"/>
          <w:docGrid w:linePitch="360"/>
        </w:sectPr>
      </w:pPr>
    </w:p>
    <w:p w14:paraId="2A497E9B" w14:textId="77777777" w:rsidR="00470D07" w:rsidRPr="000C4F35" w:rsidRDefault="00470D07" w:rsidP="00685329">
      <w:pPr>
        <w:jc w:val="center"/>
        <w:rPr>
          <w:noProof/>
        </w:rPr>
      </w:pPr>
      <w:r w:rsidRPr="000C4F35">
        <w:rPr>
          <w:b/>
          <w:noProof/>
          <w:u w:val="single"/>
        </w:rPr>
        <w:t>LEGISLAT</w:t>
      </w:r>
      <w:r w:rsidRPr="00375358">
        <w:rPr>
          <w:b/>
          <w:noProof/>
          <w:u w:val="single"/>
        </w:rPr>
        <w:t xml:space="preserve">IVE </w:t>
      </w:r>
      <w:r w:rsidRPr="000C4F35">
        <w:rPr>
          <w:b/>
          <w:noProof/>
          <w:u w:val="single"/>
        </w:rPr>
        <w:t>FINANCIAL STATEMENT</w:t>
      </w:r>
    </w:p>
    <w:p w14:paraId="608ACA56" w14:textId="32F6BC02" w:rsidR="00470D07" w:rsidRPr="000C4F35" w:rsidRDefault="001678E4" w:rsidP="001678E4">
      <w:pPr>
        <w:pStyle w:val="ManualHeading1"/>
        <w:rPr>
          <w:noProof/>
        </w:rPr>
      </w:pPr>
      <w:bookmarkStart w:id="1" w:name="_Toc514938007"/>
      <w:bookmarkStart w:id="2" w:name="_Toc520485025"/>
      <w:r w:rsidRPr="001678E4">
        <w:t>1.</w:t>
      </w:r>
      <w:r w:rsidRPr="001678E4">
        <w:tab/>
      </w:r>
      <w:r w:rsidR="00470D07" w:rsidRPr="000C4F35">
        <w:rPr>
          <w:noProof/>
        </w:rPr>
        <w:t>FRAMEWORK OF THE PROPOSAL/INITIATIVE</w:t>
      </w:r>
      <w:bookmarkEnd w:id="1"/>
      <w:bookmarkEnd w:id="2"/>
      <w:r w:rsidR="00470D07" w:rsidRPr="000C4F35">
        <w:rPr>
          <w:noProof/>
        </w:rPr>
        <w:t xml:space="preserve"> </w:t>
      </w:r>
    </w:p>
    <w:p w14:paraId="478130C4" w14:textId="64C6A00B" w:rsidR="00470D07" w:rsidRPr="000C4F35" w:rsidRDefault="001678E4" w:rsidP="001678E4">
      <w:pPr>
        <w:pStyle w:val="ManualHeading2"/>
        <w:rPr>
          <w:noProof/>
        </w:rPr>
      </w:pPr>
      <w:bookmarkStart w:id="3" w:name="_Toc514938008"/>
      <w:bookmarkStart w:id="4" w:name="_Toc520485026"/>
      <w:r w:rsidRPr="001678E4">
        <w:t>1.1.</w:t>
      </w:r>
      <w:r w:rsidRPr="001678E4">
        <w:tab/>
      </w:r>
      <w:r w:rsidR="00470D07" w:rsidRPr="000C4F35">
        <w:rPr>
          <w:noProof/>
        </w:rPr>
        <w:t>Title of the proposal/initiative</w:t>
      </w:r>
      <w:bookmarkEnd w:id="3"/>
      <w:bookmarkEnd w:id="4"/>
    </w:p>
    <w:p w14:paraId="42389BC8"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 xml:space="preserve">Proposal for a Regulation of the European Parliament and of the Council amending Regulation (EU) No 904/2014 on improving securities settlement in the European Union and on central securities depositories and amending Directives 98/26/EC and 2014/65/EU and Regulation (EU) No 236/2012. </w:t>
      </w:r>
    </w:p>
    <w:p w14:paraId="10BD1390" w14:textId="79E51795" w:rsidR="00470D07" w:rsidRPr="000C4F35" w:rsidRDefault="001678E4" w:rsidP="001678E4">
      <w:pPr>
        <w:pStyle w:val="ManualHeading2"/>
        <w:rPr>
          <w:i/>
          <w:noProof/>
        </w:rPr>
      </w:pPr>
      <w:bookmarkStart w:id="5" w:name="_Toc514938011"/>
      <w:bookmarkStart w:id="6" w:name="_Toc520485027"/>
      <w:r w:rsidRPr="001678E4">
        <w:t>1.2.</w:t>
      </w:r>
      <w:r w:rsidRPr="001678E4">
        <w:tab/>
      </w:r>
      <w:r w:rsidR="00470D07" w:rsidRPr="000C4F35">
        <w:rPr>
          <w:noProof/>
        </w:rPr>
        <w:t>Policy area(s) concerned</w:t>
      </w:r>
      <w:bookmarkEnd w:id="5"/>
      <w:bookmarkEnd w:id="6"/>
      <w:r w:rsidR="00470D07" w:rsidRPr="000C4F35">
        <w:rPr>
          <w:i/>
          <w:noProof/>
        </w:rPr>
        <w:t xml:space="preserve"> </w:t>
      </w:r>
    </w:p>
    <w:p w14:paraId="40A42EDD" w14:textId="77777777" w:rsidR="00470D07" w:rsidRPr="000C4F35" w:rsidRDefault="00CF13F3" w:rsidP="00685329">
      <w:pPr>
        <w:pStyle w:val="Text1"/>
        <w:pBdr>
          <w:top w:val="single" w:sz="4" w:space="1" w:color="auto"/>
          <w:left w:val="single" w:sz="4" w:space="4" w:color="auto"/>
          <w:bottom w:val="single" w:sz="4" w:space="1" w:color="auto"/>
          <w:right w:val="single" w:sz="4" w:space="4" w:color="auto"/>
        </w:pBdr>
        <w:rPr>
          <w:noProof/>
          <w:color w:val="0000FF"/>
          <w:lang w:eastAsia="en-GB"/>
        </w:rPr>
      </w:pPr>
      <w:r w:rsidRPr="000C4F35">
        <w:rPr>
          <w:noProof/>
          <w:lang w:eastAsia="en-GB"/>
        </w:rPr>
        <w:t>Internal Market – Financial Services.</w:t>
      </w:r>
    </w:p>
    <w:p w14:paraId="75A6ACEC" w14:textId="178F921D" w:rsidR="00470D07" w:rsidRPr="000C4F35" w:rsidRDefault="001678E4" w:rsidP="001678E4">
      <w:pPr>
        <w:pStyle w:val="ManualHeading2"/>
        <w:rPr>
          <w:noProof/>
          <w:szCs w:val="24"/>
        </w:rPr>
      </w:pPr>
      <w:bookmarkStart w:id="7" w:name="_Toc514938014"/>
      <w:bookmarkStart w:id="8" w:name="_Toc520485028"/>
      <w:r w:rsidRPr="001678E4">
        <w:t>1.3.</w:t>
      </w:r>
      <w:r w:rsidRPr="001678E4">
        <w:tab/>
      </w:r>
      <w:r w:rsidR="00470D07" w:rsidRPr="000C4F35">
        <w:rPr>
          <w:noProof/>
        </w:rPr>
        <w:t>The proposal/initiative relates to:</w:t>
      </w:r>
      <w:bookmarkEnd w:id="7"/>
      <w:bookmarkEnd w:id="8"/>
      <w:r w:rsidR="00470D07" w:rsidRPr="000C4F35">
        <w:rPr>
          <w:noProof/>
        </w:rPr>
        <w:t xml:space="preserve"> </w:t>
      </w:r>
    </w:p>
    <w:p w14:paraId="1644D55E" w14:textId="77777777" w:rsidR="00470D07" w:rsidRPr="000C4F35" w:rsidRDefault="00CF13F3" w:rsidP="00685329">
      <w:pPr>
        <w:pStyle w:val="Text1"/>
        <w:rPr>
          <w:b/>
          <w:noProof/>
          <w:sz w:val="22"/>
        </w:rPr>
      </w:pPr>
      <w:r w:rsidRPr="000C4F35">
        <w:rPr>
          <w:rFonts w:eastAsia="Calibri"/>
          <w:noProof/>
          <w:lang w:eastAsia="en-GB"/>
        </w:rPr>
        <w:sym w:font="Wingdings" w:char="F0FD"/>
      </w:r>
      <w:r w:rsidR="00470D07" w:rsidRPr="000C4F35">
        <w:rPr>
          <w:b/>
          <w:i/>
          <w:noProof/>
          <w:sz w:val="22"/>
        </w:rPr>
        <w:t xml:space="preserve"> </w:t>
      </w:r>
      <w:r w:rsidR="00470D07" w:rsidRPr="000C4F35">
        <w:rPr>
          <w:b/>
          <w:noProof/>
        </w:rPr>
        <w:t>a new action</w:t>
      </w:r>
      <w:r w:rsidR="00470D07" w:rsidRPr="000C4F35">
        <w:rPr>
          <w:b/>
          <w:noProof/>
          <w:sz w:val="22"/>
        </w:rPr>
        <w:t xml:space="preserve"> </w:t>
      </w:r>
    </w:p>
    <w:p w14:paraId="69BA45E5" w14:textId="77777777" w:rsidR="00470D07" w:rsidRPr="000C4F35" w:rsidRDefault="00470D07" w:rsidP="00685329">
      <w:pPr>
        <w:pStyle w:val="Text1"/>
        <w:rPr>
          <w:noProof/>
          <w:sz w:val="22"/>
        </w:rPr>
      </w:pPr>
      <w:r w:rsidRPr="000C4F35">
        <w:rPr>
          <w:noProof/>
          <w:sz w:val="22"/>
        </w:rPr>
        <w:sym w:font="Wingdings" w:char="F0A8"/>
      </w:r>
      <w:r w:rsidRPr="000C4F35">
        <w:rPr>
          <w:i/>
          <w:noProof/>
          <w:sz w:val="22"/>
        </w:rPr>
        <w:t xml:space="preserve"> </w:t>
      </w:r>
      <w:r w:rsidRPr="000C4F35">
        <w:rPr>
          <w:b/>
          <w:noProof/>
        </w:rPr>
        <w:t>a new action following a pilot project/preparatory action</w:t>
      </w:r>
      <w:r w:rsidRPr="000C4F35">
        <w:rPr>
          <w:rStyle w:val="FootnoteReference"/>
          <w:b/>
          <w:noProof/>
        </w:rPr>
        <w:footnoteReference w:id="45"/>
      </w:r>
      <w:r w:rsidRPr="000C4F35">
        <w:rPr>
          <w:noProof/>
          <w:sz w:val="22"/>
        </w:rPr>
        <w:t xml:space="preserve"> </w:t>
      </w:r>
    </w:p>
    <w:p w14:paraId="2A185EB9" w14:textId="77777777" w:rsidR="00470D07" w:rsidRPr="000C4F35" w:rsidRDefault="00470D07" w:rsidP="00685329">
      <w:pPr>
        <w:pStyle w:val="Text1"/>
        <w:rPr>
          <w:noProof/>
          <w:sz w:val="22"/>
        </w:rPr>
      </w:pPr>
      <w:r w:rsidRPr="000C4F35">
        <w:rPr>
          <w:noProof/>
          <w:sz w:val="22"/>
        </w:rPr>
        <w:sym w:font="Wingdings" w:char="F0A8"/>
      </w:r>
      <w:r w:rsidRPr="000C4F35">
        <w:rPr>
          <w:i/>
          <w:noProof/>
          <w:sz w:val="22"/>
        </w:rPr>
        <w:t xml:space="preserve"> </w:t>
      </w:r>
      <w:r w:rsidRPr="000C4F35">
        <w:rPr>
          <w:b/>
          <w:noProof/>
        </w:rPr>
        <w:t>the extension of an existing action</w:t>
      </w:r>
      <w:r w:rsidRPr="000C4F35">
        <w:rPr>
          <w:noProof/>
          <w:sz w:val="22"/>
        </w:rPr>
        <w:t xml:space="preserve"> </w:t>
      </w:r>
    </w:p>
    <w:p w14:paraId="03F6B4B4" w14:textId="77777777" w:rsidR="00470D07" w:rsidRPr="000C4F35" w:rsidRDefault="00470D07" w:rsidP="00685329">
      <w:pPr>
        <w:pStyle w:val="Text1"/>
        <w:rPr>
          <w:noProof/>
        </w:rPr>
      </w:pPr>
      <w:r w:rsidRPr="000C4F35">
        <w:rPr>
          <w:noProof/>
          <w:sz w:val="22"/>
        </w:rPr>
        <w:sym w:font="Wingdings" w:char="F0A8"/>
      </w:r>
      <w:r w:rsidRPr="000C4F35">
        <w:rPr>
          <w:i/>
          <w:noProof/>
          <w:sz w:val="22"/>
        </w:rPr>
        <w:t xml:space="preserve"> </w:t>
      </w:r>
      <w:r w:rsidRPr="000C4F35">
        <w:rPr>
          <w:b/>
          <w:noProof/>
        </w:rPr>
        <w:t>a merger or redirection of one or more actions towards another/a new action</w:t>
      </w:r>
      <w:r w:rsidRPr="000C4F35">
        <w:rPr>
          <w:noProof/>
        </w:rPr>
        <w:t xml:space="preserve"> </w:t>
      </w:r>
    </w:p>
    <w:p w14:paraId="2A7F1A89" w14:textId="311F4465" w:rsidR="00470D07" w:rsidRPr="000C4F35" w:rsidRDefault="001678E4" w:rsidP="001678E4">
      <w:pPr>
        <w:pStyle w:val="ManualHeading2"/>
        <w:rPr>
          <w:noProof/>
          <w:szCs w:val="24"/>
        </w:rPr>
      </w:pPr>
      <w:bookmarkStart w:id="9" w:name="_Toc514938015"/>
      <w:bookmarkStart w:id="10" w:name="_Toc520485029"/>
      <w:r w:rsidRPr="001678E4">
        <w:t>1.4.</w:t>
      </w:r>
      <w:r w:rsidRPr="001678E4">
        <w:tab/>
      </w:r>
      <w:r w:rsidR="00470D07" w:rsidRPr="000C4F35">
        <w:rPr>
          <w:noProof/>
        </w:rPr>
        <w:t>Objective(s)</w:t>
      </w:r>
      <w:bookmarkEnd w:id="9"/>
      <w:bookmarkEnd w:id="10"/>
    </w:p>
    <w:p w14:paraId="6929B5A3" w14:textId="6AC20AA5" w:rsidR="00470D07" w:rsidRPr="000C4F35" w:rsidRDefault="001678E4" w:rsidP="001678E4">
      <w:pPr>
        <w:pStyle w:val="ManualHeading3"/>
        <w:rPr>
          <w:noProof/>
        </w:rPr>
      </w:pPr>
      <w:bookmarkStart w:id="11" w:name="_Toc514938016"/>
      <w:bookmarkStart w:id="12" w:name="_Toc520485030"/>
      <w:r w:rsidRPr="001678E4">
        <w:t>1.4.1.</w:t>
      </w:r>
      <w:r w:rsidRPr="001678E4">
        <w:tab/>
      </w:r>
      <w:r w:rsidR="00470D07" w:rsidRPr="000C4F35">
        <w:rPr>
          <w:noProof/>
        </w:rPr>
        <w:t>General objective(s)</w:t>
      </w:r>
      <w:bookmarkEnd w:id="11"/>
      <w:bookmarkEnd w:id="12"/>
    </w:p>
    <w:p w14:paraId="002A0D14" w14:textId="30BD6428"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bookmarkStart w:id="13" w:name="_Toc514938018"/>
      <w:bookmarkStart w:id="14" w:name="_Toc520485031"/>
      <w:r w:rsidRPr="000C4F35">
        <w:rPr>
          <w:noProof/>
          <w:lang w:eastAsia="en-GB"/>
        </w:rPr>
        <w:t xml:space="preserve">Contribute to a deeper and fairer internal market – create a more efficient and stable market for settlement in the EU. </w:t>
      </w:r>
    </w:p>
    <w:p w14:paraId="68446A17" w14:textId="2465A6F0" w:rsidR="00470D07" w:rsidRPr="000C4F35" w:rsidRDefault="001678E4" w:rsidP="001678E4">
      <w:pPr>
        <w:pStyle w:val="ManualHeading3"/>
        <w:rPr>
          <w:noProof/>
          <w:szCs w:val="24"/>
        </w:rPr>
      </w:pPr>
      <w:r w:rsidRPr="001678E4">
        <w:t>1.4.2.</w:t>
      </w:r>
      <w:r w:rsidRPr="001678E4">
        <w:tab/>
      </w:r>
      <w:r w:rsidR="00470D07" w:rsidRPr="000C4F35">
        <w:rPr>
          <w:noProof/>
        </w:rPr>
        <w:t>Specific objective(s)</w:t>
      </w:r>
      <w:bookmarkEnd w:id="13"/>
      <w:bookmarkEnd w:id="14"/>
    </w:p>
    <w:p w14:paraId="23A6EC8B"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bookmarkStart w:id="15" w:name="_Toc514938019"/>
      <w:bookmarkStart w:id="16" w:name="_Toc520485032"/>
      <w:r w:rsidRPr="000C4F35">
        <w:rPr>
          <w:noProof/>
          <w:lang w:eastAsia="en-GB"/>
        </w:rPr>
        <w:t>Specific objective No</w:t>
      </w:r>
    </w:p>
    <w:p w14:paraId="55CD5FD8"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This proposal has the following specific objectives to achieve the general objectives for the EU internal market for CSD services:</w:t>
      </w:r>
    </w:p>
    <w:p w14:paraId="42E2C905"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w:t>
      </w:r>
      <w:r w:rsidRPr="000C4F35">
        <w:rPr>
          <w:noProof/>
          <w:lang w:eastAsia="en-GB"/>
        </w:rPr>
        <w:tab/>
        <w:t>Reduce administrative burden and compliance costs, without endangering financial stability;</w:t>
      </w:r>
    </w:p>
    <w:p w14:paraId="11469FB5"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w:t>
      </w:r>
      <w:r w:rsidRPr="000C4F35">
        <w:rPr>
          <w:noProof/>
          <w:lang w:eastAsia="en-GB"/>
        </w:rPr>
        <w:tab/>
        <w:t>Minimise barriers to cross-border settlement;</w:t>
      </w:r>
    </w:p>
    <w:p w14:paraId="5D69A2E4"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w:t>
      </w:r>
      <w:r w:rsidRPr="000C4F35">
        <w:rPr>
          <w:noProof/>
          <w:lang w:eastAsia="en-GB"/>
        </w:rPr>
        <w:tab/>
        <w:t>Ensure adequate powers and information to monitor risks.</w:t>
      </w:r>
    </w:p>
    <w:p w14:paraId="389AF140" w14:textId="77777777" w:rsidR="00470D07" w:rsidRPr="000C4F35" w:rsidRDefault="00470D07" w:rsidP="00685329">
      <w:pPr>
        <w:pStyle w:val="Text1"/>
        <w:rPr>
          <w:noProof/>
        </w:rPr>
      </w:pPr>
      <w:r w:rsidRPr="000C4F35">
        <w:rPr>
          <w:noProof/>
        </w:rPr>
        <w:t>Expected result(s) and impact</w:t>
      </w:r>
      <w:bookmarkEnd w:id="15"/>
      <w:bookmarkEnd w:id="16"/>
    </w:p>
    <w:p w14:paraId="2B25F7B9" w14:textId="77777777" w:rsidR="00470D07" w:rsidRPr="000C4F35" w:rsidRDefault="00470D07" w:rsidP="00685329">
      <w:pPr>
        <w:pStyle w:val="Text1"/>
        <w:rPr>
          <w:i/>
          <w:noProof/>
          <w:sz w:val="20"/>
        </w:rPr>
      </w:pPr>
      <w:r w:rsidRPr="000C4F35">
        <w:rPr>
          <w:i/>
          <w:noProof/>
          <w:sz w:val="20"/>
        </w:rPr>
        <w:t>Specify the effects which the proposal/initiative should have on the beneficiaries/groups targeted.</w:t>
      </w:r>
    </w:p>
    <w:p w14:paraId="6A9D3505" w14:textId="7B8CFF8F"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bookmarkStart w:id="17" w:name="_Toc514938023"/>
      <w:bookmarkStart w:id="18" w:name="_Toc520485033"/>
      <w:r w:rsidRPr="000C4F35">
        <w:rPr>
          <w:noProof/>
          <w:lang w:eastAsia="en-GB"/>
        </w:rPr>
        <w:t xml:space="preserve">The proposal aims for more proportionate rules in the area of passporting, settlement discipline as well as in the area of banking services so that </w:t>
      </w:r>
      <w:r w:rsidR="004F18A6" w:rsidRPr="000C4F35">
        <w:rPr>
          <w:noProof/>
          <w:lang w:eastAsia="en-GB"/>
        </w:rPr>
        <w:t>market players</w:t>
      </w:r>
      <w:r w:rsidRPr="000C4F35">
        <w:rPr>
          <w:noProof/>
          <w:lang w:eastAsia="en-GB"/>
        </w:rPr>
        <w:t xml:space="preserve"> can benefit from enhanced cross-border provision of services, e</w:t>
      </w:r>
      <w:r w:rsidR="002E4B5F">
        <w:rPr>
          <w:noProof/>
          <w:lang w:eastAsia="en-GB"/>
        </w:rPr>
        <w:t>.</w:t>
      </w:r>
      <w:r w:rsidRPr="000C4F35">
        <w:rPr>
          <w:noProof/>
          <w:lang w:eastAsia="en-GB"/>
        </w:rPr>
        <w:t>g</w:t>
      </w:r>
      <w:r w:rsidR="002E4B5F">
        <w:rPr>
          <w:noProof/>
          <w:lang w:eastAsia="en-GB"/>
        </w:rPr>
        <w:t>.</w:t>
      </w:r>
      <w:r w:rsidRPr="000C4F35">
        <w:rPr>
          <w:noProof/>
          <w:lang w:eastAsia="en-GB"/>
        </w:rPr>
        <w:t xml:space="preserve"> in the area of foreign currency settlement and a more proportionate supervision, e</w:t>
      </w:r>
      <w:r w:rsidR="002E4B5F">
        <w:rPr>
          <w:noProof/>
          <w:lang w:eastAsia="en-GB"/>
        </w:rPr>
        <w:t>.</w:t>
      </w:r>
      <w:r w:rsidRPr="000C4F35">
        <w:rPr>
          <w:noProof/>
          <w:lang w:eastAsia="en-GB"/>
        </w:rPr>
        <w:t>g</w:t>
      </w:r>
      <w:r w:rsidR="002E4B5F">
        <w:rPr>
          <w:noProof/>
          <w:lang w:eastAsia="en-GB"/>
        </w:rPr>
        <w:t>.</w:t>
      </w:r>
      <w:r w:rsidRPr="000C4F35">
        <w:rPr>
          <w:noProof/>
          <w:lang w:eastAsia="en-GB"/>
        </w:rPr>
        <w:t xml:space="preserve"> colleges, third-country supervision as well as supervisory cooperation.</w:t>
      </w:r>
    </w:p>
    <w:p w14:paraId="2C07DF3A" w14:textId="722584D4" w:rsidR="00470D07" w:rsidRPr="000C4F35" w:rsidRDefault="001678E4" w:rsidP="001678E4">
      <w:pPr>
        <w:pStyle w:val="ManualHeading3"/>
        <w:rPr>
          <w:noProof/>
          <w:szCs w:val="24"/>
        </w:rPr>
      </w:pPr>
      <w:r w:rsidRPr="001678E4">
        <w:t>1.4.3.</w:t>
      </w:r>
      <w:r w:rsidRPr="001678E4">
        <w:tab/>
      </w:r>
      <w:r w:rsidR="00470D07" w:rsidRPr="000C4F35">
        <w:rPr>
          <w:noProof/>
        </w:rPr>
        <w:t>Indicators of performance</w:t>
      </w:r>
      <w:bookmarkEnd w:id="17"/>
      <w:bookmarkEnd w:id="18"/>
    </w:p>
    <w:p w14:paraId="450B88D0" w14:textId="77777777" w:rsidR="00470D07" w:rsidRPr="000C4F35" w:rsidRDefault="00470D07" w:rsidP="00685329">
      <w:pPr>
        <w:pStyle w:val="Text1"/>
        <w:rPr>
          <w:i/>
          <w:noProof/>
          <w:sz w:val="20"/>
        </w:rPr>
      </w:pPr>
      <w:r w:rsidRPr="000C4F35">
        <w:rPr>
          <w:i/>
          <w:noProof/>
          <w:sz w:val="20"/>
        </w:rPr>
        <w:t>Specify the indicators for monitoring progress and achievements.</w:t>
      </w:r>
    </w:p>
    <w:p w14:paraId="668C7E1C"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 xml:space="preserve">For each specific objective the following performance indicators have been set. </w:t>
      </w:r>
    </w:p>
    <w:p w14:paraId="390ABB5D" w14:textId="6E1AF018"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u w:val="single"/>
          <w:lang w:eastAsia="en-GB"/>
        </w:rPr>
      </w:pPr>
      <w:r w:rsidRPr="000C4F35">
        <w:rPr>
          <w:noProof/>
          <w:u w:val="single"/>
          <w:lang w:eastAsia="en-GB"/>
        </w:rPr>
        <w:t>Reduce administrative burden and compliance costs (by ESMA):</w:t>
      </w:r>
    </w:p>
    <w:p w14:paraId="6BC2B3D4"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w:t>
      </w:r>
      <w:r w:rsidRPr="000C4F35">
        <w:rPr>
          <w:noProof/>
          <w:lang w:eastAsia="en-GB"/>
        </w:rPr>
        <w:tab/>
        <w:t>EU settlement efficiency rates.</w:t>
      </w:r>
    </w:p>
    <w:p w14:paraId="2779AC13"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w:t>
      </w:r>
      <w:r w:rsidRPr="000C4F35">
        <w:rPr>
          <w:noProof/>
          <w:lang w:eastAsia="en-GB"/>
        </w:rPr>
        <w:tab/>
        <w:t xml:space="preserve">Average (no. of days) duration of settlement fails. </w:t>
      </w:r>
    </w:p>
    <w:p w14:paraId="01CB29A6"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w:t>
      </w:r>
      <w:r w:rsidRPr="000C4F35">
        <w:rPr>
          <w:noProof/>
          <w:lang w:eastAsia="en-GB"/>
        </w:rPr>
        <w:tab/>
        <w:t>Number of CSDs providing cross-border services, able to access banking services, providing foreign currency settlement, able to use the exception under the threshold.</w:t>
      </w:r>
    </w:p>
    <w:p w14:paraId="6A09897D"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w:t>
      </w:r>
      <w:r w:rsidRPr="000C4F35">
        <w:rPr>
          <w:noProof/>
          <w:lang w:eastAsia="en-GB"/>
        </w:rPr>
        <w:tab/>
        <w:t>Number of countries in which CSDs provide cross-border services.</w:t>
      </w:r>
    </w:p>
    <w:p w14:paraId="0AEC657F"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u w:val="single"/>
          <w:lang w:eastAsia="en-GB"/>
        </w:rPr>
      </w:pPr>
      <w:r w:rsidRPr="000C4F35">
        <w:rPr>
          <w:noProof/>
          <w:u w:val="single"/>
          <w:lang w:eastAsia="en-GB"/>
        </w:rPr>
        <w:t xml:space="preserve">Minimise barriers to cross-border settlement (by ESMA, ESCB, CSDs): </w:t>
      </w:r>
    </w:p>
    <w:p w14:paraId="29FE5E87"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w:t>
      </w:r>
      <w:r w:rsidRPr="000C4F35">
        <w:rPr>
          <w:noProof/>
          <w:lang w:eastAsia="en-GB"/>
        </w:rPr>
        <w:tab/>
        <w:t>Number of CSDs providing cross-border services, able to access banking services, providing foreign currency settlement, able to use the exception under the threshold.</w:t>
      </w:r>
    </w:p>
    <w:p w14:paraId="1E7D2D06"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w:t>
      </w:r>
      <w:r w:rsidRPr="000C4F35">
        <w:rPr>
          <w:noProof/>
          <w:lang w:eastAsia="en-GB"/>
        </w:rPr>
        <w:tab/>
        <w:t>Number of countries in which CSDs provide cross-border services.</w:t>
      </w:r>
    </w:p>
    <w:p w14:paraId="4334F9B3"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w:t>
      </w:r>
      <w:r w:rsidRPr="000C4F35">
        <w:rPr>
          <w:noProof/>
          <w:lang w:eastAsia="en-GB"/>
        </w:rPr>
        <w:tab/>
        <w:t xml:space="preserve">Growth of foreign currency settlement. </w:t>
      </w:r>
    </w:p>
    <w:p w14:paraId="625C1C8B"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u w:val="single"/>
          <w:lang w:eastAsia="en-GB"/>
        </w:rPr>
      </w:pPr>
      <w:r w:rsidRPr="000C4F35">
        <w:rPr>
          <w:noProof/>
          <w:u w:val="single"/>
          <w:lang w:eastAsia="en-GB"/>
        </w:rPr>
        <w:t>Ensure adequate powers and information to monitor risks (by ESMA):</w:t>
      </w:r>
    </w:p>
    <w:p w14:paraId="02BFFC82"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w:t>
      </w:r>
      <w:r w:rsidRPr="000C4F35">
        <w:rPr>
          <w:noProof/>
          <w:lang w:eastAsia="en-GB"/>
        </w:rPr>
        <w:tab/>
        <w:t>Number of 3rd country CSDs that have applied for recognition.</w:t>
      </w:r>
    </w:p>
    <w:p w14:paraId="1A46ABF2"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w:t>
      </w:r>
      <w:r w:rsidRPr="000C4F35">
        <w:rPr>
          <w:noProof/>
          <w:lang w:eastAsia="en-GB"/>
        </w:rPr>
        <w:tab/>
        <w:t>Number of colleges established by EU CSDs.</w:t>
      </w:r>
    </w:p>
    <w:p w14:paraId="243F168B" w14:textId="7804FB31" w:rsidR="00470D07" w:rsidRPr="000C4F35" w:rsidRDefault="001678E4" w:rsidP="001678E4">
      <w:pPr>
        <w:pStyle w:val="ManualHeading2"/>
        <w:rPr>
          <w:noProof/>
          <w:szCs w:val="24"/>
        </w:rPr>
      </w:pPr>
      <w:bookmarkStart w:id="19" w:name="_Toc514938025"/>
      <w:bookmarkStart w:id="20" w:name="_Toc520485034"/>
      <w:r w:rsidRPr="001678E4">
        <w:t>1.5.</w:t>
      </w:r>
      <w:r w:rsidRPr="001678E4">
        <w:tab/>
      </w:r>
      <w:r w:rsidR="00470D07" w:rsidRPr="000C4F35">
        <w:rPr>
          <w:noProof/>
        </w:rPr>
        <w:t>Grounds for the proposal/initiative</w:t>
      </w:r>
      <w:bookmarkEnd w:id="19"/>
      <w:bookmarkEnd w:id="20"/>
      <w:r w:rsidR="00470D07" w:rsidRPr="000C4F35">
        <w:rPr>
          <w:noProof/>
        </w:rPr>
        <w:t xml:space="preserve"> </w:t>
      </w:r>
    </w:p>
    <w:p w14:paraId="2350A2BF" w14:textId="520DD72F" w:rsidR="00470D07" w:rsidRPr="000C4F35" w:rsidRDefault="001678E4" w:rsidP="001678E4">
      <w:pPr>
        <w:pStyle w:val="ManualHeading3"/>
        <w:rPr>
          <w:noProof/>
        </w:rPr>
      </w:pPr>
      <w:bookmarkStart w:id="21" w:name="_Toc514938026"/>
      <w:bookmarkStart w:id="22" w:name="_Toc520485035"/>
      <w:r w:rsidRPr="001678E4">
        <w:t>1.5.1.</w:t>
      </w:r>
      <w:r w:rsidRPr="001678E4">
        <w:tab/>
      </w:r>
      <w:r w:rsidR="00470D07" w:rsidRPr="000C4F35">
        <w:rPr>
          <w:noProof/>
        </w:rPr>
        <w:t>Requirement(s) to be met in the short or long term including a detailed timeline for roll-out of the implementation of the initiative</w:t>
      </w:r>
      <w:bookmarkEnd w:id="21"/>
      <w:bookmarkEnd w:id="22"/>
    </w:p>
    <w:p w14:paraId="67804177" w14:textId="6950187C"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bookmarkStart w:id="23" w:name="_Toc514938029"/>
      <w:bookmarkStart w:id="24" w:name="_Toc520485036"/>
      <w:r w:rsidRPr="000C4F35">
        <w:rPr>
          <w:noProof/>
          <w:lang w:eastAsia="en-GB"/>
        </w:rPr>
        <w:t xml:space="preserve">The evaluation of the CSDR after </w:t>
      </w:r>
      <w:r w:rsidR="004F18A6" w:rsidRPr="000C4F35">
        <w:rPr>
          <w:noProof/>
          <w:lang w:eastAsia="en-GB"/>
        </w:rPr>
        <w:t>approximately</w:t>
      </w:r>
      <w:r w:rsidRPr="000C4F35">
        <w:rPr>
          <w:noProof/>
          <w:lang w:eastAsia="en-GB"/>
        </w:rPr>
        <w:t xml:space="preserve"> 5 years after its introduction in 2014 has revealed that although settlement has increased significantly in the EU, cross border settlement has experienced relative slower growth, mainly due to sub-optimal foreign currency settlement and otherwise restrictive requirements. In addition, supervisory tools and possibilities should keep pace with risks in the EU market, such as third</w:t>
      </w:r>
      <w:r w:rsidR="00614F13">
        <w:rPr>
          <w:noProof/>
          <w:lang w:eastAsia="en-GB"/>
        </w:rPr>
        <w:t>-</w:t>
      </w:r>
      <w:r w:rsidRPr="000C4F35">
        <w:rPr>
          <w:noProof/>
          <w:lang w:eastAsia="en-GB"/>
        </w:rPr>
        <w:t>country CSDs that to date benefit form grandfathering from the recognition requirement.</w:t>
      </w:r>
    </w:p>
    <w:p w14:paraId="3E5C6865"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color w:val="0000FF"/>
          <w:lang w:eastAsia="en-GB"/>
        </w:rPr>
      </w:pPr>
      <w:r w:rsidRPr="000C4F35">
        <w:rPr>
          <w:noProof/>
          <w:lang w:eastAsia="en-GB"/>
        </w:rPr>
        <w:t>With the implementation of this proposal including its potential further development in level 2, the mainly more proportionate requirements are expected to be absorbed by both the supervisory community as well as the market around one year after agreement by the co-legislators and its entry into force.</w:t>
      </w:r>
    </w:p>
    <w:p w14:paraId="7A1DAF53" w14:textId="0288B82A" w:rsidR="00470D07" w:rsidRPr="000C4F35" w:rsidRDefault="001678E4" w:rsidP="001678E4">
      <w:pPr>
        <w:pStyle w:val="ManualHeading3"/>
        <w:rPr>
          <w:noProof/>
          <w:szCs w:val="24"/>
        </w:rPr>
      </w:pPr>
      <w:r w:rsidRPr="001678E4">
        <w:t>1.5.2.</w:t>
      </w:r>
      <w:r w:rsidRPr="001678E4">
        <w:tab/>
      </w:r>
      <w:r w:rsidR="00470D07" w:rsidRPr="000C4F35">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23"/>
      <w:bookmarkEnd w:id="24"/>
    </w:p>
    <w:p w14:paraId="5FDBEBAD"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bookmarkStart w:id="25" w:name="_Toc514938030"/>
      <w:bookmarkStart w:id="26" w:name="_Toc520485037"/>
      <w:r w:rsidRPr="000C4F35">
        <w:rPr>
          <w:noProof/>
          <w:lang w:eastAsia="en-GB"/>
        </w:rPr>
        <w:t>Reasons for action at European level (ex-ante)</w:t>
      </w:r>
    </w:p>
    <w:p w14:paraId="12ED34AD"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The EU settlement market is an inseparable part of the EU financial market. As such</w:t>
      </w:r>
      <w:r w:rsidR="00D269E9" w:rsidRPr="000C4F35">
        <w:rPr>
          <w:noProof/>
          <w:lang w:eastAsia="en-GB"/>
        </w:rPr>
        <w:t>,</w:t>
      </w:r>
      <w:r w:rsidRPr="000C4F35">
        <w:rPr>
          <w:noProof/>
          <w:lang w:eastAsia="en-GB"/>
        </w:rPr>
        <w:t xml:space="preserve"> EU action should ensure that CSDR’s regulatory requirements are more effective, efficient and proportionate, are applied uniformly, and guarantee a sound and consistent regulatory framework for securities settlement in the EU and the operations of CSDs. The EU settlement market is, together with EU financial market, an essential foundation stone for the development of CMU as well as to ensure a safe and efficient single market for financial services.</w:t>
      </w:r>
    </w:p>
    <w:p w14:paraId="7C2CCE31" w14:textId="1A79B2AC"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 xml:space="preserve">Expected generated Union added value (ex-post) </w:t>
      </w:r>
    </w:p>
    <w:p w14:paraId="5DEF2097"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 xml:space="preserve">The objectives of CSDR, namely to lay down uniform requirements for the settlement of financial instruments in the EU and rules on the organisation and conduct of CSDs, to promote safe, efficient and smooth settlement are an essential building block for a successful EU financial internal market, already given the cross – border component. Member States and national supervisors cannot solve on their own the promoting or facilitating of cross-border settlement, let alone the </w:t>
      </w:r>
      <w:r w:rsidR="00D269E9" w:rsidRPr="000C4F35">
        <w:rPr>
          <w:noProof/>
          <w:lang w:eastAsia="en-GB"/>
        </w:rPr>
        <w:t>framework for</w:t>
      </w:r>
      <w:r w:rsidRPr="000C4F35">
        <w:rPr>
          <w:noProof/>
          <w:lang w:eastAsia="en-GB"/>
        </w:rPr>
        <w:t xml:space="preserve"> third</w:t>
      </w:r>
      <w:r w:rsidR="00D269E9" w:rsidRPr="000C4F35">
        <w:rPr>
          <w:noProof/>
          <w:lang w:eastAsia="en-GB"/>
        </w:rPr>
        <w:t>-</w:t>
      </w:r>
      <w:r w:rsidRPr="000C4F35">
        <w:rPr>
          <w:noProof/>
          <w:lang w:eastAsia="en-GB"/>
        </w:rPr>
        <w:t>country CSDs. The 2020 CMU Action Plan explicitly acknowledged that amending CSDR could help develop a more integrated post-trading landscape in the EU and thus contribute to the development of CMU.</w:t>
      </w:r>
    </w:p>
    <w:p w14:paraId="39C2252F" w14:textId="4061C9D5" w:rsidR="00470D07" w:rsidRPr="000C4F35" w:rsidRDefault="001678E4" w:rsidP="001678E4">
      <w:pPr>
        <w:pStyle w:val="ManualHeading3"/>
        <w:rPr>
          <w:noProof/>
        </w:rPr>
      </w:pPr>
      <w:r w:rsidRPr="001678E4">
        <w:t>1.5.3.</w:t>
      </w:r>
      <w:r w:rsidRPr="001678E4">
        <w:tab/>
      </w:r>
      <w:r w:rsidR="00470D07" w:rsidRPr="000C4F35">
        <w:rPr>
          <w:noProof/>
        </w:rPr>
        <w:t>Lessons learned from similar experiences in the past</w:t>
      </w:r>
      <w:bookmarkEnd w:id="25"/>
      <w:bookmarkEnd w:id="26"/>
    </w:p>
    <w:p w14:paraId="68195E3A"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bookmarkStart w:id="27" w:name="_Toc514938033"/>
      <w:bookmarkStart w:id="28" w:name="_Toc520485038"/>
      <w:r w:rsidRPr="000C4F35">
        <w:rPr>
          <w:noProof/>
          <w:lang w:eastAsia="en-GB"/>
        </w:rPr>
        <w:t xml:space="preserve">This proposal takes into account experiences from other, similar legislative packages in the field of financial services. For instance, passporting is a well-known tried and tested topic in other areas of financial services. Similarly, third-country regimes are also in effect in other financial services areas as are colleges of supervisors; these past experiences are taken into account in the design of the new proposed requirements. </w:t>
      </w:r>
    </w:p>
    <w:p w14:paraId="3040D553" w14:textId="3415B8DD" w:rsidR="00470D07" w:rsidRPr="000C4F35" w:rsidRDefault="001678E4" w:rsidP="001678E4">
      <w:pPr>
        <w:pStyle w:val="ManualHeading3"/>
        <w:rPr>
          <w:noProof/>
        </w:rPr>
      </w:pPr>
      <w:r w:rsidRPr="001678E4">
        <w:t>1.5.4.</w:t>
      </w:r>
      <w:r w:rsidRPr="001678E4">
        <w:tab/>
      </w:r>
      <w:r w:rsidR="00470D07" w:rsidRPr="000C4F35">
        <w:rPr>
          <w:noProof/>
        </w:rPr>
        <w:t>Compatibility with the Multiannual Financial Framework and possible synergies with other appropriate instruments</w:t>
      </w:r>
      <w:bookmarkEnd w:id="27"/>
      <w:bookmarkEnd w:id="28"/>
    </w:p>
    <w:p w14:paraId="4244AD77" w14:textId="6CB8165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bookmarkStart w:id="29" w:name="_Toc514938036"/>
      <w:bookmarkStart w:id="30" w:name="_Toc520485039"/>
      <w:r w:rsidRPr="000C4F35">
        <w:rPr>
          <w:noProof/>
          <w:lang w:eastAsia="en-GB"/>
        </w:rPr>
        <w:t xml:space="preserve">This proposal and its specific requirements are in line with the current arrangements for financial services within the MFF and aligned with standard practices of putting the EU budget to work and in line with current DG FISMA practices in planning and budgeting for new proposals. </w:t>
      </w:r>
    </w:p>
    <w:p w14:paraId="5FBF7FAD" w14:textId="1AA42E3E"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In addition, the objectives of the initiative are consistent with a number of other EU policies and ongoing initiatives that aim to: (i) develop the CMU and (ii) enhance the efficiency and effectiveness of EU-level supervis</w:t>
      </w:r>
      <w:r w:rsidR="001303C2">
        <w:rPr>
          <w:noProof/>
          <w:lang w:eastAsia="en-GB"/>
        </w:rPr>
        <w:t>ory coordination</w:t>
      </w:r>
      <w:r w:rsidRPr="000C4F35">
        <w:rPr>
          <w:noProof/>
          <w:lang w:eastAsia="en-GB"/>
        </w:rPr>
        <w:t xml:space="preserve">, both within and outside the EU. </w:t>
      </w:r>
    </w:p>
    <w:p w14:paraId="5091FAB2" w14:textId="4FD1D915" w:rsidR="00CF13F3"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First, it is consistent with the Commission's ongoing efforts to further develop the Capital Markets Union ('CMU'). Further supervisory convergence of settlement markets can support the development of deeper and better integrated capital markets, as more efficient and resilient CSDs are essential elements for the well-functioning of CMU. The urgency of further developing and integrating EU capital markets was stressed in the Action Plan on CMU of September 2020. Conversely, the emergence of larger and more liquid financial markets implied by CMU will result in even more transactions being settled through CSDs, and will further increase the systemic relevance of CSDs. Given the potential for increased volumes, further enhancements of the supervisory framework are required in order to ensure a strong and stable CMU.</w:t>
      </w:r>
    </w:p>
    <w:p w14:paraId="4081E0E8" w14:textId="438D7B0E" w:rsidR="006B0223" w:rsidRPr="000C4F35" w:rsidRDefault="006B0223" w:rsidP="00685329">
      <w:pPr>
        <w:pStyle w:val="Text1"/>
        <w:pBdr>
          <w:top w:val="single" w:sz="4" w:space="1" w:color="auto"/>
          <w:left w:val="single" w:sz="4" w:space="4" w:color="auto"/>
          <w:bottom w:val="single" w:sz="4" w:space="1" w:color="auto"/>
          <w:right w:val="single" w:sz="4" w:space="4" w:color="auto"/>
        </w:pBdr>
        <w:rPr>
          <w:noProof/>
          <w:lang w:eastAsia="en-GB"/>
        </w:rPr>
      </w:pPr>
      <w:r>
        <w:rPr>
          <w:noProof/>
          <w:lang w:eastAsia="en-GB"/>
        </w:rPr>
        <w:t xml:space="preserve">Furthermore, it is consistent with Action 16 of the 2020 CMU Action Plan which underlined that the Commission </w:t>
      </w:r>
      <w:r w:rsidRPr="006B0223">
        <w:rPr>
          <w:noProof/>
          <w:lang w:eastAsia="en-GB"/>
        </w:rPr>
        <w:t>will work towards an enhanced single rulebook for capital markets by assessing the need for further harmonisation of EU rules and monitoring progress towards supervisory convergence</w:t>
      </w:r>
      <w:r>
        <w:rPr>
          <w:noProof/>
          <w:lang w:eastAsia="en-GB"/>
        </w:rPr>
        <w:t xml:space="preserve"> noting that the Commission may</w:t>
      </w:r>
      <w:r w:rsidRPr="006B0223">
        <w:rPr>
          <w:noProof/>
          <w:lang w:eastAsia="en-GB"/>
        </w:rPr>
        <w:t xml:space="preserve"> consider proposing</w:t>
      </w:r>
      <w:r>
        <w:rPr>
          <w:noProof/>
          <w:lang w:eastAsia="en-GB"/>
        </w:rPr>
        <w:t>, amongst others,</w:t>
      </w:r>
      <w:r w:rsidRPr="006B0223">
        <w:rPr>
          <w:noProof/>
          <w:lang w:eastAsia="en-GB"/>
        </w:rPr>
        <w:t xml:space="preserve"> measures for stronger supervisory coordination by the European Supervisory Authorities.</w:t>
      </w:r>
    </w:p>
    <w:p w14:paraId="0B4B5942" w14:textId="051C8845"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w:t>
      </w:r>
    </w:p>
    <w:p w14:paraId="64ABDD3D" w14:textId="0394DF42"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 xml:space="preserve">Third, it is consistent with </w:t>
      </w:r>
      <w:r w:rsidR="00DD6502">
        <w:rPr>
          <w:noProof/>
          <w:lang w:eastAsia="en-GB"/>
        </w:rPr>
        <w:t xml:space="preserve">the Commission equivalence policy with non-EU countries as set out in the 2019 Commission Communication on equivalence in the area of financial services. </w:t>
      </w:r>
      <w:r w:rsidRPr="000C4F35">
        <w:rPr>
          <w:noProof/>
          <w:lang w:eastAsia="en-GB"/>
        </w:rPr>
        <w:t xml:space="preserve">. </w:t>
      </w:r>
    </w:p>
    <w:p w14:paraId="30536A11" w14:textId="03642615" w:rsidR="00470D07" w:rsidRPr="000C4F35" w:rsidRDefault="001678E4" w:rsidP="001678E4">
      <w:pPr>
        <w:pStyle w:val="ManualHeading3"/>
        <w:rPr>
          <w:noProof/>
        </w:rPr>
      </w:pPr>
      <w:r w:rsidRPr="001678E4">
        <w:t>1.5.5.</w:t>
      </w:r>
      <w:r w:rsidRPr="001678E4">
        <w:tab/>
      </w:r>
      <w:r w:rsidR="00470D07" w:rsidRPr="000C4F35">
        <w:rPr>
          <w:noProof/>
        </w:rPr>
        <w:t>Assessment of the different available financing options, including scope for redeployment</w:t>
      </w:r>
      <w:bookmarkEnd w:id="29"/>
      <w:bookmarkEnd w:id="30"/>
    </w:p>
    <w:p w14:paraId="0B18E027" w14:textId="77777777" w:rsidR="00470D07" w:rsidRPr="000C4F35" w:rsidRDefault="00CF13F3" w:rsidP="00685329">
      <w:pPr>
        <w:pStyle w:val="Text1"/>
        <w:pBdr>
          <w:top w:val="single" w:sz="4" w:space="1" w:color="auto"/>
          <w:left w:val="single" w:sz="4" w:space="4" w:color="auto"/>
          <w:bottom w:val="single" w:sz="4" w:space="1" w:color="auto"/>
          <w:right w:val="single" w:sz="4" w:space="4" w:color="auto"/>
        </w:pBdr>
        <w:rPr>
          <w:noProof/>
        </w:rPr>
      </w:pPr>
      <w:r w:rsidRPr="000C4F35">
        <w:rPr>
          <w:noProof/>
        </w:rPr>
        <w:t>N/A</w:t>
      </w:r>
    </w:p>
    <w:p w14:paraId="545BE0B4" w14:textId="07A94261" w:rsidR="00470D07" w:rsidRPr="000C4F35" w:rsidRDefault="00470D07" w:rsidP="001678E4">
      <w:pPr>
        <w:pStyle w:val="ManualHeading2"/>
        <w:rPr>
          <w:noProof/>
          <w:szCs w:val="24"/>
        </w:rPr>
      </w:pPr>
      <w:r w:rsidRPr="000C4F35">
        <w:rPr>
          <w:noProof/>
        </w:rPr>
        <w:br w:type="page"/>
      </w:r>
      <w:bookmarkStart w:id="31" w:name="_Toc514938039"/>
      <w:bookmarkStart w:id="32" w:name="_Toc520485040"/>
      <w:r w:rsidR="001678E4" w:rsidRPr="001678E4">
        <w:t>1.6.</w:t>
      </w:r>
      <w:r w:rsidR="001678E4" w:rsidRPr="001678E4">
        <w:tab/>
      </w:r>
      <w:r w:rsidRPr="000C4F35">
        <w:rPr>
          <w:noProof/>
        </w:rPr>
        <w:t>Duration and financial impact of the proposal/initiative</w:t>
      </w:r>
      <w:bookmarkEnd w:id="31"/>
      <w:bookmarkEnd w:id="32"/>
    </w:p>
    <w:p w14:paraId="63C83D7E" w14:textId="77777777" w:rsidR="00470D07" w:rsidRPr="000C4F35" w:rsidRDefault="00470D07" w:rsidP="00685329">
      <w:pPr>
        <w:pStyle w:val="Text1"/>
        <w:rPr>
          <w:noProof/>
        </w:rPr>
      </w:pPr>
      <w:r w:rsidRPr="000C4F35">
        <w:rPr>
          <w:noProof/>
        </w:rPr>
        <w:sym w:font="Wingdings" w:char="F0A8"/>
      </w:r>
      <w:r w:rsidRPr="000C4F35">
        <w:rPr>
          <w:b/>
          <w:i/>
          <w:noProof/>
        </w:rPr>
        <w:t xml:space="preserve"> </w:t>
      </w:r>
      <w:r w:rsidRPr="000C4F35">
        <w:rPr>
          <w:b/>
          <w:noProof/>
        </w:rPr>
        <w:t xml:space="preserve">limited duration </w:t>
      </w:r>
    </w:p>
    <w:p w14:paraId="13EBFE64" w14:textId="77777777" w:rsidR="00470D07" w:rsidRPr="000C4F35" w:rsidRDefault="00470D07" w:rsidP="00685329">
      <w:pPr>
        <w:pStyle w:val="ListDash2"/>
        <w:rPr>
          <w:noProof/>
        </w:rPr>
      </w:pPr>
      <w:r w:rsidRPr="000C4F35">
        <w:rPr>
          <w:noProof/>
        </w:rPr>
        <w:sym w:font="Wingdings" w:char="F0A8"/>
      </w:r>
      <w:r w:rsidRPr="000C4F35">
        <w:rPr>
          <w:noProof/>
        </w:rPr>
        <w:tab/>
        <w:t xml:space="preserve">in effect from [DD/MM]YYYY to [DD/MM]YYYY </w:t>
      </w:r>
    </w:p>
    <w:p w14:paraId="5F8B0038" w14:textId="77777777" w:rsidR="00470D07" w:rsidRPr="000C4F35" w:rsidRDefault="00470D07" w:rsidP="00685329">
      <w:pPr>
        <w:pStyle w:val="ListDash2"/>
        <w:rPr>
          <w:noProof/>
        </w:rPr>
      </w:pPr>
      <w:r w:rsidRPr="000C4F35">
        <w:rPr>
          <w:noProof/>
        </w:rPr>
        <w:sym w:font="Wingdings" w:char="F0A8"/>
      </w:r>
      <w:r w:rsidRPr="000C4F35">
        <w:rPr>
          <w:noProof/>
        </w:rPr>
        <w:tab/>
        <w:t xml:space="preserve">Financial impact from YYYY to YYYY for commitment appropriations and from YYYY to YYYY for payment appropriations. </w:t>
      </w:r>
    </w:p>
    <w:p w14:paraId="72943F87" w14:textId="77777777" w:rsidR="00470D07" w:rsidRPr="000C4F35" w:rsidRDefault="00CF13F3" w:rsidP="00685329">
      <w:pPr>
        <w:pStyle w:val="Text1"/>
        <w:rPr>
          <w:noProof/>
        </w:rPr>
      </w:pPr>
      <w:r w:rsidRPr="000C4F35">
        <w:rPr>
          <w:rFonts w:eastAsia="Calibri"/>
          <w:noProof/>
          <w:lang w:eastAsia="en-GB"/>
        </w:rPr>
        <w:sym w:font="Wingdings" w:char="F0FD"/>
      </w:r>
      <w:r w:rsidR="00470D07" w:rsidRPr="000C4F35">
        <w:rPr>
          <w:b/>
          <w:i/>
          <w:noProof/>
        </w:rPr>
        <w:t xml:space="preserve"> </w:t>
      </w:r>
      <w:r w:rsidR="00470D07" w:rsidRPr="000C4F35">
        <w:rPr>
          <w:b/>
          <w:noProof/>
        </w:rPr>
        <w:t>unlimited duration</w:t>
      </w:r>
    </w:p>
    <w:p w14:paraId="3C56206B" w14:textId="77777777" w:rsidR="00470D07" w:rsidRPr="000C4F35" w:rsidRDefault="00470D07" w:rsidP="00685329">
      <w:pPr>
        <w:pStyle w:val="ListDash1"/>
        <w:rPr>
          <w:noProof/>
        </w:rPr>
      </w:pPr>
      <w:r w:rsidRPr="000C4F35">
        <w:rPr>
          <w:noProof/>
        </w:rPr>
        <w:t>Implementation with a start-up period from YYYY to YYYY,</w:t>
      </w:r>
    </w:p>
    <w:p w14:paraId="4F2684CF" w14:textId="77777777" w:rsidR="00470D07" w:rsidRPr="000C4F35" w:rsidRDefault="00470D07" w:rsidP="00685329">
      <w:pPr>
        <w:pStyle w:val="ListDash1"/>
        <w:rPr>
          <w:noProof/>
        </w:rPr>
      </w:pPr>
      <w:r w:rsidRPr="000C4F35">
        <w:rPr>
          <w:noProof/>
        </w:rPr>
        <w:t>followed by full-scale operation.</w:t>
      </w:r>
    </w:p>
    <w:p w14:paraId="13C1CE2C" w14:textId="3DD3F6A1" w:rsidR="00470D07" w:rsidRPr="000C4F35" w:rsidRDefault="001678E4" w:rsidP="001678E4">
      <w:pPr>
        <w:pStyle w:val="ManualHeading2"/>
        <w:rPr>
          <w:noProof/>
          <w:szCs w:val="24"/>
        </w:rPr>
      </w:pPr>
      <w:bookmarkStart w:id="33" w:name="_Toc514938040"/>
      <w:bookmarkStart w:id="34" w:name="_Toc520485041"/>
      <w:r w:rsidRPr="001678E4">
        <w:t>1.7.</w:t>
      </w:r>
      <w:r w:rsidRPr="001678E4">
        <w:tab/>
      </w:r>
      <w:r w:rsidR="00470D07" w:rsidRPr="000C4F35">
        <w:rPr>
          <w:noProof/>
        </w:rPr>
        <w:t>Management mode(s) planned</w:t>
      </w:r>
      <w:r w:rsidR="00470D07" w:rsidRPr="000C4F35">
        <w:rPr>
          <w:rStyle w:val="FootnoteReference"/>
          <w:noProof/>
        </w:rPr>
        <w:footnoteReference w:id="46"/>
      </w:r>
      <w:bookmarkEnd w:id="33"/>
      <w:bookmarkEnd w:id="34"/>
      <w:r w:rsidR="00470D07" w:rsidRPr="000C4F35">
        <w:rPr>
          <w:rStyle w:val="FootnoteReference"/>
          <w:noProof/>
        </w:rPr>
        <w:t xml:space="preserve"> </w:t>
      </w:r>
    </w:p>
    <w:p w14:paraId="0D0F20B7" w14:textId="77777777" w:rsidR="00470D07" w:rsidRPr="000C4F35" w:rsidRDefault="00470D07" w:rsidP="00685329">
      <w:pPr>
        <w:pStyle w:val="Text1"/>
        <w:rPr>
          <w:noProof/>
        </w:rPr>
      </w:pPr>
      <w:r w:rsidRPr="000C4F35">
        <w:rPr>
          <w:noProof/>
        </w:rPr>
        <w:sym w:font="Wingdings" w:char="F0A8"/>
      </w:r>
      <w:r w:rsidRPr="000C4F35">
        <w:rPr>
          <w:i/>
          <w:noProof/>
        </w:rPr>
        <w:t xml:space="preserve"> </w:t>
      </w:r>
      <w:r w:rsidRPr="000C4F35">
        <w:rPr>
          <w:b/>
          <w:noProof/>
        </w:rPr>
        <w:t>Direct management</w:t>
      </w:r>
      <w:r w:rsidRPr="000C4F35">
        <w:rPr>
          <w:noProof/>
        </w:rPr>
        <w:t xml:space="preserve"> by the Commission</w:t>
      </w:r>
    </w:p>
    <w:p w14:paraId="1866BED6" w14:textId="77777777" w:rsidR="00470D07" w:rsidRPr="000C4F35" w:rsidRDefault="00470D07" w:rsidP="00685329">
      <w:pPr>
        <w:pStyle w:val="ListDash2"/>
        <w:rPr>
          <w:rFonts w:cs="EUAlbertina"/>
          <w:noProof/>
        </w:rPr>
      </w:pPr>
      <w:r w:rsidRPr="000C4F35">
        <w:rPr>
          <w:noProof/>
        </w:rPr>
        <w:sym w:font="Wingdings" w:char="F0A8"/>
      </w:r>
      <w:r w:rsidRPr="000C4F35">
        <w:rPr>
          <w:noProof/>
        </w:rPr>
        <w:t xml:space="preserve"> by its departments, including by its staff in the Union delegations; </w:t>
      </w:r>
    </w:p>
    <w:p w14:paraId="38B3CD9E" w14:textId="77777777" w:rsidR="00470D07" w:rsidRPr="000C4F35" w:rsidRDefault="00470D07" w:rsidP="00685329">
      <w:pPr>
        <w:pStyle w:val="ListDash2"/>
        <w:rPr>
          <w:noProof/>
        </w:rPr>
      </w:pPr>
      <w:r w:rsidRPr="000C4F35">
        <w:rPr>
          <w:noProof/>
        </w:rPr>
        <w:sym w:font="Wingdings" w:char="F0A8"/>
      </w:r>
      <w:r w:rsidRPr="000C4F35">
        <w:rPr>
          <w:noProof/>
        </w:rPr>
        <w:tab/>
        <w:t xml:space="preserve">by the executive agencies </w:t>
      </w:r>
    </w:p>
    <w:p w14:paraId="64E3F0E0" w14:textId="77777777" w:rsidR="00470D07" w:rsidRPr="000C4F35" w:rsidRDefault="00470D07" w:rsidP="00685329">
      <w:pPr>
        <w:pStyle w:val="Text1"/>
        <w:rPr>
          <w:noProof/>
        </w:rPr>
      </w:pPr>
      <w:r w:rsidRPr="000C4F35">
        <w:rPr>
          <w:noProof/>
        </w:rPr>
        <w:sym w:font="Wingdings" w:char="F0A8"/>
      </w:r>
      <w:r w:rsidRPr="000C4F35">
        <w:rPr>
          <w:b/>
          <w:i/>
          <w:noProof/>
        </w:rPr>
        <w:t xml:space="preserve"> </w:t>
      </w:r>
      <w:r w:rsidRPr="000C4F35">
        <w:rPr>
          <w:b/>
          <w:noProof/>
        </w:rPr>
        <w:t>Shared management</w:t>
      </w:r>
      <w:r w:rsidRPr="000C4F35">
        <w:rPr>
          <w:noProof/>
        </w:rPr>
        <w:t xml:space="preserve"> with the Member States </w:t>
      </w:r>
    </w:p>
    <w:p w14:paraId="179CB059" w14:textId="77777777" w:rsidR="00470D07" w:rsidRPr="000C4F35" w:rsidRDefault="00CF13F3" w:rsidP="00685329">
      <w:pPr>
        <w:pStyle w:val="Text1"/>
        <w:rPr>
          <w:noProof/>
        </w:rPr>
      </w:pPr>
      <w:r w:rsidRPr="000C4F35">
        <w:rPr>
          <w:rFonts w:eastAsia="Calibri"/>
          <w:noProof/>
          <w:lang w:eastAsia="en-GB"/>
        </w:rPr>
        <w:sym w:font="Wingdings" w:char="F0FD"/>
      </w:r>
      <w:r w:rsidR="00470D07" w:rsidRPr="000C4F35">
        <w:rPr>
          <w:i/>
          <w:noProof/>
        </w:rPr>
        <w:t xml:space="preserve"> </w:t>
      </w:r>
      <w:r w:rsidR="00470D07" w:rsidRPr="000C4F35">
        <w:rPr>
          <w:b/>
          <w:noProof/>
        </w:rPr>
        <w:t>Indirect management</w:t>
      </w:r>
      <w:r w:rsidR="00470D07" w:rsidRPr="000C4F35">
        <w:rPr>
          <w:noProof/>
        </w:rPr>
        <w:t xml:space="preserve"> by entrusting budget implementation tasks to:</w:t>
      </w:r>
    </w:p>
    <w:p w14:paraId="7125FA2E" w14:textId="77777777" w:rsidR="00470D07" w:rsidRPr="000C4F35" w:rsidRDefault="00470D07" w:rsidP="00685329">
      <w:pPr>
        <w:pStyle w:val="ListDash2"/>
        <w:rPr>
          <w:noProof/>
        </w:rPr>
      </w:pPr>
      <w:r w:rsidRPr="000C4F35">
        <w:rPr>
          <w:noProof/>
        </w:rPr>
        <w:sym w:font="Wingdings" w:char="F0A8"/>
      </w:r>
      <w:r w:rsidRPr="000C4F35">
        <w:rPr>
          <w:noProof/>
        </w:rPr>
        <w:t xml:space="preserve"> third countries or the bodies they have designated;</w:t>
      </w:r>
    </w:p>
    <w:p w14:paraId="58FBAB39" w14:textId="77777777" w:rsidR="00470D07" w:rsidRPr="000C4F35" w:rsidRDefault="00470D07" w:rsidP="00685329">
      <w:pPr>
        <w:pStyle w:val="ListDash2"/>
        <w:rPr>
          <w:noProof/>
        </w:rPr>
      </w:pPr>
      <w:r w:rsidRPr="000C4F35">
        <w:rPr>
          <w:noProof/>
        </w:rPr>
        <w:sym w:font="Wingdings" w:char="F0A8"/>
      </w:r>
      <w:r w:rsidRPr="000C4F35">
        <w:rPr>
          <w:noProof/>
        </w:rPr>
        <w:t xml:space="preserve"> international organisations and their agencies (to be specified);</w:t>
      </w:r>
    </w:p>
    <w:p w14:paraId="49E494EE" w14:textId="77777777" w:rsidR="00470D07" w:rsidRPr="000C4F35" w:rsidRDefault="00470D07" w:rsidP="00685329">
      <w:pPr>
        <w:pStyle w:val="ListDash2"/>
        <w:rPr>
          <w:noProof/>
        </w:rPr>
      </w:pPr>
      <w:r w:rsidRPr="000C4F35">
        <w:rPr>
          <w:noProof/>
        </w:rPr>
        <w:sym w:font="Wingdings" w:char="F0A8"/>
      </w:r>
      <w:r w:rsidRPr="000C4F35">
        <w:rPr>
          <w:noProof/>
        </w:rPr>
        <w:t xml:space="preserve"> the EIB and the European Investment Fund;</w:t>
      </w:r>
    </w:p>
    <w:p w14:paraId="61324587" w14:textId="77777777" w:rsidR="00470D07" w:rsidRPr="000C4F35" w:rsidRDefault="00CF13F3" w:rsidP="00685329">
      <w:pPr>
        <w:pStyle w:val="ListDash2"/>
        <w:rPr>
          <w:noProof/>
        </w:rPr>
      </w:pPr>
      <w:r w:rsidRPr="000C4F35">
        <w:rPr>
          <w:rFonts w:eastAsia="Calibri"/>
          <w:noProof/>
          <w:lang w:eastAsia="en-GB"/>
        </w:rPr>
        <w:sym w:font="Wingdings" w:char="F0FD"/>
      </w:r>
      <w:r w:rsidR="00470D07" w:rsidRPr="000C4F35">
        <w:rPr>
          <w:noProof/>
        </w:rPr>
        <w:t xml:space="preserve"> bodies referred to in Articles 70 and 71 of the Financial Regulation;</w:t>
      </w:r>
    </w:p>
    <w:p w14:paraId="60A2286E" w14:textId="77777777" w:rsidR="00470D07" w:rsidRPr="000C4F35" w:rsidRDefault="00470D07" w:rsidP="00685329">
      <w:pPr>
        <w:pStyle w:val="ListDash2"/>
        <w:rPr>
          <w:noProof/>
        </w:rPr>
      </w:pPr>
      <w:r w:rsidRPr="000C4F35">
        <w:rPr>
          <w:noProof/>
        </w:rPr>
        <w:sym w:font="Wingdings" w:char="F0A8"/>
      </w:r>
      <w:r w:rsidRPr="000C4F35">
        <w:rPr>
          <w:noProof/>
        </w:rPr>
        <w:t xml:space="preserve"> public law bodies;</w:t>
      </w:r>
    </w:p>
    <w:p w14:paraId="47F5DC60" w14:textId="77777777" w:rsidR="00470D07" w:rsidRPr="000C4F35" w:rsidRDefault="00470D07" w:rsidP="00685329">
      <w:pPr>
        <w:pStyle w:val="ListDash2"/>
        <w:rPr>
          <w:noProof/>
        </w:rPr>
      </w:pPr>
      <w:r w:rsidRPr="000C4F35">
        <w:rPr>
          <w:noProof/>
        </w:rPr>
        <w:sym w:font="Wingdings" w:char="F0A8"/>
      </w:r>
      <w:r w:rsidRPr="000C4F35">
        <w:rPr>
          <w:noProof/>
        </w:rPr>
        <w:t xml:space="preserve"> bodies governed by private law with a public service mission to the extent that they are provided with adequate financial guarantees;</w:t>
      </w:r>
    </w:p>
    <w:p w14:paraId="3E14359A" w14:textId="77777777" w:rsidR="00470D07" w:rsidRPr="000C4F35" w:rsidRDefault="00470D07" w:rsidP="00685329">
      <w:pPr>
        <w:pStyle w:val="ListDash2"/>
        <w:rPr>
          <w:noProof/>
        </w:rPr>
      </w:pPr>
      <w:r w:rsidRPr="000C4F35">
        <w:rPr>
          <w:noProof/>
        </w:rPr>
        <w:sym w:font="Wingdings" w:char="F0A8"/>
      </w:r>
      <w:r w:rsidRPr="000C4F35">
        <w:rPr>
          <w:noProof/>
        </w:rPr>
        <w:t xml:space="preserve"> bodies governed by the private law of a Member State that are entrusted with the implementation of a public-private partnership and that are provided with adequate financial guarantees;</w:t>
      </w:r>
    </w:p>
    <w:p w14:paraId="28592FE9" w14:textId="77777777" w:rsidR="00470D07" w:rsidRPr="000C4F35" w:rsidRDefault="00470D07" w:rsidP="00685329">
      <w:pPr>
        <w:pStyle w:val="ListDash2"/>
        <w:rPr>
          <w:noProof/>
        </w:rPr>
      </w:pPr>
      <w:r w:rsidRPr="000C4F35">
        <w:rPr>
          <w:noProof/>
        </w:rPr>
        <w:sym w:font="Wingdings" w:char="F0A8"/>
      </w:r>
      <w:r w:rsidRPr="000C4F35">
        <w:rPr>
          <w:noProof/>
        </w:rPr>
        <w:t xml:space="preserve"> persons entrusted with the implementation of specific actions in the CFSP pursuant to Title V of the TEU, and identified in the relevant basic act.</w:t>
      </w:r>
    </w:p>
    <w:p w14:paraId="008FC4C1" w14:textId="77777777" w:rsidR="00470D07" w:rsidRPr="000C4F35" w:rsidRDefault="00470D07" w:rsidP="00685329">
      <w:pPr>
        <w:pStyle w:val="ListDash2"/>
        <w:rPr>
          <w:i/>
          <w:noProof/>
          <w:sz w:val="18"/>
          <w:u w:val="single"/>
        </w:rPr>
      </w:pPr>
      <w:r w:rsidRPr="000C4F35">
        <w:rPr>
          <w:i/>
          <w:noProof/>
          <w:sz w:val="18"/>
        </w:rPr>
        <w:t>If more than one management mode is indicated, please provide details in the ‘Comments’ section.</w:t>
      </w:r>
    </w:p>
    <w:p w14:paraId="267BE20D" w14:textId="77777777" w:rsidR="00470D07" w:rsidRPr="000C4F35" w:rsidRDefault="00470D07" w:rsidP="00685329">
      <w:pPr>
        <w:rPr>
          <w:noProof/>
        </w:rPr>
      </w:pPr>
      <w:r w:rsidRPr="000C4F35">
        <w:rPr>
          <w:noProof/>
        </w:rPr>
        <w:t xml:space="preserve">Comments </w:t>
      </w:r>
    </w:p>
    <w:p w14:paraId="799BE091" w14:textId="77777777" w:rsidR="00470D07" w:rsidRPr="000C4F35" w:rsidRDefault="00CF13F3" w:rsidP="00685329">
      <w:pPr>
        <w:pBdr>
          <w:top w:val="single" w:sz="4" w:space="1" w:color="auto"/>
          <w:left w:val="single" w:sz="4" w:space="4" w:color="auto"/>
          <w:bottom w:val="single" w:sz="4" w:space="1" w:color="auto"/>
          <w:right w:val="single" w:sz="4" w:space="4" w:color="auto"/>
        </w:pBdr>
        <w:rPr>
          <w:noProof/>
        </w:rPr>
      </w:pPr>
      <w:r w:rsidRPr="000C4F35">
        <w:rPr>
          <w:noProof/>
        </w:rPr>
        <w:t>N/A</w:t>
      </w:r>
    </w:p>
    <w:p w14:paraId="6C0309D4" w14:textId="77777777" w:rsidR="00470D07" w:rsidRPr="000C4F35" w:rsidRDefault="00470D07" w:rsidP="00685329">
      <w:pPr>
        <w:rPr>
          <w:noProof/>
        </w:rPr>
        <w:sectPr w:rsidR="00470D07" w:rsidRPr="000C4F35" w:rsidSect="00E0492F">
          <w:pgSz w:w="11907" w:h="16840" w:code="9"/>
          <w:pgMar w:top="1134" w:right="1418" w:bottom="1134" w:left="1418" w:header="709" w:footer="709" w:gutter="0"/>
          <w:cols w:space="708"/>
          <w:docGrid w:linePitch="360"/>
        </w:sectPr>
      </w:pPr>
    </w:p>
    <w:p w14:paraId="4B9D08DE" w14:textId="31CDC38E" w:rsidR="00470D07" w:rsidRPr="000C4F35" w:rsidRDefault="001678E4" w:rsidP="001678E4">
      <w:pPr>
        <w:pStyle w:val="ManualHeading1"/>
        <w:rPr>
          <w:noProof/>
          <w:szCs w:val="24"/>
        </w:rPr>
      </w:pPr>
      <w:bookmarkStart w:id="35" w:name="_Toc514938041"/>
      <w:bookmarkStart w:id="36" w:name="_Toc520485042"/>
      <w:r w:rsidRPr="001678E4">
        <w:t>2.</w:t>
      </w:r>
      <w:r w:rsidRPr="001678E4">
        <w:tab/>
      </w:r>
      <w:r w:rsidR="00470D07" w:rsidRPr="000C4F35">
        <w:rPr>
          <w:noProof/>
        </w:rPr>
        <w:t>MANAGEMENT MEASURES</w:t>
      </w:r>
      <w:bookmarkEnd w:id="35"/>
      <w:bookmarkEnd w:id="36"/>
      <w:r w:rsidR="00470D07" w:rsidRPr="000C4F35">
        <w:rPr>
          <w:noProof/>
        </w:rPr>
        <w:t xml:space="preserve"> </w:t>
      </w:r>
    </w:p>
    <w:p w14:paraId="626A1A6B" w14:textId="75D2C49D" w:rsidR="00470D07" w:rsidRPr="000C4F35" w:rsidRDefault="001678E4" w:rsidP="001678E4">
      <w:pPr>
        <w:pStyle w:val="ManualHeading2"/>
        <w:rPr>
          <w:noProof/>
        </w:rPr>
      </w:pPr>
      <w:bookmarkStart w:id="37" w:name="_Toc514938042"/>
      <w:bookmarkStart w:id="38" w:name="_Toc520485043"/>
      <w:r w:rsidRPr="001678E4">
        <w:t>2.1.</w:t>
      </w:r>
      <w:r w:rsidRPr="001678E4">
        <w:tab/>
      </w:r>
      <w:r w:rsidR="00470D07" w:rsidRPr="000C4F35">
        <w:rPr>
          <w:noProof/>
        </w:rPr>
        <w:t>Monitoring and reporting rules</w:t>
      </w:r>
      <w:bookmarkEnd w:id="37"/>
      <w:bookmarkEnd w:id="38"/>
      <w:r w:rsidR="00470D07" w:rsidRPr="000C4F35">
        <w:rPr>
          <w:noProof/>
        </w:rPr>
        <w:t xml:space="preserve"> </w:t>
      </w:r>
    </w:p>
    <w:p w14:paraId="1B8458AF" w14:textId="77777777" w:rsidR="00470D07" w:rsidRPr="000C4F35" w:rsidRDefault="00470D07" w:rsidP="00685329">
      <w:pPr>
        <w:pStyle w:val="Text1"/>
        <w:rPr>
          <w:i/>
          <w:noProof/>
          <w:sz w:val="20"/>
        </w:rPr>
      </w:pPr>
      <w:r w:rsidRPr="000C4F35">
        <w:rPr>
          <w:i/>
          <w:noProof/>
          <w:sz w:val="20"/>
        </w:rPr>
        <w:t>Specify frequency and conditions.</w:t>
      </w:r>
    </w:p>
    <w:p w14:paraId="3F4AF4EF" w14:textId="7B9F99E9"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bookmarkStart w:id="39" w:name="_Toc514938045"/>
      <w:bookmarkStart w:id="40" w:name="_Toc520485044"/>
      <w:r w:rsidRPr="000C4F35">
        <w:rPr>
          <w:noProof/>
          <w:lang w:eastAsia="en-GB"/>
        </w:rPr>
        <w:t xml:space="preserve">In line with already existing arrangements ESMA prepares regular reports on its activity (including internal reporting to Senior Management, MB reporting, six month activity reporting to </w:t>
      </w:r>
      <w:r w:rsidR="002E4B5F">
        <w:rPr>
          <w:noProof/>
          <w:lang w:eastAsia="en-GB"/>
        </w:rPr>
        <w:t>the Board of Supervisors</w:t>
      </w:r>
      <w:r w:rsidR="002E4B5F" w:rsidRPr="000C4F35">
        <w:rPr>
          <w:noProof/>
          <w:lang w:eastAsia="en-GB"/>
        </w:rPr>
        <w:t xml:space="preserve"> </w:t>
      </w:r>
      <w:r w:rsidRPr="000C4F35">
        <w:rPr>
          <w:noProof/>
          <w:lang w:eastAsia="en-GB"/>
        </w:rPr>
        <w:t xml:space="preserve">and the production of the annual report), and undergoes audits by the Court of Auditors and the Internal Audit Service on its use of resources. Monitoring and reporting of the present proposed actions will comply with the same already existing requirements. </w:t>
      </w:r>
    </w:p>
    <w:p w14:paraId="39A359FA" w14:textId="510988D2" w:rsidR="00470D07" w:rsidRPr="000C4F35" w:rsidRDefault="001678E4" w:rsidP="001678E4">
      <w:pPr>
        <w:pStyle w:val="ManualHeading2"/>
        <w:rPr>
          <w:noProof/>
          <w:szCs w:val="24"/>
        </w:rPr>
      </w:pPr>
      <w:r w:rsidRPr="001678E4">
        <w:t>2.2.</w:t>
      </w:r>
      <w:r w:rsidRPr="001678E4">
        <w:tab/>
      </w:r>
      <w:r w:rsidR="00470D07" w:rsidRPr="000C4F35">
        <w:rPr>
          <w:noProof/>
        </w:rPr>
        <w:t>Management and control system(s)</w:t>
      </w:r>
      <w:bookmarkEnd w:id="39"/>
      <w:bookmarkEnd w:id="40"/>
      <w:r w:rsidR="00470D07" w:rsidRPr="000C4F35">
        <w:rPr>
          <w:noProof/>
        </w:rPr>
        <w:t xml:space="preserve"> </w:t>
      </w:r>
    </w:p>
    <w:p w14:paraId="4ABFADE7" w14:textId="2D487DA9" w:rsidR="00470D07" w:rsidRPr="000C4F35" w:rsidRDefault="001678E4" w:rsidP="001678E4">
      <w:pPr>
        <w:pStyle w:val="ManualHeading3"/>
        <w:rPr>
          <w:noProof/>
        </w:rPr>
      </w:pPr>
      <w:bookmarkStart w:id="41" w:name="_Toc514938046"/>
      <w:bookmarkStart w:id="42" w:name="_Toc520485045"/>
      <w:r w:rsidRPr="001678E4">
        <w:t>2.2.1.</w:t>
      </w:r>
      <w:r w:rsidRPr="001678E4">
        <w:tab/>
      </w:r>
      <w:r w:rsidR="00470D07" w:rsidRPr="000C4F35">
        <w:rPr>
          <w:noProof/>
        </w:rPr>
        <w:t>Justification of the management mode(s), the funding implementation mechanism(s), the payment modalities and the control strategy proposed</w:t>
      </w:r>
      <w:bookmarkEnd w:id="41"/>
      <w:bookmarkEnd w:id="42"/>
    </w:p>
    <w:p w14:paraId="367F47D7"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bookmarkStart w:id="43" w:name="_Toc514938047"/>
      <w:bookmarkStart w:id="44" w:name="_Toc520485046"/>
      <w:r w:rsidRPr="000C4F35">
        <w:rPr>
          <w:noProof/>
          <w:lang w:eastAsia="en-GB"/>
        </w:rPr>
        <w:t>In relation to the legal, economic, efficient and effective use of appropriations resulting from the proposal, it is expected that the proposal would not bring about new risks that would not be currently covered by an existing internal control framework.</w:t>
      </w:r>
    </w:p>
    <w:p w14:paraId="4BF3E38A" w14:textId="639A30A1" w:rsidR="00470D07" w:rsidRPr="000C4F35" w:rsidRDefault="001678E4" w:rsidP="001678E4">
      <w:pPr>
        <w:pStyle w:val="ManualHeading3"/>
        <w:rPr>
          <w:noProof/>
          <w:szCs w:val="24"/>
        </w:rPr>
      </w:pPr>
      <w:r w:rsidRPr="001678E4">
        <w:t>2.2.2.</w:t>
      </w:r>
      <w:r w:rsidRPr="001678E4">
        <w:tab/>
      </w:r>
      <w:r w:rsidR="00470D07" w:rsidRPr="000C4F35">
        <w:rPr>
          <w:noProof/>
        </w:rPr>
        <w:t>Information concerning the risks identified and the internal control system(s) set up to mitigate them</w:t>
      </w:r>
      <w:bookmarkEnd w:id="43"/>
      <w:bookmarkEnd w:id="44"/>
    </w:p>
    <w:p w14:paraId="666CF634"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bookmarkStart w:id="45" w:name="_Toc514938048"/>
      <w:bookmarkStart w:id="46" w:name="_Toc520485047"/>
      <w:r w:rsidRPr="000C4F35">
        <w:rPr>
          <w:noProof/>
          <w:lang w:eastAsia="en-GB"/>
        </w:rPr>
        <w:t>Management and control systems as provided for in the ESMA Regulation are already implemented. ESMA works closely together with the Internal Audit Service of the Commission to ensure that the appropriate standards are met in all internal controls areas. These arrangements will apply also with regard to the role of ESMA according to the present proposal. Annual internal audit reports are sent to the Commission, Parliament and Council.</w:t>
      </w:r>
    </w:p>
    <w:p w14:paraId="7D2E1742" w14:textId="7EB0E6FB" w:rsidR="00470D07" w:rsidRPr="000C4F35" w:rsidRDefault="001678E4" w:rsidP="001678E4">
      <w:pPr>
        <w:pStyle w:val="ManualHeading3"/>
        <w:rPr>
          <w:noProof/>
        </w:rPr>
      </w:pPr>
      <w:r w:rsidRPr="001678E4">
        <w:t>2.2.3.</w:t>
      </w:r>
      <w:r w:rsidRPr="001678E4">
        <w:tab/>
      </w:r>
      <w:r w:rsidR="00470D07" w:rsidRPr="000C4F35">
        <w:rPr>
          <w:noProof/>
        </w:rPr>
        <w:t>Estimation and justification of the cost-effectiveness of the controls (ratio of "control costs ÷ value of the related funds managed"), and assessment of the expected levels of risk of error (at payment &amp; at closure)</w:t>
      </w:r>
      <w:bookmarkEnd w:id="45"/>
      <w:bookmarkEnd w:id="46"/>
      <w:r w:rsidR="00470D07" w:rsidRPr="000C4F35">
        <w:rPr>
          <w:noProof/>
        </w:rPr>
        <w:t xml:space="preserve"> </w:t>
      </w:r>
    </w:p>
    <w:p w14:paraId="6C3F2E2B" w14:textId="77777777" w:rsidR="00470D07" w:rsidRPr="000C4F35" w:rsidRDefault="00CF13F3" w:rsidP="00685329">
      <w:pPr>
        <w:pStyle w:val="Text1"/>
        <w:pBdr>
          <w:top w:val="single" w:sz="4" w:space="1" w:color="auto"/>
          <w:left w:val="single" w:sz="4" w:space="4" w:color="auto"/>
          <w:bottom w:val="single" w:sz="4" w:space="1" w:color="auto"/>
          <w:right w:val="single" w:sz="4" w:space="4" w:color="auto"/>
        </w:pBdr>
        <w:rPr>
          <w:noProof/>
        </w:rPr>
      </w:pPr>
      <w:r w:rsidRPr="000C4F35">
        <w:rPr>
          <w:noProof/>
        </w:rPr>
        <w:t>N/A</w:t>
      </w:r>
    </w:p>
    <w:p w14:paraId="4EDB16BD" w14:textId="7B080B92" w:rsidR="00470D07" w:rsidRPr="000C4F35" w:rsidRDefault="001678E4" w:rsidP="001678E4">
      <w:pPr>
        <w:pStyle w:val="ManualHeading2"/>
        <w:rPr>
          <w:noProof/>
          <w:szCs w:val="24"/>
        </w:rPr>
      </w:pPr>
      <w:bookmarkStart w:id="47" w:name="_Toc514938049"/>
      <w:bookmarkStart w:id="48" w:name="_Toc520485048"/>
      <w:r w:rsidRPr="001678E4">
        <w:t>2.3.</w:t>
      </w:r>
      <w:r w:rsidRPr="001678E4">
        <w:tab/>
      </w:r>
      <w:r w:rsidR="00470D07" w:rsidRPr="000C4F35">
        <w:rPr>
          <w:noProof/>
        </w:rPr>
        <w:t>Measures to prevent fraud and irregularities</w:t>
      </w:r>
      <w:bookmarkEnd w:id="47"/>
      <w:bookmarkEnd w:id="48"/>
      <w:r w:rsidR="00470D07" w:rsidRPr="000C4F35">
        <w:rPr>
          <w:noProof/>
        </w:rPr>
        <w:t xml:space="preserve"> </w:t>
      </w:r>
    </w:p>
    <w:p w14:paraId="460438E3" w14:textId="77777777" w:rsidR="00470D07" w:rsidRPr="000C4F35" w:rsidRDefault="00470D07" w:rsidP="00685329">
      <w:pPr>
        <w:pStyle w:val="Text1"/>
        <w:rPr>
          <w:i/>
          <w:noProof/>
          <w:sz w:val="20"/>
        </w:rPr>
      </w:pPr>
      <w:r w:rsidRPr="000C4F35">
        <w:rPr>
          <w:i/>
          <w:noProof/>
          <w:sz w:val="20"/>
        </w:rPr>
        <w:t>Specify existing or envisaged prevention and protection measures, e.g. from the Anti-Fraud Strategy.</w:t>
      </w:r>
    </w:p>
    <w:p w14:paraId="2B072958"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 xml:space="preserve">For the purposes of combating fraud, corruption and any other illegal activity, the provisions of Regulation (EC) No 1073/1999 of the European Parliament and of the Council of 25 May 1999 concerning investigations conducted by the European Anti-Fraud Office (OLAF) shall apply to ESMA without any restrictions. </w:t>
      </w:r>
    </w:p>
    <w:p w14:paraId="4CC9D661"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ESMA shall accede to the Interinstitutional Agreement of 25 May 1999 between the European Parliament, the Council of the European Union and the Commission of the European Communities concerning internal investigations by the European Anti-Fraud Office (OLAF) and shall immediately adopt appropriate provisions for all ESMA staff.</w:t>
      </w:r>
    </w:p>
    <w:p w14:paraId="76323707" w14:textId="77777777" w:rsidR="00CF13F3" w:rsidRPr="000C4F35" w:rsidRDefault="00CF13F3" w:rsidP="00685329">
      <w:pPr>
        <w:pStyle w:val="Text1"/>
        <w:pBdr>
          <w:top w:val="single" w:sz="4" w:space="1" w:color="auto"/>
          <w:left w:val="single" w:sz="4" w:space="4" w:color="auto"/>
          <w:bottom w:val="single" w:sz="4" w:space="1" w:color="auto"/>
          <w:right w:val="single" w:sz="4" w:space="4" w:color="auto"/>
        </w:pBdr>
        <w:rPr>
          <w:noProof/>
          <w:lang w:eastAsia="en-GB"/>
        </w:rPr>
      </w:pPr>
      <w:r w:rsidRPr="000C4F35">
        <w:rPr>
          <w:noProof/>
          <w:lang w:eastAsia="en-GB"/>
        </w:rPr>
        <w:t xml:space="preserve">The funding decisions and the agreements and the implementing instruments resulting from them shall </w:t>
      </w:r>
      <w:r w:rsidR="004F18A6" w:rsidRPr="000C4F35">
        <w:rPr>
          <w:noProof/>
          <w:lang w:eastAsia="en-GB"/>
        </w:rPr>
        <w:t>explicitly</w:t>
      </w:r>
      <w:r w:rsidRPr="000C4F35">
        <w:rPr>
          <w:noProof/>
          <w:lang w:eastAsia="en-GB"/>
        </w:rPr>
        <w:t xml:space="preserve"> stipulate that the Court of Auditors and OLAF may, if need be, carry out on the spot checks on the beneficiaries of monies disbursed by ESMA as well as on the staff responsible for allocating these monies.</w:t>
      </w:r>
    </w:p>
    <w:p w14:paraId="7F76080B" w14:textId="77777777" w:rsidR="00470D07" w:rsidRPr="000C4F35" w:rsidRDefault="00470D07" w:rsidP="00685329">
      <w:pPr>
        <w:rPr>
          <w:noProof/>
        </w:rPr>
        <w:sectPr w:rsidR="00470D07" w:rsidRPr="000C4F35" w:rsidSect="00E0492F">
          <w:pgSz w:w="11907" w:h="16840" w:code="9"/>
          <w:pgMar w:top="1134" w:right="1418" w:bottom="1134" w:left="1418" w:header="709" w:footer="709" w:gutter="0"/>
          <w:cols w:space="708"/>
          <w:docGrid w:linePitch="360"/>
        </w:sectPr>
      </w:pPr>
    </w:p>
    <w:p w14:paraId="6E1F7B9D" w14:textId="352C2EB1" w:rsidR="00470D07" w:rsidRPr="000C4F35" w:rsidRDefault="001678E4" w:rsidP="001678E4">
      <w:pPr>
        <w:pStyle w:val="ManualHeading1"/>
        <w:rPr>
          <w:noProof/>
          <w:szCs w:val="24"/>
        </w:rPr>
      </w:pPr>
      <w:bookmarkStart w:id="49" w:name="_Toc514938050"/>
      <w:bookmarkStart w:id="50" w:name="_Toc520485049"/>
      <w:r w:rsidRPr="001678E4">
        <w:t>3.</w:t>
      </w:r>
      <w:r w:rsidRPr="001678E4">
        <w:tab/>
      </w:r>
      <w:r w:rsidR="00470D07" w:rsidRPr="000C4F35">
        <w:rPr>
          <w:noProof/>
        </w:rPr>
        <w:t>ESTIMATED FINANCIAL IMPACT OF THE PROPOSAL/INITIATIVE</w:t>
      </w:r>
      <w:bookmarkEnd w:id="49"/>
      <w:bookmarkEnd w:id="50"/>
      <w:r w:rsidR="00470D07" w:rsidRPr="000C4F35">
        <w:rPr>
          <w:noProof/>
        </w:rPr>
        <w:t xml:space="preserve"> </w:t>
      </w:r>
    </w:p>
    <w:p w14:paraId="48D62C59" w14:textId="689848C2" w:rsidR="00470D07" w:rsidRPr="000C4F35" w:rsidRDefault="001678E4" w:rsidP="001678E4">
      <w:pPr>
        <w:pStyle w:val="ManualHeading2"/>
        <w:rPr>
          <w:noProof/>
        </w:rPr>
      </w:pPr>
      <w:bookmarkStart w:id="51" w:name="_Toc514938051"/>
      <w:bookmarkStart w:id="52" w:name="_Toc520485050"/>
      <w:r w:rsidRPr="001678E4">
        <w:t>3.1.</w:t>
      </w:r>
      <w:r w:rsidRPr="001678E4">
        <w:tab/>
      </w:r>
      <w:r w:rsidR="00470D07" w:rsidRPr="000C4F35">
        <w:rPr>
          <w:noProof/>
        </w:rPr>
        <w:t>Heading(s) of the multiannual financial framework and expenditure budget line(s) affected</w:t>
      </w:r>
      <w:bookmarkEnd w:id="51"/>
      <w:bookmarkEnd w:id="52"/>
      <w:r w:rsidR="00470D07" w:rsidRPr="000C4F35">
        <w:rPr>
          <w:noProof/>
        </w:rPr>
        <w:t xml:space="preserve"> </w:t>
      </w:r>
    </w:p>
    <w:p w14:paraId="5B7024FA" w14:textId="77777777" w:rsidR="00470D07" w:rsidRPr="000C4F35" w:rsidRDefault="00470D07" w:rsidP="00685329">
      <w:pPr>
        <w:pStyle w:val="ListBullet1"/>
        <w:rPr>
          <w:noProof/>
        </w:rPr>
      </w:pPr>
      <w:r w:rsidRPr="000C4F35">
        <w:rPr>
          <w:noProof/>
        </w:rPr>
        <w:t xml:space="preserve">Existing budget lines </w:t>
      </w:r>
    </w:p>
    <w:p w14:paraId="78477212" w14:textId="77777777" w:rsidR="00470D07" w:rsidRPr="000C4F35" w:rsidRDefault="00470D07" w:rsidP="00685329">
      <w:pPr>
        <w:pStyle w:val="Text1"/>
        <w:rPr>
          <w:i/>
          <w:noProof/>
        </w:rPr>
      </w:pPr>
      <w:r w:rsidRPr="000C4F35">
        <w:rPr>
          <w:i/>
          <w:noProof/>
          <w:u w:val="single"/>
        </w:rPr>
        <w:t>In order</w:t>
      </w:r>
      <w:r w:rsidRPr="000C4F35">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70D07" w:rsidRPr="000C4F35" w14:paraId="1C0B59EB" w14:textId="77777777" w:rsidTr="00470D07">
        <w:tc>
          <w:tcPr>
            <w:tcW w:w="1080" w:type="dxa"/>
            <w:vMerge w:val="restart"/>
            <w:vAlign w:val="center"/>
          </w:tcPr>
          <w:p w14:paraId="67F001EA" w14:textId="77777777" w:rsidR="00470D07" w:rsidRPr="000C4F35" w:rsidRDefault="00470D07" w:rsidP="00685329">
            <w:pPr>
              <w:spacing w:before="60" w:after="60"/>
              <w:jc w:val="center"/>
              <w:rPr>
                <w:noProof/>
              </w:rPr>
            </w:pPr>
            <w:r w:rsidRPr="000C4F35">
              <w:rPr>
                <w:noProof/>
                <w:sz w:val="18"/>
              </w:rPr>
              <w:t>Heading of multiannual financial framework</w:t>
            </w:r>
          </w:p>
        </w:tc>
        <w:tc>
          <w:tcPr>
            <w:tcW w:w="3960" w:type="dxa"/>
            <w:vAlign w:val="center"/>
          </w:tcPr>
          <w:p w14:paraId="7D866511" w14:textId="77777777" w:rsidR="00470D07" w:rsidRPr="000C4F35" w:rsidRDefault="00470D07" w:rsidP="00685329">
            <w:pPr>
              <w:spacing w:before="60" w:after="60"/>
              <w:jc w:val="center"/>
              <w:rPr>
                <w:noProof/>
              </w:rPr>
            </w:pPr>
            <w:r w:rsidRPr="000C4F35">
              <w:rPr>
                <w:noProof/>
                <w:sz w:val="20"/>
              </w:rPr>
              <w:t>Budget line</w:t>
            </w:r>
          </w:p>
        </w:tc>
        <w:tc>
          <w:tcPr>
            <w:tcW w:w="1080" w:type="dxa"/>
            <w:vAlign w:val="center"/>
          </w:tcPr>
          <w:p w14:paraId="27E02F12" w14:textId="77777777" w:rsidR="00470D07" w:rsidRPr="000C4F35" w:rsidRDefault="00470D07" w:rsidP="00685329">
            <w:pPr>
              <w:spacing w:before="60" w:after="60"/>
              <w:jc w:val="center"/>
              <w:rPr>
                <w:noProof/>
              </w:rPr>
            </w:pPr>
            <w:r w:rsidRPr="000C4F35">
              <w:rPr>
                <w:noProof/>
                <w:sz w:val="18"/>
              </w:rPr>
              <w:t xml:space="preserve">Type of </w:t>
            </w:r>
            <w:r w:rsidRPr="000C4F35">
              <w:rPr>
                <w:noProof/>
                <w:sz w:val="22"/>
              </w:rPr>
              <w:br/>
            </w:r>
            <w:r w:rsidRPr="000C4F35">
              <w:rPr>
                <w:noProof/>
                <w:sz w:val="18"/>
              </w:rPr>
              <w:t>expenditure</w:t>
            </w:r>
          </w:p>
        </w:tc>
        <w:tc>
          <w:tcPr>
            <w:tcW w:w="4440" w:type="dxa"/>
            <w:gridSpan w:val="4"/>
            <w:vAlign w:val="center"/>
          </w:tcPr>
          <w:p w14:paraId="5E7A7C9C" w14:textId="77777777" w:rsidR="00470D07" w:rsidRPr="000C4F35" w:rsidRDefault="00470D07" w:rsidP="00685329">
            <w:pPr>
              <w:spacing w:before="60" w:after="60"/>
              <w:jc w:val="center"/>
              <w:rPr>
                <w:noProof/>
              </w:rPr>
            </w:pPr>
            <w:r w:rsidRPr="000C4F35">
              <w:rPr>
                <w:noProof/>
                <w:sz w:val="20"/>
              </w:rPr>
              <w:t xml:space="preserve">Contribution </w:t>
            </w:r>
          </w:p>
        </w:tc>
      </w:tr>
      <w:tr w:rsidR="00470D07" w:rsidRPr="000C4F35" w14:paraId="3CEC9C29" w14:textId="77777777" w:rsidTr="00470D07">
        <w:tc>
          <w:tcPr>
            <w:tcW w:w="1080" w:type="dxa"/>
            <w:vMerge/>
            <w:vAlign w:val="center"/>
          </w:tcPr>
          <w:p w14:paraId="7A855FC3" w14:textId="77777777" w:rsidR="00470D07" w:rsidRPr="000C4F35" w:rsidRDefault="00470D07" w:rsidP="00685329">
            <w:pPr>
              <w:jc w:val="center"/>
              <w:rPr>
                <w:noProof/>
              </w:rPr>
            </w:pPr>
          </w:p>
        </w:tc>
        <w:tc>
          <w:tcPr>
            <w:tcW w:w="3960" w:type="dxa"/>
            <w:vAlign w:val="center"/>
          </w:tcPr>
          <w:p w14:paraId="69B7C269" w14:textId="77777777" w:rsidR="00470D07" w:rsidRPr="000C4F35" w:rsidRDefault="00470D07" w:rsidP="00685329">
            <w:pPr>
              <w:rPr>
                <w:noProof/>
              </w:rPr>
            </w:pPr>
            <w:r w:rsidRPr="000C4F35">
              <w:rPr>
                <w:noProof/>
                <w:sz w:val="20"/>
              </w:rPr>
              <w:t xml:space="preserve">Number </w:t>
            </w:r>
            <w:r w:rsidRPr="000C4F35">
              <w:rPr>
                <w:noProof/>
                <w:sz w:val="22"/>
              </w:rPr>
              <w:br/>
            </w:r>
          </w:p>
        </w:tc>
        <w:tc>
          <w:tcPr>
            <w:tcW w:w="1080" w:type="dxa"/>
            <w:vAlign w:val="center"/>
          </w:tcPr>
          <w:p w14:paraId="49AA18AD" w14:textId="77777777" w:rsidR="00470D07" w:rsidRPr="000C4F35" w:rsidRDefault="00470D07" w:rsidP="00685329">
            <w:pPr>
              <w:jc w:val="center"/>
              <w:rPr>
                <w:noProof/>
              </w:rPr>
            </w:pPr>
            <w:r w:rsidRPr="000C4F35">
              <w:rPr>
                <w:noProof/>
                <w:sz w:val="18"/>
              </w:rPr>
              <w:t>Diff./Non-diff.</w:t>
            </w:r>
            <w:r w:rsidRPr="000C4F35">
              <w:rPr>
                <w:rStyle w:val="FootnoteReference"/>
                <w:noProof/>
                <w:sz w:val="18"/>
              </w:rPr>
              <w:footnoteReference w:id="47"/>
            </w:r>
          </w:p>
        </w:tc>
        <w:tc>
          <w:tcPr>
            <w:tcW w:w="956" w:type="dxa"/>
            <w:vAlign w:val="center"/>
          </w:tcPr>
          <w:p w14:paraId="1D817938" w14:textId="77777777" w:rsidR="00470D07" w:rsidRPr="000C4F35" w:rsidRDefault="00470D07" w:rsidP="00685329">
            <w:pPr>
              <w:jc w:val="center"/>
              <w:rPr>
                <w:noProof/>
              </w:rPr>
            </w:pPr>
            <w:r w:rsidRPr="000C4F35">
              <w:rPr>
                <w:noProof/>
                <w:sz w:val="18"/>
              </w:rPr>
              <w:t>from EFTA countries</w:t>
            </w:r>
            <w:r w:rsidRPr="000C4F35">
              <w:rPr>
                <w:rStyle w:val="FootnoteReference"/>
                <w:noProof/>
                <w:sz w:val="18"/>
              </w:rPr>
              <w:footnoteReference w:id="48"/>
            </w:r>
          </w:p>
          <w:p w14:paraId="0B14210E" w14:textId="77777777" w:rsidR="00470D07" w:rsidRPr="000C4F35" w:rsidRDefault="00470D07" w:rsidP="00685329">
            <w:pPr>
              <w:spacing w:before="0" w:after="0"/>
              <w:jc w:val="center"/>
              <w:rPr>
                <w:b/>
                <w:noProof/>
                <w:sz w:val="18"/>
              </w:rPr>
            </w:pPr>
          </w:p>
        </w:tc>
        <w:tc>
          <w:tcPr>
            <w:tcW w:w="1080" w:type="dxa"/>
            <w:vAlign w:val="center"/>
          </w:tcPr>
          <w:p w14:paraId="1E44C30C" w14:textId="77777777" w:rsidR="00470D07" w:rsidRPr="000C4F35" w:rsidRDefault="00470D07" w:rsidP="00685329">
            <w:pPr>
              <w:jc w:val="center"/>
              <w:rPr>
                <w:noProof/>
              </w:rPr>
            </w:pPr>
            <w:r w:rsidRPr="000C4F35">
              <w:rPr>
                <w:noProof/>
                <w:sz w:val="18"/>
              </w:rPr>
              <w:t>from candidate countries</w:t>
            </w:r>
            <w:r w:rsidRPr="000C4F35">
              <w:rPr>
                <w:rStyle w:val="FootnoteReference"/>
                <w:noProof/>
                <w:sz w:val="18"/>
              </w:rPr>
              <w:footnoteReference w:id="49"/>
            </w:r>
          </w:p>
          <w:p w14:paraId="4EFB563C" w14:textId="77777777" w:rsidR="00470D07" w:rsidRPr="000C4F35" w:rsidRDefault="00470D07" w:rsidP="00685329">
            <w:pPr>
              <w:spacing w:before="0" w:after="0"/>
              <w:jc w:val="center"/>
              <w:rPr>
                <w:noProof/>
                <w:sz w:val="18"/>
              </w:rPr>
            </w:pPr>
          </w:p>
        </w:tc>
        <w:tc>
          <w:tcPr>
            <w:tcW w:w="956" w:type="dxa"/>
            <w:vAlign w:val="center"/>
          </w:tcPr>
          <w:p w14:paraId="1B282274" w14:textId="77777777" w:rsidR="00470D07" w:rsidRPr="000C4F35" w:rsidRDefault="00470D07" w:rsidP="00685329">
            <w:pPr>
              <w:jc w:val="center"/>
              <w:rPr>
                <w:noProof/>
                <w:sz w:val="18"/>
              </w:rPr>
            </w:pPr>
            <w:r w:rsidRPr="000C4F35">
              <w:rPr>
                <w:noProof/>
                <w:sz w:val="18"/>
              </w:rPr>
              <w:t>from third countries</w:t>
            </w:r>
          </w:p>
        </w:tc>
        <w:tc>
          <w:tcPr>
            <w:tcW w:w="1448" w:type="dxa"/>
            <w:vAlign w:val="center"/>
          </w:tcPr>
          <w:p w14:paraId="6DBE69C5" w14:textId="77777777" w:rsidR="00470D07" w:rsidRPr="000C4F35" w:rsidRDefault="00470D07" w:rsidP="00685329">
            <w:pPr>
              <w:jc w:val="center"/>
              <w:rPr>
                <w:noProof/>
              </w:rPr>
            </w:pPr>
            <w:r w:rsidRPr="000C4F35">
              <w:rPr>
                <w:noProof/>
                <w:sz w:val="16"/>
              </w:rPr>
              <w:t xml:space="preserve">within the meaning of Article 21(2)(b) of the Financial Regulation </w:t>
            </w:r>
          </w:p>
        </w:tc>
      </w:tr>
      <w:tr w:rsidR="00470D07" w:rsidRPr="000C4F35" w14:paraId="6D4F6675" w14:textId="77777777" w:rsidTr="00470D07">
        <w:tc>
          <w:tcPr>
            <w:tcW w:w="1080" w:type="dxa"/>
            <w:vAlign w:val="center"/>
          </w:tcPr>
          <w:p w14:paraId="5C2F9275" w14:textId="77777777" w:rsidR="00470D07" w:rsidRPr="000C4F35" w:rsidRDefault="00470D07" w:rsidP="00685329">
            <w:pPr>
              <w:jc w:val="center"/>
              <w:rPr>
                <w:noProof/>
                <w:color w:val="0000FF"/>
              </w:rPr>
            </w:pPr>
          </w:p>
        </w:tc>
        <w:tc>
          <w:tcPr>
            <w:tcW w:w="3960" w:type="dxa"/>
            <w:vAlign w:val="center"/>
          </w:tcPr>
          <w:p w14:paraId="281269DF" w14:textId="77777777" w:rsidR="00470D07" w:rsidRPr="000C4F35" w:rsidRDefault="00470D07" w:rsidP="00685329">
            <w:pPr>
              <w:spacing w:before="60"/>
              <w:rPr>
                <w:noProof/>
              </w:rPr>
            </w:pPr>
            <w:r w:rsidRPr="000C4F35">
              <w:rPr>
                <w:noProof/>
                <w:sz w:val="22"/>
              </w:rPr>
              <w:t>[XX.YY.YY.YY]</w:t>
            </w:r>
          </w:p>
          <w:p w14:paraId="657461E8" w14:textId="77777777" w:rsidR="00470D07" w:rsidRPr="000C4F35" w:rsidRDefault="00470D07" w:rsidP="00685329">
            <w:pPr>
              <w:spacing w:after="60"/>
              <w:rPr>
                <w:noProof/>
              </w:rPr>
            </w:pPr>
          </w:p>
        </w:tc>
        <w:tc>
          <w:tcPr>
            <w:tcW w:w="1080" w:type="dxa"/>
            <w:vAlign w:val="center"/>
          </w:tcPr>
          <w:p w14:paraId="3CDCEF94" w14:textId="77777777" w:rsidR="00470D07" w:rsidRPr="000C4F35" w:rsidRDefault="00470D07" w:rsidP="00685329">
            <w:pPr>
              <w:jc w:val="center"/>
              <w:rPr>
                <w:noProof/>
                <w:color w:val="0000FF"/>
              </w:rPr>
            </w:pPr>
            <w:r w:rsidRPr="000C4F35">
              <w:rPr>
                <w:noProof/>
                <w:sz w:val="22"/>
              </w:rPr>
              <w:t>Diff./Non-diff.</w:t>
            </w:r>
          </w:p>
        </w:tc>
        <w:tc>
          <w:tcPr>
            <w:tcW w:w="956" w:type="dxa"/>
            <w:vAlign w:val="center"/>
          </w:tcPr>
          <w:p w14:paraId="02DFC2A2" w14:textId="77777777" w:rsidR="00470D07" w:rsidRPr="000C4F35" w:rsidRDefault="00470D07" w:rsidP="00685329">
            <w:pPr>
              <w:jc w:val="center"/>
              <w:rPr>
                <w:noProof/>
                <w:sz w:val="20"/>
                <w:szCs w:val="20"/>
              </w:rPr>
            </w:pPr>
            <w:r w:rsidRPr="000C4F35">
              <w:rPr>
                <w:noProof/>
                <w:sz w:val="20"/>
                <w:szCs w:val="20"/>
              </w:rPr>
              <w:t>YES/NO</w:t>
            </w:r>
          </w:p>
        </w:tc>
        <w:tc>
          <w:tcPr>
            <w:tcW w:w="1080" w:type="dxa"/>
            <w:vAlign w:val="center"/>
          </w:tcPr>
          <w:p w14:paraId="5D3A675D" w14:textId="77777777" w:rsidR="00470D07" w:rsidRPr="000C4F35" w:rsidRDefault="00470D07" w:rsidP="00685329">
            <w:pPr>
              <w:jc w:val="center"/>
              <w:rPr>
                <w:noProof/>
                <w:sz w:val="20"/>
                <w:szCs w:val="20"/>
              </w:rPr>
            </w:pPr>
            <w:r w:rsidRPr="000C4F35">
              <w:rPr>
                <w:noProof/>
                <w:sz w:val="20"/>
                <w:szCs w:val="20"/>
              </w:rPr>
              <w:t>YES/NO</w:t>
            </w:r>
          </w:p>
        </w:tc>
        <w:tc>
          <w:tcPr>
            <w:tcW w:w="956" w:type="dxa"/>
            <w:vAlign w:val="center"/>
          </w:tcPr>
          <w:p w14:paraId="249C4291" w14:textId="77777777" w:rsidR="00470D07" w:rsidRPr="000C4F35" w:rsidRDefault="00470D07" w:rsidP="00685329">
            <w:pPr>
              <w:jc w:val="center"/>
              <w:rPr>
                <w:noProof/>
                <w:sz w:val="20"/>
                <w:szCs w:val="20"/>
              </w:rPr>
            </w:pPr>
            <w:r w:rsidRPr="000C4F35">
              <w:rPr>
                <w:noProof/>
                <w:sz w:val="20"/>
                <w:szCs w:val="20"/>
              </w:rPr>
              <w:t>YES/NO</w:t>
            </w:r>
          </w:p>
        </w:tc>
        <w:tc>
          <w:tcPr>
            <w:tcW w:w="1448" w:type="dxa"/>
            <w:vAlign w:val="center"/>
          </w:tcPr>
          <w:p w14:paraId="19B26EBF" w14:textId="77777777" w:rsidR="00470D07" w:rsidRPr="000C4F35" w:rsidRDefault="00470D07" w:rsidP="00685329">
            <w:pPr>
              <w:jc w:val="center"/>
              <w:rPr>
                <w:noProof/>
                <w:sz w:val="20"/>
                <w:szCs w:val="20"/>
              </w:rPr>
            </w:pPr>
            <w:r w:rsidRPr="000C4F35">
              <w:rPr>
                <w:noProof/>
                <w:sz w:val="20"/>
                <w:szCs w:val="20"/>
              </w:rPr>
              <w:t>YES/NO</w:t>
            </w:r>
          </w:p>
        </w:tc>
      </w:tr>
    </w:tbl>
    <w:p w14:paraId="1A1A84E0" w14:textId="77777777" w:rsidR="00470D07" w:rsidRPr="000C4F35" w:rsidRDefault="00470D07" w:rsidP="00685329">
      <w:pPr>
        <w:pStyle w:val="ListBullet1"/>
        <w:rPr>
          <w:noProof/>
        </w:rPr>
      </w:pPr>
      <w:r w:rsidRPr="000C4F35">
        <w:rPr>
          <w:noProof/>
        </w:rPr>
        <w:t xml:space="preserve">New budget lines requested </w:t>
      </w:r>
    </w:p>
    <w:p w14:paraId="06684E49" w14:textId="77777777" w:rsidR="00470D07" w:rsidRPr="000C4F35" w:rsidRDefault="00470D07" w:rsidP="00685329">
      <w:pPr>
        <w:pStyle w:val="Text1"/>
        <w:rPr>
          <w:i/>
          <w:noProof/>
          <w:sz w:val="20"/>
        </w:rPr>
      </w:pPr>
      <w:r w:rsidRPr="000C4F35">
        <w:rPr>
          <w:i/>
          <w:noProof/>
          <w:u w:val="single"/>
        </w:rPr>
        <w:t>In order</w:t>
      </w:r>
      <w:r w:rsidRPr="000C4F35">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70D07" w:rsidRPr="000C4F35" w14:paraId="36036E11" w14:textId="77777777" w:rsidTr="00470D07">
        <w:tc>
          <w:tcPr>
            <w:tcW w:w="1080" w:type="dxa"/>
            <w:vMerge w:val="restart"/>
            <w:vAlign w:val="center"/>
          </w:tcPr>
          <w:p w14:paraId="6A8FEFE1" w14:textId="77777777" w:rsidR="00470D07" w:rsidRPr="000C4F35" w:rsidRDefault="00470D07" w:rsidP="00685329">
            <w:pPr>
              <w:spacing w:before="60" w:after="60"/>
              <w:jc w:val="center"/>
              <w:rPr>
                <w:noProof/>
                <w:sz w:val="18"/>
                <w:szCs w:val="18"/>
              </w:rPr>
            </w:pPr>
            <w:r w:rsidRPr="000C4F35">
              <w:rPr>
                <w:noProof/>
                <w:sz w:val="18"/>
              </w:rPr>
              <w:t>Heading of multiannual financial framework</w:t>
            </w:r>
          </w:p>
        </w:tc>
        <w:tc>
          <w:tcPr>
            <w:tcW w:w="3960" w:type="dxa"/>
            <w:vAlign w:val="center"/>
          </w:tcPr>
          <w:p w14:paraId="2EF26EC5" w14:textId="77777777" w:rsidR="00470D07" w:rsidRPr="000C4F35" w:rsidRDefault="00470D07" w:rsidP="00685329">
            <w:pPr>
              <w:spacing w:before="60" w:after="60"/>
              <w:jc w:val="center"/>
              <w:rPr>
                <w:noProof/>
              </w:rPr>
            </w:pPr>
            <w:r w:rsidRPr="000C4F35">
              <w:rPr>
                <w:noProof/>
                <w:sz w:val="20"/>
              </w:rPr>
              <w:t>Budget line</w:t>
            </w:r>
          </w:p>
        </w:tc>
        <w:tc>
          <w:tcPr>
            <w:tcW w:w="1080" w:type="dxa"/>
            <w:vAlign w:val="center"/>
          </w:tcPr>
          <w:p w14:paraId="259041DA" w14:textId="77777777" w:rsidR="00470D07" w:rsidRPr="000C4F35" w:rsidRDefault="00470D07" w:rsidP="00685329">
            <w:pPr>
              <w:spacing w:before="60" w:after="60"/>
              <w:jc w:val="center"/>
              <w:rPr>
                <w:noProof/>
              </w:rPr>
            </w:pPr>
            <w:r w:rsidRPr="000C4F35">
              <w:rPr>
                <w:noProof/>
                <w:sz w:val="18"/>
              </w:rPr>
              <w:t>Type of</w:t>
            </w:r>
            <w:r w:rsidRPr="000C4F35">
              <w:rPr>
                <w:noProof/>
                <w:sz w:val="22"/>
              </w:rPr>
              <w:br/>
            </w:r>
            <w:r w:rsidRPr="000C4F35">
              <w:rPr>
                <w:noProof/>
                <w:sz w:val="18"/>
              </w:rPr>
              <w:t>expenditure</w:t>
            </w:r>
          </w:p>
        </w:tc>
        <w:tc>
          <w:tcPr>
            <w:tcW w:w="4440" w:type="dxa"/>
            <w:gridSpan w:val="4"/>
            <w:vAlign w:val="center"/>
          </w:tcPr>
          <w:p w14:paraId="2A3B0A35" w14:textId="77777777" w:rsidR="00470D07" w:rsidRPr="000C4F35" w:rsidRDefault="00470D07" w:rsidP="00685329">
            <w:pPr>
              <w:spacing w:before="60" w:after="60"/>
              <w:jc w:val="center"/>
              <w:rPr>
                <w:noProof/>
              </w:rPr>
            </w:pPr>
            <w:r w:rsidRPr="000C4F35">
              <w:rPr>
                <w:noProof/>
                <w:sz w:val="20"/>
              </w:rPr>
              <w:t xml:space="preserve">Contribution </w:t>
            </w:r>
          </w:p>
        </w:tc>
      </w:tr>
      <w:tr w:rsidR="00470D07" w:rsidRPr="000C4F35" w14:paraId="5C4E4BE3" w14:textId="77777777" w:rsidTr="00470D07">
        <w:tc>
          <w:tcPr>
            <w:tcW w:w="1080" w:type="dxa"/>
            <w:vMerge/>
            <w:vAlign w:val="center"/>
          </w:tcPr>
          <w:p w14:paraId="3CA261B6" w14:textId="77777777" w:rsidR="00470D07" w:rsidRPr="000C4F35" w:rsidRDefault="00470D07" w:rsidP="00685329">
            <w:pPr>
              <w:jc w:val="center"/>
              <w:rPr>
                <w:noProof/>
              </w:rPr>
            </w:pPr>
          </w:p>
        </w:tc>
        <w:tc>
          <w:tcPr>
            <w:tcW w:w="3960" w:type="dxa"/>
            <w:vAlign w:val="center"/>
          </w:tcPr>
          <w:p w14:paraId="3C8B4D4C" w14:textId="77777777" w:rsidR="00470D07" w:rsidRPr="000C4F35" w:rsidRDefault="00470D07" w:rsidP="00685329">
            <w:pPr>
              <w:rPr>
                <w:noProof/>
              </w:rPr>
            </w:pPr>
            <w:r w:rsidRPr="000C4F35">
              <w:rPr>
                <w:noProof/>
                <w:sz w:val="20"/>
              </w:rPr>
              <w:t xml:space="preserve">Number </w:t>
            </w:r>
            <w:r w:rsidRPr="000C4F35">
              <w:rPr>
                <w:noProof/>
                <w:sz w:val="22"/>
              </w:rPr>
              <w:br/>
            </w:r>
          </w:p>
        </w:tc>
        <w:tc>
          <w:tcPr>
            <w:tcW w:w="1080" w:type="dxa"/>
            <w:vAlign w:val="center"/>
          </w:tcPr>
          <w:p w14:paraId="47212FB4" w14:textId="77777777" w:rsidR="00470D07" w:rsidRPr="000C4F35" w:rsidRDefault="00470D07" w:rsidP="00685329">
            <w:pPr>
              <w:jc w:val="center"/>
              <w:rPr>
                <w:noProof/>
              </w:rPr>
            </w:pPr>
            <w:r w:rsidRPr="000C4F35">
              <w:rPr>
                <w:noProof/>
                <w:sz w:val="18"/>
              </w:rPr>
              <w:t>Diff./Non-diff.</w:t>
            </w:r>
          </w:p>
        </w:tc>
        <w:tc>
          <w:tcPr>
            <w:tcW w:w="956" w:type="dxa"/>
            <w:vAlign w:val="center"/>
          </w:tcPr>
          <w:p w14:paraId="5F2FF716" w14:textId="77777777" w:rsidR="00470D07" w:rsidRPr="000C4F35" w:rsidRDefault="00470D07" w:rsidP="00685329">
            <w:pPr>
              <w:jc w:val="center"/>
              <w:rPr>
                <w:noProof/>
                <w:sz w:val="18"/>
              </w:rPr>
            </w:pPr>
            <w:r w:rsidRPr="000C4F35">
              <w:rPr>
                <w:noProof/>
                <w:sz w:val="18"/>
              </w:rPr>
              <w:t>from EFTA countries</w:t>
            </w:r>
          </w:p>
        </w:tc>
        <w:tc>
          <w:tcPr>
            <w:tcW w:w="1080" w:type="dxa"/>
            <w:vAlign w:val="center"/>
          </w:tcPr>
          <w:p w14:paraId="4E26FA02" w14:textId="77777777" w:rsidR="00470D07" w:rsidRPr="000C4F35" w:rsidRDefault="00470D07" w:rsidP="00685329">
            <w:pPr>
              <w:jc w:val="center"/>
              <w:rPr>
                <w:noProof/>
                <w:sz w:val="18"/>
              </w:rPr>
            </w:pPr>
            <w:r w:rsidRPr="000C4F35">
              <w:rPr>
                <w:noProof/>
                <w:sz w:val="18"/>
              </w:rPr>
              <w:t>from candidate countries</w:t>
            </w:r>
          </w:p>
        </w:tc>
        <w:tc>
          <w:tcPr>
            <w:tcW w:w="956" w:type="dxa"/>
            <w:vAlign w:val="center"/>
          </w:tcPr>
          <w:p w14:paraId="4851F199" w14:textId="77777777" w:rsidR="00470D07" w:rsidRPr="000C4F35" w:rsidRDefault="00470D07" w:rsidP="00685329">
            <w:pPr>
              <w:jc w:val="center"/>
              <w:rPr>
                <w:noProof/>
                <w:sz w:val="18"/>
              </w:rPr>
            </w:pPr>
            <w:r w:rsidRPr="000C4F35">
              <w:rPr>
                <w:noProof/>
                <w:sz w:val="18"/>
              </w:rPr>
              <w:t>from third countries</w:t>
            </w:r>
          </w:p>
        </w:tc>
        <w:tc>
          <w:tcPr>
            <w:tcW w:w="1448" w:type="dxa"/>
            <w:vAlign w:val="center"/>
          </w:tcPr>
          <w:p w14:paraId="0AAE5061" w14:textId="77777777" w:rsidR="00470D07" w:rsidRPr="000C4F35" w:rsidRDefault="00470D07" w:rsidP="00685329">
            <w:pPr>
              <w:jc w:val="center"/>
              <w:rPr>
                <w:noProof/>
              </w:rPr>
            </w:pPr>
            <w:r w:rsidRPr="000C4F35">
              <w:rPr>
                <w:noProof/>
                <w:sz w:val="16"/>
              </w:rPr>
              <w:t xml:space="preserve">within the meaning of Article 21(2)(b) of the Financial Regulation </w:t>
            </w:r>
          </w:p>
        </w:tc>
      </w:tr>
      <w:tr w:rsidR="00470D07" w:rsidRPr="000C4F35" w14:paraId="4791A8CD" w14:textId="77777777" w:rsidTr="00470D07">
        <w:tc>
          <w:tcPr>
            <w:tcW w:w="1080" w:type="dxa"/>
            <w:vAlign w:val="center"/>
          </w:tcPr>
          <w:p w14:paraId="42C23B93" w14:textId="77777777" w:rsidR="00470D07" w:rsidRPr="000C4F35" w:rsidRDefault="00470D07" w:rsidP="00685329">
            <w:pPr>
              <w:jc w:val="center"/>
              <w:rPr>
                <w:noProof/>
                <w:color w:val="0000FF"/>
              </w:rPr>
            </w:pPr>
          </w:p>
        </w:tc>
        <w:tc>
          <w:tcPr>
            <w:tcW w:w="3960" w:type="dxa"/>
            <w:vAlign w:val="center"/>
          </w:tcPr>
          <w:p w14:paraId="307456C3" w14:textId="77777777" w:rsidR="00470D07" w:rsidRPr="000C4F35" w:rsidRDefault="00470D07" w:rsidP="00685329">
            <w:pPr>
              <w:spacing w:before="60"/>
              <w:rPr>
                <w:noProof/>
              </w:rPr>
            </w:pPr>
            <w:r w:rsidRPr="000C4F35">
              <w:rPr>
                <w:noProof/>
                <w:sz w:val="22"/>
              </w:rPr>
              <w:t>[XX.YY.YY.YY]</w:t>
            </w:r>
          </w:p>
          <w:p w14:paraId="7A3140F1" w14:textId="77777777" w:rsidR="00470D07" w:rsidRPr="000C4F35" w:rsidRDefault="00470D07" w:rsidP="00685329">
            <w:pPr>
              <w:spacing w:after="60"/>
              <w:rPr>
                <w:noProof/>
                <w:color w:val="0000FF"/>
              </w:rPr>
            </w:pPr>
          </w:p>
        </w:tc>
        <w:tc>
          <w:tcPr>
            <w:tcW w:w="1080" w:type="dxa"/>
            <w:vAlign w:val="center"/>
          </w:tcPr>
          <w:p w14:paraId="4E95500A" w14:textId="77777777" w:rsidR="00470D07" w:rsidRPr="000C4F35" w:rsidRDefault="00470D07" w:rsidP="00685329">
            <w:pPr>
              <w:jc w:val="center"/>
              <w:rPr>
                <w:noProof/>
                <w:color w:val="0000FF"/>
              </w:rPr>
            </w:pPr>
          </w:p>
        </w:tc>
        <w:tc>
          <w:tcPr>
            <w:tcW w:w="956" w:type="dxa"/>
            <w:vAlign w:val="center"/>
          </w:tcPr>
          <w:p w14:paraId="512C7E73" w14:textId="77777777" w:rsidR="00470D07" w:rsidRPr="000C4F35" w:rsidRDefault="00470D07" w:rsidP="00685329">
            <w:pPr>
              <w:jc w:val="center"/>
              <w:rPr>
                <w:noProof/>
                <w:sz w:val="20"/>
                <w:szCs w:val="20"/>
              </w:rPr>
            </w:pPr>
            <w:r w:rsidRPr="000C4F35">
              <w:rPr>
                <w:noProof/>
                <w:sz w:val="20"/>
                <w:szCs w:val="20"/>
              </w:rPr>
              <w:t>YES/NO</w:t>
            </w:r>
          </w:p>
        </w:tc>
        <w:tc>
          <w:tcPr>
            <w:tcW w:w="1080" w:type="dxa"/>
            <w:vAlign w:val="center"/>
          </w:tcPr>
          <w:p w14:paraId="32FBF46B" w14:textId="77777777" w:rsidR="00470D07" w:rsidRPr="000C4F35" w:rsidRDefault="00470D07" w:rsidP="00685329">
            <w:pPr>
              <w:jc w:val="center"/>
              <w:rPr>
                <w:noProof/>
                <w:color w:val="0000FF"/>
                <w:sz w:val="20"/>
                <w:szCs w:val="20"/>
              </w:rPr>
            </w:pPr>
            <w:r w:rsidRPr="000C4F35">
              <w:rPr>
                <w:noProof/>
                <w:sz w:val="20"/>
                <w:szCs w:val="20"/>
              </w:rPr>
              <w:t>YES/NO</w:t>
            </w:r>
          </w:p>
        </w:tc>
        <w:tc>
          <w:tcPr>
            <w:tcW w:w="956" w:type="dxa"/>
            <w:vAlign w:val="center"/>
          </w:tcPr>
          <w:p w14:paraId="06DC8344" w14:textId="77777777" w:rsidR="00470D07" w:rsidRPr="000C4F35" w:rsidRDefault="00470D07" w:rsidP="00685329">
            <w:pPr>
              <w:jc w:val="center"/>
              <w:rPr>
                <w:noProof/>
                <w:color w:val="0000FF"/>
                <w:sz w:val="20"/>
                <w:szCs w:val="20"/>
              </w:rPr>
            </w:pPr>
            <w:r w:rsidRPr="000C4F35">
              <w:rPr>
                <w:noProof/>
                <w:sz w:val="20"/>
                <w:szCs w:val="20"/>
              </w:rPr>
              <w:t>YES/NO</w:t>
            </w:r>
          </w:p>
        </w:tc>
        <w:tc>
          <w:tcPr>
            <w:tcW w:w="1448" w:type="dxa"/>
            <w:vAlign w:val="center"/>
          </w:tcPr>
          <w:p w14:paraId="54A48BBD" w14:textId="77777777" w:rsidR="00470D07" w:rsidRPr="000C4F35" w:rsidRDefault="00470D07" w:rsidP="00685329">
            <w:pPr>
              <w:jc w:val="center"/>
              <w:rPr>
                <w:noProof/>
                <w:sz w:val="20"/>
                <w:szCs w:val="20"/>
              </w:rPr>
            </w:pPr>
            <w:r w:rsidRPr="000C4F35">
              <w:rPr>
                <w:noProof/>
                <w:sz w:val="20"/>
                <w:szCs w:val="20"/>
              </w:rPr>
              <w:t>YES/NO</w:t>
            </w:r>
          </w:p>
        </w:tc>
      </w:tr>
    </w:tbl>
    <w:p w14:paraId="3A05A3D4" w14:textId="77777777" w:rsidR="00470D07" w:rsidRPr="000C4F35" w:rsidRDefault="00470D07" w:rsidP="00685329">
      <w:pPr>
        <w:rPr>
          <w:noProof/>
        </w:rPr>
        <w:sectPr w:rsidR="00470D07" w:rsidRPr="000C4F35" w:rsidSect="00E0492F">
          <w:pgSz w:w="11907" w:h="16840" w:code="1"/>
          <w:pgMar w:top="1134" w:right="1418" w:bottom="1134" w:left="1418" w:header="709" w:footer="709" w:gutter="0"/>
          <w:cols w:space="708"/>
          <w:docGrid w:linePitch="360"/>
        </w:sectPr>
      </w:pPr>
    </w:p>
    <w:p w14:paraId="056AD050" w14:textId="1543E441" w:rsidR="00470D07" w:rsidRPr="000C4F35" w:rsidRDefault="001678E4" w:rsidP="001678E4">
      <w:pPr>
        <w:pStyle w:val="ManualHeading2"/>
        <w:rPr>
          <w:noProof/>
          <w:szCs w:val="24"/>
        </w:rPr>
      </w:pPr>
      <w:bookmarkStart w:id="53" w:name="_Toc514938052"/>
      <w:bookmarkStart w:id="54" w:name="_Toc520485051"/>
      <w:r w:rsidRPr="001678E4">
        <w:t>3.2.</w:t>
      </w:r>
      <w:r w:rsidRPr="001678E4">
        <w:tab/>
      </w:r>
      <w:r w:rsidR="00470D07" w:rsidRPr="000C4F35">
        <w:rPr>
          <w:noProof/>
        </w:rPr>
        <w:t>Estimated financial impact of the proposal on appropriations</w:t>
      </w:r>
      <w:bookmarkEnd w:id="53"/>
      <w:bookmarkEnd w:id="54"/>
      <w:r w:rsidR="00470D07" w:rsidRPr="000C4F35">
        <w:rPr>
          <w:noProof/>
        </w:rPr>
        <w:t xml:space="preserve"> </w:t>
      </w:r>
    </w:p>
    <w:p w14:paraId="6DC64DCC" w14:textId="5FD54EFB" w:rsidR="00470D07" w:rsidRPr="000C4F35" w:rsidRDefault="001678E4" w:rsidP="001678E4">
      <w:pPr>
        <w:pStyle w:val="ManualHeading3"/>
        <w:rPr>
          <w:noProof/>
        </w:rPr>
      </w:pPr>
      <w:bookmarkStart w:id="55" w:name="_Toc514938053"/>
      <w:bookmarkStart w:id="56" w:name="_Toc520485052"/>
      <w:r w:rsidRPr="001678E4">
        <w:t>3.2.1.</w:t>
      </w:r>
      <w:r w:rsidRPr="001678E4">
        <w:tab/>
      </w:r>
      <w:r w:rsidR="00470D07" w:rsidRPr="000C4F35">
        <w:rPr>
          <w:noProof/>
        </w:rPr>
        <w:t>Summary of estimated impact on operational appropriations</w:t>
      </w:r>
      <w:bookmarkEnd w:id="55"/>
      <w:bookmarkEnd w:id="56"/>
      <w:r w:rsidR="00470D07" w:rsidRPr="000C4F35">
        <w:rPr>
          <w:noProof/>
        </w:rPr>
        <w:t xml:space="preserve"> </w:t>
      </w:r>
    </w:p>
    <w:p w14:paraId="6BA388E9" w14:textId="77777777" w:rsidR="00470D07" w:rsidRPr="000C4F35" w:rsidRDefault="00DB53C6" w:rsidP="00685329">
      <w:pPr>
        <w:pStyle w:val="ListDash1"/>
        <w:rPr>
          <w:noProof/>
        </w:rPr>
      </w:pPr>
      <w:r w:rsidRPr="000C4F35">
        <w:rPr>
          <w:rFonts w:eastAsia="Calibri"/>
          <w:noProof/>
          <w:lang w:eastAsia="en-GB"/>
        </w:rPr>
        <w:sym w:font="Wingdings" w:char="F0FD"/>
      </w:r>
      <w:r w:rsidR="00470D07" w:rsidRPr="000C4F35">
        <w:rPr>
          <w:noProof/>
        </w:rPr>
        <w:tab/>
        <w:t xml:space="preserve">The proposal/initiative does not require the use of operational appropriations </w:t>
      </w:r>
    </w:p>
    <w:p w14:paraId="7BC851F2" w14:textId="77777777" w:rsidR="00470D07" w:rsidRPr="000C4F35" w:rsidRDefault="00470D07" w:rsidP="00685329">
      <w:pPr>
        <w:pStyle w:val="ListDash1"/>
        <w:rPr>
          <w:noProof/>
        </w:rPr>
      </w:pPr>
      <w:r w:rsidRPr="000C4F35">
        <w:rPr>
          <w:noProof/>
        </w:rPr>
        <w:sym w:font="Wingdings" w:char="F0A8"/>
      </w:r>
      <w:r w:rsidRPr="000C4F35">
        <w:rPr>
          <w:noProof/>
        </w:rPr>
        <w:tab/>
        <w:t>The proposal/initiative requires the use of operational appropriations, as explained below:</w:t>
      </w:r>
    </w:p>
    <w:p w14:paraId="4EFCA221" w14:textId="77777777" w:rsidR="00470D07" w:rsidRPr="000C4F35" w:rsidRDefault="00470D07" w:rsidP="00685329">
      <w:pPr>
        <w:jc w:val="right"/>
        <w:rPr>
          <w:noProof/>
          <w:sz w:val="18"/>
          <w:szCs w:val="18"/>
        </w:rPr>
      </w:pPr>
      <w:r w:rsidRPr="000C4F35">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70D07" w:rsidRPr="000C4F35" w14:paraId="204808AC" w14:textId="77777777" w:rsidTr="00470D07">
        <w:trPr>
          <w:jc w:val="center"/>
        </w:trPr>
        <w:tc>
          <w:tcPr>
            <w:tcW w:w="4744" w:type="dxa"/>
            <w:shd w:val="thinDiagStripe" w:color="C0C0C0" w:fill="auto"/>
            <w:vAlign w:val="center"/>
          </w:tcPr>
          <w:p w14:paraId="4CE4B783" w14:textId="77777777" w:rsidR="00470D07" w:rsidRPr="000C4F35" w:rsidRDefault="00470D07" w:rsidP="00685329">
            <w:pPr>
              <w:spacing w:before="60" w:after="60"/>
              <w:jc w:val="center"/>
              <w:rPr>
                <w:b/>
                <w:noProof/>
              </w:rPr>
            </w:pPr>
            <w:r w:rsidRPr="000C4F35">
              <w:rPr>
                <w:b/>
                <w:noProof/>
                <w:sz w:val="22"/>
              </w:rPr>
              <w:t xml:space="preserve">Heading of multiannual financial </w:t>
            </w:r>
            <w:r w:rsidRPr="000C4F35">
              <w:rPr>
                <w:noProof/>
                <w:sz w:val="22"/>
              </w:rPr>
              <w:br/>
            </w:r>
            <w:r w:rsidRPr="000C4F35">
              <w:rPr>
                <w:b/>
                <w:noProof/>
                <w:sz w:val="22"/>
              </w:rPr>
              <w:t xml:space="preserve">framework </w:t>
            </w:r>
          </w:p>
        </w:tc>
        <w:tc>
          <w:tcPr>
            <w:tcW w:w="1080" w:type="dxa"/>
            <w:vAlign w:val="center"/>
          </w:tcPr>
          <w:p w14:paraId="7D60E92A" w14:textId="77777777" w:rsidR="00470D07" w:rsidRPr="000C4F35" w:rsidRDefault="00470D07" w:rsidP="00685329">
            <w:pPr>
              <w:spacing w:before="60" w:after="60"/>
              <w:jc w:val="center"/>
              <w:rPr>
                <w:noProof/>
              </w:rPr>
            </w:pPr>
            <w:r w:rsidRPr="000C4F35">
              <w:rPr>
                <w:noProof/>
                <w:sz w:val="22"/>
              </w:rPr>
              <w:t>Number</w:t>
            </w:r>
          </w:p>
        </w:tc>
        <w:tc>
          <w:tcPr>
            <w:tcW w:w="7817" w:type="dxa"/>
            <w:vAlign w:val="center"/>
          </w:tcPr>
          <w:p w14:paraId="09DDE287" w14:textId="77777777" w:rsidR="00470D07" w:rsidRPr="000C4F35" w:rsidRDefault="00470D07" w:rsidP="00685329">
            <w:pPr>
              <w:spacing w:before="60" w:after="60"/>
              <w:rPr>
                <w:noProof/>
              </w:rPr>
            </w:pPr>
          </w:p>
        </w:tc>
      </w:tr>
    </w:tbl>
    <w:p w14:paraId="068167BC" w14:textId="77777777" w:rsidR="00470D07" w:rsidRPr="000C4F35" w:rsidRDefault="00470D07" w:rsidP="00685329">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470D07" w:rsidRPr="000C4F35" w14:paraId="2632C036" w14:textId="77777777" w:rsidTr="00470D07">
        <w:tc>
          <w:tcPr>
            <w:tcW w:w="3960" w:type="dxa"/>
            <w:vAlign w:val="center"/>
          </w:tcPr>
          <w:p w14:paraId="2D754215" w14:textId="77777777" w:rsidR="00470D07" w:rsidRPr="000C4F35" w:rsidRDefault="00470D07" w:rsidP="00685329">
            <w:pPr>
              <w:jc w:val="center"/>
              <w:rPr>
                <w:noProof/>
              </w:rPr>
            </w:pPr>
            <w:r w:rsidRPr="000C4F35">
              <w:rPr>
                <w:noProof/>
                <w:sz w:val="22"/>
              </w:rPr>
              <w:t>DG: &lt;…….&gt;</w:t>
            </w:r>
          </w:p>
        </w:tc>
        <w:tc>
          <w:tcPr>
            <w:tcW w:w="1560" w:type="dxa"/>
            <w:gridSpan w:val="2"/>
          </w:tcPr>
          <w:p w14:paraId="0674EE9B" w14:textId="77777777" w:rsidR="00470D07" w:rsidRPr="000C4F35" w:rsidRDefault="00470D07" w:rsidP="00685329">
            <w:pPr>
              <w:rPr>
                <w:noProof/>
                <w:sz w:val="20"/>
              </w:rPr>
            </w:pPr>
          </w:p>
        </w:tc>
        <w:tc>
          <w:tcPr>
            <w:tcW w:w="534" w:type="dxa"/>
          </w:tcPr>
          <w:p w14:paraId="4EF27504" w14:textId="77777777" w:rsidR="00470D07" w:rsidRPr="000C4F35" w:rsidRDefault="00470D07" w:rsidP="00685329">
            <w:pPr>
              <w:jc w:val="center"/>
              <w:rPr>
                <w:noProof/>
                <w:sz w:val="20"/>
              </w:rPr>
            </w:pPr>
          </w:p>
        </w:tc>
        <w:tc>
          <w:tcPr>
            <w:tcW w:w="868" w:type="dxa"/>
            <w:vAlign w:val="center"/>
          </w:tcPr>
          <w:p w14:paraId="468009F2"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w:t>
            </w:r>
            <w:r w:rsidRPr="000C4F35">
              <w:rPr>
                <w:rStyle w:val="FootnoteReference"/>
                <w:b/>
                <w:noProof/>
                <w:sz w:val="20"/>
              </w:rPr>
              <w:footnoteReference w:id="50"/>
            </w:r>
          </w:p>
        </w:tc>
        <w:tc>
          <w:tcPr>
            <w:tcW w:w="868" w:type="dxa"/>
            <w:vAlign w:val="center"/>
          </w:tcPr>
          <w:p w14:paraId="390A6D8B"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N+1</w:t>
            </w:r>
          </w:p>
        </w:tc>
        <w:tc>
          <w:tcPr>
            <w:tcW w:w="868" w:type="dxa"/>
            <w:vAlign w:val="center"/>
          </w:tcPr>
          <w:p w14:paraId="60194529"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N+2</w:t>
            </w:r>
          </w:p>
        </w:tc>
        <w:tc>
          <w:tcPr>
            <w:tcW w:w="868" w:type="dxa"/>
            <w:vAlign w:val="center"/>
          </w:tcPr>
          <w:p w14:paraId="447F23AA"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N+3</w:t>
            </w:r>
          </w:p>
        </w:tc>
        <w:tc>
          <w:tcPr>
            <w:tcW w:w="2604" w:type="dxa"/>
            <w:gridSpan w:val="3"/>
            <w:vAlign w:val="center"/>
          </w:tcPr>
          <w:p w14:paraId="5C880E91" w14:textId="77777777" w:rsidR="00470D07" w:rsidRPr="000C4F35" w:rsidRDefault="00470D07" w:rsidP="00685329">
            <w:pPr>
              <w:jc w:val="center"/>
              <w:rPr>
                <w:b/>
                <w:noProof/>
                <w:sz w:val="18"/>
              </w:rPr>
            </w:pPr>
            <w:r w:rsidRPr="000C4F35">
              <w:rPr>
                <w:noProof/>
                <w:sz w:val="18"/>
              </w:rPr>
              <w:t>Enter as many years as necessary to show the duration of the impact (see point 1.6)</w:t>
            </w:r>
          </w:p>
        </w:tc>
        <w:tc>
          <w:tcPr>
            <w:tcW w:w="1777" w:type="dxa"/>
            <w:vAlign w:val="center"/>
          </w:tcPr>
          <w:p w14:paraId="6AA3BA66" w14:textId="77777777" w:rsidR="00470D07" w:rsidRPr="000C4F35" w:rsidRDefault="00470D07" w:rsidP="00685329">
            <w:pPr>
              <w:jc w:val="center"/>
              <w:rPr>
                <w:b/>
                <w:noProof/>
                <w:sz w:val="20"/>
              </w:rPr>
            </w:pPr>
            <w:r w:rsidRPr="000C4F35">
              <w:rPr>
                <w:b/>
                <w:noProof/>
                <w:sz w:val="20"/>
              </w:rPr>
              <w:t>TOTAL</w:t>
            </w:r>
          </w:p>
        </w:tc>
      </w:tr>
      <w:tr w:rsidR="00470D07" w:rsidRPr="000C4F35" w14:paraId="7432E180" w14:textId="77777777" w:rsidTr="00470D07">
        <w:trPr>
          <w:trHeight w:val="213"/>
        </w:trPr>
        <w:tc>
          <w:tcPr>
            <w:tcW w:w="6054" w:type="dxa"/>
            <w:gridSpan w:val="4"/>
            <w:vAlign w:val="center"/>
          </w:tcPr>
          <w:p w14:paraId="04049357" w14:textId="77777777" w:rsidR="00470D07" w:rsidRPr="000C4F35" w:rsidRDefault="00470D07" w:rsidP="00685329">
            <w:pPr>
              <w:spacing w:before="20" w:after="20"/>
              <w:rPr>
                <w:noProof/>
                <w:sz w:val="21"/>
              </w:rPr>
            </w:pPr>
            <w:r w:rsidRPr="000C4F35">
              <w:rPr>
                <w:noProof/>
                <w:sz w:val="21"/>
              </w:rPr>
              <w:sym w:font="Wingdings" w:char="F09F"/>
            </w:r>
            <w:r w:rsidRPr="000C4F35">
              <w:rPr>
                <w:noProof/>
                <w:sz w:val="21"/>
              </w:rPr>
              <w:t xml:space="preserve"> Operational appropriations </w:t>
            </w:r>
          </w:p>
        </w:tc>
        <w:tc>
          <w:tcPr>
            <w:tcW w:w="868" w:type="dxa"/>
            <w:vAlign w:val="center"/>
          </w:tcPr>
          <w:p w14:paraId="3E951B2A" w14:textId="77777777" w:rsidR="00470D07" w:rsidRPr="000C4F35" w:rsidRDefault="00470D07" w:rsidP="00685329">
            <w:pPr>
              <w:rPr>
                <w:noProof/>
                <w:sz w:val="20"/>
              </w:rPr>
            </w:pPr>
          </w:p>
        </w:tc>
        <w:tc>
          <w:tcPr>
            <w:tcW w:w="868" w:type="dxa"/>
            <w:vAlign w:val="center"/>
          </w:tcPr>
          <w:p w14:paraId="793FFAB0" w14:textId="77777777" w:rsidR="00470D07" w:rsidRPr="000C4F35" w:rsidRDefault="00470D07" w:rsidP="00685329">
            <w:pPr>
              <w:rPr>
                <w:noProof/>
                <w:sz w:val="20"/>
              </w:rPr>
            </w:pPr>
          </w:p>
        </w:tc>
        <w:tc>
          <w:tcPr>
            <w:tcW w:w="868" w:type="dxa"/>
            <w:vAlign w:val="center"/>
          </w:tcPr>
          <w:p w14:paraId="26812960" w14:textId="77777777" w:rsidR="00470D07" w:rsidRPr="000C4F35" w:rsidRDefault="00470D07" w:rsidP="00685329">
            <w:pPr>
              <w:rPr>
                <w:noProof/>
                <w:sz w:val="20"/>
              </w:rPr>
            </w:pPr>
          </w:p>
        </w:tc>
        <w:tc>
          <w:tcPr>
            <w:tcW w:w="868" w:type="dxa"/>
            <w:vAlign w:val="center"/>
          </w:tcPr>
          <w:p w14:paraId="441D1008" w14:textId="77777777" w:rsidR="00470D07" w:rsidRPr="000C4F35" w:rsidRDefault="00470D07" w:rsidP="00685329">
            <w:pPr>
              <w:rPr>
                <w:noProof/>
                <w:sz w:val="20"/>
              </w:rPr>
            </w:pPr>
          </w:p>
        </w:tc>
        <w:tc>
          <w:tcPr>
            <w:tcW w:w="868" w:type="dxa"/>
            <w:vAlign w:val="center"/>
          </w:tcPr>
          <w:p w14:paraId="29FCD9AD" w14:textId="77777777" w:rsidR="00470D07" w:rsidRPr="000C4F35" w:rsidRDefault="00470D07" w:rsidP="00685329">
            <w:pPr>
              <w:rPr>
                <w:noProof/>
                <w:sz w:val="20"/>
              </w:rPr>
            </w:pPr>
          </w:p>
        </w:tc>
        <w:tc>
          <w:tcPr>
            <w:tcW w:w="868" w:type="dxa"/>
            <w:vAlign w:val="center"/>
          </w:tcPr>
          <w:p w14:paraId="6437825C" w14:textId="77777777" w:rsidR="00470D07" w:rsidRPr="000C4F35" w:rsidRDefault="00470D07" w:rsidP="00685329">
            <w:pPr>
              <w:rPr>
                <w:noProof/>
                <w:sz w:val="20"/>
              </w:rPr>
            </w:pPr>
          </w:p>
        </w:tc>
        <w:tc>
          <w:tcPr>
            <w:tcW w:w="868" w:type="dxa"/>
            <w:vAlign w:val="center"/>
          </w:tcPr>
          <w:p w14:paraId="4090EC52" w14:textId="77777777" w:rsidR="00470D07" w:rsidRPr="000C4F35" w:rsidRDefault="00470D07" w:rsidP="00685329">
            <w:pPr>
              <w:rPr>
                <w:b/>
                <w:noProof/>
                <w:sz w:val="20"/>
              </w:rPr>
            </w:pPr>
          </w:p>
        </w:tc>
        <w:tc>
          <w:tcPr>
            <w:tcW w:w="1777" w:type="dxa"/>
            <w:vAlign w:val="center"/>
          </w:tcPr>
          <w:p w14:paraId="12C6EB05" w14:textId="77777777" w:rsidR="00470D07" w:rsidRPr="000C4F35" w:rsidRDefault="00470D07" w:rsidP="00685329">
            <w:pPr>
              <w:rPr>
                <w:b/>
                <w:noProof/>
                <w:sz w:val="20"/>
              </w:rPr>
            </w:pPr>
          </w:p>
        </w:tc>
      </w:tr>
      <w:tr w:rsidR="00470D07" w:rsidRPr="000C4F35" w14:paraId="6447942A" w14:textId="77777777" w:rsidTr="00470D07">
        <w:trPr>
          <w:trHeight w:val="277"/>
        </w:trPr>
        <w:tc>
          <w:tcPr>
            <w:tcW w:w="3960" w:type="dxa"/>
            <w:vMerge w:val="restart"/>
            <w:vAlign w:val="center"/>
          </w:tcPr>
          <w:p w14:paraId="5F01DEAA" w14:textId="77777777" w:rsidR="00470D07" w:rsidRPr="000C4F35" w:rsidRDefault="00470D07" w:rsidP="00685329">
            <w:pPr>
              <w:rPr>
                <w:noProof/>
              </w:rPr>
            </w:pPr>
            <w:r w:rsidRPr="000C4F35">
              <w:rPr>
                <w:noProof/>
                <w:sz w:val="20"/>
              </w:rPr>
              <w:t>Budget line</w:t>
            </w:r>
            <w:r w:rsidRPr="000C4F35">
              <w:rPr>
                <w:rStyle w:val="FootnoteReference"/>
                <w:noProof/>
                <w:sz w:val="20"/>
              </w:rPr>
              <w:footnoteReference w:id="51"/>
            </w:r>
          </w:p>
        </w:tc>
        <w:tc>
          <w:tcPr>
            <w:tcW w:w="1440" w:type="dxa"/>
            <w:vAlign w:val="center"/>
          </w:tcPr>
          <w:p w14:paraId="65C800A3" w14:textId="77777777" w:rsidR="00470D07" w:rsidRPr="000C4F35" w:rsidRDefault="00470D07" w:rsidP="00685329">
            <w:pPr>
              <w:spacing w:before="20" w:after="20"/>
              <w:rPr>
                <w:noProof/>
                <w:sz w:val="18"/>
              </w:rPr>
            </w:pPr>
            <w:r w:rsidRPr="000C4F35">
              <w:rPr>
                <w:noProof/>
                <w:sz w:val="18"/>
              </w:rPr>
              <w:t>Commitments</w:t>
            </w:r>
          </w:p>
        </w:tc>
        <w:tc>
          <w:tcPr>
            <w:tcW w:w="654" w:type="dxa"/>
            <w:gridSpan w:val="2"/>
            <w:vAlign w:val="center"/>
          </w:tcPr>
          <w:p w14:paraId="44CD6819" w14:textId="77777777" w:rsidR="00470D07" w:rsidRPr="000C4F35" w:rsidRDefault="00470D07" w:rsidP="00685329">
            <w:pPr>
              <w:spacing w:before="20" w:after="20"/>
              <w:jc w:val="center"/>
              <w:rPr>
                <w:noProof/>
                <w:sz w:val="14"/>
              </w:rPr>
            </w:pPr>
            <w:r w:rsidRPr="000C4F35">
              <w:rPr>
                <w:noProof/>
                <w:sz w:val="14"/>
              </w:rPr>
              <w:t>(1a)</w:t>
            </w:r>
          </w:p>
        </w:tc>
        <w:tc>
          <w:tcPr>
            <w:tcW w:w="868" w:type="dxa"/>
            <w:vAlign w:val="center"/>
          </w:tcPr>
          <w:p w14:paraId="171F5CBA" w14:textId="77777777" w:rsidR="00470D07" w:rsidRPr="000C4F35" w:rsidRDefault="00470D07" w:rsidP="00685329">
            <w:pPr>
              <w:spacing w:before="20" w:after="20"/>
              <w:jc w:val="right"/>
              <w:rPr>
                <w:noProof/>
                <w:sz w:val="20"/>
              </w:rPr>
            </w:pPr>
          </w:p>
        </w:tc>
        <w:tc>
          <w:tcPr>
            <w:tcW w:w="868" w:type="dxa"/>
            <w:vAlign w:val="center"/>
          </w:tcPr>
          <w:p w14:paraId="293516A6" w14:textId="77777777" w:rsidR="00470D07" w:rsidRPr="000C4F35" w:rsidRDefault="00470D07" w:rsidP="00685329">
            <w:pPr>
              <w:spacing w:before="20" w:after="20"/>
              <w:jc w:val="right"/>
              <w:rPr>
                <w:noProof/>
                <w:sz w:val="20"/>
              </w:rPr>
            </w:pPr>
          </w:p>
        </w:tc>
        <w:tc>
          <w:tcPr>
            <w:tcW w:w="868" w:type="dxa"/>
            <w:vAlign w:val="center"/>
          </w:tcPr>
          <w:p w14:paraId="74B2B84A" w14:textId="77777777" w:rsidR="00470D07" w:rsidRPr="000C4F35" w:rsidRDefault="00470D07" w:rsidP="00685329">
            <w:pPr>
              <w:spacing w:before="20" w:after="20"/>
              <w:jc w:val="right"/>
              <w:rPr>
                <w:noProof/>
                <w:sz w:val="20"/>
              </w:rPr>
            </w:pPr>
          </w:p>
        </w:tc>
        <w:tc>
          <w:tcPr>
            <w:tcW w:w="868" w:type="dxa"/>
            <w:vAlign w:val="center"/>
          </w:tcPr>
          <w:p w14:paraId="0754F4DC" w14:textId="77777777" w:rsidR="00470D07" w:rsidRPr="000C4F35" w:rsidRDefault="00470D07" w:rsidP="00685329">
            <w:pPr>
              <w:spacing w:before="20" w:after="20"/>
              <w:jc w:val="right"/>
              <w:rPr>
                <w:noProof/>
                <w:sz w:val="20"/>
              </w:rPr>
            </w:pPr>
          </w:p>
        </w:tc>
        <w:tc>
          <w:tcPr>
            <w:tcW w:w="868" w:type="dxa"/>
            <w:vAlign w:val="center"/>
          </w:tcPr>
          <w:p w14:paraId="614246B4" w14:textId="77777777" w:rsidR="00470D07" w:rsidRPr="000C4F35" w:rsidRDefault="00470D07" w:rsidP="00685329">
            <w:pPr>
              <w:spacing w:before="20" w:after="20"/>
              <w:jc w:val="right"/>
              <w:rPr>
                <w:noProof/>
                <w:sz w:val="20"/>
              </w:rPr>
            </w:pPr>
          </w:p>
        </w:tc>
        <w:tc>
          <w:tcPr>
            <w:tcW w:w="868" w:type="dxa"/>
            <w:vAlign w:val="center"/>
          </w:tcPr>
          <w:p w14:paraId="469F5CBA" w14:textId="77777777" w:rsidR="00470D07" w:rsidRPr="000C4F35" w:rsidRDefault="00470D07" w:rsidP="00685329">
            <w:pPr>
              <w:spacing w:before="20" w:after="20"/>
              <w:jc w:val="right"/>
              <w:rPr>
                <w:noProof/>
                <w:sz w:val="20"/>
              </w:rPr>
            </w:pPr>
          </w:p>
        </w:tc>
        <w:tc>
          <w:tcPr>
            <w:tcW w:w="868" w:type="dxa"/>
            <w:vAlign w:val="center"/>
          </w:tcPr>
          <w:p w14:paraId="6AB536A4" w14:textId="77777777" w:rsidR="00470D07" w:rsidRPr="000C4F35" w:rsidRDefault="00470D07" w:rsidP="00685329">
            <w:pPr>
              <w:spacing w:before="20" w:after="20"/>
              <w:jc w:val="right"/>
              <w:rPr>
                <w:b/>
                <w:noProof/>
                <w:sz w:val="20"/>
              </w:rPr>
            </w:pPr>
          </w:p>
        </w:tc>
        <w:tc>
          <w:tcPr>
            <w:tcW w:w="1777" w:type="dxa"/>
            <w:vAlign w:val="center"/>
          </w:tcPr>
          <w:p w14:paraId="44FE2112" w14:textId="77777777" w:rsidR="00470D07" w:rsidRPr="000C4F35" w:rsidRDefault="00470D07" w:rsidP="00685329">
            <w:pPr>
              <w:spacing w:before="20" w:after="20"/>
              <w:jc w:val="right"/>
              <w:rPr>
                <w:b/>
                <w:noProof/>
                <w:sz w:val="20"/>
              </w:rPr>
            </w:pPr>
          </w:p>
        </w:tc>
      </w:tr>
      <w:tr w:rsidR="00470D07" w:rsidRPr="000C4F35" w14:paraId="73176991" w14:textId="77777777" w:rsidTr="00470D07">
        <w:tc>
          <w:tcPr>
            <w:tcW w:w="3960" w:type="dxa"/>
            <w:vMerge/>
          </w:tcPr>
          <w:p w14:paraId="290C0D4A" w14:textId="77777777" w:rsidR="00470D07" w:rsidRPr="000C4F35" w:rsidRDefault="00470D07" w:rsidP="00685329">
            <w:pPr>
              <w:jc w:val="center"/>
              <w:rPr>
                <w:noProof/>
                <w:sz w:val="20"/>
              </w:rPr>
            </w:pPr>
          </w:p>
        </w:tc>
        <w:tc>
          <w:tcPr>
            <w:tcW w:w="1440" w:type="dxa"/>
            <w:vAlign w:val="center"/>
          </w:tcPr>
          <w:p w14:paraId="4E66974A" w14:textId="77777777" w:rsidR="00470D07" w:rsidRPr="000C4F35" w:rsidRDefault="00470D07" w:rsidP="00685329">
            <w:pPr>
              <w:spacing w:before="20" w:after="20"/>
              <w:rPr>
                <w:noProof/>
                <w:sz w:val="18"/>
              </w:rPr>
            </w:pPr>
            <w:r w:rsidRPr="000C4F35">
              <w:rPr>
                <w:noProof/>
                <w:sz w:val="18"/>
              </w:rPr>
              <w:t>Payments</w:t>
            </w:r>
          </w:p>
        </w:tc>
        <w:tc>
          <w:tcPr>
            <w:tcW w:w="654" w:type="dxa"/>
            <w:gridSpan w:val="2"/>
            <w:vAlign w:val="center"/>
          </w:tcPr>
          <w:p w14:paraId="50C6CFB1" w14:textId="77777777" w:rsidR="00470D07" w:rsidRPr="000C4F35" w:rsidRDefault="00470D07" w:rsidP="00685329">
            <w:pPr>
              <w:spacing w:before="20" w:after="20"/>
              <w:jc w:val="center"/>
              <w:rPr>
                <w:noProof/>
                <w:sz w:val="14"/>
              </w:rPr>
            </w:pPr>
            <w:r w:rsidRPr="000C4F35">
              <w:rPr>
                <w:noProof/>
                <w:sz w:val="14"/>
              </w:rPr>
              <w:t>(2a)</w:t>
            </w:r>
          </w:p>
        </w:tc>
        <w:tc>
          <w:tcPr>
            <w:tcW w:w="868" w:type="dxa"/>
            <w:vAlign w:val="center"/>
          </w:tcPr>
          <w:p w14:paraId="761AA306" w14:textId="77777777" w:rsidR="00470D07" w:rsidRPr="000C4F35" w:rsidRDefault="00470D07" w:rsidP="00685329">
            <w:pPr>
              <w:spacing w:before="20" w:after="20"/>
              <w:jc w:val="right"/>
              <w:rPr>
                <w:noProof/>
                <w:sz w:val="20"/>
              </w:rPr>
            </w:pPr>
          </w:p>
        </w:tc>
        <w:tc>
          <w:tcPr>
            <w:tcW w:w="868" w:type="dxa"/>
            <w:vAlign w:val="center"/>
          </w:tcPr>
          <w:p w14:paraId="76ED0254" w14:textId="77777777" w:rsidR="00470D07" w:rsidRPr="000C4F35" w:rsidRDefault="00470D07" w:rsidP="00685329">
            <w:pPr>
              <w:spacing w:before="20" w:after="20"/>
              <w:jc w:val="right"/>
              <w:rPr>
                <w:noProof/>
                <w:sz w:val="20"/>
              </w:rPr>
            </w:pPr>
          </w:p>
        </w:tc>
        <w:tc>
          <w:tcPr>
            <w:tcW w:w="868" w:type="dxa"/>
            <w:vAlign w:val="center"/>
          </w:tcPr>
          <w:p w14:paraId="7D7F591B" w14:textId="77777777" w:rsidR="00470D07" w:rsidRPr="000C4F35" w:rsidRDefault="00470D07" w:rsidP="00685329">
            <w:pPr>
              <w:spacing w:before="20" w:after="20"/>
              <w:jc w:val="right"/>
              <w:rPr>
                <w:noProof/>
                <w:sz w:val="20"/>
              </w:rPr>
            </w:pPr>
          </w:p>
        </w:tc>
        <w:tc>
          <w:tcPr>
            <w:tcW w:w="868" w:type="dxa"/>
            <w:vAlign w:val="center"/>
          </w:tcPr>
          <w:p w14:paraId="198A661C" w14:textId="77777777" w:rsidR="00470D07" w:rsidRPr="000C4F35" w:rsidRDefault="00470D07" w:rsidP="00685329">
            <w:pPr>
              <w:spacing w:before="20" w:after="20"/>
              <w:jc w:val="right"/>
              <w:rPr>
                <w:noProof/>
                <w:sz w:val="20"/>
              </w:rPr>
            </w:pPr>
          </w:p>
        </w:tc>
        <w:tc>
          <w:tcPr>
            <w:tcW w:w="868" w:type="dxa"/>
            <w:vAlign w:val="center"/>
          </w:tcPr>
          <w:p w14:paraId="6D7BF90A" w14:textId="77777777" w:rsidR="00470D07" w:rsidRPr="000C4F35" w:rsidRDefault="00470D07" w:rsidP="00685329">
            <w:pPr>
              <w:spacing w:before="20" w:after="20"/>
              <w:jc w:val="right"/>
              <w:rPr>
                <w:noProof/>
                <w:sz w:val="20"/>
              </w:rPr>
            </w:pPr>
          </w:p>
        </w:tc>
        <w:tc>
          <w:tcPr>
            <w:tcW w:w="868" w:type="dxa"/>
            <w:vAlign w:val="center"/>
          </w:tcPr>
          <w:p w14:paraId="480DEFAA" w14:textId="77777777" w:rsidR="00470D07" w:rsidRPr="000C4F35" w:rsidRDefault="00470D07" w:rsidP="00685329">
            <w:pPr>
              <w:spacing w:before="20" w:after="20"/>
              <w:jc w:val="right"/>
              <w:rPr>
                <w:noProof/>
                <w:sz w:val="20"/>
              </w:rPr>
            </w:pPr>
          </w:p>
        </w:tc>
        <w:tc>
          <w:tcPr>
            <w:tcW w:w="868" w:type="dxa"/>
            <w:vAlign w:val="center"/>
          </w:tcPr>
          <w:p w14:paraId="59B0307C" w14:textId="77777777" w:rsidR="00470D07" w:rsidRPr="000C4F35" w:rsidRDefault="00470D07" w:rsidP="00685329">
            <w:pPr>
              <w:spacing w:before="20" w:after="20"/>
              <w:jc w:val="right"/>
              <w:rPr>
                <w:b/>
                <w:noProof/>
                <w:sz w:val="20"/>
              </w:rPr>
            </w:pPr>
          </w:p>
        </w:tc>
        <w:tc>
          <w:tcPr>
            <w:tcW w:w="1777" w:type="dxa"/>
            <w:vAlign w:val="center"/>
          </w:tcPr>
          <w:p w14:paraId="5740FC2F" w14:textId="77777777" w:rsidR="00470D07" w:rsidRPr="000C4F35" w:rsidRDefault="00470D07" w:rsidP="00685329">
            <w:pPr>
              <w:spacing w:before="20" w:after="20"/>
              <w:jc w:val="right"/>
              <w:rPr>
                <w:b/>
                <w:noProof/>
                <w:sz w:val="20"/>
              </w:rPr>
            </w:pPr>
          </w:p>
        </w:tc>
      </w:tr>
      <w:tr w:rsidR="00470D07" w:rsidRPr="000C4F35" w14:paraId="7D1C8762" w14:textId="77777777" w:rsidTr="00470D07">
        <w:tc>
          <w:tcPr>
            <w:tcW w:w="3960" w:type="dxa"/>
            <w:vMerge w:val="restart"/>
            <w:vAlign w:val="center"/>
          </w:tcPr>
          <w:p w14:paraId="6439DF5A" w14:textId="77777777" w:rsidR="00470D07" w:rsidRPr="000C4F35" w:rsidRDefault="00470D07" w:rsidP="00685329">
            <w:pPr>
              <w:rPr>
                <w:noProof/>
              </w:rPr>
            </w:pPr>
            <w:r w:rsidRPr="000C4F35">
              <w:rPr>
                <w:noProof/>
                <w:sz w:val="20"/>
              </w:rPr>
              <w:t>Budget line</w:t>
            </w:r>
          </w:p>
        </w:tc>
        <w:tc>
          <w:tcPr>
            <w:tcW w:w="1440" w:type="dxa"/>
            <w:vAlign w:val="center"/>
          </w:tcPr>
          <w:p w14:paraId="1B3A6D51" w14:textId="77777777" w:rsidR="00470D07" w:rsidRPr="000C4F35" w:rsidRDefault="00470D07" w:rsidP="00685329">
            <w:pPr>
              <w:spacing w:before="20" w:after="20"/>
              <w:rPr>
                <w:noProof/>
                <w:sz w:val="18"/>
              </w:rPr>
            </w:pPr>
            <w:r w:rsidRPr="000C4F35">
              <w:rPr>
                <w:noProof/>
                <w:sz w:val="18"/>
              </w:rPr>
              <w:t>Commitments</w:t>
            </w:r>
          </w:p>
        </w:tc>
        <w:tc>
          <w:tcPr>
            <w:tcW w:w="654" w:type="dxa"/>
            <w:gridSpan w:val="2"/>
            <w:vAlign w:val="center"/>
          </w:tcPr>
          <w:p w14:paraId="2B808C4D" w14:textId="77777777" w:rsidR="00470D07" w:rsidRPr="000C4F35" w:rsidRDefault="00470D07" w:rsidP="00685329">
            <w:pPr>
              <w:spacing w:before="20" w:after="20"/>
              <w:jc w:val="center"/>
              <w:rPr>
                <w:noProof/>
                <w:sz w:val="14"/>
              </w:rPr>
            </w:pPr>
            <w:r w:rsidRPr="000C4F35">
              <w:rPr>
                <w:noProof/>
                <w:sz w:val="14"/>
              </w:rPr>
              <w:t>(1b)</w:t>
            </w:r>
          </w:p>
        </w:tc>
        <w:tc>
          <w:tcPr>
            <w:tcW w:w="868" w:type="dxa"/>
            <w:vAlign w:val="center"/>
          </w:tcPr>
          <w:p w14:paraId="7D933192" w14:textId="77777777" w:rsidR="00470D07" w:rsidRPr="000C4F35" w:rsidRDefault="00470D07" w:rsidP="00685329">
            <w:pPr>
              <w:spacing w:before="20" w:after="20"/>
              <w:jc w:val="right"/>
              <w:rPr>
                <w:noProof/>
                <w:sz w:val="20"/>
              </w:rPr>
            </w:pPr>
          </w:p>
        </w:tc>
        <w:tc>
          <w:tcPr>
            <w:tcW w:w="868" w:type="dxa"/>
            <w:vAlign w:val="center"/>
          </w:tcPr>
          <w:p w14:paraId="12E1B8CF" w14:textId="77777777" w:rsidR="00470D07" w:rsidRPr="000C4F35" w:rsidRDefault="00470D07" w:rsidP="00685329">
            <w:pPr>
              <w:spacing w:before="20" w:after="20"/>
              <w:jc w:val="right"/>
              <w:rPr>
                <w:noProof/>
                <w:sz w:val="20"/>
              </w:rPr>
            </w:pPr>
          </w:p>
        </w:tc>
        <w:tc>
          <w:tcPr>
            <w:tcW w:w="868" w:type="dxa"/>
            <w:vAlign w:val="center"/>
          </w:tcPr>
          <w:p w14:paraId="787B9FF5" w14:textId="77777777" w:rsidR="00470D07" w:rsidRPr="000C4F35" w:rsidRDefault="00470D07" w:rsidP="00685329">
            <w:pPr>
              <w:spacing w:before="20" w:after="20"/>
              <w:jc w:val="right"/>
              <w:rPr>
                <w:noProof/>
                <w:sz w:val="20"/>
              </w:rPr>
            </w:pPr>
          </w:p>
        </w:tc>
        <w:tc>
          <w:tcPr>
            <w:tcW w:w="868" w:type="dxa"/>
            <w:vAlign w:val="center"/>
          </w:tcPr>
          <w:p w14:paraId="39B47423" w14:textId="77777777" w:rsidR="00470D07" w:rsidRPr="000C4F35" w:rsidRDefault="00470D07" w:rsidP="00685329">
            <w:pPr>
              <w:spacing w:before="20" w:after="20"/>
              <w:jc w:val="right"/>
              <w:rPr>
                <w:noProof/>
                <w:sz w:val="20"/>
              </w:rPr>
            </w:pPr>
          </w:p>
        </w:tc>
        <w:tc>
          <w:tcPr>
            <w:tcW w:w="868" w:type="dxa"/>
            <w:vAlign w:val="center"/>
          </w:tcPr>
          <w:p w14:paraId="5AD83F8D" w14:textId="77777777" w:rsidR="00470D07" w:rsidRPr="000C4F35" w:rsidRDefault="00470D07" w:rsidP="00685329">
            <w:pPr>
              <w:spacing w:before="20" w:after="20"/>
              <w:jc w:val="right"/>
              <w:rPr>
                <w:noProof/>
                <w:sz w:val="20"/>
              </w:rPr>
            </w:pPr>
          </w:p>
        </w:tc>
        <w:tc>
          <w:tcPr>
            <w:tcW w:w="868" w:type="dxa"/>
            <w:vAlign w:val="center"/>
          </w:tcPr>
          <w:p w14:paraId="350AE016" w14:textId="77777777" w:rsidR="00470D07" w:rsidRPr="000C4F35" w:rsidRDefault="00470D07" w:rsidP="00685329">
            <w:pPr>
              <w:spacing w:before="20" w:after="20"/>
              <w:jc w:val="right"/>
              <w:rPr>
                <w:noProof/>
                <w:sz w:val="20"/>
              </w:rPr>
            </w:pPr>
          </w:p>
        </w:tc>
        <w:tc>
          <w:tcPr>
            <w:tcW w:w="868" w:type="dxa"/>
            <w:vAlign w:val="center"/>
          </w:tcPr>
          <w:p w14:paraId="7D4379FD" w14:textId="77777777" w:rsidR="00470D07" w:rsidRPr="000C4F35" w:rsidRDefault="00470D07" w:rsidP="00685329">
            <w:pPr>
              <w:spacing w:before="20" w:after="20"/>
              <w:jc w:val="right"/>
              <w:rPr>
                <w:b/>
                <w:noProof/>
                <w:sz w:val="20"/>
              </w:rPr>
            </w:pPr>
          </w:p>
        </w:tc>
        <w:tc>
          <w:tcPr>
            <w:tcW w:w="1777" w:type="dxa"/>
            <w:vAlign w:val="center"/>
          </w:tcPr>
          <w:p w14:paraId="20ABE27D" w14:textId="77777777" w:rsidR="00470D07" w:rsidRPr="000C4F35" w:rsidRDefault="00470D07" w:rsidP="00685329">
            <w:pPr>
              <w:spacing w:before="20" w:after="20"/>
              <w:jc w:val="right"/>
              <w:rPr>
                <w:b/>
                <w:noProof/>
                <w:sz w:val="20"/>
              </w:rPr>
            </w:pPr>
          </w:p>
        </w:tc>
      </w:tr>
      <w:tr w:rsidR="00470D07" w:rsidRPr="000C4F35" w14:paraId="3DDF177B" w14:textId="77777777" w:rsidTr="00470D07">
        <w:tc>
          <w:tcPr>
            <w:tcW w:w="3960" w:type="dxa"/>
            <w:vMerge/>
          </w:tcPr>
          <w:p w14:paraId="4A82C0B9" w14:textId="77777777" w:rsidR="00470D07" w:rsidRPr="000C4F35" w:rsidRDefault="00470D07" w:rsidP="00685329">
            <w:pPr>
              <w:jc w:val="center"/>
              <w:rPr>
                <w:noProof/>
                <w:sz w:val="20"/>
              </w:rPr>
            </w:pPr>
          </w:p>
        </w:tc>
        <w:tc>
          <w:tcPr>
            <w:tcW w:w="1440" w:type="dxa"/>
            <w:vAlign w:val="center"/>
          </w:tcPr>
          <w:p w14:paraId="15285872" w14:textId="77777777" w:rsidR="00470D07" w:rsidRPr="000C4F35" w:rsidRDefault="00470D07" w:rsidP="00685329">
            <w:pPr>
              <w:spacing w:before="20" w:after="20"/>
              <w:rPr>
                <w:noProof/>
                <w:sz w:val="18"/>
              </w:rPr>
            </w:pPr>
            <w:r w:rsidRPr="000C4F35">
              <w:rPr>
                <w:noProof/>
                <w:sz w:val="18"/>
              </w:rPr>
              <w:t>Payments</w:t>
            </w:r>
          </w:p>
        </w:tc>
        <w:tc>
          <w:tcPr>
            <w:tcW w:w="654" w:type="dxa"/>
            <w:gridSpan w:val="2"/>
            <w:vAlign w:val="center"/>
          </w:tcPr>
          <w:p w14:paraId="47D5BBB8" w14:textId="77777777" w:rsidR="00470D07" w:rsidRPr="000C4F35" w:rsidRDefault="00470D07" w:rsidP="00685329">
            <w:pPr>
              <w:spacing w:before="20" w:after="20"/>
              <w:jc w:val="center"/>
              <w:rPr>
                <w:noProof/>
                <w:sz w:val="14"/>
              </w:rPr>
            </w:pPr>
            <w:r w:rsidRPr="000C4F35">
              <w:rPr>
                <w:noProof/>
                <w:sz w:val="14"/>
              </w:rPr>
              <w:t>(2b)</w:t>
            </w:r>
          </w:p>
        </w:tc>
        <w:tc>
          <w:tcPr>
            <w:tcW w:w="868" w:type="dxa"/>
            <w:vAlign w:val="center"/>
          </w:tcPr>
          <w:p w14:paraId="6D8F656C" w14:textId="77777777" w:rsidR="00470D07" w:rsidRPr="000C4F35" w:rsidRDefault="00470D07" w:rsidP="00685329">
            <w:pPr>
              <w:spacing w:before="20" w:after="20"/>
              <w:jc w:val="right"/>
              <w:rPr>
                <w:noProof/>
                <w:sz w:val="20"/>
              </w:rPr>
            </w:pPr>
          </w:p>
        </w:tc>
        <w:tc>
          <w:tcPr>
            <w:tcW w:w="868" w:type="dxa"/>
            <w:vAlign w:val="center"/>
          </w:tcPr>
          <w:p w14:paraId="3132C96F" w14:textId="77777777" w:rsidR="00470D07" w:rsidRPr="000C4F35" w:rsidRDefault="00470D07" w:rsidP="00685329">
            <w:pPr>
              <w:spacing w:before="20" w:after="20"/>
              <w:jc w:val="right"/>
              <w:rPr>
                <w:noProof/>
                <w:sz w:val="20"/>
              </w:rPr>
            </w:pPr>
          </w:p>
        </w:tc>
        <w:tc>
          <w:tcPr>
            <w:tcW w:w="868" w:type="dxa"/>
            <w:vAlign w:val="center"/>
          </w:tcPr>
          <w:p w14:paraId="04668211" w14:textId="77777777" w:rsidR="00470D07" w:rsidRPr="000C4F35" w:rsidRDefault="00470D07" w:rsidP="00685329">
            <w:pPr>
              <w:spacing w:before="20" w:after="20"/>
              <w:jc w:val="right"/>
              <w:rPr>
                <w:noProof/>
                <w:sz w:val="20"/>
              </w:rPr>
            </w:pPr>
          </w:p>
        </w:tc>
        <w:tc>
          <w:tcPr>
            <w:tcW w:w="868" w:type="dxa"/>
            <w:vAlign w:val="center"/>
          </w:tcPr>
          <w:p w14:paraId="6B987860" w14:textId="77777777" w:rsidR="00470D07" w:rsidRPr="000C4F35" w:rsidRDefault="00470D07" w:rsidP="00685329">
            <w:pPr>
              <w:spacing w:before="20" w:after="20"/>
              <w:jc w:val="right"/>
              <w:rPr>
                <w:noProof/>
                <w:sz w:val="20"/>
              </w:rPr>
            </w:pPr>
          </w:p>
        </w:tc>
        <w:tc>
          <w:tcPr>
            <w:tcW w:w="868" w:type="dxa"/>
            <w:vAlign w:val="center"/>
          </w:tcPr>
          <w:p w14:paraId="534EEF8A" w14:textId="77777777" w:rsidR="00470D07" w:rsidRPr="000C4F35" w:rsidRDefault="00470D07" w:rsidP="00685329">
            <w:pPr>
              <w:spacing w:before="20" w:after="20"/>
              <w:jc w:val="right"/>
              <w:rPr>
                <w:noProof/>
                <w:sz w:val="20"/>
              </w:rPr>
            </w:pPr>
          </w:p>
        </w:tc>
        <w:tc>
          <w:tcPr>
            <w:tcW w:w="868" w:type="dxa"/>
            <w:vAlign w:val="center"/>
          </w:tcPr>
          <w:p w14:paraId="164853EE" w14:textId="77777777" w:rsidR="00470D07" w:rsidRPr="000C4F35" w:rsidRDefault="00470D07" w:rsidP="00685329">
            <w:pPr>
              <w:spacing w:before="20" w:after="20"/>
              <w:jc w:val="right"/>
              <w:rPr>
                <w:noProof/>
                <w:sz w:val="20"/>
              </w:rPr>
            </w:pPr>
          </w:p>
        </w:tc>
        <w:tc>
          <w:tcPr>
            <w:tcW w:w="868" w:type="dxa"/>
            <w:vAlign w:val="center"/>
          </w:tcPr>
          <w:p w14:paraId="6FC8A048" w14:textId="77777777" w:rsidR="00470D07" w:rsidRPr="000C4F35" w:rsidRDefault="00470D07" w:rsidP="00685329">
            <w:pPr>
              <w:spacing w:before="20" w:after="20"/>
              <w:jc w:val="right"/>
              <w:rPr>
                <w:b/>
                <w:noProof/>
                <w:sz w:val="20"/>
              </w:rPr>
            </w:pPr>
          </w:p>
        </w:tc>
        <w:tc>
          <w:tcPr>
            <w:tcW w:w="1777" w:type="dxa"/>
            <w:vAlign w:val="center"/>
          </w:tcPr>
          <w:p w14:paraId="7EB9EDA7" w14:textId="77777777" w:rsidR="00470D07" w:rsidRPr="000C4F35" w:rsidRDefault="00470D07" w:rsidP="00685329">
            <w:pPr>
              <w:spacing w:before="20" w:after="20"/>
              <w:jc w:val="right"/>
              <w:rPr>
                <w:b/>
                <w:noProof/>
                <w:sz w:val="20"/>
              </w:rPr>
            </w:pPr>
          </w:p>
        </w:tc>
      </w:tr>
      <w:tr w:rsidR="00470D07" w:rsidRPr="000C4F35" w14:paraId="176BD10E" w14:textId="77777777" w:rsidTr="00470D07">
        <w:trPr>
          <w:trHeight w:val="231"/>
        </w:trPr>
        <w:tc>
          <w:tcPr>
            <w:tcW w:w="6054" w:type="dxa"/>
            <w:gridSpan w:val="4"/>
            <w:vAlign w:val="center"/>
          </w:tcPr>
          <w:p w14:paraId="32948E3E" w14:textId="77777777" w:rsidR="00470D07" w:rsidRPr="000C4F35" w:rsidRDefault="00470D07" w:rsidP="00685329">
            <w:pPr>
              <w:spacing w:before="20" w:after="20"/>
              <w:rPr>
                <w:noProof/>
              </w:rPr>
            </w:pPr>
            <w:r w:rsidRPr="000C4F35">
              <w:rPr>
                <w:noProof/>
                <w:sz w:val="21"/>
              </w:rPr>
              <w:t>Appropriations of an administrative nature financed from the envelope of specific programmes</w:t>
            </w:r>
            <w:r w:rsidRPr="000C4F35">
              <w:rPr>
                <w:rStyle w:val="FootnoteReference"/>
                <w:noProof/>
                <w:sz w:val="21"/>
              </w:rPr>
              <w:footnoteReference w:id="52"/>
            </w:r>
            <w:r w:rsidRPr="000C4F35">
              <w:rPr>
                <w:noProof/>
                <w:sz w:val="21"/>
              </w:rPr>
              <w:t xml:space="preserve"> </w:t>
            </w:r>
          </w:p>
          <w:p w14:paraId="0821C215" w14:textId="77777777" w:rsidR="00470D07" w:rsidRPr="000C4F35" w:rsidRDefault="00470D07" w:rsidP="00685329">
            <w:pPr>
              <w:spacing w:before="0" w:after="0"/>
              <w:rPr>
                <w:noProof/>
              </w:rPr>
            </w:pPr>
          </w:p>
        </w:tc>
        <w:tc>
          <w:tcPr>
            <w:tcW w:w="868" w:type="dxa"/>
            <w:vAlign w:val="center"/>
          </w:tcPr>
          <w:p w14:paraId="121F6624" w14:textId="77777777" w:rsidR="00470D07" w:rsidRPr="000C4F35" w:rsidRDefault="00470D07" w:rsidP="00685329">
            <w:pPr>
              <w:rPr>
                <w:b/>
                <w:noProof/>
                <w:sz w:val="20"/>
              </w:rPr>
            </w:pPr>
          </w:p>
        </w:tc>
        <w:tc>
          <w:tcPr>
            <w:tcW w:w="868" w:type="dxa"/>
            <w:vAlign w:val="center"/>
          </w:tcPr>
          <w:p w14:paraId="599E23A1" w14:textId="77777777" w:rsidR="00470D07" w:rsidRPr="000C4F35" w:rsidRDefault="00470D07" w:rsidP="00685329">
            <w:pPr>
              <w:rPr>
                <w:b/>
                <w:noProof/>
                <w:sz w:val="20"/>
              </w:rPr>
            </w:pPr>
          </w:p>
        </w:tc>
        <w:tc>
          <w:tcPr>
            <w:tcW w:w="868" w:type="dxa"/>
            <w:vAlign w:val="center"/>
          </w:tcPr>
          <w:p w14:paraId="22C9CC4E" w14:textId="77777777" w:rsidR="00470D07" w:rsidRPr="000C4F35" w:rsidRDefault="00470D07" w:rsidP="00685329">
            <w:pPr>
              <w:rPr>
                <w:b/>
                <w:noProof/>
                <w:sz w:val="20"/>
              </w:rPr>
            </w:pPr>
          </w:p>
        </w:tc>
        <w:tc>
          <w:tcPr>
            <w:tcW w:w="868" w:type="dxa"/>
            <w:vAlign w:val="center"/>
          </w:tcPr>
          <w:p w14:paraId="32AF86A2" w14:textId="77777777" w:rsidR="00470D07" w:rsidRPr="000C4F35" w:rsidRDefault="00470D07" w:rsidP="00685329">
            <w:pPr>
              <w:rPr>
                <w:b/>
                <w:noProof/>
                <w:sz w:val="20"/>
              </w:rPr>
            </w:pPr>
          </w:p>
        </w:tc>
        <w:tc>
          <w:tcPr>
            <w:tcW w:w="868" w:type="dxa"/>
            <w:vAlign w:val="center"/>
          </w:tcPr>
          <w:p w14:paraId="12CCB478" w14:textId="77777777" w:rsidR="00470D07" w:rsidRPr="000C4F35" w:rsidRDefault="00470D07" w:rsidP="00685329">
            <w:pPr>
              <w:rPr>
                <w:b/>
                <w:noProof/>
                <w:sz w:val="20"/>
              </w:rPr>
            </w:pPr>
          </w:p>
        </w:tc>
        <w:tc>
          <w:tcPr>
            <w:tcW w:w="868" w:type="dxa"/>
            <w:vAlign w:val="center"/>
          </w:tcPr>
          <w:p w14:paraId="52341B3C" w14:textId="77777777" w:rsidR="00470D07" w:rsidRPr="000C4F35" w:rsidRDefault="00470D07" w:rsidP="00685329">
            <w:pPr>
              <w:rPr>
                <w:b/>
                <w:noProof/>
                <w:sz w:val="20"/>
              </w:rPr>
            </w:pPr>
          </w:p>
        </w:tc>
        <w:tc>
          <w:tcPr>
            <w:tcW w:w="868" w:type="dxa"/>
            <w:vAlign w:val="center"/>
          </w:tcPr>
          <w:p w14:paraId="3405BD1E" w14:textId="77777777" w:rsidR="00470D07" w:rsidRPr="000C4F35" w:rsidRDefault="00470D07" w:rsidP="00685329">
            <w:pPr>
              <w:rPr>
                <w:b/>
                <w:noProof/>
                <w:sz w:val="20"/>
              </w:rPr>
            </w:pPr>
          </w:p>
        </w:tc>
        <w:tc>
          <w:tcPr>
            <w:tcW w:w="1777" w:type="dxa"/>
            <w:vAlign w:val="center"/>
          </w:tcPr>
          <w:p w14:paraId="5B34E616" w14:textId="77777777" w:rsidR="00470D07" w:rsidRPr="000C4F35" w:rsidRDefault="00470D07" w:rsidP="00685329">
            <w:pPr>
              <w:rPr>
                <w:b/>
                <w:noProof/>
                <w:sz w:val="20"/>
              </w:rPr>
            </w:pPr>
          </w:p>
        </w:tc>
      </w:tr>
      <w:tr w:rsidR="00470D07" w:rsidRPr="000C4F35" w14:paraId="75D08C27" w14:textId="77777777" w:rsidTr="00470D07">
        <w:trPr>
          <w:trHeight w:val="319"/>
        </w:trPr>
        <w:tc>
          <w:tcPr>
            <w:tcW w:w="3960" w:type="dxa"/>
            <w:vAlign w:val="center"/>
          </w:tcPr>
          <w:p w14:paraId="1E3FD19E" w14:textId="77777777" w:rsidR="00470D07" w:rsidRPr="000C4F35" w:rsidRDefault="00470D07" w:rsidP="00685329">
            <w:pPr>
              <w:spacing w:before="60" w:after="60"/>
              <w:rPr>
                <w:noProof/>
              </w:rPr>
            </w:pPr>
            <w:r w:rsidRPr="000C4F35">
              <w:rPr>
                <w:noProof/>
                <w:sz w:val="20"/>
              </w:rPr>
              <w:t>Budget line</w:t>
            </w:r>
          </w:p>
        </w:tc>
        <w:tc>
          <w:tcPr>
            <w:tcW w:w="1440" w:type="dxa"/>
            <w:vAlign w:val="center"/>
          </w:tcPr>
          <w:p w14:paraId="11595179" w14:textId="77777777" w:rsidR="00470D07" w:rsidRPr="000C4F35" w:rsidRDefault="00470D07" w:rsidP="00685329">
            <w:pPr>
              <w:spacing w:before="40" w:after="40"/>
              <w:jc w:val="right"/>
              <w:rPr>
                <w:noProof/>
                <w:sz w:val="18"/>
              </w:rPr>
            </w:pPr>
          </w:p>
        </w:tc>
        <w:tc>
          <w:tcPr>
            <w:tcW w:w="654" w:type="dxa"/>
            <w:gridSpan w:val="2"/>
            <w:vAlign w:val="center"/>
          </w:tcPr>
          <w:p w14:paraId="2A9755D7" w14:textId="77777777" w:rsidR="00470D07" w:rsidRPr="000C4F35" w:rsidRDefault="00470D07" w:rsidP="00685329">
            <w:pPr>
              <w:spacing w:before="40" w:after="40"/>
              <w:jc w:val="center"/>
              <w:rPr>
                <w:noProof/>
                <w:sz w:val="14"/>
              </w:rPr>
            </w:pPr>
            <w:r w:rsidRPr="000C4F35">
              <w:rPr>
                <w:noProof/>
                <w:sz w:val="14"/>
              </w:rPr>
              <w:t>(3)</w:t>
            </w:r>
          </w:p>
        </w:tc>
        <w:tc>
          <w:tcPr>
            <w:tcW w:w="868" w:type="dxa"/>
            <w:vAlign w:val="center"/>
          </w:tcPr>
          <w:p w14:paraId="0AC4EC81" w14:textId="77777777" w:rsidR="00470D07" w:rsidRPr="000C4F35" w:rsidRDefault="00470D07" w:rsidP="00685329">
            <w:pPr>
              <w:spacing w:before="40" w:after="40"/>
              <w:jc w:val="right"/>
              <w:rPr>
                <w:b/>
                <w:noProof/>
                <w:sz w:val="20"/>
              </w:rPr>
            </w:pPr>
          </w:p>
        </w:tc>
        <w:tc>
          <w:tcPr>
            <w:tcW w:w="868" w:type="dxa"/>
            <w:vAlign w:val="center"/>
          </w:tcPr>
          <w:p w14:paraId="3FB1CAB5" w14:textId="77777777" w:rsidR="00470D07" w:rsidRPr="000C4F35" w:rsidRDefault="00470D07" w:rsidP="00685329">
            <w:pPr>
              <w:spacing w:before="40" w:after="40"/>
              <w:jc w:val="right"/>
              <w:rPr>
                <w:b/>
                <w:noProof/>
                <w:sz w:val="20"/>
              </w:rPr>
            </w:pPr>
          </w:p>
        </w:tc>
        <w:tc>
          <w:tcPr>
            <w:tcW w:w="868" w:type="dxa"/>
            <w:vAlign w:val="center"/>
          </w:tcPr>
          <w:p w14:paraId="22BA6449" w14:textId="77777777" w:rsidR="00470D07" w:rsidRPr="000C4F35" w:rsidRDefault="00470D07" w:rsidP="00685329">
            <w:pPr>
              <w:spacing w:before="40" w:after="40"/>
              <w:jc w:val="right"/>
              <w:rPr>
                <w:b/>
                <w:noProof/>
                <w:sz w:val="20"/>
              </w:rPr>
            </w:pPr>
          </w:p>
        </w:tc>
        <w:tc>
          <w:tcPr>
            <w:tcW w:w="868" w:type="dxa"/>
            <w:vAlign w:val="center"/>
          </w:tcPr>
          <w:p w14:paraId="63A618E3" w14:textId="77777777" w:rsidR="00470D07" w:rsidRPr="000C4F35" w:rsidRDefault="00470D07" w:rsidP="00685329">
            <w:pPr>
              <w:spacing w:before="40" w:after="40"/>
              <w:jc w:val="right"/>
              <w:rPr>
                <w:b/>
                <w:noProof/>
                <w:sz w:val="20"/>
              </w:rPr>
            </w:pPr>
          </w:p>
        </w:tc>
        <w:tc>
          <w:tcPr>
            <w:tcW w:w="868" w:type="dxa"/>
            <w:vAlign w:val="center"/>
          </w:tcPr>
          <w:p w14:paraId="7615AA88" w14:textId="77777777" w:rsidR="00470D07" w:rsidRPr="000C4F35" w:rsidRDefault="00470D07" w:rsidP="00685329">
            <w:pPr>
              <w:spacing w:before="40" w:after="40"/>
              <w:jc w:val="right"/>
              <w:rPr>
                <w:b/>
                <w:noProof/>
                <w:sz w:val="20"/>
              </w:rPr>
            </w:pPr>
          </w:p>
        </w:tc>
        <w:tc>
          <w:tcPr>
            <w:tcW w:w="868" w:type="dxa"/>
            <w:vAlign w:val="center"/>
          </w:tcPr>
          <w:p w14:paraId="383C1D17" w14:textId="77777777" w:rsidR="00470D07" w:rsidRPr="000C4F35" w:rsidRDefault="00470D07" w:rsidP="00685329">
            <w:pPr>
              <w:spacing w:before="40" w:after="40"/>
              <w:jc w:val="right"/>
              <w:rPr>
                <w:b/>
                <w:noProof/>
                <w:sz w:val="20"/>
              </w:rPr>
            </w:pPr>
          </w:p>
        </w:tc>
        <w:tc>
          <w:tcPr>
            <w:tcW w:w="868" w:type="dxa"/>
            <w:vAlign w:val="center"/>
          </w:tcPr>
          <w:p w14:paraId="7534D498" w14:textId="77777777" w:rsidR="00470D07" w:rsidRPr="000C4F35" w:rsidRDefault="00470D07" w:rsidP="00685329">
            <w:pPr>
              <w:spacing w:before="40" w:after="40"/>
              <w:jc w:val="right"/>
              <w:rPr>
                <w:b/>
                <w:noProof/>
                <w:sz w:val="20"/>
              </w:rPr>
            </w:pPr>
          </w:p>
        </w:tc>
        <w:tc>
          <w:tcPr>
            <w:tcW w:w="1777" w:type="dxa"/>
            <w:vAlign w:val="center"/>
          </w:tcPr>
          <w:p w14:paraId="06CCB1E0" w14:textId="77777777" w:rsidR="00470D07" w:rsidRPr="000C4F35" w:rsidRDefault="00470D07" w:rsidP="00685329">
            <w:pPr>
              <w:spacing w:before="40" w:after="40"/>
              <w:jc w:val="right"/>
              <w:rPr>
                <w:b/>
                <w:noProof/>
                <w:sz w:val="20"/>
              </w:rPr>
            </w:pPr>
          </w:p>
        </w:tc>
      </w:tr>
      <w:tr w:rsidR="00470D07" w:rsidRPr="000C4F35" w14:paraId="3EDD033F" w14:textId="77777777" w:rsidTr="00470D07">
        <w:tc>
          <w:tcPr>
            <w:tcW w:w="3960" w:type="dxa"/>
            <w:vMerge w:val="restart"/>
            <w:vAlign w:val="center"/>
          </w:tcPr>
          <w:p w14:paraId="5C9DB3B2" w14:textId="77777777" w:rsidR="00470D07" w:rsidRPr="000C4F35" w:rsidRDefault="00470D07" w:rsidP="00685329">
            <w:pPr>
              <w:jc w:val="center"/>
              <w:rPr>
                <w:b/>
                <w:noProof/>
              </w:rPr>
            </w:pPr>
            <w:r w:rsidRPr="000C4F35">
              <w:rPr>
                <w:b/>
                <w:noProof/>
                <w:sz w:val="22"/>
              </w:rPr>
              <w:t>TOTAL appropriations</w:t>
            </w:r>
            <w:r w:rsidRPr="000C4F35">
              <w:rPr>
                <w:noProof/>
                <w:sz w:val="22"/>
              </w:rPr>
              <w:br/>
            </w:r>
            <w:r w:rsidRPr="000C4F35">
              <w:rPr>
                <w:b/>
                <w:noProof/>
                <w:sz w:val="22"/>
              </w:rPr>
              <w:t xml:space="preserve">for DG </w:t>
            </w:r>
            <w:r w:rsidRPr="000C4F35">
              <w:rPr>
                <w:noProof/>
                <w:sz w:val="22"/>
              </w:rPr>
              <w:t>&lt;…….&gt;</w:t>
            </w:r>
          </w:p>
        </w:tc>
        <w:tc>
          <w:tcPr>
            <w:tcW w:w="1440" w:type="dxa"/>
            <w:vAlign w:val="center"/>
          </w:tcPr>
          <w:p w14:paraId="29039380" w14:textId="77777777" w:rsidR="00470D07" w:rsidRPr="000C4F35" w:rsidRDefault="00470D07" w:rsidP="00685329">
            <w:pPr>
              <w:rPr>
                <w:noProof/>
                <w:sz w:val="18"/>
              </w:rPr>
            </w:pPr>
            <w:r w:rsidRPr="000C4F35">
              <w:rPr>
                <w:noProof/>
                <w:sz w:val="18"/>
              </w:rPr>
              <w:t>Commitments</w:t>
            </w:r>
          </w:p>
        </w:tc>
        <w:tc>
          <w:tcPr>
            <w:tcW w:w="654" w:type="dxa"/>
            <w:gridSpan w:val="2"/>
            <w:vAlign w:val="center"/>
          </w:tcPr>
          <w:p w14:paraId="093E5531" w14:textId="77777777" w:rsidR="00470D07" w:rsidRPr="000C4F35" w:rsidRDefault="00470D07" w:rsidP="00685329">
            <w:pPr>
              <w:jc w:val="center"/>
              <w:rPr>
                <w:noProof/>
                <w:sz w:val="14"/>
              </w:rPr>
            </w:pPr>
            <w:r w:rsidRPr="000C4F35">
              <w:rPr>
                <w:noProof/>
                <w:sz w:val="14"/>
              </w:rPr>
              <w:t>=1a+1b +3</w:t>
            </w:r>
          </w:p>
        </w:tc>
        <w:tc>
          <w:tcPr>
            <w:tcW w:w="868" w:type="dxa"/>
            <w:vAlign w:val="center"/>
          </w:tcPr>
          <w:p w14:paraId="3756FB6A" w14:textId="77777777" w:rsidR="00470D07" w:rsidRPr="000C4F35" w:rsidRDefault="00470D07" w:rsidP="00685329">
            <w:pPr>
              <w:spacing w:before="20" w:after="20"/>
              <w:jc w:val="right"/>
              <w:rPr>
                <w:noProof/>
                <w:sz w:val="20"/>
              </w:rPr>
            </w:pPr>
          </w:p>
        </w:tc>
        <w:tc>
          <w:tcPr>
            <w:tcW w:w="868" w:type="dxa"/>
            <w:vAlign w:val="center"/>
          </w:tcPr>
          <w:p w14:paraId="1EF7D758" w14:textId="77777777" w:rsidR="00470D07" w:rsidRPr="000C4F35" w:rsidRDefault="00470D07" w:rsidP="00685329">
            <w:pPr>
              <w:spacing w:before="20" w:after="20"/>
              <w:jc w:val="right"/>
              <w:rPr>
                <w:noProof/>
                <w:sz w:val="20"/>
              </w:rPr>
            </w:pPr>
          </w:p>
        </w:tc>
        <w:tc>
          <w:tcPr>
            <w:tcW w:w="868" w:type="dxa"/>
            <w:vAlign w:val="center"/>
          </w:tcPr>
          <w:p w14:paraId="250D0989" w14:textId="77777777" w:rsidR="00470D07" w:rsidRPr="000C4F35" w:rsidRDefault="00470D07" w:rsidP="00685329">
            <w:pPr>
              <w:spacing w:before="20" w:after="20"/>
              <w:jc w:val="right"/>
              <w:rPr>
                <w:noProof/>
                <w:sz w:val="20"/>
              </w:rPr>
            </w:pPr>
          </w:p>
        </w:tc>
        <w:tc>
          <w:tcPr>
            <w:tcW w:w="868" w:type="dxa"/>
            <w:vAlign w:val="center"/>
          </w:tcPr>
          <w:p w14:paraId="003399F3" w14:textId="77777777" w:rsidR="00470D07" w:rsidRPr="000C4F35" w:rsidRDefault="00470D07" w:rsidP="00685329">
            <w:pPr>
              <w:spacing w:before="20" w:after="20"/>
              <w:jc w:val="right"/>
              <w:rPr>
                <w:noProof/>
                <w:sz w:val="20"/>
              </w:rPr>
            </w:pPr>
          </w:p>
        </w:tc>
        <w:tc>
          <w:tcPr>
            <w:tcW w:w="868" w:type="dxa"/>
            <w:vAlign w:val="center"/>
          </w:tcPr>
          <w:p w14:paraId="56A5B633" w14:textId="77777777" w:rsidR="00470D07" w:rsidRPr="000C4F35" w:rsidRDefault="00470D07" w:rsidP="00685329">
            <w:pPr>
              <w:spacing w:before="20" w:after="20"/>
              <w:jc w:val="right"/>
              <w:rPr>
                <w:noProof/>
                <w:sz w:val="20"/>
              </w:rPr>
            </w:pPr>
          </w:p>
        </w:tc>
        <w:tc>
          <w:tcPr>
            <w:tcW w:w="868" w:type="dxa"/>
            <w:vAlign w:val="center"/>
          </w:tcPr>
          <w:p w14:paraId="2E4BA1D7" w14:textId="77777777" w:rsidR="00470D07" w:rsidRPr="000C4F35" w:rsidRDefault="00470D07" w:rsidP="00685329">
            <w:pPr>
              <w:spacing w:before="20" w:after="20"/>
              <w:jc w:val="right"/>
              <w:rPr>
                <w:noProof/>
                <w:sz w:val="20"/>
              </w:rPr>
            </w:pPr>
          </w:p>
        </w:tc>
        <w:tc>
          <w:tcPr>
            <w:tcW w:w="868" w:type="dxa"/>
            <w:vAlign w:val="center"/>
          </w:tcPr>
          <w:p w14:paraId="268C78C5" w14:textId="77777777" w:rsidR="00470D07" w:rsidRPr="000C4F35" w:rsidRDefault="00470D07" w:rsidP="00685329">
            <w:pPr>
              <w:spacing w:before="20" w:after="20"/>
              <w:jc w:val="right"/>
              <w:rPr>
                <w:b/>
                <w:noProof/>
                <w:sz w:val="20"/>
              </w:rPr>
            </w:pPr>
          </w:p>
        </w:tc>
        <w:tc>
          <w:tcPr>
            <w:tcW w:w="1777" w:type="dxa"/>
            <w:vAlign w:val="center"/>
          </w:tcPr>
          <w:p w14:paraId="7601D1DD" w14:textId="77777777" w:rsidR="00470D07" w:rsidRPr="000C4F35" w:rsidRDefault="00470D07" w:rsidP="00685329">
            <w:pPr>
              <w:spacing w:before="20" w:after="20"/>
              <w:jc w:val="right"/>
              <w:rPr>
                <w:b/>
                <w:noProof/>
                <w:sz w:val="20"/>
              </w:rPr>
            </w:pPr>
          </w:p>
        </w:tc>
      </w:tr>
      <w:tr w:rsidR="00470D07" w:rsidRPr="000C4F35" w14:paraId="51727176" w14:textId="77777777" w:rsidTr="00470D07">
        <w:tc>
          <w:tcPr>
            <w:tcW w:w="3960" w:type="dxa"/>
            <w:vMerge/>
          </w:tcPr>
          <w:p w14:paraId="3FD25A62" w14:textId="77777777" w:rsidR="00470D07" w:rsidRPr="000C4F35" w:rsidRDefault="00470D07" w:rsidP="00685329">
            <w:pPr>
              <w:rPr>
                <w:noProof/>
                <w:sz w:val="20"/>
              </w:rPr>
            </w:pPr>
          </w:p>
        </w:tc>
        <w:tc>
          <w:tcPr>
            <w:tcW w:w="1440" w:type="dxa"/>
            <w:vAlign w:val="center"/>
          </w:tcPr>
          <w:p w14:paraId="03E23AEC" w14:textId="77777777" w:rsidR="00470D07" w:rsidRPr="000C4F35" w:rsidRDefault="00470D07" w:rsidP="00685329">
            <w:pPr>
              <w:rPr>
                <w:noProof/>
                <w:sz w:val="18"/>
              </w:rPr>
            </w:pPr>
            <w:r w:rsidRPr="000C4F35">
              <w:rPr>
                <w:noProof/>
                <w:sz w:val="18"/>
              </w:rPr>
              <w:t>Payments</w:t>
            </w:r>
          </w:p>
        </w:tc>
        <w:tc>
          <w:tcPr>
            <w:tcW w:w="654" w:type="dxa"/>
            <w:gridSpan w:val="2"/>
            <w:vAlign w:val="center"/>
          </w:tcPr>
          <w:p w14:paraId="18FB10A1" w14:textId="77777777" w:rsidR="00470D07" w:rsidRPr="000C4F35" w:rsidRDefault="00470D07" w:rsidP="00685329">
            <w:pPr>
              <w:jc w:val="center"/>
              <w:rPr>
                <w:noProof/>
                <w:sz w:val="14"/>
              </w:rPr>
            </w:pPr>
            <w:r w:rsidRPr="000C4F35">
              <w:rPr>
                <w:noProof/>
                <w:sz w:val="14"/>
              </w:rPr>
              <w:t>=2a+2b</w:t>
            </w:r>
          </w:p>
          <w:p w14:paraId="72B9C05C" w14:textId="77777777" w:rsidR="00470D07" w:rsidRPr="000C4F35" w:rsidRDefault="00470D07" w:rsidP="00685329">
            <w:pPr>
              <w:jc w:val="center"/>
              <w:rPr>
                <w:noProof/>
                <w:sz w:val="14"/>
              </w:rPr>
            </w:pPr>
            <w:r w:rsidRPr="000C4F35">
              <w:rPr>
                <w:noProof/>
                <w:sz w:val="14"/>
              </w:rPr>
              <w:t>+3</w:t>
            </w:r>
          </w:p>
        </w:tc>
        <w:tc>
          <w:tcPr>
            <w:tcW w:w="868" w:type="dxa"/>
            <w:vAlign w:val="center"/>
          </w:tcPr>
          <w:p w14:paraId="5B157B63" w14:textId="77777777" w:rsidR="00470D07" w:rsidRPr="000C4F35" w:rsidRDefault="00470D07" w:rsidP="00685329">
            <w:pPr>
              <w:spacing w:before="20" w:after="20"/>
              <w:jc w:val="right"/>
              <w:rPr>
                <w:noProof/>
                <w:sz w:val="20"/>
              </w:rPr>
            </w:pPr>
          </w:p>
        </w:tc>
        <w:tc>
          <w:tcPr>
            <w:tcW w:w="868" w:type="dxa"/>
            <w:vAlign w:val="center"/>
          </w:tcPr>
          <w:p w14:paraId="622B6971" w14:textId="77777777" w:rsidR="00470D07" w:rsidRPr="000C4F35" w:rsidRDefault="00470D07" w:rsidP="00685329">
            <w:pPr>
              <w:spacing w:before="20" w:after="20"/>
              <w:jc w:val="right"/>
              <w:rPr>
                <w:noProof/>
                <w:sz w:val="20"/>
              </w:rPr>
            </w:pPr>
          </w:p>
        </w:tc>
        <w:tc>
          <w:tcPr>
            <w:tcW w:w="868" w:type="dxa"/>
            <w:vAlign w:val="center"/>
          </w:tcPr>
          <w:p w14:paraId="36790425" w14:textId="77777777" w:rsidR="00470D07" w:rsidRPr="000C4F35" w:rsidRDefault="00470D07" w:rsidP="00685329">
            <w:pPr>
              <w:spacing w:before="20" w:after="20"/>
              <w:jc w:val="right"/>
              <w:rPr>
                <w:noProof/>
                <w:sz w:val="20"/>
              </w:rPr>
            </w:pPr>
          </w:p>
        </w:tc>
        <w:tc>
          <w:tcPr>
            <w:tcW w:w="868" w:type="dxa"/>
            <w:vAlign w:val="center"/>
          </w:tcPr>
          <w:p w14:paraId="5BA0CF17" w14:textId="77777777" w:rsidR="00470D07" w:rsidRPr="000C4F35" w:rsidRDefault="00470D07" w:rsidP="00685329">
            <w:pPr>
              <w:spacing w:before="20" w:after="20"/>
              <w:jc w:val="right"/>
              <w:rPr>
                <w:noProof/>
                <w:sz w:val="20"/>
              </w:rPr>
            </w:pPr>
          </w:p>
        </w:tc>
        <w:tc>
          <w:tcPr>
            <w:tcW w:w="868" w:type="dxa"/>
            <w:vAlign w:val="center"/>
          </w:tcPr>
          <w:p w14:paraId="4335826B" w14:textId="77777777" w:rsidR="00470D07" w:rsidRPr="000C4F35" w:rsidRDefault="00470D07" w:rsidP="00685329">
            <w:pPr>
              <w:spacing w:before="20" w:after="20"/>
              <w:jc w:val="right"/>
              <w:rPr>
                <w:noProof/>
                <w:sz w:val="20"/>
              </w:rPr>
            </w:pPr>
          </w:p>
        </w:tc>
        <w:tc>
          <w:tcPr>
            <w:tcW w:w="868" w:type="dxa"/>
            <w:vAlign w:val="center"/>
          </w:tcPr>
          <w:p w14:paraId="76D90D46" w14:textId="77777777" w:rsidR="00470D07" w:rsidRPr="000C4F35" w:rsidRDefault="00470D07" w:rsidP="00685329">
            <w:pPr>
              <w:spacing w:before="20" w:after="20"/>
              <w:jc w:val="right"/>
              <w:rPr>
                <w:noProof/>
                <w:sz w:val="20"/>
              </w:rPr>
            </w:pPr>
          </w:p>
        </w:tc>
        <w:tc>
          <w:tcPr>
            <w:tcW w:w="868" w:type="dxa"/>
            <w:vAlign w:val="center"/>
          </w:tcPr>
          <w:p w14:paraId="7FDF1E6D" w14:textId="77777777" w:rsidR="00470D07" w:rsidRPr="000C4F35" w:rsidRDefault="00470D07" w:rsidP="00685329">
            <w:pPr>
              <w:spacing w:before="20" w:after="20"/>
              <w:jc w:val="right"/>
              <w:rPr>
                <w:b/>
                <w:noProof/>
                <w:sz w:val="20"/>
              </w:rPr>
            </w:pPr>
          </w:p>
        </w:tc>
        <w:tc>
          <w:tcPr>
            <w:tcW w:w="1777" w:type="dxa"/>
            <w:vAlign w:val="center"/>
          </w:tcPr>
          <w:p w14:paraId="2D9F404C" w14:textId="77777777" w:rsidR="00470D07" w:rsidRPr="000C4F35" w:rsidRDefault="00470D07" w:rsidP="00685329">
            <w:pPr>
              <w:spacing w:before="20" w:after="20"/>
              <w:jc w:val="right"/>
              <w:rPr>
                <w:b/>
                <w:noProof/>
                <w:sz w:val="20"/>
              </w:rPr>
            </w:pPr>
          </w:p>
        </w:tc>
      </w:tr>
    </w:tbl>
    <w:p w14:paraId="2E778B25" w14:textId="77777777" w:rsidR="00470D07" w:rsidRPr="000C4F35" w:rsidRDefault="00470D07" w:rsidP="00685329">
      <w:pPr>
        <w:rPr>
          <w:noProof/>
        </w:rPr>
      </w:pPr>
      <w:r w:rsidRPr="000C4F35">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470D07" w:rsidRPr="000C4F35" w14:paraId="45E01DDF" w14:textId="77777777" w:rsidTr="00470D07">
        <w:trPr>
          <w:trHeight w:val="277"/>
        </w:trPr>
        <w:tc>
          <w:tcPr>
            <w:tcW w:w="3960" w:type="dxa"/>
            <w:vMerge w:val="restart"/>
            <w:vAlign w:val="center"/>
          </w:tcPr>
          <w:p w14:paraId="3B21C4A9" w14:textId="77777777" w:rsidR="00470D07" w:rsidRPr="000C4F35" w:rsidRDefault="00470D07" w:rsidP="00685329">
            <w:pPr>
              <w:spacing w:before="20" w:after="20"/>
              <w:rPr>
                <w:noProof/>
              </w:rPr>
            </w:pPr>
            <w:r w:rsidRPr="000C4F35">
              <w:rPr>
                <w:noProof/>
                <w:sz w:val="22"/>
              </w:rPr>
              <w:br w:type="page"/>
            </w:r>
            <w:r w:rsidRPr="000C4F35">
              <w:rPr>
                <w:noProof/>
                <w:sz w:val="21"/>
              </w:rPr>
              <w:sym w:font="Wingdings" w:char="F09F"/>
            </w:r>
            <w:r w:rsidRPr="000C4F35">
              <w:rPr>
                <w:noProof/>
                <w:sz w:val="21"/>
              </w:rPr>
              <w:t xml:space="preserve"> TOTAL operational appropriations </w:t>
            </w:r>
          </w:p>
        </w:tc>
        <w:tc>
          <w:tcPr>
            <w:tcW w:w="1440" w:type="dxa"/>
            <w:vAlign w:val="center"/>
          </w:tcPr>
          <w:p w14:paraId="19826668" w14:textId="77777777" w:rsidR="00470D07" w:rsidRPr="000C4F35" w:rsidRDefault="00470D07" w:rsidP="00685329">
            <w:pPr>
              <w:spacing w:beforeLines="20" w:before="48" w:afterLines="20" w:after="48"/>
              <w:rPr>
                <w:noProof/>
                <w:sz w:val="18"/>
              </w:rPr>
            </w:pPr>
            <w:r w:rsidRPr="000C4F35">
              <w:rPr>
                <w:noProof/>
                <w:sz w:val="18"/>
              </w:rPr>
              <w:t>Commitments</w:t>
            </w:r>
          </w:p>
        </w:tc>
        <w:tc>
          <w:tcPr>
            <w:tcW w:w="654" w:type="dxa"/>
            <w:vAlign w:val="center"/>
          </w:tcPr>
          <w:p w14:paraId="3A9F638C" w14:textId="77777777" w:rsidR="00470D07" w:rsidRPr="000C4F35" w:rsidRDefault="00470D07" w:rsidP="00685329">
            <w:pPr>
              <w:spacing w:beforeLines="20" w:before="48" w:afterLines="20" w:after="48"/>
              <w:jc w:val="center"/>
              <w:rPr>
                <w:noProof/>
                <w:sz w:val="14"/>
              </w:rPr>
            </w:pPr>
            <w:r w:rsidRPr="000C4F35">
              <w:rPr>
                <w:noProof/>
                <w:sz w:val="14"/>
              </w:rPr>
              <w:t>(4)</w:t>
            </w:r>
          </w:p>
        </w:tc>
        <w:tc>
          <w:tcPr>
            <w:tcW w:w="868" w:type="dxa"/>
            <w:vAlign w:val="center"/>
          </w:tcPr>
          <w:p w14:paraId="0FBABB71" w14:textId="77777777" w:rsidR="00470D07" w:rsidRPr="000C4F35" w:rsidRDefault="00470D07" w:rsidP="00685329">
            <w:pPr>
              <w:spacing w:before="20" w:after="20"/>
              <w:jc w:val="right"/>
              <w:rPr>
                <w:noProof/>
                <w:sz w:val="20"/>
              </w:rPr>
            </w:pPr>
          </w:p>
        </w:tc>
        <w:tc>
          <w:tcPr>
            <w:tcW w:w="868" w:type="dxa"/>
            <w:vAlign w:val="center"/>
          </w:tcPr>
          <w:p w14:paraId="09B59FC4" w14:textId="77777777" w:rsidR="00470D07" w:rsidRPr="000C4F35" w:rsidRDefault="00470D07" w:rsidP="00685329">
            <w:pPr>
              <w:spacing w:before="20" w:after="20"/>
              <w:jc w:val="right"/>
              <w:rPr>
                <w:noProof/>
                <w:sz w:val="20"/>
              </w:rPr>
            </w:pPr>
          </w:p>
        </w:tc>
        <w:tc>
          <w:tcPr>
            <w:tcW w:w="868" w:type="dxa"/>
            <w:vAlign w:val="center"/>
          </w:tcPr>
          <w:p w14:paraId="17BEE125" w14:textId="77777777" w:rsidR="00470D07" w:rsidRPr="000C4F35" w:rsidRDefault="00470D07" w:rsidP="00685329">
            <w:pPr>
              <w:spacing w:before="20" w:after="20"/>
              <w:jc w:val="right"/>
              <w:rPr>
                <w:noProof/>
                <w:sz w:val="20"/>
              </w:rPr>
            </w:pPr>
          </w:p>
        </w:tc>
        <w:tc>
          <w:tcPr>
            <w:tcW w:w="868" w:type="dxa"/>
            <w:vAlign w:val="center"/>
          </w:tcPr>
          <w:p w14:paraId="10D01219" w14:textId="77777777" w:rsidR="00470D07" w:rsidRPr="000C4F35" w:rsidRDefault="00470D07" w:rsidP="00685329">
            <w:pPr>
              <w:spacing w:before="20" w:after="20"/>
              <w:jc w:val="right"/>
              <w:rPr>
                <w:noProof/>
                <w:sz w:val="20"/>
              </w:rPr>
            </w:pPr>
          </w:p>
        </w:tc>
        <w:tc>
          <w:tcPr>
            <w:tcW w:w="868" w:type="dxa"/>
            <w:vAlign w:val="center"/>
          </w:tcPr>
          <w:p w14:paraId="195311C4" w14:textId="77777777" w:rsidR="00470D07" w:rsidRPr="000C4F35" w:rsidRDefault="00470D07" w:rsidP="00685329">
            <w:pPr>
              <w:spacing w:before="20" w:after="20"/>
              <w:jc w:val="right"/>
              <w:rPr>
                <w:noProof/>
                <w:sz w:val="20"/>
              </w:rPr>
            </w:pPr>
          </w:p>
        </w:tc>
        <w:tc>
          <w:tcPr>
            <w:tcW w:w="868" w:type="dxa"/>
            <w:vAlign w:val="center"/>
          </w:tcPr>
          <w:p w14:paraId="22DD4706" w14:textId="77777777" w:rsidR="00470D07" w:rsidRPr="000C4F35" w:rsidRDefault="00470D07" w:rsidP="00685329">
            <w:pPr>
              <w:spacing w:before="20" w:after="20"/>
              <w:jc w:val="right"/>
              <w:rPr>
                <w:noProof/>
                <w:sz w:val="20"/>
              </w:rPr>
            </w:pPr>
          </w:p>
        </w:tc>
        <w:tc>
          <w:tcPr>
            <w:tcW w:w="868" w:type="dxa"/>
            <w:vAlign w:val="center"/>
          </w:tcPr>
          <w:p w14:paraId="1DFA7B36" w14:textId="77777777" w:rsidR="00470D07" w:rsidRPr="000C4F35" w:rsidRDefault="00470D07" w:rsidP="00685329">
            <w:pPr>
              <w:spacing w:before="20" w:after="20"/>
              <w:jc w:val="right"/>
              <w:rPr>
                <w:b/>
                <w:noProof/>
                <w:sz w:val="20"/>
              </w:rPr>
            </w:pPr>
          </w:p>
        </w:tc>
        <w:tc>
          <w:tcPr>
            <w:tcW w:w="1777" w:type="dxa"/>
            <w:vAlign w:val="center"/>
          </w:tcPr>
          <w:p w14:paraId="2D558BC7" w14:textId="77777777" w:rsidR="00470D07" w:rsidRPr="000C4F35" w:rsidRDefault="00470D07" w:rsidP="00685329">
            <w:pPr>
              <w:spacing w:before="20" w:after="20"/>
              <w:jc w:val="right"/>
              <w:rPr>
                <w:b/>
                <w:noProof/>
                <w:sz w:val="20"/>
              </w:rPr>
            </w:pPr>
          </w:p>
        </w:tc>
      </w:tr>
      <w:tr w:rsidR="00470D07" w:rsidRPr="000C4F35" w14:paraId="39ED4D00" w14:textId="77777777" w:rsidTr="00470D07">
        <w:tc>
          <w:tcPr>
            <w:tcW w:w="3960" w:type="dxa"/>
            <w:vMerge/>
          </w:tcPr>
          <w:p w14:paraId="41E6BFEA" w14:textId="77777777" w:rsidR="00470D07" w:rsidRPr="000C4F35" w:rsidRDefault="00470D07" w:rsidP="00685329">
            <w:pPr>
              <w:jc w:val="center"/>
              <w:rPr>
                <w:noProof/>
                <w:sz w:val="20"/>
              </w:rPr>
            </w:pPr>
          </w:p>
        </w:tc>
        <w:tc>
          <w:tcPr>
            <w:tcW w:w="1440" w:type="dxa"/>
            <w:vAlign w:val="center"/>
          </w:tcPr>
          <w:p w14:paraId="4C5D4DEC" w14:textId="77777777" w:rsidR="00470D07" w:rsidRPr="000C4F35" w:rsidRDefault="00470D07" w:rsidP="00685329">
            <w:pPr>
              <w:spacing w:beforeLines="20" w:before="48" w:afterLines="20" w:after="48"/>
              <w:rPr>
                <w:noProof/>
                <w:sz w:val="18"/>
              </w:rPr>
            </w:pPr>
            <w:r w:rsidRPr="000C4F35">
              <w:rPr>
                <w:noProof/>
                <w:sz w:val="18"/>
              </w:rPr>
              <w:t>Payments</w:t>
            </w:r>
          </w:p>
        </w:tc>
        <w:tc>
          <w:tcPr>
            <w:tcW w:w="654" w:type="dxa"/>
            <w:vAlign w:val="center"/>
          </w:tcPr>
          <w:p w14:paraId="32832F60" w14:textId="77777777" w:rsidR="00470D07" w:rsidRPr="000C4F35" w:rsidRDefault="00470D07" w:rsidP="00685329">
            <w:pPr>
              <w:spacing w:beforeLines="20" w:before="48" w:afterLines="20" w:after="48"/>
              <w:jc w:val="center"/>
              <w:rPr>
                <w:noProof/>
                <w:sz w:val="14"/>
              </w:rPr>
            </w:pPr>
            <w:r w:rsidRPr="000C4F35">
              <w:rPr>
                <w:noProof/>
                <w:sz w:val="14"/>
              </w:rPr>
              <w:t>(5)</w:t>
            </w:r>
          </w:p>
        </w:tc>
        <w:tc>
          <w:tcPr>
            <w:tcW w:w="868" w:type="dxa"/>
            <w:vAlign w:val="center"/>
          </w:tcPr>
          <w:p w14:paraId="6DBD4B24" w14:textId="77777777" w:rsidR="00470D07" w:rsidRPr="000C4F35" w:rsidRDefault="00470D07" w:rsidP="00685329">
            <w:pPr>
              <w:spacing w:before="20" w:after="20"/>
              <w:jc w:val="right"/>
              <w:rPr>
                <w:noProof/>
                <w:sz w:val="20"/>
              </w:rPr>
            </w:pPr>
          </w:p>
        </w:tc>
        <w:tc>
          <w:tcPr>
            <w:tcW w:w="868" w:type="dxa"/>
            <w:vAlign w:val="center"/>
          </w:tcPr>
          <w:p w14:paraId="11F8990B" w14:textId="77777777" w:rsidR="00470D07" w:rsidRPr="000C4F35" w:rsidRDefault="00470D07" w:rsidP="00685329">
            <w:pPr>
              <w:spacing w:before="20" w:after="20"/>
              <w:jc w:val="right"/>
              <w:rPr>
                <w:noProof/>
                <w:sz w:val="20"/>
              </w:rPr>
            </w:pPr>
          </w:p>
        </w:tc>
        <w:tc>
          <w:tcPr>
            <w:tcW w:w="868" w:type="dxa"/>
            <w:vAlign w:val="center"/>
          </w:tcPr>
          <w:p w14:paraId="0914034E" w14:textId="77777777" w:rsidR="00470D07" w:rsidRPr="000C4F35" w:rsidRDefault="00470D07" w:rsidP="00685329">
            <w:pPr>
              <w:spacing w:before="20" w:after="20"/>
              <w:jc w:val="right"/>
              <w:rPr>
                <w:noProof/>
                <w:sz w:val="20"/>
              </w:rPr>
            </w:pPr>
          </w:p>
        </w:tc>
        <w:tc>
          <w:tcPr>
            <w:tcW w:w="868" w:type="dxa"/>
            <w:vAlign w:val="center"/>
          </w:tcPr>
          <w:p w14:paraId="5FCF85AD" w14:textId="77777777" w:rsidR="00470D07" w:rsidRPr="000C4F35" w:rsidRDefault="00470D07" w:rsidP="00685329">
            <w:pPr>
              <w:spacing w:before="20" w:after="20"/>
              <w:jc w:val="right"/>
              <w:rPr>
                <w:noProof/>
                <w:sz w:val="20"/>
              </w:rPr>
            </w:pPr>
          </w:p>
        </w:tc>
        <w:tc>
          <w:tcPr>
            <w:tcW w:w="868" w:type="dxa"/>
            <w:vAlign w:val="center"/>
          </w:tcPr>
          <w:p w14:paraId="37481C7C" w14:textId="77777777" w:rsidR="00470D07" w:rsidRPr="000C4F35" w:rsidRDefault="00470D07" w:rsidP="00685329">
            <w:pPr>
              <w:spacing w:before="20" w:after="20"/>
              <w:jc w:val="right"/>
              <w:rPr>
                <w:noProof/>
                <w:sz w:val="20"/>
              </w:rPr>
            </w:pPr>
          </w:p>
        </w:tc>
        <w:tc>
          <w:tcPr>
            <w:tcW w:w="868" w:type="dxa"/>
            <w:vAlign w:val="center"/>
          </w:tcPr>
          <w:p w14:paraId="64798455" w14:textId="77777777" w:rsidR="00470D07" w:rsidRPr="000C4F35" w:rsidRDefault="00470D07" w:rsidP="00685329">
            <w:pPr>
              <w:spacing w:before="20" w:after="20"/>
              <w:jc w:val="right"/>
              <w:rPr>
                <w:noProof/>
                <w:sz w:val="20"/>
              </w:rPr>
            </w:pPr>
          </w:p>
        </w:tc>
        <w:tc>
          <w:tcPr>
            <w:tcW w:w="868" w:type="dxa"/>
            <w:vAlign w:val="center"/>
          </w:tcPr>
          <w:p w14:paraId="24D68F11" w14:textId="77777777" w:rsidR="00470D07" w:rsidRPr="000C4F35" w:rsidRDefault="00470D07" w:rsidP="00685329">
            <w:pPr>
              <w:spacing w:before="20" w:after="20"/>
              <w:jc w:val="right"/>
              <w:rPr>
                <w:b/>
                <w:noProof/>
                <w:sz w:val="20"/>
              </w:rPr>
            </w:pPr>
          </w:p>
        </w:tc>
        <w:tc>
          <w:tcPr>
            <w:tcW w:w="1777" w:type="dxa"/>
            <w:vAlign w:val="center"/>
          </w:tcPr>
          <w:p w14:paraId="563B3F03" w14:textId="77777777" w:rsidR="00470D07" w:rsidRPr="000C4F35" w:rsidRDefault="00470D07" w:rsidP="00685329">
            <w:pPr>
              <w:spacing w:before="20" w:after="20"/>
              <w:jc w:val="right"/>
              <w:rPr>
                <w:b/>
                <w:noProof/>
                <w:sz w:val="20"/>
              </w:rPr>
            </w:pPr>
          </w:p>
        </w:tc>
      </w:tr>
      <w:tr w:rsidR="00470D07" w:rsidRPr="000C4F35" w14:paraId="08B38A02" w14:textId="77777777" w:rsidTr="00470D07">
        <w:trPr>
          <w:trHeight w:val="533"/>
        </w:trPr>
        <w:tc>
          <w:tcPr>
            <w:tcW w:w="5400" w:type="dxa"/>
            <w:gridSpan w:val="2"/>
            <w:vAlign w:val="center"/>
          </w:tcPr>
          <w:p w14:paraId="5FAFDCF4" w14:textId="77777777" w:rsidR="00470D07" w:rsidRPr="000C4F35" w:rsidRDefault="00470D07" w:rsidP="00685329">
            <w:pPr>
              <w:spacing w:beforeLines="20" w:before="48" w:afterLines="20" w:after="48"/>
              <w:rPr>
                <w:noProof/>
              </w:rPr>
            </w:pPr>
            <w:r w:rsidRPr="000C4F35">
              <w:rPr>
                <w:noProof/>
                <w:sz w:val="21"/>
              </w:rPr>
              <w:sym w:font="Wingdings" w:char="F09F"/>
            </w:r>
            <w:r w:rsidRPr="000C4F35">
              <w:rPr>
                <w:noProof/>
                <w:sz w:val="21"/>
              </w:rPr>
              <w:t xml:space="preserve"> TOTAL appropriations of an administrative nature financed from the envelope for specific programmes </w:t>
            </w:r>
          </w:p>
        </w:tc>
        <w:tc>
          <w:tcPr>
            <w:tcW w:w="654" w:type="dxa"/>
            <w:vAlign w:val="center"/>
          </w:tcPr>
          <w:p w14:paraId="78BC6251" w14:textId="77777777" w:rsidR="00470D07" w:rsidRPr="000C4F35" w:rsidRDefault="00470D07" w:rsidP="00685329">
            <w:pPr>
              <w:spacing w:beforeLines="20" w:before="48" w:afterLines="20" w:after="48"/>
              <w:jc w:val="center"/>
              <w:rPr>
                <w:noProof/>
                <w:sz w:val="14"/>
              </w:rPr>
            </w:pPr>
            <w:r w:rsidRPr="000C4F35">
              <w:rPr>
                <w:noProof/>
                <w:sz w:val="14"/>
              </w:rPr>
              <w:t>(6)</w:t>
            </w:r>
          </w:p>
        </w:tc>
        <w:tc>
          <w:tcPr>
            <w:tcW w:w="868" w:type="dxa"/>
            <w:vAlign w:val="center"/>
          </w:tcPr>
          <w:p w14:paraId="6E14A9EB" w14:textId="77777777" w:rsidR="00470D07" w:rsidRPr="000C4F35" w:rsidRDefault="00470D07" w:rsidP="00685329">
            <w:pPr>
              <w:spacing w:before="20" w:after="20"/>
              <w:jc w:val="right"/>
              <w:rPr>
                <w:b/>
                <w:noProof/>
                <w:sz w:val="20"/>
              </w:rPr>
            </w:pPr>
          </w:p>
        </w:tc>
        <w:tc>
          <w:tcPr>
            <w:tcW w:w="868" w:type="dxa"/>
            <w:vAlign w:val="center"/>
          </w:tcPr>
          <w:p w14:paraId="29C79D2D" w14:textId="77777777" w:rsidR="00470D07" w:rsidRPr="000C4F35" w:rsidRDefault="00470D07" w:rsidP="00685329">
            <w:pPr>
              <w:spacing w:before="20" w:after="20"/>
              <w:jc w:val="right"/>
              <w:rPr>
                <w:b/>
                <w:noProof/>
                <w:sz w:val="20"/>
              </w:rPr>
            </w:pPr>
          </w:p>
        </w:tc>
        <w:tc>
          <w:tcPr>
            <w:tcW w:w="868" w:type="dxa"/>
            <w:vAlign w:val="center"/>
          </w:tcPr>
          <w:p w14:paraId="69E5841D" w14:textId="77777777" w:rsidR="00470D07" w:rsidRPr="000C4F35" w:rsidRDefault="00470D07" w:rsidP="00685329">
            <w:pPr>
              <w:spacing w:before="20" w:after="20"/>
              <w:jc w:val="right"/>
              <w:rPr>
                <w:b/>
                <w:noProof/>
                <w:sz w:val="20"/>
              </w:rPr>
            </w:pPr>
          </w:p>
        </w:tc>
        <w:tc>
          <w:tcPr>
            <w:tcW w:w="868" w:type="dxa"/>
            <w:vAlign w:val="center"/>
          </w:tcPr>
          <w:p w14:paraId="250A324A" w14:textId="77777777" w:rsidR="00470D07" w:rsidRPr="000C4F35" w:rsidRDefault="00470D07" w:rsidP="00685329">
            <w:pPr>
              <w:spacing w:before="20" w:after="20"/>
              <w:jc w:val="right"/>
              <w:rPr>
                <w:b/>
                <w:noProof/>
                <w:sz w:val="20"/>
              </w:rPr>
            </w:pPr>
          </w:p>
        </w:tc>
        <w:tc>
          <w:tcPr>
            <w:tcW w:w="868" w:type="dxa"/>
            <w:vAlign w:val="center"/>
          </w:tcPr>
          <w:p w14:paraId="13380DFD" w14:textId="77777777" w:rsidR="00470D07" w:rsidRPr="000C4F35" w:rsidRDefault="00470D07" w:rsidP="00685329">
            <w:pPr>
              <w:spacing w:before="20" w:after="20"/>
              <w:jc w:val="right"/>
              <w:rPr>
                <w:b/>
                <w:noProof/>
                <w:sz w:val="20"/>
              </w:rPr>
            </w:pPr>
          </w:p>
        </w:tc>
        <w:tc>
          <w:tcPr>
            <w:tcW w:w="868" w:type="dxa"/>
            <w:vAlign w:val="center"/>
          </w:tcPr>
          <w:p w14:paraId="687D52DD" w14:textId="77777777" w:rsidR="00470D07" w:rsidRPr="000C4F35" w:rsidRDefault="00470D07" w:rsidP="00685329">
            <w:pPr>
              <w:spacing w:before="20" w:after="20"/>
              <w:jc w:val="right"/>
              <w:rPr>
                <w:b/>
                <w:noProof/>
                <w:sz w:val="20"/>
              </w:rPr>
            </w:pPr>
          </w:p>
        </w:tc>
        <w:tc>
          <w:tcPr>
            <w:tcW w:w="868" w:type="dxa"/>
            <w:vAlign w:val="center"/>
          </w:tcPr>
          <w:p w14:paraId="2AE0CBB7" w14:textId="77777777" w:rsidR="00470D07" w:rsidRPr="000C4F35" w:rsidRDefault="00470D07" w:rsidP="00685329">
            <w:pPr>
              <w:spacing w:before="20" w:after="20"/>
              <w:jc w:val="right"/>
              <w:rPr>
                <w:b/>
                <w:noProof/>
                <w:sz w:val="20"/>
              </w:rPr>
            </w:pPr>
          </w:p>
        </w:tc>
        <w:tc>
          <w:tcPr>
            <w:tcW w:w="1777" w:type="dxa"/>
            <w:vAlign w:val="center"/>
          </w:tcPr>
          <w:p w14:paraId="0CF406BF" w14:textId="77777777" w:rsidR="00470D07" w:rsidRPr="000C4F35" w:rsidRDefault="00470D07" w:rsidP="00685329">
            <w:pPr>
              <w:spacing w:before="20" w:after="20"/>
              <w:jc w:val="right"/>
              <w:rPr>
                <w:b/>
                <w:noProof/>
                <w:sz w:val="20"/>
              </w:rPr>
            </w:pPr>
          </w:p>
        </w:tc>
      </w:tr>
      <w:tr w:rsidR="00470D07" w:rsidRPr="000C4F35" w14:paraId="31205035" w14:textId="77777777" w:rsidTr="00470D07">
        <w:tc>
          <w:tcPr>
            <w:tcW w:w="3960" w:type="dxa"/>
            <w:vMerge w:val="restart"/>
            <w:shd w:val="thinDiagStripe" w:color="C0C0C0" w:fill="auto"/>
            <w:vAlign w:val="center"/>
          </w:tcPr>
          <w:p w14:paraId="6AC2202D" w14:textId="77777777" w:rsidR="00470D07" w:rsidRPr="000C4F35" w:rsidRDefault="00470D07" w:rsidP="00685329">
            <w:pPr>
              <w:jc w:val="center"/>
              <w:rPr>
                <w:b/>
                <w:noProof/>
              </w:rPr>
            </w:pPr>
            <w:r w:rsidRPr="000C4F35">
              <w:rPr>
                <w:b/>
                <w:noProof/>
                <w:sz w:val="22"/>
              </w:rPr>
              <w:t xml:space="preserve">TOTAL appropriations </w:t>
            </w:r>
            <w:r w:rsidRPr="000C4F35">
              <w:rPr>
                <w:noProof/>
                <w:sz w:val="22"/>
              </w:rPr>
              <w:br/>
            </w:r>
            <w:r w:rsidRPr="000C4F35">
              <w:rPr>
                <w:b/>
                <w:noProof/>
                <w:sz w:val="22"/>
              </w:rPr>
              <w:t>under HEADING &lt;….&gt;</w:t>
            </w:r>
            <w:r w:rsidRPr="000C4F35">
              <w:rPr>
                <w:noProof/>
                <w:sz w:val="22"/>
              </w:rPr>
              <w:br/>
              <w:t>of the multiannual financial framework</w:t>
            </w:r>
          </w:p>
        </w:tc>
        <w:tc>
          <w:tcPr>
            <w:tcW w:w="1440" w:type="dxa"/>
            <w:vAlign w:val="center"/>
          </w:tcPr>
          <w:p w14:paraId="34595A0E" w14:textId="77777777" w:rsidR="00470D07" w:rsidRPr="000C4F35" w:rsidRDefault="00470D07" w:rsidP="00685329">
            <w:pPr>
              <w:rPr>
                <w:noProof/>
                <w:sz w:val="18"/>
              </w:rPr>
            </w:pPr>
            <w:r w:rsidRPr="000C4F35">
              <w:rPr>
                <w:noProof/>
                <w:sz w:val="18"/>
              </w:rPr>
              <w:t>Commitments</w:t>
            </w:r>
          </w:p>
        </w:tc>
        <w:tc>
          <w:tcPr>
            <w:tcW w:w="654" w:type="dxa"/>
            <w:vAlign w:val="center"/>
          </w:tcPr>
          <w:p w14:paraId="62E0A0A7" w14:textId="77777777" w:rsidR="00470D07" w:rsidRPr="000C4F35" w:rsidRDefault="00470D07" w:rsidP="00685329">
            <w:pPr>
              <w:jc w:val="center"/>
              <w:rPr>
                <w:noProof/>
                <w:sz w:val="14"/>
              </w:rPr>
            </w:pPr>
            <w:r w:rsidRPr="000C4F35">
              <w:rPr>
                <w:noProof/>
                <w:sz w:val="14"/>
              </w:rPr>
              <w:t>=4+ 6</w:t>
            </w:r>
          </w:p>
        </w:tc>
        <w:tc>
          <w:tcPr>
            <w:tcW w:w="868" w:type="dxa"/>
            <w:vAlign w:val="center"/>
          </w:tcPr>
          <w:p w14:paraId="5E801124" w14:textId="77777777" w:rsidR="00470D07" w:rsidRPr="000C4F35" w:rsidRDefault="00470D07" w:rsidP="00685329">
            <w:pPr>
              <w:spacing w:before="20" w:after="20"/>
              <w:jc w:val="right"/>
              <w:rPr>
                <w:noProof/>
                <w:sz w:val="20"/>
              </w:rPr>
            </w:pPr>
          </w:p>
        </w:tc>
        <w:tc>
          <w:tcPr>
            <w:tcW w:w="868" w:type="dxa"/>
            <w:vAlign w:val="center"/>
          </w:tcPr>
          <w:p w14:paraId="721E702F" w14:textId="77777777" w:rsidR="00470D07" w:rsidRPr="000C4F35" w:rsidRDefault="00470D07" w:rsidP="00685329">
            <w:pPr>
              <w:spacing w:before="20" w:after="20"/>
              <w:jc w:val="right"/>
              <w:rPr>
                <w:noProof/>
                <w:sz w:val="20"/>
              </w:rPr>
            </w:pPr>
          </w:p>
        </w:tc>
        <w:tc>
          <w:tcPr>
            <w:tcW w:w="868" w:type="dxa"/>
            <w:vAlign w:val="center"/>
          </w:tcPr>
          <w:p w14:paraId="14C2C0AD" w14:textId="77777777" w:rsidR="00470D07" w:rsidRPr="000C4F35" w:rsidRDefault="00470D07" w:rsidP="00685329">
            <w:pPr>
              <w:spacing w:before="20" w:after="20"/>
              <w:jc w:val="right"/>
              <w:rPr>
                <w:noProof/>
                <w:sz w:val="20"/>
              </w:rPr>
            </w:pPr>
          </w:p>
        </w:tc>
        <w:tc>
          <w:tcPr>
            <w:tcW w:w="868" w:type="dxa"/>
            <w:vAlign w:val="center"/>
          </w:tcPr>
          <w:p w14:paraId="0E665B3B" w14:textId="77777777" w:rsidR="00470D07" w:rsidRPr="000C4F35" w:rsidRDefault="00470D07" w:rsidP="00685329">
            <w:pPr>
              <w:spacing w:before="20" w:after="20"/>
              <w:jc w:val="right"/>
              <w:rPr>
                <w:noProof/>
                <w:sz w:val="20"/>
              </w:rPr>
            </w:pPr>
          </w:p>
        </w:tc>
        <w:tc>
          <w:tcPr>
            <w:tcW w:w="868" w:type="dxa"/>
            <w:vAlign w:val="center"/>
          </w:tcPr>
          <w:p w14:paraId="07C6AA9F" w14:textId="77777777" w:rsidR="00470D07" w:rsidRPr="000C4F35" w:rsidRDefault="00470D07" w:rsidP="00685329">
            <w:pPr>
              <w:spacing w:before="20" w:after="20"/>
              <w:jc w:val="right"/>
              <w:rPr>
                <w:noProof/>
                <w:sz w:val="20"/>
              </w:rPr>
            </w:pPr>
          </w:p>
        </w:tc>
        <w:tc>
          <w:tcPr>
            <w:tcW w:w="868" w:type="dxa"/>
            <w:vAlign w:val="center"/>
          </w:tcPr>
          <w:p w14:paraId="6B8C5479" w14:textId="77777777" w:rsidR="00470D07" w:rsidRPr="000C4F35" w:rsidRDefault="00470D07" w:rsidP="00685329">
            <w:pPr>
              <w:spacing w:before="20" w:after="20"/>
              <w:jc w:val="right"/>
              <w:rPr>
                <w:noProof/>
                <w:sz w:val="20"/>
              </w:rPr>
            </w:pPr>
          </w:p>
        </w:tc>
        <w:tc>
          <w:tcPr>
            <w:tcW w:w="868" w:type="dxa"/>
            <w:vAlign w:val="center"/>
          </w:tcPr>
          <w:p w14:paraId="0191A770" w14:textId="77777777" w:rsidR="00470D07" w:rsidRPr="000C4F35" w:rsidRDefault="00470D07" w:rsidP="00685329">
            <w:pPr>
              <w:spacing w:before="20" w:after="20"/>
              <w:jc w:val="right"/>
              <w:rPr>
                <w:b/>
                <w:noProof/>
                <w:sz w:val="20"/>
              </w:rPr>
            </w:pPr>
          </w:p>
        </w:tc>
        <w:tc>
          <w:tcPr>
            <w:tcW w:w="1777" w:type="dxa"/>
            <w:vAlign w:val="center"/>
          </w:tcPr>
          <w:p w14:paraId="4BD1225E" w14:textId="77777777" w:rsidR="00470D07" w:rsidRPr="000C4F35" w:rsidRDefault="00470D07" w:rsidP="00685329">
            <w:pPr>
              <w:spacing w:before="20" w:after="20"/>
              <w:jc w:val="right"/>
              <w:rPr>
                <w:b/>
                <w:noProof/>
                <w:sz w:val="20"/>
              </w:rPr>
            </w:pPr>
          </w:p>
        </w:tc>
      </w:tr>
      <w:tr w:rsidR="00470D07" w:rsidRPr="000C4F35" w14:paraId="4C46E327" w14:textId="77777777" w:rsidTr="00470D07">
        <w:tc>
          <w:tcPr>
            <w:tcW w:w="3960" w:type="dxa"/>
            <w:vMerge/>
            <w:shd w:val="thinDiagStripe" w:color="C0C0C0" w:fill="auto"/>
          </w:tcPr>
          <w:p w14:paraId="3FB1E150" w14:textId="77777777" w:rsidR="00470D07" w:rsidRPr="000C4F35" w:rsidRDefault="00470D07" w:rsidP="00685329">
            <w:pPr>
              <w:rPr>
                <w:noProof/>
                <w:sz w:val="20"/>
              </w:rPr>
            </w:pPr>
          </w:p>
        </w:tc>
        <w:tc>
          <w:tcPr>
            <w:tcW w:w="1440" w:type="dxa"/>
            <w:vAlign w:val="center"/>
          </w:tcPr>
          <w:p w14:paraId="261D8EA9" w14:textId="77777777" w:rsidR="00470D07" w:rsidRPr="000C4F35" w:rsidRDefault="00470D07" w:rsidP="00685329">
            <w:pPr>
              <w:rPr>
                <w:noProof/>
                <w:sz w:val="18"/>
              </w:rPr>
            </w:pPr>
            <w:r w:rsidRPr="000C4F35">
              <w:rPr>
                <w:noProof/>
                <w:sz w:val="18"/>
              </w:rPr>
              <w:t>Payments</w:t>
            </w:r>
          </w:p>
        </w:tc>
        <w:tc>
          <w:tcPr>
            <w:tcW w:w="654" w:type="dxa"/>
            <w:vAlign w:val="center"/>
          </w:tcPr>
          <w:p w14:paraId="56F69FA4" w14:textId="77777777" w:rsidR="00470D07" w:rsidRPr="000C4F35" w:rsidRDefault="00470D07" w:rsidP="00685329">
            <w:pPr>
              <w:jc w:val="center"/>
              <w:rPr>
                <w:noProof/>
                <w:sz w:val="14"/>
              </w:rPr>
            </w:pPr>
            <w:r w:rsidRPr="000C4F35">
              <w:rPr>
                <w:noProof/>
                <w:sz w:val="14"/>
              </w:rPr>
              <w:t>=5+ 6</w:t>
            </w:r>
          </w:p>
        </w:tc>
        <w:tc>
          <w:tcPr>
            <w:tcW w:w="868" w:type="dxa"/>
            <w:vAlign w:val="center"/>
          </w:tcPr>
          <w:p w14:paraId="4E5743E6" w14:textId="77777777" w:rsidR="00470D07" w:rsidRPr="000C4F35" w:rsidRDefault="00470D07" w:rsidP="00685329">
            <w:pPr>
              <w:spacing w:before="20" w:after="20"/>
              <w:jc w:val="right"/>
              <w:rPr>
                <w:noProof/>
                <w:sz w:val="20"/>
              </w:rPr>
            </w:pPr>
          </w:p>
        </w:tc>
        <w:tc>
          <w:tcPr>
            <w:tcW w:w="868" w:type="dxa"/>
            <w:vAlign w:val="center"/>
          </w:tcPr>
          <w:p w14:paraId="04D4A8EC" w14:textId="77777777" w:rsidR="00470D07" w:rsidRPr="000C4F35" w:rsidRDefault="00470D07" w:rsidP="00685329">
            <w:pPr>
              <w:spacing w:before="20" w:after="20"/>
              <w:jc w:val="right"/>
              <w:rPr>
                <w:noProof/>
                <w:sz w:val="20"/>
              </w:rPr>
            </w:pPr>
          </w:p>
        </w:tc>
        <w:tc>
          <w:tcPr>
            <w:tcW w:w="868" w:type="dxa"/>
            <w:vAlign w:val="center"/>
          </w:tcPr>
          <w:p w14:paraId="6D611B75" w14:textId="77777777" w:rsidR="00470D07" w:rsidRPr="000C4F35" w:rsidRDefault="00470D07" w:rsidP="00685329">
            <w:pPr>
              <w:spacing w:before="20" w:after="20"/>
              <w:jc w:val="right"/>
              <w:rPr>
                <w:noProof/>
                <w:sz w:val="20"/>
              </w:rPr>
            </w:pPr>
          </w:p>
        </w:tc>
        <w:tc>
          <w:tcPr>
            <w:tcW w:w="868" w:type="dxa"/>
            <w:vAlign w:val="center"/>
          </w:tcPr>
          <w:p w14:paraId="41673A69" w14:textId="77777777" w:rsidR="00470D07" w:rsidRPr="000C4F35" w:rsidRDefault="00470D07" w:rsidP="00685329">
            <w:pPr>
              <w:spacing w:before="20" w:after="20"/>
              <w:jc w:val="right"/>
              <w:rPr>
                <w:noProof/>
                <w:sz w:val="20"/>
              </w:rPr>
            </w:pPr>
          </w:p>
        </w:tc>
        <w:tc>
          <w:tcPr>
            <w:tcW w:w="868" w:type="dxa"/>
            <w:vAlign w:val="center"/>
          </w:tcPr>
          <w:p w14:paraId="30389EFE" w14:textId="77777777" w:rsidR="00470D07" w:rsidRPr="000C4F35" w:rsidRDefault="00470D07" w:rsidP="00685329">
            <w:pPr>
              <w:spacing w:before="20" w:after="20"/>
              <w:jc w:val="right"/>
              <w:rPr>
                <w:noProof/>
                <w:sz w:val="20"/>
              </w:rPr>
            </w:pPr>
          </w:p>
        </w:tc>
        <w:tc>
          <w:tcPr>
            <w:tcW w:w="868" w:type="dxa"/>
            <w:vAlign w:val="center"/>
          </w:tcPr>
          <w:p w14:paraId="07384FBE" w14:textId="77777777" w:rsidR="00470D07" w:rsidRPr="000C4F35" w:rsidRDefault="00470D07" w:rsidP="00685329">
            <w:pPr>
              <w:spacing w:before="20" w:after="20"/>
              <w:jc w:val="right"/>
              <w:rPr>
                <w:noProof/>
                <w:sz w:val="20"/>
              </w:rPr>
            </w:pPr>
          </w:p>
        </w:tc>
        <w:tc>
          <w:tcPr>
            <w:tcW w:w="868" w:type="dxa"/>
            <w:vAlign w:val="center"/>
          </w:tcPr>
          <w:p w14:paraId="1657DADB" w14:textId="77777777" w:rsidR="00470D07" w:rsidRPr="000C4F35" w:rsidRDefault="00470D07" w:rsidP="00685329">
            <w:pPr>
              <w:spacing w:before="20" w:after="20"/>
              <w:jc w:val="right"/>
              <w:rPr>
                <w:b/>
                <w:noProof/>
                <w:sz w:val="20"/>
              </w:rPr>
            </w:pPr>
          </w:p>
        </w:tc>
        <w:tc>
          <w:tcPr>
            <w:tcW w:w="1777" w:type="dxa"/>
            <w:vAlign w:val="center"/>
          </w:tcPr>
          <w:p w14:paraId="4373CB31" w14:textId="77777777" w:rsidR="00470D07" w:rsidRPr="000C4F35" w:rsidRDefault="00470D07" w:rsidP="00685329">
            <w:pPr>
              <w:spacing w:before="20" w:after="20"/>
              <w:jc w:val="right"/>
              <w:rPr>
                <w:b/>
                <w:noProof/>
                <w:sz w:val="20"/>
              </w:rPr>
            </w:pPr>
          </w:p>
        </w:tc>
      </w:tr>
    </w:tbl>
    <w:p w14:paraId="56852C87" w14:textId="77777777" w:rsidR="00470D07" w:rsidRPr="000C4F35" w:rsidRDefault="00470D07" w:rsidP="00685329">
      <w:pPr>
        <w:spacing w:after="40"/>
        <w:rPr>
          <w:b/>
          <w:noProof/>
          <w:sz w:val="22"/>
          <w:u w:val="single"/>
        </w:rPr>
      </w:pPr>
      <w:r w:rsidRPr="000C4F35">
        <w:rPr>
          <w:b/>
          <w:noProof/>
          <w:sz w:val="22"/>
          <w:u w:val="single"/>
        </w:rPr>
        <w:t>If more than one operational heading is affected by the proposal / initiative, repeat the section above: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470D07" w:rsidRPr="000C4F35" w14:paraId="46B54D63" w14:textId="77777777" w:rsidTr="00470D07">
        <w:trPr>
          <w:trHeight w:val="277"/>
        </w:trPr>
        <w:tc>
          <w:tcPr>
            <w:tcW w:w="3960" w:type="dxa"/>
            <w:vMerge w:val="restart"/>
            <w:tcBorders>
              <w:top w:val="single" w:sz="4" w:space="0" w:color="auto"/>
              <w:left w:val="single" w:sz="4" w:space="0" w:color="auto"/>
              <w:bottom w:val="single" w:sz="4" w:space="0" w:color="FF0000"/>
            </w:tcBorders>
            <w:vAlign w:val="center"/>
          </w:tcPr>
          <w:p w14:paraId="4E0A1D52" w14:textId="77777777" w:rsidR="00470D07" w:rsidRPr="000C4F35" w:rsidRDefault="00470D07" w:rsidP="00685329">
            <w:pPr>
              <w:spacing w:before="20" w:after="20"/>
              <w:rPr>
                <w:noProof/>
              </w:rPr>
            </w:pPr>
            <w:r w:rsidRPr="000C4F35">
              <w:rPr>
                <w:noProof/>
                <w:sz w:val="21"/>
              </w:rPr>
              <w:sym w:font="Wingdings" w:char="F09F"/>
            </w:r>
            <w:r w:rsidRPr="000C4F35">
              <w:rPr>
                <w:noProof/>
                <w:sz w:val="21"/>
              </w:rPr>
              <w:t xml:space="preserve"> TOTAL operational appropriations (all operational headings)</w:t>
            </w:r>
          </w:p>
        </w:tc>
        <w:tc>
          <w:tcPr>
            <w:tcW w:w="1440" w:type="dxa"/>
            <w:tcBorders>
              <w:top w:val="single" w:sz="4" w:space="0" w:color="auto"/>
            </w:tcBorders>
            <w:vAlign w:val="center"/>
          </w:tcPr>
          <w:p w14:paraId="7513AA4D" w14:textId="77777777" w:rsidR="00470D07" w:rsidRPr="000C4F35" w:rsidRDefault="00470D07" w:rsidP="00685329">
            <w:pPr>
              <w:spacing w:beforeLines="20" w:before="48" w:afterLines="20" w:after="48"/>
              <w:rPr>
                <w:noProof/>
                <w:sz w:val="18"/>
              </w:rPr>
            </w:pPr>
            <w:r w:rsidRPr="000C4F35">
              <w:rPr>
                <w:noProof/>
                <w:sz w:val="18"/>
              </w:rPr>
              <w:t>Commitments</w:t>
            </w:r>
          </w:p>
        </w:tc>
        <w:tc>
          <w:tcPr>
            <w:tcW w:w="654" w:type="dxa"/>
            <w:tcBorders>
              <w:top w:val="single" w:sz="4" w:space="0" w:color="auto"/>
            </w:tcBorders>
            <w:vAlign w:val="center"/>
          </w:tcPr>
          <w:p w14:paraId="0E79522C" w14:textId="77777777" w:rsidR="00470D07" w:rsidRPr="000C4F35" w:rsidRDefault="00470D07" w:rsidP="00685329">
            <w:pPr>
              <w:spacing w:beforeLines="20" w:before="48" w:afterLines="20" w:after="48"/>
              <w:jc w:val="center"/>
              <w:rPr>
                <w:noProof/>
                <w:sz w:val="14"/>
              </w:rPr>
            </w:pPr>
            <w:r w:rsidRPr="000C4F35">
              <w:rPr>
                <w:noProof/>
                <w:sz w:val="14"/>
              </w:rPr>
              <w:t>(4)</w:t>
            </w:r>
          </w:p>
        </w:tc>
        <w:tc>
          <w:tcPr>
            <w:tcW w:w="868" w:type="dxa"/>
            <w:tcBorders>
              <w:top w:val="single" w:sz="4" w:space="0" w:color="auto"/>
            </w:tcBorders>
            <w:vAlign w:val="center"/>
          </w:tcPr>
          <w:p w14:paraId="5F5221BF" w14:textId="77777777" w:rsidR="00470D07" w:rsidRPr="000C4F35" w:rsidRDefault="00470D07" w:rsidP="00685329">
            <w:pPr>
              <w:spacing w:before="20" w:after="20"/>
              <w:jc w:val="right"/>
              <w:rPr>
                <w:noProof/>
                <w:sz w:val="20"/>
              </w:rPr>
            </w:pPr>
          </w:p>
        </w:tc>
        <w:tc>
          <w:tcPr>
            <w:tcW w:w="868" w:type="dxa"/>
            <w:tcBorders>
              <w:top w:val="single" w:sz="4" w:space="0" w:color="auto"/>
            </w:tcBorders>
            <w:vAlign w:val="center"/>
          </w:tcPr>
          <w:p w14:paraId="6CE58C54" w14:textId="77777777" w:rsidR="00470D07" w:rsidRPr="000C4F35" w:rsidRDefault="00470D07" w:rsidP="00685329">
            <w:pPr>
              <w:spacing w:before="20" w:after="20"/>
              <w:jc w:val="right"/>
              <w:rPr>
                <w:noProof/>
                <w:sz w:val="20"/>
              </w:rPr>
            </w:pPr>
          </w:p>
        </w:tc>
        <w:tc>
          <w:tcPr>
            <w:tcW w:w="868" w:type="dxa"/>
            <w:tcBorders>
              <w:top w:val="single" w:sz="4" w:space="0" w:color="auto"/>
            </w:tcBorders>
            <w:vAlign w:val="center"/>
          </w:tcPr>
          <w:p w14:paraId="3D455A97" w14:textId="77777777" w:rsidR="00470D07" w:rsidRPr="000C4F35" w:rsidRDefault="00470D07" w:rsidP="00685329">
            <w:pPr>
              <w:spacing w:before="20" w:after="20"/>
              <w:jc w:val="right"/>
              <w:rPr>
                <w:noProof/>
                <w:sz w:val="20"/>
              </w:rPr>
            </w:pPr>
          </w:p>
        </w:tc>
        <w:tc>
          <w:tcPr>
            <w:tcW w:w="868" w:type="dxa"/>
            <w:tcBorders>
              <w:top w:val="single" w:sz="4" w:space="0" w:color="auto"/>
            </w:tcBorders>
            <w:vAlign w:val="center"/>
          </w:tcPr>
          <w:p w14:paraId="28B1383C" w14:textId="77777777" w:rsidR="00470D07" w:rsidRPr="000C4F35" w:rsidRDefault="00470D07" w:rsidP="00685329">
            <w:pPr>
              <w:spacing w:before="20" w:after="20"/>
              <w:jc w:val="right"/>
              <w:rPr>
                <w:noProof/>
                <w:sz w:val="20"/>
              </w:rPr>
            </w:pPr>
          </w:p>
        </w:tc>
        <w:tc>
          <w:tcPr>
            <w:tcW w:w="868" w:type="dxa"/>
            <w:tcBorders>
              <w:top w:val="single" w:sz="4" w:space="0" w:color="auto"/>
            </w:tcBorders>
            <w:vAlign w:val="center"/>
          </w:tcPr>
          <w:p w14:paraId="31C7266C" w14:textId="77777777" w:rsidR="00470D07" w:rsidRPr="000C4F35" w:rsidRDefault="00470D07" w:rsidP="00685329">
            <w:pPr>
              <w:spacing w:before="20" w:after="20"/>
              <w:jc w:val="right"/>
              <w:rPr>
                <w:noProof/>
                <w:sz w:val="20"/>
              </w:rPr>
            </w:pPr>
          </w:p>
        </w:tc>
        <w:tc>
          <w:tcPr>
            <w:tcW w:w="868" w:type="dxa"/>
            <w:tcBorders>
              <w:top w:val="single" w:sz="4" w:space="0" w:color="auto"/>
            </w:tcBorders>
            <w:vAlign w:val="center"/>
          </w:tcPr>
          <w:p w14:paraId="4019C1CB" w14:textId="77777777" w:rsidR="00470D07" w:rsidRPr="000C4F35" w:rsidRDefault="00470D07" w:rsidP="00685329">
            <w:pPr>
              <w:spacing w:before="20" w:after="20"/>
              <w:jc w:val="right"/>
              <w:rPr>
                <w:noProof/>
                <w:sz w:val="20"/>
              </w:rPr>
            </w:pPr>
          </w:p>
        </w:tc>
        <w:tc>
          <w:tcPr>
            <w:tcW w:w="868" w:type="dxa"/>
            <w:tcBorders>
              <w:top w:val="single" w:sz="4" w:space="0" w:color="auto"/>
            </w:tcBorders>
            <w:vAlign w:val="center"/>
          </w:tcPr>
          <w:p w14:paraId="372C6A4E" w14:textId="77777777" w:rsidR="00470D07" w:rsidRPr="000C4F35" w:rsidRDefault="00470D07" w:rsidP="00685329">
            <w:pPr>
              <w:spacing w:before="20" w:after="20"/>
              <w:jc w:val="right"/>
              <w:rPr>
                <w:b/>
                <w:noProof/>
                <w:sz w:val="20"/>
              </w:rPr>
            </w:pPr>
          </w:p>
        </w:tc>
        <w:tc>
          <w:tcPr>
            <w:tcW w:w="1777" w:type="dxa"/>
            <w:tcBorders>
              <w:top w:val="single" w:sz="4" w:space="0" w:color="auto"/>
              <w:right w:val="single" w:sz="4" w:space="0" w:color="auto"/>
            </w:tcBorders>
            <w:vAlign w:val="center"/>
          </w:tcPr>
          <w:p w14:paraId="3DF6F8D8" w14:textId="77777777" w:rsidR="00470D07" w:rsidRPr="000C4F35" w:rsidRDefault="00470D07" w:rsidP="00685329">
            <w:pPr>
              <w:spacing w:before="20" w:after="20"/>
              <w:jc w:val="right"/>
              <w:rPr>
                <w:b/>
                <w:noProof/>
                <w:sz w:val="20"/>
              </w:rPr>
            </w:pPr>
          </w:p>
        </w:tc>
      </w:tr>
      <w:tr w:rsidR="00470D07" w:rsidRPr="000C4F35" w14:paraId="15F95AE7" w14:textId="77777777" w:rsidTr="00470D07">
        <w:tc>
          <w:tcPr>
            <w:tcW w:w="3960" w:type="dxa"/>
            <w:vMerge/>
            <w:tcBorders>
              <w:top w:val="single" w:sz="4" w:space="0" w:color="FF0000"/>
              <w:left w:val="single" w:sz="4" w:space="0" w:color="auto"/>
              <w:bottom w:val="single" w:sz="4" w:space="0" w:color="FF0000"/>
            </w:tcBorders>
          </w:tcPr>
          <w:p w14:paraId="34669D6A" w14:textId="77777777" w:rsidR="00470D07" w:rsidRPr="000C4F35" w:rsidRDefault="00470D07" w:rsidP="00685329">
            <w:pPr>
              <w:jc w:val="center"/>
              <w:rPr>
                <w:noProof/>
                <w:sz w:val="20"/>
              </w:rPr>
            </w:pPr>
          </w:p>
        </w:tc>
        <w:tc>
          <w:tcPr>
            <w:tcW w:w="1440" w:type="dxa"/>
            <w:vAlign w:val="center"/>
          </w:tcPr>
          <w:p w14:paraId="5FB1CC2A" w14:textId="77777777" w:rsidR="00470D07" w:rsidRPr="000C4F35" w:rsidRDefault="00470D07" w:rsidP="00685329">
            <w:pPr>
              <w:spacing w:beforeLines="20" w:before="48" w:afterLines="20" w:after="48"/>
              <w:rPr>
                <w:noProof/>
                <w:sz w:val="18"/>
              </w:rPr>
            </w:pPr>
            <w:r w:rsidRPr="000C4F35">
              <w:rPr>
                <w:noProof/>
                <w:sz w:val="18"/>
              </w:rPr>
              <w:t>Payments</w:t>
            </w:r>
          </w:p>
        </w:tc>
        <w:tc>
          <w:tcPr>
            <w:tcW w:w="654" w:type="dxa"/>
            <w:vAlign w:val="center"/>
          </w:tcPr>
          <w:p w14:paraId="42F24D3C" w14:textId="77777777" w:rsidR="00470D07" w:rsidRPr="000C4F35" w:rsidRDefault="00470D07" w:rsidP="00685329">
            <w:pPr>
              <w:spacing w:beforeLines="20" w:before="48" w:afterLines="20" w:after="48"/>
              <w:jc w:val="center"/>
              <w:rPr>
                <w:noProof/>
                <w:sz w:val="14"/>
              </w:rPr>
            </w:pPr>
            <w:r w:rsidRPr="000C4F35">
              <w:rPr>
                <w:noProof/>
                <w:sz w:val="14"/>
              </w:rPr>
              <w:t>(5)</w:t>
            </w:r>
          </w:p>
        </w:tc>
        <w:tc>
          <w:tcPr>
            <w:tcW w:w="868" w:type="dxa"/>
            <w:vAlign w:val="center"/>
          </w:tcPr>
          <w:p w14:paraId="6489D8CD" w14:textId="77777777" w:rsidR="00470D07" w:rsidRPr="000C4F35" w:rsidRDefault="00470D07" w:rsidP="00685329">
            <w:pPr>
              <w:spacing w:before="20" w:after="20"/>
              <w:jc w:val="right"/>
              <w:rPr>
                <w:noProof/>
                <w:sz w:val="20"/>
              </w:rPr>
            </w:pPr>
          </w:p>
        </w:tc>
        <w:tc>
          <w:tcPr>
            <w:tcW w:w="868" w:type="dxa"/>
            <w:vAlign w:val="center"/>
          </w:tcPr>
          <w:p w14:paraId="174F20CB" w14:textId="77777777" w:rsidR="00470D07" w:rsidRPr="000C4F35" w:rsidRDefault="00470D07" w:rsidP="00685329">
            <w:pPr>
              <w:spacing w:before="20" w:after="20"/>
              <w:jc w:val="right"/>
              <w:rPr>
                <w:noProof/>
                <w:sz w:val="20"/>
              </w:rPr>
            </w:pPr>
          </w:p>
        </w:tc>
        <w:tc>
          <w:tcPr>
            <w:tcW w:w="868" w:type="dxa"/>
            <w:vAlign w:val="center"/>
          </w:tcPr>
          <w:p w14:paraId="51A9C9F0" w14:textId="77777777" w:rsidR="00470D07" w:rsidRPr="000C4F35" w:rsidRDefault="00470D07" w:rsidP="00685329">
            <w:pPr>
              <w:spacing w:before="20" w:after="20"/>
              <w:jc w:val="right"/>
              <w:rPr>
                <w:noProof/>
                <w:sz w:val="20"/>
              </w:rPr>
            </w:pPr>
          </w:p>
        </w:tc>
        <w:tc>
          <w:tcPr>
            <w:tcW w:w="868" w:type="dxa"/>
            <w:vAlign w:val="center"/>
          </w:tcPr>
          <w:p w14:paraId="79B4CCE2" w14:textId="77777777" w:rsidR="00470D07" w:rsidRPr="000C4F35" w:rsidRDefault="00470D07" w:rsidP="00685329">
            <w:pPr>
              <w:spacing w:before="20" w:after="20"/>
              <w:jc w:val="right"/>
              <w:rPr>
                <w:noProof/>
                <w:sz w:val="20"/>
              </w:rPr>
            </w:pPr>
          </w:p>
        </w:tc>
        <w:tc>
          <w:tcPr>
            <w:tcW w:w="868" w:type="dxa"/>
            <w:vAlign w:val="center"/>
          </w:tcPr>
          <w:p w14:paraId="2824EBFF" w14:textId="77777777" w:rsidR="00470D07" w:rsidRPr="000C4F35" w:rsidRDefault="00470D07" w:rsidP="00685329">
            <w:pPr>
              <w:spacing w:before="20" w:after="20"/>
              <w:jc w:val="right"/>
              <w:rPr>
                <w:noProof/>
                <w:sz w:val="20"/>
              </w:rPr>
            </w:pPr>
          </w:p>
        </w:tc>
        <w:tc>
          <w:tcPr>
            <w:tcW w:w="868" w:type="dxa"/>
            <w:vAlign w:val="center"/>
          </w:tcPr>
          <w:p w14:paraId="2B7E4CB6" w14:textId="77777777" w:rsidR="00470D07" w:rsidRPr="000C4F35" w:rsidRDefault="00470D07" w:rsidP="00685329">
            <w:pPr>
              <w:spacing w:before="20" w:after="20"/>
              <w:jc w:val="right"/>
              <w:rPr>
                <w:noProof/>
                <w:sz w:val="20"/>
              </w:rPr>
            </w:pPr>
          </w:p>
        </w:tc>
        <w:tc>
          <w:tcPr>
            <w:tcW w:w="868" w:type="dxa"/>
            <w:vAlign w:val="center"/>
          </w:tcPr>
          <w:p w14:paraId="2751A900" w14:textId="77777777" w:rsidR="00470D07" w:rsidRPr="000C4F35" w:rsidRDefault="00470D07" w:rsidP="00685329">
            <w:pPr>
              <w:spacing w:before="20" w:after="20"/>
              <w:jc w:val="right"/>
              <w:rPr>
                <w:b/>
                <w:noProof/>
                <w:sz w:val="20"/>
              </w:rPr>
            </w:pPr>
          </w:p>
        </w:tc>
        <w:tc>
          <w:tcPr>
            <w:tcW w:w="1777" w:type="dxa"/>
            <w:tcBorders>
              <w:right w:val="single" w:sz="4" w:space="0" w:color="auto"/>
            </w:tcBorders>
            <w:vAlign w:val="center"/>
          </w:tcPr>
          <w:p w14:paraId="02CD3866" w14:textId="77777777" w:rsidR="00470D07" w:rsidRPr="000C4F35" w:rsidRDefault="00470D07" w:rsidP="00685329">
            <w:pPr>
              <w:spacing w:before="20" w:after="20"/>
              <w:jc w:val="right"/>
              <w:rPr>
                <w:b/>
                <w:noProof/>
                <w:sz w:val="20"/>
              </w:rPr>
            </w:pPr>
          </w:p>
        </w:tc>
      </w:tr>
      <w:tr w:rsidR="00470D07" w:rsidRPr="000C4F35" w14:paraId="2B609D1F" w14:textId="77777777" w:rsidTr="00470D07">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1A210C17" w14:textId="77777777" w:rsidR="00470D07" w:rsidRPr="000C4F35" w:rsidRDefault="00470D07" w:rsidP="00685329">
            <w:pPr>
              <w:spacing w:beforeLines="20" w:before="48" w:afterLines="20" w:after="48"/>
              <w:rPr>
                <w:noProof/>
              </w:rPr>
            </w:pPr>
            <w:r w:rsidRPr="000C4F35">
              <w:rPr>
                <w:noProof/>
                <w:sz w:val="21"/>
              </w:rPr>
              <w:t xml:space="preserve"> TOTAL appropriations of an administrative nature financed from the envelope for specific programmes (all operational headings)</w:t>
            </w:r>
          </w:p>
        </w:tc>
        <w:tc>
          <w:tcPr>
            <w:tcW w:w="654" w:type="dxa"/>
            <w:vAlign w:val="center"/>
          </w:tcPr>
          <w:p w14:paraId="00D9935E" w14:textId="77777777" w:rsidR="00470D07" w:rsidRPr="000C4F35" w:rsidRDefault="00470D07" w:rsidP="00685329">
            <w:pPr>
              <w:rPr>
                <w:noProof/>
              </w:rPr>
            </w:pPr>
          </w:p>
          <w:p w14:paraId="35F73BCA" w14:textId="77777777" w:rsidR="00470D07" w:rsidRPr="000C4F35" w:rsidRDefault="00470D07" w:rsidP="00685329">
            <w:pPr>
              <w:spacing w:beforeLines="20" w:before="48" w:afterLines="20" w:after="48"/>
              <w:jc w:val="center"/>
              <w:rPr>
                <w:noProof/>
                <w:sz w:val="14"/>
              </w:rPr>
            </w:pPr>
            <w:r w:rsidRPr="000C4F35">
              <w:rPr>
                <w:noProof/>
                <w:sz w:val="14"/>
              </w:rPr>
              <w:t>(6)</w:t>
            </w:r>
          </w:p>
        </w:tc>
        <w:tc>
          <w:tcPr>
            <w:tcW w:w="868" w:type="dxa"/>
            <w:vAlign w:val="center"/>
          </w:tcPr>
          <w:p w14:paraId="68BD8887" w14:textId="77777777" w:rsidR="00470D07" w:rsidRPr="000C4F35" w:rsidRDefault="00470D07" w:rsidP="00685329">
            <w:pPr>
              <w:spacing w:before="20" w:after="20"/>
              <w:jc w:val="right"/>
              <w:rPr>
                <w:b/>
                <w:noProof/>
                <w:sz w:val="20"/>
              </w:rPr>
            </w:pPr>
          </w:p>
        </w:tc>
        <w:tc>
          <w:tcPr>
            <w:tcW w:w="868" w:type="dxa"/>
            <w:vAlign w:val="center"/>
          </w:tcPr>
          <w:p w14:paraId="4A2B87AC" w14:textId="77777777" w:rsidR="00470D07" w:rsidRPr="000C4F35" w:rsidRDefault="00470D07" w:rsidP="00685329">
            <w:pPr>
              <w:spacing w:before="20" w:after="20"/>
              <w:jc w:val="right"/>
              <w:rPr>
                <w:b/>
                <w:noProof/>
                <w:sz w:val="20"/>
              </w:rPr>
            </w:pPr>
          </w:p>
        </w:tc>
        <w:tc>
          <w:tcPr>
            <w:tcW w:w="868" w:type="dxa"/>
            <w:vAlign w:val="center"/>
          </w:tcPr>
          <w:p w14:paraId="0300A928" w14:textId="77777777" w:rsidR="00470D07" w:rsidRPr="000C4F35" w:rsidRDefault="00470D07" w:rsidP="00685329">
            <w:pPr>
              <w:spacing w:before="20" w:after="20"/>
              <w:jc w:val="right"/>
              <w:rPr>
                <w:b/>
                <w:noProof/>
                <w:sz w:val="20"/>
              </w:rPr>
            </w:pPr>
          </w:p>
        </w:tc>
        <w:tc>
          <w:tcPr>
            <w:tcW w:w="868" w:type="dxa"/>
            <w:vAlign w:val="center"/>
          </w:tcPr>
          <w:p w14:paraId="4B660493" w14:textId="77777777" w:rsidR="00470D07" w:rsidRPr="000C4F35" w:rsidRDefault="00470D07" w:rsidP="00685329">
            <w:pPr>
              <w:spacing w:before="20" w:after="20"/>
              <w:jc w:val="right"/>
              <w:rPr>
                <w:b/>
                <w:noProof/>
                <w:sz w:val="20"/>
              </w:rPr>
            </w:pPr>
          </w:p>
        </w:tc>
        <w:tc>
          <w:tcPr>
            <w:tcW w:w="868" w:type="dxa"/>
            <w:vAlign w:val="center"/>
          </w:tcPr>
          <w:p w14:paraId="23CA5938" w14:textId="77777777" w:rsidR="00470D07" w:rsidRPr="000C4F35" w:rsidRDefault="00470D07" w:rsidP="00685329">
            <w:pPr>
              <w:spacing w:before="20" w:after="20"/>
              <w:jc w:val="right"/>
              <w:rPr>
                <w:b/>
                <w:noProof/>
                <w:sz w:val="20"/>
              </w:rPr>
            </w:pPr>
          </w:p>
        </w:tc>
        <w:tc>
          <w:tcPr>
            <w:tcW w:w="868" w:type="dxa"/>
            <w:vAlign w:val="center"/>
          </w:tcPr>
          <w:p w14:paraId="24CD6D59" w14:textId="77777777" w:rsidR="00470D07" w:rsidRPr="000C4F35" w:rsidRDefault="00470D07" w:rsidP="00685329">
            <w:pPr>
              <w:spacing w:before="20" w:after="20"/>
              <w:jc w:val="right"/>
              <w:rPr>
                <w:b/>
                <w:noProof/>
                <w:sz w:val="20"/>
              </w:rPr>
            </w:pPr>
          </w:p>
        </w:tc>
        <w:tc>
          <w:tcPr>
            <w:tcW w:w="868" w:type="dxa"/>
            <w:vAlign w:val="center"/>
          </w:tcPr>
          <w:p w14:paraId="77E8A50D" w14:textId="77777777" w:rsidR="00470D07" w:rsidRPr="000C4F35" w:rsidRDefault="00470D07" w:rsidP="00685329">
            <w:pPr>
              <w:spacing w:before="20" w:after="20"/>
              <w:jc w:val="right"/>
              <w:rPr>
                <w:b/>
                <w:noProof/>
                <w:sz w:val="20"/>
              </w:rPr>
            </w:pPr>
          </w:p>
        </w:tc>
        <w:tc>
          <w:tcPr>
            <w:tcW w:w="1777" w:type="dxa"/>
            <w:vAlign w:val="center"/>
          </w:tcPr>
          <w:p w14:paraId="3310ECFE" w14:textId="77777777" w:rsidR="00470D07" w:rsidRPr="000C4F35" w:rsidRDefault="00470D07" w:rsidP="00685329">
            <w:pPr>
              <w:spacing w:before="20" w:after="20"/>
              <w:jc w:val="right"/>
              <w:rPr>
                <w:b/>
                <w:noProof/>
                <w:sz w:val="20"/>
              </w:rPr>
            </w:pPr>
          </w:p>
        </w:tc>
      </w:tr>
      <w:tr w:rsidR="00470D07" w:rsidRPr="000C4F35" w14:paraId="774EA371" w14:textId="77777777" w:rsidTr="00470D07">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347887BA" w14:textId="77777777" w:rsidR="00470D07" w:rsidRPr="000C4F35" w:rsidRDefault="00470D07" w:rsidP="00685329">
            <w:pPr>
              <w:jc w:val="center"/>
              <w:rPr>
                <w:b/>
                <w:noProof/>
              </w:rPr>
            </w:pPr>
            <w:r w:rsidRPr="000C4F35">
              <w:rPr>
                <w:b/>
                <w:noProof/>
                <w:sz w:val="22"/>
              </w:rPr>
              <w:t xml:space="preserve">TOTAL appropriations </w:t>
            </w:r>
            <w:r w:rsidRPr="000C4F35">
              <w:rPr>
                <w:noProof/>
                <w:sz w:val="22"/>
              </w:rPr>
              <w:br/>
            </w:r>
            <w:r w:rsidRPr="000C4F35">
              <w:rPr>
                <w:b/>
                <w:noProof/>
                <w:sz w:val="22"/>
              </w:rPr>
              <w:t>under HEADINGS 1 to 6</w:t>
            </w:r>
            <w:r w:rsidRPr="000C4F35">
              <w:rPr>
                <w:noProof/>
                <w:sz w:val="22"/>
              </w:rPr>
              <w:br/>
              <w:t>of the multiannual financial framework</w:t>
            </w:r>
            <w:r w:rsidRPr="000C4F35">
              <w:rPr>
                <w:noProof/>
                <w:sz w:val="22"/>
              </w:rPr>
              <w:br/>
            </w:r>
            <w:r w:rsidRPr="000C4F35">
              <w:rPr>
                <w:noProof/>
                <w:sz w:val="20"/>
              </w:rPr>
              <w:t>(Reference amount)</w:t>
            </w:r>
          </w:p>
        </w:tc>
        <w:tc>
          <w:tcPr>
            <w:tcW w:w="1440" w:type="dxa"/>
            <w:vAlign w:val="center"/>
          </w:tcPr>
          <w:p w14:paraId="0EFBBFC4" w14:textId="77777777" w:rsidR="00470D07" w:rsidRPr="000C4F35" w:rsidRDefault="00470D07" w:rsidP="00685329">
            <w:pPr>
              <w:rPr>
                <w:noProof/>
                <w:sz w:val="18"/>
              </w:rPr>
            </w:pPr>
            <w:r w:rsidRPr="000C4F35">
              <w:rPr>
                <w:noProof/>
                <w:sz w:val="18"/>
              </w:rPr>
              <w:t>Commitments</w:t>
            </w:r>
          </w:p>
        </w:tc>
        <w:tc>
          <w:tcPr>
            <w:tcW w:w="654" w:type="dxa"/>
            <w:vAlign w:val="center"/>
          </w:tcPr>
          <w:p w14:paraId="6AF889D5" w14:textId="77777777" w:rsidR="00470D07" w:rsidRPr="000C4F35" w:rsidRDefault="00470D07" w:rsidP="00685329">
            <w:pPr>
              <w:jc w:val="center"/>
              <w:rPr>
                <w:noProof/>
                <w:sz w:val="14"/>
              </w:rPr>
            </w:pPr>
            <w:r w:rsidRPr="000C4F35">
              <w:rPr>
                <w:noProof/>
                <w:sz w:val="14"/>
              </w:rPr>
              <w:t>=4+ 6</w:t>
            </w:r>
          </w:p>
        </w:tc>
        <w:tc>
          <w:tcPr>
            <w:tcW w:w="868" w:type="dxa"/>
            <w:vAlign w:val="center"/>
          </w:tcPr>
          <w:p w14:paraId="5BCCA318" w14:textId="77777777" w:rsidR="00470D07" w:rsidRPr="000C4F35" w:rsidRDefault="00470D07" w:rsidP="00685329">
            <w:pPr>
              <w:spacing w:before="20" w:after="20"/>
              <w:jc w:val="right"/>
              <w:rPr>
                <w:noProof/>
                <w:sz w:val="20"/>
              </w:rPr>
            </w:pPr>
          </w:p>
        </w:tc>
        <w:tc>
          <w:tcPr>
            <w:tcW w:w="868" w:type="dxa"/>
            <w:vAlign w:val="center"/>
          </w:tcPr>
          <w:p w14:paraId="5499AD27" w14:textId="77777777" w:rsidR="00470D07" w:rsidRPr="000C4F35" w:rsidRDefault="00470D07" w:rsidP="00685329">
            <w:pPr>
              <w:spacing w:before="20" w:after="20"/>
              <w:jc w:val="right"/>
              <w:rPr>
                <w:noProof/>
                <w:sz w:val="20"/>
              </w:rPr>
            </w:pPr>
          </w:p>
        </w:tc>
        <w:tc>
          <w:tcPr>
            <w:tcW w:w="868" w:type="dxa"/>
            <w:vAlign w:val="center"/>
          </w:tcPr>
          <w:p w14:paraId="26949E6A" w14:textId="77777777" w:rsidR="00470D07" w:rsidRPr="000C4F35" w:rsidRDefault="00470D07" w:rsidP="00685329">
            <w:pPr>
              <w:spacing w:before="20" w:after="20"/>
              <w:jc w:val="right"/>
              <w:rPr>
                <w:noProof/>
                <w:sz w:val="20"/>
              </w:rPr>
            </w:pPr>
          </w:p>
        </w:tc>
        <w:tc>
          <w:tcPr>
            <w:tcW w:w="868" w:type="dxa"/>
            <w:vAlign w:val="center"/>
          </w:tcPr>
          <w:p w14:paraId="2E8E1BE8" w14:textId="77777777" w:rsidR="00470D07" w:rsidRPr="000C4F35" w:rsidRDefault="00470D07" w:rsidP="00685329">
            <w:pPr>
              <w:spacing w:before="20" w:after="20"/>
              <w:jc w:val="right"/>
              <w:rPr>
                <w:noProof/>
                <w:sz w:val="20"/>
              </w:rPr>
            </w:pPr>
          </w:p>
        </w:tc>
        <w:tc>
          <w:tcPr>
            <w:tcW w:w="868" w:type="dxa"/>
            <w:vAlign w:val="center"/>
          </w:tcPr>
          <w:p w14:paraId="1CD14D21" w14:textId="77777777" w:rsidR="00470D07" w:rsidRPr="000C4F35" w:rsidRDefault="00470D07" w:rsidP="00685329">
            <w:pPr>
              <w:spacing w:before="20" w:after="20"/>
              <w:jc w:val="right"/>
              <w:rPr>
                <w:noProof/>
                <w:sz w:val="20"/>
              </w:rPr>
            </w:pPr>
          </w:p>
        </w:tc>
        <w:tc>
          <w:tcPr>
            <w:tcW w:w="868" w:type="dxa"/>
            <w:vAlign w:val="center"/>
          </w:tcPr>
          <w:p w14:paraId="2488A728" w14:textId="77777777" w:rsidR="00470D07" w:rsidRPr="000C4F35" w:rsidRDefault="00470D07" w:rsidP="00685329">
            <w:pPr>
              <w:spacing w:before="20" w:after="20"/>
              <w:jc w:val="right"/>
              <w:rPr>
                <w:noProof/>
                <w:sz w:val="20"/>
              </w:rPr>
            </w:pPr>
          </w:p>
        </w:tc>
        <w:tc>
          <w:tcPr>
            <w:tcW w:w="868" w:type="dxa"/>
            <w:vAlign w:val="center"/>
          </w:tcPr>
          <w:p w14:paraId="29817DE7" w14:textId="77777777" w:rsidR="00470D07" w:rsidRPr="000C4F35" w:rsidRDefault="00470D07" w:rsidP="00685329">
            <w:pPr>
              <w:spacing w:before="20" w:after="20"/>
              <w:jc w:val="right"/>
              <w:rPr>
                <w:b/>
                <w:noProof/>
                <w:sz w:val="20"/>
              </w:rPr>
            </w:pPr>
          </w:p>
        </w:tc>
        <w:tc>
          <w:tcPr>
            <w:tcW w:w="1777" w:type="dxa"/>
            <w:tcBorders>
              <w:right w:val="single" w:sz="4" w:space="0" w:color="auto"/>
            </w:tcBorders>
            <w:vAlign w:val="center"/>
          </w:tcPr>
          <w:p w14:paraId="67C7CE9F" w14:textId="77777777" w:rsidR="00470D07" w:rsidRPr="000C4F35" w:rsidRDefault="00470D07" w:rsidP="00685329">
            <w:pPr>
              <w:spacing w:before="20" w:after="20"/>
              <w:jc w:val="right"/>
              <w:rPr>
                <w:b/>
                <w:noProof/>
                <w:sz w:val="20"/>
              </w:rPr>
            </w:pPr>
          </w:p>
        </w:tc>
      </w:tr>
      <w:tr w:rsidR="00470D07" w:rsidRPr="000C4F35" w14:paraId="58F0EC36" w14:textId="77777777" w:rsidTr="00470D07">
        <w:tc>
          <w:tcPr>
            <w:tcW w:w="3960" w:type="dxa"/>
            <w:vMerge/>
            <w:tcBorders>
              <w:top w:val="single" w:sz="4" w:space="0" w:color="FF0000"/>
              <w:left w:val="single" w:sz="4" w:space="0" w:color="auto"/>
              <w:bottom w:val="single" w:sz="4" w:space="0" w:color="auto"/>
            </w:tcBorders>
            <w:shd w:val="thinDiagStripe" w:color="C0C0C0" w:fill="auto"/>
          </w:tcPr>
          <w:p w14:paraId="1EE125A8" w14:textId="77777777" w:rsidR="00470D07" w:rsidRPr="000C4F35" w:rsidRDefault="00470D07" w:rsidP="00685329">
            <w:pPr>
              <w:rPr>
                <w:noProof/>
                <w:sz w:val="20"/>
              </w:rPr>
            </w:pPr>
          </w:p>
        </w:tc>
        <w:tc>
          <w:tcPr>
            <w:tcW w:w="1440" w:type="dxa"/>
            <w:tcBorders>
              <w:bottom w:val="single" w:sz="4" w:space="0" w:color="auto"/>
            </w:tcBorders>
            <w:vAlign w:val="center"/>
          </w:tcPr>
          <w:p w14:paraId="3E6E5E65" w14:textId="77777777" w:rsidR="00470D07" w:rsidRPr="000C4F35" w:rsidRDefault="00470D07" w:rsidP="00685329">
            <w:pPr>
              <w:rPr>
                <w:noProof/>
                <w:sz w:val="18"/>
              </w:rPr>
            </w:pPr>
            <w:r w:rsidRPr="000C4F35">
              <w:rPr>
                <w:noProof/>
                <w:sz w:val="18"/>
              </w:rPr>
              <w:t>Payments</w:t>
            </w:r>
          </w:p>
        </w:tc>
        <w:tc>
          <w:tcPr>
            <w:tcW w:w="654" w:type="dxa"/>
            <w:tcBorders>
              <w:bottom w:val="single" w:sz="4" w:space="0" w:color="auto"/>
            </w:tcBorders>
            <w:vAlign w:val="center"/>
          </w:tcPr>
          <w:p w14:paraId="2B2823A8" w14:textId="77777777" w:rsidR="00470D07" w:rsidRPr="000C4F35" w:rsidRDefault="00470D07" w:rsidP="00685329">
            <w:pPr>
              <w:jc w:val="center"/>
              <w:rPr>
                <w:noProof/>
                <w:sz w:val="14"/>
              </w:rPr>
            </w:pPr>
            <w:r w:rsidRPr="000C4F35">
              <w:rPr>
                <w:noProof/>
                <w:sz w:val="14"/>
              </w:rPr>
              <w:t>=5+ 6</w:t>
            </w:r>
          </w:p>
        </w:tc>
        <w:tc>
          <w:tcPr>
            <w:tcW w:w="868" w:type="dxa"/>
            <w:tcBorders>
              <w:bottom w:val="single" w:sz="4" w:space="0" w:color="auto"/>
            </w:tcBorders>
            <w:vAlign w:val="center"/>
          </w:tcPr>
          <w:p w14:paraId="3DECAB23" w14:textId="77777777" w:rsidR="00470D07" w:rsidRPr="000C4F35" w:rsidRDefault="00470D07" w:rsidP="00685329">
            <w:pPr>
              <w:spacing w:before="20" w:after="20"/>
              <w:jc w:val="right"/>
              <w:rPr>
                <w:noProof/>
                <w:sz w:val="20"/>
              </w:rPr>
            </w:pPr>
          </w:p>
        </w:tc>
        <w:tc>
          <w:tcPr>
            <w:tcW w:w="868" w:type="dxa"/>
            <w:tcBorders>
              <w:bottom w:val="single" w:sz="4" w:space="0" w:color="auto"/>
            </w:tcBorders>
            <w:vAlign w:val="center"/>
          </w:tcPr>
          <w:p w14:paraId="3B6E4604" w14:textId="77777777" w:rsidR="00470D07" w:rsidRPr="000C4F35" w:rsidRDefault="00470D07" w:rsidP="00685329">
            <w:pPr>
              <w:spacing w:before="20" w:after="20"/>
              <w:jc w:val="right"/>
              <w:rPr>
                <w:noProof/>
                <w:sz w:val="20"/>
              </w:rPr>
            </w:pPr>
          </w:p>
        </w:tc>
        <w:tc>
          <w:tcPr>
            <w:tcW w:w="868" w:type="dxa"/>
            <w:tcBorders>
              <w:bottom w:val="single" w:sz="4" w:space="0" w:color="auto"/>
            </w:tcBorders>
            <w:vAlign w:val="center"/>
          </w:tcPr>
          <w:p w14:paraId="1080DB4D" w14:textId="77777777" w:rsidR="00470D07" w:rsidRPr="000C4F35" w:rsidRDefault="00470D07" w:rsidP="00685329">
            <w:pPr>
              <w:spacing w:before="20" w:after="20"/>
              <w:jc w:val="right"/>
              <w:rPr>
                <w:noProof/>
                <w:sz w:val="20"/>
              </w:rPr>
            </w:pPr>
          </w:p>
        </w:tc>
        <w:tc>
          <w:tcPr>
            <w:tcW w:w="868" w:type="dxa"/>
            <w:tcBorders>
              <w:bottom w:val="single" w:sz="4" w:space="0" w:color="auto"/>
            </w:tcBorders>
            <w:vAlign w:val="center"/>
          </w:tcPr>
          <w:p w14:paraId="3A69D644" w14:textId="77777777" w:rsidR="00470D07" w:rsidRPr="000C4F35" w:rsidRDefault="00470D07" w:rsidP="00685329">
            <w:pPr>
              <w:spacing w:before="20" w:after="20"/>
              <w:jc w:val="right"/>
              <w:rPr>
                <w:noProof/>
                <w:sz w:val="20"/>
              </w:rPr>
            </w:pPr>
          </w:p>
        </w:tc>
        <w:tc>
          <w:tcPr>
            <w:tcW w:w="868" w:type="dxa"/>
            <w:tcBorders>
              <w:bottom w:val="single" w:sz="4" w:space="0" w:color="auto"/>
            </w:tcBorders>
            <w:vAlign w:val="center"/>
          </w:tcPr>
          <w:p w14:paraId="094DB883" w14:textId="77777777" w:rsidR="00470D07" w:rsidRPr="000C4F35" w:rsidRDefault="00470D07" w:rsidP="00685329">
            <w:pPr>
              <w:spacing w:before="20" w:after="20"/>
              <w:jc w:val="right"/>
              <w:rPr>
                <w:noProof/>
                <w:sz w:val="20"/>
              </w:rPr>
            </w:pPr>
          </w:p>
        </w:tc>
        <w:tc>
          <w:tcPr>
            <w:tcW w:w="868" w:type="dxa"/>
            <w:tcBorders>
              <w:bottom w:val="single" w:sz="4" w:space="0" w:color="auto"/>
            </w:tcBorders>
            <w:vAlign w:val="center"/>
          </w:tcPr>
          <w:p w14:paraId="05AC29D9" w14:textId="77777777" w:rsidR="00470D07" w:rsidRPr="000C4F35" w:rsidRDefault="00470D07" w:rsidP="00685329">
            <w:pPr>
              <w:spacing w:before="20" w:after="20"/>
              <w:jc w:val="right"/>
              <w:rPr>
                <w:noProof/>
                <w:sz w:val="20"/>
              </w:rPr>
            </w:pPr>
          </w:p>
        </w:tc>
        <w:tc>
          <w:tcPr>
            <w:tcW w:w="868" w:type="dxa"/>
            <w:tcBorders>
              <w:bottom w:val="single" w:sz="4" w:space="0" w:color="auto"/>
            </w:tcBorders>
            <w:vAlign w:val="center"/>
          </w:tcPr>
          <w:p w14:paraId="38CE1C69" w14:textId="77777777" w:rsidR="00470D07" w:rsidRPr="000C4F35" w:rsidRDefault="00470D07" w:rsidP="00685329">
            <w:pPr>
              <w:spacing w:before="20" w:after="20"/>
              <w:jc w:val="right"/>
              <w:rPr>
                <w:b/>
                <w:noProof/>
                <w:sz w:val="20"/>
              </w:rPr>
            </w:pPr>
          </w:p>
        </w:tc>
        <w:tc>
          <w:tcPr>
            <w:tcW w:w="1777" w:type="dxa"/>
            <w:tcBorders>
              <w:bottom w:val="single" w:sz="4" w:space="0" w:color="auto"/>
              <w:right w:val="single" w:sz="4" w:space="0" w:color="auto"/>
            </w:tcBorders>
            <w:vAlign w:val="center"/>
          </w:tcPr>
          <w:p w14:paraId="5624B2EC" w14:textId="77777777" w:rsidR="00470D07" w:rsidRPr="000C4F35" w:rsidRDefault="00470D07" w:rsidP="00685329">
            <w:pPr>
              <w:spacing w:before="20" w:after="20"/>
              <w:jc w:val="right"/>
              <w:rPr>
                <w:b/>
                <w:noProof/>
                <w:sz w:val="20"/>
              </w:rPr>
            </w:pPr>
          </w:p>
        </w:tc>
      </w:tr>
    </w:tbl>
    <w:p w14:paraId="2DA2C3B6" w14:textId="77777777" w:rsidR="00470D07" w:rsidRPr="000C4F35" w:rsidRDefault="00470D07" w:rsidP="00685329">
      <w:pPr>
        <w:rPr>
          <w:noProof/>
        </w:rPr>
      </w:pPr>
    </w:p>
    <w:p w14:paraId="583AECC4" w14:textId="77777777" w:rsidR="00470D07" w:rsidRPr="000C4F35" w:rsidRDefault="00470D07" w:rsidP="00685329">
      <w:pPr>
        <w:spacing w:before="0" w:after="0"/>
        <w:jc w:val="left"/>
        <w:rPr>
          <w:noProof/>
        </w:rPr>
      </w:pPr>
      <w:r w:rsidRPr="000C4F35">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70D07" w:rsidRPr="000C4F35" w14:paraId="2D821589" w14:textId="77777777" w:rsidTr="00470D07">
        <w:trPr>
          <w:jc w:val="center"/>
        </w:trPr>
        <w:tc>
          <w:tcPr>
            <w:tcW w:w="4744" w:type="dxa"/>
            <w:shd w:val="thinDiagStripe" w:color="C0C0C0" w:fill="auto"/>
            <w:vAlign w:val="center"/>
          </w:tcPr>
          <w:p w14:paraId="6799F843" w14:textId="77777777" w:rsidR="00470D07" w:rsidRPr="000C4F35" w:rsidRDefault="00470D07" w:rsidP="00685329">
            <w:pPr>
              <w:spacing w:before="60" w:after="60"/>
              <w:jc w:val="center"/>
              <w:rPr>
                <w:b/>
                <w:noProof/>
              </w:rPr>
            </w:pPr>
            <w:r w:rsidRPr="000C4F35">
              <w:rPr>
                <w:noProof/>
                <w:sz w:val="22"/>
              </w:rPr>
              <w:br w:type="page"/>
            </w:r>
            <w:r w:rsidRPr="000C4F35">
              <w:rPr>
                <w:b/>
                <w:noProof/>
                <w:sz w:val="22"/>
              </w:rPr>
              <w:t xml:space="preserve">Heading of multiannual financial </w:t>
            </w:r>
            <w:r w:rsidRPr="000C4F35">
              <w:rPr>
                <w:noProof/>
                <w:sz w:val="22"/>
              </w:rPr>
              <w:br/>
            </w:r>
            <w:r w:rsidRPr="000C4F35">
              <w:rPr>
                <w:b/>
                <w:noProof/>
                <w:sz w:val="22"/>
              </w:rPr>
              <w:t xml:space="preserve">framework </w:t>
            </w:r>
          </w:p>
        </w:tc>
        <w:tc>
          <w:tcPr>
            <w:tcW w:w="1080" w:type="dxa"/>
            <w:shd w:val="thinDiagStripe" w:color="C0C0C0" w:fill="auto"/>
            <w:vAlign w:val="center"/>
          </w:tcPr>
          <w:p w14:paraId="18D6131C" w14:textId="77777777" w:rsidR="00470D07" w:rsidRPr="000C4F35" w:rsidRDefault="00470D07" w:rsidP="00685329">
            <w:pPr>
              <w:spacing w:before="60" w:after="60"/>
              <w:jc w:val="center"/>
              <w:rPr>
                <w:noProof/>
              </w:rPr>
            </w:pPr>
            <w:r w:rsidRPr="000C4F35">
              <w:rPr>
                <w:b/>
                <w:noProof/>
                <w:sz w:val="22"/>
              </w:rPr>
              <w:t>7</w:t>
            </w:r>
          </w:p>
        </w:tc>
        <w:tc>
          <w:tcPr>
            <w:tcW w:w="7817" w:type="dxa"/>
            <w:vAlign w:val="center"/>
          </w:tcPr>
          <w:p w14:paraId="67A7DACF" w14:textId="77777777" w:rsidR="00470D07" w:rsidRPr="000C4F35" w:rsidRDefault="00470D07" w:rsidP="00685329">
            <w:pPr>
              <w:spacing w:before="60" w:after="60"/>
              <w:rPr>
                <w:noProof/>
              </w:rPr>
            </w:pPr>
            <w:r w:rsidRPr="000C4F35">
              <w:rPr>
                <w:noProof/>
                <w:sz w:val="22"/>
              </w:rPr>
              <w:t>‘Administrative expenditure’</w:t>
            </w:r>
          </w:p>
        </w:tc>
      </w:tr>
    </w:tbl>
    <w:p w14:paraId="7280F68B" w14:textId="77777777" w:rsidR="00470D07" w:rsidRPr="000C4F35" w:rsidRDefault="00470D07" w:rsidP="00685329">
      <w:pPr>
        <w:jc w:val="left"/>
        <w:rPr>
          <w:noProof/>
          <w:sz w:val="20"/>
        </w:rPr>
      </w:pPr>
      <w:r w:rsidRPr="000C4F35">
        <w:rPr>
          <w:noProof/>
        </w:rPr>
        <w:t xml:space="preserve">This section should be filled in using the 'budget data of an administrative nature' to be firstly introduced in the </w:t>
      </w:r>
      <w:hyperlink r:id="rId12" w:history="1">
        <w:r w:rsidRPr="000C4F35">
          <w:rPr>
            <w:rStyle w:val="Hyperlink"/>
            <w:noProof/>
          </w:rPr>
          <w:t>Annex to the Legislative Financial Statement</w:t>
        </w:r>
      </w:hyperlink>
      <w:r w:rsidRPr="000C4F35">
        <w:rPr>
          <w:noProof/>
        </w:rPr>
        <w:t xml:space="preserve"> (Annex V to the internal rules), which is uploaded to DECIDE for interservice consultation purposes.</w:t>
      </w:r>
    </w:p>
    <w:p w14:paraId="587F212A" w14:textId="77777777" w:rsidR="00470D07" w:rsidRPr="000C4F35" w:rsidRDefault="00470D07" w:rsidP="00685329">
      <w:pPr>
        <w:jc w:val="right"/>
        <w:rPr>
          <w:noProof/>
          <w:sz w:val="20"/>
        </w:rPr>
      </w:pPr>
      <w:r w:rsidRPr="000C4F35">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470D07" w:rsidRPr="000C4F35" w14:paraId="3C5701C1" w14:textId="77777777" w:rsidTr="00470D07">
        <w:tc>
          <w:tcPr>
            <w:tcW w:w="3960" w:type="dxa"/>
            <w:tcBorders>
              <w:top w:val="nil"/>
              <w:left w:val="nil"/>
              <w:right w:val="nil"/>
            </w:tcBorders>
            <w:vAlign w:val="center"/>
          </w:tcPr>
          <w:p w14:paraId="20282D0A" w14:textId="77777777" w:rsidR="00470D07" w:rsidRPr="000C4F35" w:rsidRDefault="00470D07" w:rsidP="00685329">
            <w:pPr>
              <w:jc w:val="center"/>
              <w:rPr>
                <w:noProof/>
              </w:rPr>
            </w:pPr>
          </w:p>
        </w:tc>
        <w:tc>
          <w:tcPr>
            <w:tcW w:w="1560" w:type="dxa"/>
            <w:tcBorders>
              <w:top w:val="nil"/>
              <w:left w:val="nil"/>
              <w:right w:val="nil"/>
            </w:tcBorders>
          </w:tcPr>
          <w:p w14:paraId="405497DF" w14:textId="77777777" w:rsidR="00470D07" w:rsidRPr="000C4F35" w:rsidRDefault="00470D07" w:rsidP="00685329">
            <w:pPr>
              <w:rPr>
                <w:noProof/>
                <w:sz w:val="20"/>
              </w:rPr>
            </w:pPr>
          </w:p>
        </w:tc>
        <w:tc>
          <w:tcPr>
            <w:tcW w:w="534" w:type="dxa"/>
            <w:tcBorders>
              <w:top w:val="nil"/>
              <w:left w:val="nil"/>
            </w:tcBorders>
          </w:tcPr>
          <w:p w14:paraId="08532B8B" w14:textId="77777777" w:rsidR="00470D07" w:rsidRPr="000C4F35" w:rsidRDefault="00470D07" w:rsidP="00685329">
            <w:pPr>
              <w:jc w:val="center"/>
              <w:rPr>
                <w:noProof/>
                <w:sz w:val="20"/>
              </w:rPr>
            </w:pPr>
          </w:p>
        </w:tc>
        <w:tc>
          <w:tcPr>
            <w:tcW w:w="868" w:type="dxa"/>
            <w:vAlign w:val="center"/>
          </w:tcPr>
          <w:p w14:paraId="79BA2BB0"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w:t>
            </w:r>
          </w:p>
        </w:tc>
        <w:tc>
          <w:tcPr>
            <w:tcW w:w="868" w:type="dxa"/>
            <w:vAlign w:val="center"/>
          </w:tcPr>
          <w:p w14:paraId="762B07FA"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N+1</w:t>
            </w:r>
          </w:p>
        </w:tc>
        <w:tc>
          <w:tcPr>
            <w:tcW w:w="868" w:type="dxa"/>
            <w:vAlign w:val="center"/>
          </w:tcPr>
          <w:p w14:paraId="6BDE0A90"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N+2</w:t>
            </w:r>
          </w:p>
        </w:tc>
        <w:tc>
          <w:tcPr>
            <w:tcW w:w="868" w:type="dxa"/>
            <w:vAlign w:val="center"/>
          </w:tcPr>
          <w:p w14:paraId="4048232F"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N+3</w:t>
            </w:r>
          </w:p>
        </w:tc>
        <w:tc>
          <w:tcPr>
            <w:tcW w:w="2604" w:type="dxa"/>
            <w:gridSpan w:val="3"/>
            <w:vAlign w:val="center"/>
          </w:tcPr>
          <w:p w14:paraId="2A7A9911" w14:textId="77777777" w:rsidR="00470D07" w:rsidRPr="000C4F35" w:rsidRDefault="00470D07" w:rsidP="00685329">
            <w:pPr>
              <w:jc w:val="center"/>
              <w:rPr>
                <w:b/>
                <w:noProof/>
                <w:sz w:val="18"/>
              </w:rPr>
            </w:pPr>
            <w:r w:rsidRPr="000C4F35">
              <w:rPr>
                <w:noProof/>
                <w:sz w:val="18"/>
              </w:rPr>
              <w:t xml:space="preserve">Enter as many years as necessary to show the duration of the impact (see point 1.6) </w:t>
            </w:r>
          </w:p>
        </w:tc>
        <w:tc>
          <w:tcPr>
            <w:tcW w:w="1777" w:type="dxa"/>
            <w:vAlign w:val="center"/>
          </w:tcPr>
          <w:p w14:paraId="3C4EF698" w14:textId="77777777" w:rsidR="00470D07" w:rsidRPr="000C4F35" w:rsidRDefault="00470D07" w:rsidP="00685329">
            <w:pPr>
              <w:jc w:val="center"/>
              <w:rPr>
                <w:b/>
                <w:noProof/>
                <w:sz w:val="20"/>
              </w:rPr>
            </w:pPr>
            <w:r w:rsidRPr="000C4F35">
              <w:rPr>
                <w:b/>
                <w:noProof/>
                <w:sz w:val="20"/>
              </w:rPr>
              <w:t>TOTAL</w:t>
            </w:r>
          </w:p>
        </w:tc>
      </w:tr>
      <w:tr w:rsidR="00470D07" w:rsidRPr="000C4F35" w14:paraId="0988C6B8" w14:textId="77777777" w:rsidTr="00470D07">
        <w:trPr>
          <w:gridAfter w:val="10"/>
          <w:wAfter w:w="9947" w:type="dxa"/>
        </w:trPr>
        <w:tc>
          <w:tcPr>
            <w:tcW w:w="3960" w:type="dxa"/>
            <w:vAlign w:val="center"/>
          </w:tcPr>
          <w:p w14:paraId="70EB2F76" w14:textId="77777777" w:rsidR="00470D07" w:rsidRPr="000C4F35" w:rsidRDefault="00470D07" w:rsidP="00685329">
            <w:pPr>
              <w:spacing w:before="60" w:after="60"/>
              <w:jc w:val="center"/>
              <w:rPr>
                <w:noProof/>
              </w:rPr>
            </w:pPr>
            <w:r w:rsidRPr="000C4F35">
              <w:rPr>
                <w:noProof/>
                <w:sz w:val="22"/>
              </w:rPr>
              <w:t>DG: &lt;…….&gt;</w:t>
            </w:r>
          </w:p>
        </w:tc>
      </w:tr>
      <w:tr w:rsidR="00470D07" w:rsidRPr="000C4F35" w14:paraId="3F33BEF7" w14:textId="77777777" w:rsidTr="00470D07">
        <w:trPr>
          <w:trHeight w:val="313"/>
        </w:trPr>
        <w:tc>
          <w:tcPr>
            <w:tcW w:w="6054" w:type="dxa"/>
            <w:gridSpan w:val="3"/>
            <w:vAlign w:val="center"/>
          </w:tcPr>
          <w:p w14:paraId="5F3C3644" w14:textId="77777777" w:rsidR="00470D07" w:rsidRPr="000C4F35" w:rsidRDefault="00470D07" w:rsidP="00685329">
            <w:pPr>
              <w:spacing w:before="20" w:after="20"/>
              <w:rPr>
                <w:noProof/>
              </w:rPr>
            </w:pPr>
            <w:r w:rsidRPr="000C4F35">
              <w:rPr>
                <w:noProof/>
                <w:sz w:val="22"/>
              </w:rPr>
              <w:sym w:font="Wingdings" w:char="F09F"/>
            </w:r>
            <w:r w:rsidRPr="000C4F35">
              <w:rPr>
                <w:noProof/>
                <w:sz w:val="22"/>
              </w:rPr>
              <w:t xml:space="preserve"> Human resources </w:t>
            </w:r>
          </w:p>
        </w:tc>
        <w:tc>
          <w:tcPr>
            <w:tcW w:w="868" w:type="dxa"/>
            <w:vAlign w:val="center"/>
          </w:tcPr>
          <w:p w14:paraId="23FABC1A" w14:textId="77777777" w:rsidR="00470D07" w:rsidRPr="000C4F35" w:rsidRDefault="00470D07" w:rsidP="00685329">
            <w:pPr>
              <w:spacing w:before="20" w:after="20"/>
              <w:jc w:val="right"/>
              <w:rPr>
                <w:noProof/>
                <w:sz w:val="20"/>
              </w:rPr>
            </w:pPr>
          </w:p>
        </w:tc>
        <w:tc>
          <w:tcPr>
            <w:tcW w:w="868" w:type="dxa"/>
            <w:vAlign w:val="center"/>
          </w:tcPr>
          <w:p w14:paraId="650EEC69" w14:textId="77777777" w:rsidR="00470D07" w:rsidRPr="000C4F35" w:rsidRDefault="00470D07" w:rsidP="00685329">
            <w:pPr>
              <w:spacing w:before="20" w:after="20"/>
              <w:jc w:val="right"/>
              <w:rPr>
                <w:noProof/>
                <w:sz w:val="20"/>
              </w:rPr>
            </w:pPr>
          </w:p>
        </w:tc>
        <w:tc>
          <w:tcPr>
            <w:tcW w:w="868" w:type="dxa"/>
            <w:vAlign w:val="center"/>
          </w:tcPr>
          <w:p w14:paraId="0890767A" w14:textId="77777777" w:rsidR="00470D07" w:rsidRPr="000C4F35" w:rsidRDefault="00470D07" w:rsidP="00685329">
            <w:pPr>
              <w:spacing w:before="20" w:after="20"/>
              <w:jc w:val="right"/>
              <w:rPr>
                <w:noProof/>
                <w:sz w:val="20"/>
              </w:rPr>
            </w:pPr>
          </w:p>
        </w:tc>
        <w:tc>
          <w:tcPr>
            <w:tcW w:w="868" w:type="dxa"/>
            <w:vAlign w:val="center"/>
          </w:tcPr>
          <w:p w14:paraId="291DE33D" w14:textId="77777777" w:rsidR="00470D07" w:rsidRPr="000C4F35" w:rsidRDefault="00470D07" w:rsidP="00685329">
            <w:pPr>
              <w:spacing w:before="20" w:after="20"/>
              <w:jc w:val="right"/>
              <w:rPr>
                <w:noProof/>
                <w:sz w:val="20"/>
              </w:rPr>
            </w:pPr>
          </w:p>
        </w:tc>
        <w:tc>
          <w:tcPr>
            <w:tcW w:w="868" w:type="dxa"/>
            <w:vAlign w:val="center"/>
          </w:tcPr>
          <w:p w14:paraId="7AA3687C" w14:textId="77777777" w:rsidR="00470D07" w:rsidRPr="000C4F35" w:rsidRDefault="00470D07" w:rsidP="00685329">
            <w:pPr>
              <w:spacing w:before="20" w:after="20"/>
              <w:jc w:val="right"/>
              <w:rPr>
                <w:noProof/>
                <w:sz w:val="20"/>
              </w:rPr>
            </w:pPr>
          </w:p>
        </w:tc>
        <w:tc>
          <w:tcPr>
            <w:tcW w:w="868" w:type="dxa"/>
            <w:vAlign w:val="center"/>
          </w:tcPr>
          <w:p w14:paraId="69EC4844" w14:textId="77777777" w:rsidR="00470D07" w:rsidRPr="000C4F35" w:rsidRDefault="00470D07" w:rsidP="00685329">
            <w:pPr>
              <w:spacing w:before="20" w:after="20"/>
              <w:jc w:val="right"/>
              <w:rPr>
                <w:noProof/>
                <w:sz w:val="20"/>
              </w:rPr>
            </w:pPr>
          </w:p>
        </w:tc>
        <w:tc>
          <w:tcPr>
            <w:tcW w:w="868" w:type="dxa"/>
            <w:vAlign w:val="center"/>
          </w:tcPr>
          <w:p w14:paraId="289D5636" w14:textId="77777777" w:rsidR="00470D07" w:rsidRPr="000C4F35" w:rsidRDefault="00470D07" w:rsidP="00685329">
            <w:pPr>
              <w:spacing w:before="20" w:after="20"/>
              <w:jc w:val="right"/>
              <w:rPr>
                <w:b/>
                <w:noProof/>
                <w:sz w:val="20"/>
              </w:rPr>
            </w:pPr>
          </w:p>
        </w:tc>
        <w:tc>
          <w:tcPr>
            <w:tcW w:w="1777" w:type="dxa"/>
            <w:vAlign w:val="center"/>
          </w:tcPr>
          <w:p w14:paraId="3701129C" w14:textId="77777777" w:rsidR="00470D07" w:rsidRPr="000C4F35" w:rsidRDefault="00470D07" w:rsidP="00685329">
            <w:pPr>
              <w:spacing w:before="20" w:after="20"/>
              <w:jc w:val="right"/>
              <w:rPr>
                <w:b/>
                <w:noProof/>
                <w:sz w:val="20"/>
              </w:rPr>
            </w:pPr>
          </w:p>
        </w:tc>
      </w:tr>
      <w:tr w:rsidR="00470D07" w:rsidRPr="000C4F35" w14:paraId="6081036B" w14:textId="77777777" w:rsidTr="00470D07">
        <w:trPr>
          <w:trHeight w:val="351"/>
        </w:trPr>
        <w:tc>
          <w:tcPr>
            <w:tcW w:w="6054" w:type="dxa"/>
            <w:gridSpan w:val="3"/>
            <w:vAlign w:val="center"/>
          </w:tcPr>
          <w:p w14:paraId="3F31F0D5" w14:textId="77777777" w:rsidR="00470D07" w:rsidRPr="000C4F35" w:rsidRDefault="00470D07" w:rsidP="00685329">
            <w:pPr>
              <w:spacing w:before="20" w:after="20"/>
              <w:rPr>
                <w:noProof/>
              </w:rPr>
            </w:pPr>
            <w:r w:rsidRPr="000C4F35">
              <w:rPr>
                <w:noProof/>
                <w:sz w:val="22"/>
              </w:rPr>
              <w:sym w:font="Wingdings" w:char="F09F"/>
            </w:r>
            <w:r w:rsidRPr="000C4F35">
              <w:rPr>
                <w:noProof/>
                <w:sz w:val="22"/>
              </w:rPr>
              <w:t xml:space="preserve"> Other administrative expenditure </w:t>
            </w:r>
          </w:p>
        </w:tc>
        <w:tc>
          <w:tcPr>
            <w:tcW w:w="868" w:type="dxa"/>
            <w:vAlign w:val="center"/>
          </w:tcPr>
          <w:p w14:paraId="79F0F2D1" w14:textId="77777777" w:rsidR="00470D07" w:rsidRPr="000C4F35" w:rsidRDefault="00470D07" w:rsidP="00685329">
            <w:pPr>
              <w:spacing w:before="20" w:after="20"/>
              <w:jc w:val="right"/>
              <w:rPr>
                <w:b/>
                <w:noProof/>
                <w:sz w:val="20"/>
              </w:rPr>
            </w:pPr>
          </w:p>
        </w:tc>
        <w:tc>
          <w:tcPr>
            <w:tcW w:w="868" w:type="dxa"/>
            <w:vAlign w:val="center"/>
          </w:tcPr>
          <w:p w14:paraId="2BA03B28" w14:textId="77777777" w:rsidR="00470D07" w:rsidRPr="000C4F35" w:rsidRDefault="00470D07" w:rsidP="00685329">
            <w:pPr>
              <w:spacing w:before="20" w:after="20"/>
              <w:jc w:val="right"/>
              <w:rPr>
                <w:b/>
                <w:noProof/>
                <w:sz w:val="20"/>
              </w:rPr>
            </w:pPr>
          </w:p>
        </w:tc>
        <w:tc>
          <w:tcPr>
            <w:tcW w:w="868" w:type="dxa"/>
            <w:vAlign w:val="center"/>
          </w:tcPr>
          <w:p w14:paraId="3D0A317E" w14:textId="77777777" w:rsidR="00470D07" w:rsidRPr="000C4F35" w:rsidRDefault="00470D07" w:rsidP="00685329">
            <w:pPr>
              <w:spacing w:before="20" w:after="20"/>
              <w:jc w:val="right"/>
              <w:rPr>
                <w:b/>
                <w:noProof/>
                <w:sz w:val="20"/>
              </w:rPr>
            </w:pPr>
          </w:p>
        </w:tc>
        <w:tc>
          <w:tcPr>
            <w:tcW w:w="868" w:type="dxa"/>
            <w:vAlign w:val="center"/>
          </w:tcPr>
          <w:p w14:paraId="4B197EF2" w14:textId="77777777" w:rsidR="00470D07" w:rsidRPr="000C4F35" w:rsidRDefault="00470D07" w:rsidP="00685329">
            <w:pPr>
              <w:spacing w:before="20" w:after="20"/>
              <w:jc w:val="right"/>
              <w:rPr>
                <w:b/>
                <w:noProof/>
                <w:sz w:val="20"/>
              </w:rPr>
            </w:pPr>
          </w:p>
        </w:tc>
        <w:tc>
          <w:tcPr>
            <w:tcW w:w="868" w:type="dxa"/>
            <w:vAlign w:val="center"/>
          </w:tcPr>
          <w:p w14:paraId="2C27F164" w14:textId="77777777" w:rsidR="00470D07" w:rsidRPr="000C4F35" w:rsidRDefault="00470D07" w:rsidP="00685329">
            <w:pPr>
              <w:spacing w:before="20" w:after="20"/>
              <w:jc w:val="right"/>
              <w:rPr>
                <w:b/>
                <w:noProof/>
                <w:sz w:val="20"/>
              </w:rPr>
            </w:pPr>
          </w:p>
        </w:tc>
        <w:tc>
          <w:tcPr>
            <w:tcW w:w="868" w:type="dxa"/>
            <w:vAlign w:val="center"/>
          </w:tcPr>
          <w:p w14:paraId="13645D40" w14:textId="77777777" w:rsidR="00470D07" w:rsidRPr="000C4F35" w:rsidRDefault="00470D07" w:rsidP="00685329">
            <w:pPr>
              <w:spacing w:before="20" w:after="20"/>
              <w:jc w:val="right"/>
              <w:rPr>
                <w:b/>
                <w:noProof/>
                <w:sz w:val="20"/>
              </w:rPr>
            </w:pPr>
          </w:p>
        </w:tc>
        <w:tc>
          <w:tcPr>
            <w:tcW w:w="868" w:type="dxa"/>
            <w:vAlign w:val="center"/>
          </w:tcPr>
          <w:p w14:paraId="0C5A2483" w14:textId="77777777" w:rsidR="00470D07" w:rsidRPr="000C4F35" w:rsidRDefault="00470D07" w:rsidP="00685329">
            <w:pPr>
              <w:spacing w:before="20" w:after="20"/>
              <w:jc w:val="right"/>
              <w:rPr>
                <w:b/>
                <w:noProof/>
                <w:sz w:val="20"/>
              </w:rPr>
            </w:pPr>
          </w:p>
        </w:tc>
        <w:tc>
          <w:tcPr>
            <w:tcW w:w="1777" w:type="dxa"/>
            <w:vAlign w:val="center"/>
          </w:tcPr>
          <w:p w14:paraId="79377B45" w14:textId="77777777" w:rsidR="00470D07" w:rsidRPr="000C4F35" w:rsidRDefault="00470D07" w:rsidP="00685329">
            <w:pPr>
              <w:spacing w:before="20" w:after="20"/>
              <w:jc w:val="right"/>
              <w:rPr>
                <w:b/>
                <w:noProof/>
                <w:sz w:val="20"/>
              </w:rPr>
            </w:pPr>
          </w:p>
        </w:tc>
      </w:tr>
      <w:tr w:rsidR="00470D07" w:rsidRPr="000C4F35" w14:paraId="2D7D5146" w14:textId="77777777" w:rsidTr="00470D07">
        <w:tc>
          <w:tcPr>
            <w:tcW w:w="3960" w:type="dxa"/>
            <w:vAlign w:val="center"/>
          </w:tcPr>
          <w:p w14:paraId="506D1BBA" w14:textId="77777777" w:rsidR="00470D07" w:rsidRPr="000C4F35" w:rsidRDefault="00470D07" w:rsidP="00685329">
            <w:pPr>
              <w:jc w:val="center"/>
              <w:rPr>
                <w:b/>
                <w:noProof/>
              </w:rPr>
            </w:pPr>
            <w:r w:rsidRPr="000C4F35">
              <w:rPr>
                <w:b/>
                <w:noProof/>
                <w:sz w:val="22"/>
              </w:rPr>
              <w:t xml:space="preserve">TOTAL DG </w:t>
            </w:r>
            <w:r w:rsidRPr="000C4F35">
              <w:rPr>
                <w:noProof/>
                <w:sz w:val="22"/>
              </w:rPr>
              <w:t>&lt;…….&gt;</w:t>
            </w:r>
          </w:p>
        </w:tc>
        <w:tc>
          <w:tcPr>
            <w:tcW w:w="2094" w:type="dxa"/>
            <w:gridSpan w:val="2"/>
            <w:vAlign w:val="center"/>
          </w:tcPr>
          <w:p w14:paraId="04CD9214" w14:textId="77777777" w:rsidR="00470D07" w:rsidRPr="000C4F35" w:rsidRDefault="00470D07" w:rsidP="00685329">
            <w:pPr>
              <w:rPr>
                <w:noProof/>
                <w:sz w:val="14"/>
              </w:rPr>
            </w:pPr>
            <w:r w:rsidRPr="000C4F35">
              <w:rPr>
                <w:noProof/>
                <w:sz w:val="18"/>
              </w:rPr>
              <w:t xml:space="preserve">Appropriations </w:t>
            </w:r>
          </w:p>
        </w:tc>
        <w:tc>
          <w:tcPr>
            <w:tcW w:w="868" w:type="dxa"/>
            <w:vAlign w:val="center"/>
          </w:tcPr>
          <w:p w14:paraId="5D69C522" w14:textId="77777777" w:rsidR="00470D07" w:rsidRPr="000C4F35" w:rsidRDefault="00470D07" w:rsidP="00685329">
            <w:pPr>
              <w:spacing w:before="60" w:after="60"/>
              <w:jc w:val="right"/>
              <w:rPr>
                <w:noProof/>
                <w:sz w:val="20"/>
              </w:rPr>
            </w:pPr>
          </w:p>
        </w:tc>
        <w:tc>
          <w:tcPr>
            <w:tcW w:w="868" w:type="dxa"/>
            <w:vAlign w:val="center"/>
          </w:tcPr>
          <w:p w14:paraId="3DBC8836" w14:textId="77777777" w:rsidR="00470D07" w:rsidRPr="000C4F35" w:rsidRDefault="00470D07" w:rsidP="00685329">
            <w:pPr>
              <w:spacing w:before="20" w:after="20"/>
              <w:jc w:val="right"/>
              <w:rPr>
                <w:noProof/>
                <w:sz w:val="20"/>
              </w:rPr>
            </w:pPr>
          </w:p>
        </w:tc>
        <w:tc>
          <w:tcPr>
            <w:tcW w:w="868" w:type="dxa"/>
            <w:vAlign w:val="center"/>
          </w:tcPr>
          <w:p w14:paraId="04C257D0" w14:textId="77777777" w:rsidR="00470D07" w:rsidRPr="000C4F35" w:rsidRDefault="00470D07" w:rsidP="00685329">
            <w:pPr>
              <w:spacing w:before="20" w:after="20"/>
              <w:jc w:val="right"/>
              <w:rPr>
                <w:noProof/>
                <w:sz w:val="20"/>
              </w:rPr>
            </w:pPr>
          </w:p>
        </w:tc>
        <w:tc>
          <w:tcPr>
            <w:tcW w:w="868" w:type="dxa"/>
            <w:vAlign w:val="center"/>
          </w:tcPr>
          <w:p w14:paraId="2EAF7206" w14:textId="77777777" w:rsidR="00470D07" w:rsidRPr="000C4F35" w:rsidRDefault="00470D07" w:rsidP="00685329">
            <w:pPr>
              <w:spacing w:before="20" w:after="20"/>
              <w:jc w:val="right"/>
              <w:rPr>
                <w:noProof/>
                <w:sz w:val="20"/>
              </w:rPr>
            </w:pPr>
          </w:p>
        </w:tc>
        <w:tc>
          <w:tcPr>
            <w:tcW w:w="868" w:type="dxa"/>
            <w:vAlign w:val="center"/>
          </w:tcPr>
          <w:p w14:paraId="1BB61125" w14:textId="77777777" w:rsidR="00470D07" w:rsidRPr="000C4F35" w:rsidRDefault="00470D07" w:rsidP="00685329">
            <w:pPr>
              <w:spacing w:before="20" w:after="20"/>
              <w:jc w:val="right"/>
              <w:rPr>
                <w:noProof/>
                <w:sz w:val="20"/>
              </w:rPr>
            </w:pPr>
          </w:p>
        </w:tc>
        <w:tc>
          <w:tcPr>
            <w:tcW w:w="868" w:type="dxa"/>
            <w:vAlign w:val="center"/>
          </w:tcPr>
          <w:p w14:paraId="32BC7E6D" w14:textId="77777777" w:rsidR="00470D07" w:rsidRPr="000C4F35" w:rsidRDefault="00470D07" w:rsidP="00685329">
            <w:pPr>
              <w:spacing w:before="20" w:after="20"/>
              <w:jc w:val="right"/>
              <w:rPr>
                <w:noProof/>
                <w:sz w:val="20"/>
              </w:rPr>
            </w:pPr>
          </w:p>
        </w:tc>
        <w:tc>
          <w:tcPr>
            <w:tcW w:w="868" w:type="dxa"/>
            <w:vAlign w:val="center"/>
          </w:tcPr>
          <w:p w14:paraId="044AE81A" w14:textId="77777777" w:rsidR="00470D07" w:rsidRPr="000C4F35" w:rsidRDefault="00470D07" w:rsidP="00685329">
            <w:pPr>
              <w:spacing w:before="20" w:after="20"/>
              <w:jc w:val="right"/>
              <w:rPr>
                <w:b/>
                <w:noProof/>
                <w:sz w:val="20"/>
              </w:rPr>
            </w:pPr>
          </w:p>
        </w:tc>
        <w:tc>
          <w:tcPr>
            <w:tcW w:w="1777" w:type="dxa"/>
            <w:vAlign w:val="center"/>
          </w:tcPr>
          <w:p w14:paraId="48B6F261" w14:textId="77777777" w:rsidR="00470D07" w:rsidRPr="000C4F35" w:rsidRDefault="00470D07" w:rsidP="00685329">
            <w:pPr>
              <w:spacing w:before="20" w:after="20"/>
              <w:jc w:val="right"/>
              <w:rPr>
                <w:b/>
                <w:noProof/>
                <w:sz w:val="20"/>
              </w:rPr>
            </w:pPr>
          </w:p>
        </w:tc>
      </w:tr>
    </w:tbl>
    <w:p w14:paraId="3BA3C2B2" w14:textId="77777777" w:rsidR="00470D07" w:rsidRPr="000C4F35" w:rsidRDefault="00470D07" w:rsidP="00685329">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470D07" w:rsidRPr="000C4F35" w14:paraId="614014A9" w14:textId="77777777" w:rsidTr="00470D07">
        <w:tc>
          <w:tcPr>
            <w:tcW w:w="3960" w:type="dxa"/>
            <w:shd w:val="thinDiagStripe" w:color="C0C0C0" w:fill="auto"/>
            <w:vAlign w:val="center"/>
          </w:tcPr>
          <w:p w14:paraId="1470FF75" w14:textId="77777777" w:rsidR="00470D07" w:rsidRPr="000C4F35" w:rsidRDefault="00470D07" w:rsidP="00685329">
            <w:pPr>
              <w:jc w:val="center"/>
              <w:rPr>
                <w:b/>
                <w:noProof/>
              </w:rPr>
            </w:pPr>
            <w:r w:rsidRPr="000C4F35">
              <w:rPr>
                <w:b/>
                <w:noProof/>
                <w:sz w:val="22"/>
              </w:rPr>
              <w:t>TOTAL appropriations</w:t>
            </w:r>
            <w:r w:rsidRPr="000C4F35">
              <w:rPr>
                <w:noProof/>
                <w:sz w:val="22"/>
              </w:rPr>
              <w:br/>
            </w:r>
            <w:r w:rsidRPr="000C4F35">
              <w:rPr>
                <w:b/>
                <w:noProof/>
                <w:sz w:val="22"/>
              </w:rPr>
              <w:t>under HEADING 7</w:t>
            </w:r>
            <w:r w:rsidRPr="000C4F35">
              <w:rPr>
                <w:noProof/>
                <w:sz w:val="22"/>
              </w:rPr>
              <w:br/>
              <w:t>of the multiannual financial framework</w:t>
            </w:r>
            <w:r w:rsidRPr="000C4F35">
              <w:rPr>
                <w:b/>
                <w:noProof/>
                <w:sz w:val="22"/>
              </w:rPr>
              <w:t xml:space="preserve"> </w:t>
            </w:r>
          </w:p>
        </w:tc>
        <w:tc>
          <w:tcPr>
            <w:tcW w:w="2094" w:type="dxa"/>
            <w:vAlign w:val="center"/>
          </w:tcPr>
          <w:p w14:paraId="4E04E858" w14:textId="77777777" w:rsidR="00470D07" w:rsidRPr="000C4F35" w:rsidRDefault="00470D07" w:rsidP="00685329">
            <w:pPr>
              <w:spacing w:before="40" w:after="40"/>
              <w:rPr>
                <w:noProof/>
              </w:rPr>
            </w:pPr>
            <w:r w:rsidRPr="000C4F35">
              <w:rPr>
                <w:noProof/>
                <w:sz w:val="18"/>
              </w:rPr>
              <w:t>(Total commitments = Total payments)</w:t>
            </w:r>
          </w:p>
        </w:tc>
        <w:tc>
          <w:tcPr>
            <w:tcW w:w="868" w:type="dxa"/>
            <w:vAlign w:val="center"/>
          </w:tcPr>
          <w:p w14:paraId="2D5264B1" w14:textId="77777777" w:rsidR="00470D07" w:rsidRPr="000C4F35" w:rsidRDefault="00470D07" w:rsidP="00685329">
            <w:pPr>
              <w:spacing w:before="20" w:after="20"/>
              <w:jc w:val="right"/>
              <w:rPr>
                <w:noProof/>
                <w:sz w:val="20"/>
              </w:rPr>
            </w:pPr>
          </w:p>
        </w:tc>
        <w:tc>
          <w:tcPr>
            <w:tcW w:w="868" w:type="dxa"/>
            <w:vAlign w:val="center"/>
          </w:tcPr>
          <w:p w14:paraId="4CEDA348" w14:textId="77777777" w:rsidR="00470D07" w:rsidRPr="000C4F35" w:rsidRDefault="00470D07" w:rsidP="00685329">
            <w:pPr>
              <w:spacing w:before="20" w:after="20"/>
              <w:jc w:val="right"/>
              <w:rPr>
                <w:noProof/>
                <w:sz w:val="20"/>
              </w:rPr>
            </w:pPr>
          </w:p>
        </w:tc>
        <w:tc>
          <w:tcPr>
            <w:tcW w:w="868" w:type="dxa"/>
            <w:vAlign w:val="center"/>
          </w:tcPr>
          <w:p w14:paraId="539DD7D9" w14:textId="77777777" w:rsidR="00470D07" w:rsidRPr="000C4F35" w:rsidRDefault="00470D07" w:rsidP="00685329">
            <w:pPr>
              <w:spacing w:before="20" w:after="20"/>
              <w:jc w:val="right"/>
              <w:rPr>
                <w:noProof/>
                <w:sz w:val="20"/>
              </w:rPr>
            </w:pPr>
          </w:p>
        </w:tc>
        <w:tc>
          <w:tcPr>
            <w:tcW w:w="868" w:type="dxa"/>
            <w:vAlign w:val="center"/>
          </w:tcPr>
          <w:p w14:paraId="696E7FBD" w14:textId="77777777" w:rsidR="00470D07" w:rsidRPr="000C4F35" w:rsidRDefault="00470D07" w:rsidP="00685329">
            <w:pPr>
              <w:spacing w:before="20" w:after="20"/>
              <w:jc w:val="right"/>
              <w:rPr>
                <w:noProof/>
                <w:sz w:val="20"/>
              </w:rPr>
            </w:pPr>
          </w:p>
        </w:tc>
        <w:tc>
          <w:tcPr>
            <w:tcW w:w="868" w:type="dxa"/>
            <w:vAlign w:val="center"/>
          </w:tcPr>
          <w:p w14:paraId="4F2762AE" w14:textId="77777777" w:rsidR="00470D07" w:rsidRPr="000C4F35" w:rsidRDefault="00470D07" w:rsidP="00685329">
            <w:pPr>
              <w:spacing w:before="20" w:after="20"/>
              <w:jc w:val="right"/>
              <w:rPr>
                <w:noProof/>
                <w:sz w:val="20"/>
              </w:rPr>
            </w:pPr>
          </w:p>
        </w:tc>
        <w:tc>
          <w:tcPr>
            <w:tcW w:w="868" w:type="dxa"/>
            <w:vAlign w:val="center"/>
          </w:tcPr>
          <w:p w14:paraId="35019211" w14:textId="77777777" w:rsidR="00470D07" w:rsidRPr="000C4F35" w:rsidRDefault="00470D07" w:rsidP="00685329">
            <w:pPr>
              <w:spacing w:before="20" w:after="20"/>
              <w:jc w:val="right"/>
              <w:rPr>
                <w:noProof/>
                <w:sz w:val="20"/>
              </w:rPr>
            </w:pPr>
          </w:p>
        </w:tc>
        <w:tc>
          <w:tcPr>
            <w:tcW w:w="868" w:type="dxa"/>
            <w:vAlign w:val="center"/>
          </w:tcPr>
          <w:p w14:paraId="184D5C63" w14:textId="77777777" w:rsidR="00470D07" w:rsidRPr="000C4F35" w:rsidRDefault="00470D07" w:rsidP="00685329">
            <w:pPr>
              <w:spacing w:before="20" w:after="20"/>
              <w:jc w:val="right"/>
              <w:rPr>
                <w:b/>
                <w:noProof/>
                <w:sz w:val="20"/>
              </w:rPr>
            </w:pPr>
          </w:p>
        </w:tc>
        <w:tc>
          <w:tcPr>
            <w:tcW w:w="1777" w:type="dxa"/>
            <w:vAlign w:val="center"/>
          </w:tcPr>
          <w:p w14:paraId="6ADDFD02" w14:textId="77777777" w:rsidR="00470D07" w:rsidRPr="000C4F35" w:rsidRDefault="00470D07" w:rsidP="00685329">
            <w:pPr>
              <w:spacing w:before="20" w:after="20"/>
              <w:jc w:val="right"/>
              <w:rPr>
                <w:b/>
                <w:noProof/>
                <w:sz w:val="20"/>
              </w:rPr>
            </w:pPr>
          </w:p>
        </w:tc>
      </w:tr>
    </w:tbl>
    <w:p w14:paraId="726576A0" w14:textId="77777777" w:rsidR="00470D07" w:rsidRPr="000C4F35" w:rsidRDefault="00470D07" w:rsidP="00685329">
      <w:pPr>
        <w:jc w:val="right"/>
        <w:rPr>
          <w:noProof/>
          <w:sz w:val="20"/>
        </w:rPr>
      </w:pPr>
      <w:r w:rsidRPr="000C4F35">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470D07" w:rsidRPr="000C4F35" w14:paraId="6988645A" w14:textId="77777777" w:rsidTr="00470D07">
        <w:tc>
          <w:tcPr>
            <w:tcW w:w="3960" w:type="dxa"/>
            <w:tcBorders>
              <w:top w:val="nil"/>
              <w:left w:val="nil"/>
              <w:right w:val="nil"/>
            </w:tcBorders>
            <w:vAlign w:val="center"/>
          </w:tcPr>
          <w:p w14:paraId="3984D328" w14:textId="77777777" w:rsidR="00470D07" w:rsidRPr="000C4F35" w:rsidRDefault="00470D07" w:rsidP="00685329">
            <w:pPr>
              <w:jc w:val="center"/>
              <w:rPr>
                <w:noProof/>
              </w:rPr>
            </w:pPr>
          </w:p>
        </w:tc>
        <w:tc>
          <w:tcPr>
            <w:tcW w:w="1560" w:type="dxa"/>
            <w:tcBorders>
              <w:top w:val="nil"/>
              <w:left w:val="nil"/>
              <w:right w:val="nil"/>
            </w:tcBorders>
          </w:tcPr>
          <w:p w14:paraId="37A58943" w14:textId="77777777" w:rsidR="00470D07" w:rsidRPr="000C4F35" w:rsidRDefault="00470D07" w:rsidP="00685329">
            <w:pPr>
              <w:rPr>
                <w:noProof/>
                <w:sz w:val="20"/>
              </w:rPr>
            </w:pPr>
          </w:p>
        </w:tc>
        <w:tc>
          <w:tcPr>
            <w:tcW w:w="534" w:type="dxa"/>
            <w:tcBorders>
              <w:top w:val="nil"/>
              <w:left w:val="nil"/>
            </w:tcBorders>
          </w:tcPr>
          <w:p w14:paraId="648FA01C" w14:textId="77777777" w:rsidR="00470D07" w:rsidRPr="000C4F35" w:rsidRDefault="00470D07" w:rsidP="00685329">
            <w:pPr>
              <w:jc w:val="center"/>
              <w:rPr>
                <w:noProof/>
                <w:sz w:val="20"/>
              </w:rPr>
            </w:pPr>
          </w:p>
        </w:tc>
        <w:tc>
          <w:tcPr>
            <w:tcW w:w="868" w:type="dxa"/>
            <w:vAlign w:val="center"/>
          </w:tcPr>
          <w:p w14:paraId="74FE4B07"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w:t>
            </w:r>
            <w:r w:rsidRPr="000C4F35">
              <w:rPr>
                <w:rStyle w:val="FootnoteReference"/>
                <w:b/>
                <w:noProof/>
                <w:sz w:val="20"/>
              </w:rPr>
              <w:footnoteReference w:id="53"/>
            </w:r>
          </w:p>
        </w:tc>
        <w:tc>
          <w:tcPr>
            <w:tcW w:w="868" w:type="dxa"/>
            <w:vAlign w:val="center"/>
          </w:tcPr>
          <w:p w14:paraId="5A914B38"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N+1</w:t>
            </w:r>
          </w:p>
        </w:tc>
        <w:tc>
          <w:tcPr>
            <w:tcW w:w="868" w:type="dxa"/>
            <w:vAlign w:val="center"/>
          </w:tcPr>
          <w:p w14:paraId="12FF90F8"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N+2</w:t>
            </w:r>
          </w:p>
        </w:tc>
        <w:tc>
          <w:tcPr>
            <w:tcW w:w="868" w:type="dxa"/>
            <w:vAlign w:val="center"/>
          </w:tcPr>
          <w:p w14:paraId="7169239A"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N+3</w:t>
            </w:r>
          </w:p>
        </w:tc>
        <w:tc>
          <w:tcPr>
            <w:tcW w:w="2604" w:type="dxa"/>
            <w:gridSpan w:val="3"/>
            <w:vAlign w:val="center"/>
          </w:tcPr>
          <w:p w14:paraId="6987BCE9" w14:textId="77777777" w:rsidR="00470D07" w:rsidRPr="000C4F35" w:rsidRDefault="00470D07" w:rsidP="00685329">
            <w:pPr>
              <w:jc w:val="center"/>
              <w:rPr>
                <w:b/>
                <w:noProof/>
                <w:sz w:val="18"/>
              </w:rPr>
            </w:pPr>
            <w:r w:rsidRPr="000C4F35">
              <w:rPr>
                <w:noProof/>
                <w:sz w:val="18"/>
              </w:rPr>
              <w:t>Enter as many years as necessary to show the duration of the impact (see point 1.6)</w:t>
            </w:r>
          </w:p>
        </w:tc>
        <w:tc>
          <w:tcPr>
            <w:tcW w:w="1777" w:type="dxa"/>
            <w:vAlign w:val="center"/>
          </w:tcPr>
          <w:p w14:paraId="17671B20" w14:textId="77777777" w:rsidR="00470D07" w:rsidRPr="000C4F35" w:rsidRDefault="00470D07" w:rsidP="00685329">
            <w:pPr>
              <w:jc w:val="center"/>
              <w:rPr>
                <w:b/>
                <w:noProof/>
                <w:sz w:val="20"/>
              </w:rPr>
            </w:pPr>
            <w:r w:rsidRPr="000C4F35">
              <w:rPr>
                <w:b/>
                <w:noProof/>
                <w:sz w:val="20"/>
              </w:rPr>
              <w:t>TOTAL</w:t>
            </w:r>
          </w:p>
        </w:tc>
      </w:tr>
      <w:tr w:rsidR="00470D07" w:rsidRPr="000C4F35" w14:paraId="403A027D" w14:textId="77777777" w:rsidTr="00470D07">
        <w:tc>
          <w:tcPr>
            <w:tcW w:w="3960" w:type="dxa"/>
            <w:vMerge w:val="restart"/>
            <w:shd w:val="clear" w:color="auto" w:fill="C0C0C0"/>
            <w:vAlign w:val="center"/>
          </w:tcPr>
          <w:p w14:paraId="307EC6B5" w14:textId="77777777" w:rsidR="00470D07" w:rsidRPr="000C4F35" w:rsidRDefault="00470D07" w:rsidP="00685329">
            <w:pPr>
              <w:jc w:val="center"/>
              <w:rPr>
                <w:b/>
                <w:noProof/>
              </w:rPr>
            </w:pPr>
            <w:r w:rsidRPr="000C4F35">
              <w:rPr>
                <w:b/>
                <w:noProof/>
                <w:sz w:val="22"/>
              </w:rPr>
              <w:t xml:space="preserve">TOTAL appropriations </w:t>
            </w:r>
            <w:r w:rsidRPr="000C4F35">
              <w:rPr>
                <w:noProof/>
                <w:sz w:val="22"/>
              </w:rPr>
              <w:br/>
            </w:r>
            <w:r w:rsidRPr="000C4F35">
              <w:rPr>
                <w:b/>
                <w:noProof/>
                <w:sz w:val="22"/>
              </w:rPr>
              <w:t>under HEADINGS 1 to 7</w:t>
            </w:r>
            <w:r w:rsidRPr="000C4F35">
              <w:rPr>
                <w:noProof/>
                <w:sz w:val="22"/>
              </w:rPr>
              <w:br/>
              <w:t>of the multiannual financial framework</w:t>
            </w:r>
            <w:r w:rsidRPr="000C4F35">
              <w:rPr>
                <w:b/>
                <w:noProof/>
                <w:sz w:val="22"/>
              </w:rPr>
              <w:t xml:space="preserve"> </w:t>
            </w:r>
          </w:p>
        </w:tc>
        <w:tc>
          <w:tcPr>
            <w:tcW w:w="2094" w:type="dxa"/>
            <w:gridSpan w:val="2"/>
            <w:vAlign w:val="center"/>
          </w:tcPr>
          <w:p w14:paraId="0A99EAD2" w14:textId="77777777" w:rsidR="00470D07" w:rsidRPr="000C4F35" w:rsidRDefault="00470D07" w:rsidP="00685329">
            <w:pPr>
              <w:rPr>
                <w:noProof/>
                <w:sz w:val="14"/>
              </w:rPr>
            </w:pPr>
            <w:r w:rsidRPr="000C4F35">
              <w:rPr>
                <w:noProof/>
                <w:sz w:val="18"/>
              </w:rPr>
              <w:t>Commitments</w:t>
            </w:r>
          </w:p>
        </w:tc>
        <w:tc>
          <w:tcPr>
            <w:tcW w:w="868" w:type="dxa"/>
            <w:vAlign w:val="center"/>
          </w:tcPr>
          <w:p w14:paraId="4DD21E54" w14:textId="77777777" w:rsidR="00470D07" w:rsidRPr="000C4F35" w:rsidRDefault="00470D07" w:rsidP="00685329">
            <w:pPr>
              <w:spacing w:before="60" w:after="60"/>
              <w:jc w:val="right"/>
              <w:rPr>
                <w:noProof/>
                <w:sz w:val="20"/>
              </w:rPr>
            </w:pPr>
          </w:p>
        </w:tc>
        <w:tc>
          <w:tcPr>
            <w:tcW w:w="868" w:type="dxa"/>
            <w:vAlign w:val="center"/>
          </w:tcPr>
          <w:p w14:paraId="10E26485" w14:textId="77777777" w:rsidR="00470D07" w:rsidRPr="000C4F35" w:rsidRDefault="00470D07" w:rsidP="00685329">
            <w:pPr>
              <w:spacing w:before="60" w:after="60"/>
              <w:jc w:val="right"/>
              <w:rPr>
                <w:noProof/>
                <w:sz w:val="20"/>
              </w:rPr>
            </w:pPr>
          </w:p>
        </w:tc>
        <w:tc>
          <w:tcPr>
            <w:tcW w:w="868" w:type="dxa"/>
            <w:vAlign w:val="center"/>
          </w:tcPr>
          <w:p w14:paraId="5836FA49" w14:textId="77777777" w:rsidR="00470D07" w:rsidRPr="000C4F35" w:rsidRDefault="00470D07" w:rsidP="00685329">
            <w:pPr>
              <w:spacing w:before="60" w:after="60"/>
              <w:jc w:val="right"/>
              <w:rPr>
                <w:noProof/>
                <w:sz w:val="20"/>
              </w:rPr>
            </w:pPr>
          </w:p>
        </w:tc>
        <w:tc>
          <w:tcPr>
            <w:tcW w:w="868" w:type="dxa"/>
            <w:vAlign w:val="center"/>
          </w:tcPr>
          <w:p w14:paraId="502CB6A8" w14:textId="77777777" w:rsidR="00470D07" w:rsidRPr="000C4F35" w:rsidRDefault="00470D07" w:rsidP="00685329">
            <w:pPr>
              <w:spacing w:before="60" w:after="60"/>
              <w:jc w:val="right"/>
              <w:rPr>
                <w:noProof/>
                <w:sz w:val="20"/>
              </w:rPr>
            </w:pPr>
          </w:p>
        </w:tc>
        <w:tc>
          <w:tcPr>
            <w:tcW w:w="868" w:type="dxa"/>
            <w:vAlign w:val="center"/>
          </w:tcPr>
          <w:p w14:paraId="5E6839B3" w14:textId="77777777" w:rsidR="00470D07" w:rsidRPr="000C4F35" w:rsidRDefault="00470D07" w:rsidP="00685329">
            <w:pPr>
              <w:spacing w:before="60" w:after="60"/>
              <w:jc w:val="right"/>
              <w:rPr>
                <w:noProof/>
                <w:sz w:val="20"/>
              </w:rPr>
            </w:pPr>
          </w:p>
        </w:tc>
        <w:tc>
          <w:tcPr>
            <w:tcW w:w="868" w:type="dxa"/>
            <w:vAlign w:val="center"/>
          </w:tcPr>
          <w:p w14:paraId="5F7A6CBB" w14:textId="77777777" w:rsidR="00470D07" w:rsidRPr="000C4F35" w:rsidRDefault="00470D07" w:rsidP="00685329">
            <w:pPr>
              <w:spacing w:before="60" w:after="60"/>
              <w:jc w:val="right"/>
              <w:rPr>
                <w:noProof/>
                <w:sz w:val="20"/>
              </w:rPr>
            </w:pPr>
          </w:p>
        </w:tc>
        <w:tc>
          <w:tcPr>
            <w:tcW w:w="868" w:type="dxa"/>
            <w:vAlign w:val="center"/>
          </w:tcPr>
          <w:p w14:paraId="76AA2091" w14:textId="77777777" w:rsidR="00470D07" w:rsidRPr="000C4F35" w:rsidRDefault="00470D07" w:rsidP="00685329">
            <w:pPr>
              <w:spacing w:before="60" w:after="60"/>
              <w:jc w:val="right"/>
              <w:rPr>
                <w:b/>
                <w:noProof/>
                <w:sz w:val="20"/>
              </w:rPr>
            </w:pPr>
          </w:p>
        </w:tc>
        <w:tc>
          <w:tcPr>
            <w:tcW w:w="1777" w:type="dxa"/>
            <w:vAlign w:val="center"/>
          </w:tcPr>
          <w:p w14:paraId="77B04452" w14:textId="77777777" w:rsidR="00470D07" w:rsidRPr="000C4F35" w:rsidRDefault="00470D07" w:rsidP="00685329">
            <w:pPr>
              <w:spacing w:before="60" w:after="60"/>
              <w:jc w:val="right"/>
              <w:rPr>
                <w:b/>
                <w:noProof/>
                <w:sz w:val="20"/>
              </w:rPr>
            </w:pPr>
          </w:p>
        </w:tc>
      </w:tr>
      <w:tr w:rsidR="00470D07" w:rsidRPr="000C4F35" w14:paraId="2F93EB41" w14:textId="77777777" w:rsidTr="00470D07">
        <w:tc>
          <w:tcPr>
            <w:tcW w:w="3960" w:type="dxa"/>
            <w:vMerge/>
            <w:shd w:val="clear" w:color="auto" w:fill="C0C0C0"/>
          </w:tcPr>
          <w:p w14:paraId="0C7E4344" w14:textId="77777777" w:rsidR="00470D07" w:rsidRPr="000C4F35" w:rsidRDefault="00470D07" w:rsidP="00685329">
            <w:pPr>
              <w:rPr>
                <w:noProof/>
                <w:sz w:val="20"/>
              </w:rPr>
            </w:pPr>
          </w:p>
        </w:tc>
        <w:tc>
          <w:tcPr>
            <w:tcW w:w="2094" w:type="dxa"/>
            <w:gridSpan w:val="2"/>
            <w:vAlign w:val="center"/>
          </w:tcPr>
          <w:p w14:paraId="62E7309D" w14:textId="77777777" w:rsidR="00470D07" w:rsidRPr="000C4F35" w:rsidRDefault="00470D07" w:rsidP="00685329">
            <w:pPr>
              <w:rPr>
                <w:noProof/>
                <w:sz w:val="14"/>
              </w:rPr>
            </w:pPr>
            <w:r w:rsidRPr="000C4F35">
              <w:rPr>
                <w:noProof/>
                <w:sz w:val="18"/>
              </w:rPr>
              <w:t>Payments</w:t>
            </w:r>
          </w:p>
        </w:tc>
        <w:tc>
          <w:tcPr>
            <w:tcW w:w="868" w:type="dxa"/>
            <w:vAlign w:val="center"/>
          </w:tcPr>
          <w:p w14:paraId="5A40D79E" w14:textId="77777777" w:rsidR="00470D07" w:rsidRPr="000C4F35" w:rsidRDefault="00470D07" w:rsidP="00685329">
            <w:pPr>
              <w:spacing w:before="60" w:after="60"/>
              <w:jc w:val="right"/>
              <w:rPr>
                <w:noProof/>
                <w:sz w:val="20"/>
              </w:rPr>
            </w:pPr>
          </w:p>
        </w:tc>
        <w:tc>
          <w:tcPr>
            <w:tcW w:w="868" w:type="dxa"/>
            <w:vAlign w:val="center"/>
          </w:tcPr>
          <w:p w14:paraId="049CA769" w14:textId="77777777" w:rsidR="00470D07" w:rsidRPr="000C4F35" w:rsidRDefault="00470D07" w:rsidP="00685329">
            <w:pPr>
              <w:spacing w:before="60" w:after="60"/>
              <w:jc w:val="right"/>
              <w:rPr>
                <w:noProof/>
                <w:sz w:val="20"/>
              </w:rPr>
            </w:pPr>
          </w:p>
        </w:tc>
        <w:tc>
          <w:tcPr>
            <w:tcW w:w="868" w:type="dxa"/>
            <w:vAlign w:val="center"/>
          </w:tcPr>
          <w:p w14:paraId="08CF26EA" w14:textId="77777777" w:rsidR="00470D07" w:rsidRPr="000C4F35" w:rsidRDefault="00470D07" w:rsidP="00685329">
            <w:pPr>
              <w:spacing w:before="60" w:after="60"/>
              <w:jc w:val="right"/>
              <w:rPr>
                <w:noProof/>
                <w:sz w:val="20"/>
              </w:rPr>
            </w:pPr>
          </w:p>
        </w:tc>
        <w:tc>
          <w:tcPr>
            <w:tcW w:w="868" w:type="dxa"/>
            <w:vAlign w:val="center"/>
          </w:tcPr>
          <w:p w14:paraId="0E14823A" w14:textId="77777777" w:rsidR="00470D07" w:rsidRPr="000C4F35" w:rsidRDefault="00470D07" w:rsidP="00685329">
            <w:pPr>
              <w:spacing w:before="60" w:after="60"/>
              <w:jc w:val="right"/>
              <w:rPr>
                <w:noProof/>
                <w:sz w:val="20"/>
              </w:rPr>
            </w:pPr>
          </w:p>
        </w:tc>
        <w:tc>
          <w:tcPr>
            <w:tcW w:w="868" w:type="dxa"/>
            <w:vAlign w:val="center"/>
          </w:tcPr>
          <w:p w14:paraId="43D4ACC8" w14:textId="77777777" w:rsidR="00470D07" w:rsidRPr="000C4F35" w:rsidRDefault="00470D07" w:rsidP="00685329">
            <w:pPr>
              <w:spacing w:before="60" w:after="60"/>
              <w:jc w:val="right"/>
              <w:rPr>
                <w:noProof/>
                <w:sz w:val="20"/>
              </w:rPr>
            </w:pPr>
          </w:p>
        </w:tc>
        <w:tc>
          <w:tcPr>
            <w:tcW w:w="868" w:type="dxa"/>
            <w:vAlign w:val="center"/>
          </w:tcPr>
          <w:p w14:paraId="50F559F5" w14:textId="77777777" w:rsidR="00470D07" w:rsidRPr="000C4F35" w:rsidRDefault="00470D07" w:rsidP="00685329">
            <w:pPr>
              <w:spacing w:before="60" w:after="60"/>
              <w:jc w:val="right"/>
              <w:rPr>
                <w:noProof/>
                <w:sz w:val="20"/>
              </w:rPr>
            </w:pPr>
          </w:p>
        </w:tc>
        <w:tc>
          <w:tcPr>
            <w:tcW w:w="868" w:type="dxa"/>
            <w:vAlign w:val="center"/>
          </w:tcPr>
          <w:p w14:paraId="6F88FC05" w14:textId="77777777" w:rsidR="00470D07" w:rsidRPr="000C4F35" w:rsidRDefault="00470D07" w:rsidP="00685329">
            <w:pPr>
              <w:spacing w:before="60" w:after="60"/>
              <w:jc w:val="right"/>
              <w:rPr>
                <w:b/>
                <w:noProof/>
                <w:sz w:val="20"/>
              </w:rPr>
            </w:pPr>
          </w:p>
        </w:tc>
        <w:tc>
          <w:tcPr>
            <w:tcW w:w="1777" w:type="dxa"/>
            <w:vAlign w:val="center"/>
          </w:tcPr>
          <w:p w14:paraId="75393ADB" w14:textId="77777777" w:rsidR="00470D07" w:rsidRPr="000C4F35" w:rsidRDefault="00470D07" w:rsidP="00685329">
            <w:pPr>
              <w:spacing w:before="60" w:after="60"/>
              <w:jc w:val="right"/>
              <w:rPr>
                <w:b/>
                <w:noProof/>
                <w:sz w:val="20"/>
              </w:rPr>
            </w:pPr>
          </w:p>
        </w:tc>
      </w:tr>
    </w:tbl>
    <w:p w14:paraId="58B4F4A7" w14:textId="77777777" w:rsidR="00470D07" w:rsidRPr="000C4F35" w:rsidRDefault="00470D07" w:rsidP="00685329">
      <w:pPr>
        <w:rPr>
          <w:noProof/>
        </w:rPr>
      </w:pPr>
    </w:p>
    <w:p w14:paraId="311A94EB" w14:textId="6C1795A8" w:rsidR="00470D07" w:rsidRPr="000C4F35" w:rsidRDefault="001678E4" w:rsidP="001678E4">
      <w:pPr>
        <w:pStyle w:val="ManualHeading3"/>
        <w:rPr>
          <w:noProof/>
          <w:szCs w:val="24"/>
        </w:rPr>
      </w:pPr>
      <w:bookmarkStart w:id="57" w:name="_Toc514938054"/>
      <w:bookmarkStart w:id="58" w:name="_Toc520485053"/>
      <w:r w:rsidRPr="001678E4">
        <w:t>3.2.2.</w:t>
      </w:r>
      <w:r w:rsidRPr="001678E4">
        <w:tab/>
      </w:r>
      <w:r w:rsidR="00470D07" w:rsidRPr="000C4F35">
        <w:rPr>
          <w:noProof/>
        </w:rPr>
        <w:t>Estimated output funded with operational appropriations</w:t>
      </w:r>
      <w:bookmarkEnd w:id="57"/>
      <w:bookmarkEnd w:id="58"/>
      <w:r w:rsidR="00470D07" w:rsidRPr="000C4F35">
        <w:rPr>
          <w:noProof/>
        </w:rPr>
        <w:t xml:space="preserve"> </w:t>
      </w:r>
    </w:p>
    <w:p w14:paraId="63CFC493" w14:textId="77777777" w:rsidR="00470D07" w:rsidRPr="000C4F35" w:rsidRDefault="00470D07" w:rsidP="00685329">
      <w:pPr>
        <w:jc w:val="right"/>
        <w:rPr>
          <w:noProof/>
          <w:sz w:val="20"/>
        </w:rPr>
      </w:pPr>
      <w:r w:rsidRPr="000C4F35">
        <w:rPr>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470D07" w:rsidRPr="000C4F35" w14:paraId="2F222781" w14:textId="77777777" w:rsidTr="00470D07">
        <w:trPr>
          <w:jc w:val="center"/>
        </w:trPr>
        <w:tc>
          <w:tcPr>
            <w:tcW w:w="1423" w:type="dxa"/>
            <w:vMerge w:val="restart"/>
            <w:vAlign w:val="center"/>
          </w:tcPr>
          <w:p w14:paraId="34B52700" w14:textId="77777777" w:rsidR="00470D07" w:rsidRPr="000C4F35" w:rsidRDefault="00470D07" w:rsidP="00685329">
            <w:pPr>
              <w:ind w:right="-29"/>
              <w:jc w:val="center"/>
              <w:rPr>
                <w:b/>
                <w:noProof/>
                <w:sz w:val="18"/>
                <w:szCs w:val="18"/>
              </w:rPr>
            </w:pPr>
            <w:r w:rsidRPr="000C4F35">
              <w:rPr>
                <w:b/>
                <w:noProof/>
                <w:sz w:val="18"/>
              </w:rPr>
              <w:t xml:space="preserve">Indicate objectives and outputs </w:t>
            </w:r>
          </w:p>
          <w:p w14:paraId="24A5FE8C" w14:textId="77777777" w:rsidR="00470D07" w:rsidRPr="000C4F35" w:rsidRDefault="00470D07" w:rsidP="00685329">
            <w:pPr>
              <w:ind w:right="-29"/>
              <w:jc w:val="center"/>
              <w:rPr>
                <w:b/>
                <w:noProof/>
                <w:sz w:val="18"/>
                <w:szCs w:val="18"/>
              </w:rPr>
            </w:pPr>
          </w:p>
          <w:p w14:paraId="0F2308A5" w14:textId="77777777" w:rsidR="00470D07" w:rsidRPr="000C4F35" w:rsidRDefault="00470D07" w:rsidP="00685329">
            <w:pPr>
              <w:ind w:right="-29"/>
              <w:jc w:val="center"/>
              <w:rPr>
                <w:noProof/>
                <w:sz w:val="18"/>
                <w:szCs w:val="18"/>
              </w:rPr>
            </w:pPr>
            <w:r w:rsidRPr="000C4F35">
              <w:rPr>
                <w:noProof/>
                <w:sz w:val="18"/>
              </w:rPr>
              <w:sym w:font="Wingdings" w:char="F0F2"/>
            </w:r>
          </w:p>
        </w:tc>
        <w:tc>
          <w:tcPr>
            <w:tcW w:w="720" w:type="dxa"/>
            <w:vAlign w:val="center"/>
          </w:tcPr>
          <w:p w14:paraId="4E0F55DE" w14:textId="77777777" w:rsidR="00470D07" w:rsidRPr="000C4F35" w:rsidRDefault="00470D07" w:rsidP="00685329">
            <w:pPr>
              <w:ind w:right="-29"/>
              <w:jc w:val="center"/>
              <w:rPr>
                <w:noProof/>
                <w:sz w:val="18"/>
                <w:szCs w:val="18"/>
              </w:rPr>
            </w:pPr>
          </w:p>
        </w:tc>
        <w:tc>
          <w:tcPr>
            <w:tcW w:w="701" w:type="dxa"/>
            <w:vAlign w:val="center"/>
          </w:tcPr>
          <w:p w14:paraId="3D5DFAC4" w14:textId="77777777" w:rsidR="00470D07" w:rsidRPr="000C4F35" w:rsidRDefault="00470D07" w:rsidP="00685329">
            <w:pPr>
              <w:ind w:right="-29"/>
              <w:jc w:val="center"/>
              <w:rPr>
                <w:noProof/>
                <w:sz w:val="18"/>
                <w:szCs w:val="18"/>
              </w:rPr>
            </w:pPr>
          </w:p>
        </w:tc>
        <w:tc>
          <w:tcPr>
            <w:tcW w:w="1224" w:type="dxa"/>
            <w:gridSpan w:val="2"/>
            <w:tcBorders>
              <w:left w:val="nil"/>
            </w:tcBorders>
            <w:vAlign w:val="center"/>
          </w:tcPr>
          <w:p w14:paraId="596A183A" w14:textId="77777777" w:rsidR="00470D07" w:rsidRPr="000C4F35" w:rsidRDefault="00470D07" w:rsidP="00685329">
            <w:pPr>
              <w:ind w:right="-29"/>
              <w:jc w:val="center"/>
              <w:rPr>
                <w:noProof/>
                <w:sz w:val="18"/>
                <w:szCs w:val="18"/>
              </w:rPr>
            </w:pPr>
            <w:r w:rsidRPr="000C4F35">
              <w:rPr>
                <w:noProof/>
                <w:sz w:val="18"/>
              </w:rPr>
              <w:t>Year</w:t>
            </w:r>
            <w:r w:rsidRPr="000C4F35">
              <w:rPr>
                <w:noProof/>
                <w:sz w:val="22"/>
              </w:rPr>
              <w:br/>
            </w:r>
            <w:r w:rsidRPr="000C4F35">
              <w:rPr>
                <w:b/>
                <w:noProof/>
                <w:sz w:val="18"/>
              </w:rPr>
              <w:t>N</w:t>
            </w:r>
          </w:p>
        </w:tc>
        <w:tc>
          <w:tcPr>
            <w:tcW w:w="1260" w:type="dxa"/>
            <w:gridSpan w:val="2"/>
            <w:vAlign w:val="center"/>
          </w:tcPr>
          <w:p w14:paraId="56305FE8" w14:textId="77777777" w:rsidR="00470D07" w:rsidRPr="000C4F35" w:rsidRDefault="00470D07" w:rsidP="00685329">
            <w:pPr>
              <w:ind w:right="-29"/>
              <w:jc w:val="center"/>
              <w:rPr>
                <w:noProof/>
                <w:sz w:val="18"/>
                <w:szCs w:val="18"/>
              </w:rPr>
            </w:pPr>
            <w:r w:rsidRPr="000C4F35">
              <w:rPr>
                <w:noProof/>
                <w:sz w:val="18"/>
              </w:rPr>
              <w:t>Year</w:t>
            </w:r>
            <w:r w:rsidRPr="000C4F35">
              <w:rPr>
                <w:noProof/>
                <w:sz w:val="22"/>
              </w:rPr>
              <w:br/>
            </w:r>
            <w:r w:rsidRPr="000C4F35">
              <w:rPr>
                <w:b/>
                <w:noProof/>
                <w:sz w:val="18"/>
              </w:rPr>
              <w:t>N+1</w:t>
            </w:r>
          </w:p>
        </w:tc>
        <w:tc>
          <w:tcPr>
            <w:tcW w:w="1440" w:type="dxa"/>
            <w:gridSpan w:val="2"/>
            <w:vAlign w:val="center"/>
          </w:tcPr>
          <w:p w14:paraId="18DC2445" w14:textId="77777777" w:rsidR="00470D07" w:rsidRPr="000C4F35" w:rsidRDefault="00470D07" w:rsidP="00685329">
            <w:pPr>
              <w:ind w:right="-29"/>
              <w:jc w:val="center"/>
              <w:rPr>
                <w:noProof/>
                <w:sz w:val="18"/>
                <w:szCs w:val="18"/>
              </w:rPr>
            </w:pPr>
            <w:r w:rsidRPr="000C4F35">
              <w:rPr>
                <w:noProof/>
                <w:sz w:val="18"/>
              </w:rPr>
              <w:t>Year</w:t>
            </w:r>
            <w:r w:rsidRPr="000C4F35">
              <w:rPr>
                <w:noProof/>
                <w:sz w:val="22"/>
              </w:rPr>
              <w:br/>
            </w:r>
            <w:r w:rsidRPr="000C4F35">
              <w:rPr>
                <w:b/>
                <w:noProof/>
                <w:sz w:val="18"/>
              </w:rPr>
              <w:t>N+2</w:t>
            </w:r>
          </w:p>
        </w:tc>
        <w:tc>
          <w:tcPr>
            <w:tcW w:w="1620" w:type="dxa"/>
            <w:gridSpan w:val="3"/>
            <w:vAlign w:val="center"/>
          </w:tcPr>
          <w:p w14:paraId="50682E80" w14:textId="77777777" w:rsidR="00470D07" w:rsidRPr="000C4F35" w:rsidRDefault="00470D07" w:rsidP="00685329">
            <w:pPr>
              <w:ind w:right="-29"/>
              <w:jc w:val="center"/>
              <w:rPr>
                <w:noProof/>
                <w:sz w:val="18"/>
                <w:szCs w:val="18"/>
              </w:rPr>
            </w:pPr>
            <w:r w:rsidRPr="000C4F35">
              <w:rPr>
                <w:noProof/>
                <w:sz w:val="18"/>
              </w:rPr>
              <w:t>Year</w:t>
            </w:r>
            <w:r w:rsidRPr="000C4F35">
              <w:rPr>
                <w:noProof/>
                <w:sz w:val="22"/>
              </w:rPr>
              <w:br/>
            </w:r>
            <w:r w:rsidRPr="000C4F35">
              <w:rPr>
                <w:b/>
                <w:noProof/>
                <w:sz w:val="18"/>
              </w:rPr>
              <w:t>N+3</w:t>
            </w:r>
          </w:p>
        </w:tc>
        <w:tc>
          <w:tcPr>
            <w:tcW w:w="3600" w:type="dxa"/>
            <w:gridSpan w:val="6"/>
            <w:vAlign w:val="center"/>
          </w:tcPr>
          <w:p w14:paraId="47CCD09F" w14:textId="77777777" w:rsidR="00470D07" w:rsidRPr="000C4F35" w:rsidRDefault="00470D07" w:rsidP="00685329">
            <w:pPr>
              <w:jc w:val="center"/>
              <w:rPr>
                <w:noProof/>
                <w:sz w:val="18"/>
                <w:szCs w:val="18"/>
              </w:rPr>
            </w:pPr>
            <w:r w:rsidRPr="000C4F35">
              <w:rPr>
                <w:noProof/>
                <w:sz w:val="18"/>
              </w:rPr>
              <w:t>Enter as many years as necessary to show the duration of the impact (see point 1.6)</w:t>
            </w:r>
          </w:p>
        </w:tc>
        <w:tc>
          <w:tcPr>
            <w:tcW w:w="1620" w:type="dxa"/>
            <w:gridSpan w:val="2"/>
            <w:tcBorders>
              <w:left w:val="nil"/>
              <w:bottom w:val="nil"/>
            </w:tcBorders>
            <w:vAlign w:val="center"/>
          </w:tcPr>
          <w:p w14:paraId="176C41B9" w14:textId="77777777" w:rsidR="00470D07" w:rsidRPr="000C4F35" w:rsidRDefault="00470D07" w:rsidP="00685329">
            <w:pPr>
              <w:ind w:right="-29"/>
              <w:jc w:val="center"/>
              <w:rPr>
                <w:noProof/>
                <w:sz w:val="18"/>
                <w:szCs w:val="18"/>
              </w:rPr>
            </w:pPr>
            <w:r w:rsidRPr="000C4F35">
              <w:rPr>
                <w:b/>
                <w:noProof/>
                <w:sz w:val="18"/>
              </w:rPr>
              <w:t>TOTAL</w:t>
            </w:r>
          </w:p>
        </w:tc>
      </w:tr>
      <w:tr w:rsidR="00470D07" w:rsidRPr="000C4F35" w14:paraId="2949D4B9" w14:textId="77777777" w:rsidTr="00470D07">
        <w:trPr>
          <w:jc w:val="center"/>
        </w:trPr>
        <w:tc>
          <w:tcPr>
            <w:tcW w:w="1423" w:type="dxa"/>
            <w:vMerge/>
            <w:vAlign w:val="center"/>
          </w:tcPr>
          <w:p w14:paraId="4C525CC6" w14:textId="77777777" w:rsidR="00470D07" w:rsidRPr="000C4F35" w:rsidRDefault="00470D07" w:rsidP="00685329">
            <w:pPr>
              <w:ind w:right="-29"/>
              <w:jc w:val="center"/>
              <w:rPr>
                <w:noProof/>
                <w:sz w:val="18"/>
                <w:szCs w:val="18"/>
              </w:rPr>
            </w:pPr>
          </w:p>
        </w:tc>
        <w:tc>
          <w:tcPr>
            <w:tcW w:w="12185" w:type="dxa"/>
            <w:gridSpan w:val="19"/>
            <w:vAlign w:val="center"/>
          </w:tcPr>
          <w:p w14:paraId="0EBDFAC3" w14:textId="77777777" w:rsidR="00470D07" w:rsidRPr="000C4F35" w:rsidRDefault="00470D07" w:rsidP="00685329">
            <w:pPr>
              <w:spacing w:before="60" w:after="60"/>
              <w:ind w:right="-29"/>
              <w:jc w:val="center"/>
              <w:rPr>
                <w:noProof/>
                <w:sz w:val="18"/>
                <w:szCs w:val="18"/>
              </w:rPr>
            </w:pPr>
            <w:r w:rsidRPr="000C4F35">
              <w:rPr>
                <w:b/>
                <w:noProof/>
                <w:sz w:val="18"/>
              </w:rPr>
              <w:t>OUTPUTS</w:t>
            </w:r>
          </w:p>
        </w:tc>
      </w:tr>
      <w:tr w:rsidR="00470D07" w:rsidRPr="000C4F35" w14:paraId="3BE5A953" w14:textId="77777777" w:rsidTr="00470D07">
        <w:trPr>
          <w:cantSplit/>
          <w:trHeight w:val="1134"/>
          <w:jc w:val="center"/>
        </w:trPr>
        <w:tc>
          <w:tcPr>
            <w:tcW w:w="1423" w:type="dxa"/>
            <w:vMerge/>
            <w:vAlign w:val="center"/>
          </w:tcPr>
          <w:p w14:paraId="1072746F" w14:textId="77777777" w:rsidR="00470D07" w:rsidRPr="000C4F35" w:rsidRDefault="00470D07" w:rsidP="00685329">
            <w:pPr>
              <w:rPr>
                <w:noProof/>
                <w:sz w:val="18"/>
                <w:szCs w:val="18"/>
              </w:rPr>
            </w:pPr>
          </w:p>
        </w:tc>
        <w:tc>
          <w:tcPr>
            <w:tcW w:w="720" w:type="dxa"/>
            <w:vAlign w:val="center"/>
          </w:tcPr>
          <w:p w14:paraId="11E974C8" w14:textId="77777777" w:rsidR="00470D07" w:rsidRPr="000C4F35" w:rsidRDefault="00470D07" w:rsidP="00685329">
            <w:pPr>
              <w:jc w:val="center"/>
              <w:rPr>
                <w:noProof/>
                <w:sz w:val="18"/>
                <w:szCs w:val="18"/>
              </w:rPr>
            </w:pPr>
            <w:r w:rsidRPr="000C4F35">
              <w:rPr>
                <w:noProof/>
                <w:sz w:val="18"/>
              </w:rPr>
              <w:t>Type</w:t>
            </w:r>
            <w:r w:rsidRPr="000C4F35">
              <w:rPr>
                <w:rStyle w:val="FootnoteReference"/>
                <w:noProof/>
                <w:sz w:val="18"/>
              </w:rPr>
              <w:footnoteReference w:id="54"/>
            </w:r>
          </w:p>
          <w:p w14:paraId="4431E7CF" w14:textId="77777777" w:rsidR="00470D07" w:rsidRPr="000C4F35" w:rsidRDefault="00470D07" w:rsidP="00685329">
            <w:pPr>
              <w:spacing w:before="0" w:after="0"/>
              <w:jc w:val="center"/>
              <w:rPr>
                <w:noProof/>
                <w:sz w:val="18"/>
                <w:szCs w:val="18"/>
              </w:rPr>
            </w:pPr>
          </w:p>
        </w:tc>
        <w:tc>
          <w:tcPr>
            <w:tcW w:w="701" w:type="dxa"/>
            <w:vAlign w:val="center"/>
          </w:tcPr>
          <w:p w14:paraId="4996D128" w14:textId="77777777" w:rsidR="00470D07" w:rsidRPr="000C4F35" w:rsidRDefault="00470D07" w:rsidP="00685329">
            <w:pPr>
              <w:jc w:val="center"/>
              <w:rPr>
                <w:noProof/>
                <w:sz w:val="18"/>
                <w:szCs w:val="18"/>
              </w:rPr>
            </w:pPr>
            <w:r w:rsidRPr="000C4F35">
              <w:rPr>
                <w:noProof/>
                <w:sz w:val="18"/>
              </w:rPr>
              <w:t>Average cost</w:t>
            </w:r>
          </w:p>
        </w:tc>
        <w:tc>
          <w:tcPr>
            <w:tcW w:w="504" w:type="dxa"/>
            <w:tcBorders>
              <w:left w:val="nil"/>
              <w:right w:val="dashSmallGap" w:sz="4" w:space="0" w:color="auto"/>
            </w:tcBorders>
            <w:shd w:val="pct10" w:color="auto" w:fill="auto"/>
            <w:textDirection w:val="btLr"/>
            <w:vAlign w:val="center"/>
          </w:tcPr>
          <w:p w14:paraId="39E2C705" w14:textId="77777777" w:rsidR="00470D07" w:rsidRPr="000C4F35" w:rsidRDefault="00470D07" w:rsidP="00685329">
            <w:pPr>
              <w:ind w:left="113" w:right="113"/>
              <w:jc w:val="center"/>
              <w:rPr>
                <w:noProof/>
                <w:sz w:val="18"/>
                <w:szCs w:val="18"/>
              </w:rPr>
            </w:pPr>
            <w:r w:rsidRPr="000C4F35">
              <w:rPr>
                <w:noProof/>
                <w:sz w:val="18"/>
              </w:rPr>
              <w:t>No</w:t>
            </w:r>
          </w:p>
        </w:tc>
        <w:tc>
          <w:tcPr>
            <w:tcW w:w="720" w:type="dxa"/>
            <w:tcBorders>
              <w:left w:val="dashSmallGap" w:sz="4" w:space="0" w:color="auto"/>
            </w:tcBorders>
            <w:shd w:val="pct10" w:color="auto" w:fill="auto"/>
            <w:vAlign w:val="center"/>
          </w:tcPr>
          <w:p w14:paraId="4BF9DC57" w14:textId="77777777" w:rsidR="00470D07" w:rsidRPr="000C4F35" w:rsidRDefault="00470D07" w:rsidP="00685329">
            <w:pPr>
              <w:jc w:val="center"/>
              <w:rPr>
                <w:noProof/>
                <w:sz w:val="18"/>
                <w:szCs w:val="18"/>
              </w:rPr>
            </w:pPr>
            <w:r w:rsidRPr="000C4F35">
              <w:rPr>
                <w:noProof/>
                <w:sz w:val="18"/>
              </w:rPr>
              <w:t>Cost</w:t>
            </w:r>
          </w:p>
        </w:tc>
        <w:tc>
          <w:tcPr>
            <w:tcW w:w="540" w:type="dxa"/>
            <w:tcBorders>
              <w:right w:val="dashSmallGap" w:sz="4" w:space="0" w:color="auto"/>
            </w:tcBorders>
            <w:shd w:val="pct10" w:color="auto" w:fill="auto"/>
            <w:textDirection w:val="btLr"/>
            <w:vAlign w:val="center"/>
          </w:tcPr>
          <w:p w14:paraId="4B86C10F" w14:textId="77777777" w:rsidR="00470D07" w:rsidRPr="000C4F35" w:rsidRDefault="00470D07" w:rsidP="00685329">
            <w:pPr>
              <w:ind w:left="113" w:right="113"/>
              <w:jc w:val="center"/>
              <w:rPr>
                <w:noProof/>
                <w:sz w:val="18"/>
                <w:szCs w:val="18"/>
              </w:rPr>
            </w:pPr>
            <w:r w:rsidRPr="000C4F35">
              <w:rPr>
                <w:noProof/>
                <w:sz w:val="18"/>
              </w:rPr>
              <w:t>No</w:t>
            </w:r>
          </w:p>
        </w:tc>
        <w:tc>
          <w:tcPr>
            <w:tcW w:w="720" w:type="dxa"/>
            <w:tcBorders>
              <w:left w:val="dashSmallGap" w:sz="4" w:space="0" w:color="auto"/>
            </w:tcBorders>
            <w:shd w:val="pct10" w:color="auto" w:fill="auto"/>
            <w:vAlign w:val="center"/>
          </w:tcPr>
          <w:p w14:paraId="0BA932EC" w14:textId="77777777" w:rsidR="00470D07" w:rsidRPr="000C4F35" w:rsidRDefault="00470D07" w:rsidP="00685329">
            <w:pPr>
              <w:jc w:val="center"/>
              <w:rPr>
                <w:noProof/>
                <w:sz w:val="18"/>
                <w:szCs w:val="18"/>
              </w:rPr>
            </w:pPr>
            <w:r w:rsidRPr="000C4F35">
              <w:rPr>
                <w:noProof/>
                <w:sz w:val="18"/>
              </w:rPr>
              <w:t>Cost</w:t>
            </w:r>
          </w:p>
        </w:tc>
        <w:tc>
          <w:tcPr>
            <w:tcW w:w="720" w:type="dxa"/>
            <w:tcBorders>
              <w:right w:val="dashSmallGap" w:sz="4" w:space="0" w:color="auto"/>
            </w:tcBorders>
            <w:shd w:val="pct10" w:color="auto" w:fill="auto"/>
            <w:textDirection w:val="btLr"/>
            <w:vAlign w:val="center"/>
          </w:tcPr>
          <w:p w14:paraId="75132C5F" w14:textId="77777777" w:rsidR="00470D07" w:rsidRPr="000C4F35" w:rsidRDefault="00470D07" w:rsidP="00685329">
            <w:pPr>
              <w:ind w:left="113" w:right="113"/>
              <w:jc w:val="center"/>
              <w:rPr>
                <w:noProof/>
                <w:sz w:val="18"/>
                <w:szCs w:val="18"/>
              </w:rPr>
            </w:pPr>
            <w:r w:rsidRPr="000C4F35">
              <w:rPr>
                <w:noProof/>
                <w:sz w:val="18"/>
              </w:rPr>
              <w:t>No</w:t>
            </w:r>
          </w:p>
        </w:tc>
        <w:tc>
          <w:tcPr>
            <w:tcW w:w="720" w:type="dxa"/>
            <w:tcBorders>
              <w:left w:val="dashSmallGap" w:sz="4" w:space="0" w:color="auto"/>
            </w:tcBorders>
            <w:shd w:val="pct10" w:color="auto" w:fill="auto"/>
            <w:vAlign w:val="center"/>
          </w:tcPr>
          <w:p w14:paraId="7B9A31E4" w14:textId="77777777" w:rsidR="00470D07" w:rsidRPr="000C4F35" w:rsidRDefault="00470D07" w:rsidP="00685329">
            <w:pPr>
              <w:jc w:val="center"/>
              <w:rPr>
                <w:noProof/>
                <w:sz w:val="18"/>
                <w:szCs w:val="18"/>
              </w:rPr>
            </w:pPr>
            <w:r w:rsidRPr="000C4F35">
              <w:rPr>
                <w:noProof/>
                <w:sz w:val="18"/>
              </w:rPr>
              <w:t>Cost</w:t>
            </w:r>
          </w:p>
        </w:tc>
        <w:tc>
          <w:tcPr>
            <w:tcW w:w="900" w:type="dxa"/>
            <w:tcBorders>
              <w:right w:val="dashSmallGap" w:sz="4" w:space="0" w:color="auto"/>
            </w:tcBorders>
            <w:shd w:val="pct10" w:color="auto" w:fill="auto"/>
            <w:textDirection w:val="btLr"/>
            <w:vAlign w:val="center"/>
          </w:tcPr>
          <w:p w14:paraId="657901EB" w14:textId="77777777" w:rsidR="00470D07" w:rsidRPr="000C4F35" w:rsidRDefault="00470D07" w:rsidP="00685329">
            <w:pPr>
              <w:ind w:left="113" w:right="113"/>
              <w:jc w:val="center"/>
              <w:rPr>
                <w:noProof/>
                <w:sz w:val="18"/>
                <w:szCs w:val="18"/>
              </w:rPr>
            </w:pPr>
            <w:r w:rsidRPr="000C4F35">
              <w:rPr>
                <w:noProof/>
                <w:sz w:val="18"/>
              </w:rPr>
              <w:t>No</w:t>
            </w:r>
          </w:p>
        </w:tc>
        <w:tc>
          <w:tcPr>
            <w:tcW w:w="720" w:type="dxa"/>
            <w:gridSpan w:val="2"/>
            <w:tcBorders>
              <w:left w:val="dashSmallGap" w:sz="4" w:space="0" w:color="auto"/>
            </w:tcBorders>
            <w:shd w:val="pct10" w:color="auto" w:fill="auto"/>
            <w:vAlign w:val="center"/>
          </w:tcPr>
          <w:p w14:paraId="6E4B8B94" w14:textId="77777777" w:rsidR="00470D07" w:rsidRPr="000C4F35" w:rsidRDefault="00470D07" w:rsidP="00685329">
            <w:pPr>
              <w:jc w:val="center"/>
              <w:rPr>
                <w:noProof/>
                <w:sz w:val="18"/>
                <w:szCs w:val="18"/>
              </w:rPr>
            </w:pPr>
            <w:r w:rsidRPr="000C4F35">
              <w:rPr>
                <w:noProof/>
                <w:sz w:val="18"/>
              </w:rPr>
              <w:t>Cost</w:t>
            </w:r>
          </w:p>
        </w:tc>
        <w:tc>
          <w:tcPr>
            <w:tcW w:w="540" w:type="dxa"/>
            <w:tcBorders>
              <w:right w:val="dashSmallGap" w:sz="4" w:space="0" w:color="auto"/>
            </w:tcBorders>
            <w:shd w:val="pct10" w:color="auto" w:fill="auto"/>
            <w:textDirection w:val="btLr"/>
            <w:vAlign w:val="center"/>
          </w:tcPr>
          <w:p w14:paraId="6336AC97" w14:textId="77777777" w:rsidR="00470D07" w:rsidRPr="000C4F35" w:rsidRDefault="00470D07" w:rsidP="00685329">
            <w:pPr>
              <w:ind w:left="113" w:right="113"/>
              <w:jc w:val="center"/>
              <w:rPr>
                <w:noProof/>
                <w:sz w:val="18"/>
                <w:szCs w:val="18"/>
              </w:rPr>
            </w:pPr>
            <w:r w:rsidRPr="000C4F35">
              <w:rPr>
                <w:noProof/>
                <w:sz w:val="18"/>
              </w:rPr>
              <w:t>No</w:t>
            </w:r>
          </w:p>
        </w:tc>
        <w:tc>
          <w:tcPr>
            <w:tcW w:w="648" w:type="dxa"/>
            <w:tcBorders>
              <w:left w:val="dashSmallGap" w:sz="4" w:space="0" w:color="auto"/>
            </w:tcBorders>
            <w:shd w:val="pct10" w:color="auto" w:fill="auto"/>
            <w:vAlign w:val="center"/>
          </w:tcPr>
          <w:p w14:paraId="43881890" w14:textId="77777777" w:rsidR="00470D07" w:rsidRPr="000C4F35" w:rsidRDefault="00470D07" w:rsidP="00685329">
            <w:pPr>
              <w:jc w:val="center"/>
              <w:rPr>
                <w:noProof/>
                <w:sz w:val="18"/>
                <w:szCs w:val="18"/>
              </w:rPr>
            </w:pPr>
            <w:r w:rsidRPr="000C4F35">
              <w:rPr>
                <w:noProof/>
                <w:sz w:val="18"/>
              </w:rPr>
              <w:t>Cost</w:t>
            </w:r>
          </w:p>
        </w:tc>
        <w:tc>
          <w:tcPr>
            <w:tcW w:w="432" w:type="dxa"/>
            <w:tcBorders>
              <w:right w:val="dashSmallGap" w:sz="4" w:space="0" w:color="auto"/>
            </w:tcBorders>
            <w:shd w:val="pct10" w:color="auto" w:fill="auto"/>
            <w:textDirection w:val="btLr"/>
            <w:vAlign w:val="center"/>
          </w:tcPr>
          <w:p w14:paraId="572321E1" w14:textId="77777777" w:rsidR="00470D07" w:rsidRPr="000C4F35" w:rsidRDefault="00470D07" w:rsidP="00685329">
            <w:pPr>
              <w:ind w:left="113" w:right="113"/>
              <w:jc w:val="center"/>
              <w:rPr>
                <w:noProof/>
                <w:sz w:val="18"/>
                <w:szCs w:val="18"/>
              </w:rPr>
            </w:pPr>
            <w:r w:rsidRPr="000C4F35">
              <w:rPr>
                <w:noProof/>
                <w:sz w:val="18"/>
              </w:rPr>
              <w:t>No</w:t>
            </w:r>
          </w:p>
        </w:tc>
        <w:tc>
          <w:tcPr>
            <w:tcW w:w="720" w:type="dxa"/>
            <w:tcBorders>
              <w:left w:val="dashSmallGap" w:sz="4" w:space="0" w:color="auto"/>
            </w:tcBorders>
            <w:shd w:val="pct10" w:color="auto" w:fill="auto"/>
            <w:vAlign w:val="center"/>
          </w:tcPr>
          <w:p w14:paraId="79D79F35" w14:textId="77777777" w:rsidR="00470D07" w:rsidRPr="000C4F35" w:rsidRDefault="00470D07" w:rsidP="00685329">
            <w:pPr>
              <w:jc w:val="center"/>
              <w:rPr>
                <w:noProof/>
                <w:sz w:val="18"/>
                <w:szCs w:val="18"/>
              </w:rPr>
            </w:pPr>
            <w:r w:rsidRPr="000C4F35">
              <w:rPr>
                <w:noProof/>
                <w:sz w:val="18"/>
              </w:rPr>
              <w:t>Cost</w:t>
            </w:r>
          </w:p>
        </w:tc>
        <w:tc>
          <w:tcPr>
            <w:tcW w:w="540" w:type="dxa"/>
            <w:tcBorders>
              <w:right w:val="dashSmallGap" w:sz="4" w:space="0" w:color="auto"/>
            </w:tcBorders>
            <w:shd w:val="pct10" w:color="auto" w:fill="auto"/>
            <w:textDirection w:val="btLr"/>
            <w:vAlign w:val="center"/>
          </w:tcPr>
          <w:p w14:paraId="6003B8BA" w14:textId="77777777" w:rsidR="00470D07" w:rsidRPr="000C4F35" w:rsidRDefault="00470D07" w:rsidP="00685329">
            <w:pPr>
              <w:ind w:left="113" w:right="113"/>
              <w:jc w:val="center"/>
              <w:rPr>
                <w:noProof/>
                <w:sz w:val="18"/>
                <w:szCs w:val="18"/>
              </w:rPr>
            </w:pPr>
            <w:r w:rsidRPr="000C4F35">
              <w:rPr>
                <w:noProof/>
                <w:sz w:val="18"/>
              </w:rPr>
              <w:t>No</w:t>
            </w:r>
          </w:p>
        </w:tc>
        <w:tc>
          <w:tcPr>
            <w:tcW w:w="720" w:type="dxa"/>
            <w:tcBorders>
              <w:left w:val="dashSmallGap" w:sz="4" w:space="0" w:color="auto"/>
            </w:tcBorders>
            <w:shd w:val="pct10" w:color="auto" w:fill="auto"/>
            <w:vAlign w:val="center"/>
          </w:tcPr>
          <w:p w14:paraId="09D296CF" w14:textId="77777777" w:rsidR="00470D07" w:rsidRPr="000C4F35" w:rsidRDefault="00470D07" w:rsidP="00685329">
            <w:pPr>
              <w:jc w:val="center"/>
              <w:rPr>
                <w:noProof/>
                <w:sz w:val="18"/>
                <w:szCs w:val="18"/>
              </w:rPr>
            </w:pPr>
            <w:r w:rsidRPr="000C4F35">
              <w:rPr>
                <w:noProof/>
                <w:sz w:val="18"/>
              </w:rPr>
              <w:t>Cost</w:t>
            </w:r>
          </w:p>
        </w:tc>
        <w:tc>
          <w:tcPr>
            <w:tcW w:w="720" w:type="dxa"/>
            <w:tcBorders>
              <w:right w:val="dashSmallGap" w:sz="4" w:space="0" w:color="auto"/>
            </w:tcBorders>
            <w:shd w:val="pct10" w:color="auto" w:fill="auto"/>
            <w:vAlign w:val="center"/>
          </w:tcPr>
          <w:p w14:paraId="6EF03181" w14:textId="77777777" w:rsidR="00470D07" w:rsidRPr="000C4F35" w:rsidRDefault="00470D07" w:rsidP="00685329">
            <w:pPr>
              <w:jc w:val="center"/>
              <w:rPr>
                <w:noProof/>
                <w:sz w:val="18"/>
                <w:szCs w:val="18"/>
              </w:rPr>
            </w:pPr>
            <w:r w:rsidRPr="000C4F35">
              <w:rPr>
                <w:noProof/>
                <w:sz w:val="18"/>
              </w:rPr>
              <w:t>Total No</w:t>
            </w:r>
          </w:p>
        </w:tc>
        <w:tc>
          <w:tcPr>
            <w:tcW w:w="900" w:type="dxa"/>
            <w:tcBorders>
              <w:left w:val="dashSmallGap" w:sz="4" w:space="0" w:color="auto"/>
            </w:tcBorders>
            <w:shd w:val="pct10" w:color="auto" w:fill="auto"/>
            <w:vAlign w:val="center"/>
          </w:tcPr>
          <w:p w14:paraId="0FA80572" w14:textId="77777777" w:rsidR="00470D07" w:rsidRPr="000C4F35" w:rsidRDefault="00470D07" w:rsidP="00685329">
            <w:pPr>
              <w:jc w:val="center"/>
              <w:rPr>
                <w:noProof/>
                <w:sz w:val="18"/>
                <w:szCs w:val="18"/>
              </w:rPr>
            </w:pPr>
            <w:r w:rsidRPr="000C4F35">
              <w:rPr>
                <w:noProof/>
                <w:sz w:val="18"/>
              </w:rPr>
              <w:t>Total cost</w:t>
            </w:r>
          </w:p>
        </w:tc>
      </w:tr>
      <w:tr w:rsidR="00470D07" w:rsidRPr="000C4F35" w14:paraId="100E2A44" w14:textId="77777777" w:rsidTr="00470D07">
        <w:trPr>
          <w:jc w:val="center"/>
        </w:trPr>
        <w:tc>
          <w:tcPr>
            <w:tcW w:w="2844" w:type="dxa"/>
            <w:gridSpan w:val="3"/>
            <w:vAlign w:val="center"/>
          </w:tcPr>
          <w:p w14:paraId="749DB6DB" w14:textId="77777777" w:rsidR="00470D07" w:rsidRPr="000C4F35" w:rsidRDefault="00470D07" w:rsidP="00685329">
            <w:pPr>
              <w:spacing w:before="60" w:after="60"/>
              <w:ind w:right="-29"/>
              <w:jc w:val="center"/>
              <w:rPr>
                <w:noProof/>
                <w:sz w:val="18"/>
                <w:szCs w:val="18"/>
              </w:rPr>
            </w:pPr>
            <w:r w:rsidRPr="000C4F35">
              <w:rPr>
                <w:noProof/>
                <w:sz w:val="18"/>
              </w:rPr>
              <w:t>SPECIFIC OBJECTIVE No 1</w:t>
            </w:r>
            <w:r w:rsidRPr="000C4F35">
              <w:rPr>
                <w:rStyle w:val="FootnoteReference"/>
                <w:noProof/>
                <w:sz w:val="18"/>
              </w:rPr>
              <w:footnoteReference w:id="55"/>
            </w:r>
            <w:r w:rsidRPr="000C4F35">
              <w:rPr>
                <w:noProof/>
                <w:sz w:val="18"/>
              </w:rPr>
              <w:t>…</w:t>
            </w:r>
          </w:p>
        </w:tc>
        <w:tc>
          <w:tcPr>
            <w:tcW w:w="504" w:type="dxa"/>
            <w:tcBorders>
              <w:top w:val="nil"/>
              <w:left w:val="nil"/>
              <w:bottom w:val="nil"/>
              <w:right w:val="nil"/>
            </w:tcBorders>
          </w:tcPr>
          <w:p w14:paraId="617CEA5D" w14:textId="77777777" w:rsidR="00470D07" w:rsidRPr="000C4F35" w:rsidRDefault="00470D07" w:rsidP="00685329">
            <w:pPr>
              <w:spacing w:before="60" w:after="60"/>
              <w:ind w:right="-29"/>
              <w:jc w:val="center"/>
              <w:rPr>
                <w:noProof/>
                <w:sz w:val="18"/>
                <w:szCs w:val="18"/>
              </w:rPr>
            </w:pPr>
          </w:p>
        </w:tc>
        <w:tc>
          <w:tcPr>
            <w:tcW w:w="720" w:type="dxa"/>
            <w:tcBorders>
              <w:top w:val="nil"/>
              <w:left w:val="nil"/>
              <w:bottom w:val="nil"/>
              <w:right w:val="nil"/>
            </w:tcBorders>
          </w:tcPr>
          <w:p w14:paraId="1037E6E7" w14:textId="77777777" w:rsidR="00470D07" w:rsidRPr="000C4F35" w:rsidRDefault="00470D07" w:rsidP="00685329">
            <w:pPr>
              <w:spacing w:before="60" w:after="60"/>
              <w:ind w:right="-29"/>
              <w:jc w:val="center"/>
              <w:rPr>
                <w:noProof/>
                <w:sz w:val="18"/>
                <w:szCs w:val="18"/>
              </w:rPr>
            </w:pPr>
          </w:p>
        </w:tc>
        <w:tc>
          <w:tcPr>
            <w:tcW w:w="540" w:type="dxa"/>
            <w:tcBorders>
              <w:top w:val="nil"/>
              <w:left w:val="nil"/>
              <w:bottom w:val="nil"/>
              <w:right w:val="nil"/>
            </w:tcBorders>
          </w:tcPr>
          <w:p w14:paraId="4BA1DBB9" w14:textId="77777777" w:rsidR="00470D07" w:rsidRPr="000C4F35" w:rsidRDefault="00470D07" w:rsidP="00685329">
            <w:pPr>
              <w:spacing w:before="60" w:after="60"/>
              <w:ind w:right="-29"/>
              <w:jc w:val="center"/>
              <w:rPr>
                <w:noProof/>
                <w:sz w:val="18"/>
                <w:szCs w:val="18"/>
              </w:rPr>
            </w:pPr>
          </w:p>
        </w:tc>
        <w:tc>
          <w:tcPr>
            <w:tcW w:w="720" w:type="dxa"/>
            <w:tcBorders>
              <w:top w:val="nil"/>
              <w:left w:val="nil"/>
              <w:bottom w:val="nil"/>
              <w:right w:val="nil"/>
            </w:tcBorders>
          </w:tcPr>
          <w:p w14:paraId="1B771DB4" w14:textId="77777777" w:rsidR="00470D07" w:rsidRPr="000C4F35" w:rsidRDefault="00470D07" w:rsidP="00685329">
            <w:pPr>
              <w:spacing w:before="60" w:after="60"/>
              <w:ind w:right="-29"/>
              <w:jc w:val="center"/>
              <w:rPr>
                <w:noProof/>
                <w:sz w:val="18"/>
                <w:szCs w:val="18"/>
              </w:rPr>
            </w:pPr>
          </w:p>
        </w:tc>
        <w:tc>
          <w:tcPr>
            <w:tcW w:w="720" w:type="dxa"/>
            <w:tcBorders>
              <w:top w:val="nil"/>
              <w:left w:val="nil"/>
              <w:bottom w:val="nil"/>
              <w:right w:val="nil"/>
            </w:tcBorders>
          </w:tcPr>
          <w:p w14:paraId="43BB3F88" w14:textId="77777777" w:rsidR="00470D07" w:rsidRPr="000C4F35" w:rsidRDefault="00470D07" w:rsidP="00685329">
            <w:pPr>
              <w:spacing w:before="60" w:after="60"/>
              <w:ind w:right="-29"/>
              <w:jc w:val="center"/>
              <w:rPr>
                <w:noProof/>
                <w:sz w:val="18"/>
                <w:szCs w:val="18"/>
              </w:rPr>
            </w:pPr>
          </w:p>
        </w:tc>
        <w:tc>
          <w:tcPr>
            <w:tcW w:w="720" w:type="dxa"/>
            <w:tcBorders>
              <w:top w:val="nil"/>
              <w:left w:val="nil"/>
              <w:bottom w:val="nil"/>
              <w:right w:val="nil"/>
            </w:tcBorders>
          </w:tcPr>
          <w:p w14:paraId="018126A4" w14:textId="77777777" w:rsidR="00470D07" w:rsidRPr="000C4F35" w:rsidRDefault="00470D07" w:rsidP="00685329">
            <w:pPr>
              <w:spacing w:before="60" w:after="60"/>
              <w:ind w:right="-29"/>
              <w:jc w:val="center"/>
              <w:rPr>
                <w:noProof/>
                <w:sz w:val="18"/>
                <w:szCs w:val="18"/>
              </w:rPr>
            </w:pPr>
          </w:p>
        </w:tc>
        <w:tc>
          <w:tcPr>
            <w:tcW w:w="900" w:type="dxa"/>
            <w:tcBorders>
              <w:top w:val="nil"/>
              <w:left w:val="nil"/>
              <w:bottom w:val="nil"/>
              <w:right w:val="nil"/>
            </w:tcBorders>
          </w:tcPr>
          <w:p w14:paraId="52B41A13" w14:textId="77777777" w:rsidR="00470D07" w:rsidRPr="000C4F35" w:rsidRDefault="00470D07" w:rsidP="00685329">
            <w:pPr>
              <w:spacing w:before="60" w:after="60"/>
              <w:ind w:right="-29"/>
              <w:jc w:val="center"/>
              <w:rPr>
                <w:noProof/>
                <w:sz w:val="18"/>
                <w:szCs w:val="18"/>
              </w:rPr>
            </w:pPr>
          </w:p>
        </w:tc>
        <w:tc>
          <w:tcPr>
            <w:tcW w:w="720" w:type="dxa"/>
            <w:gridSpan w:val="2"/>
            <w:tcBorders>
              <w:top w:val="nil"/>
              <w:left w:val="nil"/>
              <w:bottom w:val="nil"/>
              <w:right w:val="nil"/>
            </w:tcBorders>
          </w:tcPr>
          <w:p w14:paraId="62592318" w14:textId="77777777" w:rsidR="00470D07" w:rsidRPr="000C4F35" w:rsidRDefault="00470D07" w:rsidP="00685329">
            <w:pPr>
              <w:spacing w:before="60" w:after="60"/>
              <w:ind w:right="-29"/>
              <w:jc w:val="center"/>
              <w:rPr>
                <w:noProof/>
                <w:sz w:val="18"/>
                <w:szCs w:val="18"/>
              </w:rPr>
            </w:pPr>
          </w:p>
        </w:tc>
        <w:tc>
          <w:tcPr>
            <w:tcW w:w="540" w:type="dxa"/>
            <w:tcBorders>
              <w:top w:val="nil"/>
              <w:left w:val="nil"/>
              <w:bottom w:val="nil"/>
              <w:right w:val="nil"/>
            </w:tcBorders>
          </w:tcPr>
          <w:p w14:paraId="10A42D02" w14:textId="77777777" w:rsidR="00470D07" w:rsidRPr="000C4F35" w:rsidRDefault="00470D07" w:rsidP="00685329">
            <w:pPr>
              <w:spacing w:before="60" w:after="60"/>
              <w:ind w:right="-29"/>
              <w:jc w:val="center"/>
              <w:rPr>
                <w:noProof/>
                <w:sz w:val="18"/>
                <w:szCs w:val="18"/>
              </w:rPr>
            </w:pPr>
          </w:p>
        </w:tc>
        <w:tc>
          <w:tcPr>
            <w:tcW w:w="648" w:type="dxa"/>
            <w:tcBorders>
              <w:top w:val="nil"/>
              <w:left w:val="nil"/>
              <w:bottom w:val="nil"/>
              <w:right w:val="nil"/>
            </w:tcBorders>
          </w:tcPr>
          <w:p w14:paraId="055F5EAD" w14:textId="77777777" w:rsidR="00470D07" w:rsidRPr="000C4F35" w:rsidRDefault="00470D07" w:rsidP="00685329">
            <w:pPr>
              <w:spacing w:before="60" w:after="60"/>
              <w:ind w:right="-29"/>
              <w:jc w:val="center"/>
              <w:rPr>
                <w:noProof/>
                <w:sz w:val="18"/>
                <w:szCs w:val="18"/>
              </w:rPr>
            </w:pPr>
          </w:p>
        </w:tc>
        <w:tc>
          <w:tcPr>
            <w:tcW w:w="432" w:type="dxa"/>
            <w:tcBorders>
              <w:top w:val="nil"/>
              <w:left w:val="nil"/>
              <w:bottom w:val="nil"/>
              <w:right w:val="nil"/>
            </w:tcBorders>
          </w:tcPr>
          <w:p w14:paraId="36BFC81F" w14:textId="77777777" w:rsidR="00470D07" w:rsidRPr="000C4F35" w:rsidRDefault="00470D07" w:rsidP="00685329">
            <w:pPr>
              <w:spacing w:before="60" w:after="60"/>
              <w:ind w:right="-29"/>
              <w:jc w:val="center"/>
              <w:rPr>
                <w:noProof/>
                <w:sz w:val="18"/>
                <w:szCs w:val="18"/>
              </w:rPr>
            </w:pPr>
          </w:p>
        </w:tc>
        <w:tc>
          <w:tcPr>
            <w:tcW w:w="720" w:type="dxa"/>
            <w:tcBorders>
              <w:top w:val="nil"/>
              <w:left w:val="nil"/>
              <w:bottom w:val="nil"/>
              <w:right w:val="nil"/>
            </w:tcBorders>
          </w:tcPr>
          <w:p w14:paraId="766D2CB8" w14:textId="77777777" w:rsidR="00470D07" w:rsidRPr="000C4F35" w:rsidRDefault="00470D07" w:rsidP="00685329">
            <w:pPr>
              <w:spacing w:before="60" w:after="60"/>
              <w:ind w:right="-29"/>
              <w:jc w:val="center"/>
              <w:rPr>
                <w:noProof/>
                <w:sz w:val="18"/>
                <w:szCs w:val="18"/>
              </w:rPr>
            </w:pPr>
          </w:p>
        </w:tc>
        <w:tc>
          <w:tcPr>
            <w:tcW w:w="540" w:type="dxa"/>
            <w:tcBorders>
              <w:top w:val="nil"/>
              <w:left w:val="nil"/>
              <w:bottom w:val="nil"/>
              <w:right w:val="nil"/>
            </w:tcBorders>
          </w:tcPr>
          <w:p w14:paraId="5559786B" w14:textId="77777777" w:rsidR="00470D07" w:rsidRPr="000C4F35" w:rsidRDefault="00470D07" w:rsidP="00685329">
            <w:pPr>
              <w:spacing w:before="60" w:after="60"/>
              <w:ind w:right="-29"/>
              <w:jc w:val="center"/>
              <w:rPr>
                <w:noProof/>
                <w:sz w:val="18"/>
                <w:szCs w:val="18"/>
              </w:rPr>
            </w:pPr>
          </w:p>
        </w:tc>
        <w:tc>
          <w:tcPr>
            <w:tcW w:w="720" w:type="dxa"/>
            <w:tcBorders>
              <w:top w:val="nil"/>
              <w:left w:val="nil"/>
              <w:bottom w:val="nil"/>
              <w:right w:val="nil"/>
            </w:tcBorders>
          </w:tcPr>
          <w:p w14:paraId="646D7829" w14:textId="77777777" w:rsidR="00470D07" w:rsidRPr="000C4F35" w:rsidRDefault="00470D07" w:rsidP="00685329">
            <w:pPr>
              <w:spacing w:before="60" w:after="60"/>
              <w:ind w:right="-29"/>
              <w:jc w:val="center"/>
              <w:rPr>
                <w:noProof/>
                <w:sz w:val="18"/>
                <w:szCs w:val="18"/>
              </w:rPr>
            </w:pPr>
          </w:p>
        </w:tc>
        <w:tc>
          <w:tcPr>
            <w:tcW w:w="720" w:type="dxa"/>
            <w:tcBorders>
              <w:top w:val="nil"/>
              <w:left w:val="nil"/>
              <w:bottom w:val="nil"/>
              <w:right w:val="nil"/>
            </w:tcBorders>
          </w:tcPr>
          <w:p w14:paraId="56A7AE2F" w14:textId="77777777" w:rsidR="00470D07" w:rsidRPr="000C4F35" w:rsidRDefault="00470D07" w:rsidP="00685329">
            <w:pPr>
              <w:spacing w:before="60" w:after="60"/>
              <w:ind w:right="-29"/>
              <w:jc w:val="center"/>
              <w:rPr>
                <w:noProof/>
                <w:sz w:val="18"/>
                <w:szCs w:val="18"/>
              </w:rPr>
            </w:pPr>
          </w:p>
        </w:tc>
        <w:tc>
          <w:tcPr>
            <w:tcW w:w="900" w:type="dxa"/>
            <w:tcBorders>
              <w:top w:val="nil"/>
              <w:left w:val="nil"/>
              <w:bottom w:val="nil"/>
              <w:right w:val="nil"/>
            </w:tcBorders>
          </w:tcPr>
          <w:p w14:paraId="79D2337D" w14:textId="77777777" w:rsidR="00470D07" w:rsidRPr="000C4F35" w:rsidRDefault="00470D07" w:rsidP="00685329">
            <w:pPr>
              <w:spacing w:before="60" w:after="60"/>
              <w:ind w:right="-29"/>
              <w:jc w:val="center"/>
              <w:rPr>
                <w:noProof/>
                <w:sz w:val="18"/>
                <w:szCs w:val="18"/>
              </w:rPr>
            </w:pPr>
          </w:p>
        </w:tc>
      </w:tr>
      <w:tr w:rsidR="00470D07" w:rsidRPr="000C4F35" w14:paraId="03BC8066" w14:textId="77777777" w:rsidTr="00470D07">
        <w:trPr>
          <w:trHeight w:hRule="exact" w:val="369"/>
          <w:jc w:val="center"/>
        </w:trPr>
        <w:tc>
          <w:tcPr>
            <w:tcW w:w="1423" w:type="dxa"/>
          </w:tcPr>
          <w:p w14:paraId="0A781CE4" w14:textId="77777777" w:rsidR="00470D07" w:rsidRPr="000C4F35" w:rsidRDefault="00470D07" w:rsidP="00685329">
            <w:pPr>
              <w:ind w:right="-29"/>
              <w:jc w:val="center"/>
              <w:rPr>
                <w:noProof/>
                <w:sz w:val="18"/>
                <w:szCs w:val="18"/>
              </w:rPr>
            </w:pPr>
            <w:r w:rsidRPr="000C4F35">
              <w:rPr>
                <w:noProof/>
                <w:sz w:val="18"/>
              </w:rPr>
              <w:t>- Output</w:t>
            </w:r>
          </w:p>
        </w:tc>
        <w:tc>
          <w:tcPr>
            <w:tcW w:w="720" w:type="dxa"/>
          </w:tcPr>
          <w:p w14:paraId="3CF9146B" w14:textId="77777777" w:rsidR="00470D07" w:rsidRPr="000C4F35" w:rsidRDefault="00470D07" w:rsidP="00685329">
            <w:pPr>
              <w:ind w:right="-29"/>
              <w:jc w:val="center"/>
              <w:rPr>
                <w:noProof/>
                <w:sz w:val="18"/>
                <w:szCs w:val="18"/>
              </w:rPr>
            </w:pPr>
          </w:p>
        </w:tc>
        <w:tc>
          <w:tcPr>
            <w:tcW w:w="701" w:type="dxa"/>
          </w:tcPr>
          <w:p w14:paraId="3A91328D" w14:textId="77777777" w:rsidR="00470D07" w:rsidRPr="000C4F35" w:rsidRDefault="00470D07" w:rsidP="00685329">
            <w:pPr>
              <w:ind w:right="-29"/>
              <w:jc w:val="center"/>
              <w:rPr>
                <w:noProof/>
                <w:sz w:val="18"/>
                <w:szCs w:val="18"/>
              </w:rPr>
            </w:pPr>
          </w:p>
        </w:tc>
        <w:tc>
          <w:tcPr>
            <w:tcW w:w="504" w:type="dxa"/>
            <w:tcBorders>
              <w:right w:val="dashSmallGap" w:sz="4" w:space="0" w:color="auto"/>
            </w:tcBorders>
          </w:tcPr>
          <w:p w14:paraId="6F4D115A" w14:textId="77777777" w:rsidR="00470D07" w:rsidRPr="000C4F35" w:rsidRDefault="00470D07" w:rsidP="00685329">
            <w:pPr>
              <w:ind w:right="-29"/>
              <w:jc w:val="center"/>
              <w:rPr>
                <w:noProof/>
                <w:sz w:val="18"/>
                <w:szCs w:val="18"/>
              </w:rPr>
            </w:pPr>
          </w:p>
        </w:tc>
        <w:tc>
          <w:tcPr>
            <w:tcW w:w="720" w:type="dxa"/>
            <w:tcBorders>
              <w:left w:val="dashSmallGap" w:sz="4" w:space="0" w:color="auto"/>
            </w:tcBorders>
          </w:tcPr>
          <w:p w14:paraId="7A9FAA7E" w14:textId="77777777" w:rsidR="00470D07" w:rsidRPr="000C4F35" w:rsidRDefault="00470D07" w:rsidP="00685329">
            <w:pPr>
              <w:ind w:right="-29"/>
              <w:jc w:val="center"/>
              <w:rPr>
                <w:noProof/>
                <w:sz w:val="18"/>
                <w:szCs w:val="18"/>
              </w:rPr>
            </w:pPr>
          </w:p>
        </w:tc>
        <w:tc>
          <w:tcPr>
            <w:tcW w:w="540" w:type="dxa"/>
            <w:tcBorders>
              <w:right w:val="dashSmallGap" w:sz="4" w:space="0" w:color="auto"/>
            </w:tcBorders>
          </w:tcPr>
          <w:p w14:paraId="5A5CAD44" w14:textId="77777777" w:rsidR="00470D07" w:rsidRPr="000C4F35" w:rsidRDefault="00470D07" w:rsidP="00685329">
            <w:pPr>
              <w:ind w:right="-29"/>
              <w:jc w:val="center"/>
              <w:rPr>
                <w:noProof/>
                <w:sz w:val="18"/>
                <w:szCs w:val="18"/>
              </w:rPr>
            </w:pPr>
          </w:p>
        </w:tc>
        <w:tc>
          <w:tcPr>
            <w:tcW w:w="720" w:type="dxa"/>
            <w:tcBorders>
              <w:left w:val="dashSmallGap" w:sz="4" w:space="0" w:color="auto"/>
            </w:tcBorders>
          </w:tcPr>
          <w:p w14:paraId="306FEF88" w14:textId="77777777" w:rsidR="00470D07" w:rsidRPr="000C4F35" w:rsidRDefault="00470D07" w:rsidP="00685329">
            <w:pPr>
              <w:ind w:right="-29"/>
              <w:jc w:val="center"/>
              <w:rPr>
                <w:noProof/>
                <w:sz w:val="18"/>
                <w:szCs w:val="18"/>
              </w:rPr>
            </w:pPr>
          </w:p>
        </w:tc>
        <w:tc>
          <w:tcPr>
            <w:tcW w:w="720" w:type="dxa"/>
            <w:tcBorders>
              <w:right w:val="dashSmallGap" w:sz="4" w:space="0" w:color="auto"/>
            </w:tcBorders>
          </w:tcPr>
          <w:p w14:paraId="5145087A" w14:textId="77777777" w:rsidR="00470D07" w:rsidRPr="000C4F35" w:rsidRDefault="00470D07" w:rsidP="00685329">
            <w:pPr>
              <w:ind w:right="-29"/>
              <w:jc w:val="center"/>
              <w:rPr>
                <w:noProof/>
                <w:sz w:val="18"/>
                <w:szCs w:val="18"/>
              </w:rPr>
            </w:pPr>
          </w:p>
        </w:tc>
        <w:tc>
          <w:tcPr>
            <w:tcW w:w="720" w:type="dxa"/>
            <w:tcBorders>
              <w:left w:val="dashSmallGap" w:sz="4" w:space="0" w:color="auto"/>
            </w:tcBorders>
          </w:tcPr>
          <w:p w14:paraId="60630284" w14:textId="77777777" w:rsidR="00470D07" w:rsidRPr="000C4F35" w:rsidRDefault="00470D07" w:rsidP="00685329">
            <w:pPr>
              <w:ind w:right="-29"/>
              <w:jc w:val="center"/>
              <w:rPr>
                <w:noProof/>
                <w:sz w:val="18"/>
                <w:szCs w:val="18"/>
              </w:rPr>
            </w:pPr>
          </w:p>
        </w:tc>
        <w:tc>
          <w:tcPr>
            <w:tcW w:w="900" w:type="dxa"/>
            <w:tcBorders>
              <w:right w:val="dashSmallGap" w:sz="4" w:space="0" w:color="auto"/>
            </w:tcBorders>
          </w:tcPr>
          <w:p w14:paraId="516465C2" w14:textId="77777777" w:rsidR="00470D07" w:rsidRPr="000C4F35" w:rsidRDefault="00470D07" w:rsidP="00685329">
            <w:pPr>
              <w:ind w:right="-29"/>
              <w:jc w:val="center"/>
              <w:rPr>
                <w:noProof/>
                <w:sz w:val="18"/>
                <w:szCs w:val="18"/>
              </w:rPr>
            </w:pPr>
          </w:p>
        </w:tc>
        <w:tc>
          <w:tcPr>
            <w:tcW w:w="720" w:type="dxa"/>
            <w:gridSpan w:val="2"/>
            <w:tcBorders>
              <w:left w:val="dashSmallGap" w:sz="4" w:space="0" w:color="auto"/>
            </w:tcBorders>
          </w:tcPr>
          <w:p w14:paraId="13A09B38" w14:textId="77777777" w:rsidR="00470D07" w:rsidRPr="000C4F35" w:rsidRDefault="00470D07" w:rsidP="00685329">
            <w:pPr>
              <w:ind w:right="-29"/>
              <w:jc w:val="center"/>
              <w:rPr>
                <w:noProof/>
                <w:sz w:val="18"/>
                <w:szCs w:val="18"/>
              </w:rPr>
            </w:pPr>
          </w:p>
        </w:tc>
        <w:tc>
          <w:tcPr>
            <w:tcW w:w="540" w:type="dxa"/>
            <w:tcBorders>
              <w:right w:val="dashSmallGap" w:sz="4" w:space="0" w:color="auto"/>
            </w:tcBorders>
          </w:tcPr>
          <w:p w14:paraId="136F81B9" w14:textId="77777777" w:rsidR="00470D07" w:rsidRPr="000C4F35" w:rsidRDefault="00470D07" w:rsidP="00685329">
            <w:pPr>
              <w:ind w:right="-29"/>
              <w:jc w:val="center"/>
              <w:rPr>
                <w:noProof/>
                <w:sz w:val="18"/>
                <w:szCs w:val="18"/>
              </w:rPr>
            </w:pPr>
          </w:p>
        </w:tc>
        <w:tc>
          <w:tcPr>
            <w:tcW w:w="648" w:type="dxa"/>
            <w:tcBorders>
              <w:left w:val="dashSmallGap" w:sz="4" w:space="0" w:color="auto"/>
            </w:tcBorders>
          </w:tcPr>
          <w:p w14:paraId="37D04989" w14:textId="77777777" w:rsidR="00470D07" w:rsidRPr="000C4F35" w:rsidRDefault="00470D07" w:rsidP="00685329">
            <w:pPr>
              <w:ind w:right="-29"/>
              <w:jc w:val="center"/>
              <w:rPr>
                <w:noProof/>
                <w:sz w:val="18"/>
                <w:szCs w:val="18"/>
              </w:rPr>
            </w:pPr>
          </w:p>
        </w:tc>
        <w:tc>
          <w:tcPr>
            <w:tcW w:w="432" w:type="dxa"/>
            <w:tcBorders>
              <w:right w:val="dashSmallGap" w:sz="4" w:space="0" w:color="auto"/>
            </w:tcBorders>
          </w:tcPr>
          <w:p w14:paraId="4CA1D081" w14:textId="77777777" w:rsidR="00470D07" w:rsidRPr="000C4F35" w:rsidRDefault="00470D07" w:rsidP="00685329">
            <w:pPr>
              <w:ind w:right="-29"/>
              <w:jc w:val="center"/>
              <w:rPr>
                <w:noProof/>
                <w:sz w:val="18"/>
                <w:szCs w:val="18"/>
              </w:rPr>
            </w:pPr>
          </w:p>
        </w:tc>
        <w:tc>
          <w:tcPr>
            <w:tcW w:w="720" w:type="dxa"/>
            <w:tcBorders>
              <w:left w:val="dashSmallGap" w:sz="4" w:space="0" w:color="auto"/>
            </w:tcBorders>
          </w:tcPr>
          <w:p w14:paraId="76C8C67E" w14:textId="77777777" w:rsidR="00470D07" w:rsidRPr="000C4F35" w:rsidRDefault="00470D07" w:rsidP="00685329">
            <w:pPr>
              <w:ind w:right="-29"/>
              <w:jc w:val="center"/>
              <w:rPr>
                <w:noProof/>
                <w:sz w:val="18"/>
                <w:szCs w:val="18"/>
              </w:rPr>
            </w:pPr>
          </w:p>
        </w:tc>
        <w:tc>
          <w:tcPr>
            <w:tcW w:w="540" w:type="dxa"/>
            <w:tcBorders>
              <w:right w:val="dashSmallGap" w:sz="4" w:space="0" w:color="auto"/>
            </w:tcBorders>
          </w:tcPr>
          <w:p w14:paraId="0F73C39E" w14:textId="77777777" w:rsidR="00470D07" w:rsidRPr="000C4F35" w:rsidRDefault="00470D07" w:rsidP="00685329">
            <w:pPr>
              <w:ind w:right="-29"/>
              <w:jc w:val="center"/>
              <w:rPr>
                <w:noProof/>
                <w:sz w:val="18"/>
                <w:szCs w:val="18"/>
              </w:rPr>
            </w:pPr>
          </w:p>
        </w:tc>
        <w:tc>
          <w:tcPr>
            <w:tcW w:w="720" w:type="dxa"/>
            <w:tcBorders>
              <w:left w:val="dashSmallGap" w:sz="4" w:space="0" w:color="auto"/>
            </w:tcBorders>
          </w:tcPr>
          <w:p w14:paraId="672430FB" w14:textId="77777777" w:rsidR="00470D07" w:rsidRPr="000C4F35" w:rsidRDefault="00470D07" w:rsidP="00685329">
            <w:pPr>
              <w:ind w:right="-29"/>
              <w:jc w:val="center"/>
              <w:rPr>
                <w:noProof/>
                <w:sz w:val="18"/>
                <w:szCs w:val="18"/>
              </w:rPr>
            </w:pPr>
          </w:p>
        </w:tc>
        <w:tc>
          <w:tcPr>
            <w:tcW w:w="720" w:type="dxa"/>
          </w:tcPr>
          <w:p w14:paraId="7277E9F1" w14:textId="77777777" w:rsidR="00470D07" w:rsidRPr="000C4F35" w:rsidRDefault="00470D07" w:rsidP="00685329">
            <w:pPr>
              <w:ind w:right="-29"/>
              <w:jc w:val="center"/>
              <w:rPr>
                <w:noProof/>
                <w:sz w:val="18"/>
                <w:szCs w:val="18"/>
              </w:rPr>
            </w:pPr>
          </w:p>
        </w:tc>
        <w:tc>
          <w:tcPr>
            <w:tcW w:w="900" w:type="dxa"/>
          </w:tcPr>
          <w:p w14:paraId="7D56BDCE" w14:textId="77777777" w:rsidR="00470D07" w:rsidRPr="000C4F35" w:rsidRDefault="00470D07" w:rsidP="00685329">
            <w:pPr>
              <w:ind w:right="-29"/>
              <w:jc w:val="center"/>
              <w:rPr>
                <w:noProof/>
                <w:sz w:val="18"/>
                <w:szCs w:val="18"/>
              </w:rPr>
            </w:pPr>
          </w:p>
        </w:tc>
      </w:tr>
      <w:tr w:rsidR="00470D07" w:rsidRPr="000C4F35" w14:paraId="1B324E16" w14:textId="77777777" w:rsidTr="00470D07">
        <w:trPr>
          <w:trHeight w:hRule="exact" w:val="369"/>
          <w:jc w:val="center"/>
        </w:trPr>
        <w:tc>
          <w:tcPr>
            <w:tcW w:w="1423" w:type="dxa"/>
          </w:tcPr>
          <w:p w14:paraId="71968691" w14:textId="77777777" w:rsidR="00470D07" w:rsidRPr="000C4F35" w:rsidRDefault="00470D07" w:rsidP="00685329">
            <w:pPr>
              <w:ind w:right="-29"/>
              <w:jc w:val="center"/>
              <w:rPr>
                <w:noProof/>
                <w:sz w:val="18"/>
                <w:szCs w:val="18"/>
              </w:rPr>
            </w:pPr>
            <w:r w:rsidRPr="000C4F35">
              <w:rPr>
                <w:noProof/>
                <w:sz w:val="18"/>
              </w:rPr>
              <w:t>- Output</w:t>
            </w:r>
          </w:p>
        </w:tc>
        <w:tc>
          <w:tcPr>
            <w:tcW w:w="720" w:type="dxa"/>
          </w:tcPr>
          <w:p w14:paraId="36B56DC0" w14:textId="77777777" w:rsidR="00470D07" w:rsidRPr="000C4F35" w:rsidRDefault="00470D07" w:rsidP="00685329">
            <w:pPr>
              <w:ind w:right="-29"/>
              <w:jc w:val="center"/>
              <w:rPr>
                <w:noProof/>
                <w:sz w:val="18"/>
                <w:szCs w:val="18"/>
              </w:rPr>
            </w:pPr>
          </w:p>
        </w:tc>
        <w:tc>
          <w:tcPr>
            <w:tcW w:w="701" w:type="dxa"/>
          </w:tcPr>
          <w:p w14:paraId="69402900" w14:textId="77777777" w:rsidR="00470D07" w:rsidRPr="000C4F35" w:rsidRDefault="00470D07" w:rsidP="00685329">
            <w:pPr>
              <w:ind w:right="-29"/>
              <w:jc w:val="center"/>
              <w:rPr>
                <w:noProof/>
                <w:sz w:val="18"/>
                <w:szCs w:val="18"/>
              </w:rPr>
            </w:pPr>
          </w:p>
        </w:tc>
        <w:tc>
          <w:tcPr>
            <w:tcW w:w="504" w:type="dxa"/>
            <w:tcBorders>
              <w:right w:val="dashSmallGap" w:sz="4" w:space="0" w:color="auto"/>
            </w:tcBorders>
          </w:tcPr>
          <w:p w14:paraId="5D71E56D" w14:textId="77777777" w:rsidR="00470D07" w:rsidRPr="000C4F35" w:rsidRDefault="00470D07" w:rsidP="00685329">
            <w:pPr>
              <w:ind w:right="-29"/>
              <w:jc w:val="center"/>
              <w:rPr>
                <w:noProof/>
                <w:sz w:val="18"/>
                <w:szCs w:val="18"/>
              </w:rPr>
            </w:pPr>
          </w:p>
        </w:tc>
        <w:tc>
          <w:tcPr>
            <w:tcW w:w="720" w:type="dxa"/>
            <w:tcBorders>
              <w:left w:val="dashSmallGap" w:sz="4" w:space="0" w:color="auto"/>
            </w:tcBorders>
          </w:tcPr>
          <w:p w14:paraId="757B6D2C" w14:textId="77777777" w:rsidR="00470D07" w:rsidRPr="000C4F35" w:rsidRDefault="00470D07" w:rsidP="00685329">
            <w:pPr>
              <w:ind w:right="-29"/>
              <w:jc w:val="center"/>
              <w:rPr>
                <w:noProof/>
                <w:sz w:val="18"/>
                <w:szCs w:val="18"/>
              </w:rPr>
            </w:pPr>
          </w:p>
        </w:tc>
        <w:tc>
          <w:tcPr>
            <w:tcW w:w="540" w:type="dxa"/>
            <w:tcBorders>
              <w:right w:val="dashSmallGap" w:sz="4" w:space="0" w:color="auto"/>
            </w:tcBorders>
          </w:tcPr>
          <w:p w14:paraId="1B182460" w14:textId="77777777" w:rsidR="00470D07" w:rsidRPr="000C4F35" w:rsidRDefault="00470D07" w:rsidP="00685329">
            <w:pPr>
              <w:ind w:right="-29"/>
              <w:jc w:val="center"/>
              <w:rPr>
                <w:noProof/>
                <w:sz w:val="18"/>
                <w:szCs w:val="18"/>
              </w:rPr>
            </w:pPr>
          </w:p>
        </w:tc>
        <w:tc>
          <w:tcPr>
            <w:tcW w:w="720" w:type="dxa"/>
            <w:tcBorders>
              <w:left w:val="dashSmallGap" w:sz="4" w:space="0" w:color="auto"/>
            </w:tcBorders>
          </w:tcPr>
          <w:p w14:paraId="0838463A" w14:textId="77777777" w:rsidR="00470D07" w:rsidRPr="000C4F35" w:rsidRDefault="00470D07" w:rsidP="00685329">
            <w:pPr>
              <w:ind w:right="-29"/>
              <w:jc w:val="center"/>
              <w:rPr>
                <w:noProof/>
                <w:sz w:val="18"/>
                <w:szCs w:val="18"/>
              </w:rPr>
            </w:pPr>
          </w:p>
        </w:tc>
        <w:tc>
          <w:tcPr>
            <w:tcW w:w="720" w:type="dxa"/>
            <w:tcBorders>
              <w:right w:val="dashSmallGap" w:sz="4" w:space="0" w:color="auto"/>
            </w:tcBorders>
          </w:tcPr>
          <w:p w14:paraId="71EAE041" w14:textId="77777777" w:rsidR="00470D07" w:rsidRPr="000C4F35" w:rsidRDefault="00470D07" w:rsidP="00685329">
            <w:pPr>
              <w:ind w:right="-29"/>
              <w:jc w:val="center"/>
              <w:rPr>
                <w:noProof/>
                <w:sz w:val="18"/>
                <w:szCs w:val="18"/>
              </w:rPr>
            </w:pPr>
          </w:p>
        </w:tc>
        <w:tc>
          <w:tcPr>
            <w:tcW w:w="720" w:type="dxa"/>
            <w:tcBorders>
              <w:left w:val="dashSmallGap" w:sz="4" w:space="0" w:color="auto"/>
            </w:tcBorders>
          </w:tcPr>
          <w:p w14:paraId="5AAA1EDD" w14:textId="77777777" w:rsidR="00470D07" w:rsidRPr="000C4F35" w:rsidRDefault="00470D07" w:rsidP="00685329">
            <w:pPr>
              <w:ind w:right="-29"/>
              <w:jc w:val="center"/>
              <w:rPr>
                <w:noProof/>
                <w:sz w:val="18"/>
                <w:szCs w:val="18"/>
              </w:rPr>
            </w:pPr>
          </w:p>
        </w:tc>
        <w:tc>
          <w:tcPr>
            <w:tcW w:w="900" w:type="dxa"/>
            <w:tcBorders>
              <w:right w:val="dashSmallGap" w:sz="4" w:space="0" w:color="auto"/>
            </w:tcBorders>
          </w:tcPr>
          <w:p w14:paraId="4B6EEADD" w14:textId="77777777" w:rsidR="00470D07" w:rsidRPr="000C4F35" w:rsidRDefault="00470D07" w:rsidP="00685329">
            <w:pPr>
              <w:ind w:right="-29"/>
              <w:jc w:val="center"/>
              <w:rPr>
                <w:noProof/>
                <w:sz w:val="18"/>
                <w:szCs w:val="18"/>
              </w:rPr>
            </w:pPr>
          </w:p>
        </w:tc>
        <w:tc>
          <w:tcPr>
            <w:tcW w:w="720" w:type="dxa"/>
            <w:gridSpan w:val="2"/>
            <w:tcBorders>
              <w:left w:val="dashSmallGap" w:sz="4" w:space="0" w:color="auto"/>
            </w:tcBorders>
          </w:tcPr>
          <w:p w14:paraId="7934ED4F" w14:textId="77777777" w:rsidR="00470D07" w:rsidRPr="000C4F35" w:rsidRDefault="00470D07" w:rsidP="00685329">
            <w:pPr>
              <w:ind w:right="-29"/>
              <w:jc w:val="center"/>
              <w:rPr>
                <w:noProof/>
                <w:sz w:val="18"/>
                <w:szCs w:val="18"/>
              </w:rPr>
            </w:pPr>
          </w:p>
        </w:tc>
        <w:tc>
          <w:tcPr>
            <w:tcW w:w="540" w:type="dxa"/>
            <w:tcBorders>
              <w:right w:val="dashSmallGap" w:sz="4" w:space="0" w:color="auto"/>
            </w:tcBorders>
          </w:tcPr>
          <w:p w14:paraId="7E80E568" w14:textId="77777777" w:rsidR="00470D07" w:rsidRPr="000C4F35" w:rsidRDefault="00470D07" w:rsidP="00685329">
            <w:pPr>
              <w:ind w:right="-29"/>
              <w:jc w:val="center"/>
              <w:rPr>
                <w:noProof/>
                <w:sz w:val="18"/>
                <w:szCs w:val="18"/>
              </w:rPr>
            </w:pPr>
          </w:p>
        </w:tc>
        <w:tc>
          <w:tcPr>
            <w:tcW w:w="648" w:type="dxa"/>
            <w:tcBorders>
              <w:left w:val="dashSmallGap" w:sz="4" w:space="0" w:color="auto"/>
            </w:tcBorders>
          </w:tcPr>
          <w:p w14:paraId="31EDD4C6" w14:textId="77777777" w:rsidR="00470D07" w:rsidRPr="000C4F35" w:rsidRDefault="00470D07" w:rsidP="00685329">
            <w:pPr>
              <w:ind w:right="-29"/>
              <w:jc w:val="center"/>
              <w:rPr>
                <w:noProof/>
                <w:sz w:val="18"/>
                <w:szCs w:val="18"/>
              </w:rPr>
            </w:pPr>
          </w:p>
        </w:tc>
        <w:tc>
          <w:tcPr>
            <w:tcW w:w="432" w:type="dxa"/>
            <w:tcBorders>
              <w:right w:val="dashSmallGap" w:sz="4" w:space="0" w:color="auto"/>
            </w:tcBorders>
          </w:tcPr>
          <w:p w14:paraId="0C086B80" w14:textId="77777777" w:rsidR="00470D07" w:rsidRPr="000C4F35" w:rsidRDefault="00470D07" w:rsidP="00685329">
            <w:pPr>
              <w:ind w:right="-29"/>
              <w:jc w:val="center"/>
              <w:rPr>
                <w:noProof/>
                <w:sz w:val="18"/>
                <w:szCs w:val="18"/>
              </w:rPr>
            </w:pPr>
          </w:p>
        </w:tc>
        <w:tc>
          <w:tcPr>
            <w:tcW w:w="720" w:type="dxa"/>
            <w:tcBorders>
              <w:left w:val="dashSmallGap" w:sz="4" w:space="0" w:color="auto"/>
            </w:tcBorders>
          </w:tcPr>
          <w:p w14:paraId="3A10D07D" w14:textId="77777777" w:rsidR="00470D07" w:rsidRPr="000C4F35" w:rsidRDefault="00470D07" w:rsidP="00685329">
            <w:pPr>
              <w:ind w:right="-29"/>
              <w:jc w:val="center"/>
              <w:rPr>
                <w:noProof/>
                <w:sz w:val="18"/>
                <w:szCs w:val="18"/>
              </w:rPr>
            </w:pPr>
          </w:p>
        </w:tc>
        <w:tc>
          <w:tcPr>
            <w:tcW w:w="540" w:type="dxa"/>
            <w:tcBorders>
              <w:right w:val="dashSmallGap" w:sz="4" w:space="0" w:color="auto"/>
            </w:tcBorders>
          </w:tcPr>
          <w:p w14:paraId="321B0DB9" w14:textId="77777777" w:rsidR="00470D07" w:rsidRPr="000C4F35" w:rsidRDefault="00470D07" w:rsidP="00685329">
            <w:pPr>
              <w:ind w:right="-29"/>
              <w:jc w:val="center"/>
              <w:rPr>
                <w:noProof/>
                <w:sz w:val="18"/>
                <w:szCs w:val="18"/>
              </w:rPr>
            </w:pPr>
          </w:p>
        </w:tc>
        <w:tc>
          <w:tcPr>
            <w:tcW w:w="720" w:type="dxa"/>
            <w:tcBorders>
              <w:left w:val="dashSmallGap" w:sz="4" w:space="0" w:color="auto"/>
            </w:tcBorders>
          </w:tcPr>
          <w:p w14:paraId="52EA4288" w14:textId="77777777" w:rsidR="00470D07" w:rsidRPr="000C4F35" w:rsidRDefault="00470D07" w:rsidP="00685329">
            <w:pPr>
              <w:ind w:right="-29"/>
              <w:jc w:val="center"/>
              <w:rPr>
                <w:noProof/>
                <w:sz w:val="18"/>
                <w:szCs w:val="18"/>
              </w:rPr>
            </w:pPr>
          </w:p>
        </w:tc>
        <w:tc>
          <w:tcPr>
            <w:tcW w:w="720" w:type="dxa"/>
          </w:tcPr>
          <w:p w14:paraId="00072A76" w14:textId="77777777" w:rsidR="00470D07" w:rsidRPr="000C4F35" w:rsidRDefault="00470D07" w:rsidP="00685329">
            <w:pPr>
              <w:ind w:right="-29"/>
              <w:jc w:val="center"/>
              <w:rPr>
                <w:noProof/>
                <w:sz w:val="18"/>
                <w:szCs w:val="18"/>
              </w:rPr>
            </w:pPr>
          </w:p>
        </w:tc>
        <w:tc>
          <w:tcPr>
            <w:tcW w:w="900" w:type="dxa"/>
          </w:tcPr>
          <w:p w14:paraId="2DF4962F" w14:textId="77777777" w:rsidR="00470D07" w:rsidRPr="000C4F35" w:rsidRDefault="00470D07" w:rsidP="00685329">
            <w:pPr>
              <w:ind w:right="-29"/>
              <w:jc w:val="center"/>
              <w:rPr>
                <w:noProof/>
                <w:sz w:val="18"/>
                <w:szCs w:val="18"/>
              </w:rPr>
            </w:pPr>
          </w:p>
        </w:tc>
      </w:tr>
      <w:tr w:rsidR="00470D07" w:rsidRPr="000C4F35" w14:paraId="2B26BC79" w14:textId="77777777" w:rsidTr="00470D07">
        <w:trPr>
          <w:trHeight w:hRule="exact" w:val="369"/>
          <w:jc w:val="center"/>
        </w:trPr>
        <w:tc>
          <w:tcPr>
            <w:tcW w:w="1423" w:type="dxa"/>
          </w:tcPr>
          <w:p w14:paraId="73EA6E44" w14:textId="77777777" w:rsidR="00470D07" w:rsidRPr="000C4F35" w:rsidRDefault="00470D07" w:rsidP="00685329">
            <w:pPr>
              <w:ind w:right="-29"/>
              <w:jc w:val="center"/>
              <w:rPr>
                <w:noProof/>
                <w:sz w:val="18"/>
                <w:szCs w:val="18"/>
              </w:rPr>
            </w:pPr>
            <w:r w:rsidRPr="000C4F35">
              <w:rPr>
                <w:noProof/>
                <w:sz w:val="18"/>
              </w:rPr>
              <w:t>- Output</w:t>
            </w:r>
          </w:p>
        </w:tc>
        <w:tc>
          <w:tcPr>
            <w:tcW w:w="720" w:type="dxa"/>
          </w:tcPr>
          <w:p w14:paraId="03952376" w14:textId="77777777" w:rsidR="00470D07" w:rsidRPr="000C4F35" w:rsidRDefault="00470D07" w:rsidP="00685329">
            <w:pPr>
              <w:ind w:right="-29"/>
              <w:jc w:val="center"/>
              <w:rPr>
                <w:noProof/>
                <w:sz w:val="18"/>
                <w:szCs w:val="18"/>
              </w:rPr>
            </w:pPr>
          </w:p>
        </w:tc>
        <w:tc>
          <w:tcPr>
            <w:tcW w:w="701" w:type="dxa"/>
          </w:tcPr>
          <w:p w14:paraId="0B7E29FB" w14:textId="77777777" w:rsidR="00470D07" w:rsidRPr="000C4F35" w:rsidRDefault="00470D07" w:rsidP="00685329">
            <w:pPr>
              <w:ind w:right="-29"/>
              <w:jc w:val="center"/>
              <w:rPr>
                <w:noProof/>
                <w:sz w:val="18"/>
                <w:szCs w:val="18"/>
              </w:rPr>
            </w:pPr>
          </w:p>
        </w:tc>
        <w:tc>
          <w:tcPr>
            <w:tcW w:w="504" w:type="dxa"/>
          </w:tcPr>
          <w:p w14:paraId="021D39EF" w14:textId="77777777" w:rsidR="00470D07" w:rsidRPr="000C4F35" w:rsidRDefault="00470D07" w:rsidP="00685329">
            <w:pPr>
              <w:ind w:right="-29"/>
              <w:jc w:val="center"/>
              <w:rPr>
                <w:noProof/>
                <w:sz w:val="18"/>
                <w:szCs w:val="18"/>
              </w:rPr>
            </w:pPr>
          </w:p>
        </w:tc>
        <w:tc>
          <w:tcPr>
            <w:tcW w:w="720" w:type="dxa"/>
          </w:tcPr>
          <w:p w14:paraId="36443EB2" w14:textId="77777777" w:rsidR="00470D07" w:rsidRPr="000C4F35" w:rsidRDefault="00470D07" w:rsidP="00685329">
            <w:pPr>
              <w:ind w:right="-29"/>
              <w:jc w:val="center"/>
              <w:rPr>
                <w:noProof/>
                <w:sz w:val="18"/>
                <w:szCs w:val="18"/>
              </w:rPr>
            </w:pPr>
          </w:p>
        </w:tc>
        <w:tc>
          <w:tcPr>
            <w:tcW w:w="540" w:type="dxa"/>
          </w:tcPr>
          <w:p w14:paraId="73260755" w14:textId="77777777" w:rsidR="00470D07" w:rsidRPr="000C4F35" w:rsidRDefault="00470D07" w:rsidP="00685329">
            <w:pPr>
              <w:ind w:right="-29"/>
              <w:jc w:val="center"/>
              <w:rPr>
                <w:noProof/>
                <w:sz w:val="18"/>
                <w:szCs w:val="18"/>
              </w:rPr>
            </w:pPr>
          </w:p>
        </w:tc>
        <w:tc>
          <w:tcPr>
            <w:tcW w:w="720" w:type="dxa"/>
          </w:tcPr>
          <w:p w14:paraId="14F44277" w14:textId="77777777" w:rsidR="00470D07" w:rsidRPr="000C4F35" w:rsidRDefault="00470D07" w:rsidP="00685329">
            <w:pPr>
              <w:ind w:right="-29"/>
              <w:jc w:val="center"/>
              <w:rPr>
                <w:noProof/>
                <w:sz w:val="18"/>
                <w:szCs w:val="18"/>
              </w:rPr>
            </w:pPr>
          </w:p>
        </w:tc>
        <w:tc>
          <w:tcPr>
            <w:tcW w:w="720" w:type="dxa"/>
          </w:tcPr>
          <w:p w14:paraId="79A688FF" w14:textId="77777777" w:rsidR="00470D07" w:rsidRPr="000C4F35" w:rsidRDefault="00470D07" w:rsidP="00685329">
            <w:pPr>
              <w:ind w:right="-29"/>
              <w:jc w:val="center"/>
              <w:rPr>
                <w:noProof/>
                <w:sz w:val="18"/>
                <w:szCs w:val="18"/>
              </w:rPr>
            </w:pPr>
          </w:p>
        </w:tc>
        <w:tc>
          <w:tcPr>
            <w:tcW w:w="720" w:type="dxa"/>
          </w:tcPr>
          <w:p w14:paraId="04E2A091" w14:textId="77777777" w:rsidR="00470D07" w:rsidRPr="000C4F35" w:rsidRDefault="00470D07" w:rsidP="00685329">
            <w:pPr>
              <w:ind w:right="-29"/>
              <w:jc w:val="center"/>
              <w:rPr>
                <w:noProof/>
                <w:sz w:val="18"/>
                <w:szCs w:val="18"/>
              </w:rPr>
            </w:pPr>
          </w:p>
        </w:tc>
        <w:tc>
          <w:tcPr>
            <w:tcW w:w="900" w:type="dxa"/>
          </w:tcPr>
          <w:p w14:paraId="05368CF5" w14:textId="77777777" w:rsidR="00470D07" w:rsidRPr="000C4F35" w:rsidRDefault="00470D07" w:rsidP="00685329">
            <w:pPr>
              <w:ind w:right="-29"/>
              <w:jc w:val="center"/>
              <w:rPr>
                <w:noProof/>
                <w:sz w:val="18"/>
                <w:szCs w:val="18"/>
              </w:rPr>
            </w:pPr>
          </w:p>
        </w:tc>
        <w:tc>
          <w:tcPr>
            <w:tcW w:w="720" w:type="dxa"/>
            <w:gridSpan w:val="2"/>
          </w:tcPr>
          <w:p w14:paraId="18CA41E9" w14:textId="77777777" w:rsidR="00470D07" w:rsidRPr="000C4F35" w:rsidRDefault="00470D07" w:rsidP="00685329">
            <w:pPr>
              <w:ind w:right="-29"/>
              <w:jc w:val="center"/>
              <w:rPr>
                <w:noProof/>
                <w:sz w:val="18"/>
                <w:szCs w:val="18"/>
              </w:rPr>
            </w:pPr>
          </w:p>
        </w:tc>
        <w:tc>
          <w:tcPr>
            <w:tcW w:w="540" w:type="dxa"/>
          </w:tcPr>
          <w:p w14:paraId="224F563F" w14:textId="77777777" w:rsidR="00470D07" w:rsidRPr="000C4F35" w:rsidRDefault="00470D07" w:rsidP="00685329">
            <w:pPr>
              <w:ind w:right="-29"/>
              <w:jc w:val="center"/>
              <w:rPr>
                <w:noProof/>
                <w:sz w:val="18"/>
                <w:szCs w:val="18"/>
              </w:rPr>
            </w:pPr>
          </w:p>
        </w:tc>
        <w:tc>
          <w:tcPr>
            <w:tcW w:w="648" w:type="dxa"/>
          </w:tcPr>
          <w:p w14:paraId="58AC771E" w14:textId="77777777" w:rsidR="00470D07" w:rsidRPr="000C4F35" w:rsidRDefault="00470D07" w:rsidP="00685329">
            <w:pPr>
              <w:ind w:right="-29"/>
              <w:jc w:val="center"/>
              <w:rPr>
                <w:noProof/>
                <w:sz w:val="18"/>
                <w:szCs w:val="18"/>
              </w:rPr>
            </w:pPr>
          </w:p>
        </w:tc>
        <w:tc>
          <w:tcPr>
            <w:tcW w:w="432" w:type="dxa"/>
          </w:tcPr>
          <w:p w14:paraId="6B6297A2" w14:textId="77777777" w:rsidR="00470D07" w:rsidRPr="000C4F35" w:rsidRDefault="00470D07" w:rsidP="00685329">
            <w:pPr>
              <w:ind w:right="-29"/>
              <w:jc w:val="center"/>
              <w:rPr>
                <w:noProof/>
                <w:sz w:val="18"/>
                <w:szCs w:val="18"/>
              </w:rPr>
            </w:pPr>
          </w:p>
        </w:tc>
        <w:tc>
          <w:tcPr>
            <w:tcW w:w="720" w:type="dxa"/>
          </w:tcPr>
          <w:p w14:paraId="4060049B" w14:textId="77777777" w:rsidR="00470D07" w:rsidRPr="000C4F35" w:rsidRDefault="00470D07" w:rsidP="00685329">
            <w:pPr>
              <w:ind w:right="-29"/>
              <w:jc w:val="center"/>
              <w:rPr>
                <w:noProof/>
                <w:sz w:val="18"/>
                <w:szCs w:val="18"/>
              </w:rPr>
            </w:pPr>
          </w:p>
        </w:tc>
        <w:tc>
          <w:tcPr>
            <w:tcW w:w="540" w:type="dxa"/>
          </w:tcPr>
          <w:p w14:paraId="3E9D97BC" w14:textId="77777777" w:rsidR="00470D07" w:rsidRPr="000C4F35" w:rsidRDefault="00470D07" w:rsidP="00685329">
            <w:pPr>
              <w:ind w:right="-29"/>
              <w:jc w:val="center"/>
              <w:rPr>
                <w:noProof/>
                <w:sz w:val="18"/>
                <w:szCs w:val="18"/>
              </w:rPr>
            </w:pPr>
          </w:p>
        </w:tc>
        <w:tc>
          <w:tcPr>
            <w:tcW w:w="720" w:type="dxa"/>
          </w:tcPr>
          <w:p w14:paraId="3ED2D094" w14:textId="77777777" w:rsidR="00470D07" w:rsidRPr="000C4F35" w:rsidRDefault="00470D07" w:rsidP="00685329">
            <w:pPr>
              <w:ind w:right="-29"/>
              <w:jc w:val="center"/>
              <w:rPr>
                <w:noProof/>
                <w:sz w:val="18"/>
                <w:szCs w:val="18"/>
              </w:rPr>
            </w:pPr>
          </w:p>
        </w:tc>
        <w:tc>
          <w:tcPr>
            <w:tcW w:w="720" w:type="dxa"/>
          </w:tcPr>
          <w:p w14:paraId="389889F8" w14:textId="77777777" w:rsidR="00470D07" w:rsidRPr="000C4F35" w:rsidRDefault="00470D07" w:rsidP="00685329">
            <w:pPr>
              <w:ind w:right="-29"/>
              <w:jc w:val="center"/>
              <w:rPr>
                <w:noProof/>
                <w:sz w:val="18"/>
                <w:szCs w:val="18"/>
              </w:rPr>
            </w:pPr>
          </w:p>
        </w:tc>
        <w:tc>
          <w:tcPr>
            <w:tcW w:w="900" w:type="dxa"/>
          </w:tcPr>
          <w:p w14:paraId="4EF1BE84" w14:textId="77777777" w:rsidR="00470D07" w:rsidRPr="000C4F35" w:rsidRDefault="00470D07" w:rsidP="00685329">
            <w:pPr>
              <w:ind w:right="-29"/>
              <w:jc w:val="center"/>
              <w:rPr>
                <w:noProof/>
                <w:sz w:val="18"/>
                <w:szCs w:val="18"/>
              </w:rPr>
            </w:pPr>
          </w:p>
        </w:tc>
      </w:tr>
      <w:tr w:rsidR="00470D07" w:rsidRPr="000C4F35" w14:paraId="16EC8FA6" w14:textId="77777777" w:rsidTr="00470D07">
        <w:trPr>
          <w:trHeight w:val="77"/>
          <w:jc w:val="center"/>
        </w:trPr>
        <w:tc>
          <w:tcPr>
            <w:tcW w:w="2844" w:type="dxa"/>
            <w:gridSpan w:val="3"/>
            <w:tcBorders>
              <w:bottom w:val="single" w:sz="12" w:space="0" w:color="auto"/>
            </w:tcBorders>
            <w:vAlign w:val="center"/>
          </w:tcPr>
          <w:p w14:paraId="081944BA" w14:textId="77777777" w:rsidR="00470D07" w:rsidRPr="000C4F35" w:rsidRDefault="00470D07" w:rsidP="00685329">
            <w:pPr>
              <w:ind w:right="-29"/>
              <w:jc w:val="center"/>
              <w:rPr>
                <w:noProof/>
                <w:sz w:val="18"/>
                <w:szCs w:val="18"/>
              </w:rPr>
            </w:pPr>
            <w:r w:rsidRPr="000C4F35">
              <w:rPr>
                <w:noProof/>
                <w:sz w:val="18"/>
              </w:rPr>
              <w:t>Subtotal for specific objective No 1</w:t>
            </w:r>
          </w:p>
        </w:tc>
        <w:tc>
          <w:tcPr>
            <w:tcW w:w="504" w:type="dxa"/>
            <w:tcBorders>
              <w:bottom w:val="single" w:sz="12" w:space="0" w:color="auto"/>
            </w:tcBorders>
          </w:tcPr>
          <w:p w14:paraId="4C6E5415" w14:textId="77777777" w:rsidR="00470D07" w:rsidRPr="000C4F35" w:rsidRDefault="00470D07" w:rsidP="00685329">
            <w:pPr>
              <w:ind w:right="-29"/>
              <w:jc w:val="center"/>
              <w:rPr>
                <w:noProof/>
                <w:sz w:val="18"/>
                <w:szCs w:val="18"/>
              </w:rPr>
            </w:pPr>
          </w:p>
        </w:tc>
        <w:tc>
          <w:tcPr>
            <w:tcW w:w="720" w:type="dxa"/>
            <w:tcBorders>
              <w:bottom w:val="single" w:sz="12" w:space="0" w:color="auto"/>
            </w:tcBorders>
          </w:tcPr>
          <w:p w14:paraId="3F9C9287" w14:textId="77777777" w:rsidR="00470D07" w:rsidRPr="000C4F35" w:rsidRDefault="00470D07" w:rsidP="00685329">
            <w:pPr>
              <w:ind w:right="-29"/>
              <w:jc w:val="center"/>
              <w:rPr>
                <w:noProof/>
                <w:sz w:val="18"/>
                <w:szCs w:val="18"/>
              </w:rPr>
            </w:pPr>
          </w:p>
        </w:tc>
        <w:tc>
          <w:tcPr>
            <w:tcW w:w="540" w:type="dxa"/>
            <w:tcBorders>
              <w:bottom w:val="single" w:sz="12" w:space="0" w:color="auto"/>
            </w:tcBorders>
          </w:tcPr>
          <w:p w14:paraId="74AE2A45" w14:textId="77777777" w:rsidR="00470D07" w:rsidRPr="000C4F35" w:rsidRDefault="00470D07" w:rsidP="00685329">
            <w:pPr>
              <w:ind w:right="-29"/>
              <w:jc w:val="center"/>
              <w:rPr>
                <w:noProof/>
                <w:sz w:val="18"/>
                <w:szCs w:val="18"/>
              </w:rPr>
            </w:pPr>
          </w:p>
        </w:tc>
        <w:tc>
          <w:tcPr>
            <w:tcW w:w="720" w:type="dxa"/>
            <w:tcBorders>
              <w:bottom w:val="single" w:sz="12" w:space="0" w:color="auto"/>
            </w:tcBorders>
          </w:tcPr>
          <w:p w14:paraId="5898821D" w14:textId="77777777" w:rsidR="00470D07" w:rsidRPr="000C4F35" w:rsidRDefault="00470D07" w:rsidP="00685329">
            <w:pPr>
              <w:ind w:right="-29"/>
              <w:jc w:val="center"/>
              <w:rPr>
                <w:noProof/>
                <w:sz w:val="18"/>
                <w:szCs w:val="18"/>
              </w:rPr>
            </w:pPr>
          </w:p>
        </w:tc>
        <w:tc>
          <w:tcPr>
            <w:tcW w:w="720" w:type="dxa"/>
            <w:tcBorders>
              <w:bottom w:val="single" w:sz="12" w:space="0" w:color="auto"/>
            </w:tcBorders>
          </w:tcPr>
          <w:p w14:paraId="6DC485D9" w14:textId="77777777" w:rsidR="00470D07" w:rsidRPr="000C4F35" w:rsidRDefault="00470D07" w:rsidP="00685329">
            <w:pPr>
              <w:ind w:right="-29"/>
              <w:jc w:val="center"/>
              <w:rPr>
                <w:noProof/>
                <w:sz w:val="18"/>
                <w:szCs w:val="18"/>
              </w:rPr>
            </w:pPr>
          </w:p>
        </w:tc>
        <w:tc>
          <w:tcPr>
            <w:tcW w:w="720" w:type="dxa"/>
            <w:tcBorders>
              <w:bottom w:val="single" w:sz="12" w:space="0" w:color="auto"/>
            </w:tcBorders>
          </w:tcPr>
          <w:p w14:paraId="274FC494" w14:textId="77777777" w:rsidR="00470D07" w:rsidRPr="000C4F35" w:rsidRDefault="00470D07" w:rsidP="00685329">
            <w:pPr>
              <w:ind w:right="-29"/>
              <w:jc w:val="center"/>
              <w:rPr>
                <w:noProof/>
                <w:sz w:val="18"/>
                <w:szCs w:val="18"/>
              </w:rPr>
            </w:pPr>
          </w:p>
        </w:tc>
        <w:tc>
          <w:tcPr>
            <w:tcW w:w="900" w:type="dxa"/>
            <w:tcBorders>
              <w:bottom w:val="single" w:sz="12" w:space="0" w:color="auto"/>
            </w:tcBorders>
          </w:tcPr>
          <w:p w14:paraId="3A35273A" w14:textId="77777777" w:rsidR="00470D07" w:rsidRPr="000C4F35" w:rsidRDefault="00470D07" w:rsidP="00685329">
            <w:pPr>
              <w:ind w:right="-29"/>
              <w:jc w:val="center"/>
              <w:rPr>
                <w:noProof/>
                <w:sz w:val="18"/>
                <w:szCs w:val="18"/>
              </w:rPr>
            </w:pPr>
          </w:p>
        </w:tc>
        <w:tc>
          <w:tcPr>
            <w:tcW w:w="720" w:type="dxa"/>
            <w:gridSpan w:val="2"/>
            <w:tcBorders>
              <w:bottom w:val="single" w:sz="12" w:space="0" w:color="auto"/>
            </w:tcBorders>
          </w:tcPr>
          <w:p w14:paraId="242E9E29" w14:textId="77777777" w:rsidR="00470D07" w:rsidRPr="000C4F35" w:rsidRDefault="00470D07" w:rsidP="00685329">
            <w:pPr>
              <w:ind w:right="-29"/>
              <w:jc w:val="center"/>
              <w:rPr>
                <w:noProof/>
                <w:sz w:val="18"/>
                <w:szCs w:val="18"/>
              </w:rPr>
            </w:pPr>
          </w:p>
        </w:tc>
        <w:tc>
          <w:tcPr>
            <w:tcW w:w="540" w:type="dxa"/>
            <w:tcBorders>
              <w:bottom w:val="single" w:sz="12" w:space="0" w:color="auto"/>
            </w:tcBorders>
          </w:tcPr>
          <w:p w14:paraId="2B764650" w14:textId="77777777" w:rsidR="00470D07" w:rsidRPr="000C4F35" w:rsidRDefault="00470D07" w:rsidP="00685329">
            <w:pPr>
              <w:ind w:right="-29"/>
              <w:jc w:val="center"/>
              <w:rPr>
                <w:noProof/>
                <w:sz w:val="18"/>
                <w:szCs w:val="18"/>
              </w:rPr>
            </w:pPr>
          </w:p>
        </w:tc>
        <w:tc>
          <w:tcPr>
            <w:tcW w:w="648" w:type="dxa"/>
            <w:tcBorders>
              <w:bottom w:val="single" w:sz="12" w:space="0" w:color="auto"/>
            </w:tcBorders>
          </w:tcPr>
          <w:p w14:paraId="73744679" w14:textId="77777777" w:rsidR="00470D07" w:rsidRPr="000C4F35" w:rsidRDefault="00470D07" w:rsidP="00685329">
            <w:pPr>
              <w:ind w:right="-29"/>
              <w:jc w:val="center"/>
              <w:rPr>
                <w:noProof/>
                <w:sz w:val="18"/>
                <w:szCs w:val="18"/>
              </w:rPr>
            </w:pPr>
          </w:p>
        </w:tc>
        <w:tc>
          <w:tcPr>
            <w:tcW w:w="432" w:type="dxa"/>
            <w:tcBorders>
              <w:bottom w:val="single" w:sz="12" w:space="0" w:color="auto"/>
            </w:tcBorders>
          </w:tcPr>
          <w:p w14:paraId="4EC080E0" w14:textId="77777777" w:rsidR="00470D07" w:rsidRPr="000C4F35" w:rsidRDefault="00470D07" w:rsidP="00685329">
            <w:pPr>
              <w:ind w:right="-29"/>
              <w:jc w:val="center"/>
              <w:rPr>
                <w:noProof/>
                <w:sz w:val="18"/>
                <w:szCs w:val="18"/>
              </w:rPr>
            </w:pPr>
          </w:p>
        </w:tc>
        <w:tc>
          <w:tcPr>
            <w:tcW w:w="720" w:type="dxa"/>
            <w:tcBorders>
              <w:bottom w:val="single" w:sz="12" w:space="0" w:color="auto"/>
            </w:tcBorders>
          </w:tcPr>
          <w:p w14:paraId="4A1CE106" w14:textId="77777777" w:rsidR="00470D07" w:rsidRPr="000C4F35" w:rsidRDefault="00470D07" w:rsidP="00685329">
            <w:pPr>
              <w:ind w:right="-29"/>
              <w:jc w:val="center"/>
              <w:rPr>
                <w:noProof/>
                <w:sz w:val="18"/>
                <w:szCs w:val="18"/>
              </w:rPr>
            </w:pPr>
          </w:p>
        </w:tc>
        <w:tc>
          <w:tcPr>
            <w:tcW w:w="540" w:type="dxa"/>
            <w:tcBorders>
              <w:bottom w:val="single" w:sz="12" w:space="0" w:color="auto"/>
            </w:tcBorders>
          </w:tcPr>
          <w:p w14:paraId="50F1803D" w14:textId="77777777" w:rsidR="00470D07" w:rsidRPr="000C4F35" w:rsidRDefault="00470D07" w:rsidP="00685329">
            <w:pPr>
              <w:ind w:right="-29"/>
              <w:jc w:val="center"/>
              <w:rPr>
                <w:noProof/>
                <w:sz w:val="18"/>
                <w:szCs w:val="18"/>
              </w:rPr>
            </w:pPr>
          </w:p>
        </w:tc>
        <w:tc>
          <w:tcPr>
            <w:tcW w:w="720" w:type="dxa"/>
            <w:tcBorders>
              <w:bottom w:val="single" w:sz="12" w:space="0" w:color="auto"/>
            </w:tcBorders>
          </w:tcPr>
          <w:p w14:paraId="5BD194ED" w14:textId="77777777" w:rsidR="00470D07" w:rsidRPr="000C4F35" w:rsidRDefault="00470D07" w:rsidP="00685329">
            <w:pPr>
              <w:ind w:right="-29"/>
              <w:jc w:val="center"/>
              <w:rPr>
                <w:noProof/>
                <w:sz w:val="18"/>
                <w:szCs w:val="18"/>
              </w:rPr>
            </w:pPr>
          </w:p>
        </w:tc>
        <w:tc>
          <w:tcPr>
            <w:tcW w:w="720" w:type="dxa"/>
            <w:tcBorders>
              <w:bottom w:val="single" w:sz="12" w:space="0" w:color="auto"/>
            </w:tcBorders>
          </w:tcPr>
          <w:p w14:paraId="124B301A" w14:textId="77777777" w:rsidR="00470D07" w:rsidRPr="000C4F35" w:rsidRDefault="00470D07" w:rsidP="00685329">
            <w:pPr>
              <w:ind w:right="-29"/>
              <w:jc w:val="center"/>
              <w:rPr>
                <w:noProof/>
                <w:sz w:val="18"/>
                <w:szCs w:val="18"/>
              </w:rPr>
            </w:pPr>
          </w:p>
        </w:tc>
        <w:tc>
          <w:tcPr>
            <w:tcW w:w="900" w:type="dxa"/>
            <w:tcBorders>
              <w:bottom w:val="single" w:sz="12" w:space="0" w:color="auto"/>
            </w:tcBorders>
          </w:tcPr>
          <w:p w14:paraId="69810D6A" w14:textId="77777777" w:rsidR="00470D07" w:rsidRPr="000C4F35" w:rsidRDefault="00470D07" w:rsidP="00685329">
            <w:pPr>
              <w:ind w:right="-29"/>
              <w:jc w:val="center"/>
              <w:rPr>
                <w:noProof/>
                <w:sz w:val="18"/>
                <w:szCs w:val="18"/>
              </w:rPr>
            </w:pPr>
          </w:p>
        </w:tc>
      </w:tr>
      <w:tr w:rsidR="00470D07" w:rsidRPr="000C4F35" w14:paraId="07A6A245" w14:textId="77777777" w:rsidTr="00470D07">
        <w:trPr>
          <w:jc w:val="center"/>
        </w:trPr>
        <w:tc>
          <w:tcPr>
            <w:tcW w:w="2844" w:type="dxa"/>
            <w:gridSpan w:val="3"/>
            <w:vAlign w:val="center"/>
          </w:tcPr>
          <w:p w14:paraId="0C4F9B9D" w14:textId="77777777" w:rsidR="00470D07" w:rsidRPr="000C4F35" w:rsidRDefault="00470D07" w:rsidP="00685329">
            <w:pPr>
              <w:spacing w:before="60" w:after="60"/>
              <w:ind w:right="-29"/>
              <w:jc w:val="center"/>
              <w:rPr>
                <w:noProof/>
                <w:sz w:val="18"/>
                <w:szCs w:val="18"/>
              </w:rPr>
            </w:pPr>
            <w:r w:rsidRPr="000C4F35">
              <w:rPr>
                <w:noProof/>
                <w:sz w:val="18"/>
              </w:rPr>
              <w:t>SPECIFIC OBJECTIVE No 2 ...</w:t>
            </w:r>
          </w:p>
        </w:tc>
        <w:tc>
          <w:tcPr>
            <w:tcW w:w="504" w:type="dxa"/>
            <w:tcBorders>
              <w:top w:val="nil"/>
              <w:left w:val="nil"/>
              <w:bottom w:val="nil"/>
              <w:right w:val="nil"/>
            </w:tcBorders>
          </w:tcPr>
          <w:p w14:paraId="65119460" w14:textId="77777777" w:rsidR="00470D07" w:rsidRPr="000C4F35" w:rsidRDefault="00470D07" w:rsidP="00685329">
            <w:pPr>
              <w:spacing w:before="60" w:after="60"/>
              <w:ind w:right="-29"/>
              <w:jc w:val="center"/>
              <w:rPr>
                <w:noProof/>
                <w:sz w:val="18"/>
                <w:szCs w:val="18"/>
              </w:rPr>
            </w:pPr>
          </w:p>
        </w:tc>
        <w:tc>
          <w:tcPr>
            <w:tcW w:w="720" w:type="dxa"/>
            <w:tcBorders>
              <w:top w:val="nil"/>
              <w:left w:val="nil"/>
              <w:bottom w:val="nil"/>
              <w:right w:val="nil"/>
            </w:tcBorders>
          </w:tcPr>
          <w:p w14:paraId="6E760582" w14:textId="77777777" w:rsidR="00470D07" w:rsidRPr="000C4F35" w:rsidRDefault="00470D07" w:rsidP="00685329">
            <w:pPr>
              <w:spacing w:before="60" w:after="60"/>
              <w:ind w:right="-29"/>
              <w:jc w:val="center"/>
              <w:rPr>
                <w:noProof/>
                <w:sz w:val="18"/>
                <w:szCs w:val="18"/>
              </w:rPr>
            </w:pPr>
          </w:p>
        </w:tc>
        <w:tc>
          <w:tcPr>
            <w:tcW w:w="540" w:type="dxa"/>
            <w:tcBorders>
              <w:top w:val="nil"/>
              <w:left w:val="nil"/>
              <w:bottom w:val="nil"/>
              <w:right w:val="nil"/>
            </w:tcBorders>
          </w:tcPr>
          <w:p w14:paraId="40BE35E0" w14:textId="77777777" w:rsidR="00470D07" w:rsidRPr="000C4F35" w:rsidRDefault="00470D07" w:rsidP="00685329">
            <w:pPr>
              <w:spacing w:before="60" w:after="60"/>
              <w:ind w:right="-29"/>
              <w:jc w:val="center"/>
              <w:rPr>
                <w:noProof/>
                <w:sz w:val="18"/>
                <w:szCs w:val="18"/>
              </w:rPr>
            </w:pPr>
          </w:p>
        </w:tc>
        <w:tc>
          <w:tcPr>
            <w:tcW w:w="720" w:type="dxa"/>
            <w:tcBorders>
              <w:top w:val="nil"/>
              <w:left w:val="nil"/>
              <w:bottom w:val="nil"/>
              <w:right w:val="nil"/>
            </w:tcBorders>
          </w:tcPr>
          <w:p w14:paraId="5C25B0B5" w14:textId="77777777" w:rsidR="00470D07" w:rsidRPr="000C4F35" w:rsidRDefault="00470D07" w:rsidP="00685329">
            <w:pPr>
              <w:spacing w:before="60" w:after="60"/>
              <w:ind w:right="-29"/>
              <w:jc w:val="center"/>
              <w:rPr>
                <w:noProof/>
                <w:sz w:val="18"/>
                <w:szCs w:val="18"/>
              </w:rPr>
            </w:pPr>
          </w:p>
        </w:tc>
        <w:tc>
          <w:tcPr>
            <w:tcW w:w="720" w:type="dxa"/>
            <w:tcBorders>
              <w:top w:val="nil"/>
              <w:left w:val="nil"/>
              <w:bottom w:val="nil"/>
              <w:right w:val="nil"/>
            </w:tcBorders>
          </w:tcPr>
          <w:p w14:paraId="2CF903E5" w14:textId="77777777" w:rsidR="00470D07" w:rsidRPr="000C4F35" w:rsidRDefault="00470D07" w:rsidP="00685329">
            <w:pPr>
              <w:spacing w:before="60" w:after="60"/>
              <w:ind w:right="-29"/>
              <w:jc w:val="center"/>
              <w:rPr>
                <w:noProof/>
                <w:sz w:val="18"/>
                <w:szCs w:val="18"/>
              </w:rPr>
            </w:pPr>
          </w:p>
        </w:tc>
        <w:tc>
          <w:tcPr>
            <w:tcW w:w="720" w:type="dxa"/>
            <w:tcBorders>
              <w:top w:val="nil"/>
              <w:left w:val="nil"/>
              <w:bottom w:val="nil"/>
              <w:right w:val="nil"/>
            </w:tcBorders>
          </w:tcPr>
          <w:p w14:paraId="6817307F" w14:textId="77777777" w:rsidR="00470D07" w:rsidRPr="000C4F35" w:rsidRDefault="00470D07" w:rsidP="00685329">
            <w:pPr>
              <w:spacing w:before="60" w:after="60"/>
              <w:ind w:right="-29"/>
              <w:jc w:val="center"/>
              <w:rPr>
                <w:noProof/>
                <w:sz w:val="18"/>
                <w:szCs w:val="18"/>
              </w:rPr>
            </w:pPr>
          </w:p>
        </w:tc>
        <w:tc>
          <w:tcPr>
            <w:tcW w:w="900" w:type="dxa"/>
            <w:tcBorders>
              <w:top w:val="nil"/>
              <w:left w:val="nil"/>
              <w:bottom w:val="nil"/>
              <w:right w:val="nil"/>
            </w:tcBorders>
          </w:tcPr>
          <w:p w14:paraId="5CAC5CD7" w14:textId="77777777" w:rsidR="00470D07" w:rsidRPr="000C4F35" w:rsidRDefault="00470D07" w:rsidP="00685329">
            <w:pPr>
              <w:spacing w:before="60" w:after="60"/>
              <w:ind w:right="-29"/>
              <w:jc w:val="center"/>
              <w:rPr>
                <w:noProof/>
                <w:sz w:val="18"/>
                <w:szCs w:val="18"/>
              </w:rPr>
            </w:pPr>
          </w:p>
        </w:tc>
        <w:tc>
          <w:tcPr>
            <w:tcW w:w="720" w:type="dxa"/>
            <w:gridSpan w:val="2"/>
            <w:tcBorders>
              <w:top w:val="nil"/>
              <w:left w:val="nil"/>
              <w:bottom w:val="nil"/>
              <w:right w:val="nil"/>
            </w:tcBorders>
          </w:tcPr>
          <w:p w14:paraId="5B7282BD" w14:textId="77777777" w:rsidR="00470D07" w:rsidRPr="000C4F35" w:rsidRDefault="00470D07" w:rsidP="00685329">
            <w:pPr>
              <w:spacing w:before="60" w:after="60"/>
              <w:ind w:right="-29"/>
              <w:jc w:val="center"/>
              <w:rPr>
                <w:noProof/>
                <w:sz w:val="18"/>
                <w:szCs w:val="18"/>
              </w:rPr>
            </w:pPr>
          </w:p>
        </w:tc>
        <w:tc>
          <w:tcPr>
            <w:tcW w:w="540" w:type="dxa"/>
            <w:tcBorders>
              <w:top w:val="nil"/>
              <w:left w:val="nil"/>
              <w:bottom w:val="nil"/>
              <w:right w:val="nil"/>
            </w:tcBorders>
          </w:tcPr>
          <w:p w14:paraId="530E764F" w14:textId="77777777" w:rsidR="00470D07" w:rsidRPr="000C4F35" w:rsidRDefault="00470D07" w:rsidP="00685329">
            <w:pPr>
              <w:spacing w:before="60" w:after="60"/>
              <w:ind w:right="-29"/>
              <w:jc w:val="center"/>
              <w:rPr>
                <w:noProof/>
                <w:sz w:val="18"/>
                <w:szCs w:val="18"/>
              </w:rPr>
            </w:pPr>
          </w:p>
        </w:tc>
        <w:tc>
          <w:tcPr>
            <w:tcW w:w="648" w:type="dxa"/>
            <w:tcBorders>
              <w:top w:val="nil"/>
              <w:left w:val="nil"/>
              <w:bottom w:val="nil"/>
              <w:right w:val="nil"/>
            </w:tcBorders>
          </w:tcPr>
          <w:p w14:paraId="6CDD92E2" w14:textId="77777777" w:rsidR="00470D07" w:rsidRPr="000C4F35" w:rsidRDefault="00470D07" w:rsidP="00685329">
            <w:pPr>
              <w:spacing w:before="60" w:after="60"/>
              <w:ind w:right="-29"/>
              <w:jc w:val="center"/>
              <w:rPr>
                <w:noProof/>
                <w:sz w:val="18"/>
                <w:szCs w:val="18"/>
              </w:rPr>
            </w:pPr>
          </w:p>
        </w:tc>
        <w:tc>
          <w:tcPr>
            <w:tcW w:w="432" w:type="dxa"/>
            <w:tcBorders>
              <w:top w:val="nil"/>
              <w:left w:val="nil"/>
              <w:bottom w:val="nil"/>
              <w:right w:val="nil"/>
            </w:tcBorders>
          </w:tcPr>
          <w:p w14:paraId="0B58CE4F" w14:textId="77777777" w:rsidR="00470D07" w:rsidRPr="000C4F35" w:rsidRDefault="00470D07" w:rsidP="00685329">
            <w:pPr>
              <w:spacing w:before="60" w:after="60"/>
              <w:ind w:right="-29"/>
              <w:jc w:val="center"/>
              <w:rPr>
                <w:noProof/>
                <w:sz w:val="18"/>
                <w:szCs w:val="18"/>
              </w:rPr>
            </w:pPr>
          </w:p>
        </w:tc>
        <w:tc>
          <w:tcPr>
            <w:tcW w:w="720" w:type="dxa"/>
            <w:tcBorders>
              <w:top w:val="nil"/>
              <w:left w:val="nil"/>
              <w:bottom w:val="nil"/>
              <w:right w:val="nil"/>
            </w:tcBorders>
          </w:tcPr>
          <w:p w14:paraId="68EF56E2" w14:textId="77777777" w:rsidR="00470D07" w:rsidRPr="000C4F35" w:rsidRDefault="00470D07" w:rsidP="00685329">
            <w:pPr>
              <w:spacing w:before="60" w:after="60"/>
              <w:ind w:right="-29"/>
              <w:jc w:val="center"/>
              <w:rPr>
                <w:noProof/>
                <w:sz w:val="18"/>
                <w:szCs w:val="18"/>
              </w:rPr>
            </w:pPr>
          </w:p>
        </w:tc>
        <w:tc>
          <w:tcPr>
            <w:tcW w:w="540" w:type="dxa"/>
            <w:tcBorders>
              <w:top w:val="nil"/>
              <w:left w:val="nil"/>
              <w:bottom w:val="nil"/>
              <w:right w:val="nil"/>
            </w:tcBorders>
          </w:tcPr>
          <w:p w14:paraId="40E5000E" w14:textId="77777777" w:rsidR="00470D07" w:rsidRPr="000C4F35" w:rsidRDefault="00470D07" w:rsidP="00685329">
            <w:pPr>
              <w:spacing w:before="60" w:after="60"/>
              <w:ind w:right="-29"/>
              <w:jc w:val="center"/>
              <w:rPr>
                <w:noProof/>
                <w:sz w:val="18"/>
                <w:szCs w:val="18"/>
              </w:rPr>
            </w:pPr>
          </w:p>
        </w:tc>
        <w:tc>
          <w:tcPr>
            <w:tcW w:w="720" w:type="dxa"/>
            <w:tcBorders>
              <w:top w:val="nil"/>
              <w:left w:val="nil"/>
              <w:bottom w:val="nil"/>
              <w:right w:val="nil"/>
            </w:tcBorders>
          </w:tcPr>
          <w:p w14:paraId="2C3FFEC4" w14:textId="77777777" w:rsidR="00470D07" w:rsidRPr="000C4F35" w:rsidRDefault="00470D07" w:rsidP="00685329">
            <w:pPr>
              <w:spacing w:before="60" w:after="60"/>
              <w:ind w:right="-29"/>
              <w:jc w:val="center"/>
              <w:rPr>
                <w:noProof/>
                <w:sz w:val="18"/>
                <w:szCs w:val="18"/>
              </w:rPr>
            </w:pPr>
          </w:p>
        </w:tc>
        <w:tc>
          <w:tcPr>
            <w:tcW w:w="720" w:type="dxa"/>
            <w:tcBorders>
              <w:top w:val="nil"/>
              <w:left w:val="nil"/>
              <w:bottom w:val="nil"/>
              <w:right w:val="nil"/>
            </w:tcBorders>
          </w:tcPr>
          <w:p w14:paraId="2E1D6B56" w14:textId="77777777" w:rsidR="00470D07" w:rsidRPr="000C4F35" w:rsidRDefault="00470D07" w:rsidP="00685329">
            <w:pPr>
              <w:spacing w:before="60" w:after="60"/>
              <w:ind w:right="-29"/>
              <w:jc w:val="center"/>
              <w:rPr>
                <w:noProof/>
                <w:sz w:val="18"/>
                <w:szCs w:val="18"/>
              </w:rPr>
            </w:pPr>
          </w:p>
        </w:tc>
        <w:tc>
          <w:tcPr>
            <w:tcW w:w="900" w:type="dxa"/>
            <w:tcBorders>
              <w:top w:val="nil"/>
              <w:left w:val="nil"/>
              <w:bottom w:val="nil"/>
              <w:right w:val="nil"/>
            </w:tcBorders>
          </w:tcPr>
          <w:p w14:paraId="39AB9CAE" w14:textId="77777777" w:rsidR="00470D07" w:rsidRPr="000C4F35" w:rsidRDefault="00470D07" w:rsidP="00685329">
            <w:pPr>
              <w:spacing w:before="60" w:after="60"/>
              <w:ind w:right="-29"/>
              <w:jc w:val="center"/>
              <w:rPr>
                <w:noProof/>
                <w:sz w:val="18"/>
                <w:szCs w:val="18"/>
              </w:rPr>
            </w:pPr>
          </w:p>
        </w:tc>
      </w:tr>
      <w:tr w:rsidR="00470D07" w:rsidRPr="000C4F35" w14:paraId="59F4DF23" w14:textId="77777777" w:rsidTr="00470D07">
        <w:trPr>
          <w:trHeight w:hRule="exact" w:val="369"/>
          <w:jc w:val="center"/>
        </w:trPr>
        <w:tc>
          <w:tcPr>
            <w:tcW w:w="1423" w:type="dxa"/>
          </w:tcPr>
          <w:p w14:paraId="1EABE97D" w14:textId="77777777" w:rsidR="00470D07" w:rsidRPr="000C4F35" w:rsidRDefault="00470D07" w:rsidP="00685329">
            <w:pPr>
              <w:ind w:right="-29"/>
              <w:jc w:val="center"/>
              <w:rPr>
                <w:noProof/>
                <w:sz w:val="18"/>
                <w:szCs w:val="18"/>
              </w:rPr>
            </w:pPr>
            <w:r w:rsidRPr="000C4F35">
              <w:rPr>
                <w:noProof/>
                <w:sz w:val="18"/>
              </w:rPr>
              <w:t>- Output</w:t>
            </w:r>
          </w:p>
        </w:tc>
        <w:tc>
          <w:tcPr>
            <w:tcW w:w="720" w:type="dxa"/>
          </w:tcPr>
          <w:p w14:paraId="442931A2" w14:textId="77777777" w:rsidR="00470D07" w:rsidRPr="000C4F35" w:rsidRDefault="00470D07" w:rsidP="00685329">
            <w:pPr>
              <w:ind w:right="-29"/>
              <w:jc w:val="center"/>
              <w:rPr>
                <w:noProof/>
                <w:sz w:val="18"/>
                <w:szCs w:val="18"/>
              </w:rPr>
            </w:pPr>
          </w:p>
        </w:tc>
        <w:tc>
          <w:tcPr>
            <w:tcW w:w="701" w:type="dxa"/>
          </w:tcPr>
          <w:p w14:paraId="7B61E9CA" w14:textId="77777777" w:rsidR="00470D07" w:rsidRPr="000C4F35" w:rsidRDefault="00470D07" w:rsidP="00685329">
            <w:pPr>
              <w:ind w:right="-29"/>
              <w:jc w:val="center"/>
              <w:rPr>
                <w:noProof/>
                <w:sz w:val="18"/>
                <w:szCs w:val="18"/>
              </w:rPr>
            </w:pPr>
          </w:p>
        </w:tc>
        <w:tc>
          <w:tcPr>
            <w:tcW w:w="504" w:type="dxa"/>
          </w:tcPr>
          <w:p w14:paraId="7652F7B2" w14:textId="77777777" w:rsidR="00470D07" w:rsidRPr="000C4F35" w:rsidRDefault="00470D07" w:rsidP="00685329">
            <w:pPr>
              <w:ind w:right="-29"/>
              <w:jc w:val="center"/>
              <w:rPr>
                <w:noProof/>
                <w:sz w:val="18"/>
                <w:szCs w:val="18"/>
              </w:rPr>
            </w:pPr>
          </w:p>
        </w:tc>
        <w:tc>
          <w:tcPr>
            <w:tcW w:w="720" w:type="dxa"/>
          </w:tcPr>
          <w:p w14:paraId="67F557AE" w14:textId="77777777" w:rsidR="00470D07" w:rsidRPr="000C4F35" w:rsidRDefault="00470D07" w:rsidP="00685329">
            <w:pPr>
              <w:ind w:right="-29"/>
              <w:jc w:val="center"/>
              <w:rPr>
                <w:noProof/>
                <w:sz w:val="18"/>
                <w:szCs w:val="18"/>
              </w:rPr>
            </w:pPr>
          </w:p>
        </w:tc>
        <w:tc>
          <w:tcPr>
            <w:tcW w:w="540" w:type="dxa"/>
          </w:tcPr>
          <w:p w14:paraId="4A319D54" w14:textId="77777777" w:rsidR="00470D07" w:rsidRPr="000C4F35" w:rsidRDefault="00470D07" w:rsidP="00685329">
            <w:pPr>
              <w:ind w:right="-29"/>
              <w:jc w:val="center"/>
              <w:rPr>
                <w:noProof/>
                <w:sz w:val="18"/>
                <w:szCs w:val="18"/>
              </w:rPr>
            </w:pPr>
          </w:p>
        </w:tc>
        <w:tc>
          <w:tcPr>
            <w:tcW w:w="720" w:type="dxa"/>
          </w:tcPr>
          <w:p w14:paraId="6C6D87AA" w14:textId="77777777" w:rsidR="00470D07" w:rsidRPr="000C4F35" w:rsidRDefault="00470D07" w:rsidP="00685329">
            <w:pPr>
              <w:ind w:right="-29"/>
              <w:jc w:val="center"/>
              <w:rPr>
                <w:noProof/>
                <w:sz w:val="18"/>
                <w:szCs w:val="18"/>
              </w:rPr>
            </w:pPr>
          </w:p>
        </w:tc>
        <w:tc>
          <w:tcPr>
            <w:tcW w:w="720" w:type="dxa"/>
          </w:tcPr>
          <w:p w14:paraId="40FA7108" w14:textId="77777777" w:rsidR="00470D07" w:rsidRPr="000C4F35" w:rsidRDefault="00470D07" w:rsidP="00685329">
            <w:pPr>
              <w:ind w:right="-29"/>
              <w:jc w:val="center"/>
              <w:rPr>
                <w:noProof/>
                <w:sz w:val="18"/>
                <w:szCs w:val="18"/>
              </w:rPr>
            </w:pPr>
          </w:p>
        </w:tc>
        <w:tc>
          <w:tcPr>
            <w:tcW w:w="720" w:type="dxa"/>
          </w:tcPr>
          <w:p w14:paraId="62CF0583" w14:textId="77777777" w:rsidR="00470D07" w:rsidRPr="000C4F35" w:rsidRDefault="00470D07" w:rsidP="00685329">
            <w:pPr>
              <w:ind w:right="-29"/>
              <w:jc w:val="center"/>
              <w:rPr>
                <w:noProof/>
                <w:sz w:val="18"/>
                <w:szCs w:val="18"/>
              </w:rPr>
            </w:pPr>
          </w:p>
        </w:tc>
        <w:tc>
          <w:tcPr>
            <w:tcW w:w="900" w:type="dxa"/>
          </w:tcPr>
          <w:p w14:paraId="3B1368FA" w14:textId="77777777" w:rsidR="00470D07" w:rsidRPr="000C4F35" w:rsidRDefault="00470D07" w:rsidP="00685329">
            <w:pPr>
              <w:ind w:right="-29"/>
              <w:jc w:val="center"/>
              <w:rPr>
                <w:noProof/>
                <w:sz w:val="18"/>
                <w:szCs w:val="18"/>
              </w:rPr>
            </w:pPr>
          </w:p>
        </w:tc>
        <w:tc>
          <w:tcPr>
            <w:tcW w:w="720" w:type="dxa"/>
            <w:gridSpan w:val="2"/>
          </w:tcPr>
          <w:p w14:paraId="72AF185B" w14:textId="77777777" w:rsidR="00470D07" w:rsidRPr="000C4F35" w:rsidRDefault="00470D07" w:rsidP="00685329">
            <w:pPr>
              <w:ind w:right="-29"/>
              <w:jc w:val="center"/>
              <w:rPr>
                <w:noProof/>
                <w:sz w:val="18"/>
                <w:szCs w:val="18"/>
              </w:rPr>
            </w:pPr>
          </w:p>
        </w:tc>
        <w:tc>
          <w:tcPr>
            <w:tcW w:w="540" w:type="dxa"/>
          </w:tcPr>
          <w:p w14:paraId="42465D95" w14:textId="77777777" w:rsidR="00470D07" w:rsidRPr="000C4F35" w:rsidRDefault="00470D07" w:rsidP="00685329">
            <w:pPr>
              <w:ind w:right="-29"/>
              <w:jc w:val="center"/>
              <w:rPr>
                <w:noProof/>
                <w:sz w:val="18"/>
                <w:szCs w:val="18"/>
              </w:rPr>
            </w:pPr>
          </w:p>
        </w:tc>
        <w:tc>
          <w:tcPr>
            <w:tcW w:w="648" w:type="dxa"/>
          </w:tcPr>
          <w:p w14:paraId="20810728" w14:textId="77777777" w:rsidR="00470D07" w:rsidRPr="000C4F35" w:rsidRDefault="00470D07" w:rsidP="00685329">
            <w:pPr>
              <w:ind w:right="-29"/>
              <w:jc w:val="center"/>
              <w:rPr>
                <w:noProof/>
                <w:sz w:val="18"/>
                <w:szCs w:val="18"/>
              </w:rPr>
            </w:pPr>
          </w:p>
        </w:tc>
        <w:tc>
          <w:tcPr>
            <w:tcW w:w="432" w:type="dxa"/>
          </w:tcPr>
          <w:p w14:paraId="10FC3DD6" w14:textId="77777777" w:rsidR="00470D07" w:rsidRPr="000C4F35" w:rsidRDefault="00470D07" w:rsidP="00685329">
            <w:pPr>
              <w:ind w:right="-29"/>
              <w:jc w:val="center"/>
              <w:rPr>
                <w:noProof/>
                <w:sz w:val="18"/>
                <w:szCs w:val="18"/>
              </w:rPr>
            </w:pPr>
          </w:p>
        </w:tc>
        <w:tc>
          <w:tcPr>
            <w:tcW w:w="720" w:type="dxa"/>
          </w:tcPr>
          <w:p w14:paraId="37DCE5FA" w14:textId="77777777" w:rsidR="00470D07" w:rsidRPr="000C4F35" w:rsidRDefault="00470D07" w:rsidP="00685329">
            <w:pPr>
              <w:ind w:right="-29"/>
              <w:jc w:val="center"/>
              <w:rPr>
                <w:noProof/>
                <w:sz w:val="18"/>
                <w:szCs w:val="18"/>
              </w:rPr>
            </w:pPr>
          </w:p>
        </w:tc>
        <w:tc>
          <w:tcPr>
            <w:tcW w:w="540" w:type="dxa"/>
          </w:tcPr>
          <w:p w14:paraId="306F7A3E" w14:textId="77777777" w:rsidR="00470D07" w:rsidRPr="000C4F35" w:rsidRDefault="00470D07" w:rsidP="00685329">
            <w:pPr>
              <w:ind w:right="-29"/>
              <w:jc w:val="center"/>
              <w:rPr>
                <w:noProof/>
                <w:sz w:val="18"/>
                <w:szCs w:val="18"/>
              </w:rPr>
            </w:pPr>
          </w:p>
        </w:tc>
        <w:tc>
          <w:tcPr>
            <w:tcW w:w="720" w:type="dxa"/>
          </w:tcPr>
          <w:p w14:paraId="3FB16EDF" w14:textId="77777777" w:rsidR="00470D07" w:rsidRPr="000C4F35" w:rsidRDefault="00470D07" w:rsidP="00685329">
            <w:pPr>
              <w:ind w:right="-29"/>
              <w:jc w:val="center"/>
              <w:rPr>
                <w:noProof/>
                <w:sz w:val="18"/>
                <w:szCs w:val="18"/>
              </w:rPr>
            </w:pPr>
          </w:p>
        </w:tc>
        <w:tc>
          <w:tcPr>
            <w:tcW w:w="720" w:type="dxa"/>
          </w:tcPr>
          <w:p w14:paraId="14F72C64" w14:textId="77777777" w:rsidR="00470D07" w:rsidRPr="000C4F35" w:rsidRDefault="00470D07" w:rsidP="00685329">
            <w:pPr>
              <w:ind w:right="-29"/>
              <w:jc w:val="center"/>
              <w:rPr>
                <w:noProof/>
                <w:sz w:val="18"/>
                <w:szCs w:val="18"/>
              </w:rPr>
            </w:pPr>
          </w:p>
        </w:tc>
        <w:tc>
          <w:tcPr>
            <w:tcW w:w="900" w:type="dxa"/>
          </w:tcPr>
          <w:p w14:paraId="696EC7D3" w14:textId="77777777" w:rsidR="00470D07" w:rsidRPr="000C4F35" w:rsidRDefault="00470D07" w:rsidP="00685329">
            <w:pPr>
              <w:ind w:right="-29"/>
              <w:jc w:val="center"/>
              <w:rPr>
                <w:noProof/>
                <w:sz w:val="18"/>
                <w:szCs w:val="18"/>
              </w:rPr>
            </w:pPr>
          </w:p>
        </w:tc>
      </w:tr>
      <w:tr w:rsidR="00470D07" w:rsidRPr="000C4F35" w14:paraId="3B6CB784" w14:textId="77777777" w:rsidTr="00470D07">
        <w:trPr>
          <w:jc w:val="center"/>
        </w:trPr>
        <w:tc>
          <w:tcPr>
            <w:tcW w:w="2844" w:type="dxa"/>
            <w:gridSpan w:val="3"/>
            <w:tcBorders>
              <w:bottom w:val="single" w:sz="12" w:space="0" w:color="auto"/>
            </w:tcBorders>
            <w:vAlign w:val="center"/>
          </w:tcPr>
          <w:p w14:paraId="22213ABA" w14:textId="77777777" w:rsidR="00470D07" w:rsidRPr="000C4F35" w:rsidRDefault="00470D07" w:rsidP="00685329">
            <w:pPr>
              <w:jc w:val="center"/>
              <w:rPr>
                <w:noProof/>
                <w:sz w:val="18"/>
                <w:szCs w:val="18"/>
              </w:rPr>
            </w:pPr>
            <w:r w:rsidRPr="000C4F35">
              <w:rPr>
                <w:noProof/>
                <w:sz w:val="18"/>
              </w:rPr>
              <w:t>Subtotal for specific objective No 2</w:t>
            </w:r>
          </w:p>
        </w:tc>
        <w:tc>
          <w:tcPr>
            <w:tcW w:w="504" w:type="dxa"/>
            <w:tcBorders>
              <w:bottom w:val="single" w:sz="12" w:space="0" w:color="auto"/>
            </w:tcBorders>
          </w:tcPr>
          <w:p w14:paraId="6FD6B275" w14:textId="77777777" w:rsidR="00470D07" w:rsidRPr="000C4F35" w:rsidRDefault="00470D07" w:rsidP="00685329">
            <w:pPr>
              <w:ind w:right="-29"/>
              <w:jc w:val="center"/>
              <w:rPr>
                <w:noProof/>
                <w:sz w:val="18"/>
                <w:szCs w:val="18"/>
              </w:rPr>
            </w:pPr>
          </w:p>
        </w:tc>
        <w:tc>
          <w:tcPr>
            <w:tcW w:w="720" w:type="dxa"/>
            <w:tcBorders>
              <w:bottom w:val="single" w:sz="12" w:space="0" w:color="auto"/>
            </w:tcBorders>
          </w:tcPr>
          <w:p w14:paraId="1A8917E2" w14:textId="77777777" w:rsidR="00470D07" w:rsidRPr="000C4F35" w:rsidRDefault="00470D07" w:rsidP="00685329">
            <w:pPr>
              <w:ind w:right="-29"/>
              <w:jc w:val="center"/>
              <w:rPr>
                <w:noProof/>
                <w:sz w:val="18"/>
                <w:szCs w:val="18"/>
              </w:rPr>
            </w:pPr>
          </w:p>
        </w:tc>
        <w:tc>
          <w:tcPr>
            <w:tcW w:w="540" w:type="dxa"/>
            <w:tcBorders>
              <w:bottom w:val="single" w:sz="12" w:space="0" w:color="auto"/>
            </w:tcBorders>
          </w:tcPr>
          <w:p w14:paraId="186609CD" w14:textId="77777777" w:rsidR="00470D07" w:rsidRPr="000C4F35" w:rsidRDefault="00470D07" w:rsidP="00685329">
            <w:pPr>
              <w:ind w:right="-29"/>
              <w:jc w:val="center"/>
              <w:rPr>
                <w:noProof/>
                <w:sz w:val="18"/>
                <w:szCs w:val="18"/>
              </w:rPr>
            </w:pPr>
          </w:p>
        </w:tc>
        <w:tc>
          <w:tcPr>
            <w:tcW w:w="720" w:type="dxa"/>
            <w:tcBorders>
              <w:bottom w:val="single" w:sz="12" w:space="0" w:color="auto"/>
            </w:tcBorders>
          </w:tcPr>
          <w:p w14:paraId="1D92C901" w14:textId="77777777" w:rsidR="00470D07" w:rsidRPr="000C4F35" w:rsidRDefault="00470D07" w:rsidP="00685329">
            <w:pPr>
              <w:ind w:right="-29"/>
              <w:jc w:val="center"/>
              <w:rPr>
                <w:noProof/>
                <w:sz w:val="18"/>
                <w:szCs w:val="18"/>
              </w:rPr>
            </w:pPr>
          </w:p>
        </w:tc>
        <w:tc>
          <w:tcPr>
            <w:tcW w:w="720" w:type="dxa"/>
            <w:tcBorders>
              <w:bottom w:val="single" w:sz="12" w:space="0" w:color="auto"/>
            </w:tcBorders>
          </w:tcPr>
          <w:p w14:paraId="2335E270" w14:textId="77777777" w:rsidR="00470D07" w:rsidRPr="000C4F35" w:rsidRDefault="00470D07" w:rsidP="00685329">
            <w:pPr>
              <w:ind w:right="-29"/>
              <w:jc w:val="center"/>
              <w:rPr>
                <w:noProof/>
                <w:sz w:val="18"/>
                <w:szCs w:val="18"/>
              </w:rPr>
            </w:pPr>
          </w:p>
        </w:tc>
        <w:tc>
          <w:tcPr>
            <w:tcW w:w="720" w:type="dxa"/>
            <w:tcBorders>
              <w:bottom w:val="single" w:sz="12" w:space="0" w:color="auto"/>
            </w:tcBorders>
          </w:tcPr>
          <w:p w14:paraId="653CA991" w14:textId="77777777" w:rsidR="00470D07" w:rsidRPr="000C4F35" w:rsidRDefault="00470D07" w:rsidP="00685329">
            <w:pPr>
              <w:ind w:right="-29"/>
              <w:jc w:val="center"/>
              <w:rPr>
                <w:noProof/>
                <w:sz w:val="18"/>
                <w:szCs w:val="18"/>
              </w:rPr>
            </w:pPr>
          </w:p>
        </w:tc>
        <w:tc>
          <w:tcPr>
            <w:tcW w:w="951" w:type="dxa"/>
            <w:gridSpan w:val="2"/>
            <w:tcBorders>
              <w:bottom w:val="single" w:sz="12" w:space="0" w:color="auto"/>
            </w:tcBorders>
          </w:tcPr>
          <w:p w14:paraId="6342196F" w14:textId="77777777" w:rsidR="00470D07" w:rsidRPr="000C4F35" w:rsidRDefault="00470D07" w:rsidP="00685329">
            <w:pPr>
              <w:ind w:right="-29"/>
              <w:jc w:val="center"/>
              <w:rPr>
                <w:noProof/>
                <w:sz w:val="18"/>
                <w:szCs w:val="18"/>
              </w:rPr>
            </w:pPr>
          </w:p>
        </w:tc>
        <w:tc>
          <w:tcPr>
            <w:tcW w:w="669" w:type="dxa"/>
            <w:tcBorders>
              <w:bottom w:val="single" w:sz="12" w:space="0" w:color="auto"/>
            </w:tcBorders>
          </w:tcPr>
          <w:p w14:paraId="79D69787" w14:textId="77777777" w:rsidR="00470D07" w:rsidRPr="000C4F35" w:rsidRDefault="00470D07" w:rsidP="00685329">
            <w:pPr>
              <w:ind w:right="-29"/>
              <w:jc w:val="center"/>
              <w:rPr>
                <w:noProof/>
                <w:sz w:val="18"/>
                <w:szCs w:val="18"/>
              </w:rPr>
            </w:pPr>
          </w:p>
        </w:tc>
        <w:tc>
          <w:tcPr>
            <w:tcW w:w="540" w:type="dxa"/>
            <w:tcBorders>
              <w:bottom w:val="single" w:sz="12" w:space="0" w:color="auto"/>
            </w:tcBorders>
          </w:tcPr>
          <w:p w14:paraId="38801EF0" w14:textId="77777777" w:rsidR="00470D07" w:rsidRPr="000C4F35" w:rsidRDefault="00470D07" w:rsidP="00685329">
            <w:pPr>
              <w:ind w:right="-29"/>
              <w:jc w:val="center"/>
              <w:rPr>
                <w:noProof/>
                <w:sz w:val="18"/>
                <w:szCs w:val="18"/>
              </w:rPr>
            </w:pPr>
          </w:p>
        </w:tc>
        <w:tc>
          <w:tcPr>
            <w:tcW w:w="648" w:type="dxa"/>
            <w:tcBorders>
              <w:bottom w:val="single" w:sz="12" w:space="0" w:color="auto"/>
            </w:tcBorders>
          </w:tcPr>
          <w:p w14:paraId="262FB1A2" w14:textId="77777777" w:rsidR="00470D07" w:rsidRPr="000C4F35" w:rsidRDefault="00470D07" w:rsidP="00685329">
            <w:pPr>
              <w:ind w:right="-29"/>
              <w:jc w:val="center"/>
              <w:rPr>
                <w:noProof/>
                <w:sz w:val="18"/>
                <w:szCs w:val="18"/>
              </w:rPr>
            </w:pPr>
          </w:p>
        </w:tc>
        <w:tc>
          <w:tcPr>
            <w:tcW w:w="432" w:type="dxa"/>
            <w:tcBorders>
              <w:bottom w:val="single" w:sz="12" w:space="0" w:color="auto"/>
            </w:tcBorders>
          </w:tcPr>
          <w:p w14:paraId="0EBE6288" w14:textId="77777777" w:rsidR="00470D07" w:rsidRPr="000C4F35" w:rsidRDefault="00470D07" w:rsidP="00685329">
            <w:pPr>
              <w:ind w:right="-29"/>
              <w:jc w:val="center"/>
              <w:rPr>
                <w:noProof/>
                <w:sz w:val="18"/>
                <w:szCs w:val="18"/>
              </w:rPr>
            </w:pPr>
          </w:p>
        </w:tc>
        <w:tc>
          <w:tcPr>
            <w:tcW w:w="720" w:type="dxa"/>
            <w:tcBorders>
              <w:bottom w:val="single" w:sz="12" w:space="0" w:color="auto"/>
            </w:tcBorders>
          </w:tcPr>
          <w:p w14:paraId="38D6A43E" w14:textId="77777777" w:rsidR="00470D07" w:rsidRPr="000C4F35" w:rsidRDefault="00470D07" w:rsidP="00685329">
            <w:pPr>
              <w:ind w:right="-29"/>
              <w:jc w:val="center"/>
              <w:rPr>
                <w:noProof/>
                <w:sz w:val="18"/>
                <w:szCs w:val="18"/>
              </w:rPr>
            </w:pPr>
          </w:p>
        </w:tc>
        <w:tc>
          <w:tcPr>
            <w:tcW w:w="540" w:type="dxa"/>
            <w:tcBorders>
              <w:bottom w:val="single" w:sz="12" w:space="0" w:color="auto"/>
            </w:tcBorders>
          </w:tcPr>
          <w:p w14:paraId="1D67B824" w14:textId="77777777" w:rsidR="00470D07" w:rsidRPr="000C4F35" w:rsidRDefault="00470D07" w:rsidP="00685329">
            <w:pPr>
              <w:ind w:right="-29"/>
              <w:jc w:val="center"/>
              <w:rPr>
                <w:noProof/>
                <w:sz w:val="18"/>
                <w:szCs w:val="18"/>
              </w:rPr>
            </w:pPr>
          </w:p>
        </w:tc>
        <w:tc>
          <w:tcPr>
            <w:tcW w:w="720" w:type="dxa"/>
            <w:tcBorders>
              <w:bottom w:val="single" w:sz="12" w:space="0" w:color="auto"/>
            </w:tcBorders>
          </w:tcPr>
          <w:p w14:paraId="2F0FF9D9" w14:textId="77777777" w:rsidR="00470D07" w:rsidRPr="000C4F35" w:rsidRDefault="00470D07" w:rsidP="00685329">
            <w:pPr>
              <w:ind w:right="-29"/>
              <w:jc w:val="center"/>
              <w:rPr>
                <w:noProof/>
                <w:sz w:val="18"/>
                <w:szCs w:val="18"/>
              </w:rPr>
            </w:pPr>
          </w:p>
        </w:tc>
        <w:tc>
          <w:tcPr>
            <w:tcW w:w="720" w:type="dxa"/>
            <w:tcBorders>
              <w:bottom w:val="single" w:sz="12" w:space="0" w:color="auto"/>
            </w:tcBorders>
          </w:tcPr>
          <w:p w14:paraId="12F0B939" w14:textId="77777777" w:rsidR="00470D07" w:rsidRPr="000C4F35" w:rsidRDefault="00470D07" w:rsidP="00685329">
            <w:pPr>
              <w:ind w:right="-29"/>
              <w:jc w:val="center"/>
              <w:rPr>
                <w:noProof/>
                <w:sz w:val="18"/>
                <w:szCs w:val="18"/>
              </w:rPr>
            </w:pPr>
          </w:p>
        </w:tc>
        <w:tc>
          <w:tcPr>
            <w:tcW w:w="900" w:type="dxa"/>
            <w:tcBorders>
              <w:bottom w:val="single" w:sz="12" w:space="0" w:color="auto"/>
            </w:tcBorders>
          </w:tcPr>
          <w:p w14:paraId="37FE8CCF" w14:textId="77777777" w:rsidR="00470D07" w:rsidRPr="000C4F35" w:rsidRDefault="00470D07" w:rsidP="00685329">
            <w:pPr>
              <w:ind w:right="-29"/>
              <w:jc w:val="center"/>
              <w:rPr>
                <w:noProof/>
                <w:sz w:val="18"/>
                <w:szCs w:val="18"/>
              </w:rPr>
            </w:pPr>
          </w:p>
        </w:tc>
      </w:tr>
      <w:tr w:rsidR="00470D07" w:rsidRPr="000C4F35" w14:paraId="5FE7C333" w14:textId="77777777" w:rsidTr="00470D07">
        <w:trPr>
          <w:jc w:val="center"/>
        </w:trPr>
        <w:tc>
          <w:tcPr>
            <w:tcW w:w="2844" w:type="dxa"/>
            <w:gridSpan w:val="3"/>
            <w:tcBorders>
              <w:top w:val="single" w:sz="12" w:space="0" w:color="auto"/>
              <w:left w:val="single" w:sz="12" w:space="0" w:color="auto"/>
              <w:bottom w:val="single" w:sz="12" w:space="0" w:color="auto"/>
            </w:tcBorders>
            <w:vAlign w:val="center"/>
          </w:tcPr>
          <w:p w14:paraId="54C92662" w14:textId="77777777" w:rsidR="00470D07" w:rsidRPr="000C4F35" w:rsidRDefault="00470D07" w:rsidP="00685329">
            <w:pPr>
              <w:ind w:right="-29"/>
              <w:jc w:val="center"/>
              <w:rPr>
                <w:noProof/>
                <w:sz w:val="18"/>
                <w:szCs w:val="18"/>
              </w:rPr>
            </w:pPr>
            <w:r w:rsidRPr="000C4F35">
              <w:rPr>
                <w:b/>
                <w:noProof/>
                <w:sz w:val="18"/>
              </w:rPr>
              <w:t>TOTALS</w:t>
            </w:r>
          </w:p>
        </w:tc>
        <w:tc>
          <w:tcPr>
            <w:tcW w:w="504" w:type="dxa"/>
            <w:tcBorders>
              <w:top w:val="single" w:sz="12" w:space="0" w:color="auto"/>
              <w:bottom w:val="single" w:sz="12" w:space="0" w:color="auto"/>
            </w:tcBorders>
          </w:tcPr>
          <w:p w14:paraId="43D258DD" w14:textId="77777777" w:rsidR="00470D07" w:rsidRPr="000C4F35" w:rsidRDefault="00470D07" w:rsidP="00685329">
            <w:pPr>
              <w:spacing w:before="180" w:after="180"/>
              <w:ind w:right="-29"/>
              <w:jc w:val="center"/>
              <w:rPr>
                <w:noProof/>
                <w:sz w:val="18"/>
                <w:szCs w:val="18"/>
              </w:rPr>
            </w:pPr>
          </w:p>
        </w:tc>
        <w:tc>
          <w:tcPr>
            <w:tcW w:w="720" w:type="dxa"/>
            <w:tcBorders>
              <w:top w:val="single" w:sz="12" w:space="0" w:color="auto"/>
              <w:bottom w:val="single" w:sz="12" w:space="0" w:color="auto"/>
            </w:tcBorders>
          </w:tcPr>
          <w:p w14:paraId="77A7F943" w14:textId="77777777" w:rsidR="00470D07" w:rsidRPr="000C4F35" w:rsidRDefault="00470D07" w:rsidP="00685329">
            <w:pPr>
              <w:spacing w:before="180" w:after="180"/>
              <w:ind w:right="-29"/>
              <w:jc w:val="center"/>
              <w:rPr>
                <w:noProof/>
                <w:sz w:val="18"/>
                <w:szCs w:val="18"/>
              </w:rPr>
            </w:pPr>
          </w:p>
        </w:tc>
        <w:tc>
          <w:tcPr>
            <w:tcW w:w="540" w:type="dxa"/>
            <w:tcBorders>
              <w:top w:val="single" w:sz="12" w:space="0" w:color="auto"/>
              <w:bottom w:val="single" w:sz="12" w:space="0" w:color="auto"/>
            </w:tcBorders>
          </w:tcPr>
          <w:p w14:paraId="02127D86" w14:textId="77777777" w:rsidR="00470D07" w:rsidRPr="000C4F35" w:rsidRDefault="00470D07" w:rsidP="00685329">
            <w:pPr>
              <w:spacing w:before="180" w:after="180"/>
              <w:ind w:right="-29"/>
              <w:jc w:val="center"/>
              <w:rPr>
                <w:noProof/>
                <w:sz w:val="18"/>
                <w:szCs w:val="18"/>
              </w:rPr>
            </w:pPr>
          </w:p>
        </w:tc>
        <w:tc>
          <w:tcPr>
            <w:tcW w:w="720" w:type="dxa"/>
            <w:tcBorders>
              <w:top w:val="single" w:sz="12" w:space="0" w:color="auto"/>
              <w:bottom w:val="single" w:sz="12" w:space="0" w:color="auto"/>
            </w:tcBorders>
          </w:tcPr>
          <w:p w14:paraId="1A662CAA" w14:textId="77777777" w:rsidR="00470D07" w:rsidRPr="000C4F35" w:rsidRDefault="00470D07" w:rsidP="00685329">
            <w:pPr>
              <w:spacing w:before="180" w:after="180"/>
              <w:ind w:right="-29"/>
              <w:jc w:val="center"/>
              <w:rPr>
                <w:noProof/>
                <w:sz w:val="18"/>
                <w:szCs w:val="18"/>
              </w:rPr>
            </w:pPr>
          </w:p>
        </w:tc>
        <w:tc>
          <w:tcPr>
            <w:tcW w:w="720" w:type="dxa"/>
            <w:tcBorders>
              <w:top w:val="single" w:sz="12" w:space="0" w:color="auto"/>
              <w:bottom w:val="single" w:sz="12" w:space="0" w:color="auto"/>
            </w:tcBorders>
          </w:tcPr>
          <w:p w14:paraId="5CCC24F7" w14:textId="77777777" w:rsidR="00470D07" w:rsidRPr="000C4F35" w:rsidRDefault="00470D07" w:rsidP="00685329">
            <w:pPr>
              <w:spacing w:before="180" w:after="180"/>
              <w:ind w:right="-29"/>
              <w:jc w:val="center"/>
              <w:rPr>
                <w:noProof/>
                <w:sz w:val="18"/>
                <w:szCs w:val="18"/>
              </w:rPr>
            </w:pPr>
          </w:p>
        </w:tc>
        <w:tc>
          <w:tcPr>
            <w:tcW w:w="720" w:type="dxa"/>
            <w:tcBorders>
              <w:top w:val="single" w:sz="12" w:space="0" w:color="auto"/>
              <w:bottom w:val="single" w:sz="12" w:space="0" w:color="auto"/>
            </w:tcBorders>
          </w:tcPr>
          <w:p w14:paraId="1EB2F2D8" w14:textId="77777777" w:rsidR="00470D07" w:rsidRPr="000C4F35" w:rsidRDefault="00470D07" w:rsidP="00685329">
            <w:pPr>
              <w:spacing w:before="180" w:after="180"/>
              <w:ind w:right="-29"/>
              <w:jc w:val="center"/>
              <w:rPr>
                <w:noProof/>
                <w:sz w:val="18"/>
                <w:szCs w:val="18"/>
              </w:rPr>
            </w:pPr>
          </w:p>
        </w:tc>
        <w:tc>
          <w:tcPr>
            <w:tcW w:w="900" w:type="dxa"/>
            <w:tcBorders>
              <w:top w:val="single" w:sz="12" w:space="0" w:color="auto"/>
              <w:bottom w:val="single" w:sz="12" w:space="0" w:color="auto"/>
            </w:tcBorders>
          </w:tcPr>
          <w:p w14:paraId="521B1D83" w14:textId="77777777" w:rsidR="00470D07" w:rsidRPr="000C4F35" w:rsidRDefault="00470D07" w:rsidP="00685329">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75480AA5" w14:textId="77777777" w:rsidR="00470D07" w:rsidRPr="000C4F35" w:rsidRDefault="00470D07" w:rsidP="00685329">
            <w:pPr>
              <w:spacing w:before="180" w:after="180"/>
              <w:ind w:right="-29"/>
              <w:jc w:val="center"/>
              <w:rPr>
                <w:noProof/>
                <w:sz w:val="18"/>
                <w:szCs w:val="18"/>
              </w:rPr>
            </w:pPr>
          </w:p>
        </w:tc>
        <w:tc>
          <w:tcPr>
            <w:tcW w:w="540" w:type="dxa"/>
            <w:tcBorders>
              <w:top w:val="single" w:sz="12" w:space="0" w:color="auto"/>
              <w:bottom w:val="single" w:sz="12" w:space="0" w:color="auto"/>
            </w:tcBorders>
          </w:tcPr>
          <w:p w14:paraId="67CD56E6" w14:textId="77777777" w:rsidR="00470D07" w:rsidRPr="000C4F35" w:rsidRDefault="00470D07" w:rsidP="00685329">
            <w:pPr>
              <w:spacing w:before="180" w:after="180"/>
              <w:ind w:right="-29"/>
              <w:jc w:val="center"/>
              <w:rPr>
                <w:noProof/>
                <w:sz w:val="18"/>
                <w:szCs w:val="18"/>
              </w:rPr>
            </w:pPr>
          </w:p>
        </w:tc>
        <w:tc>
          <w:tcPr>
            <w:tcW w:w="648" w:type="dxa"/>
            <w:tcBorders>
              <w:top w:val="single" w:sz="12" w:space="0" w:color="auto"/>
              <w:bottom w:val="single" w:sz="12" w:space="0" w:color="auto"/>
            </w:tcBorders>
          </w:tcPr>
          <w:p w14:paraId="4B8B923E" w14:textId="77777777" w:rsidR="00470D07" w:rsidRPr="000C4F35" w:rsidRDefault="00470D07" w:rsidP="00685329">
            <w:pPr>
              <w:spacing w:before="180" w:after="180"/>
              <w:ind w:right="-29"/>
              <w:jc w:val="center"/>
              <w:rPr>
                <w:noProof/>
                <w:sz w:val="18"/>
                <w:szCs w:val="18"/>
              </w:rPr>
            </w:pPr>
          </w:p>
        </w:tc>
        <w:tc>
          <w:tcPr>
            <w:tcW w:w="432" w:type="dxa"/>
            <w:tcBorders>
              <w:top w:val="single" w:sz="12" w:space="0" w:color="auto"/>
              <w:bottom w:val="single" w:sz="12" w:space="0" w:color="auto"/>
            </w:tcBorders>
          </w:tcPr>
          <w:p w14:paraId="44762273" w14:textId="77777777" w:rsidR="00470D07" w:rsidRPr="000C4F35" w:rsidRDefault="00470D07" w:rsidP="00685329">
            <w:pPr>
              <w:spacing w:before="180" w:after="180"/>
              <w:ind w:right="-29"/>
              <w:jc w:val="center"/>
              <w:rPr>
                <w:noProof/>
                <w:sz w:val="18"/>
                <w:szCs w:val="18"/>
              </w:rPr>
            </w:pPr>
          </w:p>
        </w:tc>
        <w:tc>
          <w:tcPr>
            <w:tcW w:w="720" w:type="dxa"/>
            <w:tcBorders>
              <w:top w:val="single" w:sz="12" w:space="0" w:color="auto"/>
              <w:bottom w:val="single" w:sz="12" w:space="0" w:color="auto"/>
            </w:tcBorders>
          </w:tcPr>
          <w:p w14:paraId="03146C06" w14:textId="77777777" w:rsidR="00470D07" w:rsidRPr="000C4F35" w:rsidRDefault="00470D07" w:rsidP="00685329">
            <w:pPr>
              <w:spacing w:before="180" w:after="180"/>
              <w:ind w:right="-29"/>
              <w:jc w:val="center"/>
              <w:rPr>
                <w:noProof/>
                <w:sz w:val="18"/>
                <w:szCs w:val="18"/>
              </w:rPr>
            </w:pPr>
          </w:p>
        </w:tc>
        <w:tc>
          <w:tcPr>
            <w:tcW w:w="540" w:type="dxa"/>
            <w:tcBorders>
              <w:top w:val="single" w:sz="12" w:space="0" w:color="auto"/>
              <w:bottom w:val="single" w:sz="12" w:space="0" w:color="auto"/>
            </w:tcBorders>
          </w:tcPr>
          <w:p w14:paraId="4180D847" w14:textId="77777777" w:rsidR="00470D07" w:rsidRPr="000C4F35" w:rsidRDefault="00470D07" w:rsidP="00685329">
            <w:pPr>
              <w:spacing w:before="180" w:after="180"/>
              <w:ind w:right="-29"/>
              <w:jc w:val="center"/>
              <w:rPr>
                <w:noProof/>
                <w:sz w:val="18"/>
                <w:szCs w:val="18"/>
              </w:rPr>
            </w:pPr>
          </w:p>
        </w:tc>
        <w:tc>
          <w:tcPr>
            <w:tcW w:w="720" w:type="dxa"/>
            <w:tcBorders>
              <w:top w:val="single" w:sz="12" w:space="0" w:color="auto"/>
              <w:bottom w:val="single" w:sz="12" w:space="0" w:color="auto"/>
            </w:tcBorders>
          </w:tcPr>
          <w:p w14:paraId="06F5FB2F" w14:textId="77777777" w:rsidR="00470D07" w:rsidRPr="000C4F35" w:rsidRDefault="00470D07" w:rsidP="00685329">
            <w:pPr>
              <w:spacing w:before="180" w:after="180"/>
              <w:ind w:right="-29"/>
              <w:jc w:val="center"/>
              <w:rPr>
                <w:noProof/>
                <w:sz w:val="18"/>
                <w:szCs w:val="18"/>
              </w:rPr>
            </w:pPr>
          </w:p>
        </w:tc>
        <w:tc>
          <w:tcPr>
            <w:tcW w:w="720" w:type="dxa"/>
            <w:tcBorders>
              <w:top w:val="single" w:sz="12" w:space="0" w:color="auto"/>
              <w:bottom w:val="single" w:sz="12" w:space="0" w:color="auto"/>
            </w:tcBorders>
          </w:tcPr>
          <w:p w14:paraId="25B1E6F5" w14:textId="77777777" w:rsidR="00470D07" w:rsidRPr="000C4F35" w:rsidRDefault="00470D07" w:rsidP="00685329">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34F61747" w14:textId="77777777" w:rsidR="00470D07" w:rsidRPr="000C4F35" w:rsidRDefault="00470D07" w:rsidP="00685329">
            <w:pPr>
              <w:spacing w:before="180" w:after="180"/>
              <w:ind w:right="-29"/>
              <w:jc w:val="center"/>
              <w:rPr>
                <w:noProof/>
                <w:sz w:val="18"/>
                <w:szCs w:val="18"/>
              </w:rPr>
            </w:pPr>
          </w:p>
        </w:tc>
      </w:tr>
    </w:tbl>
    <w:p w14:paraId="59387582" w14:textId="77777777" w:rsidR="00470D07" w:rsidRPr="000C4F35" w:rsidRDefault="00470D07" w:rsidP="00685329">
      <w:pPr>
        <w:rPr>
          <w:noProof/>
        </w:rPr>
        <w:sectPr w:rsidR="00470D07" w:rsidRPr="000C4F35" w:rsidSect="00E0492F">
          <w:headerReference w:type="default" r:id="rId13"/>
          <w:footerReference w:type="default" r:id="rId14"/>
          <w:headerReference w:type="first" r:id="rId15"/>
          <w:footerReference w:type="first" r:id="rId16"/>
          <w:pgSz w:w="16840" w:h="11907" w:orient="landscape" w:code="9"/>
          <w:pgMar w:top="1134" w:right="1418" w:bottom="567" w:left="1418" w:header="709" w:footer="709" w:gutter="0"/>
          <w:cols w:space="708"/>
          <w:docGrid w:linePitch="360"/>
        </w:sectPr>
      </w:pPr>
    </w:p>
    <w:p w14:paraId="6600F156" w14:textId="557B0910" w:rsidR="00470D07" w:rsidRPr="000C4F35" w:rsidRDefault="001678E4" w:rsidP="001678E4">
      <w:pPr>
        <w:pStyle w:val="ManualHeading3"/>
        <w:rPr>
          <w:noProof/>
          <w:szCs w:val="24"/>
        </w:rPr>
      </w:pPr>
      <w:bookmarkStart w:id="59" w:name="_Toc514938055"/>
      <w:bookmarkStart w:id="60" w:name="_Toc520485054"/>
      <w:r w:rsidRPr="001678E4">
        <w:t>3.2.3.</w:t>
      </w:r>
      <w:r w:rsidRPr="001678E4">
        <w:tab/>
      </w:r>
      <w:r w:rsidR="00470D07" w:rsidRPr="000C4F35">
        <w:rPr>
          <w:noProof/>
        </w:rPr>
        <w:t>Summary of estimated impact on administrative appropriations</w:t>
      </w:r>
      <w:bookmarkEnd w:id="59"/>
      <w:bookmarkEnd w:id="60"/>
      <w:r w:rsidR="00470D07" w:rsidRPr="000C4F35">
        <w:rPr>
          <w:noProof/>
        </w:rPr>
        <w:t xml:space="preserve"> </w:t>
      </w:r>
    </w:p>
    <w:p w14:paraId="4D376CC6" w14:textId="77777777" w:rsidR="00470D07" w:rsidRPr="000C4F35" w:rsidRDefault="00DB53C6" w:rsidP="00685329">
      <w:pPr>
        <w:pStyle w:val="ListDash1"/>
        <w:rPr>
          <w:noProof/>
        </w:rPr>
      </w:pPr>
      <w:r w:rsidRPr="000C4F35">
        <w:rPr>
          <w:rFonts w:eastAsia="Calibri"/>
          <w:noProof/>
          <w:lang w:eastAsia="en-GB"/>
        </w:rPr>
        <w:sym w:font="Wingdings" w:char="F0FD"/>
      </w:r>
      <w:r w:rsidR="00470D07" w:rsidRPr="000C4F35">
        <w:rPr>
          <w:noProof/>
        </w:rPr>
        <w:tab/>
        <w:t xml:space="preserve">The proposal/initiative does not require the use of appropriations of an administrative nature </w:t>
      </w:r>
    </w:p>
    <w:p w14:paraId="6254BD6C" w14:textId="77777777" w:rsidR="00470D07" w:rsidRPr="000C4F35" w:rsidRDefault="00470D07" w:rsidP="00685329">
      <w:pPr>
        <w:pStyle w:val="ListDash1"/>
        <w:rPr>
          <w:noProof/>
        </w:rPr>
      </w:pPr>
      <w:r w:rsidRPr="000C4F35">
        <w:rPr>
          <w:noProof/>
        </w:rPr>
        <w:sym w:font="Wingdings" w:char="F0A8"/>
      </w:r>
      <w:r w:rsidRPr="000C4F35">
        <w:rPr>
          <w:noProof/>
        </w:rPr>
        <w:tab/>
        <w:t>The proposal/initiative requires the use of appropriations of an administrative nature, as explained below:</w:t>
      </w:r>
    </w:p>
    <w:p w14:paraId="67F3BBBD" w14:textId="77777777" w:rsidR="00470D07" w:rsidRPr="000C4F35" w:rsidRDefault="00470D07" w:rsidP="00685329">
      <w:pPr>
        <w:jc w:val="right"/>
        <w:rPr>
          <w:noProof/>
          <w:sz w:val="20"/>
        </w:rPr>
      </w:pPr>
      <w:r w:rsidRPr="000C4F35">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470D07" w:rsidRPr="000C4F35" w14:paraId="573F002F" w14:textId="77777777" w:rsidTr="00470D07">
        <w:trPr>
          <w:trHeight w:val="585"/>
        </w:trPr>
        <w:tc>
          <w:tcPr>
            <w:tcW w:w="1980" w:type="dxa"/>
          </w:tcPr>
          <w:p w14:paraId="0C7623E5" w14:textId="77777777" w:rsidR="00470D07" w:rsidRPr="000C4F35" w:rsidRDefault="00470D07" w:rsidP="00685329">
            <w:pPr>
              <w:spacing w:before="60" w:after="60" w:line="200" w:lineRule="exact"/>
              <w:rPr>
                <w:noProof/>
                <w:sz w:val="16"/>
                <w:szCs w:val="16"/>
              </w:rPr>
            </w:pPr>
          </w:p>
        </w:tc>
        <w:tc>
          <w:tcPr>
            <w:tcW w:w="1080" w:type="dxa"/>
            <w:vAlign w:val="center"/>
          </w:tcPr>
          <w:p w14:paraId="2B4BC0B0" w14:textId="77777777" w:rsidR="00470D07" w:rsidRPr="000C4F35" w:rsidRDefault="00470D07" w:rsidP="00685329">
            <w:pPr>
              <w:spacing w:before="60" w:after="60" w:line="200" w:lineRule="exact"/>
              <w:jc w:val="center"/>
              <w:rPr>
                <w:noProof/>
                <w:sz w:val="16"/>
                <w:szCs w:val="16"/>
              </w:rPr>
            </w:pPr>
            <w:r w:rsidRPr="000C4F35">
              <w:rPr>
                <w:noProof/>
                <w:sz w:val="16"/>
              </w:rPr>
              <w:t>Year</w:t>
            </w:r>
            <w:r w:rsidRPr="000C4F35">
              <w:rPr>
                <w:noProof/>
                <w:sz w:val="22"/>
              </w:rPr>
              <w:br/>
            </w:r>
            <w:r w:rsidRPr="000C4F35">
              <w:rPr>
                <w:b/>
                <w:noProof/>
                <w:sz w:val="16"/>
              </w:rPr>
              <w:t xml:space="preserve">N </w:t>
            </w:r>
            <w:r w:rsidRPr="000C4F35">
              <w:rPr>
                <w:rStyle w:val="FootnoteReference"/>
                <w:b/>
                <w:noProof/>
                <w:sz w:val="16"/>
              </w:rPr>
              <w:footnoteReference w:id="56"/>
            </w:r>
          </w:p>
        </w:tc>
        <w:tc>
          <w:tcPr>
            <w:tcW w:w="1080" w:type="dxa"/>
            <w:vAlign w:val="center"/>
          </w:tcPr>
          <w:p w14:paraId="142BF822" w14:textId="77777777" w:rsidR="00470D07" w:rsidRPr="000C4F35" w:rsidRDefault="00470D07" w:rsidP="00685329">
            <w:pPr>
              <w:spacing w:before="60" w:after="60" w:line="200" w:lineRule="exact"/>
              <w:jc w:val="center"/>
              <w:rPr>
                <w:noProof/>
                <w:sz w:val="16"/>
                <w:szCs w:val="16"/>
              </w:rPr>
            </w:pPr>
            <w:r w:rsidRPr="000C4F35">
              <w:rPr>
                <w:noProof/>
                <w:sz w:val="16"/>
              </w:rPr>
              <w:t>Year</w:t>
            </w:r>
            <w:r w:rsidRPr="000C4F35">
              <w:rPr>
                <w:noProof/>
                <w:sz w:val="22"/>
              </w:rPr>
              <w:br/>
            </w:r>
            <w:r w:rsidRPr="000C4F35">
              <w:rPr>
                <w:b/>
                <w:noProof/>
                <w:sz w:val="16"/>
              </w:rPr>
              <w:t>N+1</w:t>
            </w:r>
          </w:p>
        </w:tc>
        <w:tc>
          <w:tcPr>
            <w:tcW w:w="1080" w:type="dxa"/>
            <w:vAlign w:val="center"/>
          </w:tcPr>
          <w:p w14:paraId="75DADBCF" w14:textId="77777777" w:rsidR="00470D07" w:rsidRPr="000C4F35" w:rsidRDefault="00470D07" w:rsidP="00685329">
            <w:pPr>
              <w:spacing w:before="60" w:after="60" w:line="200" w:lineRule="exact"/>
              <w:jc w:val="center"/>
              <w:rPr>
                <w:noProof/>
                <w:sz w:val="16"/>
                <w:szCs w:val="16"/>
              </w:rPr>
            </w:pPr>
            <w:r w:rsidRPr="000C4F35">
              <w:rPr>
                <w:noProof/>
                <w:sz w:val="16"/>
              </w:rPr>
              <w:t>Year</w:t>
            </w:r>
            <w:r w:rsidRPr="000C4F35">
              <w:rPr>
                <w:noProof/>
                <w:sz w:val="22"/>
              </w:rPr>
              <w:br/>
            </w:r>
            <w:r w:rsidRPr="000C4F35">
              <w:rPr>
                <w:b/>
                <w:noProof/>
                <w:sz w:val="16"/>
              </w:rPr>
              <w:t>N+2</w:t>
            </w:r>
          </w:p>
        </w:tc>
        <w:tc>
          <w:tcPr>
            <w:tcW w:w="1080" w:type="dxa"/>
            <w:vAlign w:val="center"/>
          </w:tcPr>
          <w:p w14:paraId="682F7B86" w14:textId="77777777" w:rsidR="00470D07" w:rsidRPr="000C4F35" w:rsidRDefault="00470D07" w:rsidP="00685329">
            <w:pPr>
              <w:spacing w:before="60" w:after="60" w:line="200" w:lineRule="exact"/>
              <w:jc w:val="center"/>
              <w:rPr>
                <w:noProof/>
                <w:sz w:val="16"/>
                <w:szCs w:val="16"/>
              </w:rPr>
            </w:pPr>
            <w:r w:rsidRPr="000C4F35">
              <w:rPr>
                <w:noProof/>
                <w:sz w:val="16"/>
              </w:rPr>
              <w:t>Year</w:t>
            </w:r>
            <w:r w:rsidRPr="000C4F35">
              <w:rPr>
                <w:noProof/>
                <w:sz w:val="22"/>
              </w:rPr>
              <w:br/>
            </w:r>
            <w:r w:rsidRPr="000C4F35">
              <w:rPr>
                <w:b/>
                <w:noProof/>
                <w:sz w:val="16"/>
              </w:rPr>
              <w:t>N+3</w:t>
            </w:r>
          </w:p>
        </w:tc>
        <w:tc>
          <w:tcPr>
            <w:tcW w:w="3240" w:type="dxa"/>
            <w:vAlign w:val="center"/>
          </w:tcPr>
          <w:p w14:paraId="00A2B01B" w14:textId="77777777" w:rsidR="00470D07" w:rsidRPr="000C4F35" w:rsidRDefault="00470D07" w:rsidP="00685329">
            <w:pPr>
              <w:spacing w:line="200" w:lineRule="exact"/>
              <w:jc w:val="center"/>
              <w:rPr>
                <w:b/>
                <w:noProof/>
                <w:sz w:val="16"/>
                <w:szCs w:val="16"/>
              </w:rPr>
            </w:pPr>
            <w:r w:rsidRPr="000C4F35">
              <w:rPr>
                <w:noProof/>
                <w:sz w:val="16"/>
              </w:rPr>
              <w:t>Enter as many years as necessary to show the duration of the impact (see point 1.6)</w:t>
            </w:r>
          </w:p>
        </w:tc>
        <w:tc>
          <w:tcPr>
            <w:tcW w:w="1080" w:type="dxa"/>
            <w:vAlign w:val="center"/>
          </w:tcPr>
          <w:p w14:paraId="7C4AA8E9" w14:textId="77777777" w:rsidR="00470D07" w:rsidRPr="000C4F35" w:rsidRDefault="00470D07" w:rsidP="00685329">
            <w:pPr>
              <w:spacing w:before="60" w:after="60" w:line="200" w:lineRule="exact"/>
              <w:jc w:val="center"/>
              <w:rPr>
                <w:b/>
                <w:noProof/>
                <w:sz w:val="16"/>
                <w:szCs w:val="16"/>
              </w:rPr>
            </w:pPr>
            <w:r w:rsidRPr="000C4F35">
              <w:rPr>
                <w:b/>
                <w:noProof/>
                <w:sz w:val="16"/>
              </w:rPr>
              <w:t>TOTAL</w:t>
            </w:r>
          </w:p>
        </w:tc>
      </w:tr>
    </w:tbl>
    <w:p w14:paraId="26F6F519" w14:textId="77777777" w:rsidR="00470D07" w:rsidRPr="000C4F35" w:rsidRDefault="00470D07" w:rsidP="0068532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70D07" w:rsidRPr="000C4F35" w14:paraId="42841311" w14:textId="77777777" w:rsidTr="00470D07">
        <w:trPr>
          <w:trHeight w:val="585"/>
        </w:trPr>
        <w:tc>
          <w:tcPr>
            <w:tcW w:w="1980" w:type="dxa"/>
            <w:shd w:val="clear" w:color="auto" w:fill="CCCCCC"/>
            <w:vAlign w:val="center"/>
          </w:tcPr>
          <w:p w14:paraId="6B259ABE" w14:textId="77777777" w:rsidR="00470D07" w:rsidRPr="000C4F35" w:rsidRDefault="00470D07" w:rsidP="00685329">
            <w:pPr>
              <w:spacing w:before="60" w:after="60" w:line="200" w:lineRule="exact"/>
              <w:jc w:val="center"/>
              <w:rPr>
                <w:b/>
                <w:noProof/>
                <w:sz w:val="16"/>
                <w:szCs w:val="16"/>
              </w:rPr>
            </w:pPr>
            <w:r w:rsidRPr="000C4F35">
              <w:rPr>
                <w:b/>
                <w:noProof/>
                <w:sz w:val="16"/>
              </w:rPr>
              <w:t>HEADING 7</w:t>
            </w:r>
            <w:r w:rsidRPr="000C4F35">
              <w:rPr>
                <w:noProof/>
                <w:sz w:val="22"/>
              </w:rPr>
              <w:br/>
            </w:r>
            <w:r w:rsidRPr="000C4F35">
              <w:rPr>
                <w:b/>
                <w:noProof/>
                <w:sz w:val="16"/>
              </w:rPr>
              <w:t>of the multiannual financial framework</w:t>
            </w:r>
          </w:p>
        </w:tc>
        <w:tc>
          <w:tcPr>
            <w:tcW w:w="1080" w:type="dxa"/>
            <w:vAlign w:val="center"/>
          </w:tcPr>
          <w:p w14:paraId="1CAE62FC"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6918300A"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5FF7EF4F"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45A49752"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564DF4A9"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07AFE95D"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029852D4" w14:textId="77777777" w:rsidR="00470D07" w:rsidRPr="000C4F35" w:rsidRDefault="00470D07" w:rsidP="00685329">
            <w:pPr>
              <w:spacing w:before="60" w:after="60" w:line="200" w:lineRule="exact"/>
              <w:jc w:val="right"/>
              <w:rPr>
                <w:b/>
                <w:noProof/>
                <w:sz w:val="16"/>
                <w:szCs w:val="16"/>
              </w:rPr>
            </w:pPr>
          </w:p>
        </w:tc>
        <w:tc>
          <w:tcPr>
            <w:tcW w:w="1080" w:type="dxa"/>
            <w:vAlign w:val="center"/>
          </w:tcPr>
          <w:p w14:paraId="28AE51C7" w14:textId="77777777" w:rsidR="00470D07" w:rsidRPr="000C4F35" w:rsidRDefault="00470D07" w:rsidP="00685329">
            <w:pPr>
              <w:spacing w:before="60" w:after="60" w:line="200" w:lineRule="exact"/>
              <w:jc w:val="right"/>
              <w:rPr>
                <w:b/>
                <w:noProof/>
                <w:sz w:val="16"/>
                <w:szCs w:val="16"/>
              </w:rPr>
            </w:pPr>
          </w:p>
        </w:tc>
      </w:tr>
      <w:tr w:rsidR="00470D07" w:rsidRPr="000C4F35" w14:paraId="5C36CC1B" w14:textId="77777777" w:rsidTr="00470D07">
        <w:trPr>
          <w:trHeight w:val="585"/>
        </w:trPr>
        <w:tc>
          <w:tcPr>
            <w:tcW w:w="1980" w:type="dxa"/>
            <w:vAlign w:val="center"/>
          </w:tcPr>
          <w:p w14:paraId="5FDC4080" w14:textId="77777777" w:rsidR="00470D07" w:rsidRPr="000C4F35" w:rsidRDefault="00470D07" w:rsidP="00685329">
            <w:pPr>
              <w:spacing w:before="60" w:after="60" w:line="200" w:lineRule="exact"/>
              <w:ind w:left="72"/>
              <w:jc w:val="left"/>
              <w:rPr>
                <w:noProof/>
                <w:sz w:val="16"/>
                <w:szCs w:val="16"/>
              </w:rPr>
            </w:pPr>
            <w:r w:rsidRPr="000C4F35">
              <w:rPr>
                <w:noProof/>
                <w:sz w:val="16"/>
              </w:rPr>
              <w:t xml:space="preserve">Human resources </w:t>
            </w:r>
          </w:p>
        </w:tc>
        <w:tc>
          <w:tcPr>
            <w:tcW w:w="1080" w:type="dxa"/>
            <w:vAlign w:val="center"/>
          </w:tcPr>
          <w:p w14:paraId="1FA359BA"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58B5E546"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55298AD1"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35BF4C58"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06E08C56"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6F7473D7"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618CEC93" w14:textId="77777777" w:rsidR="00470D07" w:rsidRPr="000C4F35" w:rsidRDefault="00470D07" w:rsidP="00685329">
            <w:pPr>
              <w:spacing w:before="60" w:after="60" w:line="200" w:lineRule="exact"/>
              <w:jc w:val="right"/>
              <w:rPr>
                <w:b/>
                <w:noProof/>
                <w:sz w:val="16"/>
                <w:szCs w:val="16"/>
              </w:rPr>
            </w:pPr>
          </w:p>
        </w:tc>
        <w:tc>
          <w:tcPr>
            <w:tcW w:w="1080" w:type="dxa"/>
            <w:vAlign w:val="center"/>
          </w:tcPr>
          <w:p w14:paraId="765CABC6" w14:textId="77777777" w:rsidR="00470D07" w:rsidRPr="000C4F35" w:rsidRDefault="00470D07" w:rsidP="00685329">
            <w:pPr>
              <w:spacing w:before="60" w:after="60" w:line="200" w:lineRule="exact"/>
              <w:jc w:val="right"/>
              <w:rPr>
                <w:b/>
                <w:noProof/>
                <w:sz w:val="16"/>
                <w:szCs w:val="16"/>
              </w:rPr>
            </w:pPr>
          </w:p>
        </w:tc>
      </w:tr>
      <w:tr w:rsidR="00470D07" w:rsidRPr="000C4F35" w14:paraId="799D51E0" w14:textId="77777777" w:rsidTr="00470D07">
        <w:trPr>
          <w:trHeight w:val="585"/>
        </w:trPr>
        <w:tc>
          <w:tcPr>
            <w:tcW w:w="1980" w:type="dxa"/>
            <w:vAlign w:val="center"/>
          </w:tcPr>
          <w:p w14:paraId="3D410758" w14:textId="77777777" w:rsidR="00470D07" w:rsidRPr="000C4F35" w:rsidRDefault="00470D07" w:rsidP="00685329">
            <w:pPr>
              <w:spacing w:before="60" w:after="60" w:line="200" w:lineRule="exact"/>
              <w:ind w:left="72"/>
              <w:jc w:val="left"/>
              <w:rPr>
                <w:noProof/>
                <w:sz w:val="16"/>
                <w:szCs w:val="16"/>
              </w:rPr>
            </w:pPr>
            <w:r w:rsidRPr="000C4F35">
              <w:rPr>
                <w:noProof/>
                <w:sz w:val="16"/>
              </w:rPr>
              <w:t xml:space="preserve">Other administrative expenditure </w:t>
            </w:r>
          </w:p>
        </w:tc>
        <w:tc>
          <w:tcPr>
            <w:tcW w:w="1080" w:type="dxa"/>
            <w:vAlign w:val="center"/>
          </w:tcPr>
          <w:p w14:paraId="02C38527"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21D7D5E7"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7035C341"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59907844"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1662B906"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6460D95E"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727FE235" w14:textId="77777777" w:rsidR="00470D07" w:rsidRPr="000C4F35" w:rsidRDefault="00470D07" w:rsidP="00685329">
            <w:pPr>
              <w:spacing w:before="60" w:after="60" w:line="200" w:lineRule="exact"/>
              <w:jc w:val="right"/>
              <w:rPr>
                <w:b/>
                <w:noProof/>
                <w:sz w:val="16"/>
                <w:szCs w:val="16"/>
              </w:rPr>
            </w:pPr>
          </w:p>
        </w:tc>
        <w:tc>
          <w:tcPr>
            <w:tcW w:w="1080" w:type="dxa"/>
            <w:vAlign w:val="center"/>
          </w:tcPr>
          <w:p w14:paraId="2F15FD25" w14:textId="77777777" w:rsidR="00470D07" w:rsidRPr="000C4F35" w:rsidRDefault="00470D07" w:rsidP="00685329">
            <w:pPr>
              <w:spacing w:before="60" w:after="60" w:line="200" w:lineRule="exact"/>
              <w:jc w:val="right"/>
              <w:rPr>
                <w:b/>
                <w:noProof/>
                <w:sz w:val="16"/>
                <w:szCs w:val="16"/>
              </w:rPr>
            </w:pPr>
          </w:p>
        </w:tc>
      </w:tr>
      <w:tr w:rsidR="00470D07" w:rsidRPr="000C4F35" w14:paraId="0FFC694F" w14:textId="77777777" w:rsidTr="00470D07">
        <w:trPr>
          <w:trHeight w:val="585"/>
        </w:trPr>
        <w:tc>
          <w:tcPr>
            <w:tcW w:w="1980" w:type="dxa"/>
            <w:shd w:val="clear" w:color="auto" w:fill="CCCCCC"/>
            <w:vAlign w:val="center"/>
          </w:tcPr>
          <w:p w14:paraId="235AEB9F" w14:textId="77777777" w:rsidR="00470D07" w:rsidRPr="000C4F35" w:rsidRDefault="00470D07" w:rsidP="00685329">
            <w:pPr>
              <w:spacing w:before="60" w:after="60" w:line="200" w:lineRule="exact"/>
              <w:jc w:val="center"/>
              <w:rPr>
                <w:b/>
                <w:noProof/>
                <w:sz w:val="16"/>
                <w:szCs w:val="16"/>
              </w:rPr>
            </w:pPr>
            <w:r w:rsidRPr="000C4F35">
              <w:rPr>
                <w:b/>
                <w:noProof/>
                <w:sz w:val="16"/>
              </w:rPr>
              <w:t>Subtotal HEADING 7</w:t>
            </w:r>
            <w:r w:rsidRPr="000C4F35">
              <w:rPr>
                <w:noProof/>
                <w:sz w:val="22"/>
              </w:rPr>
              <w:br/>
            </w:r>
            <w:r w:rsidRPr="000C4F35">
              <w:rPr>
                <w:b/>
                <w:noProof/>
                <w:sz w:val="16"/>
              </w:rPr>
              <w:t xml:space="preserve">of the multiannual financial framework </w:t>
            </w:r>
          </w:p>
        </w:tc>
        <w:tc>
          <w:tcPr>
            <w:tcW w:w="1080" w:type="dxa"/>
            <w:vAlign w:val="center"/>
          </w:tcPr>
          <w:p w14:paraId="720E064E"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1F14CC7C"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7BF5651E"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10353952"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64E4B75C"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355B2395"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0470D8D5" w14:textId="77777777" w:rsidR="00470D07" w:rsidRPr="000C4F35" w:rsidRDefault="00470D07" w:rsidP="00685329">
            <w:pPr>
              <w:spacing w:before="60" w:after="60" w:line="200" w:lineRule="exact"/>
              <w:jc w:val="right"/>
              <w:rPr>
                <w:b/>
                <w:noProof/>
                <w:sz w:val="16"/>
                <w:szCs w:val="16"/>
              </w:rPr>
            </w:pPr>
          </w:p>
        </w:tc>
        <w:tc>
          <w:tcPr>
            <w:tcW w:w="1080" w:type="dxa"/>
            <w:vAlign w:val="center"/>
          </w:tcPr>
          <w:p w14:paraId="783B24B7" w14:textId="77777777" w:rsidR="00470D07" w:rsidRPr="000C4F35" w:rsidRDefault="00470D07" w:rsidP="00685329">
            <w:pPr>
              <w:spacing w:before="60" w:after="60" w:line="200" w:lineRule="exact"/>
              <w:jc w:val="right"/>
              <w:rPr>
                <w:b/>
                <w:noProof/>
                <w:sz w:val="16"/>
                <w:szCs w:val="16"/>
              </w:rPr>
            </w:pPr>
          </w:p>
        </w:tc>
      </w:tr>
    </w:tbl>
    <w:p w14:paraId="6160B3AB" w14:textId="77777777" w:rsidR="00470D07" w:rsidRPr="000C4F35" w:rsidRDefault="00470D07" w:rsidP="0068532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70D07" w:rsidRPr="000C4F35" w14:paraId="3DA6E277" w14:textId="77777777" w:rsidTr="00470D07">
        <w:trPr>
          <w:trHeight w:val="585"/>
        </w:trPr>
        <w:tc>
          <w:tcPr>
            <w:tcW w:w="1980" w:type="dxa"/>
            <w:shd w:val="clear" w:color="auto" w:fill="CCCCCC"/>
            <w:vAlign w:val="center"/>
          </w:tcPr>
          <w:p w14:paraId="55D99B42" w14:textId="77777777" w:rsidR="00470D07" w:rsidRPr="000C4F35" w:rsidRDefault="00470D07" w:rsidP="00685329">
            <w:pPr>
              <w:spacing w:before="60" w:after="60" w:line="200" w:lineRule="exact"/>
              <w:jc w:val="center"/>
              <w:rPr>
                <w:noProof/>
                <w:sz w:val="16"/>
                <w:szCs w:val="16"/>
              </w:rPr>
            </w:pPr>
            <w:r w:rsidRPr="000C4F35">
              <w:rPr>
                <w:b/>
                <w:noProof/>
                <w:sz w:val="16"/>
              </w:rPr>
              <w:t>Outside HEADING 7</w:t>
            </w:r>
            <w:r w:rsidRPr="000C4F35">
              <w:rPr>
                <w:rStyle w:val="FootnoteReference"/>
                <w:b/>
                <w:noProof/>
                <w:sz w:val="16"/>
              </w:rPr>
              <w:footnoteReference w:id="57"/>
            </w:r>
            <w:r w:rsidRPr="000C4F35">
              <w:rPr>
                <w:b/>
                <w:noProof/>
                <w:sz w:val="16"/>
              </w:rPr>
              <w:t xml:space="preserve"> </w:t>
            </w:r>
            <w:r w:rsidRPr="000C4F35">
              <w:rPr>
                <w:noProof/>
                <w:sz w:val="22"/>
              </w:rPr>
              <w:br/>
            </w:r>
            <w:r w:rsidRPr="000C4F35">
              <w:rPr>
                <w:b/>
                <w:noProof/>
                <w:sz w:val="16"/>
              </w:rPr>
              <w:t xml:space="preserve">of the multiannual financial framework </w:t>
            </w:r>
          </w:p>
          <w:p w14:paraId="182621A6" w14:textId="77777777" w:rsidR="00470D07" w:rsidRPr="000C4F35" w:rsidRDefault="00470D07" w:rsidP="00685329">
            <w:pPr>
              <w:spacing w:before="0" w:after="0" w:line="200" w:lineRule="exact"/>
              <w:jc w:val="center"/>
              <w:rPr>
                <w:b/>
                <w:noProof/>
                <w:sz w:val="16"/>
                <w:szCs w:val="16"/>
              </w:rPr>
            </w:pPr>
          </w:p>
        </w:tc>
        <w:tc>
          <w:tcPr>
            <w:tcW w:w="1080" w:type="dxa"/>
            <w:vAlign w:val="center"/>
          </w:tcPr>
          <w:p w14:paraId="09E59BA6"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4890E793"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7A10DC0C"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73D6BCE8"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1019F690"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4F14A38A"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65D2CBEF" w14:textId="77777777" w:rsidR="00470D07" w:rsidRPr="000C4F35" w:rsidRDefault="00470D07" w:rsidP="00685329">
            <w:pPr>
              <w:spacing w:before="60" w:after="60" w:line="200" w:lineRule="exact"/>
              <w:jc w:val="right"/>
              <w:rPr>
                <w:b/>
                <w:noProof/>
                <w:sz w:val="16"/>
                <w:szCs w:val="16"/>
              </w:rPr>
            </w:pPr>
          </w:p>
        </w:tc>
        <w:tc>
          <w:tcPr>
            <w:tcW w:w="1080" w:type="dxa"/>
            <w:vAlign w:val="center"/>
          </w:tcPr>
          <w:p w14:paraId="62E671C1" w14:textId="77777777" w:rsidR="00470D07" w:rsidRPr="000C4F35" w:rsidRDefault="00470D07" w:rsidP="00685329">
            <w:pPr>
              <w:spacing w:before="60" w:after="60" w:line="200" w:lineRule="exact"/>
              <w:jc w:val="right"/>
              <w:rPr>
                <w:b/>
                <w:noProof/>
                <w:sz w:val="16"/>
                <w:szCs w:val="16"/>
              </w:rPr>
            </w:pPr>
          </w:p>
        </w:tc>
      </w:tr>
      <w:tr w:rsidR="00470D07" w:rsidRPr="000C4F35" w14:paraId="5FB2652F" w14:textId="77777777" w:rsidTr="00470D07">
        <w:trPr>
          <w:trHeight w:val="585"/>
        </w:trPr>
        <w:tc>
          <w:tcPr>
            <w:tcW w:w="1980" w:type="dxa"/>
            <w:vAlign w:val="center"/>
          </w:tcPr>
          <w:p w14:paraId="464AB18B" w14:textId="77777777" w:rsidR="00470D07" w:rsidRPr="000C4F35" w:rsidRDefault="00470D07" w:rsidP="00685329">
            <w:pPr>
              <w:spacing w:before="60" w:after="60" w:line="200" w:lineRule="exact"/>
              <w:ind w:left="72"/>
              <w:jc w:val="left"/>
              <w:rPr>
                <w:noProof/>
                <w:sz w:val="16"/>
                <w:szCs w:val="16"/>
              </w:rPr>
            </w:pPr>
            <w:r w:rsidRPr="000C4F35">
              <w:rPr>
                <w:noProof/>
                <w:sz w:val="16"/>
              </w:rPr>
              <w:t xml:space="preserve">Human resources </w:t>
            </w:r>
          </w:p>
        </w:tc>
        <w:tc>
          <w:tcPr>
            <w:tcW w:w="1080" w:type="dxa"/>
            <w:vAlign w:val="center"/>
          </w:tcPr>
          <w:p w14:paraId="3A89F1D2"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590ED456"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28F4D949"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54408A87"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4B0F420C"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23659A82"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0BE52008" w14:textId="77777777" w:rsidR="00470D07" w:rsidRPr="000C4F35" w:rsidRDefault="00470D07" w:rsidP="00685329">
            <w:pPr>
              <w:spacing w:before="60" w:after="60" w:line="200" w:lineRule="exact"/>
              <w:jc w:val="right"/>
              <w:rPr>
                <w:b/>
                <w:noProof/>
                <w:sz w:val="16"/>
                <w:szCs w:val="16"/>
              </w:rPr>
            </w:pPr>
          </w:p>
        </w:tc>
        <w:tc>
          <w:tcPr>
            <w:tcW w:w="1080" w:type="dxa"/>
            <w:vAlign w:val="center"/>
          </w:tcPr>
          <w:p w14:paraId="700A8C39" w14:textId="77777777" w:rsidR="00470D07" w:rsidRPr="000C4F35" w:rsidRDefault="00470D07" w:rsidP="00685329">
            <w:pPr>
              <w:spacing w:before="60" w:after="60" w:line="200" w:lineRule="exact"/>
              <w:jc w:val="right"/>
              <w:rPr>
                <w:b/>
                <w:noProof/>
                <w:sz w:val="16"/>
                <w:szCs w:val="16"/>
              </w:rPr>
            </w:pPr>
          </w:p>
        </w:tc>
      </w:tr>
      <w:tr w:rsidR="00470D07" w:rsidRPr="000C4F35" w14:paraId="1839AC57" w14:textId="77777777" w:rsidTr="00470D07">
        <w:trPr>
          <w:trHeight w:val="585"/>
        </w:trPr>
        <w:tc>
          <w:tcPr>
            <w:tcW w:w="1980" w:type="dxa"/>
            <w:vAlign w:val="center"/>
          </w:tcPr>
          <w:p w14:paraId="59E0AD4A" w14:textId="77777777" w:rsidR="00470D07" w:rsidRPr="000C4F35" w:rsidRDefault="00470D07" w:rsidP="00685329">
            <w:pPr>
              <w:spacing w:before="60" w:after="60" w:line="200" w:lineRule="exact"/>
              <w:ind w:left="72"/>
              <w:jc w:val="left"/>
              <w:rPr>
                <w:noProof/>
                <w:sz w:val="16"/>
                <w:szCs w:val="16"/>
              </w:rPr>
            </w:pPr>
            <w:r w:rsidRPr="000C4F35">
              <w:rPr>
                <w:noProof/>
                <w:sz w:val="16"/>
              </w:rPr>
              <w:t xml:space="preserve">Other expenditure </w:t>
            </w:r>
            <w:r w:rsidRPr="000C4F35">
              <w:rPr>
                <w:noProof/>
                <w:sz w:val="22"/>
              </w:rPr>
              <w:br/>
            </w:r>
            <w:r w:rsidRPr="000C4F35">
              <w:rPr>
                <w:noProof/>
                <w:sz w:val="16"/>
              </w:rPr>
              <w:t>of an administrative nature</w:t>
            </w:r>
          </w:p>
        </w:tc>
        <w:tc>
          <w:tcPr>
            <w:tcW w:w="1080" w:type="dxa"/>
            <w:vAlign w:val="center"/>
          </w:tcPr>
          <w:p w14:paraId="1B64DB55"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073F117E"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198EB870"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134653DE"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0C0C2173"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486BFC4A"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71BA6F9B" w14:textId="77777777" w:rsidR="00470D07" w:rsidRPr="000C4F35" w:rsidRDefault="00470D07" w:rsidP="00685329">
            <w:pPr>
              <w:spacing w:before="60" w:after="60" w:line="200" w:lineRule="exact"/>
              <w:jc w:val="right"/>
              <w:rPr>
                <w:b/>
                <w:noProof/>
                <w:sz w:val="16"/>
                <w:szCs w:val="16"/>
              </w:rPr>
            </w:pPr>
          </w:p>
        </w:tc>
        <w:tc>
          <w:tcPr>
            <w:tcW w:w="1080" w:type="dxa"/>
            <w:vAlign w:val="center"/>
          </w:tcPr>
          <w:p w14:paraId="18588D83" w14:textId="77777777" w:rsidR="00470D07" w:rsidRPr="000C4F35" w:rsidRDefault="00470D07" w:rsidP="00685329">
            <w:pPr>
              <w:spacing w:before="60" w:after="60" w:line="200" w:lineRule="exact"/>
              <w:jc w:val="right"/>
              <w:rPr>
                <w:b/>
                <w:noProof/>
                <w:sz w:val="16"/>
                <w:szCs w:val="16"/>
              </w:rPr>
            </w:pPr>
          </w:p>
        </w:tc>
      </w:tr>
      <w:tr w:rsidR="00470D07" w:rsidRPr="000C4F35" w14:paraId="1748D637" w14:textId="77777777" w:rsidTr="00470D07">
        <w:trPr>
          <w:trHeight w:val="585"/>
        </w:trPr>
        <w:tc>
          <w:tcPr>
            <w:tcW w:w="1980" w:type="dxa"/>
            <w:shd w:val="clear" w:color="auto" w:fill="CCCCCC"/>
            <w:vAlign w:val="center"/>
          </w:tcPr>
          <w:p w14:paraId="77953F99" w14:textId="77777777" w:rsidR="00470D07" w:rsidRPr="000C4F35" w:rsidRDefault="00470D07" w:rsidP="00685329">
            <w:pPr>
              <w:spacing w:before="60" w:after="60" w:line="200" w:lineRule="exact"/>
              <w:jc w:val="center"/>
              <w:rPr>
                <w:b/>
                <w:noProof/>
                <w:sz w:val="16"/>
                <w:szCs w:val="16"/>
              </w:rPr>
            </w:pPr>
            <w:r w:rsidRPr="000C4F35">
              <w:rPr>
                <w:b/>
                <w:noProof/>
                <w:sz w:val="16"/>
              </w:rPr>
              <w:t xml:space="preserve">Subtotal </w:t>
            </w:r>
            <w:r w:rsidRPr="000C4F35">
              <w:rPr>
                <w:noProof/>
                <w:sz w:val="22"/>
              </w:rPr>
              <w:br/>
            </w:r>
            <w:r w:rsidRPr="000C4F35">
              <w:rPr>
                <w:b/>
                <w:noProof/>
                <w:sz w:val="16"/>
              </w:rPr>
              <w:t>outside HEADING 7</w:t>
            </w:r>
            <w:r w:rsidRPr="000C4F35">
              <w:rPr>
                <w:noProof/>
                <w:sz w:val="22"/>
              </w:rPr>
              <w:br/>
            </w:r>
            <w:r w:rsidRPr="000C4F35">
              <w:rPr>
                <w:b/>
                <w:noProof/>
                <w:sz w:val="16"/>
              </w:rPr>
              <w:t xml:space="preserve">of the multiannual financial framework </w:t>
            </w:r>
          </w:p>
        </w:tc>
        <w:tc>
          <w:tcPr>
            <w:tcW w:w="1080" w:type="dxa"/>
            <w:vAlign w:val="center"/>
          </w:tcPr>
          <w:p w14:paraId="33B5C10D"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5EBBDBEC"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67F0E285"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1F2EF6D7"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67C04682"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565DD01A" w14:textId="77777777" w:rsidR="00470D07" w:rsidRPr="000C4F35" w:rsidRDefault="00470D07" w:rsidP="00685329">
            <w:pPr>
              <w:spacing w:before="60" w:after="60" w:line="200" w:lineRule="exact"/>
              <w:jc w:val="right"/>
              <w:rPr>
                <w:noProof/>
                <w:sz w:val="16"/>
                <w:szCs w:val="16"/>
              </w:rPr>
            </w:pPr>
          </w:p>
        </w:tc>
        <w:tc>
          <w:tcPr>
            <w:tcW w:w="1080" w:type="dxa"/>
            <w:vAlign w:val="center"/>
          </w:tcPr>
          <w:p w14:paraId="68055E58" w14:textId="77777777" w:rsidR="00470D07" w:rsidRPr="000C4F35" w:rsidRDefault="00470D07" w:rsidP="00685329">
            <w:pPr>
              <w:spacing w:before="60" w:after="60" w:line="200" w:lineRule="exact"/>
              <w:jc w:val="right"/>
              <w:rPr>
                <w:b/>
                <w:noProof/>
                <w:sz w:val="16"/>
                <w:szCs w:val="16"/>
              </w:rPr>
            </w:pPr>
          </w:p>
        </w:tc>
        <w:tc>
          <w:tcPr>
            <w:tcW w:w="1080" w:type="dxa"/>
            <w:vAlign w:val="center"/>
          </w:tcPr>
          <w:p w14:paraId="31013B33" w14:textId="77777777" w:rsidR="00470D07" w:rsidRPr="000C4F35" w:rsidRDefault="00470D07" w:rsidP="00685329">
            <w:pPr>
              <w:spacing w:before="60" w:after="60" w:line="200" w:lineRule="exact"/>
              <w:jc w:val="right"/>
              <w:rPr>
                <w:b/>
                <w:noProof/>
                <w:sz w:val="16"/>
                <w:szCs w:val="16"/>
              </w:rPr>
            </w:pPr>
          </w:p>
        </w:tc>
      </w:tr>
    </w:tbl>
    <w:p w14:paraId="604EC8C8" w14:textId="77777777" w:rsidR="00470D07" w:rsidRPr="000C4F35" w:rsidRDefault="00470D07" w:rsidP="00685329">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70D07" w:rsidRPr="000C4F35" w14:paraId="1FB8D4E7" w14:textId="77777777" w:rsidTr="00470D07">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49798177" w14:textId="77777777" w:rsidR="00470D07" w:rsidRPr="000C4F35" w:rsidRDefault="00470D07" w:rsidP="00685329">
            <w:pPr>
              <w:spacing w:before="60" w:after="60" w:line="200" w:lineRule="exact"/>
              <w:jc w:val="center"/>
              <w:rPr>
                <w:noProof/>
                <w:sz w:val="16"/>
                <w:szCs w:val="16"/>
              </w:rPr>
            </w:pPr>
            <w:r w:rsidRPr="000C4F35">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55687FC8" w14:textId="77777777" w:rsidR="00470D07" w:rsidRPr="000C4F35" w:rsidRDefault="00470D07" w:rsidP="00685329">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24FAF56C" w14:textId="77777777" w:rsidR="00470D07" w:rsidRPr="000C4F35" w:rsidRDefault="00470D07" w:rsidP="00685329">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4AA5FAF0" w14:textId="77777777" w:rsidR="00470D07" w:rsidRPr="000C4F35" w:rsidRDefault="00470D07" w:rsidP="00685329">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C98A6B2" w14:textId="77777777" w:rsidR="00470D07" w:rsidRPr="000C4F35" w:rsidRDefault="00470D07" w:rsidP="00685329">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673FEEE0" w14:textId="77777777" w:rsidR="00470D07" w:rsidRPr="000C4F35" w:rsidRDefault="00470D07" w:rsidP="00685329">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1ABBFD04" w14:textId="77777777" w:rsidR="00470D07" w:rsidRPr="000C4F35" w:rsidRDefault="00470D07" w:rsidP="00685329">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8E63CAC" w14:textId="77777777" w:rsidR="00470D07" w:rsidRPr="000C4F35" w:rsidRDefault="00470D07" w:rsidP="00685329">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73B2717E" w14:textId="77777777" w:rsidR="00470D07" w:rsidRPr="000C4F35" w:rsidRDefault="00470D07" w:rsidP="00685329">
            <w:pPr>
              <w:spacing w:before="60" w:after="60" w:line="200" w:lineRule="exact"/>
              <w:jc w:val="right"/>
              <w:rPr>
                <w:b/>
                <w:noProof/>
                <w:sz w:val="16"/>
                <w:szCs w:val="16"/>
              </w:rPr>
            </w:pPr>
          </w:p>
        </w:tc>
      </w:tr>
    </w:tbl>
    <w:p w14:paraId="10CC6B93" w14:textId="77777777" w:rsidR="00470D07" w:rsidRPr="000C4F35" w:rsidRDefault="00470D07" w:rsidP="00685329">
      <w:pPr>
        <w:rPr>
          <w:noProof/>
          <w:sz w:val="18"/>
        </w:rPr>
      </w:pPr>
      <w:r w:rsidRPr="000C4F35">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0D47AF16" w14:textId="77777777" w:rsidR="00470D07" w:rsidRPr="000C4F35" w:rsidRDefault="00470D07" w:rsidP="00685329">
      <w:pPr>
        <w:rPr>
          <w:noProof/>
          <w:sz w:val="18"/>
        </w:rPr>
        <w:sectPr w:rsidR="00470D07" w:rsidRPr="000C4F35" w:rsidSect="00E0492F">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14:paraId="121499D0" w14:textId="2D5CA036" w:rsidR="00470D07" w:rsidRPr="000C4F35" w:rsidRDefault="001678E4" w:rsidP="001678E4">
      <w:pPr>
        <w:pStyle w:val="ManualHeading4"/>
        <w:rPr>
          <w:noProof/>
          <w:szCs w:val="24"/>
        </w:rPr>
      </w:pPr>
      <w:r w:rsidRPr="001678E4">
        <w:t>3.2.3.1.</w:t>
      </w:r>
      <w:r w:rsidRPr="001678E4">
        <w:tab/>
      </w:r>
      <w:r w:rsidR="00470D07" w:rsidRPr="000C4F35">
        <w:rPr>
          <w:noProof/>
        </w:rPr>
        <w:t xml:space="preserve">Estimated requirements of human resources </w:t>
      </w:r>
    </w:p>
    <w:p w14:paraId="3B5D8A98" w14:textId="77777777" w:rsidR="00470D07" w:rsidRPr="000C4F35" w:rsidRDefault="00DB53C6" w:rsidP="00685329">
      <w:pPr>
        <w:pStyle w:val="ListDash1"/>
        <w:rPr>
          <w:noProof/>
        </w:rPr>
      </w:pPr>
      <w:r w:rsidRPr="000C4F35">
        <w:rPr>
          <w:rFonts w:eastAsia="Calibri"/>
          <w:noProof/>
          <w:lang w:eastAsia="en-GB"/>
        </w:rPr>
        <w:sym w:font="Wingdings" w:char="F0FD"/>
      </w:r>
      <w:r w:rsidR="00470D07" w:rsidRPr="000C4F35">
        <w:rPr>
          <w:noProof/>
        </w:rPr>
        <w:tab/>
        <w:t xml:space="preserve">The proposal/initiative does not require the use of human resources. </w:t>
      </w:r>
    </w:p>
    <w:p w14:paraId="0E9AAE62" w14:textId="77777777" w:rsidR="00470D07" w:rsidRPr="000C4F35" w:rsidRDefault="00470D07" w:rsidP="00685329">
      <w:pPr>
        <w:pStyle w:val="ListDash1"/>
        <w:rPr>
          <w:noProof/>
        </w:rPr>
      </w:pPr>
      <w:r w:rsidRPr="000C4F35">
        <w:rPr>
          <w:noProof/>
        </w:rPr>
        <w:sym w:font="Wingdings" w:char="F0A8"/>
      </w:r>
      <w:r w:rsidRPr="000C4F35">
        <w:rPr>
          <w:noProof/>
        </w:rPr>
        <w:tab/>
        <w:t>The proposal/initiative requires the use of human resources, as explained below:</w:t>
      </w:r>
    </w:p>
    <w:p w14:paraId="5F208BD0" w14:textId="77777777" w:rsidR="00470D07" w:rsidRPr="000C4F35" w:rsidRDefault="00470D07" w:rsidP="00685329">
      <w:pPr>
        <w:spacing w:after="60"/>
        <w:jc w:val="right"/>
        <w:rPr>
          <w:i/>
          <w:noProof/>
          <w:sz w:val="20"/>
        </w:rPr>
      </w:pPr>
      <w:r w:rsidRPr="000C4F35">
        <w:rPr>
          <w:i/>
          <w:noProof/>
          <w:sz w:val="20"/>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470D07" w:rsidRPr="000C4F35" w14:paraId="009612E8" w14:textId="77777777" w:rsidTr="00470D07">
        <w:trPr>
          <w:gridBefore w:val="1"/>
          <w:wBefore w:w="15" w:type="dxa"/>
          <w:trHeight w:val="289"/>
          <w:jc w:val="center"/>
        </w:trPr>
        <w:tc>
          <w:tcPr>
            <w:tcW w:w="4754" w:type="dxa"/>
            <w:gridSpan w:val="2"/>
            <w:shd w:val="clear" w:color="auto" w:fill="auto"/>
          </w:tcPr>
          <w:p w14:paraId="7EA09CD3" w14:textId="77777777" w:rsidR="00470D07" w:rsidRPr="000C4F35" w:rsidRDefault="00470D07" w:rsidP="00685329">
            <w:pPr>
              <w:pStyle w:val="Text1"/>
              <w:spacing w:before="40" w:after="40"/>
              <w:ind w:left="0"/>
              <w:jc w:val="center"/>
              <w:rPr>
                <w:i/>
                <w:noProof/>
                <w:sz w:val="16"/>
                <w:szCs w:val="16"/>
              </w:rPr>
            </w:pPr>
          </w:p>
        </w:tc>
        <w:tc>
          <w:tcPr>
            <w:tcW w:w="731" w:type="dxa"/>
            <w:shd w:val="clear" w:color="auto" w:fill="auto"/>
            <w:vAlign w:val="center"/>
          </w:tcPr>
          <w:p w14:paraId="72AD4AED" w14:textId="77777777" w:rsidR="00470D07" w:rsidRPr="000C4F35" w:rsidRDefault="00470D07" w:rsidP="00685329">
            <w:pPr>
              <w:spacing w:before="20" w:after="20"/>
              <w:jc w:val="center"/>
              <w:rPr>
                <w:noProof/>
                <w:sz w:val="16"/>
                <w:szCs w:val="16"/>
              </w:rPr>
            </w:pPr>
            <w:r w:rsidRPr="000C4F35">
              <w:rPr>
                <w:noProof/>
                <w:sz w:val="16"/>
              </w:rPr>
              <w:t>Year</w:t>
            </w:r>
            <w:r w:rsidRPr="000C4F35">
              <w:rPr>
                <w:noProof/>
                <w:sz w:val="22"/>
              </w:rPr>
              <w:br/>
            </w:r>
            <w:r w:rsidRPr="000C4F35">
              <w:rPr>
                <w:b/>
                <w:noProof/>
                <w:sz w:val="16"/>
              </w:rPr>
              <w:t>N</w:t>
            </w:r>
          </w:p>
        </w:tc>
        <w:tc>
          <w:tcPr>
            <w:tcW w:w="731" w:type="dxa"/>
            <w:shd w:val="clear" w:color="auto" w:fill="auto"/>
            <w:vAlign w:val="center"/>
          </w:tcPr>
          <w:p w14:paraId="7D206519" w14:textId="77777777" w:rsidR="00470D07" w:rsidRPr="000C4F35" w:rsidRDefault="00470D07" w:rsidP="00685329">
            <w:pPr>
              <w:spacing w:before="20" w:after="20"/>
              <w:jc w:val="center"/>
              <w:rPr>
                <w:noProof/>
                <w:sz w:val="16"/>
                <w:szCs w:val="16"/>
              </w:rPr>
            </w:pPr>
            <w:r w:rsidRPr="000C4F35">
              <w:rPr>
                <w:noProof/>
                <w:sz w:val="16"/>
              </w:rPr>
              <w:t>Year</w:t>
            </w:r>
            <w:r w:rsidRPr="000C4F35">
              <w:rPr>
                <w:noProof/>
                <w:sz w:val="22"/>
              </w:rPr>
              <w:br/>
            </w:r>
            <w:r w:rsidRPr="000C4F35">
              <w:rPr>
                <w:b/>
                <w:noProof/>
                <w:sz w:val="16"/>
              </w:rPr>
              <w:t>N+1</w:t>
            </w:r>
          </w:p>
        </w:tc>
        <w:tc>
          <w:tcPr>
            <w:tcW w:w="731" w:type="dxa"/>
            <w:shd w:val="clear" w:color="auto" w:fill="auto"/>
            <w:vAlign w:val="center"/>
          </w:tcPr>
          <w:p w14:paraId="5ED36BC9" w14:textId="77777777" w:rsidR="00470D07" w:rsidRPr="000C4F35" w:rsidRDefault="00470D07" w:rsidP="00685329">
            <w:pPr>
              <w:spacing w:before="20" w:after="20"/>
              <w:jc w:val="center"/>
              <w:rPr>
                <w:noProof/>
                <w:sz w:val="16"/>
                <w:szCs w:val="16"/>
              </w:rPr>
            </w:pPr>
            <w:r w:rsidRPr="000C4F35">
              <w:rPr>
                <w:noProof/>
                <w:sz w:val="16"/>
                <w:szCs w:val="16"/>
              </w:rPr>
              <w:t xml:space="preserve">Year </w:t>
            </w:r>
            <w:r w:rsidRPr="000C4F35">
              <w:rPr>
                <w:b/>
                <w:noProof/>
                <w:sz w:val="16"/>
                <w:szCs w:val="16"/>
              </w:rPr>
              <w:t>N+2</w:t>
            </w:r>
          </w:p>
        </w:tc>
        <w:tc>
          <w:tcPr>
            <w:tcW w:w="731" w:type="dxa"/>
            <w:shd w:val="clear" w:color="auto" w:fill="auto"/>
            <w:vAlign w:val="center"/>
          </w:tcPr>
          <w:p w14:paraId="6FDAFA06" w14:textId="77777777" w:rsidR="00470D07" w:rsidRPr="000C4F35" w:rsidRDefault="00470D07" w:rsidP="00685329">
            <w:pPr>
              <w:spacing w:before="20" w:after="20"/>
              <w:jc w:val="center"/>
              <w:rPr>
                <w:noProof/>
                <w:sz w:val="16"/>
                <w:szCs w:val="16"/>
              </w:rPr>
            </w:pPr>
            <w:r w:rsidRPr="000C4F35">
              <w:rPr>
                <w:noProof/>
                <w:sz w:val="16"/>
                <w:szCs w:val="16"/>
              </w:rPr>
              <w:t xml:space="preserve">Year </w:t>
            </w:r>
            <w:r w:rsidRPr="000C4F35">
              <w:rPr>
                <w:b/>
                <w:noProof/>
                <w:sz w:val="16"/>
                <w:szCs w:val="16"/>
              </w:rPr>
              <w:t>N+3</w:t>
            </w:r>
          </w:p>
        </w:tc>
        <w:tc>
          <w:tcPr>
            <w:tcW w:w="2193" w:type="dxa"/>
            <w:gridSpan w:val="3"/>
            <w:shd w:val="clear" w:color="auto" w:fill="auto"/>
            <w:vAlign w:val="center"/>
          </w:tcPr>
          <w:p w14:paraId="3EB6A99F" w14:textId="77777777" w:rsidR="00470D07" w:rsidRPr="000C4F35" w:rsidRDefault="00470D07" w:rsidP="00685329">
            <w:pPr>
              <w:jc w:val="center"/>
              <w:rPr>
                <w:b/>
                <w:noProof/>
                <w:sz w:val="16"/>
                <w:szCs w:val="16"/>
              </w:rPr>
            </w:pPr>
            <w:r w:rsidRPr="000C4F35">
              <w:rPr>
                <w:noProof/>
                <w:sz w:val="16"/>
              </w:rPr>
              <w:t>Enter as many years as necessary to show the duration of the impact (see point 1.6)</w:t>
            </w:r>
          </w:p>
        </w:tc>
      </w:tr>
      <w:tr w:rsidR="00470D07" w:rsidRPr="000C4F35" w14:paraId="3364815A" w14:textId="77777777" w:rsidTr="00470D07">
        <w:trPr>
          <w:gridBefore w:val="1"/>
          <w:wBefore w:w="15" w:type="dxa"/>
          <w:trHeight w:val="289"/>
          <w:jc w:val="center"/>
        </w:trPr>
        <w:tc>
          <w:tcPr>
            <w:tcW w:w="9871" w:type="dxa"/>
            <w:gridSpan w:val="9"/>
            <w:shd w:val="clear" w:color="auto" w:fill="auto"/>
          </w:tcPr>
          <w:p w14:paraId="185FEF1A" w14:textId="77777777" w:rsidR="00470D07" w:rsidRPr="000C4F35" w:rsidRDefault="00470D07" w:rsidP="00685329">
            <w:pPr>
              <w:jc w:val="left"/>
              <w:rPr>
                <w:noProof/>
                <w:sz w:val="16"/>
                <w:szCs w:val="16"/>
              </w:rPr>
            </w:pPr>
            <w:r w:rsidRPr="000C4F35">
              <w:rPr>
                <w:b/>
                <w:noProof/>
                <w:sz w:val="16"/>
              </w:rPr>
              <w:sym w:font="Wingdings" w:char="F09F"/>
            </w:r>
            <w:r w:rsidRPr="000C4F35">
              <w:rPr>
                <w:b/>
                <w:noProof/>
                <w:sz w:val="16"/>
              </w:rPr>
              <w:t xml:space="preserve"> Establishment plan posts (officials and temporary staff)</w:t>
            </w:r>
          </w:p>
        </w:tc>
      </w:tr>
      <w:tr w:rsidR="00470D07" w:rsidRPr="000C4F35" w14:paraId="68C495DD" w14:textId="77777777" w:rsidTr="00470D07">
        <w:trPr>
          <w:gridBefore w:val="1"/>
          <w:wBefore w:w="15" w:type="dxa"/>
          <w:trHeight w:val="289"/>
          <w:jc w:val="center"/>
        </w:trPr>
        <w:tc>
          <w:tcPr>
            <w:tcW w:w="4754" w:type="dxa"/>
            <w:gridSpan w:val="2"/>
            <w:shd w:val="clear" w:color="auto" w:fill="auto"/>
            <w:vAlign w:val="center"/>
          </w:tcPr>
          <w:p w14:paraId="31C334EC" w14:textId="77777777" w:rsidR="00470D07" w:rsidRPr="000C4F35" w:rsidRDefault="00470D07" w:rsidP="00685329">
            <w:pPr>
              <w:pStyle w:val="Text1"/>
              <w:spacing w:beforeLines="20" w:before="48" w:afterLines="20" w:after="48"/>
              <w:ind w:left="134"/>
              <w:jc w:val="left"/>
              <w:rPr>
                <w:b/>
                <w:noProof/>
                <w:sz w:val="16"/>
                <w:szCs w:val="16"/>
              </w:rPr>
            </w:pPr>
            <w:r w:rsidRPr="000C4F35">
              <w:rPr>
                <w:noProof/>
                <w:sz w:val="16"/>
              </w:rPr>
              <w:t>20 01 02 01</w:t>
            </w:r>
            <w:r w:rsidRPr="000C4F35">
              <w:rPr>
                <w:rFonts w:ascii="Arial Narrow" w:hAnsi="Arial Narrow"/>
                <w:noProof/>
                <w:color w:val="000000"/>
                <w:sz w:val="20"/>
                <w:szCs w:val="20"/>
              </w:rPr>
              <w:t xml:space="preserve"> </w:t>
            </w:r>
            <w:r w:rsidRPr="000C4F35">
              <w:rPr>
                <w:noProof/>
                <w:sz w:val="16"/>
              </w:rPr>
              <w:t>(Headquarters and Commission’s Representation Offices)</w:t>
            </w:r>
          </w:p>
        </w:tc>
        <w:tc>
          <w:tcPr>
            <w:tcW w:w="731" w:type="dxa"/>
            <w:shd w:val="clear" w:color="auto" w:fill="auto"/>
            <w:vAlign w:val="center"/>
          </w:tcPr>
          <w:p w14:paraId="28D20E0D"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1D71CF6C"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322F1107"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52AD10DF"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546D1C9B"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78EF4384"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0DFE1DA9" w14:textId="77777777" w:rsidR="00470D07" w:rsidRPr="000C4F35" w:rsidRDefault="00470D07" w:rsidP="00685329">
            <w:pPr>
              <w:spacing w:beforeLines="20" w:before="48" w:afterLines="20" w:after="48"/>
              <w:jc w:val="center"/>
              <w:rPr>
                <w:noProof/>
                <w:sz w:val="16"/>
                <w:szCs w:val="16"/>
              </w:rPr>
            </w:pPr>
          </w:p>
        </w:tc>
      </w:tr>
      <w:tr w:rsidR="00470D07" w:rsidRPr="000C4F35" w14:paraId="718E10D8" w14:textId="77777777" w:rsidTr="00470D07">
        <w:trPr>
          <w:gridBefore w:val="1"/>
          <w:wBefore w:w="15" w:type="dxa"/>
          <w:trHeight w:val="289"/>
          <w:jc w:val="center"/>
        </w:trPr>
        <w:tc>
          <w:tcPr>
            <w:tcW w:w="4754" w:type="dxa"/>
            <w:gridSpan w:val="2"/>
            <w:shd w:val="clear" w:color="auto" w:fill="auto"/>
            <w:vAlign w:val="center"/>
          </w:tcPr>
          <w:p w14:paraId="58B62556" w14:textId="77777777" w:rsidR="00470D07" w:rsidRPr="000C4F35" w:rsidRDefault="00470D07" w:rsidP="00685329">
            <w:pPr>
              <w:pStyle w:val="Text1"/>
              <w:spacing w:beforeLines="20" w:before="48" w:afterLines="20" w:after="48"/>
              <w:ind w:left="134"/>
              <w:jc w:val="left"/>
              <w:rPr>
                <w:noProof/>
                <w:sz w:val="16"/>
              </w:rPr>
            </w:pPr>
            <w:r w:rsidRPr="000C4F35">
              <w:rPr>
                <w:noProof/>
                <w:sz w:val="16"/>
              </w:rPr>
              <w:t>20 01 02 03 (Delegations)</w:t>
            </w:r>
          </w:p>
        </w:tc>
        <w:tc>
          <w:tcPr>
            <w:tcW w:w="731" w:type="dxa"/>
            <w:shd w:val="clear" w:color="auto" w:fill="auto"/>
            <w:vAlign w:val="center"/>
          </w:tcPr>
          <w:p w14:paraId="5EC33D37"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0310532E"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2453CA47"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3D83D2F9"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05416863"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394E4DD8"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0C0D33EF" w14:textId="77777777" w:rsidR="00470D07" w:rsidRPr="000C4F35" w:rsidRDefault="00470D07" w:rsidP="00685329">
            <w:pPr>
              <w:spacing w:beforeLines="20" w:before="48" w:afterLines="20" w:after="48"/>
              <w:jc w:val="center"/>
              <w:rPr>
                <w:noProof/>
                <w:sz w:val="16"/>
                <w:szCs w:val="16"/>
              </w:rPr>
            </w:pPr>
          </w:p>
        </w:tc>
      </w:tr>
      <w:tr w:rsidR="00470D07" w:rsidRPr="000C4F35" w14:paraId="6ADF4C7A" w14:textId="77777777" w:rsidTr="00470D07">
        <w:trPr>
          <w:gridBefore w:val="1"/>
          <w:wBefore w:w="15" w:type="dxa"/>
          <w:trHeight w:val="289"/>
          <w:jc w:val="center"/>
        </w:trPr>
        <w:tc>
          <w:tcPr>
            <w:tcW w:w="4754" w:type="dxa"/>
            <w:gridSpan w:val="2"/>
            <w:shd w:val="clear" w:color="auto" w:fill="auto"/>
            <w:vAlign w:val="center"/>
          </w:tcPr>
          <w:p w14:paraId="72291112" w14:textId="6D3DF034" w:rsidR="00470D07" w:rsidRPr="000C4F35" w:rsidRDefault="00470D07" w:rsidP="00685329">
            <w:pPr>
              <w:pStyle w:val="Text1"/>
              <w:spacing w:beforeLines="20" w:before="48" w:afterLines="20" w:after="48"/>
              <w:ind w:left="134"/>
              <w:jc w:val="left"/>
              <w:rPr>
                <w:noProof/>
                <w:sz w:val="16"/>
                <w:szCs w:val="16"/>
              </w:rPr>
            </w:pPr>
            <w:r w:rsidRPr="000C4F35">
              <w:rPr>
                <w:noProof/>
                <w:sz w:val="16"/>
              </w:rPr>
              <w:t>01 01 01 01</w:t>
            </w:r>
            <w:r w:rsidRPr="000C4F35">
              <w:rPr>
                <w:rFonts w:ascii="Arial Narrow" w:hAnsi="Arial Narrow"/>
                <w:noProof/>
                <w:color w:val="000000"/>
                <w:sz w:val="20"/>
                <w:szCs w:val="20"/>
              </w:rPr>
              <w:t xml:space="preserve"> </w:t>
            </w:r>
            <w:r w:rsidRPr="000C4F35">
              <w:rPr>
                <w:noProof/>
                <w:sz w:val="16"/>
              </w:rPr>
              <w:t>(Indirect research)</w:t>
            </w:r>
          </w:p>
        </w:tc>
        <w:tc>
          <w:tcPr>
            <w:tcW w:w="731" w:type="dxa"/>
            <w:shd w:val="clear" w:color="auto" w:fill="auto"/>
            <w:vAlign w:val="center"/>
          </w:tcPr>
          <w:p w14:paraId="2C80E13E"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674DCB2E"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2E78A4BD"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6554B841"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7E2D8E65"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34BCB167"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45EE87DF" w14:textId="77777777" w:rsidR="00470D07" w:rsidRPr="000C4F35" w:rsidRDefault="00470D07" w:rsidP="00685329">
            <w:pPr>
              <w:spacing w:beforeLines="20" w:before="48" w:afterLines="20" w:after="48"/>
              <w:jc w:val="center"/>
              <w:rPr>
                <w:noProof/>
                <w:sz w:val="16"/>
                <w:szCs w:val="16"/>
              </w:rPr>
            </w:pPr>
          </w:p>
        </w:tc>
      </w:tr>
      <w:tr w:rsidR="00470D07" w:rsidRPr="000C4F35" w14:paraId="4DDC7DBA" w14:textId="77777777" w:rsidTr="00470D07">
        <w:trPr>
          <w:gridBefore w:val="1"/>
          <w:wBefore w:w="15" w:type="dxa"/>
          <w:trHeight w:val="289"/>
          <w:jc w:val="center"/>
        </w:trPr>
        <w:tc>
          <w:tcPr>
            <w:tcW w:w="4754" w:type="dxa"/>
            <w:gridSpan w:val="2"/>
            <w:shd w:val="clear" w:color="auto" w:fill="auto"/>
            <w:vAlign w:val="center"/>
          </w:tcPr>
          <w:p w14:paraId="1385D5B1" w14:textId="77777777" w:rsidR="00470D07" w:rsidRPr="000C4F35" w:rsidRDefault="00470D07" w:rsidP="00685329">
            <w:pPr>
              <w:pStyle w:val="Text1"/>
              <w:spacing w:beforeLines="20" w:before="48" w:afterLines="20" w:after="48"/>
              <w:ind w:left="134"/>
              <w:jc w:val="left"/>
              <w:rPr>
                <w:noProof/>
                <w:sz w:val="16"/>
                <w:szCs w:val="16"/>
              </w:rPr>
            </w:pPr>
            <w:r w:rsidRPr="000C4F35">
              <w:rPr>
                <w:noProof/>
                <w:sz w:val="16"/>
              </w:rPr>
              <w:t xml:space="preserve"> 01 01 01 11 (Direct research)</w:t>
            </w:r>
          </w:p>
        </w:tc>
        <w:tc>
          <w:tcPr>
            <w:tcW w:w="731" w:type="dxa"/>
            <w:shd w:val="clear" w:color="auto" w:fill="auto"/>
            <w:vAlign w:val="center"/>
          </w:tcPr>
          <w:p w14:paraId="10639409"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5732E19A"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5605C3F6"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363B873D"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24C004F4"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758ADDA7"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6B6647C7" w14:textId="77777777" w:rsidR="00470D07" w:rsidRPr="000C4F35" w:rsidRDefault="00470D07" w:rsidP="00685329">
            <w:pPr>
              <w:spacing w:beforeLines="20" w:before="48" w:afterLines="20" w:after="48"/>
              <w:jc w:val="center"/>
              <w:rPr>
                <w:noProof/>
                <w:sz w:val="16"/>
                <w:szCs w:val="16"/>
              </w:rPr>
            </w:pPr>
          </w:p>
        </w:tc>
      </w:tr>
      <w:tr w:rsidR="00470D07" w:rsidRPr="000C4F35" w14:paraId="0F64BFC9" w14:textId="77777777" w:rsidTr="00470D07">
        <w:trPr>
          <w:gridBefore w:val="1"/>
          <w:wBefore w:w="15" w:type="dxa"/>
          <w:trHeight w:val="289"/>
          <w:jc w:val="center"/>
        </w:trPr>
        <w:tc>
          <w:tcPr>
            <w:tcW w:w="4754" w:type="dxa"/>
            <w:gridSpan w:val="2"/>
            <w:shd w:val="clear" w:color="auto" w:fill="auto"/>
            <w:vAlign w:val="center"/>
          </w:tcPr>
          <w:p w14:paraId="1ED019B8" w14:textId="77777777" w:rsidR="00470D07" w:rsidRPr="000C4F35" w:rsidRDefault="00470D07" w:rsidP="00685329">
            <w:pPr>
              <w:pStyle w:val="Text1"/>
              <w:spacing w:beforeLines="20" w:before="48" w:afterLines="20" w:after="48"/>
              <w:ind w:left="134"/>
              <w:jc w:val="left"/>
              <w:rPr>
                <w:noProof/>
                <w:sz w:val="16"/>
              </w:rPr>
            </w:pPr>
            <w:r w:rsidRPr="000C4F35">
              <w:rPr>
                <w:noProof/>
                <w:sz w:val="16"/>
              </w:rPr>
              <w:t>Other budget lines (specify)</w:t>
            </w:r>
          </w:p>
        </w:tc>
        <w:tc>
          <w:tcPr>
            <w:tcW w:w="731" w:type="dxa"/>
            <w:shd w:val="clear" w:color="auto" w:fill="auto"/>
            <w:vAlign w:val="center"/>
          </w:tcPr>
          <w:p w14:paraId="307776D2"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72161AFF"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55169821"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5ED70E9E"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7B589B10"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1141A296"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1E070C04" w14:textId="77777777" w:rsidR="00470D07" w:rsidRPr="000C4F35" w:rsidRDefault="00470D07" w:rsidP="00685329">
            <w:pPr>
              <w:spacing w:beforeLines="20" w:before="48" w:afterLines="20" w:after="48"/>
              <w:jc w:val="center"/>
              <w:rPr>
                <w:noProof/>
                <w:sz w:val="16"/>
                <w:szCs w:val="16"/>
              </w:rPr>
            </w:pPr>
          </w:p>
        </w:tc>
      </w:tr>
      <w:tr w:rsidR="00470D07" w:rsidRPr="000C4F35" w14:paraId="19340618" w14:textId="77777777" w:rsidTr="00470D07">
        <w:trPr>
          <w:trHeight w:val="248"/>
          <w:jc w:val="center"/>
        </w:trPr>
        <w:tc>
          <w:tcPr>
            <w:tcW w:w="9886" w:type="dxa"/>
            <w:gridSpan w:val="10"/>
            <w:shd w:val="clear" w:color="auto" w:fill="auto"/>
            <w:vAlign w:val="center"/>
          </w:tcPr>
          <w:p w14:paraId="271E3CB1" w14:textId="77777777" w:rsidR="00470D07" w:rsidRPr="000C4F35" w:rsidRDefault="00470D07" w:rsidP="00685329">
            <w:pPr>
              <w:pStyle w:val="Text1"/>
              <w:spacing w:before="60" w:after="60"/>
              <w:ind w:left="0"/>
              <w:jc w:val="left"/>
              <w:rPr>
                <w:b/>
                <w:noProof/>
                <w:sz w:val="16"/>
                <w:szCs w:val="16"/>
              </w:rPr>
            </w:pPr>
            <w:r w:rsidRPr="000C4F35">
              <w:rPr>
                <w:b/>
                <w:noProof/>
                <w:sz w:val="16"/>
              </w:rPr>
              <w:sym w:font="Wingdings" w:char="F09F"/>
            </w:r>
            <w:r w:rsidRPr="000C4F35">
              <w:rPr>
                <w:b/>
                <w:noProof/>
                <w:sz w:val="16"/>
              </w:rPr>
              <w:t xml:space="preserve"> External staff (in Full Time Equivalent unit: FTE)</w:t>
            </w:r>
            <w:r w:rsidRPr="000C4F35">
              <w:rPr>
                <w:rStyle w:val="FootnoteReference"/>
                <w:b/>
                <w:noProof/>
                <w:sz w:val="16"/>
              </w:rPr>
              <w:footnoteReference w:id="58"/>
            </w:r>
          </w:p>
          <w:p w14:paraId="4E0B0E65" w14:textId="77777777" w:rsidR="00470D07" w:rsidRPr="000C4F35" w:rsidRDefault="00470D07" w:rsidP="00685329">
            <w:pPr>
              <w:pStyle w:val="Text1"/>
              <w:spacing w:before="0" w:after="0"/>
              <w:ind w:left="0"/>
              <w:jc w:val="left"/>
              <w:rPr>
                <w:noProof/>
                <w:sz w:val="16"/>
                <w:szCs w:val="16"/>
              </w:rPr>
            </w:pPr>
          </w:p>
        </w:tc>
      </w:tr>
      <w:tr w:rsidR="00470D07" w:rsidRPr="000C4F35" w14:paraId="1BF24A52" w14:textId="77777777" w:rsidTr="00470D07">
        <w:trPr>
          <w:gridBefore w:val="1"/>
          <w:wBefore w:w="15" w:type="dxa"/>
          <w:trHeight w:val="289"/>
          <w:jc w:val="center"/>
        </w:trPr>
        <w:tc>
          <w:tcPr>
            <w:tcW w:w="4754" w:type="dxa"/>
            <w:gridSpan w:val="2"/>
            <w:shd w:val="clear" w:color="auto" w:fill="auto"/>
            <w:vAlign w:val="center"/>
          </w:tcPr>
          <w:p w14:paraId="7BDA928B" w14:textId="77777777" w:rsidR="00470D07" w:rsidRPr="000C4F35" w:rsidRDefault="00470D07" w:rsidP="00685329">
            <w:pPr>
              <w:pStyle w:val="Text1"/>
              <w:spacing w:beforeLines="20" w:before="48" w:afterLines="20" w:after="48"/>
              <w:ind w:left="136"/>
              <w:jc w:val="left"/>
              <w:rPr>
                <w:b/>
                <w:noProof/>
                <w:sz w:val="16"/>
                <w:szCs w:val="16"/>
              </w:rPr>
            </w:pPr>
            <w:r w:rsidRPr="000C4F35">
              <w:rPr>
                <w:noProof/>
                <w:sz w:val="16"/>
              </w:rPr>
              <w:t>20 02 01</w:t>
            </w:r>
            <w:r w:rsidRPr="000C4F35">
              <w:rPr>
                <w:rFonts w:ascii="Arial Narrow" w:hAnsi="Arial Narrow"/>
                <w:noProof/>
                <w:color w:val="000000"/>
                <w:sz w:val="20"/>
                <w:szCs w:val="20"/>
              </w:rPr>
              <w:t xml:space="preserve"> </w:t>
            </w:r>
            <w:r w:rsidRPr="000C4F35">
              <w:rPr>
                <w:noProof/>
                <w:sz w:val="16"/>
              </w:rPr>
              <w:t>(AC, END, INT from the ‘global envelope’)</w:t>
            </w:r>
          </w:p>
        </w:tc>
        <w:tc>
          <w:tcPr>
            <w:tcW w:w="731" w:type="dxa"/>
            <w:shd w:val="clear" w:color="auto" w:fill="auto"/>
            <w:vAlign w:val="center"/>
          </w:tcPr>
          <w:p w14:paraId="0B34D7CF"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0547D6AD"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30036059"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0C940456"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25770E17"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636460B2"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1CDE6C6D" w14:textId="77777777" w:rsidR="00470D07" w:rsidRPr="000C4F35" w:rsidRDefault="00470D07" w:rsidP="00685329">
            <w:pPr>
              <w:spacing w:beforeLines="20" w:before="48" w:afterLines="20" w:after="48"/>
              <w:jc w:val="center"/>
              <w:rPr>
                <w:noProof/>
                <w:sz w:val="16"/>
                <w:szCs w:val="16"/>
              </w:rPr>
            </w:pPr>
          </w:p>
        </w:tc>
      </w:tr>
      <w:tr w:rsidR="00470D07" w:rsidRPr="000C4F35" w14:paraId="7B9DFFF9" w14:textId="77777777" w:rsidTr="00470D07">
        <w:trPr>
          <w:gridBefore w:val="1"/>
          <w:wBefore w:w="15" w:type="dxa"/>
          <w:trHeight w:val="289"/>
          <w:jc w:val="center"/>
        </w:trPr>
        <w:tc>
          <w:tcPr>
            <w:tcW w:w="4754" w:type="dxa"/>
            <w:gridSpan w:val="2"/>
            <w:shd w:val="clear" w:color="auto" w:fill="auto"/>
            <w:vAlign w:val="center"/>
          </w:tcPr>
          <w:p w14:paraId="3919F286" w14:textId="77777777" w:rsidR="00470D07" w:rsidRPr="000C4F35" w:rsidRDefault="00470D07" w:rsidP="00685329">
            <w:pPr>
              <w:pStyle w:val="Text1"/>
              <w:spacing w:beforeLines="20" w:before="48" w:afterLines="20" w:after="48"/>
              <w:ind w:left="136"/>
              <w:jc w:val="left"/>
              <w:rPr>
                <w:noProof/>
                <w:sz w:val="16"/>
              </w:rPr>
            </w:pPr>
            <w:r w:rsidRPr="000C4F35">
              <w:rPr>
                <w:noProof/>
                <w:sz w:val="16"/>
              </w:rPr>
              <w:t>20 02 03 (AC, AL, END, INT and JPD in the delegations)</w:t>
            </w:r>
          </w:p>
        </w:tc>
        <w:tc>
          <w:tcPr>
            <w:tcW w:w="731" w:type="dxa"/>
            <w:shd w:val="clear" w:color="auto" w:fill="auto"/>
            <w:vAlign w:val="center"/>
          </w:tcPr>
          <w:p w14:paraId="3379C424"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61665B2A"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2EC43C0A"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3940270C"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6D26C1E9"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02E9FD96"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65B2135F" w14:textId="77777777" w:rsidR="00470D07" w:rsidRPr="000C4F35" w:rsidRDefault="00470D07" w:rsidP="00685329">
            <w:pPr>
              <w:spacing w:beforeLines="20" w:before="48" w:afterLines="20" w:after="48"/>
              <w:jc w:val="center"/>
              <w:rPr>
                <w:noProof/>
                <w:sz w:val="16"/>
                <w:szCs w:val="16"/>
              </w:rPr>
            </w:pPr>
          </w:p>
        </w:tc>
      </w:tr>
      <w:tr w:rsidR="00470D07" w:rsidRPr="000C4F35" w14:paraId="78CA75C3" w14:textId="77777777" w:rsidTr="00470D07">
        <w:trPr>
          <w:gridBefore w:val="1"/>
          <w:wBefore w:w="15" w:type="dxa"/>
          <w:trHeight w:val="289"/>
          <w:jc w:val="center"/>
        </w:trPr>
        <w:tc>
          <w:tcPr>
            <w:tcW w:w="2376" w:type="dxa"/>
            <w:vMerge w:val="restart"/>
            <w:shd w:val="clear" w:color="auto" w:fill="auto"/>
            <w:vAlign w:val="center"/>
          </w:tcPr>
          <w:p w14:paraId="7771E9D7" w14:textId="151935EC" w:rsidR="00470D07" w:rsidRPr="000C4F35" w:rsidRDefault="00470D07" w:rsidP="00685329">
            <w:pPr>
              <w:pStyle w:val="Text1"/>
              <w:spacing w:beforeLines="20" w:before="48" w:afterLines="20" w:after="48"/>
              <w:ind w:left="136"/>
              <w:jc w:val="left"/>
              <w:rPr>
                <w:b/>
                <w:noProof/>
                <w:sz w:val="16"/>
                <w:szCs w:val="16"/>
              </w:rPr>
            </w:pPr>
            <w:r w:rsidRPr="000C4F35">
              <w:rPr>
                <w:b/>
                <w:noProof/>
                <w:sz w:val="16"/>
                <w:szCs w:val="16"/>
              </w:rPr>
              <w:t>XX</w:t>
            </w:r>
            <w:r w:rsidRPr="000C4F35">
              <w:rPr>
                <w:noProof/>
                <w:sz w:val="16"/>
                <w:szCs w:val="16"/>
              </w:rPr>
              <w:t xml:space="preserve"> 01 xx </w:t>
            </w:r>
            <w:r w:rsidRPr="000C4F35">
              <w:rPr>
                <w:b/>
                <w:noProof/>
                <w:sz w:val="16"/>
                <w:szCs w:val="16"/>
              </w:rPr>
              <w:t xml:space="preserve">yy zz </w:t>
            </w:r>
            <w:r w:rsidRPr="000B16AD">
              <w:rPr>
                <w:rStyle w:val="FootnoteReference"/>
                <w:b/>
                <w:noProof/>
                <w:sz w:val="16"/>
              </w:rPr>
              <w:footnoteReference w:id="59"/>
            </w:r>
          </w:p>
          <w:p w14:paraId="6824DD02" w14:textId="77777777" w:rsidR="00470D07" w:rsidRPr="000C4F35" w:rsidRDefault="00470D07" w:rsidP="00685329">
            <w:pPr>
              <w:pStyle w:val="Text1"/>
              <w:spacing w:beforeLines="20" w:before="48" w:afterLines="20" w:after="48"/>
              <w:ind w:left="136"/>
              <w:jc w:val="left"/>
              <w:rPr>
                <w:b/>
                <w:noProof/>
                <w:sz w:val="16"/>
                <w:szCs w:val="16"/>
              </w:rPr>
            </w:pPr>
          </w:p>
        </w:tc>
        <w:tc>
          <w:tcPr>
            <w:tcW w:w="2378" w:type="dxa"/>
            <w:shd w:val="clear" w:color="auto" w:fill="auto"/>
            <w:vAlign w:val="center"/>
          </w:tcPr>
          <w:p w14:paraId="693F71F6" w14:textId="77777777" w:rsidR="00470D07" w:rsidRPr="000C4F35" w:rsidRDefault="00470D07" w:rsidP="00685329">
            <w:pPr>
              <w:pStyle w:val="Text1"/>
              <w:spacing w:beforeLines="20" w:before="48" w:afterLines="20" w:after="48"/>
              <w:ind w:left="136"/>
              <w:jc w:val="left"/>
              <w:rPr>
                <w:b/>
                <w:noProof/>
                <w:sz w:val="16"/>
                <w:szCs w:val="16"/>
              </w:rPr>
            </w:pPr>
            <w:r w:rsidRPr="000C4F35">
              <w:rPr>
                <w:noProof/>
                <w:sz w:val="16"/>
              </w:rPr>
              <w:t>- at Headquarters</w:t>
            </w:r>
          </w:p>
          <w:p w14:paraId="4203DB36" w14:textId="77777777" w:rsidR="00470D07" w:rsidRPr="000C4F35" w:rsidRDefault="00470D07" w:rsidP="00685329">
            <w:pPr>
              <w:pStyle w:val="Text1"/>
              <w:spacing w:beforeLines="20" w:before="48" w:afterLines="20" w:after="48"/>
              <w:ind w:left="136"/>
              <w:jc w:val="left"/>
              <w:rPr>
                <w:b/>
                <w:noProof/>
                <w:sz w:val="16"/>
                <w:szCs w:val="16"/>
              </w:rPr>
            </w:pPr>
          </w:p>
        </w:tc>
        <w:tc>
          <w:tcPr>
            <w:tcW w:w="731" w:type="dxa"/>
            <w:shd w:val="clear" w:color="auto" w:fill="auto"/>
            <w:vAlign w:val="center"/>
          </w:tcPr>
          <w:p w14:paraId="28FD6F39" w14:textId="77777777" w:rsidR="00470D07" w:rsidRPr="000C4F35" w:rsidRDefault="00470D07" w:rsidP="00685329">
            <w:pPr>
              <w:pStyle w:val="Text1"/>
              <w:spacing w:beforeLines="20" w:before="48" w:afterLines="20" w:after="48"/>
              <w:ind w:left="0"/>
              <w:rPr>
                <w:noProof/>
                <w:sz w:val="16"/>
                <w:szCs w:val="16"/>
              </w:rPr>
            </w:pPr>
          </w:p>
        </w:tc>
        <w:tc>
          <w:tcPr>
            <w:tcW w:w="731" w:type="dxa"/>
            <w:shd w:val="clear" w:color="auto" w:fill="auto"/>
            <w:vAlign w:val="center"/>
          </w:tcPr>
          <w:p w14:paraId="1DA0B7EC"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39BCA6E3"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155B1740"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6297C259"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7307B0D6"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09180026" w14:textId="77777777" w:rsidR="00470D07" w:rsidRPr="000C4F35" w:rsidRDefault="00470D07" w:rsidP="00685329">
            <w:pPr>
              <w:spacing w:beforeLines="20" w:before="48" w:afterLines="20" w:after="48"/>
              <w:jc w:val="center"/>
              <w:rPr>
                <w:noProof/>
                <w:sz w:val="16"/>
                <w:szCs w:val="16"/>
              </w:rPr>
            </w:pPr>
          </w:p>
        </w:tc>
      </w:tr>
      <w:tr w:rsidR="00470D07" w:rsidRPr="000C4F35" w14:paraId="778AED82" w14:textId="77777777" w:rsidTr="00470D07">
        <w:trPr>
          <w:gridBefore w:val="1"/>
          <w:wBefore w:w="15" w:type="dxa"/>
          <w:trHeight w:val="289"/>
          <w:jc w:val="center"/>
        </w:trPr>
        <w:tc>
          <w:tcPr>
            <w:tcW w:w="2376" w:type="dxa"/>
            <w:vMerge/>
            <w:shd w:val="clear" w:color="auto" w:fill="auto"/>
            <w:vAlign w:val="center"/>
          </w:tcPr>
          <w:p w14:paraId="0A14B061" w14:textId="77777777" w:rsidR="00470D07" w:rsidRPr="000C4F35" w:rsidRDefault="00470D07" w:rsidP="00685329">
            <w:pPr>
              <w:pStyle w:val="Text1"/>
              <w:spacing w:beforeLines="20" w:before="48" w:afterLines="20" w:after="48"/>
              <w:ind w:left="136"/>
              <w:jc w:val="left"/>
              <w:rPr>
                <w:b/>
                <w:noProof/>
                <w:sz w:val="16"/>
                <w:szCs w:val="16"/>
              </w:rPr>
            </w:pPr>
          </w:p>
        </w:tc>
        <w:tc>
          <w:tcPr>
            <w:tcW w:w="2378" w:type="dxa"/>
            <w:shd w:val="clear" w:color="auto" w:fill="auto"/>
            <w:vAlign w:val="center"/>
          </w:tcPr>
          <w:p w14:paraId="56BF3A80" w14:textId="77777777" w:rsidR="00470D07" w:rsidRPr="000C4F35" w:rsidRDefault="00470D07" w:rsidP="00685329">
            <w:pPr>
              <w:pStyle w:val="Text1"/>
              <w:spacing w:beforeLines="20" w:before="48" w:afterLines="20" w:after="48"/>
              <w:ind w:left="136"/>
              <w:jc w:val="left"/>
              <w:rPr>
                <w:b/>
                <w:noProof/>
                <w:sz w:val="16"/>
                <w:szCs w:val="16"/>
              </w:rPr>
            </w:pPr>
            <w:r w:rsidRPr="000C4F35">
              <w:rPr>
                <w:noProof/>
                <w:sz w:val="16"/>
              </w:rPr>
              <w:t xml:space="preserve">- in Delegations </w:t>
            </w:r>
          </w:p>
        </w:tc>
        <w:tc>
          <w:tcPr>
            <w:tcW w:w="731" w:type="dxa"/>
            <w:shd w:val="clear" w:color="auto" w:fill="auto"/>
            <w:vAlign w:val="center"/>
          </w:tcPr>
          <w:p w14:paraId="0134225C" w14:textId="77777777" w:rsidR="00470D07" w:rsidRPr="000C4F35" w:rsidRDefault="00470D07" w:rsidP="00685329">
            <w:pPr>
              <w:pStyle w:val="Text1"/>
              <w:spacing w:beforeLines="20" w:before="48" w:afterLines="20" w:after="48"/>
              <w:ind w:left="0"/>
              <w:rPr>
                <w:noProof/>
                <w:sz w:val="16"/>
                <w:szCs w:val="16"/>
              </w:rPr>
            </w:pPr>
          </w:p>
        </w:tc>
        <w:tc>
          <w:tcPr>
            <w:tcW w:w="731" w:type="dxa"/>
            <w:shd w:val="clear" w:color="auto" w:fill="auto"/>
            <w:vAlign w:val="center"/>
          </w:tcPr>
          <w:p w14:paraId="4816DF70"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3086B87C"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3B604876"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77C8A16B"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66E57BCE"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0CCB8A72" w14:textId="77777777" w:rsidR="00470D07" w:rsidRPr="000C4F35" w:rsidRDefault="00470D07" w:rsidP="00685329">
            <w:pPr>
              <w:spacing w:beforeLines="20" w:before="48" w:afterLines="20" w:after="48"/>
              <w:jc w:val="center"/>
              <w:rPr>
                <w:noProof/>
                <w:sz w:val="16"/>
                <w:szCs w:val="16"/>
              </w:rPr>
            </w:pPr>
          </w:p>
        </w:tc>
      </w:tr>
      <w:tr w:rsidR="00470D07" w:rsidRPr="000C4F35" w14:paraId="4B66574F" w14:textId="77777777" w:rsidTr="00470D07">
        <w:trPr>
          <w:gridBefore w:val="1"/>
          <w:wBefore w:w="15" w:type="dxa"/>
          <w:trHeight w:val="289"/>
          <w:jc w:val="center"/>
        </w:trPr>
        <w:tc>
          <w:tcPr>
            <w:tcW w:w="4754" w:type="dxa"/>
            <w:gridSpan w:val="2"/>
            <w:shd w:val="clear" w:color="auto" w:fill="auto"/>
            <w:vAlign w:val="center"/>
          </w:tcPr>
          <w:p w14:paraId="27C699FA" w14:textId="77777777" w:rsidR="00470D07" w:rsidRPr="000C4F35" w:rsidRDefault="00470D07" w:rsidP="00685329">
            <w:pPr>
              <w:pStyle w:val="Text1"/>
              <w:spacing w:beforeLines="20" w:before="48" w:afterLines="20" w:after="48"/>
              <w:ind w:left="136"/>
              <w:jc w:val="left"/>
              <w:rPr>
                <w:noProof/>
                <w:sz w:val="16"/>
                <w:szCs w:val="16"/>
              </w:rPr>
            </w:pPr>
            <w:r w:rsidRPr="000C4F35">
              <w:rPr>
                <w:noProof/>
                <w:sz w:val="16"/>
              </w:rPr>
              <w:t>01 01 01 02</w:t>
            </w:r>
            <w:r w:rsidRPr="000C4F35">
              <w:rPr>
                <w:rFonts w:ascii="Arial Narrow" w:hAnsi="Arial Narrow"/>
                <w:noProof/>
                <w:color w:val="000000"/>
                <w:sz w:val="20"/>
                <w:szCs w:val="20"/>
              </w:rPr>
              <w:t xml:space="preserve"> </w:t>
            </w:r>
            <w:r w:rsidRPr="000C4F35">
              <w:rPr>
                <w:noProof/>
                <w:sz w:val="16"/>
                <w:szCs w:val="16"/>
              </w:rPr>
              <w:t>(AC, END, INT - Indirect research)</w:t>
            </w:r>
          </w:p>
        </w:tc>
        <w:tc>
          <w:tcPr>
            <w:tcW w:w="731" w:type="dxa"/>
            <w:shd w:val="clear" w:color="auto" w:fill="auto"/>
            <w:vAlign w:val="center"/>
          </w:tcPr>
          <w:p w14:paraId="090DC824"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70C3C905"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2203AAA5"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01B65017"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4A2B3528"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76A31F37"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6AF17019" w14:textId="77777777" w:rsidR="00470D07" w:rsidRPr="000C4F35" w:rsidRDefault="00470D07" w:rsidP="00685329">
            <w:pPr>
              <w:spacing w:beforeLines="20" w:before="48" w:afterLines="20" w:after="48"/>
              <w:jc w:val="center"/>
              <w:rPr>
                <w:noProof/>
                <w:sz w:val="16"/>
                <w:szCs w:val="16"/>
              </w:rPr>
            </w:pPr>
          </w:p>
        </w:tc>
      </w:tr>
      <w:tr w:rsidR="00470D07" w:rsidRPr="000C4F35" w14:paraId="16B650FD" w14:textId="77777777" w:rsidTr="00470D07">
        <w:trPr>
          <w:gridBefore w:val="1"/>
          <w:wBefore w:w="15" w:type="dxa"/>
          <w:trHeight w:val="289"/>
          <w:jc w:val="center"/>
        </w:trPr>
        <w:tc>
          <w:tcPr>
            <w:tcW w:w="4754" w:type="dxa"/>
            <w:gridSpan w:val="2"/>
            <w:shd w:val="clear" w:color="auto" w:fill="auto"/>
            <w:vAlign w:val="center"/>
          </w:tcPr>
          <w:p w14:paraId="30303EA7" w14:textId="77777777" w:rsidR="00470D07" w:rsidRPr="000C4F35" w:rsidRDefault="00470D07" w:rsidP="00685329">
            <w:pPr>
              <w:pStyle w:val="Text1"/>
              <w:spacing w:beforeLines="20" w:before="48" w:afterLines="20" w:after="48"/>
              <w:ind w:left="136"/>
              <w:jc w:val="left"/>
              <w:rPr>
                <w:noProof/>
                <w:color w:val="FF0000"/>
                <w:sz w:val="16"/>
                <w:szCs w:val="16"/>
              </w:rPr>
            </w:pPr>
            <w:r w:rsidRPr="000C4F35">
              <w:rPr>
                <w:noProof/>
                <w:sz w:val="16"/>
              </w:rPr>
              <w:t xml:space="preserve"> 01 01 01 12 (AC, END, INT - Direct research)</w:t>
            </w:r>
          </w:p>
        </w:tc>
        <w:tc>
          <w:tcPr>
            <w:tcW w:w="731" w:type="dxa"/>
            <w:shd w:val="clear" w:color="auto" w:fill="auto"/>
            <w:vAlign w:val="center"/>
          </w:tcPr>
          <w:p w14:paraId="45E0550C"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4A2B9908"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059AA26C"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1855CCE6"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2EA247DB"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22AB6E28"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25ADC6F4" w14:textId="77777777" w:rsidR="00470D07" w:rsidRPr="000C4F35" w:rsidRDefault="00470D07" w:rsidP="00685329">
            <w:pPr>
              <w:spacing w:beforeLines="20" w:before="48" w:afterLines="20" w:after="48"/>
              <w:jc w:val="center"/>
              <w:rPr>
                <w:noProof/>
                <w:sz w:val="16"/>
                <w:szCs w:val="16"/>
              </w:rPr>
            </w:pPr>
          </w:p>
        </w:tc>
      </w:tr>
      <w:tr w:rsidR="00470D07" w:rsidRPr="000C4F35" w14:paraId="0F755139" w14:textId="77777777" w:rsidTr="00470D07">
        <w:trPr>
          <w:gridBefore w:val="1"/>
          <w:wBefore w:w="15" w:type="dxa"/>
          <w:trHeight w:val="289"/>
          <w:jc w:val="center"/>
        </w:trPr>
        <w:tc>
          <w:tcPr>
            <w:tcW w:w="4754" w:type="dxa"/>
            <w:gridSpan w:val="2"/>
            <w:shd w:val="clear" w:color="auto" w:fill="auto"/>
            <w:vAlign w:val="center"/>
          </w:tcPr>
          <w:p w14:paraId="6B4DC549" w14:textId="77777777" w:rsidR="00470D07" w:rsidRPr="000C4F35" w:rsidRDefault="00470D07" w:rsidP="00685329">
            <w:pPr>
              <w:pStyle w:val="Text1"/>
              <w:spacing w:beforeLines="20" w:before="48" w:afterLines="20" w:after="48"/>
              <w:ind w:left="136"/>
              <w:jc w:val="left"/>
              <w:rPr>
                <w:noProof/>
                <w:sz w:val="16"/>
              </w:rPr>
            </w:pPr>
            <w:r w:rsidRPr="000C4F35">
              <w:rPr>
                <w:noProof/>
                <w:sz w:val="16"/>
              </w:rPr>
              <w:t>Other budget lines (specify)</w:t>
            </w:r>
          </w:p>
        </w:tc>
        <w:tc>
          <w:tcPr>
            <w:tcW w:w="731" w:type="dxa"/>
            <w:shd w:val="clear" w:color="auto" w:fill="auto"/>
            <w:vAlign w:val="center"/>
          </w:tcPr>
          <w:p w14:paraId="21967762"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246EB9CE"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46DAC716"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52147A1F"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769DDD03"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2134AF8E" w14:textId="77777777" w:rsidR="00470D07" w:rsidRPr="000C4F35" w:rsidRDefault="00470D07" w:rsidP="00685329">
            <w:pPr>
              <w:spacing w:beforeLines="20" w:before="48" w:afterLines="20" w:after="48"/>
              <w:jc w:val="center"/>
              <w:rPr>
                <w:noProof/>
                <w:sz w:val="16"/>
                <w:szCs w:val="16"/>
              </w:rPr>
            </w:pPr>
          </w:p>
        </w:tc>
        <w:tc>
          <w:tcPr>
            <w:tcW w:w="731" w:type="dxa"/>
            <w:shd w:val="clear" w:color="auto" w:fill="auto"/>
            <w:vAlign w:val="center"/>
          </w:tcPr>
          <w:p w14:paraId="7D3FB0FA" w14:textId="77777777" w:rsidR="00470D07" w:rsidRPr="000C4F35" w:rsidRDefault="00470D07" w:rsidP="00685329">
            <w:pPr>
              <w:spacing w:beforeLines="20" w:before="48" w:afterLines="20" w:after="48"/>
              <w:jc w:val="center"/>
              <w:rPr>
                <w:noProof/>
                <w:sz w:val="16"/>
                <w:szCs w:val="16"/>
              </w:rPr>
            </w:pPr>
          </w:p>
        </w:tc>
      </w:tr>
      <w:tr w:rsidR="00470D07" w:rsidRPr="000C4F35" w14:paraId="3488A435" w14:textId="77777777" w:rsidTr="00470D07">
        <w:trPr>
          <w:gridBefore w:val="1"/>
          <w:wBefore w:w="15" w:type="dxa"/>
          <w:trHeight w:val="289"/>
          <w:jc w:val="center"/>
        </w:trPr>
        <w:tc>
          <w:tcPr>
            <w:tcW w:w="4754" w:type="dxa"/>
            <w:gridSpan w:val="2"/>
            <w:tcBorders>
              <w:top w:val="double" w:sz="4" w:space="0" w:color="auto"/>
            </w:tcBorders>
            <w:shd w:val="clear" w:color="auto" w:fill="auto"/>
            <w:vAlign w:val="center"/>
          </w:tcPr>
          <w:p w14:paraId="22B9A87D" w14:textId="77777777" w:rsidR="00470D07" w:rsidRPr="000C4F35" w:rsidRDefault="00470D07" w:rsidP="00685329">
            <w:pPr>
              <w:pStyle w:val="Text1"/>
              <w:spacing w:beforeLines="20" w:before="48" w:afterLines="20" w:after="48"/>
              <w:ind w:left="136"/>
              <w:jc w:val="left"/>
              <w:rPr>
                <w:noProof/>
                <w:sz w:val="16"/>
                <w:szCs w:val="16"/>
              </w:rPr>
            </w:pPr>
            <w:r w:rsidRPr="000C4F35">
              <w:rPr>
                <w:b/>
                <w:noProof/>
                <w:sz w:val="16"/>
              </w:rPr>
              <w:t>TOTAL</w:t>
            </w:r>
          </w:p>
        </w:tc>
        <w:tc>
          <w:tcPr>
            <w:tcW w:w="731" w:type="dxa"/>
            <w:tcBorders>
              <w:top w:val="double" w:sz="4" w:space="0" w:color="auto"/>
            </w:tcBorders>
            <w:shd w:val="clear" w:color="auto" w:fill="auto"/>
            <w:vAlign w:val="center"/>
          </w:tcPr>
          <w:p w14:paraId="47818067" w14:textId="77777777" w:rsidR="00470D07" w:rsidRPr="000C4F35" w:rsidRDefault="00470D07" w:rsidP="00685329">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4E27C3B6" w14:textId="77777777" w:rsidR="00470D07" w:rsidRPr="000C4F35" w:rsidRDefault="00470D07" w:rsidP="00685329">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668C0437" w14:textId="77777777" w:rsidR="00470D07" w:rsidRPr="000C4F35" w:rsidRDefault="00470D07" w:rsidP="00685329">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248AAFC9" w14:textId="77777777" w:rsidR="00470D07" w:rsidRPr="000C4F35" w:rsidRDefault="00470D07" w:rsidP="00685329">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77868AE2" w14:textId="77777777" w:rsidR="00470D07" w:rsidRPr="000C4F35" w:rsidRDefault="00470D07" w:rsidP="00685329">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7F8AEA45" w14:textId="77777777" w:rsidR="00470D07" w:rsidRPr="000C4F35" w:rsidRDefault="00470D07" w:rsidP="00685329">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F4A681C" w14:textId="77777777" w:rsidR="00470D07" w:rsidRPr="000C4F35" w:rsidRDefault="00470D07" w:rsidP="00685329">
            <w:pPr>
              <w:spacing w:beforeLines="20" w:before="48" w:afterLines="20" w:after="48"/>
              <w:jc w:val="center"/>
              <w:rPr>
                <w:b/>
                <w:noProof/>
                <w:sz w:val="16"/>
                <w:szCs w:val="16"/>
              </w:rPr>
            </w:pPr>
          </w:p>
        </w:tc>
      </w:tr>
    </w:tbl>
    <w:p w14:paraId="79105B45" w14:textId="77777777" w:rsidR="00470D07" w:rsidRPr="000C4F35" w:rsidRDefault="00470D07" w:rsidP="00685329">
      <w:pPr>
        <w:pStyle w:val="Text1"/>
        <w:spacing w:before="60" w:after="60"/>
        <w:ind w:left="851"/>
        <w:rPr>
          <w:noProof/>
          <w:sz w:val="18"/>
          <w:szCs w:val="18"/>
        </w:rPr>
      </w:pPr>
      <w:r w:rsidRPr="000C4F35">
        <w:rPr>
          <w:b/>
          <w:noProof/>
          <w:sz w:val="18"/>
          <w:szCs w:val="18"/>
        </w:rPr>
        <w:t>XX</w:t>
      </w:r>
      <w:r w:rsidRPr="000C4F35">
        <w:rPr>
          <w:noProof/>
          <w:sz w:val="18"/>
          <w:szCs w:val="18"/>
        </w:rPr>
        <w:t xml:space="preserve"> is the policy area or budget title concerned.</w:t>
      </w:r>
    </w:p>
    <w:p w14:paraId="038A53FD" w14:textId="77777777" w:rsidR="00470D07" w:rsidRPr="000C4F35" w:rsidRDefault="00470D07" w:rsidP="00685329">
      <w:pPr>
        <w:pStyle w:val="Text1"/>
        <w:rPr>
          <w:noProof/>
          <w:sz w:val="18"/>
          <w:szCs w:val="18"/>
        </w:rPr>
      </w:pPr>
      <w:r w:rsidRPr="000C4F35">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6CC4D65E" w14:textId="77777777" w:rsidR="00470D07" w:rsidRPr="000C4F35" w:rsidRDefault="00470D07" w:rsidP="00685329">
      <w:pPr>
        <w:rPr>
          <w:noProof/>
          <w:sz w:val="20"/>
        </w:rPr>
      </w:pPr>
      <w:r w:rsidRPr="000C4F35">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70D07" w:rsidRPr="000C4F35" w14:paraId="489C59F0" w14:textId="77777777" w:rsidTr="00470D07">
        <w:tc>
          <w:tcPr>
            <w:tcW w:w="3240" w:type="dxa"/>
          </w:tcPr>
          <w:p w14:paraId="5660BC99" w14:textId="77777777" w:rsidR="00470D07" w:rsidRPr="000C4F35" w:rsidRDefault="00470D07" w:rsidP="00685329">
            <w:pPr>
              <w:rPr>
                <w:noProof/>
                <w:sz w:val="20"/>
              </w:rPr>
            </w:pPr>
            <w:r w:rsidRPr="000C4F35">
              <w:rPr>
                <w:noProof/>
                <w:sz w:val="20"/>
              </w:rPr>
              <w:t>Officials and temporary staff</w:t>
            </w:r>
          </w:p>
        </w:tc>
        <w:tc>
          <w:tcPr>
            <w:tcW w:w="7200" w:type="dxa"/>
          </w:tcPr>
          <w:p w14:paraId="58301B83" w14:textId="77777777" w:rsidR="00470D07" w:rsidRPr="000C4F35" w:rsidRDefault="00470D07" w:rsidP="00685329">
            <w:pPr>
              <w:rPr>
                <w:noProof/>
                <w:sz w:val="20"/>
              </w:rPr>
            </w:pPr>
          </w:p>
        </w:tc>
      </w:tr>
      <w:tr w:rsidR="00470D07" w:rsidRPr="000C4F35" w14:paraId="06BF79BA" w14:textId="77777777" w:rsidTr="00470D07">
        <w:tc>
          <w:tcPr>
            <w:tcW w:w="3240" w:type="dxa"/>
          </w:tcPr>
          <w:p w14:paraId="313334DD" w14:textId="77777777" w:rsidR="00470D07" w:rsidRPr="000C4F35" w:rsidRDefault="00470D07" w:rsidP="00685329">
            <w:pPr>
              <w:spacing w:before="60" w:after="60"/>
              <w:rPr>
                <w:noProof/>
                <w:sz w:val="20"/>
              </w:rPr>
            </w:pPr>
            <w:r w:rsidRPr="000C4F35">
              <w:rPr>
                <w:noProof/>
                <w:sz w:val="20"/>
              </w:rPr>
              <w:t>External staff</w:t>
            </w:r>
          </w:p>
        </w:tc>
        <w:tc>
          <w:tcPr>
            <w:tcW w:w="7200" w:type="dxa"/>
          </w:tcPr>
          <w:p w14:paraId="147FD29C" w14:textId="77777777" w:rsidR="00470D07" w:rsidRPr="000C4F35" w:rsidRDefault="00470D07" w:rsidP="00685329">
            <w:pPr>
              <w:rPr>
                <w:noProof/>
                <w:sz w:val="20"/>
              </w:rPr>
            </w:pPr>
          </w:p>
        </w:tc>
      </w:tr>
    </w:tbl>
    <w:p w14:paraId="7AAD79E2" w14:textId="77777777" w:rsidR="00470D07" w:rsidRPr="000C4F35" w:rsidRDefault="00470D07" w:rsidP="00685329">
      <w:pPr>
        <w:rPr>
          <w:noProof/>
        </w:rPr>
        <w:sectPr w:rsidR="00470D07" w:rsidRPr="000C4F35" w:rsidSect="00E0492F">
          <w:pgSz w:w="11907" w:h="16840"/>
          <w:pgMar w:top="1134" w:right="1418" w:bottom="1134" w:left="1418" w:header="709" w:footer="709" w:gutter="0"/>
          <w:cols w:space="708"/>
          <w:docGrid w:linePitch="360"/>
        </w:sectPr>
      </w:pPr>
    </w:p>
    <w:p w14:paraId="6C29BE79" w14:textId="7E70182E" w:rsidR="00470D07" w:rsidRPr="000C4F35" w:rsidRDefault="001678E4" w:rsidP="001678E4">
      <w:pPr>
        <w:pStyle w:val="ManualHeading3"/>
        <w:rPr>
          <w:noProof/>
        </w:rPr>
      </w:pPr>
      <w:bookmarkStart w:id="61" w:name="_Toc514938056"/>
      <w:bookmarkStart w:id="62" w:name="_Toc520485055"/>
      <w:r w:rsidRPr="001678E4">
        <w:t>3.2.4.</w:t>
      </w:r>
      <w:r w:rsidRPr="001678E4">
        <w:tab/>
      </w:r>
      <w:r w:rsidR="00470D07" w:rsidRPr="000C4F35">
        <w:rPr>
          <w:noProof/>
        </w:rPr>
        <w:t>Compatibility with the current multiannual financial framework</w:t>
      </w:r>
      <w:bookmarkEnd w:id="61"/>
      <w:bookmarkEnd w:id="62"/>
      <w:r w:rsidR="00470D07" w:rsidRPr="000C4F35">
        <w:rPr>
          <w:noProof/>
        </w:rPr>
        <w:t xml:space="preserve"> </w:t>
      </w:r>
    </w:p>
    <w:p w14:paraId="187D0D0A" w14:textId="77777777" w:rsidR="00470D07" w:rsidRPr="000C4F35" w:rsidRDefault="00470D07" w:rsidP="00685329">
      <w:pPr>
        <w:pStyle w:val="Text1"/>
        <w:rPr>
          <w:noProof/>
        </w:rPr>
      </w:pPr>
      <w:r w:rsidRPr="000C4F35">
        <w:rPr>
          <w:noProof/>
        </w:rPr>
        <w:t>The proposal/initiative:</w:t>
      </w:r>
    </w:p>
    <w:p w14:paraId="1069ED76" w14:textId="77777777" w:rsidR="00470D07" w:rsidRPr="000C4F35" w:rsidRDefault="00DB53C6" w:rsidP="00685329">
      <w:pPr>
        <w:pStyle w:val="ListDash1"/>
        <w:rPr>
          <w:noProof/>
        </w:rPr>
      </w:pPr>
      <w:r w:rsidRPr="000C4F35">
        <w:rPr>
          <w:rFonts w:eastAsia="Calibri"/>
          <w:noProof/>
          <w:lang w:eastAsia="en-GB"/>
        </w:rPr>
        <w:sym w:font="Wingdings" w:char="F0FD"/>
      </w:r>
      <w:r w:rsidR="00470D07" w:rsidRPr="000C4F35">
        <w:rPr>
          <w:noProof/>
        </w:rPr>
        <w:tab/>
        <w:t>can be fully financed through redeployment within the relevant heading of the Multiannual Financial Framework (MFF).</w:t>
      </w:r>
    </w:p>
    <w:p w14:paraId="4AC77D84" w14:textId="77777777" w:rsidR="00470D07" w:rsidRPr="000C4F35" w:rsidRDefault="00470D07" w:rsidP="00685329">
      <w:pPr>
        <w:pStyle w:val="Text1"/>
        <w:pBdr>
          <w:top w:val="single" w:sz="4" w:space="1" w:color="auto"/>
          <w:left w:val="single" w:sz="4" w:space="4" w:color="auto"/>
          <w:bottom w:val="single" w:sz="4" w:space="1" w:color="auto"/>
          <w:right w:val="single" w:sz="4" w:space="4" w:color="auto"/>
        </w:pBdr>
        <w:rPr>
          <w:noProof/>
          <w:sz w:val="20"/>
        </w:rPr>
      </w:pPr>
      <w:r w:rsidRPr="000C4F35">
        <w:rPr>
          <w:noProof/>
          <w:sz w:val="20"/>
        </w:rPr>
        <w:t>Explain what reprogramming is required, specifying the budget lines concerned and the corresponding amounts.</w:t>
      </w:r>
      <w:r w:rsidRPr="000C4F35">
        <w:rPr>
          <w:noProof/>
        </w:rPr>
        <w:t xml:space="preserve"> </w:t>
      </w:r>
      <w:r w:rsidRPr="000C4F35">
        <w:rPr>
          <w:noProof/>
          <w:sz w:val="20"/>
        </w:rPr>
        <w:t>Please provide an excel table in the case of major reprogramming.</w:t>
      </w:r>
    </w:p>
    <w:p w14:paraId="62270CE3" w14:textId="77777777" w:rsidR="00470D07" w:rsidRPr="000C4F35" w:rsidRDefault="00470D07" w:rsidP="00685329">
      <w:pPr>
        <w:pStyle w:val="ListDash1"/>
        <w:rPr>
          <w:noProof/>
        </w:rPr>
      </w:pPr>
      <w:r w:rsidRPr="000C4F35">
        <w:rPr>
          <w:noProof/>
        </w:rPr>
        <w:sym w:font="Wingdings" w:char="F0A8"/>
      </w:r>
      <w:r w:rsidRPr="000C4F35">
        <w:rPr>
          <w:noProof/>
        </w:rPr>
        <w:tab/>
        <w:t>requires use of the unallocated margin under the relevant heading of the MFF and/or use of the special instruments as defined in the MFF Regulation.</w:t>
      </w:r>
    </w:p>
    <w:p w14:paraId="0F265BCD" w14:textId="77777777" w:rsidR="00470D07" w:rsidRPr="000C4F35" w:rsidRDefault="00470D07" w:rsidP="00685329">
      <w:pPr>
        <w:pStyle w:val="Text1"/>
        <w:pBdr>
          <w:top w:val="single" w:sz="4" w:space="1" w:color="auto"/>
          <w:left w:val="single" w:sz="4" w:space="4" w:color="auto"/>
          <w:bottom w:val="single" w:sz="4" w:space="1" w:color="auto"/>
          <w:right w:val="single" w:sz="4" w:space="4" w:color="auto"/>
        </w:pBdr>
        <w:rPr>
          <w:noProof/>
          <w:sz w:val="20"/>
        </w:rPr>
      </w:pPr>
      <w:r w:rsidRPr="000C4F35">
        <w:rPr>
          <w:noProof/>
          <w:sz w:val="20"/>
        </w:rPr>
        <w:t>Explain what is required, specifying the headings and budget lines concerned, the corresponding amounts, and the instruments proposed to be used.</w:t>
      </w:r>
    </w:p>
    <w:p w14:paraId="4D9C7A33" w14:textId="77777777" w:rsidR="00470D07" w:rsidRPr="000C4F35" w:rsidRDefault="00470D07" w:rsidP="00685329">
      <w:pPr>
        <w:pStyle w:val="ListDash1"/>
        <w:rPr>
          <w:noProof/>
        </w:rPr>
      </w:pPr>
      <w:r w:rsidRPr="000C4F35">
        <w:rPr>
          <w:noProof/>
        </w:rPr>
        <w:sym w:font="Wingdings" w:char="F0A8"/>
      </w:r>
      <w:r w:rsidRPr="000C4F35">
        <w:rPr>
          <w:noProof/>
        </w:rPr>
        <w:tab/>
        <w:t>requires a revision of the MFF.</w:t>
      </w:r>
    </w:p>
    <w:p w14:paraId="0708CF3F" w14:textId="77777777" w:rsidR="00470D07" w:rsidRPr="000C4F35" w:rsidRDefault="00470D07" w:rsidP="00685329">
      <w:pPr>
        <w:pStyle w:val="Text1"/>
        <w:pBdr>
          <w:top w:val="single" w:sz="4" w:space="1" w:color="auto"/>
          <w:left w:val="single" w:sz="4" w:space="4" w:color="auto"/>
          <w:bottom w:val="single" w:sz="4" w:space="1" w:color="auto"/>
          <w:right w:val="single" w:sz="4" w:space="4" w:color="auto"/>
        </w:pBdr>
        <w:rPr>
          <w:noProof/>
          <w:sz w:val="20"/>
        </w:rPr>
      </w:pPr>
      <w:r w:rsidRPr="000C4F35">
        <w:rPr>
          <w:noProof/>
          <w:sz w:val="20"/>
        </w:rPr>
        <w:t>Explain what is required, specifying the headings and budget lines concerned and the corresponding amounts.</w:t>
      </w:r>
    </w:p>
    <w:p w14:paraId="780359C2" w14:textId="2235A10C" w:rsidR="00470D07" w:rsidRPr="000C4F35" w:rsidRDefault="001678E4" w:rsidP="001678E4">
      <w:pPr>
        <w:pStyle w:val="ManualHeading3"/>
        <w:rPr>
          <w:noProof/>
          <w:szCs w:val="24"/>
        </w:rPr>
      </w:pPr>
      <w:bookmarkStart w:id="63" w:name="_Toc514938058"/>
      <w:bookmarkStart w:id="64" w:name="_Toc520485056"/>
      <w:r w:rsidRPr="001678E4">
        <w:t>3.2.5.</w:t>
      </w:r>
      <w:r w:rsidRPr="001678E4">
        <w:tab/>
      </w:r>
      <w:r w:rsidR="00470D07" w:rsidRPr="000C4F35">
        <w:rPr>
          <w:noProof/>
        </w:rPr>
        <w:t>Third-party contributions</w:t>
      </w:r>
      <w:bookmarkEnd w:id="63"/>
      <w:bookmarkEnd w:id="64"/>
      <w:r w:rsidR="00470D07" w:rsidRPr="000C4F35">
        <w:rPr>
          <w:noProof/>
        </w:rPr>
        <w:t xml:space="preserve"> </w:t>
      </w:r>
    </w:p>
    <w:p w14:paraId="33975852" w14:textId="77777777" w:rsidR="00470D07" w:rsidRPr="000C4F35" w:rsidRDefault="00470D07" w:rsidP="00685329">
      <w:pPr>
        <w:pStyle w:val="Text1"/>
        <w:rPr>
          <w:noProof/>
        </w:rPr>
      </w:pPr>
      <w:r w:rsidRPr="000C4F35">
        <w:rPr>
          <w:noProof/>
        </w:rPr>
        <w:t>The proposal/initiative:</w:t>
      </w:r>
    </w:p>
    <w:p w14:paraId="50240A8B" w14:textId="77777777" w:rsidR="00470D07" w:rsidRPr="000C4F35" w:rsidRDefault="00DB53C6" w:rsidP="00685329">
      <w:pPr>
        <w:pStyle w:val="ListDash1"/>
        <w:rPr>
          <w:noProof/>
        </w:rPr>
      </w:pPr>
      <w:r w:rsidRPr="000C4F35">
        <w:rPr>
          <w:rFonts w:eastAsia="Calibri"/>
          <w:noProof/>
          <w:lang w:eastAsia="en-GB"/>
        </w:rPr>
        <w:sym w:font="Wingdings" w:char="F0FD"/>
      </w:r>
      <w:r w:rsidR="00470D07" w:rsidRPr="000C4F35">
        <w:rPr>
          <w:noProof/>
        </w:rPr>
        <w:tab/>
        <w:t>does not provide for co-financing by third parties</w:t>
      </w:r>
    </w:p>
    <w:p w14:paraId="11B55EA6" w14:textId="77777777" w:rsidR="00470D07" w:rsidRPr="000C4F35" w:rsidRDefault="00470D07" w:rsidP="00685329">
      <w:pPr>
        <w:pStyle w:val="ListDash1"/>
        <w:rPr>
          <w:noProof/>
        </w:rPr>
      </w:pPr>
      <w:r w:rsidRPr="000C4F35">
        <w:rPr>
          <w:noProof/>
        </w:rPr>
        <w:sym w:font="Wingdings" w:char="F0A8"/>
      </w:r>
      <w:r w:rsidRPr="000C4F35">
        <w:rPr>
          <w:noProof/>
        </w:rPr>
        <w:tab/>
        <w:t>provides for the co-financing by third parties estimated below:</w:t>
      </w:r>
    </w:p>
    <w:p w14:paraId="75FCCC36" w14:textId="77777777" w:rsidR="00470D07" w:rsidRPr="000C4F35" w:rsidRDefault="00470D07" w:rsidP="00685329">
      <w:pPr>
        <w:jc w:val="right"/>
        <w:rPr>
          <w:noProof/>
          <w:sz w:val="20"/>
        </w:rPr>
      </w:pPr>
      <w:r w:rsidRPr="000C4F35">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470D07" w:rsidRPr="000C4F35" w14:paraId="5EEF7060" w14:textId="77777777" w:rsidTr="00470D07">
        <w:trPr>
          <w:cantSplit/>
        </w:trPr>
        <w:tc>
          <w:tcPr>
            <w:tcW w:w="2340" w:type="dxa"/>
          </w:tcPr>
          <w:p w14:paraId="7E331F83" w14:textId="77777777" w:rsidR="00470D07" w:rsidRPr="000C4F35" w:rsidRDefault="00470D07" w:rsidP="00685329">
            <w:pPr>
              <w:spacing w:before="60" w:after="60"/>
              <w:rPr>
                <w:noProof/>
                <w:sz w:val="20"/>
              </w:rPr>
            </w:pPr>
          </w:p>
        </w:tc>
        <w:tc>
          <w:tcPr>
            <w:tcW w:w="964" w:type="dxa"/>
            <w:vAlign w:val="center"/>
          </w:tcPr>
          <w:p w14:paraId="0A4CD403"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w:t>
            </w:r>
            <w:r w:rsidRPr="000C4F35">
              <w:rPr>
                <w:rStyle w:val="FootnoteReference"/>
                <w:b/>
                <w:noProof/>
                <w:sz w:val="20"/>
              </w:rPr>
              <w:footnoteReference w:id="60"/>
            </w:r>
          </w:p>
        </w:tc>
        <w:tc>
          <w:tcPr>
            <w:tcW w:w="964" w:type="dxa"/>
            <w:vAlign w:val="center"/>
          </w:tcPr>
          <w:p w14:paraId="406E2E76"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N+1</w:t>
            </w:r>
          </w:p>
        </w:tc>
        <w:tc>
          <w:tcPr>
            <w:tcW w:w="964" w:type="dxa"/>
            <w:vAlign w:val="center"/>
          </w:tcPr>
          <w:p w14:paraId="5DF9479F"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N+2</w:t>
            </w:r>
          </w:p>
        </w:tc>
        <w:tc>
          <w:tcPr>
            <w:tcW w:w="964" w:type="dxa"/>
            <w:vAlign w:val="center"/>
          </w:tcPr>
          <w:p w14:paraId="3F3D8809" w14:textId="77777777" w:rsidR="00470D07" w:rsidRPr="000C4F35" w:rsidRDefault="00470D07" w:rsidP="00685329">
            <w:pPr>
              <w:jc w:val="center"/>
              <w:rPr>
                <w:noProof/>
                <w:sz w:val="20"/>
              </w:rPr>
            </w:pPr>
            <w:r w:rsidRPr="000C4F35">
              <w:rPr>
                <w:noProof/>
                <w:sz w:val="20"/>
              </w:rPr>
              <w:t>Year</w:t>
            </w:r>
            <w:r w:rsidRPr="000C4F35">
              <w:rPr>
                <w:noProof/>
                <w:sz w:val="22"/>
              </w:rPr>
              <w:br/>
            </w:r>
            <w:r w:rsidRPr="000C4F35">
              <w:rPr>
                <w:b/>
                <w:noProof/>
                <w:sz w:val="20"/>
              </w:rPr>
              <w:t>N+3</w:t>
            </w:r>
          </w:p>
        </w:tc>
        <w:tc>
          <w:tcPr>
            <w:tcW w:w="2892" w:type="dxa"/>
            <w:gridSpan w:val="3"/>
            <w:vAlign w:val="center"/>
          </w:tcPr>
          <w:p w14:paraId="3698A2FA" w14:textId="77777777" w:rsidR="00470D07" w:rsidRPr="000C4F35" w:rsidRDefault="00470D07" w:rsidP="00685329">
            <w:pPr>
              <w:jc w:val="center"/>
              <w:rPr>
                <w:b/>
                <w:noProof/>
                <w:sz w:val="20"/>
              </w:rPr>
            </w:pPr>
            <w:r w:rsidRPr="000C4F35">
              <w:rPr>
                <w:noProof/>
                <w:sz w:val="20"/>
              </w:rPr>
              <w:t>Enter as many years as necessary to show the duration of the impact (see point 1.6)</w:t>
            </w:r>
          </w:p>
        </w:tc>
        <w:tc>
          <w:tcPr>
            <w:tcW w:w="1158" w:type="dxa"/>
            <w:vAlign w:val="center"/>
          </w:tcPr>
          <w:p w14:paraId="18B12544" w14:textId="77777777" w:rsidR="00470D07" w:rsidRPr="000C4F35" w:rsidRDefault="00470D07" w:rsidP="00685329">
            <w:pPr>
              <w:spacing w:before="60" w:after="60"/>
              <w:jc w:val="center"/>
              <w:rPr>
                <w:noProof/>
                <w:sz w:val="20"/>
              </w:rPr>
            </w:pPr>
            <w:r w:rsidRPr="000C4F35">
              <w:rPr>
                <w:noProof/>
                <w:sz w:val="20"/>
              </w:rPr>
              <w:t>Total</w:t>
            </w:r>
          </w:p>
        </w:tc>
      </w:tr>
      <w:tr w:rsidR="00470D07" w:rsidRPr="000C4F35" w14:paraId="05C719F0" w14:textId="77777777" w:rsidTr="00470D07">
        <w:trPr>
          <w:cantSplit/>
        </w:trPr>
        <w:tc>
          <w:tcPr>
            <w:tcW w:w="2340" w:type="dxa"/>
          </w:tcPr>
          <w:p w14:paraId="22B70871" w14:textId="77777777" w:rsidR="00470D07" w:rsidRPr="000C4F35" w:rsidRDefault="00470D07" w:rsidP="00685329">
            <w:pPr>
              <w:rPr>
                <w:noProof/>
              </w:rPr>
            </w:pPr>
            <w:r w:rsidRPr="000C4F35">
              <w:rPr>
                <w:noProof/>
                <w:sz w:val="20"/>
              </w:rPr>
              <w:t>Specify the co-financing body</w:t>
            </w:r>
            <w:r w:rsidRPr="000C4F35">
              <w:rPr>
                <w:i/>
                <w:noProof/>
                <w:sz w:val="20"/>
              </w:rPr>
              <w:t xml:space="preserve"> </w:t>
            </w:r>
          </w:p>
        </w:tc>
        <w:tc>
          <w:tcPr>
            <w:tcW w:w="964" w:type="dxa"/>
            <w:vAlign w:val="center"/>
          </w:tcPr>
          <w:p w14:paraId="62CB8A4D" w14:textId="77777777" w:rsidR="00470D07" w:rsidRPr="000C4F35" w:rsidRDefault="00470D07" w:rsidP="00685329">
            <w:pPr>
              <w:spacing w:before="60" w:after="60"/>
              <w:jc w:val="center"/>
              <w:rPr>
                <w:noProof/>
                <w:sz w:val="20"/>
              </w:rPr>
            </w:pPr>
          </w:p>
        </w:tc>
        <w:tc>
          <w:tcPr>
            <w:tcW w:w="964" w:type="dxa"/>
            <w:vAlign w:val="center"/>
          </w:tcPr>
          <w:p w14:paraId="35858F1B" w14:textId="77777777" w:rsidR="00470D07" w:rsidRPr="000C4F35" w:rsidRDefault="00470D07" w:rsidP="00685329">
            <w:pPr>
              <w:spacing w:before="60" w:after="60"/>
              <w:jc w:val="center"/>
              <w:rPr>
                <w:noProof/>
                <w:sz w:val="20"/>
              </w:rPr>
            </w:pPr>
          </w:p>
        </w:tc>
        <w:tc>
          <w:tcPr>
            <w:tcW w:w="964" w:type="dxa"/>
            <w:vAlign w:val="center"/>
          </w:tcPr>
          <w:p w14:paraId="5FCFBE32" w14:textId="77777777" w:rsidR="00470D07" w:rsidRPr="000C4F35" w:rsidRDefault="00470D07" w:rsidP="00685329">
            <w:pPr>
              <w:spacing w:before="60" w:after="60"/>
              <w:jc w:val="center"/>
              <w:rPr>
                <w:noProof/>
                <w:sz w:val="20"/>
              </w:rPr>
            </w:pPr>
          </w:p>
        </w:tc>
        <w:tc>
          <w:tcPr>
            <w:tcW w:w="964" w:type="dxa"/>
            <w:vAlign w:val="center"/>
          </w:tcPr>
          <w:p w14:paraId="3FC077A1" w14:textId="77777777" w:rsidR="00470D07" w:rsidRPr="000C4F35" w:rsidRDefault="00470D07" w:rsidP="00685329">
            <w:pPr>
              <w:spacing w:before="60" w:after="60"/>
              <w:jc w:val="center"/>
              <w:rPr>
                <w:noProof/>
                <w:sz w:val="20"/>
              </w:rPr>
            </w:pPr>
          </w:p>
        </w:tc>
        <w:tc>
          <w:tcPr>
            <w:tcW w:w="964" w:type="dxa"/>
            <w:vAlign w:val="center"/>
          </w:tcPr>
          <w:p w14:paraId="55BA31CE" w14:textId="77777777" w:rsidR="00470D07" w:rsidRPr="000C4F35" w:rsidRDefault="00470D07" w:rsidP="00685329">
            <w:pPr>
              <w:spacing w:before="60" w:after="60"/>
              <w:jc w:val="center"/>
              <w:rPr>
                <w:noProof/>
                <w:sz w:val="20"/>
              </w:rPr>
            </w:pPr>
          </w:p>
        </w:tc>
        <w:tc>
          <w:tcPr>
            <w:tcW w:w="964" w:type="dxa"/>
            <w:vAlign w:val="center"/>
          </w:tcPr>
          <w:p w14:paraId="63158F44" w14:textId="77777777" w:rsidR="00470D07" w:rsidRPr="000C4F35" w:rsidRDefault="00470D07" w:rsidP="00685329">
            <w:pPr>
              <w:spacing w:before="60" w:after="60"/>
              <w:jc w:val="center"/>
              <w:rPr>
                <w:noProof/>
                <w:sz w:val="20"/>
              </w:rPr>
            </w:pPr>
          </w:p>
        </w:tc>
        <w:tc>
          <w:tcPr>
            <w:tcW w:w="964" w:type="dxa"/>
            <w:vAlign w:val="center"/>
          </w:tcPr>
          <w:p w14:paraId="4D25FEF7" w14:textId="77777777" w:rsidR="00470D07" w:rsidRPr="000C4F35" w:rsidRDefault="00470D07" w:rsidP="00685329">
            <w:pPr>
              <w:spacing w:before="60" w:after="60"/>
              <w:jc w:val="center"/>
              <w:rPr>
                <w:noProof/>
                <w:sz w:val="20"/>
              </w:rPr>
            </w:pPr>
          </w:p>
        </w:tc>
        <w:tc>
          <w:tcPr>
            <w:tcW w:w="1158" w:type="dxa"/>
            <w:vAlign w:val="center"/>
          </w:tcPr>
          <w:p w14:paraId="45B32CB6" w14:textId="77777777" w:rsidR="00470D07" w:rsidRPr="000C4F35" w:rsidRDefault="00470D07" w:rsidP="00685329">
            <w:pPr>
              <w:spacing w:before="60" w:after="60"/>
              <w:jc w:val="center"/>
              <w:rPr>
                <w:noProof/>
                <w:sz w:val="20"/>
              </w:rPr>
            </w:pPr>
          </w:p>
        </w:tc>
      </w:tr>
      <w:tr w:rsidR="00470D07" w:rsidRPr="000C4F35" w14:paraId="1355EA98" w14:textId="77777777" w:rsidTr="00470D07">
        <w:trPr>
          <w:cantSplit/>
        </w:trPr>
        <w:tc>
          <w:tcPr>
            <w:tcW w:w="2340" w:type="dxa"/>
          </w:tcPr>
          <w:p w14:paraId="423ABB2B" w14:textId="77777777" w:rsidR="00470D07" w:rsidRPr="000C4F35" w:rsidRDefault="00470D07" w:rsidP="00685329">
            <w:pPr>
              <w:spacing w:before="60" w:after="60"/>
              <w:jc w:val="left"/>
              <w:rPr>
                <w:noProof/>
                <w:sz w:val="20"/>
              </w:rPr>
            </w:pPr>
            <w:r w:rsidRPr="000C4F35">
              <w:rPr>
                <w:noProof/>
                <w:sz w:val="20"/>
              </w:rPr>
              <w:t xml:space="preserve">TOTAL appropriations co-financed </w:t>
            </w:r>
          </w:p>
        </w:tc>
        <w:tc>
          <w:tcPr>
            <w:tcW w:w="964" w:type="dxa"/>
            <w:vAlign w:val="center"/>
          </w:tcPr>
          <w:p w14:paraId="622B3630" w14:textId="77777777" w:rsidR="00470D07" w:rsidRPr="000C4F35" w:rsidRDefault="00470D07" w:rsidP="00685329">
            <w:pPr>
              <w:spacing w:before="60" w:after="60"/>
              <w:jc w:val="center"/>
              <w:rPr>
                <w:noProof/>
                <w:sz w:val="20"/>
              </w:rPr>
            </w:pPr>
          </w:p>
        </w:tc>
        <w:tc>
          <w:tcPr>
            <w:tcW w:w="964" w:type="dxa"/>
            <w:vAlign w:val="center"/>
          </w:tcPr>
          <w:p w14:paraId="2ECAB9E9" w14:textId="77777777" w:rsidR="00470D07" w:rsidRPr="000C4F35" w:rsidRDefault="00470D07" w:rsidP="00685329">
            <w:pPr>
              <w:spacing w:before="60" w:after="60"/>
              <w:jc w:val="center"/>
              <w:rPr>
                <w:noProof/>
                <w:sz w:val="20"/>
              </w:rPr>
            </w:pPr>
          </w:p>
        </w:tc>
        <w:tc>
          <w:tcPr>
            <w:tcW w:w="964" w:type="dxa"/>
            <w:vAlign w:val="center"/>
          </w:tcPr>
          <w:p w14:paraId="324AFDC1" w14:textId="77777777" w:rsidR="00470D07" w:rsidRPr="000C4F35" w:rsidRDefault="00470D07" w:rsidP="00685329">
            <w:pPr>
              <w:spacing w:before="60" w:after="60"/>
              <w:jc w:val="center"/>
              <w:rPr>
                <w:noProof/>
                <w:sz w:val="20"/>
              </w:rPr>
            </w:pPr>
          </w:p>
        </w:tc>
        <w:tc>
          <w:tcPr>
            <w:tcW w:w="964" w:type="dxa"/>
            <w:vAlign w:val="center"/>
          </w:tcPr>
          <w:p w14:paraId="01F5B45A" w14:textId="77777777" w:rsidR="00470D07" w:rsidRPr="000C4F35" w:rsidRDefault="00470D07" w:rsidP="00685329">
            <w:pPr>
              <w:spacing w:before="60" w:after="60"/>
              <w:jc w:val="center"/>
              <w:rPr>
                <w:noProof/>
                <w:sz w:val="20"/>
              </w:rPr>
            </w:pPr>
          </w:p>
        </w:tc>
        <w:tc>
          <w:tcPr>
            <w:tcW w:w="964" w:type="dxa"/>
            <w:vAlign w:val="center"/>
          </w:tcPr>
          <w:p w14:paraId="4A148F00" w14:textId="77777777" w:rsidR="00470D07" w:rsidRPr="000C4F35" w:rsidRDefault="00470D07" w:rsidP="00685329">
            <w:pPr>
              <w:spacing w:before="60" w:after="60"/>
              <w:jc w:val="center"/>
              <w:rPr>
                <w:noProof/>
                <w:sz w:val="20"/>
              </w:rPr>
            </w:pPr>
          </w:p>
        </w:tc>
        <w:tc>
          <w:tcPr>
            <w:tcW w:w="964" w:type="dxa"/>
            <w:vAlign w:val="center"/>
          </w:tcPr>
          <w:p w14:paraId="11BED696" w14:textId="77777777" w:rsidR="00470D07" w:rsidRPr="000C4F35" w:rsidRDefault="00470D07" w:rsidP="00685329">
            <w:pPr>
              <w:spacing w:before="60" w:after="60"/>
              <w:jc w:val="center"/>
              <w:rPr>
                <w:noProof/>
                <w:sz w:val="20"/>
              </w:rPr>
            </w:pPr>
          </w:p>
        </w:tc>
        <w:tc>
          <w:tcPr>
            <w:tcW w:w="964" w:type="dxa"/>
            <w:vAlign w:val="center"/>
          </w:tcPr>
          <w:p w14:paraId="613AEBF7" w14:textId="77777777" w:rsidR="00470D07" w:rsidRPr="000C4F35" w:rsidRDefault="00470D07" w:rsidP="00685329">
            <w:pPr>
              <w:spacing w:before="60" w:after="60"/>
              <w:jc w:val="center"/>
              <w:rPr>
                <w:noProof/>
                <w:sz w:val="20"/>
              </w:rPr>
            </w:pPr>
          </w:p>
        </w:tc>
        <w:tc>
          <w:tcPr>
            <w:tcW w:w="1158" w:type="dxa"/>
            <w:vAlign w:val="center"/>
          </w:tcPr>
          <w:p w14:paraId="2C7B5AC4" w14:textId="77777777" w:rsidR="00470D07" w:rsidRPr="000C4F35" w:rsidRDefault="00470D07" w:rsidP="00685329">
            <w:pPr>
              <w:spacing w:before="60" w:after="60"/>
              <w:jc w:val="center"/>
              <w:rPr>
                <w:noProof/>
                <w:sz w:val="20"/>
              </w:rPr>
            </w:pPr>
          </w:p>
        </w:tc>
      </w:tr>
    </w:tbl>
    <w:p w14:paraId="62159771" w14:textId="77777777" w:rsidR="00470D07" w:rsidRPr="000C4F35" w:rsidRDefault="00470D07" w:rsidP="00685329">
      <w:pPr>
        <w:rPr>
          <w:noProof/>
        </w:rPr>
      </w:pPr>
      <w:r w:rsidRPr="000C4F35">
        <w:rPr>
          <w:noProof/>
        </w:rPr>
        <w:br/>
      </w:r>
    </w:p>
    <w:p w14:paraId="715FBC2A" w14:textId="1A5AA340" w:rsidR="00470D07" w:rsidRPr="000C4F35" w:rsidRDefault="00470D07" w:rsidP="001678E4">
      <w:pPr>
        <w:pStyle w:val="ManualHeading2"/>
        <w:rPr>
          <w:noProof/>
          <w:szCs w:val="24"/>
        </w:rPr>
      </w:pPr>
      <w:r w:rsidRPr="000C4F35">
        <w:rPr>
          <w:noProof/>
        </w:rPr>
        <w:br w:type="page"/>
      </w:r>
      <w:bookmarkStart w:id="65" w:name="_Toc514938059"/>
      <w:bookmarkStart w:id="66" w:name="_Toc520485057"/>
      <w:r w:rsidR="001678E4" w:rsidRPr="001678E4">
        <w:t>3.3.</w:t>
      </w:r>
      <w:r w:rsidR="001678E4" w:rsidRPr="001678E4">
        <w:tab/>
      </w:r>
      <w:r w:rsidRPr="000C4F35">
        <w:rPr>
          <w:noProof/>
        </w:rPr>
        <w:t>Estimated impact on revenue</w:t>
      </w:r>
      <w:bookmarkEnd w:id="65"/>
      <w:bookmarkEnd w:id="66"/>
      <w:r w:rsidRPr="000C4F35">
        <w:rPr>
          <w:noProof/>
        </w:rPr>
        <w:t xml:space="preserve"> </w:t>
      </w:r>
    </w:p>
    <w:p w14:paraId="00C2899A" w14:textId="77777777" w:rsidR="00470D07" w:rsidRPr="000C4F35" w:rsidRDefault="00DB53C6" w:rsidP="00685329">
      <w:pPr>
        <w:pStyle w:val="ListDash1"/>
        <w:rPr>
          <w:noProof/>
        </w:rPr>
      </w:pPr>
      <w:r w:rsidRPr="000C4F35">
        <w:rPr>
          <w:rFonts w:eastAsia="Calibri"/>
          <w:noProof/>
          <w:lang w:eastAsia="en-GB"/>
        </w:rPr>
        <w:sym w:font="Wingdings" w:char="F0FD"/>
      </w:r>
      <w:r w:rsidR="00470D07" w:rsidRPr="000C4F35">
        <w:rPr>
          <w:noProof/>
        </w:rPr>
        <w:tab/>
        <w:t>The proposal/initiative has no financial impact on revenue.</w:t>
      </w:r>
    </w:p>
    <w:p w14:paraId="4225939D" w14:textId="77777777" w:rsidR="00470D07" w:rsidRPr="000C4F35" w:rsidRDefault="00470D07" w:rsidP="00685329">
      <w:pPr>
        <w:pStyle w:val="ListDash1"/>
        <w:rPr>
          <w:noProof/>
        </w:rPr>
      </w:pPr>
      <w:r w:rsidRPr="000C4F35">
        <w:rPr>
          <w:noProof/>
        </w:rPr>
        <w:sym w:font="Wingdings" w:char="F0A8"/>
      </w:r>
      <w:r w:rsidRPr="000C4F35">
        <w:rPr>
          <w:noProof/>
        </w:rPr>
        <w:tab/>
        <w:t>The proposal/initiative has the following financial impact:</w:t>
      </w:r>
    </w:p>
    <w:p w14:paraId="369CD07E" w14:textId="77777777" w:rsidR="00470D07" w:rsidRPr="000C4F35" w:rsidRDefault="00470D07" w:rsidP="00685329">
      <w:pPr>
        <w:pStyle w:val="ListNumberLevel3"/>
        <w:rPr>
          <w:noProof/>
        </w:rPr>
      </w:pPr>
      <w:r w:rsidRPr="000C4F35">
        <w:rPr>
          <w:noProof/>
        </w:rPr>
        <w:sym w:font="Wingdings" w:char="F0A8"/>
      </w:r>
      <w:r w:rsidRPr="000C4F35">
        <w:rPr>
          <w:noProof/>
        </w:rPr>
        <w:tab/>
        <w:t xml:space="preserve">on own resources </w:t>
      </w:r>
    </w:p>
    <w:p w14:paraId="38F74AA4" w14:textId="77777777" w:rsidR="00470D07" w:rsidRPr="000C4F35" w:rsidRDefault="00470D07" w:rsidP="00685329">
      <w:pPr>
        <w:pStyle w:val="ListNumberLevel3"/>
        <w:rPr>
          <w:noProof/>
        </w:rPr>
      </w:pPr>
      <w:r w:rsidRPr="000C4F35">
        <w:rPr>
          <w:noProof/>
        </w:rPr>
        <w:sym w:font="Wingdings" w:char="F0A8"/>
      </w:r>
      <w:r w:rsidRPr="000C4F35">
        <w:rPr>
          <w:noProof/>
        </w:rPr>
        <w:tab/>
        <w:t>on other revenue</w:t>
      </w:r>
    </w:p>
    <w:p w14:paraId="01F73964" w14:textId="77777777" w:rsidR="00470D07" w:rsidRPr="000C4F35" w:rsidRDefault="00470D07" w:rsidP="00685329">
      <w:pPr>
        <w:pStyle w:val="ListNumberLevel3"/>
        <w:rPr>
          <w:noProof/>
        </w:rPr>
      </w:pPr>
      <w:r w:rsidRPr="000C4F35">
        <w:rPr>
          <w:noProof/>
        </w:rPr>
        <w:t xml:space="preserve">please indicate, if the revenue is assigned to expenditure lines </w:t>
      </w:r>
      <w:r w:rsidRPr="000C4F35">
        <w:rPr>
          <w:noProof/>
        </w:rPr>
        <w:sym w:font="Wingdings" w:char="F0A8"/>
      </w:r>
      <w:r w:rsidRPr="000C4F35">
        <w:rPr>
          <w:noProof/>
        </w:rPr>
        <w:tab/>
      </w:r>
    </w:p>
    <w:p w14:paraId="04617392" w14:textId="03364AB9" w:rsidR="00470D07" w:rsidRPr="000C4F35" w:rsidRDefault="00470D07" w:rsidP="00685329">
      <w:pPr>
        <w:ind w:left="4320"/>
        <w:rPr>
          <w:i/>
          <w:noProof/>
          <w:sz w:val="20"/>
        </w:rPr>
      </w:pPr>
      <w:r w:rsidRPr="000C4F35">
        <w:rPr>
          <w:noProof/>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470D07" w:rsidRPr="000C4F35" w14:paraId="7E94C3C9" w14:textId="77777777" w:rsidTr="00470D07">
        <w:trPr>
          <w:trHeight w:val="388"/>
        </w:trPr>
        <w:tc>
          <w:tcPr>
            <w:tcW w:w="2144" w:type="dxa"/>
            <w:vMerge w:val="restart"/>
            <w:vAlign w:val="center"/>
          </w:tcPr>
          <w:p w14:paraId="299B4B09" w14:textId="77777777" w:rsidR="00470D07" w:rsidRPr="000C4F35" w:rsidRDefault="00470D07" w:rsidP="00685329">
            <w:pPr>
              <w:spacing w:before="40" w:after="40"/>
              <w:rPr>
                <w:noProof/>
                <w:sz w:val="18"/>
              </w:rPr>
            </w:pPr>
            <w:r w:rsidRPr="000C4F35">
              <w:rPr>
                <w:noProof/>
                <w:sz w:val="18"/>
              </w:rPr>
              <w:t>Budget revenue line:</w:t>
            </w:r>
          </w:p>
        </w:tc>
        <w:tc>
          <w:tcPr>
            <w:tcW w:w="1325" w:type="dxa"/>
            <w:vMerge w:val="restart"/>
            <w:vAlign w:val="center"/>
          </w:tcPr>
          <w:p w14:paraId="459A5C12" w14:textId="77777777" w:rsidR="00470D07" w:rsidRPr="000C4F35" w:rsidRDefault="00470D07" w:rsidP="00685329">
            <w:pPr>
              <w:jc w:val="center"/>
              <w:rPr>
                <w:noProof/>
                <w:sz w:val="18"/>
              </w:rPr>
            </w:pPr>
            <w:r w:rsidRPr="000C4F35">
              <w:rPr>
                <w:noProof/>
                <w:sz w:val="18"/>
              </w:rPr>
              <w:t>Appropriations available for the current financial year</w:t>
            </w:r>
          </w:p>
        </w:tc>
        <w:tc>
          <w:tcPr>
            <w:tcW w:w="7151" w:type="dxa"/>
            <w:gridSpan w:val="7"/>
            <w:vAlign w:val="center"/>
          </w:tcPr>
          <w:p w14:paraId="4DCAF7E4" w14:textId="77777777" w:rsidR="00470D07" w:rsidRPr="000C4F35" w:rsidRDefault="00470D07" w:rsidP="00685329">
            <w:pPr>
              <w:jc w:val="center"/>
              <w:rPr>
                <w:noProof/>
                <w:sz w:val="18"/>
              </w:rPr>
            </w:pPr>
            <w:r w:rsidRPr="000C4F35">
              <w:rPr>
                <w:noProof/>
                <w:sz w:val="18"/>
              </w:rPr>
              <w:t>Impact of the proposal/initiative</w:t>
            </w:r>
            <w:r w:rsidRPr="000C4F35">
              <w:rPr>
                <w:rStyle w:val="FootnoteReference"/>
                <w:noProof/>
                <w:sz w:val="18"/>
              </w:rPr>
              <w:footnoteReference w:id="61"/>
            </w:r>
          </w:p>
        </w:tc>
      </w:tr>
      <w:tr w:rsidR="00470D07" w:rsidRPr="000C4F35" w14:paraId="765989C8" w14:textId="77777777" w:rsidTr="00470D07">
        <w:trPr>
          <w:trHeight w:val="388"/>
        </w:trPr>
        <w:tc>
          <w:tcPr>
            <w:tcW w:w="2144" w:type="dxa"/>
            <w:vMerge/>
          </w:tcPr>
          <w:p w14:paraId="2C27EDAE" w14:textId="77777777" w:rsidR="00470D07" w:rsidRPr="000C4F35" w:rsidRDefault="00470D07" w:rsidP="00685329">
            <w:pPr>
              <w:spacing w:before="40" w:after="40"/>
              <w:rPr>
                <w:noProof/>
                <w:sz w:val="18"/>
              </w:rPr>
            </w:pPr>
          </w:p>
        </w:tc>
        <w:tc>
          <w:tcPr>
            <w:tcW w:w="1325" w:type="dxa"/>
            <w:vMerge/>
          </w:tcPr>
          <w:p w14:paraId="12D60933" w14:textId="77777777" w:rsidR="00470D07" w:rsidRPr="000C4F35" w:rsidRDefault="00470D07" w:rsidP="00685329">
            <w:pPr>
              <w:spacing w:beforeLines="40" w:before="96" w:afterLines="40" w:after="96"/>
              <w:rPr>
                <w:i/>
                <w:noProof/>
                <w:sz w:val="18"/>
              </w:rPr>
            </w:pPr>
          </w:p>
        </w:tc>
        <w:tc>
          <w:tcPr>
            <w:tcW w:w="1031" w:type="dxa"/>
            <w:vAlign w:val="center"/>
          </w:tcPr>
          <w:p w14:paraId="382BACF7" w14:textId="77777777" w:rsidR="00470D07" w:rsidRPr="000C4F35" w:rsidRDefault="00470D07" w:rsidP="00685329">
            <w:pPr>
              <w:jc w:val="center"/>
              <w:rPr>
                <w:noProof/>
                <w:sz w:val="18"/>
              </w:rPr>
            </w:pPr>
            <w:r w:rsidRPr="000C4F35">
              <w:rPr>
                <w:noProof/>
                <w:sz w:val="18"/>
              </w:rPr>
              <w:t>Year</w:t>
            </w:r>
            <w:r w:rsidRPr="000C4F35">
              <w:rPr>
                <w:noProof/>
                <w:sz w:val="22"/>
              </w:rPr>
              <w:br/>
            </w:r>
            <w:r w:rsidRPr="000C4F35">
              <w:rPr>
                <w:b/>
                <w:noProof/>
                <w:sz w:val="18"/>
              </w:rPr>
              <w:t>N</w:t>
            </w:r>
          </w:p>
        </w:tc>
        <w:tc>
          <w:tcPr>
            <w:tcW w:w="900" w:type="dxa"/>
            <w:vAlign w:val="center"/>
          </w:tcPr>
          <w:p w14:paraId="7E97457C" w14:textId="77777777" w:rsidR="00470D07" w:rsidRPr="000C4F35" w:rsidRDefault="00470D07" w:rsidP="00685329">
            <w:pPr>
              <w:jc w:val="center"/>
              <w:rPr>
                <w:noProof/>
                <w:sz w:val="18"/>
              </w:rPr>
            </w:pPr>
            <w:r w:rsidRPr="000C4F35">
              <w:rPr>
                <w:noProof/>
                <w:sz w:val="18"/>
              </w:rPr>
              <w:t>Year</w:t>
            </w:r>
            <w:r w:rsidRPr="000C4F35">
              <w:rPr>
                <w:noProof/>
                <w:sz w:val="22"/>
              </w:rPr>
              <w:br/>
            </w:r>
            <w:r w:rsidRPr="000C4F35">
              <w:rPr>
                <w:b/>
                <w:noProof/>
                <w:sz w:val="18"/>
              </w:rPr>
              <w:t>N+1</w:t>
            </w:r>
          </w:p>
        </w:tc>
        <w:tc>
          <w:tcPr>
            <w:tcW w:w="900" w:type="dxa"/>
            <w:vAlign w:val="center"/>
          </w:tcPr>
          <w:p w14:paraId="0C51AA60" w14:textId="77777777" w:rsidR="00470D07" w:rsidRPr="000C4F35" w:rsidRDefault="00470D07" w:rsidP="00685329">
            <w:pPr>
              <w:jc w:val="center"/>
              <w:rPr>
                <w:noProof/>
                <w:sz w:val="18"/>
              </w:rPr>
            </w:pPr>
            <w:r w:rsidRPr="000C4F35">
              <w:rPr>
                <w:noProof/>
                <w:sz w:val="18"/>
              </w:rPr>
              <w:t>Year</w:t>
            </w:r>
            <w:r w:rsidRPr="000C4F35">
              <w:rPr>
                <w:noProof/>
                <w:sz w:val="22"/>
              </w:rPr>
              <w:br/>
            </w:r>
            <w:r w:rsidRPr="000C4F35">
              <w:rPr>
                <w:b/>
                <w:noProof/>
                <w:sz w:val="18"/>
              </w:rPr>
              <w:t>N+2</w:t>
            </w:r>
          </w:p>
        </w:tc>
        <w:tc>
          <w:tcPr>
            <w:tcW w:w="1080" w:type="dxa"/>
            <w:vAlign w:val="center"/>
          </w:tcPr>
          <w:p w14:paraId="3401CFF6" w14:textId="77777777" w:rsidR="00470D07" w:rsidRPr="000C4F35" w:rsidRDefault="00470D07" w:rsidP="00685329">
            <w:pPr>
              <w:jc w:val="center"/>
              <w:rPr>
                <w:noProof/>
                <w:sz w:val="18"/>
              </w:rPr>
            </w:pPr>
            <w:r w:rsidRPr="000C4F35">
              <w:rPr>
                <w:noProof/>
                <w:sz w:val="18"/>
              </w:rPr>
              <w:t>Year</w:t>
            </w:r>
            <w:r w:rsidRPr="000C4F35">
              <w:rPr>
                <w:noProof/>
                <w:sz w:val="22"/>
              </w:rPr>
              <w:br/>
            </w:r>
            <w:r w:rsidRPr="000C4F35">
              <w:rPr>
                <w:b/>
                <w:noProof/>
                <w:sz w:val="18"/>
              </w:rPr>
              <w:t>N+3</w:t>
            </w:r>
          </w:p>
        </w:tc>
        <w:tc>
          <w:tcPr>
            <w:tcW w:w="3240" w:type="dxa"/>
            <w:gridSpan w:val="3"/>
            <w:vAlign w:val="center"/>
          </w:tcPr>
          <w:p w14:paraId="4493D4DA" w14:textId="77777777" w:rsidR="00470D07" w:rsidRPr="000C4F35" w:rsidRDefault="00470D07" w:rsidP="00685329">
            <w:pPr>
              <w:jc w:val="center"/>
              <w:rPr>
                <w:b/>
                <w:noProof/>
                <w:sz w:val="18"/>
              </w:rPr>
            </w:pPr>
            <w:r w:rsidRPr="000C4F35">
              <w:rPr>
                <w:noProof/>
                <w:sz w:val="18"/>
              </w:rPr>
              <w:t>Enter as many years as necessary to show the duration of the impact (see point 1.6)</w:t>
            </w:r>
          </w:p>
        </w:tc>
      </w:tr>
      <w:tr w:rsidR="00470D07" w:rsidRPr="000C4F35" w14:paraId="3C15D4CB" w14:textId="77777777" w:rsidTr="00470D07">
        <w:trPr>
          <w:trHeight w:val="388"/>
        </w:trPr>
        <w:tc>
          <w:tcPr>
            <w:tcW w:w="2144" w:type="dxa"/>
            <w:vAlign w:val="center"/>
          </w:tcPr>
          <w:p w14:paraId="6407AEA5" w14:textId="77777777" w:rsidR="00470D07" w:rsidRPr="000C4F35" w:rsidRDefault="00470D07" w:rsidP="00685329">
            <w:pPr>
              <w:spacing w:before="40" w:after="40"/>
              <w:rPr>
                <w:noProof/>
                <w:sz w:val="18"/>
              </w:rPr>
            </w:pPr>
            <w:r w:rsidRPr="000C4F35">
              <w:rPr>
                <w:noProof/>
                <w:sz w:val="18"/>
              </w:rPr>
              <w:t>Article ………….</w:t>
            </w:r>
          </w:p>
        </w:tc>
        <w:tc>
          <w:tcPr>
            <w:tcW w:w="1325" w:type="dxa"/>
          </w:tcPr>
          <w:p w14:paraId="15C3ECDA" w14:textId="77777777" w:rsidR="00470D07" w:rsidRPr="000C4F35" w:rsidRDefault="00470D07" w:rsidP="00685329">
            <w:pPr>
              <w:spacing w:beforeLines="40" w:before="96" w:afterLines="40" w:after="96"/>
              <w:jc w:val="center"/>
              <w:rPr>
                <w:i/>
                <w:noProof/>
                <w:sz w:val="18"/>
              </w:rPr>
            </w:pPr>
          </w:p>
        </w:tc>
        <w:tc>
          <w:tcPr>
            <w:tcW w:w="1031" w:type="dxa"/>
          </w:tcPr>
          <w:p w14:paraId="186212CE" w14:textId="77777777" w:rsidR="00470D07" w:rsidRPr="000C4F35" w:rsidRDefault="00470D07" w:rsidP="00685329">
            <w:pPr>
              <w:spacing w:beforeLines="40" w:before="96" w:afterLines="40" w:after="96"/>
              <w:jc w:val="center"/>
              <w:rPr>
                <w:noProof/>
                <w:sz w:val="18"/>
              </w:rPr>
            </w:pPr>
          </w:p>
        </w:tc>
        <w:tc>
          <w:tcPr>
            <w:tcW w:w="900" w:type="dxa"/>
          </w:tcPr>
          <w:p w14:paraId="057837BD" w14:textId="77777777" w:rsidR="00470D07" w:rsidRPr="000C4F35" w:rsidRDefault="00470D07" w:rsidP="00685329">
            <w:pPr>
              <w:spacing w:beforeLines="40" w:before="96" w:afterLines="40" w:after="96"/>
              <w:jc w:val="center"/>
              <w:rPr>
                <w:noProof/>
                <w:sz w:val="18"/>
              </w:rPr>
            </w:pPr>
          </w:p>
        </w:tc>
        <w:tc>
          <w:tcPr>
            <w:tcW w:w="900" w:type="dxa"/>
          </w:tcPr>
          <w:p w14:paraId="6FFF0B66" w14:textId="77777777" w:rsidR="00470D07" w:rsidRPr="000C4F35" w:rsidRDefault="00470D07" w:rsidP="00685329">
            <w:pPr>
              <w:spacing w:beforeLines="40" w:before="96" w:afterLines="40" w:after="96"/>
              <w:jc w:val="center"/>
              <w:rPr>
                <w:noProof/>
                <w:sz w:val="18"/>
              </w:rPr>
            </w:pPr>
          </w:p>
        </w:tc>
        <w:tc>
          <w:tcPr>
            <w:tcW w:w="1080" w:type="dxa"/>
          </w:tcPr>
          <w:p w14:paraId="26653BAC" w14:textId="77777777" w:rsidR="00470D07" w:rsidRPr="000C4F35" w:rsidRDefault="00470D07" w:rsidP="00685329">
            <w:pPr>
              <w:spacing w:beforeLines="40" w:before="96" w:afterLines="40" w:after="96"/>
              <w:jc w:val="center"/>
              <w:rPr>
                <w:noProof/>
                <w:sz w:val="18"/>
              </w:rPr>
            </w:pPr>
          </w:p>
        </w:tc>
        <w:tc>
          <w:tcPr>
            <w:tcW w:w="1080" w:type="dxa"/>
          </w:tcPr>
          <w:p w14:paraId="14AEF374" w14:textId="77777777" w:rsidR="00470D07" w:rsidRPr="000C4F35" w:rsidRDefault="00470D07" w:rsidP="00685329">
            <w:pPr>
              <w:spacing w:beforeLines="40" w:before="96" w:afterLines="40" w:after="96"/>
              <w:jc w:val="center"/>
              <w:rPr>
                <w:noProof/>
                <w:sz w:val="18"/>
              </w:rPr>
            </w:pPr>
          </w:p>
        </w:tc>
        <w:tc>
          <w:tcPr>
            <w:tcW w:w="1080" w:type="dxa"/>
          </w:tcPr>
          <w:p w14:paraId="16BE64F0" w14:textId="77777777" w:rsidR="00470D07" w:rsidRPr="000C4F35" w:rsidRDefault="00470D07" w:rsidP="00685329">
            <w:pPr>
              <w:spacing w:beforeLines="40" w:before="96" w:afterLines="40" w:after="96"/>
              <w:jc w:val="center"/>
              <w:rPr>
                <w:noProof/>
                <w:sz w:val="18"/>
              </w:rPr>
            </w:pPr>
          </w:p>
        </w:tc>
        <w:tc>
          <w:tcPr>
            <w:tcW w:w="1080" w:type="dxa"/>
          </w:tcPr>
          <w:p w14:paraId="2132FCB8" w14:textId="77777777" w:rsidR="00470D07" w:rsidRPr="000C4F35" w:rsidRDefault="00470D07" w:rsidP="00685329">
            <w:pPr>
              <w:spacing w:beforeLines="40" w:before="96" w:afterLines="40" w:after="96"/>
              <w:jc w:val="center"/>
              <w:rPr>
                <w:noProof/>
                <w:sz w:val="18"/>
              </w:rPr>
            </w:pPr>
          </w:p>
        </w:tc>
      </w:tr>
    </w:tbl>
    <w:p w14:paraId="2C914132" w14:textId="77777777" w:rsidR="00470D07" w:rsidRPr="000C4F35" w:rsidRDefault="00470D07" w:rsidP="00685329">
      <w:pPr>
        <w:pStyle w:val="Text1"/>
        <w:rPr>
          <w:noProof/>
          <w:sz w:val="20"/>
        </w:rPr>
      </w:pPr>
      <w:r w:rsidRPr="000C4F35">
        <w:rPr>
          <w:noProof/>
          <w:sz w:val="20"/>
        </w:rPr>
        <w:t>For assigned revenue, specify the budget expenditure line(s) affected.</w:t>
      </w:r>
    </w:p>
    <w:p w14:paraId="73BFC4D1" w14:textId="330E4FC5" w:rsidR="00470D07" w:rsidRPr="000C4F35" w:rsidRDefault="00470D07" w:rsidP="00D408F1">
      <w:pPr>
        <w:pStyle w:val="Text1"/>
        <w:rPr>
          <w:noProof/>
        </w:rPr>
      </w:pPr>
      <w:r w:rsidRPr="000C4F35">
        <w:rPr>
          <w:noProof/>
          <w:sz w:val="20"/>
        </w:rPr>
        <w:t>Other remarks (e.g. method/formula used for calculating the impact on revenue or any other information).</w:t>
      </w:r>
      <w:r w:rsidR="00D408F1">
        <w:rPr>
          <w:rStyle w:val="CommentReference"/>
          <w:rFonts w:eastAsia="Times New Roman"/>
          <w:noProof/>
          <w:lang w:eastAsia="en-GB"/>
        </w:rPr>
        <w:t xml:space="preserve"> </w:t>
      </w:r>
    </w:p>
    <w:sectPr w:rsidR="00470D07" w:rsidRPr="000C4F35" w:rsidSect="00E0492F">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DB214" w14:textId="77777777" w:rsidR="001D750C" w:rsidRDefault="001D750C" w:rsidP="00470D07">
      <w:pPr>
        <w:spacing w:before="0" w:after="0"/>
      </w:pPr>
      <w:r>
        <w:separator/>
      </w:r>
    </w:p>
  </w:endnote>
  <w:endnote w:type="continuationSeparator" w:id="0">
    <w:p w14:paraId="1A103331" w14:textId="77777777" w:rsidR="001D750C" w:rsidRDefault="001D750C" w:rsidP="00470D07">
      <w:pPr>
        <w:spacing w:before="0" w:after="0"/>
      </w:pPr>
      <w:r>
        <w:continuationSeparator/>
      </w:r>
    </w:p>
  </w:endnote>
  <w:endnote w:type="continuationNotice" w:id="1">
    <w:p w14:paraId="63E20527" w14:textId="77777777" w:rsidR="001D750C" w:rsidRDefault="001D75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variable"/>
  </w:font>
  <w:font w:name="Wingdings">
    <w:panose1 w:val="05000000000000000000"/>
    <w:charset w:val="02"/>
    <w:family w:val="auto"/>
    <w:pitch w:val="variable"/>
    <w:sig w:usb0="00000000" w:usb1="10000000" w:usb2="00000000" w:usb3="00000000" w:csb0="80000000" w:csb1="00000000"/>
  </w:font>
  <w:font w:name="EUAlbertina">
    <w:altName w:val="MS Gothic"/>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285D5" w14:textId="059590FF" w:rsidR="004007CF" w:rsidRPr="00E0492F" w:rsidRDefault="00E0492F" w:rsidP="00E0492F">
    <w:pPr>
      <w:pStyle w:val="Footer"/>
      <w:rPr>
        <w:rFonts w:ascii="Arial" w:hAnsi="Arial" w:cs="Arial"/>
        <w:b/>
        <w:sz w:val="48"/>
      </w:rPr>
    </w:pPr>
    <w:r w:rsidRPr="00E0492F">
      <w:rPr>
        <w:rFonts w:ascii="Arial" w:hAnsi="Arial" w:cs="Arial"/>
        <w:b/>
        <w:sz w:val="48"/>
      </w:rPr>
      <w:t>EN</w:t>
    </w:r>
    <w:r w:rsidRPr="00E0492F">
      <w:rPr>
        <w:rFonts w:ascii="Arial" w:hAnsi="Arial" w:cs="Arial"/>
        <w:b/>
        <w:sz w:val="48"/>
      </w:rPr>
      <w:tab/>
    </w:r>
    <w:r w:rsidRPr="00E0492F">
      <w:rPr>
        <w:rFonts w:ascii="Arial" w:hAnsi="Arial" w:cs="Arial"/>
        <w:b/>
        <w:sz w:val="48"/>
      </w:rPr>
      <w:tab/>
    </w:r>
    <w:r w:rsidRPr="00E0492F">
      <w:tab/>
    </w:r>
    <w:r w:rsidRPr="00E0492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7960D" w14:textId="1D8551DE" w:rsidR="00E0492F" w:rsidRPr="00E0492F" w:rsidRDefault="00E0492F" w:rsidP="00E0492F">
    <w:pPr>
      <w:pStyle w:val="Footer"/>
      <w:rPr>
        <w:rFonts w:ascii="Arial" w:hAnsi="Arial" w:cs="Arial"/>
        <w:b/>
        <w:sz w:val="48"/>
      </w:rPr>
    </w:pPr>
    <w:r w:rsidRPr="00E0492F">
      <w:rPr>
        <w:rFonts w:ascii="Arial" w:hAnsi="Arial" w:cs="Arial"/>
        <w:b/>
        <w:sz w:val="48"/>
      </w:rPr>
      <w:t>EN</w:t>
    </w:r>
    <w:r w:rsidRPr="00E0492F">
      <w:rPr>
        <w:rFonts w:ascii="Arial" w:hAnsi="Arial" w:cs="Arial"/>
        <w:b/>
        <w:sz w:val="48"/>
      </w:rPr>
      <w:tab/>
    </w:r>
    <w:r>
      <w:fldChar w:fldCharType="begin"/>
    </w:r>
    <w:r>
      <w:instrText xml:space="preserve"> PAGE  \* MERGEFORMAT </w:instrText>
    </w:r>
    <w:r>
      <w:fldChar w:fldCharType="separate"/>
    </w:r>
    <w:r w:rsidR="00E22303">
      <w:rPr>
        <w:noProof/>
      </w:rPr>
      <w:t>44</w:t>
    </w:r>
    <w:r>
      <w:fldChar w:fldCharType="end"/>
    </w:r>
    <w:r>
      <w:tab/>
    </w:r>
    <w:r w:rsidRPr="00E0492F">
      <w:tab/>
    </w:r>
    <w:r w:rsidRPr="00E0492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BAAB" w14:textId="77777777" w:rsidR="00E0492F" w:rsidRPr="00E0492F" w:rsidRDefault="00E0492F" w:rsidP="00E049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2DF1A" w14:textId="2E3C21B6" w:rsidR="00E0492F" w:rsidRPr="00E0492F" w:rsidRDefault="00E0492F" w:rsidP="00E0492F">
    <w:pPr>
      <w:pStyle w:val="FooterLandscape"/>
      <w:rPr>
        <w:rFonts w:ascii="Arial" w:hAnsi="Arial" w:cs="Arial"/>
        <w:b/>
        <w:sz w:val="48"/>
      </w:rPr>
    </w:pPr>
    <w:r w:rsidRPr="00E0492F">
      <w:rPr>
        <w:rFonts w:ascii="Arial" w:hAnsi="Arial" w:cs="Arial"/>
        <w:b/>
        <w:sz w:val="48"/>
      </w:rPr>
      <w:t>EN</w:t>
    </w:r>
    <w:r w:rsidRPr="00E0492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0492F">
      <w:tab/>
    </w:r>
    <w:r w:rsidRPr="00E0492F">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CD98B" w14:textId="77777777" w:rsidR="00E0492F" w:rsidRPr="00E0492F" w:rsidRDefault="00E0492F" w:rsidP="00E0492F">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F2001" w14:textId="41D52079" w:rsidR="006072E5" w:rsidRPr="00E0492F" w:rsidRDefault="00E0492F" w:rsidP="00E0492F">
    <w:pPr>
      <w:pStyle w:val="Footer"/>
      <w:rPr>
        <w:rFonts w:ascii="Arial" w:hAnsi="Arial" w:cs="Arial"/>
        <w:b/>
        <w:sz w:val="48"/>
      </w:rPr>
    </w:pPr>
    <w:r w:rsidRPr="00E0492F">
      <w:rPr>
        <w:rFonts w:ascii="Arial" w:hAnsi="Arial" w:cs="Arial"/>
        <w:b/>
        <w:sz w:val="48"/>
      </w:rPr>
      <w:t>EN</w:t>
    </w:r>
    <w:r w:rsidRPr="00E0492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0492F">
      <w:tab/>
    </w:r>
    <w:r w:rsidRPr="00E0492F">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FE80A" w14:textId="77777777" w:rsidR="00E0492F" w:rsidRPr="00E0492F" w:rsidRDefault="00E0492F" w:rsidP="00E04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01876" w14:textId="77777777" w:rsidR="001D750C" w:rsidRDefault="001D750C" w:rsidP="00470D07">
      <w:pPr>
        <w:spacing w:before="0" w:after="0"/>
      </w:pPr>
      <w:r>
        <w:separator/>
      </w:r>
    </w:p>
  </w:footnote>
  <w:footnote w:type="continuationSeparator" w:id="0">
    <w:p w14:paraId="34B379FD" w14:textId="77777777" w:rsidR="001D750C" w:rsidRDefault="001D750C" w:rsidP="00470D07">
      <w:pPr>
        <w:spacing w:before="0" w:after="0"/>
      </w:pPr>
      <w:r>
        <w:continuationSeparator/>
      </w:r>
    </w:p>
  </w:footnote>
  <w:footnote w:type="continuationNotice" w:id="1">
    <w:p w14:paraId="2D80B2C9" w14:textId="77777777" w:rsidR="001D750C" w:rsidRDefault="001D750C">
      <w:pPr>
        <w:spacing w:before="0" w:after="0"/>
      </w:pPr>
    </w:p>
  </w:footnote>
  <w:footnote w:id="2">
    <w:p w14:paraId="5C2BC7B6" w14:textId="77777777" w:rsidR="001D750C" w:rsidRPr="004532E8" w:rsidRDefault="001D750C" w:rsidP="00652D5B">
      <w:pPr>
        <w:pStyle w:val="FootnoteText"/>
      </w:pPr>
      <w:r w:rsidRPr="004532E8">
        <w:rPr>
          <w:rStyle w:val="FootnoteReference"/>
        </w:rPr>
        <w:footnoteRef/>
      </w:r>
      <w:r w:rsidRPr="004532E8">
        <w:tab/>
        <w:t>Article 2(7) of Regulation (EU) No 909/2014 of the European Parliament and of the Council of 23 July 2014 on improving securities settlement in the European Union and on central securities depositories and amending Directives 98/26/EC and 2014/65/EU and Regulation (EU) No 236/2012, OJ L 257, 28.8.2014 (CSDR).</w:t>
      </w:r>
    </w:p>
  </w:footnote>
  <w:footnote w:id="3">
    <w:p w14:paraId="16997992" w14:textId="77777777" w:rsidR="001D750C" w:rsidRPr="004532E8" w:rsidRDefault="001D750C" w:rsidP="00652D5B">
      <w:pPr>
        <w:pStyle w:val="FootnoteText"/>
      </w:pPr>
      <w:r w:rsidRPr="004532E8">
        <w:rPr>
          <w:rStyle w:val="FootnoteReference"/>
        </w:rPr>
        <w:footnoteRef/>
      </w:r>
      <w:r w:rsidRPr="004532E8">
        <w:tab/>
        <w:t xml:space="preserve">These include providing cash accounts, accepting deposits from participants to a securities settlement system, providing cash credit, guarantees of payment services. Other ancillary services include collateral management, maintenance of shareholder registers, supporting corporate actions. </w:t>
      </w:r>
    </w:p>
  </w:footnote>
  <w:footnote w:id="4">
    <w:p w14:paraId="18D99176" w14:textId="77777777" w:rsidR="001D750C" w:rsidRPr="004532E8" w:rsidRDefault="001D750C" w:rsidP="00652D5B">
      <w:pPr>
        <w:pStyle w:val="FootnoteText"/>
      </w:pPr>
      <w:r w:rsidRPr="004532E8">
        <w:rPr>
          <w:rStyle w:val="FootnoteReference"/>
        </w:rPr>
        <w:footnoteRef/>
      </w:r>
      <w:r w:rsidRPr="004532E8">
        <w:tab/>
        <w:t xml:space="preserve">Data generated through the Securities Trading, Clearing and Settlement Statistics Database, European Central Bank, </w:t>
      </w:r>
      <w:hyperlink r:id="rId1" w:history="1">
        <w:r w:rsidRPr="004532E8">
          <w:rPr>
            <w:rStyle w:val="Hyperlink"/>
          </w:rPr>
          <w:t>https://sdw.ecb.europa.eu/browse.do?node=9691131</w:t>
        </w:r>
      </w:hyperlink>
      <w:r w:rsidRPr="004532E8">
        <w:t xml:space="preserve"> </w:t>
      </w:r>
    </w:p>
  </w:footnote>
  <w:footnote w:id="5">
    <w:p w14:paraId="6DAE10EA" w14:textId="77777777" w:rsidR="001D750C" w:rsidRPr="004532E8" w:rsidRDefault="001D750C" w:rsidP="00652D5B">
      <w:pPr>
        <w:pStyle w:val="FootnoteText"/>
      </w:pPr>
      <w:r w:rsidRPr="004532E8">
        <w:rPr>
          <w:rStyle w:val="FootnoteReference"/>
        </w:rPr>
        <w:footnoteRef/>
      </w:r>
      <w:r w:rsidRPr="004532E8">
        <w:tab/>
        <w:t>Directive 2004/39/EC of the European Parliament and of the Council of 21 April 2004 on markets in financial instruments amending Council Directives 85/611/EEC and 93/6/EEC and Directive 2000/12/EC of the European Parliament and of the Council and repealing Council Directive 93/22/EEC, OJ L 145, 30.4.2004. MiFID was in force until 2 January 2018. Today, it is partly recast with MiFID2 (Directive 2014/65/EU of the European Parliament and of the Council of 15 May 2014 on markets in financial instruments and amending Directive 2002/92/EC and Directive 2011/61/EU, OJ L 173, 12.6.2014) and partly replaced with MiFIR (Regulation (EU) No 600/2014 of the European Parliament and of the Council of 15 May 2014 on markets in financial instruments and amending Regulation (EU) No 648/2012, OJ L 173, 12.6.2014).</w:t>
      </w:r>
    </w:p>
  </w:footnote>
  <w:footnote w:id="6">
    <w:p w14:paraId="49CBD1ED" w14:textId="77777777" w:rsidR="001D750C" w:rsidRPr="004532E8" w:rsidRDefault="001D750C" w:rsidP="00652D5B">
      <w:pPr>
        <w:pStyle w:val="FootnoteText"/>
      </w:pPr>
      <w:r w:rsidRPr="004532E8">
        <w:rPr>
          <w:rStyle w:val="FootnoteReference"/>
        </w:rPr>
        <w:footnoteRef/>
      </w:r>
      <w:r w:rsidRPr="004532E8">
        <w:tab/>
        <w:t>Regulation (EU) No 648/2012 of the European Parliament and of the Council of 4 July 2012 on OTC derivatives, central counterparties and trade repositories, OJ L 201, 27.7.2012.</w:t>
      </w:r>
    </w:p>
  </w:footnote>
  <w:footnote w:id="7">
    <w:p w14:paraId="2B4140BF" w14:textId="77777777" w:rsidR="001D750C" w:rsidRPr="004532E8" w:rsidRDefault="001D750C" w:rsidP="00652D5B">
      <w:pPr>
        <w:pStyle w:val="FootnoteText"/>
      </w:pPr>
      <w:r w:rsidRPr="004532E8">
        <w:rPr>
          <w:rStyle w:val="FootnoteReference"/>
        </w:rPr>
        <w:footnoteRef/>
      </w:r>
      <w:r w:rsidRPr="004532E8">
        <w:tab/>
      </w:r>
      <w:hyperlink r:id="rId2" w:history="1">
        <w:r w:rsidRPr="004532E8">
          <w:rPr>
            <w:rStyle w:val="Hyperlink"/>
          </w:rPr>
          <w:t>https://www.ecb.europa.eu/paym/target/t2s/html/index.en.html</w:t>
        </w:r>
      </w:hyperlink>
      <w:r w:rsidRPr="004532E8">
        <w:t xml:space="preserve">. </w:t>
      </w:r>
    </w:p>
  </w:footnote>
  <w:footnote w:id="8">
    <w:p w14:paraId="015DBC74" w14:textId="77777777" w:rsidR="001D750C" w:rsidRPr="004532E8" w:rsidRDefault="001D750C" w:rsidP="00652D5B">
      <w:pPr>
        <w:pStyle w:val="FootnoteText"/>
        <w:rPr>
          <w:lang w:val="en-IE"/>
        </w:rPr>
      </w:pPr>
      <w:r w:rsidRPr="004532E8">
        <w:rPr>
          <w:rStyle w:val="FootnoteReference"/>
        </w:rPr>
        <w:footnoteRef/>
      </w:r>
      <w:r w:rsidRPr="004532E8">
        <w:tab/>
      </w:r>
      <w:hyperlink r:id="rId3" w:history="1">
        <w:r w:rsidRPr="004532E8">
          <w:rPr>
            <w:rStyle w:val="Hyperlink"/>
            <w:lang w:val="en-IE"/>
          </w:rPr>
          <w:t>https://www.fsb.org/wp-content/uploads/pr_101020.pdf</w:t>
        </w:r>
      </w:hyperlink>
      <w:r w:rsidRPr="004532E8">
        <w:rPr>
          <w:rStyle w:val="Hyperlink"/>
          <w:lang w:val="en-IE"/>
        </w:rPr>
        <w:t>.</w:t>
      </w:r>
      <w:r w:rsidRPr="004532E8">
        <w:rPr>
          <w:lang w:val="en-IE"/>
        </w:rPr>
        <w:t xml:space="preserve"> </w:t>
      </w:r>
    </w:p>
  </w:footnote>
  <w:footnote w:id="9">
    <w:p w14:paraId="0413522F" w14:textId="77777777" w:rsidR="001D750C" w:rsidRPr="004532E8" w:rsidRDefault="001D750C" w:rsidP="00652D5B">
      <w:pPr>
        <w:pStyle w:val="FootnoteText"/>
        <w:rPr>
          <w:lang w:val="en-IE"/>
        </w:rPr>
      </w:pPr>
      <w:r w:rsidRPr="004532E8">
        <w:rPr>
          <w:rStyle w:val="FootnoteReference"/>
        </w:rPr>
        <w:footnoteRef/>
      </w:r>
      <w:r w:rsidRPr="004532E8">
        <w:rPr>
          <w:lang w:val="en-IE"/>
        </w:rPr>
        <w:tab/>
      </w:r>
      <w:hyperlink r:id="rId4" w:history="1">
        <w:r w:rsidRPr="004532E8">
          <w:rPr>
            <w:rStyle w:val="Hyperlink"/>
            <w:lang w:val="en-IE"/>
          </w:rPr>
          <w:t>https://www.bis.org/cpmi/publ/d101.htm</w:t>
        </w:r>
      </w:hyperlink>
      <w:r w:rsidRPr="004532E8">
        <w:rPr>
          <w:rStyle w:val="Hyperlink"/>
          <w:lang w:val="en-IE"/>
        </w:rPr>
        <w:t>.</w:t>
      </w:r>
      <w:r w:rsidRPr="004532E8">
        <w:rPr>
          <w:lang w:val="en-IE"/>
        </w:rPr>
        <w:t xml:space="preserve"> </w:t>
      </w:r>
    </w:p>
  </w:footnote>
  <w:footnote w:id="10">
    <w:p w14:paraId="744496B6" w14:textId="77777777" w:rsidR="001D750C" w:rsidRPr="004532E8" w:rsidRDefault="001D750C" w:rsidP="00652D5B">
      <w:pPr>
        <w:pStyle w:val="FootnoteText"/>
      </w:pPr>
      <w:r w:rsidRPr="004532E8">
        <w:rPr>
          <w:rStyle w:val="FootnoteReference"/>
        </w:rPr>
        <w:footnoteRef/>
      </w:r>
      <w:r w:rsidRPr="004532E8">
        <w:tab/>
        <w:t>See Communication from the Commission, A Capital Markets Union for people and businesses – New action plan, COM(2020) 590, Action 13.</w:t>
      </w:r>
    </w:p>
  </w:footnote>
  <w:footnote w:id="11">
    <w:p w14:paraId="0656ADF4" w14:textId="77777777" w:rsidR="001D750C" w:rsidRPr="004532E8" w:rsidRDefault="001D750C" w:rsidP="00652D5B">
      <w:pPr>
        <w:pStyle w:val="FootnoteText"/>
        <w:rPr>
          <w:lang w:val="en-US"/>
        </w:rPr>
      </w:pPr>
      <w:r w:rsidRPr="00654A4E">
        <w:rPr>
          <w:rStyle w:val="FootnoteReference"/>
        </w:rPr>
        <w:footnoteRef/>
      </w:r>
      <w:r>
        <w:tab/>
      </w:r>
      <w:r w:rsidRPr="004532E8">
        <w:t>European Parliament Resolution of 8 October 2020 on further development of the Capital Markets Union (CMU), (2020/2036, (INI)), see para. 21.</w:t>
      </w:r>
    </w:p>
  </w:footnote>
  <w:footnote w:id="12">
    <w:p w14:paraId="465C182C" w14:textId="77777777" w:rsidR="001D750C" w:rsidRPr="004532E8" w:rsidRDefault="001D750C" w:rsidP="00652D5B">
      <w:pPr>
        <w:pStyle w:val="FootnoteText"/>
        <w:rPr>
          <w:lang w:val="en-US"/>
        </w:rPr>
      </w:pPr>
      <w:r w:rsidRPr="00654A4E">
        <w:rPr>
          <w:rStyle w:val="FootnoteReference"/>
        </w:rPr>
        <w:footnoteRef/>
      </w:r>
      <w:r>
        <w:tab/>
      </w:r>
      <w:r w:rsidRPr="004532E8">
        <w:t>The settlement discipline regime aims to encourage market participants to avoid settlement fails; its two main elements are the measures to prevent settlement fails (Article 6 of CSDR) and the measures to address settlement fails (Article 7 of CSDR). The latter comprise three main pillars; reporting requirements, cash penalties and mandatory buy-ins.</w:t>
      </w:r>
    </w:p>
  </w:footnote>
  <w:footnote w:id="13">
    <w:p w14:paraId="5618221B" w14:textId="77777777" w:rsidR="001D750C" w:rsidRPr="004532E8" w:rsidRDefault="001D750C" w:rsidP="00652D5B">
      <w:pPr>
        <w:pStyle w:val="FootnoteText"/>
      </w:pPr>
      <w:r w:rsidRPr="004532E8">
        <w:rPr>
          <w:rStyle w:val="FootnoteReference"/>
        </w:rPr>
        <w:footnoteRef/>
      </w:r>
      <w:r w:rsidRPr="004532E8">
        <w:tab/>
        <w:t xml:space="preserve">Commission targeted consultation on the review of regulation on improving securities settlement in the European Union and on central securities depositories, </w:t>
      </w:r>
      <w:hyperlink r:id="rId5" w:history="1">
        <w:r w:rsidRPr="004532E8">
          <w:rPr>
            <w:rStyle w:val="Hyperlink"/>
          </w:rPr>
          <w:t>https://ec.europa.eu/info/consultations/finance-2020-csdr-review_en</w:t>
        </w:r>
      </w:hyperlink>
      <w:r w:rsidRPr="004532E8">
        <w:t xml:space="preserve"> </w:t>
      </w:r>
    </w:p>
  </w:footnote>
  <w:footnote w:id="14">
    <w:p w14:paraId="76E142A4" w14:textId="77777777" w:rsidR="001D750C" w:rsidRPr="004532E8" w:rsidRDefault="001D750C" w:rsidP="00652D5B">
      <w:pPr>
        <w:pStyle w:val="FootnoteText"/>
      </w:pPr>
      <w:r w:rsidRPr="004532E8">
        <w:rPr>
          <w:rStyle w:val="FootnoteReference"/>
        </w:rPr>
        <w:footnoteRef/>
      </w:r>
      <w:r w:rsidRPr="004532E8">
        <w:tab/>
        <w:t>Report from the Commission to the European Parliament and the Council under Article 75 of Regulation (EU) No 909/2014 of the European Parliament and of the Council of 23 July 2014 on improving securities settlement in the European Union and on central securities depositories and amending Directives 98/26/EC and 2014/65/EU and Regulation (EU) No 236/2012, COM(2021) 348 final.</w:t>
      </w:r>
    </w:p>
  </w:footnote>
  <w:footnote w:id="15">
    <w:p w14:paraId="3AC68FCE" w14:textId="77777777" w:rsidR="001D750C" w:rsidRPr="004532E8" w:rsidRDefault="001D750C" w:rsidP="00652D5B">
      <w:pPr>
        <w:pStyle w:val="FootnoteText"/>
      </w:pPr>
      <w:r w:rsidRPr="004532E8">
        <w:rPr>
          <w:rStyle w:val="FootnoteReference"/>
        </w:rPr>
        <w:footnoteRef/>
      </w:r>
      <w:r w:rsidRPr="004532E8">
        <w:tab/>
        <w:t>Communication from the Commission to the European Parliament, the Council, the European Economic and Social Committee and the Committee of the Regions, Commission Work Programme 2021 ‘A Union of vitality in a world of fragility’, Annex I,</w:t>
      </w:r>
      <w:r w:rsidRPr="004532E8" w:rsidDel="00751E4A">
        <w:t xml:space="preserve"> </w:t>
      </w:r>
      <w:r w:rsidRPr="004532E8">
        <w:t>COM(2020) 690 final.</w:t>
      </w:r>
    </w:p>
  </w:footnote>
  <w:footnote w:id="16">
    <w:p w14:paraId="6E879FFC" w14:textId="77777777" w:rsidR="001D750C" w:rsidRPr="004532E8" w:rsidRDefault="001D750C" w:rsidP="00652D5B">
      <w:pPr>
        <w:pStyle w:val="FootnoteText"/>
      </w:pPr>
      <w:r w:rsidRPr="004532E8">
        <w:rPr>
          <w:rStyle w:val="FootnoteReference"/>
        </w:rPr>
        <w:footnoteRef/>
      </w:r>
      <w:r w:rsidRPr="004532E8">
        <w:tab/>
        <w:t>Directive 98/26/EC of the European Parliament and of the Council of 19 May 1998 on settlement finality in payment and securities settlement systems, OJ L 166, 11.6.1998.</w:t>
      </w:r>
    </w:p>
  </w:footnote>
  <w:footnote w:id="17">
    <w:p w14:paraId="641171B1" w14:textId="256B2E97" w:rsidR="001D750C" w:rsidRPr="004532E8" w:rsidRDefault="001D750C" w:rsidP="00652D5B">
      <w:pPr>
        <w:pStyle w:val="FootnoteText"/>
      </w:pPr>
      <w:r w:rsidRPr="004532E8">
        <w:rPr>
          <w:rStyle w:val="FootnoteReference"/>
        </w:rPr>
        <w:footnoteRef/>
      </w:r>
      <w:r w:rsidRPr="004532E8">
        <w:tab/>
        <w:t xml:space="preserve">Regulation (EU) No 575/2013 of the European Parliament and of the Council of 26 June 2013 on prudential requirements for credit institutions and investment firms and amending Regulation (EU) No 648/2012, OJ L 176, 27.6.2013. </w:t>
      </w:r>
    </w:p>
  </w:footnote>
  <w:footnote w:id="18">
    <w:p w14:paraId="0C4389EA" w14:textId="77777777" w:rsidR="001D750C" w:rsidRPr="004532E8" w:rsidRDefault="001D750C" w:rsidP="00652D5B">
      <w:pPr>
        <w:pStyle w:val="FootnoteText"/>
      </w:pPr>
      <w:r w:rsidRPr="004532E8">
        <w:rPr>
          <w:rStyle w:val="FootnoteReference"/>
        </w:rPr>
        <w:footnoteRef/>
      </w:r>
      <w:r w:rsidRPr="004532E8">
        <w:tab/>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w:t>
      </w:r>
    </w:p>
  </w:footnote>
  <w:footnote w:id="19">
    <w:p w14:paraId="160E9E17" w14:textId="77777777" w:rsidR="001D750C" w:rsidRPr="004532E8" w:rsidRDefault="001D750C" w:rsidP="00652D5B">
      <w:pPr>
        <w:pStyle w:val="FootnoteText"/>
      </w:pPr>
      <w:r w:rsidRPr="004532E8">
        <w:rPr>
          <w:rStyle w:val="FootnoteReference"/>
        </w:rPr>
        <w:footnoteRef/>
      </w:r>
      <w:r w:rsidRPr="004532E8">
        <w:tab/>
        <w:t>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OJ L 173, 12.6.2014.</w:t>
      </w:r>
    </w:p>
  </w:footnote>
  <w:footnote w:id="20">
    <w:p w14:paraId="49D3A827" w14:textId="1BE71A85" w:rsidR="001D750C" w:rsidRPr="004532E8" w:rsidRDefault="001D750C" w:rsidP="00652D5B">
      <w:pPr>
        <w:pStyle w:val="FootnoteText"/>
      </w:pPr>
      <w:r w:rsidRPr="004532E8">
        <w:rPr>
          <w:rStyle w:val="FootnoteReference"/>
        </w:rPr>
        <w:footnoteRef/>
      </w:r>
      <w:r w:rsidRPr="004532E8">
        <w:tab/>
        <w:t xml:space="preserve">Communication from the Commission, A Capital Markets Union for people and businesses – New action plan, COM(2020) 590. </w:t>
      </w:r>
    </w:p>
  </w:footnote>
  <w:footnote w:id="21">
    <w:p w14:paraId="57E6CB2A" w14:textId="77777777" w:rsidR="001D750C" w:rsidRPr="004532E8" w:rsidRDefault="001D750C" w:rsidP="00652D5B">
      <w:pPr>
        <w:pStyle w:val="FootnoteText"/>
        <w:rPr>
          <w:lang w:val="en-IE"/>
        </w:rPr>
      </w:pPr>
      <w:r w:rsidRPr="004532E8">
        <w:rPr>
          <w:rStyle w:val="FootnoteReference"/>
        </w:rPr>
        <w:footnoteRef/>
      </w:r>
      <w:r w:rsidRPr="004532E8">
        <w:tab/>
      </w:r>
      <w:hyperlink r:id="rId6" w:history="1">
        <w:r w:rsidRPr="004532E8">
          <w:rPr>
            <w:rStyle w:val="Hyperlink"/>
          </w:rPr>
          <w:t>https://ec.europa.eu/info/publications/200924-digital-finance-proposals_en</w:t>
        </w:r>
      </w:hyperlink>
      <w:r w:rsidRPr="004532E8">
        <w:t xml:space="preserve">. </w:t>
      </w:r>
    </w:p>
  </w:footnote>
  <w:footnote w:id="22">
    <w:p w14:paraId="4C0CF2C8" w14:textId="0BF1149F" w:rsidR="001D750C" w:rsidRPr="004532E8" w:rsidRDefault="001D750C" w:rsidP="00652D5B">
      <w:pPr>
        <w:pStyle w:val="FootnoteText"/>
      </w:pPr>
      <w:r w:rsidRPr="004532E8">
        <w:rPr>
          <w:rStyle w:val="FootnoteReference"/>
        </w:rPr>
        <w:footnoteRef/>
      </w:r>
      <w:r w:rsidRPr="004532E8">
        <w:tab/>
        <w:t xml:space="preserve">Proposal for a Regulation of the European Parliament and of the Council on a pilot regime for market infrastructures based on distributed ledger technology, COM/2020/594 final. </w:t>
      </w:r>
    </w:p>
  </w:footnote>
  <w:footnote w:id="23">
    <w:p w14:paraId="27CACB68" w14:textId="77777777" w:rsidR="001D750C" w:rsidRPr="004532E8" w:rsidRDefault="001D750C" w:rsidP="00652D5B">
      <w:pPr>
        <w:pStyle w:val="FootnoteText"/>
      </w:pPr>
      <w:r w:rsidRPr="004532E8">
        <w:rPr>
          <w:rStyle w:val="FootnoteReference"/>
        </w:rPr>
        <w:footnoteRef/>
      </w:r>
      <w:r w:rsidRPr="004532E8">
        <w:tab/>
      </w:r>
      <w:hyperlink r:id="rId7" w:history="1">
        <w:r w:rsidRPr="004532E8">
          <w:rPr>
            <w:rStyle w:val="Hyperlink"/>
          </w:rPr>
          <w:t>https://ec.europa.eu/commission/presscorner/detail/en/MEX_21_6293</w:t>
        </w:r>
      </w:hyperlink>
      <w:r w:rsidRPr="004532E8">
        <w:t xml:space="preserve"> </w:t>
      </w:r>
    </w:p>
  </w:footnote>
  <w:footnote w:id="24">
    <w:p w14:paraId="29EA2C13" w14:textId="3AB0C2FF" w:rsidR="001D750C" w:rsidRPr="004532E8" w:rsidRDefault="001D750C" w:rsidP="00652D5B">
      <w:pPr>
        <w:pStyle w:val="FootnoteText"/>
      </w:pPr>
      <w:r w:rsidRPr="004532E8">
        <w:rPr>
          <w:rStyle w:val="FootnoteReference"/>
        </w:rPr>
        <w:footnoteRef/>
      </w:r>
      <w:r w:rsidRPr="004532E8">
        <w:tab/>
        <w:t xml:space="preserve">Proposal for a Regulation of the European Parliament and of the Council on digital operational resilience for the financial sector, COM/2020/595 final. </w:t>
      </w:r>
    </w:p>
  </w:footnote>
  <w:footnote w:id="25">
    <w:p w14:paraId="17A99FD5" w14:textId="7715B5E5" w:rsidR="001D750C" w:rsidRPr="004532E8" w:rsidRDefault="001D750C" w:rsidP="00652D5B">
      <w:pPr>
        <w:pStyle w:val="FootnoteText"/>
        <w:rPr>
          <w:lang w:val="en-IE"/>
        </w:rPr>
      </w:pPr>
      <w:r w:rsidRPr="004532E8">
        <w:rPr>
          <w:rStyle w:val="FootnoteReference"/>
        </w:rPr>
        <w:footnoteRef/>
      </w:r>
      <w:r w:rsidRPr="004532E8">
        <w:rPr>
          <w:lang w:val="en-IE"/>
        </w:rPr>
        <w:tab/>
        <w:t>Commission Communication, ‘The European economic and financial system: fostering openness, strength and resilience’</w:t>
      </w:r>
      <w:r w:rsidR="004969CD">
        <w:rPr>
          <w:lang w:val="en-IE"/>
        </w:rPr>
        <w:t>, COM(2021)</w:t>
      </w:r>
      <w:r w:rsidRPr="004532E8">
        <w:rPr>
          <w:lang w:val="en-IE"/>
        </w:rPr>
        <w:t xml:space="preserve"> (</w:t>
      </w:r>
      <w:r w:rsidR="004969CD">
        <w:rPr>
          <w:lang w:val="en-IE"/>
        </w:rPr>
        <w:t>32</w:t>
      </w:r>
      <w:r w:rsidRPr="004532E8">
        <w:rPr>
          <w:lang w:val="en-IE"/>
        </w:rPr>
        <w:t>).</w:t>
      </w:r>
    </w:p>
  </w:footnote>
  <w:footnote w:id="26">
    <w:p w14:paraId="1B543E8B" w14:textId="61B98C9B" w:rsidR="004969CD" w:rsidRPr="00FF5517" w:rsidRDefault="004969CD" w:rsidP="004969CD">
      <w:pPr>
        <w:pStyle w:val="FootnoteText"/>
        <w:rPr>
          <w:lang w:val="en-IE"/>
        </w:rPr>
      </w:pPr>
      <w:r>
        <w:rPr>
          <w:rStyle w:val="FootnoteReference"/>
        </w:rPr>
        <w:footnoteRef/>
      </w:r>
      <w:r>
        <w:rPr>
          <w:lang w:val="en-IE"/>
        </w:rPr>
        <w:tab/>
      </w:r>
      <w:r w:rsidRPr="004969CD">
        <w:rPr>
          <w:lang w:val="en-IE"/>
        </w:rPr>
        <w:t>Regulation (EU) 2021/1119 of the European Parliament and of the Council establishing the framework for achieving climate neutrality and amending Regulations (EC) No 401/2009 and (EU) 2018/1999 (‘Europe</w:t>
      </w:r>
      <w:r>
        <w:rPr>
          <w:lang w:val="en-IE"/>
        </w:rPr>
        <w:t>an Climate Law’), OJ L 243, 9.7.2021.</w:t>
      </w:r>
    </w:p>
  </w:footnote>
  <w:footnote w:id="27">
    <w:p w14:paraId="61657A6E" w14:textId="2A35830F" w:rsidR="001D750C" w:rsidRPr="004532E8" w:rsidRDefault="001D750C" w:rsidP="00652D5B">
      <w:pPr>
        <w:pStyle w:val="FootnoteText"/>
        <w:rPr>
          <w:lang w:val="en-IE"/>
        </w:rPr>
      </w:pPr>
      <w:r w:rsidRPr="004532E8">
        <w:rPr>
          <w:rStyle w:val="FootnoteReference"/>
        </w:rPr>
        <w:footnoteRef/>
      </w:r>
      <w:r w:rsidRPr="004532E8">
        <w:tab/>
      </w:r>
      <w:r w:rsidRPr="004532E8">
        <w:rPr>
          <w:lang w:val="en-IE"/>
        </w:rPr>
        <w:t xml:space="preserve">For an overview of the Commission Consultation Document, individual contributions and a Summary of the received input see “Targeted consultation on the review of the Regulation on improving securities settlement in the European Union and on central securities depositories”, available at: </w:t>
      </w:r>
      <w:hyperlink r:id="rId8" w:history="1">
        <w:r w:rsidRPr="004532E8">
          <w:rPr>
            <w:rStyle w:val="Hyperlink"/>
          </w:rPr>
          <w:t>https://ec.europa.eu/info/consultations/finance-2020-csdr-review_en</w:t>
        </w:r>
      </w:hyperlink>
      <w:r w:rsidRPr="004532E8">
        <w:rPr>
          <w:rStyle w:val="Hyperlink"/>
        </w:rPr>
        <w:t xml:space="preserve">. </w:t>
      </w:r>
    </w:p>
  </w:footnote>
  <w:footnote w:id="28">
    <w:p w14:paraId="0D16B5D1" w14:textId="61F1A8CB" w:rsidR="001D750C" w:rsidRPr="004532E8" w:rsidRDefault="001D750C" w:rsidP="00652D5B">
      <w:pPr>
        <w:pStyle w:val="FootnoteText"/>
      </w:pPr>
      <w:r w:rsidRPr="004532E8">
        <w:rPr>
          <w:rStyle w:val="FootnoteReference"/>
        </w:rPr>
        <w:footnoteRef/>
      </w:r>
      <w:r w:rsidRPr="004532E8">
        <w:tab/>
        <w:t xml:space="preserve">For the Inception Impact Assessment and received comments see: </w:t>
      </w:r>
      <w:hyperlink r:id="rId9" w:history="1">
        <w:r w:rsidRPr="004532E8">
          <w:rPr>
            <w:rStyle w:val="Hyperlink"/>
          </w:rPr>
          <w:t>https://ec.europa.eu/info/law/better-regulation/have-your-say/initiatives/12649-Central-securities-depositories-review-of-EU-rules_en</w:t>
        </w:r>
      </w:hyperlink>
      <w:r w:rsidRPr="004532E8">
        <w:rPr>
          <w:rStyle w:val="Hyperlink"/>
        </w:rPr>
        <w:t xml:space="preserve">. </w:t>
      </w:r>
    </w:p>
  </w:footnote>
  <w:footnote w:id="29">
    <w:p w14:paraId="3B49BCF6" w14:textId="77777777" w:rsidR="001D750C" w:rsidRPr="004532E8" w:rsidRDefault="001D750C" w:rsidP="00652D5B">
      <w:pPr>
        <w:pStyle w:val="FootnoteText"/>
      </w:pPr>
      <w:r w:rsidRPr="004532E8">
        <w:rPr>
          <w:rStyle w:val="FootnoteReference"/>
        </w:rPr>
        <w:footnoteRef/>
      </w:r>
      <w:r w:rsidRPr="004532E8">
        <w:tab/>
        <w:t>ESMA Report to the European Commission, ‘CSDR Internalised Settlement’, 5 November 2020, ESMA70-156-3729.</w:t>
      </w:r>
    </w:p>
  </w:footnote>
  <w:footnote w:id="30">
    <w:p w14:paraId="16E2FF63" w14:textId="1B8E08B9" w:rsidR="001D750C" w:rsidRPr="004532E8" w:rsidRDefault="001D750C" w:rsidP="00652D5B">
      <w:pPr>
        <w:pStyle w:val="FootnoteText"/>
      </w:pPr>
      <w:r w:rsidRPr="004532E8">
        <w:rPr>
          <w:rStyle w:val="FootnoteReference"/>
        </w:rPr>
        <w:footnoteRef/>
      </w:r>
      <w:r w:rsidRPr="004532E8">
        <w:tab/>
      </w:r>
      <w:r w:rsidR="004969CD" w:rsidRPr="004969CD">
        <w:t>ESMA Report to the European Commission, ‘Cross-border services and handling of applications under Article 23 of CSDR’</w:t>
      </w:r>
      <w:r w:rsidR="004969CD" w:rsidRPr="004969CD" w:rsidDel="00121E0B">
        <w:t xml:space="preserve">, </w:t>
      </w:r>
      <w:r w:rsidR="004969CD" w:rsidRPr="004969CD">
        <w:t>ESMA70-156-3569, 5 November 2020.</w:t>
      </w:r>
    </w:p>
  </w:footnote>
  <w:footnote w:id="31">
    <w:p w14:paraId="1D6C4086" w14:textId="32F16B03" w:rsidR="001D750C" w:rsidRPr="004532E8" w:rsidRDefault="001D750C" w:rsidP="00652D5B">
      <w:pPr>
        <w:pStyle w:val="FootnoteText"/>
      </w:pPr>
      <w:r w:rsidRPr="004532E8">
        <w:rPr>
          <w:rStyle w:val="FootnoteReference"/>
        </w:rPr>
        <w:footnoteRef/>
      </w:r>
      <w:r w:rsidRPr="004532E8">
        <w:rPr>
          <w:lang w:val="en-US"/>
        </w:rPr>
        <w:tab/>
      </w:r>
      <w:r w:rsidRPr="004532E8">
        <w:t>ESMA Report to the European Commission, ‘Provision of banking-type ancillary services under CSDR’, 8 July 2021, ESMA70-156-4582.</w:t>
      </w:r>
    </w:p>
  </w:footnote>
  <w:footnote w:id="32">
    <w:p w14:paraId="5CF41A10" w14:textId="584C8E97" w:rsidR="001D750C" w:rsidRPr="004532E8" w:rsidRDefault="001D750C" w:rsidP="00652D5B">
      <w:pPr>
        <w:pStyle w:val="FootnoteText"/>
      </w:pPr>
      <w:r w:rsidRPr="004532E8">
        <w:rPr>
          <w:rStyle w:val="FootnoteReference"/>
        </w:rPr>
        <w:footnoteRef/>
      </w:r>
      <w:r w:rsidRPr="004532E8">
        <w:rPr>
          <w:lang w:val="en-US"/>
        </w:rPr>
        <w:tab/>
      </w:r>
      <w:r w:rsidRPr="004532E8">
        <w:t>ESMA Report to the European Commission, ‘Use of FinTech by CSDs’, 2 August 2021, ESMA70-156-4576.</w:t>
      </w:r>
    </w:p>
  </w:footnote>
  <w:footnote w:id="33">
    <w:p w14:paraId="1B98B94C" w14:textId="0EE5657E" w:rsidR="001D750C" w:rsidRPr="004532E8" w:rsidRDefault="001D750C" w:rsidP="00652D5B">
      <w:pPr>
        <w:pStyle w:val="FootnoteText"/>
        <w:rPr>
          <w:lang w:val="en-US"/>
        </w:rPr>
      </w:pPr>
      <w:r w:rsidRPr="00654A4E">
        <w:rPr>
          <w:rStyle w:val="FootnoteReference"/>
        </w:rPr>
        <w:footnoteRef/>
      </w:r>
      <w:r>
        <w:tab/>
      </w:r>
      <w:r w:rsidRPr="004532E8">
        <w:t xml:space="preserve">“ESMA Report on trends, risks and vulnerabilities”, European Securities and Markets Authority, ESMA-50-165-1287, No. 2, 2020. </w:t>
      </w:r>
    </w:p>
  </w:footnote>
  <w:footnote w:id="34">
    <w:p w14:paraId="7A8784D7" w14:textId="77777777" w:rsidR="001D750C" w:rsidRPr="004532E8" w:rsidRDefault="001D750C" w:rsidP="00652D5B">
      <w:pPr>
        <w:pStyle w:val="FootnoteText"/>
        <w:rPr>
          <w:lang w:val="en-US"/>
        </w:rPr>
      </w:pPr>
      <w:r w:rsidRPr="00654A4E">
        <w:rPr>
          <w:rStyle w:val="FootnoteReference"/>
        </w:rPr>
        <w:footnoteRef/>
      </w:r>
      <w:r>
        <w:tab/>
      </w:r>
      <w:r w:rsidRPr="004532E8">
        <w:t>If a transaction has failed to settle at the end of a prescribed period, a mandatory buy-in process is initiated by the buyer of the securities who is forced to repurchase them elsewhere. The failing party is required to meet any price differential between the original and new transaction and all costs of the buy-in.</w:t>
      </w:r>
    </w:p>
  </w:footnote>
  <w:footnote w:id="35">
    <w:p w14:paraId="3C00208B" w14:textId="77777777" w:rsidR="001D750C" w:rsidRPr="004532E8" w:rsidRDefault="001D750C" w:rsidP="00652D5B">
      <w:pPr>
        <w:pStyle w:val="FootnoteText"/>
        <w:rPr>
          <w:lang w:val="en-IE"/>
        </w:rPr>
      </w:pPr>
      <w:r w:rsidRPr="00654A4E">
        <w:rPr>
          <w:rStyle w:val="FootnoteReference"/>
        </w:rPr>
        <w:footnoteRef/>
      </w:r>
      <w:r>
        <w:tab/>
      </w:r>
      <w:r w:rsidRPr="004532E8">
        <w:rPr>
          <w:lang w:val="en-IE"/>
        </w:rPr>
        <w:t>According to Article 69(4) of CSDR until national competent authorities and ESMA have authorised or recognised and EU or third-country CSDs respectively pursuant to CSDR, the national rules on authorisation and recognition applicable before CSDR entered into force continue to apply.</w:t>
      </w:r>
    </w:p>
  </w:footnote>
  <w:footnote w:id="36">
    <w:p w14:paraId="0E964944" w14:textId="3AE047B6" w:rsidR="001D750C" w:rsidRPr="008D59C9" w:rsidRDefault="001D750C">
      <w:pPr>
        <w:pStyle w:val="FootnoteText"/>
        <w:rPr>
          <w:lang w:val="en-IE"/>
        </w:rPr>
      </w:pPr>
      <w:r w:rsidRPr="0007781E">
        <w:rPr>
          <w:rStyle w:val="FootnoteReference"/>
        </w:rPr>
        <w:footnoteRef/>
      </w:r>
      <w:r w:rsidR="0007781E">
        <w:tab/>
      </w:r>
      <w:r w:rsidRPr="002E1337">
        <w:t>OJ C […], […], p. […].</w:t>
      </w:r>
    </w:p>
  </w:footnote>
  <w:footnote w:id="37">
    <w:p w14:paraId="6BED58D3" w14:textId="57328460" w:rsidR="001D750C" w:rsidRPr="004532E8" w:rsidRDefault="001D750C" w:rsidP="00470D07">
      <w:pPr>
        <w:pStyle w:val="FootnoteText"/>
      </w:pPr>
      <w:r w:rsidRPr="004532E8">
        <w:rPr>
          <w:rStyle w:val="FootnoteReference"/>
        </w:rPr>
        <w:footnoteRef/>
      </w:r>
      <w:r w:rsidRPr="004532E8">
        <w:tab/>
        <w:t>OJ C , , p. .</w:t>
      </w:r>
    </w:p>
  </w:footnote>
  <w:footnote w:id="38">
    <w:p w14:paraId="1B6D8C76" w14:textId="77777777" w:rsidR="00C7222F" w:rsidRDefault="00C7222F" w:rsidP="00C7222F">
      <w:pPr>
        <w:pStyle w:val="FootnoteText"/>
      </w:pPr>
      <w:r w:rsidRPr="00A728D2">
        <w:rPr>
          <w:rStyle w:val="FootnoteReference"/>
        </w:rPr>
        <w:footnoteRef/>
      </w:r>
      <w:r>
        <w:tab/>
        <w:t>Regulation (EU) No 909/2014 of the European Parliament and of the Council of 23 July 2014 on improving securities settlement in the European Union and on central securities depositories and amending Directives 98/26/EC and 2014/65/EU and Regulation (EU) No 236/2012 (OJ L 257, 28.8.2014, p. 1).</w:t>
      </w:r>
    </w:p>
  </w:footnote>
  <w:footnote w:id="39">
    <w:p w14:paraId="353D58A3" w14:textId="365A19BC" w:rsidR="00C7222F" w:rsidRPr="00C7222F" w:rsidRDefault="00C7222F" w:rsidP="00C7222F">
      <w:pPr>
        <w:pStyle w:val="FootnoteText"/>
      </w:pPr>
      <w:r w:rsidRPr="0007781E">
        <w:rPr>
          <w:rStyle w:val="FootnoteReference"/>
        </w:rPr>
        <w:footnoteRef/>
      </w:r>
      <w:r w:rsidR="0007781E">
        <w:tab/>
      </w:r>
      <w:r>
        <w:t>Communication from the Commission to the European Parliament, the Council, the European Economic and Social Committee and the Committee of the Regions, ‘A Capital Markets Union for people and businesses-new action plan’, COM(2020/) 590.</w:t>
      </w:r>
    </w:p>
  </w:footnote>
  <w:footnote w:id="40">
    <w:p w14:paraId="34A8753E" w14:textId="77777777" w:rsidR="001D750C" w:rsidRPr="00010489" w:rsidRDefault="001D750C">
      <w:pPr>
        <w:pStyle w:val="FootnoteText"/>
      </w:pPr>
      <w:r w:rsidRPr="00A728D2">
        <w:rPr>
          <w:rStyle w:val="FootnoteReference"/>
        </w:rPr>
        <w:footnoteRef/>
      </w:r>
      <w:r>
        <w:tab/>
        <w:t>Report from the Commission to the European Parliament and the Council under Article 75 of Regulation (EU) No 909/2014 of the European Parliament and of the Council of 23 July 2014 on improving securities settlement in the European Union and on central securities depositories and amending Directives 98/26/EC and 2014/65/EU and Regulation (EU) No 236/2012 (</w:t>
      </w:r>
      <w:r w:rsidRPr="00010489">
        <w:t>COM(2021) 348 final</w:t>
      </w:r>
      <w:r>
        <w:t>).</w:t>
      </w:r>
    </w:p>
  </w:footnote>
  <w:footnote w:id="41">
    <w:p w14:paraId="3DA68F69" w14:textId="77777777" w:rsidR="001D750C" w:rsidRPr="0098244C" w:rsidRDefault="001D750C" w:rsidP="0098244C">
      <w:pPr>
        <w:pStyle w:val="FootnoteText"/>
      </w:pPr>
      <w:r w:rsidRPr="00A728D2">
        <w:rPr>
          <w:rStyle w:val="FootnoteReference"/>
        </w:rPr>
        <w:footnoteRef/>
      </w:r>
      <w:r>
        <w:tab/>
        <w:t>Commission Delegated Regulation (EU) 2018/1229 of 25 May 2018 supplementing Regulation (EU) No 909/2014 of the European Parliament and of the Council with regard to regulatory technical standards on settlement discipline (OJ L 230, 13.9.2018, p. 1).–</w:t>
      </w:r>
    </w:p>
  </w:footnote>
  <w:footnote w:id="42">
    <w:p w14:paraId="39D8785A" w14:textId="77777777" w:rsidR="001D750C" w:rsidRPr="004532E8" w:rsidRDefault="001D750C" w:rsidP="00652D5B">
      <w:pPr>
        <w:pStyle w:val="FootnoteText"/>
      </w:pPr>
      <w:r w:rsidRPr="004532E8">
        <w:rPr>
          <w:rStyle w:val="FootnoteReference"/>
        </w:rPr>
        <w:footnoteRef/>
      </w:r>
      <w:r w:rsidRPr="004532E8">
        <w:tab/>
        <w:t>Regulation (EU) No 648/2012 of the European Parliament and of the Council of 4 July 2012 on OTC derivatives, central counterparties and trade repositories</w:t>
      </w:r>
      <w:r>
        <w:t xml:space="preserve"> (</w:t>
      </w:r>
      <w:r w:rsidRPr="004532E8">
        <w:t>OJ L 201, 27.7.2012, p. 1</w:t>
      </w:r>
      <w:r>
        <w:t>)</w:t>
      </w:r>
      <w:r w:rsidRPr="004532E8">
        <w:t>.</w:t>
      </w:r>
    </w:p>
  </w:footnote>
  <w:footnote w:id="43">
    <w:p w14:paraId="408DD9EE" w14:textId="77777777" w:rsidR="001D750C" w:rsidRPr="0030626B" w:rsidRDefault="001D750C" w:rsidP="009226C7">
      <w:pPr>
        <w:pStyle w:val="FootnoteText"/>
        <w:rPr>
          <w:lang w:val="en-IE"/>
        </w:rPr>
      </w:pPr>
      <w:r w:rsidRPr="00A728D2">
        <w:rPr>
          <w:rStyle w:val="FootnoteReference"/>
        </w:rPr>
        <w:footnoteRef/>
      </w:r>
      <w:r>
        <w:tab/>
      </w:r>
      <w:r w:rsidRPr="009226C7">
        <w:rPr>
          <w:lang w:val="en-IE"/>
        </w:rPr>
        <w:t xml:space="preserve">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w:t>
      </w:r>
      <w:r>
        <w:rPr>
          <w:lang w:val="en-IE"/>
        </w:rPr>
        <w:t>(</w:t>
      </w:r>
      <w:r w:rsidRPr="009226C7">
        <w:rPr>
          <w:lang w:val="en-IE"/>
        </w:rPr>
        <w:t>OJ L 173, 12.6.2014, p. 190</w:t>
      </w:r>
      <w:r>
        <w:rPr>
          <w:lang w:val="en-IE"/>
        </w:rPr>
        <w:t>).</w:t>
      </w:r>
    </w:p>
  </w:footnote>
  <w:footnote w:id="44">
    <w:p w14:paraId="1CEE5302" w14:textId="77777777" w:rsidR="001D750C" w:rsidRPr="0030626B" w:rsidRDefault="001D750C" w:rsidP="00E4531D">
      <w:pPr>
        <w:pStyle w:val="FootnoteText"/>
        <w:jc w:val="left"/>
        <w:rPr>
          <w:lang w:val="en-IE"/>
        </w:rPr>
      </w:pPr>
      <w:r w:rsidRPr="00A728D2">
        <w:rPr>
          <w:rStyle w:val="FootnoteReference"/>
        </w:rPr>
        <w:footnoteRef/>
      </w:r>
      <w:r>
        <w:tab/>
      </w:r>
      <w:r w:rsidRPr="00563085">
        <w:rPr>
          <w:lang w:val="en-IE"/>
        </w:rPr>
        <w:t>Regulation (EU) No 182/2011 of the European Parliament and of the Council of 16</w:t>
      </w:r>
      <w:r>
        <w:rPr>
          <w:lang w:val="en-IE"/>
        </w:rPr>
        <w:t xml:space="preserve"> </w:t>
      </w:r>
      <w:r w:rsidRPr="00563085">
        <w:rPr>
          <w:lang w:val="en-IE"/>
        </w:rPr>
        <w:t>February 2011 laying down the rules and general principles concerning mechanisms for</w:t>
      </w:r>
      <w:r>
        <w:rPr>
          <w:lang w:val="en-IE"/>
        </w:rPr>
        <w:t xml:space="preserve"> </w:t>
      </w:r>
      <w:r w:rsidRPr="00563085">
        <w:rPr>
          <w:lang w:val="en-IE"/>
        </w:rPr>
        <w:t>control by the Member States of the Commission's exercise of implementing powers (OJ</w:t>
      </w:r>
      <w:r>
        <w:rPr>
          <w:lang w:val="en-IE"/>
        </w:rPr>
        <w:t xml:space="preserve"> </w:t>
      </w:r>
      <w:r w:rsidRPr="00563085">
        <w:rPr>
          <w:lang w:val="en-IE"/>
        </w:rPr>
        <w:t>L 55, 28.2.2011, p. 13).</w:t>
      </w:r>
    </w:p>
  </w:footnote>
  <w:footnote w:id="45">
    <w:p w14:paraId="7DF33B81" w14:textId="77777777" w:rsidR="001D750C" w:rsidRPr="004532E8" w:rsidRDefault="001D750C" w:rsidP="00470D07">
      <w:pPr>
        <w:pStyle w:val="FootnoteText"/>
        <w:rPr>
          <w:szCs w:val="24"/>
        </w:rPr>
      </w:pPr>
      <w:r w:rsidRPr="004532E8">
        <w:rPr>
          <w:rStyle w:val="FootnoteReference"/>
        </w:rPr>
        <w:footnoteRef/>
      </w:r>
      <w:r w:rsidRPr="004532E8">
        <w:tab/>
        <w:t>As referred to in Article 58(2)(a) or (b) of the Financial Regulation.</w:t>
      </w:r>
    </w:p>
  </w:footnote>
  <w:footnote w:id="46">
    <w:p w14:paraId="773EC483" w14:textId="77777777" w:rsidR="001D750C" w:rsidRPr="004532E8" w:rsidRDefault="001D750C" w:rsidP="00470D07">
      <w:pPr>
        <w:pStyle w:val="FootnoteText"/>
        <w:jc w:val="left"/>
        <w:rPr>
          <w:szCs w:val="24"/>
        </w:rPr>
      </w:pPr>
      <w:r w:rsidRPr="004532E8">
        <w:rPr>
          <w:rStyle w:val="FootnoteReference"/>
        </w:rPr>
        <w:footnoteRef/>
      </w:r>
      <w:r w:rsidRPr="004532E8">
        <w:tab/>
        <w:t xml:space="preserve">Details of management modes and references to the Financial Regulation may be found on the BudgWeb site: </w:t>
      </w:r>
      <w:hyperlink r:id="rId10" w:history="1">
        <w:r w:rsidRPr="004532E8">
          <w:rPr>
            <w:rStyle w:val="Hyperlink"/>
            <w:szCs w:val="24"/>
          </w:rPr>
          <w:t>https://myintracomm.ec.europa.eu/budgweb/EN/man/budgmanag/Pages/budgmanag.aspx</w:t>
        </w:r>
      </w:hyperlink>
      <w:r w:rsidRPr="004532E8">
        <w:rPr>
          <w:szCs w:val="24"/>
        </w:rPr>
        <w:t xml:space="preserve"> </w:t>
      </w:r>
    </w:p>
  </w:footnote>
  <w:footnote w:id="47">
    <w:p w14:paraId="3E05D126" w14:textId="77777777" w:rsidR="001D750C" w:rsidRPr="004532E8" w:rsidRDefault="001D750C" w:rsidP="00470D07">
      <w:pPr>
        <w:pStyle w:val="FootnoteText"/>
        <w:rPr>
          <w:szCs w:val="24"/>
        </w:rPr>
      </w:pPr>
      <w:r w:rsidRPr="004532E8">
        <w:rPr>
          <w:rStyle w:val="FootnoteReference"/>
        </w:rPr>
        <w:footnoteRef/>
      </w:r>
      <w:r w:rsidRPr="004532E8">
        <w:tab/>
        <w:t>Diff. = Differentiated appropriations / Non-diff. = Non-differentiated appropriations.</w:t>
      </w:r>
    </w:p>
  </w:footnote>
  <w:footnote w:id="48">
    <w:p w14:paraId="00356684" w14:textId="77777777" w:rsidR="001D750C" w:rsidRPr="004532E8" w:rsidRDefault="001D750C" w:rsidP="00470D07">
      <w:pPr>
        <w:pStyle w:val="FootnoteText"/>
        <w:rPr>
          <w:szCs w:val="24"/>
        </w:rPr>
      </w:pPr>
      <w:r w:rsidRPr="004532E8">
        <w:rPr>
          <w:rStyle w:val="FootnoteReference"/>
        </w:rPr>
        <w:footnoteRef/>
      </w:r>
      <w:r w:rsidRPr="004532E8">
        <w:tab/>
        <w:t xml:space="preserve">EFTA: European Free Trade Association. </w:t>
      </w:r>
    </w:p>
  </w:footnote>
  <w:footnote w:id="49">
    <w:p w14:paraId="1BAA82EA" w14:textId="77777777" w:rsidR="001D750C" w:rsidRPr="004532E8" w:rsidRDefault="001D750C" w:rsidP="00470D07">
      <w:pPr>
        <w:pStyle w:val="FootnoteText"/>
        <w:rPr>
          <w:szCs w:val="24"/>
        </w:rPr>
      </w:pPr>
      <w:r w:rsidRPr="004532E8">
        <w:rPr>
          <w:rStyle w:val="FootnoteReference"/>
        </w:rPr>
        <w:footnoteRef/>
      </w:r>
      <w:r w:rsidRPr="004532E8">
        <w:tab/>
        <w:t>Candidate countries and, where applicable, potential candidates from the Western Balkans.</w:t>
      </w:r>
    </w:p>
  </w:footnote>
  <w:footnote w:id="50">
    <w:p w14:paraId="776CFDE2" w14:textId="77777777" w:rsidR="001D750C" w:rsidRPr="004532E8" w:rsidRDefault="001D750C" w:rsidP="00470D07">
      <w:pPr>
        <w:pStyle w:val="FootnoteText"/>
        <w:rPr>
          <w:sz w:val="18"/>
          <w:szCs w:val="18"/>
        </w:rPr>
      </w:pPr>
      <w:r w:rsidRPr="004532E8">
        <w:rPr>
          <w:rStyle w:val="FootnoteReference"/>
        </w:rPr>
        <w:footnoteRef/>
      </w:r>
      <w:r w:rsidRPr="004532E8">
        <w:tab/>
      </w:r>
      <w:r w:rsidRPr="004532E8">
        <w:rPr>
          <w:sz w:val="18"/>
          <w:szCs w:val="18"/>
        </w:rPr>
        <w:t>Year N is the year in which implementation of the proposal/initiative starts. Please replace "N" by the expected first year of implementation (for instance: 2021). The same for the following years.</w:t>
      </w:r>
    </w:p>
  </w:footnote>
  <w:footnote w:id="51">
    <w:p w14:paraId="2B54BC24" w14:textId="77777777" w:rsidR="001D750C" w:rsidRPr="004532E8" w:rsidRDefault="001D750C" w:rsidP="00470D07">
      <w:pPr>
        <w:pStyle w:val="FootnoteText"/>
        <w:rPr>
          <w:sz w:val="18"/>
          <w:szCs w:val="18"/>
        </w:rPr>
      </w:pPr>
      <w:r w:rsidRPr="004532E8">
        <w:rPr>
          <w:rStyle w:val="FootnoteReference"/>
        </w:rPr>
        <w:footnoteRef/>
      </w:r>
      <w:r w:rsidRPr="004532E8">
        <w:rPr>
          <w:sz w:val="18"/>
          <w:szCs w:val="18"/>
        </w:rPr>
        <w:tab/>
        <w:t>According to the official budget nomenclature.</w:t>
      </w:r>
    </w:p>
  </w:footnote>
  <w:footnote w:id="52">
    <w:p w14:paraId="6CC2806D" w14:textId="77777777" w:rsidR="001D750C" w:rsidRPr="004532E8" w:rsidRDefault="001D750C" w:rsidP="00470D07">
      <w:pPr>
        <w:pStyle w:val="FootnoteText"/>
        <w:rPr>
          <w:szCs w:val="24"/>
        </w:rPr>
      </w:pPr>
      <w:r w:rsidRPr="004532E8">
        <w:rPr>
          <w:rStyle w:val="FootnoteReference"/>
        </w:rPr>
        <w:footnoteRef/>
      </w:r>
      <w:r w:rsidRPr="004532E8">
        <w:rPr>
          <w:sz w:val="18"/>
          <w:szCs w:val="18"/>
        </w:rPr>
        <w:tab/>
        <w:t>Technical and/or administrative assistance and expenditure in support of the implementation of EU programmes and/or actions (former ‘BA’ lines), indirect research, direct research.</w:t>
      </w:r>
    </w:p>
  </w:footnote>
  <w:footnote w:id="53">
    <w:p w14:paraId="7CC5BD25" w14:textId="77777777" w:rsidR="001D750C" w:rsidRPr="004532E8" w:rsidRDefault="001D750C" w:rsidP="00470D07">
      <w:pPr>
        <w:pStyle w:val="FootnoteText"/>
        <w:rPr>
          <w:szCs w:val="24"/>
        </w:rPr>
      </w:pPr>
      <w:r w:rsidRPr="004532E8">
        <w:rPr>
          <w:rStyle w:val="FootnoteReference"/>
        </w:rPr>
        <w:footnoteRef/>
      </w:r>
      <w:r w:rsidRPr="004532E8">
        <w:tab/>
      </w:r>
      <w:r w:rsidRPr="004532E8">
        <w:rPr>
          <w:sz w:val="18"/>
          <w:szCs w:val="18"/>
        </w:rPr>
        <w:t>Year N is the year in which implementation of the proposal/initiative starts. Please replace "N" by the expected first year of implementation (for instance: 2021). The same for the following years.</w:t>
      </w:r>
    </w:p>
  </w:footnote>
  <w:footnote w:id="54">
    <w:p w14:paraId="48F635D8" w14:textId="77777777" w:rsidR="001D750C" w:rsidRPr="004532E8" w:rsidRDefault="001D750C" w:rsidP="00470D07">
      <w:pPr>
        <w:pStyle w:val="FootnoteText"/>
        <w:rPr>
          <w:szCs w:val="24"/>
        </w:rPr>
      </w:pPr>
      <w:r w:rsidRPr="004532E8">
        <w:rPr>
          <w:rStyle w:val="FootnoteReference"/>
        </w:rPr>
        <w:footnoteRef/>
      </w:r>
      <w:r w:rsidRPr="004532E8">
        <w:tab/>
        <w:t>Outputs are products and services to be supplied (e.g.: number of student exchanges financed, number of km of roads built, etc.).</w:t>
      </w:r>
    </w:p>
  </w:footnote>
  <w:footnote w:id="55">
    <w:p w14:paraId="287C6D9F" w14:textId="77777777" w:rsidR="001D750C" w:rsidRPr="004532E8" w:rsidRDefault="001D750C" w:rsidP="00470D07">
      <w:pPr>
        <w:pStyle w:val="FootnoteText"/>
        <w:rPr>
          <w:szCs w:val="24"/>
        </w:rPr>
      </w:pPr>
      <w:r w:rsidRPr="004532E8">
        <w:rPr>
          <w:rStyle w:val="FootnoteReference"/>
        </w:rPr>
        <w:footnoteRef/>
      </w:r>
      <w:r w:rsidRPr="004532E8">
        <w:tab/>
        <w:t xml:space="preserve">As described in point 1.4.2. ‘Specific objective(s)…’ </w:t>
      </w:r>
    </w:p>
  </w:footnote>
  <w:footnote w:id="56">
    <w:p w14:paraId="4886318C" w14:textId="77777777" w:rsidR="001D750C" w:rsidRPr="004532E8" w:rsidRDefault="001D750C" w:rsidP="00470D07">
      <w:pPr>
        <w:pStyle w:val="FootnoteText"/>
        <w:rPr>
          <w:sz w:val="18"/>
          <w:szCs w:val="18"/>
        </w:rPr>
      </w:pPr>
      <w:r w:rsidRPr="004532E8">
        <w:rPr>
          <w:rStyle w:val="FootnoteReference"/>
        </w:rPr>
        <w:footnoteRef/>
      </w:r>
      <w:r w:rsidRPr="004532E8">
        <w:tab/>
      </w:r>
      <w:r w:rsidRPr="004532E8">
        <w:rPr>
          <w:sz w:val="18"/>
          <w:szCs w:val="18"/>
        </w:rPr>
        <w:t>Year N is the year in which implementation of the proposal/initiative starts. Please replace "N" by the expected first year of implementation (for instance: 2021). The same for the following years.</w:t>
      </w:r>
    </w:p>
  </w:footnote>
  <w:footnote w:id="57">
    <w:p w14:paraId="5F2797F5" w14:textId="77777777" w:rsidR="001D750C" w:rsidRPr="004532E8" w:rsidRDefault="001D750C" w:rsidP="00470D07">
      <w:pPr>
        <w:pStyle w:val="FootnoteText"/>
        <w:rPr>
          <w:szCs w:val="24"/>
        </w:rPr>
      </w:pPr>
      <w:r w:rsidRPr="004532E8">
        <w:rPr>
          <w:rStyle w:val="FootnoteReference"/>
        </w:rPr>
        <w:footnoteRef/>
      </w:r>
      <w:r w:rsidRPr="004532E8">
        <w:rPr>
          <w:sz w:val="18"/>
          <w:szCs w:val="18"/>
        </w:rPr>
        <w:tab/>
        <w:t>Technical and/or administrative assistance and expenditure in support of the implementation of EU programmes and/or actions (former ‘BA’ lines), indirect research, direct research.</w:t>
      </w:r>
    </w:p>
  </w:footnote>
  <w:footnote w:id="58">
    <w:p w14:paraId="0CFD7284" w14:textId="77777777" w:rsidR="001D750C" w:rsidRPr="004532E8" w:rsidRDefault="001D750C" w:rsidP="00470D07">
      <w:pPr>
        <w:pStyle w:val="FootnoteText"/>
        <w:rPr>
          <w:szCs w:val="24"/>
        </w:rPr>
      </w:pPr>
      <w:r w:rsidRPr="004532E8">
        <w:rPr>
          <w:rStyle w:val="FootnoteReference"/>
        </w:rPr>
        <w:footnoteRef/>
      </w:r>
      <w:r w:rsidRPr="004532E8">
        <w:tab/>
        <w:t xml:space="preserve">AC= Contract Staff; AL = Local Staff; END= Seconded National Expert; INT = agency staff; JPD= Junior Professionals in Delegations. </w:t>
      </w:r>
    </w:p>
  </w:footnote>
  <w:footnote w:id="59">
    <w:p w14:paraId="721EE3A1" w14:textId="77777777" w:rsidR="001D750C" w:rsidRPr="004532E8" w:rsidRDefault="001D750C" w:rsidP="00470D07">
      <w:pPr>
        <w:pStyle w:val="FootnoteText"/>
        <w:rPr>
          <w:szCs w:val="24"/>
        </w:rPr>
      </w:pPr>
      <w:r w:rsidRPr="004532E8">
        <w:rPr>
          <w:rStyle w:val="FootnoteReference"/>
        </w:rPr>
        <w:footnoteRef/>
      </w:r>
      <w:r w:rsidRPr="004532E8">
        <w:tab/>
        <w:t>Sub-ceiling for external staff covered by operational appropriations (former ‘BA’ lines).</w:t>
      </w:r>
    </w:p>
  </w:footnote>
  <w:footnote w:id="60">
    <w:p w14:paraId="260F81BD" w14:textId="77777777" w:rsidR="001D750C" w:rsidRPr="004532E8" w:rsidRDefault="001D750C" w:rsidP="00470D07">
      <w:pPr>
        <w:pStyle w:val="FootnoteText"/>
      </w:pPr>
      <w:r w:rsidRPr="004532E8">
        <w:rPr>
          <w:rStyle w:val="FootnoteReference"/>
        </w:rPr>
        <w:footnoteRef/>
      </w:r>
      <w:r w:rsidRPr="004532E8">
        <w:tab/>
        <w:t>Year N is the year in which implementation of the proposal/initiative starts. Please replace "N" by the expected first year of implementation (for instance: 2021). The same for the following years.</w:t>
      </w:r>
    </w:p>
  </w:footnote>
  <w:footnote w:id="61">
    <w:p w14:paraId="3BF0F904" w14:textId="77777777" w:rsidR="001D750C" w:rsidRDefault="001D750C" w:rsidP="00470D07">
      <w:pPr>
        <w:pStyle w:val="FootnoteText"/>
        <w:rPr>
          <w:szCs w:val="24"/>
        </w:rPr>
      </w:pPr>
      <w:r w:rsidRPr="004532E8">
        <w:rPr>
          <w:rStyle w:val="FootnoteReference"/>
        </w:rPr>
        <w:footnoteRef/>
      </w:r>
      <w:r w:rsidRPr="004532E8">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15B4" w14:textId="77777777" w:rsidR="00E0492F" w:rsidRPr="00E0492F" w:rsidRDefault="00E0492F" w:rsidP="00E0492F">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7A64" w14:textId="77777777" w:rsidR="00E0492F" w:rsidRPr="00E0492F" w:rsidRDefault="00E0492F" w:rsidP="00E0492F">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D48AE" w14:textId="77777777" w:rsidR="006072E5" w:rsidRPr="006072E5" w:rsidRDefault="006072E5" w:rsidP="00E049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8530E" w14:textId="77777777" w:rsidR="00E0492F" w:rsidRPr="00E0492F" w:rsidRDefault="00E0492F" w:rsidP="00E04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9"/>
  </w:num>
  <w:num w:numId="4">
    <w:abstractNumId w:val="7"/>
  </w:num>
  <w:num w:numId="5">
    <w:abstractNumId w:val="16"/>
  </w:num>
  <w:num w:numId="6">
    <w:abstractNumId w:val="15"/>
  </w:num>
  <w:num w:numId="7">
    <w:abstractNumId w:val="26"/>
  </w:num>
  <w:num w:numId="8">
    <w:abstractNumId w:val="23"/>
  </w:num>
  <w:num w:numId="9">
    <w:abstractNumId w:val="27"/>
  </w:num>
  <w:num w:numId="10">
    <w:abstractNumId w:val="28"/>
  </w:num>
  <w:num w:numId="11">
    <w:abstractNumId w:val="1"/>
  </w:num>
  <w:num w:numId="12">
    <w:abstractNumId w:val="9"/>
  </w:num>
  <w:num w:numId="13">
    <w:abstractNumId w:val="2"/>
  </w:num>
  <w:num w:numId="14">
    <w:abstractNumId w:val="10"/>
  </w:num>
  <w:num w:numId="15">
    <w:abstractNumId w:val="8"/>
  </w:num>
  <w:num w:numId="16">
    <w:abstractNumId w:val="1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num>
  <w:num w:numId="38">
    <w:abstractNumId w:val="22"/>
  </w:num>
  <w:num w:numId="39">
    <w:abstractNumId w:val="11"/>
  </w:num>
  <w:num w:numId="40">
    <w:abstractNumId w:val="25"/>
  </w:num>
  <w:num w:numId="41">
    <w:abstractNumId w:val="6"/>
  </w:num>
  <w:num w:numId="42">
    <w:abstractNumId w:val="12"/>
  </w:num>
  <w:num w:numId="43">
    <w:abstractNumId w:val="4"/>
  </w:num>
  <w:num w:numId="44">
    <w:abstractNumId w:val="24"/>
  </w:num>
  <w:num w:numId="45">
    <w:abstractNumId w:val="3"/>
  </w:num>
  <w:num w:numId="46">
    <w:abstractNumId w:val="14"/>
  </w:num>
  <w:num w:numId="47">
    <w:abstractNumId w:val="20"/>
  </w:num>
  <w:num w:numId="48">
    <w:abstractNumId w:val="21"/>
  </w:num>
  <w:num w:numId="49">
    <w:abstractNumId w:val="5"/>
  </w:num>
  <w:num w:numId="50">
    <w:abstractNumId w:val="18"/>
  </w:num>
  <w:num w:numId="51">
    <w:abstractNumId w:val="29"/>
  </w:num>
  <w:num w:numId="52">
    <w:abstractNumId w:val="24"/>
  </w:num>
  <w:num w:numId="53">
    <w:abstractNumId w:val="24"/>
  </w:num>
  <w:num w:numId="54">
    <w:abstractNumId w:val="24"/>
  </w:num>
  <w:num w:numId="55">
    <w:abstractNumId w:val="13"/>
  </w:num>
  <w:num w:numId="56">
    <w:abstractNumId w:val="4"/>
  </w:num>
  <w:num w:numId="57">
    <w:abstractNumId w:val="4"/>
  </w:num>
  <w:num w:numId="58">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it-IT" w:vendorID="64" w:dllVersion="131078"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11 16:29:17"/>
    <w:docVar w:name="DQCHighlighting" w:val="10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8"/>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CORRIGENDUM" w:val="&lt;UNUSED&gt;"/>
    <w:docVar w:name="LW_COVERPAGE_EXISTS" w:val="True"/>
    <w:docVar w:name="LW_COVERPAGE_GUID" w:val="2B4E0412-E3FC-428E-82E6-09B500227011"/>
    <w:docVar w:name="LW_COVERPAGE_TYPE" w:val="1"/>
    <w:docVar w:name="LW_CROSSREFERENCE" w:val="{SEC(2022) 160 final} - {SWD(2022) 75 final} - {SWD(2022) 76 final}"/>
    <w:docVar w:name="LW_DocType" w:val="COM"/>
    <w:docVar w:name="LW_EMISSION" w:val="16.3.2022"/>
    <w:docVar w:name="LW_EMISSION_ISODATE" w:val="2022-03-16"/>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74"/>
    <w:docVar w:name="LW_REF.II.NEW.CP_YEAR" w:val="2022"/>
    <w:docVar w:name="LW_REF.INST.NEW" w:val="COM"/>
    <w:docVar w:name="LW_REF.INST.NEW_ADOPTED" w:val="final"/>
    <w:docVar w:name="LW_REF.INST.NEW_TEXT" w:val="(2022) 1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No 909/2014 as regards settlement discipline, cross-border provision of services, supervisory cooperation, provision of banking-type ancillary services and requirements for third-country central securities depositories"/>
    <w:docVar w:name="LW_TYPE.DOC.CP" w:val="REGULATION OF THE EUROPEAN PARLIAMENT AND OF THE COUNCIL"/>
    <w:docVar w:name="LwApiVersions" w:val="LW4CoDe 1.23.2.0; LW 8.0, Build 20211117"/>
  </w:docVars>
  <w:rsids>
    <w:rsidRoot w:val="00470D07"/>
    <w:rsid w:val="00003E40"/>
    <w:rsid w:val="00010223"/>
    <w:rsid w:val="00010489"/>
    <w:rsid w:val="0001125F"/>
    <w:rsid w:val="000149C6"/>
    <w:rsid w:val="00020C22"/>
    <w:rsid w:val="000232EF"/>
    <w:rsid w:val="00025EEA"/>
    <w:rsid w:val="000313C7"/>
    <w:rsid w:val="00032F49"/>
    <w:rsid w:val="0003345D"/>
    <w:rsid w:val="000351E1"/>
    <w:rsid w:val="00036D80"/>
    <w:rsid w:val="000432F4"/>
    <w:rsid w:val="00043E03"/>
    <w:rsid w:val="00045186"/>
    <w:rsid w:val="00047801"/>
    <w:rsid w:val="00050A80"/>
    <w:rsid w:val="0005593E"/>
    <w:rsid w:val="00060600"/>
    <w:rsid w:val="00061B3C"/>
    <w:rsid w:val="000625E0"/>
    <w:rsid w:val="00066E53"/>
    <w:rsid w:val="00073344"/>
    <w:rsid w:val="00076B2B"/>
    <w:rsid w:val="0007781E"/>
    <w:rsid w:val="00086502"/>
    <w:rsid w:val="000973E8"/>
    <w:rsid w:val="000A034C"/>
    <w:rsid w:val="000A4294"/>
    <w:rsid w:val="000A7517"/>
    <w:rsid w:val="000A75EF"/>
    <w:rsid w:val="000B0D03"/>
    <w:rsid w:val="000B16AD"/>
    <w:rsid w:val="000B2860"/>
    <w:rsid w:val="000B53F8"/>
    <w:rsid w:val="000B5799"/>
    <w:rsid w:val="000B66C0"/>
    <w:rsid w:val="000B773C"/>
    <w:rsid w:val="000B795C"/>
    <w:rsid w:val="000C3973"/>
    <w:rsid w:val="000C4067"/>
    <w:rsid w:val="000C4F35"/>
    <w:rsid w:val="000D29AE"/>
    <w:rsid w:val="000D79B7"/>
    <w:rsid w:val="000E09E5"/>
    <w:rsid w:val="000E198E"/>
    <w:rsid w:val="000E4466"/>
    <w:rsid w:val="000E45D1"/>
    <w:rsid w:val="000E79A8"/>
    <w:rsid w:val="000F0ECD"/>
    <w:rsid w:val="000F0F35"/>
    <w:rsid w:val="000F27D4"/>
    <w:rsid w:val="000F68CB"/>
    <w:rsid w:val="000F6FF0"/>
    <w:rsid w:val="000F7263"/>
    <w:rsid w:val="000F73ED"/>
    <w:rsid w:val="00100DBC"/>
    <w:rsid w:val="0010416E"/>
    <w:rsid w:val="001107F5"/>
    <w:rsid w:val="00111004"/>
    <w:rsid w:val="001129DD"/>
    <w:rsid w:val="001138C1"/>
    <w:rsid w:val="00113B55"/>
    <w:rsid w:val="00120A3C"/>
    <w:rsid w:val="001214D2"/>
    <w:rsid w:val="0012213D"/>
    <w:rsid w:val="0012407F"/>
    <w:rsid w:val="00124CFA"/>
    <w:rsid w:val="0013017E"/>
    <w:rsid w:val="001303C2"/>
    <w:rsid w:val="0013731B"/>
    <w:rsid w:val="00143B02"/>
    <w:rsid w:val="00144884"/>
    <w:rsid w:val="00144998"/>
    <w:rsid w:val="00150BDD"/>
    <w:rsid w:val="001520A4"/>
    <w:rsid w:val="001527A0"/>
    <w:rsid w:val="00154668"/>
    <w:rsid w:val="0015479C"/>
    <w:rsid w:val="00155C04"/>
    <w:rsid w:val="00156311"/>
    <w:rsid w:val="00161B60"/>
    <w:rsid w:val="00161D6F"/>
    <w:rsid w:val="001637E0"/>
    <w:rsid w:val="00164353"/>
    <w:rsid w:val="0016747E"/>
    <w:rsid w:val="001678E4"/>
    <w:rsid w:val="00174587"/>
    <w:rsid w:val="00174A0A"/>
    <w:rsid w:val="00182AFC"/>
    <w:rsid w:val="00183243"/>
    <w:rsid w:val="001845DC"/>
    <w:rsid w:val="00184ED0"/>
    <w:rsid w:val="0018790F"/>
    <w:rsid w:val="001960B9"/>
    <w:rsid w:val="00196375"/>
    <w:rsid w:val="00196F7C"/>
    <w:rsid w:val="0019781B"/>
    <w:rsid w:val="001A1724"/>
    <w:rsid w:val="001A1CA9"/>
    <w:rsid w:val="001A3802"/>
    <w:rsid w:val="001B3CEE"/>
    <w:rsid w:val="001B441C"/>
    <w:rsid w:val="001B56C0"/>
    <w:rsid w:val="001B66A7"/>
    <w:rsid w:val="001C2816"/>
    <w:rsid w:val="001C38CD"/>
    <w:rsid w:val="001C5AFE"/>
    <w:rsid w:val="001C74FD"/>
    <w:rsid w:val="001D19F7"/>
    <w:rsid w:val="001D374B"/>
    <w:rsid w:val="001D3EE8"/>
    <w:rsid w:val="001D750C"/>
    <w:rsid w:val="001E2DB4"/>
    <w:rsid w:val="001E4EE1"/>
    <w:rsid w:val="001E584D"/>
    <w:rsid w:val="001E5904"/>
    <w:rsid w:val="001E63AA"/>
    <w:rsid w:val="001F54C1"/>
    <w:rsid w:val="001F5828"/>
    <w:rsid w:val="001F60AF"/>
    <w:rsid w:val="00201AD9"/>
    <w:rsid w:val="002025B2"/>
    <w:rsid w:val="00202A0F"/>
    <w:rsid w:val="00203C98"/>
    <w:rsid w:val="002041D9"/>
    <w:rsid w:val="002046FB"/>
    <w:rsid w:val="00206F06"/>
    <w:rsid w:val="00207280"/>
    <w:rsid w:val="00211BC6"/>
    <w:rsid w:val="00211DC4"/>
    <w:rsid w:val="0021345B"/>
    <w:rsid w:val="002142FA"/>
    <w:rsid w:val="0021496E"/>
    <w:rsid w:val="00216E22"/>
    <w:rsid w:val="00217488"/>
    <w:rsid w:val="00230722"/>
    <w:rsid w:val="00232E98"/>
    <w:rsid w:val="002369B7"/>
    <w:rsid w:val="00237A20"/>
    <w:rsid w:val="00241620"/>
    <w:rsid w:val="0024785D"/>
    <w:rsid w:val="0025145A"/>
    <w:rsid w:val="002519CB"/>
    <w:rsid w:val="00252241"/>
    <w:rsid w:val="00253331"/>
    <w:rsid w:val="00254D20"/>
    <w:rsid w:val="00255322"/>
    <w:rsid w:val="0026717D"/>
    <w:rsid w:val="00267709"/>
    <w:rsid w:val="00272D45"/>
    <w:rsid w:val="00273119"/>
    <w:rsid w:val="002754AC"/>
    <w:rsid w:val="0027637B"/>
    <w:rsid w:val="00281ABA"/>
    <w:rsid w:val="002822BD"/>
    <w:rsid w:val="0028271B"/>
    <w:rsid w:val="002832E8"/>
    <w:rsid w:val="00284862"/>
    <w:rsid w:val="0028783A"/>
    <w:rsid w:val="002925AC"/>
    <w:rsid w:val="002946FB"/>
    <w:rsid w:val="0029472A"/>
    <w:rsid w:val="00295349"/>
    <w:rsid w:val="002973F4"/>
    <w:rsid w:val="00297D20"/>
    <w:rsid w:val="002A28AA"/>
    <w:rsid w:val="002A463F"/>
    <w:rsid w:val="002A5E30"/>
    <w:rsid w:val="002A629A"/>
    <w:rsid w:val="002A679A"/>
    <w:rsid w:val="002B201B"/>
    <w:rsid w:val="002B2021"/>
    <w:rsid w:val="002B377A"/>
    <w:rsid w:val="002B4F1A"/>
    <w:rsid w:val="002B6FA0"/>
    <w:rsid w:val="002B72FA"/>
    <w:rsid w:val="002C12D4"/>
    <w:rsid w:val="002C2E13"/>
    <w:rsid w:val="002C3B15"/>
    <w:rsid w:val="002C5095"/>
    <w:rsid w:val="002C5DF5"/>
    <w:rsid w:val="002C7AEA"/>
    <w:rsid w:val="002D2197"/>
    <w:rsid w:val="002D2E4D"/>
    <w:rsid w:val="002D35D1"/>
    <w:rsid w:val="002D5A5E"/>
    <w:rsid w:val="002D78ED"/>
    <w:rsid w:val="002E1337"/>
    <w:rsid w:val="002E3042"/>
    <w:rsid w:val="002E4187"/>
    <w:rsid w:val="002E4B5F"/>
    <w:rsid w:val="002F0389"/>
    <w:rsid w:val="002F16D3"/>
    <w:rsid w:val="002F35FD"/>
    <w:rsid w:val="002F6210"/>
    <w:rsid w:val="003004DE"/>
    <w:rsid w:val="00305A35"/>
    <w:rsid w:val="0030626B"/>
    <w:rsid w:val="0030643A"/>
    <w:rsid w:val="003070A1"/>
    <w:rsid w:val="00310D1A"/>
    <w:rsid w:val="003122AA"/>
    <w:rsid w:val="003152C1"/>
    <w:rsid w:val="00320291"/>
    <w:rsid w:val="00325CC7"/>
    <w:rsid w:val="0032629D"/>
    <w:rsid w:val="0033185B"/>
    <w:rsid w:val="00331F33"/>
    <w:rsid w:val="003356A3"/>
    <w:rsid w:val="0034101C"/>
    <w:rsid w:val="00342A26"/>
    <w:rsid w:val="00347014"/>
    <w:rsid w:val="00351E65"/>
    <w:rsid w:val="003534BD"/>
    <w:rsid w:val="0035445D"/>
    <w:rsid w:val="00354964"/>
    <w:rsid w:val="00356B0B"/>
    <w:rsid w:val="003631E9"/>
    <w:rsid w:val="00365DD2"/>
    <w:rsid w:val="00366372"/>
    <w:rsid w:val="003666C6"/>
    <w:rsid w:val="00367591"/>
    <w:rsid w:val="00370AE0"/>
    <w:rsid w:val="003749E7"/>
    <w:rsid w:val="00375358"/>
    <w:rsid w:val="00375D02"/>
    <w:rsid w:val="0038288E"/>
    <w:rsid w:val="00386E44"/>
    <w:rsid w:val="00391A47"/>
    <w:rsid w:val="003928C0"/>
    <w:rsid w:val="00393CC3"/>
    <w:rsid w:val="00394457"/>
    <w:rsid w:val="003A366C"/>
    <w:rsid w:val="003A6D77"/>
    <w:rsid w:val="003B0291"/>
    <w:rsid w:val="003B0FE7"/>
    <w:rsid w:val="003B11F7"/>
    <w:rsid w:val="003B22BB"/>
    <w:rsid w:val="003B3368"/>
    <w:rsid w:val="003C03D8"/>
    <w:rsid w:val="003C1FB8"/>
    <w:rsid w:val="003C4EE5"/>
    <w:rsid w:val="003C6E34"/>
    <w:rsid w:val="003D11EA"/>
    <w:rsid w:val="003D1331"/>
    <w:rsid w:val="003D79C2"/>
    <w:rsid w:val="003D7DEE"/>
    <w:rsid w:val="003E614A"/>
    <w:rsid w:val="003E62A9"/>
    <w:rsid w:val="003E6F67"/>
    <w:rsid w:val="003F2456"/>
    <w:rsid w:val="003F4C0C"/>
    <w:rsid w:val="003F5FB6"/>
    <w:rsid w:val="004007CF"/>
    <w:rsid w:val="004011B5"/>
    <w:rsid w:val="00403681"/>
    <w:rsid w:val="00403C1D"/>
    <w:rsid w:val="00403E1E"/>
    <w:rsid w:val="00404A5A"/>
    <w:rsid w:val="0040651B"/>
    <w:rsid w:val="0040790A"/>
    <w:rsid w:val="00411B68"/>
    <w:rsid w:val="00413E24"/>
    <w:rsid w:val="004146D9"/>
    <w:rsid w:val="004158B2"/>
    <w:rsid w:val="00415A4E"/>
    <w:rsid w:val="00416412"/>
    <w:rsid w:val="0042048D"/>
    <w:rsid w:val="00422DCB"/>
    <w:rsid w:val="004323B8"/>
    <w:rsid w:val="00432E41"/>
    <w:rsid w:val="00433142"/>
    <w:rsid w:val="00433A67"/>
    <w:rsid w:val="00434897"/>
    <w:rsid w:val="0044417D"/>
    <w:rsid w:val="00445DB3"/>
    <w:rsid w:val="00451394"/>
    <w:rsid w:val="004532E8"/>
    <w:rsid w:val="00453FAD"/>
    <w:rsid w:val="004556BD"/>
    <w:rsid w:val="00456A9F"/>
    <w:rsid w:val="00465C09"/>
    <w:rsid w:val="00470D07"/>
    <w:rsid w:val="004716AC"/>
    <w:rsid w:val="00472B45"/>
    <w:rsid w:val="00472E0A"/>
    <w:rsid w:val="00474CCE"/>
    <w:rsid w:val="004765C2"/>
    <w:rsid w:val="004777F1"/>
    <w:rsid w:val="004801A6"/>
    <w:rsid w:val="00483398"/>
    <w:rsid w:val="00485AFC"/>
    <w:rsid w:val="004913ED"/>
    <w:rsid w:val="0049199C"/>
    <w:rsid w:val="00492219"/>
    <w:rsid w:val="00494A4B"/>
    <w:rsid w:val="004969CD"/>
    <w:rsid w:val="00497604"/>
    <w:rsid w:val="004A0813"/>
    <w:rsid w:val="004A32B5"/>
    <w:rsid w:val="004A367C"/>
    <w:rsid w:val="004B06F4"/>
    <w:rsid w:val="004B14FE"/>
    <w:rsid w:val="004B356E"/>
    <w:rsid w:val="004B56C3"/>
    <w:rsid w:val="004B6515"/>
    <w:rsid w:val="004B74A4"/>
    <w:rsid w:val="004C1E69"/>
    <w:rsid w:val="004C1F53"/>
    <w:rsid w:val="004C3198"/>
    <w:rsid w:val="004D206A"/>
    <w:rsid w:val="004D405C"/>
    <w:rsid w:val="004D5264"/>
    <w:rsid w:val="004E0A5B"/>
    <w:rsid w:val="004E1342"/>
    <w:rsid w:val="004E7400"/>
    <w:rsid w:val="004F18A6"/>
    <w:rsid w:val="004F1C12"/>
    <w:rsid w:val="004F3CAB"/>
    <w:rsid w:val="004F433B"/>
    <w:rsid w:val="004F469B"/>
    <w:rsid w:val="004F50EC"/>
    <w:rsid w:val="004F5E29"/>
    <w:rsid w:val="004F677E"/>
    <w:rsid w:val="004F757E"/>
    <w:rsid w:val="00501D05"/>
    <w:rsid w:val="00507656"/>
    <w:rsid w:val="005129EC"/>
    <w:rsid w:val="005139C3"/>
    <w:rsid w:val="005154E0"/>
    <w:rsid w:val="005226C2"/>
    <w:rsid w:val="005313D1"/>
    <w:rsid w:val="005339AB"/>
    <w:rsid w:val="0053665F"/>
    <w:rsid w:val="005373E5"/>
    <w:rsid w:val="00540142"/>
    <w:rsid w:val="00543461"/>
    <w:rsid w:val="00544362"/>
    <w:rsid w:val="00544475"/>
    <w:rsid w:val="005454EB"/>
    <w:rsid w:val="00547384"/>
    <w:rsid w:val="00553B8F"/>
    <w:rsid w:val="00555CB0"/>
    <w:rsid w:val="00557022"/>
    <w:rsid w:val="0056239B"/>
    <w:rsid w:val="00563085"/>
    <w:rsid w:val="00564732"/>
    <w:rsid w:val="00564EF2"/>
    <w:rsid w:val="00565763"/>
    <w:rsid w:val="005726F4"/>
    <w:rsid w:val="00572D7D"/>
    <w:rsid w:val="0057313C"/>
    <w:rsid w:val="00573F70"/>
    <w:rsid w:val="00580F4D"/>
    <w:rsid w:val="0058292F"/>
    <w:rsid w:val="00585063"/>
    <w:rsid w:val="00595786"/>
    <w:rsid w:val="0059654E"/>
    <w:rsid w:val="005A1275"/>
    <w:rsid w:val="005A49C8"/>
    <w:rsid w:val="005A7614"/>
    <w:rsid w:val="005B0AC4"/>
    <w:rsid w:val="005B2373"/>
    <w:rsid w:val="005B26A4"/>
    <w:rsid w:val="005B2F29"/>
    <w:rsid w:val="005B320C"/>
    <w:rsid w:val="005B4213"/>
    <w:rsid w:val="005B7524"/>
    <w:rsid w:val="005C0CA1"/>
    <w:rsid w:val="005C1EFD"/>
    <w:rsid w:val="005C2F1E"/>
    <w:rsid w:val="005C4D40"/>
    <w:rsid w:val="005C5275"/>
    <w:rsid w:val="005C5F6D"/>
    <w:rsid w:val="005C6239"/>
    <w:rsid w:val="005D4B5C"/>
    <w:rsid w:val="005E00FF"/>
    <w:rsid w:val="005E01D9"/>
    <w:rsid w:val="005E0FA0"/>
    <w:rsid w:val="005E1950"/>
    <w:rsid w:val="005E3B4B"/>
    <w:rsid w:val="005E4652"/>
    <w:rsid w:val="005F3A9F"/>
    <w:rsid w:val="005F4FE9"/>
    <w:rsid w:val="005F6DB7"/>
    <w:rsid w:val="00600E83"/>
    <w:rsid w:val="00605AF5"/>
    <w:rsid w:val="00605C2E"/>
    <w:rsid w:val="006072E5"/>
    <w:rsid w:val="00610718"/>
    <w:rsid w:val="006109A9"/>
    <w:rsid w:val="00610BB2"/>
    <w:rsid w:val="006114DE"/>
    <w:rsid w:val="00612195"/>
    <w:rsid w:val="00614F13"/>
    <w:rsid w:val="006159CC"/>
    <w:rsid w:val="00620AC2"/>
    <w:rsid w:val="0063181D"/>
    <w:rsid w:val="00645B17"/>
    <w:rsid w:val="00645CA6"/>
    <w:rsid w:val="0065222F"/>
    <w:rsid w:val="00652D5B"/>
    <w:rsid w:val="00653450"/>
    <w:rsid w:val="00654A4E"/>
    <w:rsid w:val="00654F7B"/>
    <w:rsid w:val="006555C3"/>
    <w:rsid w:val="0065678B"/>
    <w:rsid w:val="006632A3"/>
    <w:rsid w:val="00664618"/>
    <w:rsid w:val="00670CB9"/>
    <w:rsid w:val="006742BD"/>
    <w:rsid w:val="00674579"/>
    <w:rsid w:val="00675210"/>
    <w:rsid w:val="00680277"/>
    <w:rsid w:val="00681545"/>
    <w:rsid w:val="00683E34"/>
    <w:rsid w:val="00685329"/>
    <w:rsid w:val="006855E6"/>
    <w:rsid w:val="00691597"/>
    <w:rsid w:val="0069781E"/>
    <w:rsid w:val="006A46E7"/>
    <w:rsid w:val="006A4D94"/>
    <w:rsid w:val="006A75DB"/>
    <w:rsid w:val="006A7D36"/>
    <w:rsid w:val="006B01C1"/>
    <w:rsid w:val="006B0223"/>
    <w:rsid w:val="006B0414"/>
    <w:rsid w:val="006B0E7D"/>
    <w:rsid w:val="006B175A"/>
    <w:rsid w:val="006B3BA6"/>
    <w:rsid w:val="006B4E89"/>
    <w:rsid w:val="006B53C8"/>
    <w:rsid w:val="006B7679"/>
    <w:rsid w:val="006C0D2D"/>
    <w:rsid w:val="006C418D"/>
    <w:rsid w:val="006C4647"/>
    <w:rsid w:val="006C5B9D"/>
    <w:rsid w:val="006C5EC2"/>
    <w:rsid w:val="006D0608"/>
    <w:rsid w:val="006D2308"/>
    <w:rsid w:val="006D29F1"/>
    <w:rsid w:val="006D4781"/>
    <w:rsid w:val="006D4937"/>
    <w:rsid w:val="006D4CC9"/>
    <w:rsid w:val="006D6185"/>
    <w:rsid w:val="006E3D46"/>
    <w:rsid w:val="006E4809"/>
    <w:rsid w:val="006F0990"/>
    <w:rsid w:val="006F17EE"/>
    <w:rsid w:val="006F477B"/>
    <w:rsid w:val="006F5394"/>
    <w:rsid w:val="006F60A1"/>
    <w:rsid w:val="006F7AB4"/>
    <w:rsid w:val="007007AC"/>
    <w:rsid w:val="0070128F"/>
    <w:rsid w:val="00702B57"/>
    <w:rsid w:val="007037C8"/>
    <w:rsid w:val="00705647"/>
    <w:rsid w:val="007075C8"/>
    <w:rsid w:val="007115DE"/>
    <w:rsid w:val="00713803"/>
    <w:rsid w:val="00715C96"/>
    <w:rsid w:val="00717BEB"/>
    <w:rsid w:val="00721627"/>
    <w:rsid w:val="00721B38"/>
    <w:rsid w:val="00721F2C"/>
    <w:rsid w:val="007244C3"/>
    <w:rsid w:val="007262F8"/>
    <w:rsid w:val="00727065"/>
    <w:rsid w:val="00731084"/>
    <w:rsid w:val="00736B51"/>
    <w:rsid w:val="0073720B"/>
    <w:rsid w:val="00737815"/>
    <w:rsid w:val="00737B0D"/>
    <w:rsid w:val="007434B3"/>
    <w:rsid w:val="00745CFE"/>
    <w:rsid w:val="007505A4"/>
    <w:rsid w:val="00750EB4"/>
    <w:rsid w:val="00751DFC"/>
    <w:rsid w:val="007605A0"/>
    <w:rsid w:val="00764A17"/>
    <w:rsid w:val="00773682"/>
    <w:rsid w:val="0078250A"/>
    <w:rsid w:val="00784865"/>
    <w:rsid w:val="007902DF"/>
    <w:rsid w:val="00790AA1"/>
    <w:rsid w:val="007976D8"/>
    <w:rsid w:val="007A0985"/>
    <w:rsid w:val="007A10DE"/>
    <w:rsid w:val="007A1DFF"/>
    <w:rsid w:val="007A34FF"/>
    <w:rsid w:val="007A4080"/>
    <w:rsid w:val="007A4166"/>
    <w:rsid w:val="007B0331"/>
    <w:rsid w:val="007B44F8"/>
    <w:rsid w:val="007B4F89"/>
    <w:rsid w:val="007B7AA7"/>
    <w:rsid w:val="007C06F6"/>
    <w:rsid w:val="007C0FB9"/>
    <w:rsid w:val="007C3D75"/>
    <w:rsid w:val="007C4C8B"/>
    <w:rsid w:val="007C4CEA"/>
    <w:rsid w:val="007D08EC"/>
    <w:rsid w:val="007D1CF2"/>
    <w:rsid w:val="007D2333"/>
    <w:rsid w:val="007D4494"/>
    <w:rsid w:val="007D5589"/>
    <w:rsid w:val="007D63E0"/>
    <w:rsid w:val="007E0761"/>
    <w:rsid w:val="007E0769"/>
    <w:rsid w:val="007E10F3"/>
    <w:rsid w:val="007E546F"/>
    <w:rsid w:val="007F0376"/>
    <w:rsid w:val="007F4BFA"/>
    <w:rsid w:val="00804974"/>
    <w:rsid w:val="0080561B"/>
    <w:rsid w:val="00811E6B"/>
    <w:rsid w:val="008145D5"/>
    <w:rsid w:val="00820612"/>
    <w:rsid w:val="00821ECB"/>
    <w:rsid w:val="00824F11"/>
    <w:rsid w:val="0083214F"/>
    <w:rsid w:val="00837C5E"/>
    <w:rsid w:val="00837FF9"/>
    <w:rsid w:val="00840DE6"/>
    <w:rsid w:val="00850E23"/>
    <w:rsid w:val="00856615"/>
    <w:rsid w:val="00862AB2"/>
    <w:rsid w:val="008630D6"/>
    <w:rsid w:val="008658DA"/>
    <w:rsid w:val="0086776B"/>
    <w:rsid w:val="00874FFD"/>
    <w:rsid w:val="00881B57"/>
    <w:rsid w:val="00881E38"/>
    <w:rsid w:val="0088377A"/>
    <w:rsid w:val="008844B3"/>
    <w:rsid w:val="00885B63"/>
    <w:rsid w:val="00886592"/>
    <w:rsid w:val="00887388"/>
    <w:rsid w:val="00891C7A"/>
    <w:rsid w:val="00891E0C"/>
    <w:rsid w:val="008931E0"/>
    <w:rsid w:val="00893BA9"/>
    <w:rsid w:val="008A4445"/>
    <w:rsid w:val="008A5EC7"/>
    <w:rsid w:val="008A5FB5"/>
    <w:rsid w:val="008B01AF"/>
    <w:rsid w:val="008B213A"/>
    <w:rsid w:val="008B564A"/>
    <w:rsid w:val="008B59A2"/>
    <w:rsid w:val="008B673E"/>
    <w:rsid w:val="008C1339"/>
    <w:rsid w:val="008C60D9"/>
    <w:rsid w:val="008C648F"/>
    <w:rsid w:val="008C71AA"/>
    <w:rsid w:val="008C7897"/>
    <w:rsid w:val="008D263F"/>
    <w:rsid w:val="008D3AC9"/>
    <w:rsid w:val="008D502A"/>
    <w:rsid w:val="008D59C9"/>
    <w:rsid w:val="008D5CAE"/>
    <w:rsid w:val="008E08D0"/>
    <w:rsid w:val="008E3613"/>
    <w:rsid w:val="008E52C2"/>
    <w:rsid w:val="008E5F06"/>
    <w:rsid w:val="008E6990"/>
    <w:rsid w:val="008F07FB"/>
    <w:rsid w:val="008F13BF"/>
    <w:rsid w:val="008F25F0"/>
    <w:rsid w:val="008F299C"/>
    <w:rsid w:val="008F2F5F"/>
    <w:rsid w:val="008F5F0F"/>
    <w:rsid w:val="008F716B"/>
    <w:rsid w:val="0090015A"/>
    <w:rsid w:val="009005F3"/>
    <w:rsid w:val="009011FD"/>
    <w:rsid w:val="00903165"/>
    <w:rsid w:val="00907A48"/>
    <w:rsid w:val="00914997"/>
    <w:rsid w:val="009150FD"/>
    <w:rsid w:val="009161AC"/>
    <w:rsid w:val="009165D6"/>
    <w:rsid w:val="009226C7"/>
    <w:rsid w:val="00944806"/>
    <w:rsid w:val="00945E6E"/>
    <w:rsid w:val="00950B2A"/>
    <w:rsid w:val="00953EB0"/>
    <w:rsid w:val="009567CF"/>
    <w:rsid w:val="009576A1"/>
    <w:rsid w:val="009578C6"/>
    <w:rsid w:val="00962A56"/>
    <w:rsid w:val="00963663"/>
    <w:rsid w:val="00964891"/>
    <w:rsid w:val="00965251"/>
    <w:rsid w:val="009658FF"/>
    <w:rsid w:val="009738F2"/>
    <w:rsid w:val="0098244C"/>
    <w:rsid w:val="0098285B"/>
    <w:rsid w:val="00983A9F"/>
    <w:rsid w:val="009866BE"/>
    <w:rsid w:val="00986B33"/>
    <w:rsid w:val="00987AD5"/>
    <w:rsid w:val="00990EE9"/>
    <w:rsid w:val="00993EA9"/>
    <w:rsid w:val="009A47A8"/>
    <w:rsid w:val="009A50B6"/>
    <w:rsid w:val="009A67FA"/>
    <w:rsid w:val="009B1638"/>
    <w:rsid w:val="009B62C6"/>
    <w:rsid w:val="009B7138"/>
    <w:rsid w:val="009C003C"/>
    <w:rsid w:val="009C3F73"/>
    <w:rsid w:val="009C5ED0"/>
    <w:rsid w:val="009D1DA6"/>
    <w:rsid w:val="009D3ABE"/>
    <w:rsid w:val="009D5D79"/>
    <w:rsid w:val="009D5E02"/>
    <w:rsid w:val="009D5EBB"/>
    <w:rsid w:val="009E011C"/>
    <w:rsid w:val="009E069F"/>
    <w:rsid w:val="009E0F72"/>
    <w:rsid w:val="009E106F"/>
    <w:rsid w:val="009E20F6"/>
    <w:rsid w:val="009E45C2"/>
    <w:rsid w:val="009E61B3"/>
    <w:rsid w:val="009E61C4"/>
    <w:rsid w:val="009F239C"/>
    <w:rsid w:val="009F3359"/>
    <w:rsid w:val="009F43B0"/>
    <w:rsid w:val="009F5E55"/>
    <w:rsid w:val="009F74BA"/>
    <w:rsid w:val="00A00C9D"/>
    <w:rsid w:val="00A02F83"/>
    <w:rsid w:val="00A033DA"/>
    <w:rsid w:val="00A06D95"/>
    <w:rsid w:val="00A07F3C"/>
    <w:rsid w:val="00A07F5F"/>
    <w:rsid w:val="00A1188B"/>
    <w:rsid w:val="00A1415F"/>
    <w:rsid w:val="00A14350"/>
    <w:rsid w:val="00A14BC9"/>
    <w:rsid w:val="00A174F8"/>
    <w:rsid w:val="00A21657"/>
    <w:rsid w:val="00A22114"/>
    <w:rsid w:val="00A23CC8"/>
    <w:rsid w:val="00A27945"/>
    <w:rsid w:val="00A35682"/>
    <w:rsid w:val="00A35763"/>
    <w:rsid w:val="00A36211"/>
    <w:rsid w:val="00A364FC"/>
    <w:rsid w:val="00A40F59"/>
    <w:rsid w:val="00A42CEF"/>
    <w:rsid w:val="00A44394"/>
    <w:rsid w:val="00A4566D"/>
    <w:rsid w:val="00A4625F"/>
    <w:rsid w:val="00A502E1"/>
    <w:rsid w:val="00A510E8"/>
    <w:rsid w:val="00A52B9E"/>
    <w:rsid w:val="00A534F6"/>
    <w:rsid w:val="00A53B21"/>
    <w:rsid w:val="00A53E06"/>
    <w:rsid w:val="00A61C83"/>
    <w:rsid w:val="00A656E6"/>
    <w:rsid w:val="00A7055A"/>
    <w:rsid w:val="00A728D2"/>
    <w:rsid w:val="00A72E24"/>
    <w:rsid w:val="00A74D15"/>
    <w:rsid w:val="00A812A6"/>
    <w:rsid w:val="00A91DD3"/>
    <w:rsid w:val="00A929A6"/>
    <w:rsid w:val="00A9393F"/>
    <w:rsid w:val="00A94A59"/>
    <w:rsid w:val="00A96AA1"/>
    <w:rsid w:val="00A96E8C"/>
    <w:rsid w:val="00AA16A6"/>
    <w:rsid w:val="00AA1E8E"/>
    <w:rsid w:val="00AA29ED"/>
    <w:rsid w:val="00AB0F60"/>
    <w:rsid w:val="00AB1564"/>
    <w:rsid w:val="00AB4D2C"/>
    <w:rsid w:val="00AB7CAA"/>
    <w:rsid w:val="00AC1019"/>
    <w:rsid w:val="00AC21DC"/>
    <w:rsid w:val="00AC5CC8"/>
    <w:rsid w:val="00AD00AE"/>
    <w:rsid w:val="00AD0295"/>
    <w:rsid w:val="00AD05AD"/>
    <w:rsid w:val="00AD138B"/>
    <w:rsid w:val="00AD3307"/>
    <w:rsid w:val="00AD3EF8"/>
    <w:rsid w:val="00AD5416"/>
    <w:rsid w:val="00AD6E02"/>
    <w:rsid w:val="00AE7ED6"/>
    <w:rsid w:val="00AF196F"/>
    <w:rsid w:val="00AF21EE"/>
    <w:rsid w:val="00AF2386"/>
    <w:rsid w:val="00B002E8"/>
    <w:rsid w:val="00B004C8"/>
    <w:rsid w:val="00B043EE"/>
    <w:rsid w:val="00B04614"/>
    <w:rsid w:val="00B04C98"/>
    <w:rsid w:val="00B0538E"/>
    <w:rsid w:val="00B07985"/>
    <w:rsid w:val="00B07A4D"/>
    <w:rsid w:val="00B1116F"/>
    <w:rsid w:val="00B124EE"/>
    <w:rsid w:val="00B141B3"/>
    <w:rsid w:val="00B1668C"/>
    <w:rsid w:val="00B16B22"/>
    <w:rsid w:val="00B24119"/>
    <w:rsid w:val="00B26FDF"/>
    <w:rsid w:val="00B303B7"/>
    <w:rsid w:val="00B309D9"/>
    <w:rsid w:val="00B316FF"/>
    <w:rsid w:val="00B32AA9"/>
    <w:rsid w:val="00B35E27"/>
    <w:rsid w:val="00B37EE6"/>
    <w:rsid w:val="00B40CFF"/>
    <w:rsid w:val="00B42134"/>
    <w:rsid w:val="00B43F19"/>
    <w:rsid w:val="00B504B8"/>
    <w:rsid w:val="00B50AD0"/>
    <w:rsid w:val="00B50CC0"/>
    <w:rsid w:val="00B51170"/>
    <w:rsid w:val="00B51CFF"/>
    <w:rsid w:val="00B52F7A"/>
    <w:rsid w:val="00B54568"/>
    <w:rsid w:val="00B54924"/>
    <w:rsid w:val="00B670E7"/>
    <w:rsid w:val="00B67A80"/>
    <w:rsid w:val="00B703F1"/>
    <w:rsid w:val="00B71FA4"/>
    <w:rsid w:val="00B73D34"/>
    <w:rsid w:val="00B748EC"/>
    <w:rsid w:val="00B770F9"/>
    <w:rsid w:val="00B80191"/>
    <w:rsid w:val="00B81BFC"/>
    <w:rsid w:val="00B82BEB"/>
    <w:rsid w:val="00B857C7"/>
    <w:rsid w:val="00B9317A"/>
    <w:rsid w:val="00B93872"/>
    <w:rsid w:val="00B97CDA"/>
    <w:rsid w:val="00BA2808"/>
    <w:rsid w:val="00BA7A59"/>
    <w:rsid w:val="00BB0964"/>
    <w:rsid w:val="00BB2DA6"/>
    <w:rsid w:val="00BB7918"/>
    <w:rsid w:val="00BC0054"/>
    <w:rsid w:val="00BC3C71"/>
    <w:rsid w:val="00BC43D5"/>
    <w:rsid w:val="00BD44D7"/>
    <w:rsid w:val="00BD781D"/>
    <w:rsid w:val="00BE246D"/>
    <w:rsid w:val="00BE5297"/>
    <w:rsid w:val="00BE56F4"/>
    <w:rsid w:val="00BF17AA"/>
    <w:rsid w:val="00BF3476"/>
    <w:rsid w:val="00BF5871"/>
    <w:rsid w:val="00BF5E51"/>
    <w:rsid w:val="00C027E8"/>
    <w:rsid w:val="00C05B6D"/>
    <w:rsid w:val="00C1100D"/>
    <w:rsid w:val="00C115EE"/>
    <w:rsid w:val="00C20FBF"/>
    <w:rsid w:val="00C227A5"/>
    <w:rsid w:val="00C243CF"/>
    <w:rsid w:val="00C24556"/>
    <w:rsid w:val="00C25A33"/>
    <w:rsid w:val="00C264B7"/>
    <w:rsid w:val="00C26E06"/>
    <w:rsid w:val="00C27766"/>
    <w:rsid w:val="00C27F5D"/>
    <w:rsid w:val="00C317A0"/>
    <w:rsid w:val="00C31D07"/>
    <w:rsid w:val="00C33B6F"/>
    <w:rsid w:val="00C35709"/>
    <w:rsid w:val="00C371D4"/>
    <w:rsid w:val="00C4111E"/>
    <w:rsid w:val="00C42B3E"/>
    <w:rsid w:val="00C43B4F"/>
    <w:rsid w:val="00C45305"/>
    <w:rsid w:val="00C47D03"/>
    <w:rsid w:val="00C52690"/>
    <w:rsid w:val="00C52B56"/>
    <w:rsid w:val="00C52F29"/>
    <w:rsid w:val="00C56232"/>
    <w:rsid w:val="00C57DFE"/>
    <w:rsid w:val="00C61C46"/>
    <w:rsid w:val="00C61EBC"/>
    <w:rsid w:val="00C64C02"/>
    <w:rsid w:val="00C66DFA"/>
    <w:rsid w:val="00C66FCC"/>
    <w:rsid w:val="00C67A15"/>
    <w:rsid w:val="00C708D1"/>
    <w:rsid w:val="00C7222F"/>
    <w:rsid w:val="00C724F0"/>
    <w:rsid w:val="00C7291C"/>
    <w:rsid w:val="00C729E5"/>
    <w:rsid w:val="00C73920"/>
    <w:rsid w:val="00C75C65"/>
    <w:rsid w:val="00C760AE"/>
    <w:rsid w:val="00C815A6"/>
    <w:rsid w:val="00C81BCE"/>
    <w:rsid w:val="00C84DA4"/>
    <w:rsid w:val="00C85E02"/>
    <w:rsid w:val="00C867DF"/>
    <w:rsid w:val="00C86D6F"/>
    <w:rsid w:val="00C874E6"/>
    <w:rsid w:val="00C95A6B"/>
    <w:rsid w:val="00CA0286"/>
    <w:rsid w:val="00CA0CDE"/>
    <w:rsid w:val="00CA6D7A"/>
    <w:rsid w:val="00CA7F49"/>
    <w:rsid w:val="00CB01FD"/>
    <w:rsid w:val="00CB09B5"/>
    <w:rsid w:val="00CB145E"/>
    <w:rsid w:val="00CB2831"/>
    <w:rsid w:val="00CB3726"/>
    <w:rsid w:val="00CB5C64"/>
    <w:rsid w:val="00CB79B3"/>
    <w:rsid w:val="00CC3D69"/>
    <w:rsid w:val="00CC72F4"/>
    <w:rsid w:val="00CD3061"/>
    <w:rsid w:val="00CE2403"/>
    <w:rsid w:val="00CE32A9"/>
    <w:rsid w:val="00CE3E6F"/>
    <w:rsid w:val="00CF0AA5"/>
    <w:rsid w:val="00CF13F3"/>
    <w:rsid w:val="00CF1F9C"/>
    <w:rsid w:val="00CF615D"/>
    <w:rsid w:val="00D0153A"/>
    <w:rsid w:val="00D04F39"/>
    <w:rsid w:val="00D05DDA"/>
    <w:rsid w:val="00D05F69"/>
    <w:rsid w:val="00D16F14"/>
    <w:rsid w:val="00D2008B"/>
    <w:rsid w:val="00D2030C"/>
    <w:rsid w:val="00D246D5"/>
    <w:rsid w:val="00D269E9"/>
    <w:rsid w:val="00D30AF6"/>
    <w:rsid w:val="00D31753"/>
    <w:rsid w:val="00D32850"/>
    <w:rsid w:val="00D32F03"/>
    <w:rsid w:val="00D3493E"/>
    <w:rsid w:val="00D408F1"/>
    <w:rsid w:val="00D40941"/>
    <w:rsid w:val="00D41633"/>
    <w:rsid w:val="00D42806"/>
    <w:rsid w:val="00D440B4"/>
    <w:rsid w:val="00D45A32"/>
    <w:rsid w:val="00D469F1"/>
    <w:rsid w:val="00D473D5"/>
    <w:rsid w:val="00D54AE4"/>
    <w:rsid w:val="00D5532E"/>
    <w:rsid w:val="00D6491E"/>
    <w:rsid w:val="00D64C19"/>
    <w:rsid w:val="00D70412"/>
    <w:rsid w:val="00D75A24"/>
    <w:rsid w:val="00D77339"/>
    <w:rsid w:val="00D81BBB"/>
    <w:rsid w:val="00D83971"/>
    <w:rsid w:val="00D85C14"/>
    <w:rsid w:val="00D926C3"/>
    <w:rsid w:val="00D93D62"/>
    <w:rsid w:val="00D96822"/>
    <w:rsid w:val="00D96ED2"/>
    <w:rsid w:val="00DA1C75"/>
    <w:rsid w:val="00DA496A"/>
    <w:rsid w:val="00DB3CC0"/>
    <w:rsid w:val="00DB53C6"/>
    <w:rsid w:val="00DC317D"/>
    <w:rsid w:val="00DD021B"/>
    <w:rsid w:val="00DD46E1"/>
    <w:rsid w:val="00DD5A41"/>
    <w:rsid w:val="00DD6502"/>
    <w:rsid w:val="00DD659B"/>
    <w:rsid w:val="00DE33BF"/>
    <w:rsid w:val="00DE4950"/>
    <w:rsid w:val="00DE52EE"/>
    <w:rsid w:val="00DE7EEC"/>
    <w:rsid w:val="00DF0155"/>
    <w:rsid w:val="00DF0E96"/>
    <w:rsid w:val="00DF4A31"/>
    <w:rsid w:val="00DF5EA5"/>
    <w:rsid w:val="00DF6F53"/>
    <w:rsid w:val="00E0267E"/>
    <w:rsid w:val="00E0492F"/>
    <w:rsid w:val="00E0577B"/>
    <w:rsid w:val="00E06D33"/>
    <w:rsid w:val="00E13002"/>
    <w:rsid w:val="00E147B7"/>
    <w:rsid w:val="00E156AB"/>
    <w:rsid w:val="00E17803"/>
    <w:rsid w:val="00E20640"/>
    <w:rsid w:val="00E21C02"/>
    <w:rsid w:val="00E220FE"/>
    <w:rsid w:val="00E22303"/>
    <w:rsid w:val="00E23769"/>
    <w:rsid w:val="00E23896"/>
    <w:rsid w:val="00E23C37"/>
    <w:rsid w:val="00E2712A"/>
    <w:rsid w:val="00E31213"/>
    <w:rsid w:val="00E326DA"/>
    <w:rsid w:val="00E34BDA"/>
    <w:rsid w:val="00E424DB"/>
    <w:rsid w:val="00E44564"/>
    <w:rsid w:val="00E4531D"/>
    <w:rsid w:val="00E50B3F"/>
    <w:rsid w:val="00E51B19"/>
    <w:rsid w:val="00E542BB"/>
    <w:rsid w:val="00E55A33"/>
    <w:rsid w:val="00E56FBC"/>
    <w:rsid w:val="00E615CC"/>
    <w:rsid w:val="00E618A8"/>
    <w:rsid w:val="00E62874"/>
    <w:rsid w:val="00E64427"/>
    <w:rsid w:val="00E743A8"/>
    <w:rsid w:val="00E74BD1"/>
    <w:rsid w:val="00E82551"/>
    <w:rsid w:val="00E82B05"/>
    <w:rsid w:val="00E83A14"/>
    <w:rsid w:val="00E83DFF"/>
    <w:rsid w:val="00E90F90"/>
    <w:rsid w:val="00E93CF7"/>
    <w:rsid w:val="00E95053"/>
    <w:rsid w:val="00EA1D82"/>
    <w:rsid w:val="00EA3612"/>
    <w:rsid w:val="00EA411F"/>
    <w:rsid w:val="00EA4A01"/>
    <w:rsid w:val="00EB0548"/>
    <w:rsid w:val="00EB66BB"/>
    <w:rsid w:val="00EC2FA4"/>
    <w:rsid w:val="00EC3909"/>
    <w:rsid w:val="00ED4672"/>
    <w:rsid w:val="00ED4FF2"/>
    <w:rsid w:val="00ED5DB3"/>
    <w:rsid w:val="00EE071B"/>
    <w:rsid w:val="00EE21A5"/>
    <w:rsid w:val="00EE409B"/>
    <w:rsid w:val="00EE5CBD"/>
    <w:rsid w:val="00EF19B5"/>
    <w:rsid w:val="00EF1C6D"/>
    <w:rsid w:val="00EF26F3"/>
    <w:rsid w:val="00EF3E0F"/>
    <w:rsid w:val="00EF3FED"/>
    <w:rsid w:val="00EF47DF"/>
    <w:rsid w:val="00EF5CD4"/>
    <w:rsid w:val="00EF5FFF"/>
    <w:rsid w:val="00F02022"/>
    <w:rsid w:val="00F02B98"/>
    <w:rsid w:val="00F12F88"/>
    <w:rsid w:val="00F155DA"/>
    <w:rsid w:val="00F15895"/>
    <w:rsid w:val="00F164CC"/>
    <w:rsid w:val="00F20062"/>
    <w:rsid w:val="00F23AFC"/>
    <w:rsid w:val="00F2522F"/>
    <w:rsid w:val="00F32E7D"/>
    <w:rsid w:val="00F400B1"/>
    <w:rsid w:val="00F40106"/>
    <w:rsid w:val="00F40AE6"/>
    <w:rsid w:val="00F41188"/>
    <w:rsid w:val="00F46123"/>
    <w:rsid w:val="00F5019D"/>
    <w:rsid w:val="00F524BA"/>
    <w:rsid w:val="00F52E04"/>
    <w:rsid w:val="00F52E98"/>
    <w:rsid w:val="00F57962"/>
    <w:rsid w:val="00F640A8"/>
    <w:rsid w:val="00F650A3"/>
    <w:rsid w:val="00F65467"/>
    <w:rsid w:val="00F6554C"/>
    <w:rsid w:val="00F668F5"/>
    <w:rsid w:val="00F7548B"/>
    <w:rsid w:val="00F758C1"/>
    <w:rsid w:val="00F75CFB"/>
    <w:rsid w:val="00F801A5"/>
    <w:rsid w:val="00F8269E"/>
    <w:rsid w:val="00F831AB"/>
    <w:rsid w:val="00F90002"/>
    <w:rsid w:val="00F9253D"/>
    <w:rsid w:val="00F92AA9"/>
    <w:rsid w:val="00F958AF"/>
    <w:rsid w:val="00FA34ED"/>
    <w:rsid w:val="00FA378E"/>
    <w:rsid w:val="00FA5A98"/>
    <w:rsid w:val="00FA68C6"/>
    <w:rsid w:val="00FA75F6"/>
    <w:rsid w:val="00FB001B"/>
    <w:rsid w:val="00FB00A7"/>
    <w:rsid w:val="00FB1AE9"/>
    <w:rsid w:val="00FB5F14"/>
    <w:rsid w:val="00FB7B72"/>
    <w:rsid w:val="00FC198E"/>
    <w:rsid w:val="00FC292A"/>
    <w:rsid w:val="00FC3BA6"/>
    <w:rsid w:val="00FC4C4A"/>
    <w:rsid w:val="00FD1245"/>
    <w:rsid w:val="00FD36E5"/>
    <w:rsid w:val="00FD43D0"/>
    <w:rsid w:val="00FD5B5B"/>
    <w:rsid w:val="00FD5FE9"/>
    <w:rsid w:val="00FE06B4"/>
    <w:rsid w:val="00FE0D20"/>
    <w:rsid w:val="00FE36E9"/>
    <w:rsid w:val="00FE3F3C"/>
    <w:rsid w:val="00FE7211"/>
    <w:rsid w:val="00FE7A5B"/>
    <w:rsid w:val="00FF0C91"/>
    <w:rsid w:val="00FF33BB"/>
    <w:rsid w:val="00FF5517"/>
    <w:rsid w:val="00FF56C8"/>
    <w:rsid w:val="00FF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70D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5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5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54"/>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5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FF5517"/>
    <w:pPr>
      <w:keepNext/>
      <w:numPr>
        <w:ilvl w:val="4"/>
        <w:numId w:val="54"/>
      </w:numPr>
      <w:outlineLvl w:val="4"/>
    </w:pPr>
    <w:rPr>
      <w:rFonts w:eastAsiaTheme="majorEastAsia"/>
    </w:rPr>
  </w:style>
  <w:style w:type="paragraph" w:styleId="Heading6">
    <w:name w:val="heading 6"/>
    <w:basedOn w:val="Normal"/>
    <w:next w:val="Text2"/>
    <w:link w:val="Heading6Char"/>
    <w:uiPriority w:val="9"/>
    <w:semiHidden/>
    <w:unhideWhenUsed/>
    <w:qFormat/>
    <w:rsid w:val="00FF5517"/>
    <w:pPr>
      <w:keepNext/>
      <w:numPr>
        <w:ilvl w:val="5"/>
        <w:numId w:val="54"/>
      </w:numPr>
      <w:outlineLvl w:val="5"/>
    </w:pPr>
    <w:rPr>
      <w:rFonts w:eastAsiaTheme="majorEastAsia"/>
      <w:iCs/>
    </w:rPr>
  </w:style>
  <w:style w:type="paragraph" w:styleId="Heading7">
    <w:name w:val="heading 7"/>
    <w:basedOn w:val="Normal"/>
    <w:next w:val="Text2"/>
    <w:link w:val="Heading7Char"/>
    <w:uiPriority w:val="9"/>
    <w:semiHidden/>
    <w:unhideWhenUsed/>
    <w:qFormat/>
    <w:rsid w:val="00FF5517"/>
    <w:pPr>
      <w:keepNext/>
      <w:numPr>
        <w:ilvl w:val="6"/>
        <w:numId w:val="5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CHeadingChar">
    <w:name w:val="TOC Heading Char"/>
    <w:uiPriority w:val="39"/>
    <w:rsid w:val="00470D07"/>
    <w:rPr>
      <w:rFonts w:ascii="Times New Roman" w:hAnsi="Times New Roman" w:cs="Times New Roman"/>
      <w:b/>
      <w:sz w:val="28"/>
      <w:lang w:val="en-GB"/>
    </w:rPr>
  </w:style>
  <w:style w:type="paragraph" w:styleId="ListBullet4">
    <w:name w:val="List Bullet 4"/>
    <w:basedOn w:val="Normal"/>
    <w:rsid w:val="00470D07"/>
    <w:pPr>
      <w:numPr>
        <w:numId w:val="3"/>
      </w:numPr>
    </w:pPr>
    <w:rPr>
      <w:rFonts w:eastAsia="Times New Roman"/>
      <w:lang w:eastAsia="de-DE"/>
    </w:rPr>
  </w:style>
  <w:style w:type="paragraph" w:styleId="ListNumber">
    <w:name w:val="List Number"/>
    <w:basedOn w:val="Normal"/>
    <w:rsid w:val="00470D07"/>
    <w:pPr>
      <w:numPr>
        <w:numId w:val="7"/>
      </w:numPr>
    </w:pPr>
    <w:rPr>
      <w:rFonts w:eastAsia="Times New Roman"/>
      <w:lang w:eastAsia="de-DE"/>
    </w:rPr>
  </w:style>
  <w:style w:type="paragraph" w:customStyle="1" w:styleId="ListBullet1">
    <w:name w:val="List Bullet 1"/>
    <w:basedOn w:val="Normal"/>
    <w:rsid w:val="00470D07"/>
    <w:pPr>
      <w:numPr>
        <w:numId w:val="2"/>
      </w:numPr>
    </w:pPr>
    <w:rPr>
      <w:rFonts w:eastAsia="Times New Roman"/>
      <w:lang w:eastAsia="de-DE"/>
    </w:rPr>
  </w:style>
  <w:style w:type="paragraph" w:customStyle="1" w:styleId="ListDash">
    <w:name w:val="List Dash"/>
    <w:basedOn w:val="Normal"/>
    <w:rsid w:val="00470D07"/>
    <w:pPr>
      <w:numPr>
        <w:numId w:val="4"/>
      </w:numPr>
    </w:pPr>
    <w:rPr>
      <w:rFonts w:eastAsia="Times New Roman"/>
      <w:lang w:eastAsia="de-DE"/>
    </w:rPr>
  </w:style>
  <w:style w:type="paragraph" w:customStyle="1" w:styleId="ListDash1">
    <w:name w:val="List Dash 1"/>
    <w:basedOn w:val="Normal"/>
    <w:rsid w:val="00470D07"/>
    <w:pPr>
      <w:numPr>
        <w:numId w:val="5"/>
      </w:numPr>
    </w:pPr>
    <w:rPr>
      <w:rFonts w:eastAsia="Times New Roman"/>
      <w:lang w:eastAsia="de-DE"/>
    </w:rPr>
  </w:style>
  <w:style w:type="paragraph" w:customStyle="1" w:styleId="ListDash2">
    <w:name w:val="List Dash 2"/>
    <w:basedOn w:val="Normal"/>
    <w:rsid w:val="00470D07"/>
    <w:pPr>
      <w:numPr>
        <w:numId w:val="6"/>
      </w:numPr>
    </w:pPr>
    <w:rPr>
      <w:rFonts w:eastAsia="Times New Roman"/>
      <w:lang w:eastAsia="de-DE"/>
    </w:rPr>
  </w:style>
  <w:style w:type="paragraph" w:customStyle="1" w:styleId="ListNumberLevel2">
    <w:name w:val="List Number (Level 2)"/>
    <w:basedOn w:val="Normal"/>
    <w:rsid w:val="00470D07"/>
    <w:pPr>
      <w:numPr>
        <w:ilvl w:val="1"/>
        <w:numId w:val="7"/>
      </w:numPr>
    </w:pPr>
    <w:rPr>
      <w:rFonts w:eastAsia="Times New Roman"/>
      <w:lang w:eastAsia="de-DE"/>
    </w:rPr>
  </w:style>
  <w:style w:type="paragraph" w:customStyle="1" w:styleId="ListNumberLevel3">
    <w:name w:val="List Number (Level 3)"/>
    <w:basedOn w:val="Normal"/>
    <w:rsid w:val="00470D07"/>
    <w:pPr>
      <w:tabs>
        <w:tab w:val="num" w:pos="2126"/>
      </w:tabs>
      <w:ind w:left="2126" w:hanging="709"/>
    </w:pPr>
    <w:rPr>
      <w:rFonts w:eastAsia="Times New Roman"/>
      <w:lang w:eastAsia="de-DE"/>
    </w:rPr>
  </w:style>
  <w:style w:type="paragraph" w:customStyle="1" w:styleId="ListNumberLevel4">
    <w:name w:val="List Number (Level 4)"/>
    <w:basedOn w:val="Normal"/>
    <w:rsid w:val="00470D07"/>
    <w:pPr>
      <w:tabs>
        <w:tab w:val="num" w:pos="2835"/>
      </w:tabs>
      <w:ind w:left="2835" w:hanging="709"/>
    </w:pPr>
    <w:rPr>
      <w:rFonts w:eastAsia="Times New Roman"/>
      <w:lang w:eastAsia="de-DE"/>
    </w:rPr>
  </w:style>
  <w:style w:type="character" w:styleId="Hyperlink">
    <w:name w:val="Hyperlink"/>
    <w:uiPriority w:val="99"/>
    <w:rsid w:val="00470D07"/>
    <w:rPr>
      <w:color w:val="0000FF"/>
      <w:u w:val="single"/>
    </w:rPr>
  </w:style>
  <w:style w:type="paragraph" w:styleId="ListBullet">
    <w:name w:val="List Bullet"/>
    <w:basedOn w:val="Normal"/>
    <w:rsid w:val="00470D07"/>
    <w:pPr>
      <w:numPr>
        <w:numId w:val="8"/>
      </w:numPr>
    </w:pPr>
    <w:rPr>
      <w:rFonts w:eastAsia="Times New Roman"/>
      <w:lang w:val="fr-FR" w:eastAsia="en-GB"/>
    </w:rPr>
  </w:style>
  <w:style w:type="paragraph" w:styleId="ListBullet2">
    <w:name w:val="List Bullet 2"/>
    <w:basedOn w:val="Normal"/>
    <w:rsid w:val="00470D07"/>
    <w:pPr>
      <w:numPr>
        <w:numId w:val="9"/>
      </w:numPr>
    </w:pPr>
    <w:rPr>
      <w:rFonts w:eastAsia="Times New Roman"/>
      <w:lang w:val="fr-FR" w:eastAsia="en-GB"/>
    </w:rPr>
  </w:style>
  <w:style w:type="paragraph" w:styleId="ListBullet3">
    <w:name w:val="List Bullet 3"/>
    <w:basedOn w:val="Normal"/>
    <w:rsid w:val="00470D07"/>
    <w:pPr>
      <w:numPr>
        <w:numId w:val="10"/>
      </w:numPr>
    </w:pPr>
    <w:rPr>
      <w:rFonts w:eastAsia="Times New Roman"/>
      <w:lang w:val="fr-FR" w:eastAsia="en-GB"/>
    </w:rPr>
  </w:style>
  <w:style w:type="paragraph" w:styleId="ListNumber2">
    <w:name w:val="List Number 2"/>
    <w:basedOn w:val="Normal"/>
    <w:rsid w:val="00470D07"/>
    <w:pPr>
      <w:numPr>
        <w:numId w:val="14"/>
      </w:numPr>
    </w:pPr>
    <w:rPr>
      <w:rFonts w:eastAsia="Times New Roman"/>
      <w:lang w:val="fr-FR" w:eastAsia="en-GB"/>
    </w:rPr>
  </w:style>
  <w:style w:type="paragraph" w:styleId="ListNumber3">
    <w:name w:val="List Number 3"/>
    <w:basedOn w:val="Normal"/>
    <w:rsid w:val="00470D07"/>
    <w:pPr>
      <w:numPr>
        <w:numId w:val="15"/>
      </w:numPr>
    </w:pPr>
    <w:rPr>
      <w:rFonts w:eastAsia="Times New Roman"/>
      <w:lang w:val="fr-FR" w:eastAsia="en-GB"/>
    </w:rPr>
  </w:style>
  <w:style w:type="paragraph" w:styleId="ListNumber4">
    <w:name w:val="List Number 4"/>
    <w:basedOn w:val="Normal"/>
    <w:rsid w:val="00470D07"/>
    <w:pPr>
      <w:numPr>
        <w:numId w:val="16"/>
      </w:numPr>
    </w:pPr>
    <w:rPr>
      <w:rFonts w:eastAsia="Times New Roman"/>
      <w:lang w:val="fr-FR" w:eastAsia="en-GB"/>
    </w:rPr>
  </w:style>
  <w:style w:type="paragraph" w:customStyle="1" w:styleId="ListDash3">
    <w:name w:val="List Dash 3"/>
    <w:basedOn w:val="Normal"/>
    <w:rsid w:val="00470D07"/>
    <w:pPr>
      <w:numPr>
        <w:numId w:val="11"/>
      </w:numPr>
    </w:pPr>
    <w:rPr>
      <w:rFonts w:eastAsia="Times New Roman"/>
      <w:lang w:val="fr-FR" w:eastAsia="en-GB"/>
    </w:rPr>
  </w:style>
  <w:style w:type="paragraph" w:customStyle="1" w:styleId="ListDash4">
    <w:name w:val="List Dash 4"/>
    <w:basedOn w:val="Normal"/>
    <w:rsid w:val="00470D07"/>
    <w:pPr>
      <w:numPr>
        <w:numId w:val="12"/>
      </w:numPr>
    </w:pPr>
    <w:rPr>
      <w:rFonts w:eastAsia="Times New Roman"/>
      <w:lang w:val="fr-FR" w:eastAsia="en-GB"/>
    </w:rPr>
  </w:style>
  <w:style w:type="paragraph" w:customStyle="1" w:styleId="ListNumber1">
    <w:name w:val="List Number 1"/>
    <w:basedOn w:val="Text1"/>
    <w:rsid w:val="00470D07"/>
    <w:pPr>
      <w:numPr>
        <w:numId w:val="13"/>
      </w:numPr>
    </w:pPr>
    <w:rPr>
      <w:rFonts w:eastAsia="Times New Roman"/>
      <w:lang w:val="fr-FR" w:eastAsia="en-GB"/>
    </w:rPr>
  </w:style>
  <w:style w:type="paragraph" w:customStyle="1" w:styleId="ListNumber1Level2">
    <w:name w:val="List Number 1 (Level 2)"/>
    <w:basedOn w:val="Text1"/>
    <w:rsid w:val="00470D07"/>
    <w:pPr>
      <w:numPr>
        <w:ilvl w:val="1"/>
        <w:numId w:val="13"/>
      </w:numPr>
    </w:pPr>
    <w:rPr>
      <w:rFonts w:eastAsia="Times New Roman"/>
      <w:lang w:val="fr-FR" w:eastAsia="en-GB"/>
    </w:rPr>
  </w:style>
  <w:style w:type="paragraph" w:customStyle="1" w:styleId="ListNumber2Level2">
    <w:name w:val="List Number 2 (Level 2)"/>
    <w:basedOn w:val="Text2"/>
    <w:rsid w:val="00470D07"/>
    <w:pPr>
      <w:numPr>
        <w:ilvl w:val="1"/>
        <w:numId w:val="14"/>
      </w:numPr>
    </w:pPr>
    <w:rPr>
      <w:rFonts w:eastAsia="Times New Roman"/>
      <w:lang w:val="fr-FR" w:eastAsia="en-GB"/>
    </w:rPr>
  </w:style>
  <w:style w:type="paragraph" w:customStyle="1" w:styleId="ListNumber3Level2">
    <w:name w:val="List Number 3 (Level 2)"/>
    <w:basedOn w:val="Text3"/>
    <w:rsid w:val="00470D07"/>
    <w:pPr>
      <w:numPr>
        <w:ilvl w:val="1"/>
        <w:numId w:val="15"/>
      </w:numPr>
    </w:pPr>
    <w:rPr>
      <w:rFonts w:eastAsia="Times New Roman"/>
      <w:lang w:val="fr-FR" w:eastAsia="en-GB"/>
    </w:rPr>
  </w:style>
  <w:style w:type="paragraph" w:customStyle="1" w:styleId="ListNumber4Level2">
    <w:name w:val="List Number 4 (Level 2)"/>
    <w:basedOn w:val="Text4"/>
    <w:rsid w:val="00470D07"/>
    <w:pPr>
      <w:numPr>
        <w:ilvl w:val="1"/>
        <w:numId w:val="16"/>
      </w:numPr>
    </w:pPr>
    <w:rPr>
      <w:rFonts w:eastAsia="Times New Roman"/>
      <w:lang w:val="fr-FR" w:eastAsia="en-GB"/>
    </w:rPr>
  </w:style>
  <w:style w:type="paragraph" w:customStyle="1" w:styleId="ListNumber1Level3">
    <w:name w:val="List Number 1 (Level 3)"/>
    <w:basedOn w:val="Text1"/>
    <w:rsid w:val="00470D07"/>
    <w:pPr>
      <w:numPr>
        <w:ilvl w:val="2"/>
        <w:numId w:val="13"/>
      </w:numPr>
    </w:pPr>
    <w:rPr>
      <w:rFonts w:eastAsia="Times New Roman"/>
      <w:lang w:val="fr-FR" w:eastAsia="en-GB"/>
    </w:rPr>
  </w:style>
  <w:style w:type="paragraph" w:customStyle="1" w:styleId="ListNumber2Level3">
    <w:name w:val="List Number 2 (Level 3)"/>
    <w:basedOn w:val="Text2"/>
    <w:rsid w:val="00470D07"/>
    <w:pPr>
      <w:numPr>
        <w:ilvl w:val="2"/>
        <w:numId w:val="14"/>
      </w:numPr>
    </w:pPr>
    <w:rPr>
      <w:rFonts w:eastAsia="Times New Roman"/>
      <w:lang w:val="fr-FR" w:eastAsia="en-GB"/>
    </w:rPr>
  </w:style>
  <w:style w:type="paragraph" w:customStyle="1" w:styleId="ListNumber3Level3">
    <w:name w:val="List Number 3 (Level 3)"/>
    <w:basedOn w:val="Text3"/>
    <w:rsid w:val="00470D07"/>
    <w:pPr>
      <w:numPr>
        <w:ilvl w:val="2"/>
        <w:numId w:val="15"/>
      </w:numPr>
    </w:pPr>
    <w:rPr>
      <w:rFonts w:eastAsia="Times New Roman"/>
      <w:lang w:val="fr-FR" w:eastAsia="en-GB"/>
    </w:rPr>
  </w:style>
  <w:style w:type="paragraph" w:customStyle="1" w:styleId="ListNumber4Level3">
    <w:name w:val="List Number 4 (Level 3)"/>
    <w:basedOn w:val="Text4"/>
    <w:rsid w:val="00470D07"/>
    <w:pPr>
      <w:numPr>
        <w:ilvl w:val="2"/>
        <w:numId w:val="16"/>
      </w:numPr>
    </w:pPr>
    <w:rPr>
      <w:rFonts w:eastAsia="Times New Roman"/>
      <w:lang w:val="fr-FR" w:eastAsia="en-GB"/>
    </w:rPr>
  </w:style>
  <w:style w:type="paragraph" w:customStyle="1" w:styleId="ListNumber1Level4">
    <w:name w:val="List Number 1 (Level 4)"/>
    <w:basedOn w:val="Text1"/>
    <w:rsid w:val="00470D07"/>
    <w:pPr>
      <w:numPr>
        <w:ilvl w:val="3"/>
        <w:numId w:val="13"/>
      </w:numPr>
    </w:pPr>
    <w:rPr>
      <w:rFonts w:eastAsia="Times New Roman"/>
      <w:lang w:val="fr-FR" w:eastAsia="en-GB"/>
    </w:rPr>
  </w:style>
  <w:style w:type="paragraph" w:customStyle="1" w:styleId="ListNumber2Level4">
    <w:name w:val="List Number 2 (Level 4)"/>
    <w:basedOn w:val="Text2"/>
    <w:rsid w:val="00470D07"/>
    <w:pPr>
      <w:numPr>
        <w:ilvl w:val="3"/>
        <w:numId w:val="14"/>
      </w:numPr>
    </w:pPr>
    <w:rPr>
      <w:rFonts w:eastAsia="Times New Roman"/>
      <w:lang w:val="fr-FR" w:eastAsia="en-GB"/>
    </w:rPr>
  </w:style>
  <w:style w:type="paragraph" w:customStyle="1" w:styleId="ListNumber3Level4">
    <w:name w:val="List Number 3 (Level 4)"/>
    <w:basedOn w:val="Text3"/>
    <w:rsid w:val="00470D07"/>
    <w:pPr>
      <w:numPr>
        <w:ilvl w:val="3"/>
        <w:numId w:val="15"/>
      </w:numPr>
    </w:pPr>
    <w:rPr>
      <w:rFonts w:eastAsia="Times New Roman"/>
      <w:lang w:val="fr-FR" w:eastAsia="en-GB"/>
    </w:rPr>
  </w:style>
  <w:style w:type="paragraph" w:customStyle="1" w:styleId="ListNumber4Level4">
    <w:name w:val="List Number 4 (Level 4)"/>
    <w:basedOn w:val="Text4"/>
    <w:rsid w:val="00470D07"/>
    <w:pPr>
      <w:numPr>
        <w:ilvl w:val="3"/>
        <w:numId w:val="16"/>
      </w:numPr>
    </w:pPr>
    <w:rPr>
      <w:rFonts w:eastAsia="Times New Roman"/>
      <w:lang w:val="fr-FR" w:eastAsia="en-GB"/>
    </w:rPr>
  </w:style>
  <w:style w:type="paragraph" w:customStyle="1" w:styleId="Annexetitreacte">
    <w:name w:val="Annexe titre (acte)"/>
    <w:basedOn w:val="Normal"/>
    <w:next w:val="Normal"/>
    <w:rsid w:val="00470D07"/>
    <w:pPr>
      <w:jc w:val="center"/>
    </w:pPr>
    <w:rPr>
      <w:rFonts w:eastAsia="Times New Roman"/>
      <w:b/>
      <w:u w:val="single"/>
      <w:lang w:val="fr-FR" w:eastAsia="en-GB"/>
    </w:rPr>
  </w:style>
  <w:style w:type="paragraph" w:customStyle="1" w:styleId="Annexetitreexposglobal">
    <w:name w:val="Annexe titre (exposé global)"/>
    <w:basedOn w:val="Normal"/>
    <w:next w:val="Normal"/>
    <w:rsid w:val="00470D07"/>
    <w:pPr>
      <w:jc w:val="center"/>
    </w:pPr>
    <w:rPr>
      <w:rFonts w:eastAsia="Times New Roman"/>
      <w:b/>
      <w:u w:val="single"/>
      <w:lang w:val="fr-FR" w:eastAsia="en-GB"/>
    </w:rPr>
  </w:style>
  <w:style w:type="paragraph" w:customStyle="1" w:styleId="Annexetitrefichefinacte">
    <w:name w:val="Annexe titre (fiche fin. acte)"/>
    <w:basedOn w:val="Normal"/>
    <w:next w:val="Normal"/>
    <w:rsid w:val="00470D07"/>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470D07"/>
    <w:pPr>
      <w:jc w:val="center"/>
    </w:pPr>
    <w:rPr>
      <w:rFonts w:eastAsia="Times New Roman"/>
      <w:b/>
      <w:u w:val="single"/>
      <w:lang w:val="fr-FR" w:eastAsia="en-GB"/>
    </w:rPr>
  </w:style>
  <w:style w:type="paragraph" w:customStyle="1" w:styleId="Annexetitreglobale">
    <w:name w:val="Annexe titre (globale)"/>
    <w:basedOn w:val="Normal"/>
    <w:next w:val="Normal"/>
    <w:rsid w:val="00470D07"/>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470D07"/>
    <w:pPr>
      <w:jc w:val="center"/>
    </w:pPr>
    <w:rPr>
      <w:rFonts w:eastAsia="Times New Roman"/>
      <w:b/>
      <w:u w:val="single"/>
      <w:lang w:val="fr-FR" w:eastAsia="en-GB"/>
    </w:rPr>
  </w:style>
  <w:style w:type="paragraph" w:customStyle="1" w:styleId="Langueoriginale">
    <w:name w:val="Langue originale"/>
    <w:basedOn w:val="Normal"/>
    <w:rsid w:val="00470D07"/>
    <w:pPr>
      <w:spacing w:before="360"/>
      <w:jc w:val="center"/>
    </w:pPr>
    <w:rPr>
      <w:rFonts w:eastAsia="Times New Roman"/>
      <w:caps/>
      <w:lang w:val="fr-FR" w:eastAsia="en-GB"/>
    </w:rPr>
  </w:style>
  <w:style w:type="paragraph" w:customStyle="1" w:styleId="Phrasefinale">
    <w:name w:val="Phrase finale"/>
    <w:basedOn w:val="Normal"/>
    <w:next w:val="Normal"/>
    <w:rsid w:val="00470D07"/>
    <w:pPr>
      <w:spacing w:before="360" w:after="0"/>
      <w:jc w:val="center"/>
    </w:pPr>
    <w:rPr>
      <w:rFonts w:eastAsia="Times New Roman"/>
      <w:lang w:val="fr-FR" w:eastAsia="en-GB"/>
    </w:rPr>
  </w:style>
  <w:style w:type="paragraph" w:customStyle="1" w:styleId="Prliminairetitre">
    <w:name w:val="Préliminaire titre"/>
    <w:basedOn w:val="Normal"/>
    <w:next w:val="Normal"/>
    <w:rsid w:val="00470D07"/>
    <w:pPr>
      <w:spacing w:before="360" w:after="360"/>
      <w:jc w:val="center"/>
    </w:pPr>
    <w:rPr>
      <w:rFonts w:eastAsia="Times New Roman"/>
      <w:b/>
      <w:lang w:val="fr-FR" w:eastAsia="en-GB"/>
    </w:rPr>
  </w:style>
  <w:style w:type="paragraph" w:customStyle="1" w:styleId="Prliminairetype">
    <w:name w:val="Préliminaire type"/>
    <w:basedOn w:val="Normal"/>
    <w:next w:val="Normal"/>
    <w:rsid w:val="00470D07"/>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470D07"/>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470D07"/>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470D07"/>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470D07"/>
    <w:pPr>
      <w:spacing w:before="0" w:after="0"/>
      <w:jc w:val="center"/>
    </w:pPr>
    <w:rPr>
      <w:rFonts w:eastAsia="Times New Roman"/>
      <w:b/>
      <w:lang w:val="fr-FR" w:eastAsia="en-GB"/>
    </w:rPr>
  </w:style>
  <w:style w:type="paragraph" w:customStyle="1" w:styleId="Statutprliminaire">
    <w:name w:val="Statut (préliminaire)"/>
    <w:basedOn w:val="Normal"/>
    <w:next w:val="Normal"/>
    <w:rsid w:val="00470D07"/>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470D07"/>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470D07"/>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470D07"/>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470D07"/>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470D07"/>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470D07"/>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470D07"/>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470D07"/>
    <w:pPr>
      <w:jc w:val="center"/>
    </w:pPr>
    <w:rPr>
      <w:rFonts w:eastAsia="Times New Roman"/>
      <w:b/>
      <w:u w:val="single"/>
      <w:lang w:val="fr-FR" w:eastAsia="en-GB"/>
    </w:rPr>
  </w:style>
  <w:style w:type="character" w:styleId="CommentReference">
    <w:name w:val="annotation reference"/>
    <w:uiPriority w:val="99"/>
    <w:rsid w:val="00470D07"/>
    <w:rPr>
      <w:rFonts w:cs="Times New Roman"/>
      <w:sz w:val="16"/>
      <w:szCs w:val="16"/>
    </w:rPr>
  </w:style>
  <w:style w:type="paragraph" w:styleId="CommentText">
    <w:name w:val="annotation text"/>
    <w:basedOn w:val="Normal"/>
    <w:link w:val="CommentTextChar"/>
    <w:uiPriority w:val="99"/>
    <w:rsid w:val="00B43F19"/>
    <w:rPr>
      <w:rFonts w:eastAsia="Times New Roman"/>
      <w:sz w:val="20"/>
      <w:szCs w:val="20"/>
      <w:lang w:eastAsia="en-GB"/>
    </w:rPr>
  </w:style>
  <w:style w:type="character" w:customStyle="1" w:styleId="CommentTextChar">
    <w:name w:val="Comment Text Char"/>
    <w:basedOn w:val="DefaultParagraphFont"/>
    <w:link w:val="CommentText"/>
    <w:uiPriority w:val="99"/>
    <w:rsid w:val="00B43F1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470D07"/>
    <w:rPr>
      <w:b/>
      <w:bCs/>
    </w:rPr>
  </w:style>
  <w:style w:type="character" w:customStyle="1" w:styleId="CommentSubjectChar">
    <w:name w:val="Comment Subject Char"/>
    <w:basedOn w:val="CommentTextChar"/>
    <w:link w:val="CommentSubject"/>
    <w:rsid w:val="00470D07"/>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470D07"/>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470D07"/>
    <w:rPr>
      <w:rFonts w:ascii="Tahoma" w:eastAsia="Times New Roman" w:hAnsi="Tahoma" w:cs="Tahoma"/>
      <w:sz w:val="16"/>
      <w:szCs w:val="16"/>
      <w:lang w:val="fr-FR" w:eastAsia="en-GB"/>
    </w:rPr>
  </w:style>
  <w:style w:type="paragraph" w:styleId="Caption">
    <w:name w:val="caption"/>
    <w:basedOn w:val="Normal"/>
    <w:next w:val="Normal"/>
    <w:qFormat/>
    <w:rsid w:val="00470D07"/>
    <w:rPr>
      <w:rFonts w:eastAsia="Times New Roman"/>
      <w:b/>
      <w:bCs/>
      <w:sz w:val="20"/>
      <w:szCs w:val="20"/>
      <w:lang w:val="fr-FR" w:eastAsia="en-GB"/>
    </w:rPr>
  </w:style>
  <w:style w:type="paragraph" w:styleId="TableofFigures">
    <w:name w:val="table of figures"/>
    <w:basedOn w:val="Normal"/>
    <w:next w:val="Normal"/>
    <w:rsid w:val="00470D07"/>
    <w:rPr>
      <w:rFonts w:eastAsia="Times New Roman"/>
      <w:lang w:val="fr-FR" w:eastAsia="en-GB"/>
    </w:rPr>
  </w:style>
  <w:style w:type="character" w:styleId="PageNumber">
    <w:name w:val="page number"/>
    <w:rsid w:val="00470D07"/>
  </w:style>
  <w:style w:type="character" w:customStyle="1" w:styleId="tw4winMark">
    <w:name w:val="tw4winMark"/>
    <w:rsid w:val="00470D07"/>
    <w:rPr>
      <w:vanish/>
      <w:color w:val="800080"/>
      <w:vertAlign w:val="subscript"/>
    </w:rPr>
  </w:style>
  <w:style w:type="character" w:styleId="FollowedHyperlink">
    <w:name w:val="FollowedHyperlink"/>
    <w:rsid w:val="00470D07"/>
    <w:rPr>
      <w:color w:val="800080"/>
      <w:u w:val="single"/>
    </w:rPr>
  </w:style>
  <w:style w:type="paragraph" w:customStyle="1" w:styleId="Sous-titreobjet">
    <w:name w:val="Sous-titre objet"/>
    <w:basedOn w:val="Normal"/>
    <w:rsid w:val="00470D0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470D07"/>
  </w:style>
  <w:style w:type="paragraph" w:customStyle="1" w:styleId="FooterCoverPage">
    <w:name w:val="Footer Cover Page"/>
    <w:basedOn w:val="Normal"/>
    <w:link w:val="FooterCoverPageChar"/>
    <w:rsid w:val="00470D07"/>
    <w:pPr>
      <w:tabs>
        <w:tab w:val="center" w:pos="4535"/>
        <w:tab w:val="right" w:pos="9071"/>
        <w:tab w:val="right" w:pos="9921"/>
      </w:tabs>
      <w:spacing w:before="360" w:after="0"/>
      <w:ind w:left="-850" w:right="-850"/>
      <w:jc w:val="left"/>
    </w:pPr>
    <w:rPr>
      <w:rFonts w:eastAsia="Calibri"/>
      <w:lang w:eastAsia="en-GB"/>
    </w:rPr>
  </w:style>
  <w:style w:type="character" w:customStyle="1" w:styleId="FooterCoverPageChar">
    <w:name w:val="Footer Cover Page Char"/>
    <w:link w:val="FooterCoverPage"/>
    <w:rsid w:val="00470D07"/>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470D0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470D07"/>
    <w:rPr>
      <w:rFonts w:ascii="Times New Roman" w:eastAsia="Calibri" w:hAnsi="Times New Roman" w:cs="Times New Roman"/>
      <w:sz w:val="24"/>
      <w:lang w:val="en-GB" w:eastAsia="en-GB"/>
    </w:rPr>
  </w:style>
  <w:style w:type="paragraph" w:styleId="ListParagraph">
    <w:name w:val="List Paragraph"/>
    <w:aliases w:val="Normal Nivel 1,Paragraphe de liste,Listenabsatz,Paragraphe EI,Paragraphe de liste1,EC,List Paragraph Main,List first level"/>
    <w:basedOn w:val="Normal"/>
    <w:link w:val="ListParagraphChar"/>
    <w:uiPriority w:val="34"/>
    <w:qFormat/>
    <w:rsid w:val="003B0FE7"/>
    <w:pPr>
      <w:spacing w:before="0" w:after="160" w:line="259" w:lineRule="auto"/>
      <w:ind w:left="720"/>
      <w:contextualSpacing/>
      <w:jc w:val="left"/>
    </w:pPr>
    <w:rPr>
      <w:rFonts w:asciiTheme="minorHAnsi" w:hAnsiTheme="minorHAnsi" w:cstheme="minorBidi"/>
      <w:sz w:val="22"/>
      <w:lang w:val="fr-BE"/>
    </w:rPr>
  </w:style>
  <w:style w:type="character" w:customStyle="1" w:styleId="ListParagraphChar">
    <w:name w:val="List Paragraph Char"/>
    <w:aliases w:val="Normal Nivel 1 Char,Paragraphe de liste Char,Listenabsatz Char,Paragraphe EI Char,Paragraphe de liste1 Char,EC Char,List Paragraph Main Char,List first level Char"/>
    <w:basedOn w:val="DefaultParagraphFont"/>
    <w:link w:val="ListParagraph"/>
    <w:uiPriority w:val="34"/>
    <w:rsid w:val="003B0FE7"/>
    <w:rPr>
      <w:lang w:val="fr-BE"/>
    </w:rPr>
  </w:style>
  <w:style w:type="paragraph" w:styleId="NormalWeb">
    <w:name w:val="Normal (Web)"/>
    <w:basedOn w:val="Normal"/>
    <w:uiPriority w:val="99"/>
    <w:unhideWhenUsed/>
    <w:rsid w:val="00403E1E"/>
    <w:pPr>
      <w:spacing w:before="100" w:beforeAutospacing="1" w:after="100" w:afterAutospacing="1"/>
      <w:jc w:val="left"/>
    </w:pPr>
    <w:rPr>
      <w:rFonts w:eastAsia="Times New Roman"/>
      <w:szCs w:val="24"/>
      <w:lang w:val="en-US"/>
    </w:rPr>
  </w:style>
  <w:style w:type="paragraph" w:styleId="Revision">
    <w:name w:val="Revision"/>
    <w:hidden/>
    <w:uiPriority w:val="99"/>
    <w:semiHidden/>
    <w:rsid w:val="00585063"/>
    <w:pPr>
      <w:spacing w:after="0" w:line="240" w:lineRule="auto"/>
    </w:pPr>
    <w:rPr>
      <w:rFonts w:ascii="Times New Roman" w:hAnsi="Times New Roman" w:cs="Times New Roman"/>
      <w:sz w:val="24"/>
      <w:lang w:val="en-GB"/>
    </w:rPr>
  </w:style>
  <w:style w:type="character" w:customStyle="1" w:styleId="BoldItalic">
    <w:name w:val="BoldItalic"/>
    <w:basedOn w:val="DefaultParagraphFont"/>
    <w:uiPriority w:val="1"/>
    <w:qFormat/>
    <w:rsid w:val="00DF4A31"/>
    <w:rPr>
      <w:rFonts w:ascii="Times New Roman" w:hAnsi="Times New Roman"/>
      <w:b/>
      <w:i/>
    </w:rPr>
  </w:style>
  <w:style w:type="paragraph" w:styleId="Header">
    <w:name w:val="header"/>
    <w:basedOn w:val="Normal"/>
    <w:link w:val="HeaderChar"/>
    <w:uiPriority w:val="99"/>
    <w:unhideWhenUsed/>
    <w:rsid w:val="00E0492F"/>
    <w:pPr>
      <w:tabs>
        <w:tab w:val="center" w:pos="4535"/>
        <w:tab w:val="right" w:pos="9071"/>
      </w:tabs>
      <w:spacing w:before="0"/>
    </w:pPr>
  </w:style>
  <w:style w:type="character" w:customStyle="1" w:styleId="HeaderChar">
    <w:name w:val="Header Char"/>
    <w:basedOn w:val="DefaultParagraphFont"/>
    <w:link w:val="Header"/>
    <w:uiPriority w:val="99"/>
    <w:rsid w:val="00E0492F"/>
    <w:rPr>
      <w:rFonts w:ascii="Times New Roman" w:hAnsi="Times New Roman" w:cs="Times New Roman"/>
      <w:sz w:val="24"/>
      <w:lang w:val="en-GB"/>
    </w:rPr>
  </w:style>
  <w:style w:type="paragraph" w:styleId="Footer">
    <w:name w:val="footer"/>
    <w:basedOn w:val="Normal"/>
    <w:link w:val="FooterChar"/>
    <w:uiPriority w:val="99"/>
    <w:unhideWhenUsed/>
    <w:rsid w:val="00E0492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0492F"/>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E0492F"/>
    <w:pPr>
      <w:tabs>
        <w:tab w:val="center" w:pos="7285"/>
        <w:tab w:val="right" w:pos="14003"/>
      </w:tabs>
      <w:spacing w:before="0"/>
    </w:pPr>
  </w:style>
  <w:style w:type="paragraph" w:customStyle="1" w:styleId="FooterLandscape">
    <w:name w:val="FooterLandscape"/>
    <w:basedOn w:val="Normal"/>
    <w:rsid w:val="00E0492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E0492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0492F"/>
    <w:pPr>
      <w:spacing w:before="0"/>
      <w:jc w:val="right"/>
    </w:pPr>
    <w:rPr>
      <w:sz w:val="28"/>
    </w:rPr>
  </w:style>
  <w:style w:type="paragraph" w:customStyle="1" w:styleId="FooterSensitivity">
    <w:name w:val="Footer Sensitivity"/>
    <w:basedOn w:val="Normal"/>
    <w:rsid w:val="00E0492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38"/>
      </w:numPr>
    </w:pPr>
  </w:style>
  <w:style w:type="paragraph" w:customStyle="1" w:styleId="Tiret1">
    <w:name w:val="Tiret 1"/>
    <w:basedOn w:val="Point1"/>
    <w:rsid w:val="009B7138"/>
    <w:pPr>
      <w:numPr>
        <w:numId w:val="39"/>
      </w:numPr>
    </w:pPr>
  </w:style>
  <w:style w:type="paragraph" w:customStyle="1" w:styleId="Tiret2">
    <w:name w:val="Tiret 2"/>
    <w:basedOn w:val="Point2"/>
    <w:rsid w:val="009B7138"/>
    <w:pPr>
      <w:numPr>
        <w:numId w:val="40"/>
      </w:numPr>
    </w:pPr>
  </w:style>
  <w:style w:type="paragraph" w:customStyle="1" w:styleId="Tiret3">
    <w:name w:val="Tiret 3"/>
    <w:basedOn w:val="Point3"/>
    <w:rsid w:val="009B7138"/>
    <w:pPr>
      <w:numPr>
        <w:numId w:val="41"/>
      </w:numPr>
    </w:pPr>
  </w:style>
  <w:style w:type="paragraph" w:customStyle="1" w:styleId="Tiret4">
    <w:name w:val="Tiret 4"/>
    <w:basedOn w:val="Point4"/>
    <w:rsid w:val="009B7138"/>
    <w:pPr>
      <w:numPr>
        <w:numId w:val="4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58"/>
      </w:numPr>
    </w:pPr>
  </w:style>
  <w:style w:type="paragraph" w:customStyle="1" w:styleId="NumPar2">
    <w:name w:val="NumPar 2"/>
    <w:basedOn w:val="Normal"/>
    <w:next w:val="Text1"/>
    <w:rsid w:val="009B7138"/>
    <w:pPr>
      <w:numPr>
        <w:ilvl w:val="1"/>
        <w:numId w:val="58"/>
      </w:numPr>
    </w:pPr>
  </w:style>
  <w:style w:type="paragraph" w:customStyle="1" w:styleId="NumPar3">
    <w:name w:val="NumPar 3"/>
    <w:basedOn w:val="Normal"/>
    <w:next w:val="Text1"/>
    <w:rsid w:val="009B7138"/>
    <w:pPr>
      <w:numPr>
        <w:ilvl w:val="2"/>
        <w:numId w:val="58"/>
      </w:numPr>
    </w:pPr>
  </w:style>
  <w:style w:type="paragraph" w:customStyle="1" w:styleId="NumPar4">
    <w:name w:val="NumPar 4"/>
    <w:basedOn w:val="Normal"/>
    <w:next w:val="Text1"/>
    <w:rsid w:val="009B7138"/>
    <w:pPr>
      <w:numPr>
        <w:ilvl w:val="3"/>
        <w:numId w:val="5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45"/>
      </w:numPr>
    </w:pPr>
  </w:style>
  <w:style w:type="paragraph" w:customStyle="1" w:styleId="Point1number">
    <w:name w:val="Point 1 (number)"/>
    <w:basedOn w:val="Normal"/>
    <w:rsid w:val="009B7138"/>
    <w:pPr>
      <w:numPr>
        <w:ilvl w:val="2"/>
        <w:numId w:val="45"/>
      </w:numPr>
    </w:pPr>
  </w:style>
  <w:style w:type="paragraph" w:customStyle="1" w:styleId="Point2number">
    <w:name w:val="Point 2 (number)"/>
    <w:basedOn w:val="Normal"/>
    <w:rsid w:val="009B7138"/>
    <w:pPr>
      <w:numPr>
        <w:ilvl w:val="4"/>
        <w:numId w:val="45"/>
      </w:numPr>
    </w:pPr>
  </w:style>
  <w:style w:type="paragraph" w:customStyle="1" w:styleId="Point3number">
    <w:name w:val="Point 3 (number)"/>
    <w:basedOn w:val="Normal"/>
    <w:rsid w:val="009B7138"/>
    <w:pPr>
      <w:numPr>
        <w:ilvl w:val="6"/>
        <w:numId w:val="45"/>
      </w:numPr>
    </w:pPr>
  </w:style>
  <w:style w:type="paragraph" w:customStyle="1" w:styleId="Point0letter">
    <w:name w:val="Point 0 (letter)"/>
    <w:basedOn w:val="Normal"/>
    <w:rsid w:val="009B7138"/>
    <w:pPr>
      <w:numPr>
        <w:ilvl w:val="1"/>
        <w:numId w:val="45"/>
      </w:numPr>
    </w:pPr>
  </w:style>
  <w:style w:type="paragraph" w:customStyle="1" w:styleId="Point1letter">
    <w:name w:val="Point 1 (letter)"/>
    <w:basedOn w:val="Normal"/>
    <w:rsid w:val="009B7138"/>
    <w:pPr>
      <w:numPr>
        <w:ilvl w:val="3"/>
        <w:numId w:val="45"/>
      </w:numPr>
    </w:pPr>
  </w:style>
  <w:style w:type="paragraph" w:customStyle="1" w:styleId="Point2letter">
    <w:name w:val="Point 2 (letter)"/>
    <w:basedOn w:val="Normal"/>
    <w:rsid w:val="009B7138"/>
    <w:pPr>
      <w:numPr>
        <w:ilvl w:val="5"/>
        <w:numId w:val="45"/>
      </w:numPr>
    </w:pPr>
  </w:style>
  <w:style w:type="paragraph" w:customStyle="1" w:styleId="Point3letter">
    <w:name w:val="Point 3 (letter)"/>
    <w:basedOn w:val="Normal"/>
    <w:rsid w:val="009B7138"/>
    <w:pPr>
      <w:numPr>
        <w:ilvl w:val="7"/>
        <w:numId w:val="45"/>
      </w:numPr>
    </w:pPr>
  </w:style>
  <w:style w:type="paragraph" w:customStyle="1" w:styleId="Point4letter">
    <w:name w:val="Point 4 (letter)"/>
    <w:basedOn w:val="Normal"/>
    <w:rsid w:val="009B7138"/>
    <w:pPr>
      <w:numPr>
        <w:ilvl w:val="8"/>
        <w:numId w:val="45"/>
      </w:numPr>
    </w:pPr>
  </w:style>
  <w:style w:type="paragraph" w:customStyle="1" w:styleId="Bullet0">
    <w:name w:val="Bullet 0"/>
    <w:basedOn w:val="Normal"/>
    <w:rsid w:val="009B7138"/>
    <w:pPr>
      <w:numPr>
        <w:numId w:val="46"/>
      </w:numPr>
    </w:pPr>
  </w:style>
  <w:style w:type="paragraph" w:customStyle="1" w:styleId="Bullet1">
    <w:name w:val="Bullet 1"/>
    <w:basedOn w:val="Normal"/>
    <w:rsid w:val="009B7138"/>
    <w:pPr>
      <w:numPr>
        <w:numId w:val="47"/>
      </w:numPr>
    </w:pPr>
  </w:style>
  <w:style w:type="paragraph" w:customStyle="1" w:styleId="Bullet2">
    <w:name w:val="Bullet 2"/>
    <w:basedOn w:val="Normal"/>
    <w:rsid w:val="009B7138"/>
    <w:pPr>
      <w:numPr>
        <w:numId w:val="48"/>
      </w:numPr>
    </w:pPr>
  </w:style>
  <w:style w:type="paragraph" w:customStyle="1" w:styleId="Bullet3">
    <w:name w:val="Bullet 3"/>
    <w:basedOn w:val="Normal"/>
    <w:rsid w:val="009B7138"/>
    <w:pPr>
      <w:numPr>
        <w:numId w:val="49"/>
      </w:numPr>
    </w:pPr>
  </w:style>
  <w:style w:type="paragraph" w:customStyle="1" w:styleId="Bullet4">
    <w:name w:val="Bullet 4"/>
    <w:basedOn w:val="Normal"/>
    <w:rsid w:val="009B7138"/>
    <w:pPr>
      <w:numPr>
        <w:numId w:val="5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5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FF5517"/>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FF5517"/>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FF5517"/>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FF5517"/>
    <w:pPr>
      <w:keepNext/>
      <w:tabs>
        <w:tab w:val="left" w:pos="1417"/>
      </w:tabs>
      <w:ind w:left="1417" w:hanging="1417"/>
      <w:outlineLvl w:val="4"/>
    </w:pPr>
  </w:style>
  <w:style w:type="paragraph" w:customStyle="1" w:styleId="ManualHeading6">
    <w:name w:val="Manual Heading 6"/>
    <w:basedOn w:val="Normal"/>
    <w:next w:val="Text2"/>
    <w:rsid w:val="00FF5517"/>
    <w:pPr>
      <w:keepNext/>
      <w:tabs>
        <w:tab w:val="left" w:pos="1417"/>
      </w:tabs>
      <w:ind w:left="1417" w:hanging="1417"/>
      <w:outlineLvl w:val="5"/>
    </w:pPr>
  </w:style>
  <w:style w:type="paragraph" w:customStyle="1" w:styleId="ManualHeading7">
    <w:name w:val="Manual Heading 7"/>
    <w:basedOn w:val="Normal"/>
    <w:next w:val="Text2"/>
    <w:rsid w:val="00FF5517"/>
    <w:pPr>
      <w:keepNext/>
      <w:tabs>
        <w:tab w:val="left" w:pos="1417"/>
      </w:tabs>
      <w:ind w:left="1417" w:hanging="1417"/>
      <w:outlineLvl w:val="6"/>
    </w:pPr>
  </w:style>
  <w:style w:type="paragraph" w:customStyle="1" w:styleId="Text5">
    <w:name w:val="Text 5"/>
    <w:basedOn w:val="Normal"/>
    <w:rsid w:val="00FF5517"/>
    <w:pPr>
      <w:ind w:left="3118"/>
    </w:pPr>
  </w:style>
  <w:style w:type="paragraph" w:customStyle="1" w:styleId="Text6">
    <w:name w:val="Text 6"/>
    <w:basedOn w:val="Normal"/>
    <w:rsid w:val="00FF5517"/>
    <w:pPr>
      <w:ind w:left="3685"/>
    </w:pPr>
  </w:style>
  <w:style w:type="paragraph" w:customStyle="1" w:styleId="Point5">
    <w:name w:val="Point 5"/>
    <w:basedOn w:val="Normal"/>
    <w:rsid w:val="00FF5517"/>
    <w:pPr>
      <w:ind w:left="3685" w:hanging="567"/>
    </w:pPr>
  </w:style>
  <w:style w:type="paragraph" w:customStyle="1" w:styleId="Tiret5">
    <w:name w:val="Tiret 5"/>
    <w:basedOn w:val="Point5"/>
    <w:rsid w:val="00FF5517"/>
    <w:pPr>
      <w:numPr>
        <w:numId w:val="55"/>
      </w:numPr>
    </w:pPr>
  </w:style>
  <w:style w:type="paragraph" w:customStyle="1" w:styleId="NumPar5">
    <w:name w:val="NumPar 5"/>
    <w:basedOn w:val="Normal"/>
    <w:next w:val="Text2"/>
    <w:rsid w:val="00FF5517"/>
    <w:pPr>
      <w:numPr>
        <w:ilvl w:val="4"/>
        <w:numId w:val="58"/>
      </w:numPr>
    </w:pPr>
  </w:style>
  <w:style w:type="paragraph" w:customStyle="1" w:styleId="NumPar6">
    <w:name w:val="NumPar 6"/>
    <w:basedOn w:val="Normal"/>
    <w:next w:val="Text2"/>
    <w:rsid w:val="00FF5517"/>
    <w:pPr>
      <w:numPr>
        <w:ilvl w:val="5"/>
        <w:numId w:val="58"/>
      </w:numPr>
    </w:pPr>
  </w:style>
  <w:style w:type="paragraph" w:customStyle="1" w:styleId="NumPar7">
    <w:name w:val="NumPar 7"/>
    <w:basedOn w:val="Normal"/>
    <w:next w:val="Text2"/>
    <w:rsid w:val="00FF5517"/>
    <w:pPr>
      <w:numPr>
        <w:ilvl w:val="6"/>
        <w:numId w:val="58"/>
      </w:numPr>
    </w:pPr>
  </w:style>
  <w:style w:type="paragraph" w:customStyle="1" w:styleId="ManualNumPar5">
    <w:name w:val="Manual NumPar 5"/>
    <w:basedOn w:val="Normal"/>
    <w:next w:val="Text2"/>
    <w:rsid w:val="00FF5517"/>
    <w:pPr>
      <w:ind w:left="1417" w:hanging="1417"/>
    </w:pPr>
  </w:style>
  <w:style w:type="paragraph" w:customStyle="1" w:styleId="ManualNumPar6">
    <w:name w:val="Manual NumPar 6"/>
    <w:basedOn w:val="Normal"/>
    <w:next w:val="Text2"/>
    <w:rsid w:val="00FF5517"/>
    <w:pPr>
      <w:ind w:left="1417" w:hanging="1417"/>
    </w:pPr>
  </w:style>
  <w:style w:type="paragraph" w:customStyle="1" w:styleId="ManualNumPar7">
    <w:name w:val="Manual NumPar 7"/>
    <w:basedOn w:val="Normal"/>
    <w:next w:val="Text2"/>
    <w:rsid w:val="00FF5517"/>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87855">
      <w:bodyDiv w:val="1"/>
      <w:marLeft w:val="0"/>
      <w:marRight w:val="0"/>
      <w:marTop w:val="0"/>
      <w:marBottom w:val="0"/>
      <w:divBdr>
        <w:top w:val="none" w:sz="0" w:space="0" w:color="auto"/>
        <w:left w:val="none" w:sz="0" w:space="0" w:color="auto"/>
        <w:bottom w:val="none" w:sz="0" w:space="0" w:color="auto"/>
        <w:right w:val="none" w:sz="0" w:space="0" w:color="auto"/>
      </w:divBdr>
      <w:divsChild>
        <w:div w:id="58947256">
          <w:marLeft w:val="0"/>
          <w:marRight w:val="0"/>
          <w:marTop w:val="0"/>
          <w:marBottom w:val="0"/>
          <w:divBdr>
            <w:top w:val="none" w:sz="0" w:space="0" w:color="auto"/>
            <w:left w:val="none" w:sz="0" w:space="0" w:color="auto"/>
            <w:bottom w:val="none" w:sz="0" w:space="0" w:color="auto"/>
            <w:right w:val="none" w:sz="0" w:space="0" w:color="auto"/>
          </w:divBdr>
          <w:divsChild>
            <w:div w:id="12798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269">
      <w:bodyDiv w:val="1"/>
      <w:marLeft w:val="0"/>
      <w:marRight w:val="0"/>
      <w:marTop w:val="0"/>
      <w:marBottom w:val="0"/>
      <w:divBdr>
        <w:top w:val="none" w:sz="0" w:space="0" w:color="auto"/>
        <w:left w:val="none" w:sz="0" w:space="0" w:color="auto"/>
        <w:bottom w:val="none" w:sz="0" w:space="0" w:color="auto"/>
        <w:right w:val="none" w:sz="0" w:space="0" w:color="auto"/>
      </w:divBdr>
    </w:div>
    <w:div w:id="1234463364">
      <w:bodyDiv w:val="1"/>
      <w:marLeft w:val="0"/>
      <w:marRight w:val="0"/>
      <w:marTop w:val="0"/>
      <w:marBottom w:val="0"/>
      <w:divBdr>
        <w:top w:val="none" w:sz="0" w:space="0" w:color="auto"/>
        <w:left w:val="none" w:sz="0" w:space="0" w:color="auto"/>
        <w:bottom w:val="none" w:sz="0" w:space="0" w:color="auto"/>
        <w:right w:val="none" w:sz="0" w:space="0" w:color="auto"/>
      </w:divBdr>
    </w:div>
    <w:div w:id="187334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tracomm.ec.europa.eu/budgweb/EN/leg/internal/Documents/2016-5-legislative-financial-statement-ann-en.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consultations/finance-2020-csdr-review_en" TargetMode="External"/><Relationship Id="rId3" Type="http://schemas.openxmlformats.org/officeDocument/2006/relationships/hyperlink" Target="https://www.fsb.org/wp-content/uploads/pr_101020.pdf" TargetMode="External"/><Relationship Id="rId7" Type="http://schemas.openxmlformats.org/officeDocument/2006/relationships/hyperlink" Target="https://ec.europa.eu/commission/presscorner/detail/en/MEX_21_6293" TargetMode="External"/><Relationship Id="rId2" Type="http://schemas.openxmlformats.org/officeDocument/2006/relationships/hyperlink" Target="https://www.ecb.europa.eu/paym/target/t2s/html/index.en.html" TargetMode="External"/><Relationship Id="rId1" Type="http://schemas.openxmlformats.org/officeDocument/2006/relationships/hyperlink" Target="https://sdw.ecb.europa.eu/browse.do?node=9691131" TargetMode="External"/><Relationship Id="rId6" Type="http://schemas.openxmlformats.org/officeDocument/2006/relationships/hyperlink" Target="https://ec.europa.eu/info/publications/200924-digital-finance-proposals_en" TargetMode="External"/><Relationship Id="rId5" Type="http://schemas.openxmlformats.org/officeDocument/2006/relationships/hyperlink" Target="https://ec.europa.eu/info/consultations/finance-2020-csdr-review_en" TargetMode="External"/><Relationship Id="rId10" Type="http://schemas.openxmlformats.org/officeDocument/2006/relationships/hyperlink" Target="https://myintracomm.ec.europa.eu/budgweb/EN/man/budgmanag/Pages/budgmanag.aspx" TargetMode="External"/><Relationship Id="rId4" Type="http://schemas.openxmlformats.org/officeDocument/2006/relationships/hyperlink" Target="https://www.bis.org/cpmi/publ/d101.htm" TargetMode="External"/><Relationship Id="rId9" Type="http://schemas.openxmlformats.org/officeDocument/2006/relationships/hyperlink" Target="https://ec.europa.eu/info/law/better-regulation/have-your-say/initiatives/12649-Central-securities-depositories-review-of-EU-rule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4E6B9-FEA5-4F01-A533-32604C97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63</Pages>
  <Words>24327</Words>
  <Characters>132344</Characters>
  <Application>Microsoft Office Word</Application>
  <DocSecurity>0</DocSecurity>
  <Lines>3077</Lines>
  <Paragraphs>1017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2022-03-11T17:02:00Z</dcterms:created>
  <dcterms:modified xsi:type="dcterms:W3CDTF">2022-03-15T13:43:00Z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Yellow (DQC version 03)</vt:lpwstr>
  </property>
</Properties>
</file>