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6D2" w:rsidRPr="005B03CE" w:rsidRDefault="00427BA8" w:rsidP="00427BA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ABF01DDA-A92C-4B53-B4B3-BBA4AFF2CF9D" style="width:455.25pt;height:369.75pt">
            <v:imagedata r:id="rId14" o:title=""/>
          </v:shape>
        </w:pict>
      </w:r>
    </w:p>
    <w:p w:rsidR="002E56D2" w:rsidRPr="005B03CE" w:rsidRDefault="002E56D2" w:rsidP="002E56D2">
      <w:pPr>
        <w:rPr>
          <w:noProof/>
        </w:rPr>
        <w:sectPr w:rsidR="002E56D2" w:rsidRPr="005B03CE" w:rsidSect="00427BA8">
          <w:footerReference w:type="default" r:id="rId15"/>
          <w:pgSz w:w="11907" w:h="16839"/>
          <w:pgMar w:top="1134" w:right="1417" w:bottom="1134" w:left="1417" w:header="709" w:footer="709" w:gutter="0"/>
          <w:pgNumType w:start="0"/>
          <w:cols w:space="720"/>
          <w:docGrid w:linePitch="360"/>
        </w:sectPr>
      </w:pPr>
    </w:p>
    <w:p w:rsidR="002E56D2" w:rsidRPr="005B03CE" w:rsidRDefault="002E56D2" w:rsidP="00EF462E">
      <w:pPr>
        <w:pStyle w:val="Exposdesmotifstitre"/>
        <w:rPr>
          <w:noProof/>
          <w:szCs w:val="24"/>
        </w:rPr>
      </w:pPr>
      <w:bookmarkStart w:id="0" w:name="_GoBack"/>
      <w:bookmarkEnd w:id="0"/>
      <w:r w:rsidRPr="005B03CE">
        <w:rPr>
          <w:noProof/>
          <w:szCs w:val="24"/>
        </w:rPr>
        <w:lastRenderedPageBreak/>
        <w:t>EXPLANATORY MEMORANDUM</w:t>
      </w:r>
    </w:p>
    <w:p w:rsidR="002E56D2" w:rsidRPr="005B03CE" w:rsidRDefault="002E56D2" w:rsidP="00EF462E">
      <w:pPr>
        <w:pStyle w:val="ManualHeading1"/>
        <w:rPr>
          <w:noProof/>
          <w:szCs w:val="24"/>
        </w:rPr>
      </w:pPr>
      <w:r w:rsidRPr="005B03CE">
        <w:rPr>
          <w:noProof/>
          <w:szCs w:val="24"/>
        </w:rPr>
        <w:t>1.</w:t>
      </w:r>
      <w:r w:rsidRPr="005B03CE">
        <w:rPr>
          <w:noProof/>
          <w:szCs w:val="24"/>
        </w:rPr>
        <w:tab/>
        <w:t>CONTEXT OF THE PROPOSAL</w:t>
      </w:r>
    </w:p>
    <w:p w:rsidR="002E56D2" w:rsidRPr="005B03CE" w:rsidRDefault="002E56D2" w:rsidP="00EF462E">
      <w:pPr>
        <w:pStyle w:val="ManualHeading2"/>
        <w:rPr>
          <w:rFonts w:eastAsia="Arial Unicode MS"/>
          <w:noProof/>
          <w:szCs w:val="24"/>
        </w:rPr>
      </w:pPr>
      <w:r w:rsidRPr="005B03CE">
        <w:rPr>
          <w:rFonts w:eastAsia="Arial Unicode MS"/>
          <w:noProof/>
          <w:color w:val="000000"/>
          <w:szCs w:val="24"/>
          <w:u w:color="000000"/>
          <w:bdr w:val="nil"/>
          <w:lang w:eastAsia="en-GB"/>
        </w:rPr>
        <w:t>•</w:t>
      </w:r>
      <w:r w:rsidRPr="005B03CE">
        <w:rPr>
          <w:rFonts w:eastAsia="Arial Unicode MS"/>
          <w:noProof/>
          <w:color w:val="000000"/>
          <w:szCs w:val="24"/>
          <w:u w:color="000000"/>
          <w:bdr w:val="nil"/>
          <w:lang w:eastAsia="en-GB"/>
        </w:rPr>
        <w:tab/>
      </w:r>
      <w:r w:rsidRPr="005B03CE">
        <w:rPr>
          <w:rFonts w:eastAsia="Arial Unicode MS"/>
          <w:noProof/>
          <w:szCs w:val="24"/>
        </w:rPr>
        <w:t>Reasons for and objectives of the proposal</w:t>
      </w:r>
    </w:p>
    <w:p w:rsidR="00571931" w:rsidRPr="005B03CE" w:rsidRDefault="00571931" w:rsidP="003A4A11">
      <w:pPr>
        <w:pBdr>
          <w:top w:val="nil"/>
          <w:left w:val="nil"/>
          <w:bottom w:val="nil"/>
          <w:right w:val="nil"/>
          <w:between w:val="nil"/>
          <w:bar w:val="nil"/>
        </w:pBdr>
        <w:rPr>
          <w:noProof/>
          <w:szCs w:val="24"/>
        </w:rPr>
      </w:pPr>
      <w:r w:rsidRPr="005B03CE">
        <w:rPr>
          <w:noProof/>
          <w:szCs w:val="24"/>
        </w:rPr>
        <w:t xml:space="preserve">This proposal </w:t>
      </w:r>
      <w:r w:rsidR="00431A31" w:rsidRPr="005B03CE">
        <w:rPr>
          <w:noProof/>
          <w:szCs w:val="24"/>
        </w:rPr>
        <w:t>establishes</w:t>
      </w:r>
      <w:r w:rsidRPr="005B03CE">
        <w:rPr>
          <w:noProof/>
          <w:szCs w:val="24"/>
        </w:rPr>
        <w:t xml:space="preserve"> a framework for ensuring common cybersecurity rules and measures among the </w:t>
      </w:r>
      <w:r w:rsidR="00B07028" w:rsidRPr="005B03CE">
        <w:rPr>
          <w:noProof/>
          <w:szCs w:val="24"/>
        </w:rPr>
        <w:t xml:space="preserve">Union </w:t>
      </w:r>
      <w:r w:rsidR="00DB116F" w:rsidRPr="005B03CE">
        <w:rPr>
          <w:noProof/>
          <w:szCs w:val="24"/>
        </w:rPr>
        <w:t>institutions, bodies and agencies</w:t>
      </w:r>
      <w:r w:rsidR="00431A31" w:rsidRPr="005B03CE">
        <w:rPr>
          <w:noProof/>
          <w:szCs w:val="24"/>
        </w:rPr>
        <w:t>.</w:t>
      </w:r>
      <w:r w:rsidRPr="005B03CE">
        <w:rPr>
          <w:noProof/>
          <w:szCs w:val="24"/>
        </w:rPr>
        <w:t xml:space="preserve"> It aims at further improving all entities</w:t>
      </w:r>
      <w:r w:rsidR="007E18EC" w:rsidRPr="005B03CE">
        <w:rPr>
          <w:noProof/>
          <w:szCs w:val="24"/>
        </w:rPr>
        <w:t>’</w:t>
      </w:r>
      <w:r w:rsidRPr="005B03CE">
        <w:rPr>
          <w:noProof/>
          <w:szCs w:val="24"/>
        </w:rPr>
        <w:t xml:space="preserve"> resilience and incident response capacities. It is in line with the Commission</w:t>
      </w:r>
      <w:r w:rsidR="007E18EC" w:rsidRPr="005B03CE">
        <w:rPr>
          <w:noProof/>
          <w:szCs w:val="24"/>
        </w:rPr>
        <w:t>’</w:t>
      </w:r>
      <w:r w:rsidRPr="005B03CE">
        <w:rPr>
          <w:noProof/>
          <w:szCs w:val="24"/>
        </w:rPr>
        <w:t>s priorities to make Europe fit for the digital age and to build a future-ready economy that works for the people</w:t>
      </w:r>
      <w:r w:rsidR="00330EDC" w:rsidRPr="005B03CE">
        <w:rPr>
          <w:noProof/>
          <w:szCs w:val="24"/>
        </w:rPr>
        <w:t>.</w:t>
      </w:r>
      <w:r w:rsidR="00E8063E" w:rsidRPr="005B03CE">
        <w:rPr>
          <w:noProof/>
          <w:szCs w:val="24"/>
        </w:rPr>
        <w:t xml:space="preserve"> </w:t>
      </w:r>
      <w:r w:rsidR="00330EDC" w:rsidRPr="005B03CE">
        <w:rPr>
          <w:noProof/>
          <w:szCs w:val="24"/>
        </w:rPr>
        <w:t>M</w:t>
      </w:r>
      <w:r w:rsidR="00E8063E" w:rsidRPr="005B03CE">
        <w:rPr>
          <w:noProof/>
          <w:szCs w:val="24"/>
        </w:rPr>
        <w:t>oreover</w:t>
      </w:r>
      <w:r w:rsidR="00330EDC" w:rsidRPr="005B03CE">
        <w:rPr>
          <w:noProof/>
          <w:szCs w:val="24"/>
        </w:rPr>
        <w:t>,</w:t>
      </w:r>
      <w:r w:rsidR="00E8063E" w:rsidRPr="005B03CE">
        <w:rPr>
          <w:noProof/>
          <w:szCs w:val="24"/>
        </w:rPr>
        <w:t xml:space="preserve"> e</w:t>
      </w:r>
      <w:r w:rsidR="00431A31" w:rsidRPr="005B03CE">
        <w:rPr>
          <w:noProof/>
          <w:szCs w:val="24"/>
        </w:rPr>
        <w:t xml:space="preserve">nsuring </w:t>
      </w:r>
      <w:r w:rsidR="00CD2494" w:rsidRPr="005B03CE">
        <w:rPr>
          <w:noProof/>
          <w:szCs w:val="24"/>
        </w:rPr>
        <w:t xml:space="preserve">a </w:t>
      </w:r>
      <w:r w:rsidR="00431A31" w:rsidRPr="005B03CE">
        <w:rPr>
          <w:noProof/>
          <w:szCs w:val="24"/>
        </w:rPr>
        <w:t>secure and resilient public administration is a cornerstone i</w:t>
      </w:r>
      <w:r w:rsidR="00A64CCB" w:rsidRPr="005B03CE">
        <w:rPr>
          <w:noProof/>
          <w:szCs w:val="24"/>
        </w:rPr>
        <w:t xml:space="preserve">n the digital transformation of </w:t>
      </w:r>
      <w:r w:rsidR="00431A31" w:rsidRPr="005B03CE">
        <w:rPr>
          <w:noProof/>
          <w:szCs w:val="24"/>
        </w:rPr>
        <w:t>society</w:t>
      </w:r>
      <w:r w:rsidR="00A64CCB" w:rsidRPr="005B03CE">
        <w:rPr>
          <w:noProof/>
          <w:szCs w:val="24"/>
        </w:rPr>
        <w:t xml:space="preserve"> </w:t>
      </w:r>
      <w:r w:rsidR="00431A31" w:rsidRPr="005B03CE">
        <w:rPr>
          <w:noProof/>
          <w:szCs w:val="24"/>
        </w:rPr>
        <w:t>as a whole</w:t>
      </w:r>
      <w:r w:rsidR="00CD2494" w:rsidRPr="005B03CE">
        <w:rPr>
          <w:rStyle w:val="normaltextrun"/>
          <w:noProof/>
          <w:szCs w:val="24"/>
          <w:shd w:val="clear" w:color="auto" w:fill="FFFFFF"/>
        </w:rPr>
        <w:t>.</w:t>
      </w:r>
    </w:p>
    <w:p w:rsidR="00571931" w:rsidRPr="005B03CE" w:rsidRDefault="00571931" w:rsidP="003A4A11">
      <w:pPr>
        <w:pBdr>
          <w:top w:val="nil"/>
          <w:left w:val="nil"/>
          <w:bottom w:val="nil"/>
          <w:right w:val="nil"/>
          <w:between w:val="nil"/>
          <w:bar w:val="nil"/>
        </w:pBdr>
        <w:rPr>
          <w:noProof/>
          <w:szCs w:val="24"/>
        </w:rPr>
      </w:pPr>
      <w:r w:rsidRPr="005B03CE">
        <w:rPr>
          <w:noProof/>
          <w:szCs w:val="24"/>
        </w:rPr>
        <w:t>This proposal builds on the EU Security Union Strategy (COM(2020) 605 final)</w:t>
      </w:r>
      <w:r w:rsidR="00AC3C1C" w:rsidRPr="005B03CE">
        <w:rPr>
          <w:noProof/>
          <w:szCs w:val="24"/>
        </w:rPr>
        <w:t xml:space="preserve"> and </w:t>
      </w:r>
      <w:r w:rsidRPr="005B03CE">
        <w:rPr>
          <w:noProof/>
          <w:szCs w:val="24"/>
        </w:rPr>
        <w:t>the EU</w:t>
      </w:r>
      <w:r w:rsidR="007E18EC" w:rsidRPr="005B03CE">
        <w:rPr>
          <w:noProof/>
          <w:szCs w:val="24"/>
        </w:rPr>
        <w:t>’</w:t>
      </w:r>
      <w:r w:rsidRPr="005B03CE">
        <w:rPr>
          <w:noProof/>
          <w:szCs w:val="24"/>
        </w:rPr>
        <w:t>s Cybersecurity Strategy for the Digital Decade (JOIN(2020) 18 final).</w:t>
      </w:r>
    </w:p>
    <w:p w:rsidR="00DA09F3" w:rsidRPr="005B03CE" w:rsidRDefault="00DA09F3" w:rsidP="00DA09F3">
      <w:pPr>
        <w:pBdr>
          <w:top w:val="nil"/>
          <w:left w:val="nil"/>
          <w:bottom w:val="nil"/>
          <w:right w:val="nil"/>
          <w:between w:val="nil"/>
          <w:bar w:val="nil"/>
        </w:pBdr>
        <w:rPr>
          <w:rFonts w:eastAsia="Arial Unicode MS"/>
          <w:noProof/>
          <w:szCs w:val="24"/>
        </w:rPr>
      </w:pPr>
      <w:r w:rsidRPr="005B03CE">
        <w:rPr>
          <w:noProof/>
          <w:szCs w:val="24"/>
        </w:rPr>
        <w:t>The proposal modernises the existing CERT-EU legal framework and takes account of the changed and increased digitisation of the institutions, bodies and agencies in recent years as well as the evolving cybersecurity threat landscape. Both developments have been further amplified since the onset of the COVID-19 crisis, while the number of incidents continues to rise, with increasingly sophisticated attacks coming from a wide range of sources.</w:t>
      </w:r>
    </w:p>
    <w:p w:rsidR="002E56D2" w:rsidRPr="005B03CE" w:rsidRDefault="00EE01FB" w:rsidP="003A4A11">
      <w:pPr>
        <w:pBdr>
          <w:top w:val="nil"/>
          <w:left w:val="nil"/>
          <w:bottom w:val="nil"/>
          <w:right w:val="nil"/>
          <w:between w:val="nil"/>
          <w:bar w:val="nil"/>
        </w:pBdr>
        <w:rPr>
          <w:rFonts w:eastAsia="Arial Unicode MS"/>
          <w:noProof/>
          <w:szCs w:val="24"/>
        </w:rPr>
      </w:pPr>
      <w:r w:rsidRPr="005B03CE">
        <w:rPr>
          <w:noProof/>
          <w:szCs w:val="24"/>
        </w:rPr>
        <w:t xml:space="preserve">The proposal renames CERT-EU from </w:t>
      </w:r>
      <w:r w:rsidR="009445CF" w:rsidRPr="005B03CE">
        <w:rPr>
          <w:noProof/>
          <w:szCs w:val="24"/>
        </w:rPr>
        <w:t>‘</w:t>
      </w:r>
      <w:r w:rsidRPr="005B03CE">
        <w:rPr>
          <w:noProof/>
          <w:szCs w:val="24"/>
        </w:rPr>
        <w:t>Computer Emergency Response Team</w:t>
      </w:r>
      <w:r w:rsidR="009445CF" w:rsidRPr="005B03CE">
        <w:rPr>
          <w:noProof/>
          <w:szCs w:val="24"/>
        </w:rPr>
        <w:t>’</w:t>
      </w:r>
      <w:r w:rsidRPr="005B03CE">
        <w:rPr>
          <w:noProof/>
          <w:szCs w:val="24"/>
        </w:rPr>
        <w:t xml:space="preserve"> to </w:t>
      </w:r>
      <w:r w:rsidR="009445CF" w:rsidRPr="005B03CE">
        <w:rPr>
          <w:noProof/>
          <w:szCs w:val="24"/>
        </w:rPr>
        <w:t>‘</w:t>
      </w:r>
      <w:r w:rsidRPr="005B03CE">
        <w:rPr>
          <w:noProof/>
          <w:szCs w:val="24"/>
        </w:rPr>
        <w:t>Cybersecurity Centre</w:t>
      </w:r>
      <w:r w:rsidR="009445CF" w:rsidRPr="005B03CE">
        <w:rPr>
          <w:noProof/>
          <w:szCs w:val="24"/>
        </w:rPr>
        <w:t>’</w:t>
      </w:r>
      <w:r w:rsidRPr="005B03CE">
        <w:rPr>
          <w:noProof/>
          <w:szCs w:val="24"/>
        </w:rPr>
        <w:t xml:space="preserve"> for the Union institutions, bodies and agencies, in line with developments in the Member States and globally, where many CERTs are renamed as Cybersecurity Centres, but keeps the short name </w:t>
      </w:r>
      <w:r w:rsidR="009445CF" w:rsidRPr="005B03CE">
        <w:rPr>
          <w:noProof/>
          <w:szCs w:val="24"/>
        </w:rPr>
        <w:t>‘</w:t>
      </w:r>
      <w:r w:rsidRPr="005B03CE">
        <w:rPr>
          <w:noProof/>
          <w:szCs w:val="24"/>
        </w:rPr>
        <w:t>CERT-EU</w:t>
      </w:r>
      <w:r w:rsidR="009445CF" w:rsidRPr="005B03CE">
        <w:rPr>
          <w:noProof/>
          <w:szCs w:val="24"/>
        </w:rPr>
        <w:t>’</w:t>
      </w:r>
      <w:r w:rsidRPr="005B03CE">
        <w:rPr>
          <w:noProof/>
          <w:szCs w:val="24"/>
        </w:rPr>
        <w:t xml:space="preserve"> because of name recognition.</w:t>
      </w:r>
    </w:p>
    <w:p w:rsidR="002E56D2" w:rsidRPr="005B03CE" w:rsidRDefault="002E56D2" w:rsidP="00EF462E">
      <w:pPr>
        <w:pStyle w:val="ManualHeading2"/>
        <w:rPr>
          <w:rFonts w:eastAsia="Arial Unicode MS"/>
          <w:noProof/>
          <w:color w:val="000000"/>
          <w:szCs w:val="24"/>
          <w:u w:color="000000"/>
          <w:bdr w:val="nil"/>
          <w:lang w:eastAsia="en-GB"/>
        </w:rPr>
      </w:pPr>
      <w:r w:rsidRPr="005B03CE">
        <w:rPr>
          <w:rFonts w:eastAsia="Arial Unicode MS"/>
          <w:noProof/>
          <w:color w:val="000000"/>
          <w:szCs w:val="24"/>
          <w:u w:color="000000"/>
          <w:bdr w:val="nil"/>
          <w:lang w:eastAsia="en-GB"/>
        </w:rPr>
        <w:t>•</w:t>
      </w:r>
      <w:r w:rsidRPr="005B03CE">
        <w:rPr>
          <w:rFonts w:eastAsia="Arial Unicode MS"/>
          <w:noProof/>
          <w:color w:val="000000"/>
          <w:szCs w:val="24"/>
          <w:u w:color="000000"/>
          <w:bdr w:val="nil"/>
          <w:lang w:eastAsia="en-GB"/>
        </w:rPr>
        <w:tab/>
      </w:r>
      <w:r w:rsidRPr="005B03CE">
        <w:rPr>
          <w:rFonts w:eastAsia="Arial Unicode MS"/>
          <w:noProof/>
          <w:szCs w:val="24"/>
        </w:rPr>
        <w:t>Consistency with existing policy provisions in the policy area</w:t>
      </w:r>
    </w:p>
    <w:p w:rsidR="009B6EEA" w:rsidRPr="005B03CE" w:rsidRDefault="009B6EEA" w:rsidP="009B6EEA">
      <w:pPr>
        <w:pBdr>
          <w:top w:val="nil"/>
          <w:left w:val="nil"/>
          <w:bottom w:val="nil"/>
          <w:right w:val="nil"/>
          <w:between w:val="nil"/>
          <w:bar w:val="nil"/>
        </w:pBdr>
        <w:rPr>
          <w:noProof/>
          <w:szCs w:val="24"/>
        </w:rPr>
      </w:pPr>
      <w:r w:rsidRPr="005B03CE">
        <w:rPr>
          <w:noProof/>
          <w:szCs w:val="24"/>
        </w:rPr>
        <w:t xml:space="preserve">This proposal is aimed at increasing the cybersecurity resilience of the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against cyber threats, while aligning with </w:t>
      </w:r>
      <w:r w:rsidR="00E10E21" w:rsidRPr="005B03CE">
        <w:rPr>
          <w:noProof/>
          <w:szCs w:val="24"/>
        </w:rPr>
        <w:t>existing</w:t>
      </w:r>
      <w:r w:rsidR="00431A31" w:rsidRPr="005B03CE">
        <w:rPr>
          <w:noProof/>
          <w:szCs w:val="24"/>
        </w:rPr>
        <w:t xml:space="preserve"> </w:t>
      </w:r>
      <w:r w:rsidRPr="005B03CE">
        <w:rPr>
          <w:noProof/>
          <w:szCs w:val="24"/>
        </w:rPr>
        <w:t>legislation:</w:t>
      </w:r>
    </w:p>
    <w:p w:rsidR="009B6EEA" w:rsidRPr="005B03CE" w:rsidRDefault="009B6EEA" w:rsidP="007F373E">
      <w:pPr>
        <w:pStyle w:val="Bullet0"/>
        <w:numPr>
          <w:ilvl w:val="0"/>
          <w:numId w:val="42"/>
        </w:numPr>
        <w:rPr>
          <w:noProof/>
          <w:szCs w:val="24"/>
        </w:rPr>
      </w:pPr>
      <w:r w:rsidRPr="005B03CE">
        <w:rPr>
          <w:noProof/>
          <w:szCs w:val="24"/>
        </w:rPr>
        <w:t>Directive (EU) 2016/1148 concerning measures for a high common level of security of network and information systems across the Union.</w:t>
      </w:r>
      <w:r w:rsidR="00E10E21" w:rsidRPr="005B03CE">
        <w:rPr>
          <w:noProof/>
          <w:szCs w:val="24"/>
        </w:rPr>
        <w:t xml:space="preserve"> It also aligns with the proposal for a Directive (EU) XXXX/XXXX on measures for a high common level of cybersecurity across the Union, repealing Directive (EU) 2016/1148 </w:t>
      </w:r>
      <w:r w:rsidR="00460574" w:rsidRPr="005B03CE">
        <w:rPr>
          <w:noProof/>
          <w:szCs w:val="24"/>
        </w:rPr>
        <w:t>[</w:t>
      </w:r>
      <w:r w:rsidR="00E10E21" w:rsidRPr="005B03CE">
        <w:rPr>
          <w:noProof/>
          <w:szCs w:val="24"/>
        </w:rPr>
        <w:t>proposal NIS 2</w:t>
      </w:r>
      <w:r w:rsidR="00460574" w:rsidRPr="005B03CE">
        <w:rPr>
          <w:noProof/>
          <w:szCs w:val="24"/>
        </w:rPr>
        <w:t>]</w:t>
      </w:r>
      <w:r w:rsidR="00E10E21" w:rsidRPr="005B03CE">
        <w:rPr>
          <w:noProof/>
          <w:szCs w:val="24"/>
        </w:rPr>
        <w:t>.</w:t>
      </w:r>
    </w:p>
    <w:p w:rsidR="009B6EEA" w:rsidRPr="005B03CE" w:rsidRDefault="009B6EEA" w:rsidP="007A6BA0">
      <w:pPr>
        <w:pStyle w:val="Bullet0"/>
        <w:rPr>
          <w:noProof/>
          <w:szCs w:val="24"/>
        </w:rPr>
      </w:pPr>
      <w:r w:rsidRPr="005B03CE">
        <w:rPr>
          <w:noProof/>
          <w:szCs w:val="24"/>
        </w:rPr>
        <w:t>Regulation (EU) 2019/881 on the European Union Agency for Cybersecurity and on information and communications technology cybersecurity certification</w:t>
      </w:r>
      <w:r w:rsidR="00E10E21" w:rsidRPr="005B03CE">
        <w:rPr>
          <w:noProof/>
          <w:szCs w:val="24"/>
        </w:rPr>
        <w:t xml:space="preserve"> (Cybersecurity Act)</w:t>
      </w:r>
      <w:r w:rsidRPr="005B03CE">
        <w:rPr>
          <w:noProof/>
          <w:szCs w:val="24"/>
        </w:rPr>
        <w:t>.</w:t>
      </w:r>
    </w:p>
    <w:p w:rsidR="00431A31" w:rsidRPr="005B03CE" w:rsidRDefault="00431A31" w:rsidP="00402133">
      <w:pPr>
        <w:pStyle w:val="Bullet0"/>
        <w:rPr>
          <w:noProof/>
          <w:szCs w:val="24"/>
        </w:rPr>
      </w:pPr>
      <w:r w:rsidRPr="005B03CE">
        <w:rPr>
          <w:noProof/>
          <w:szCs w:val="24"/>
        </w:rPr>
        <w:t>Proposal for a Regulation (EU) XXXX</w:t>
      </w:r>
      <w:r w:rsidR="00CD2494" w:rsidRPr="005B03CE">
        <w:rPr>
          <w:noProof/>
          <w:szCs w:val="24"/>
        </w:rPr>
        <w:t>/XXX</w:t>
      </w:r>
      <w:r w:rsidRPr="005B03CE">
        <w:rPr>
          <w:noProof/>
          <w:szCs w:val="24"/>
        </w:rPr>
        <w:t xml:space="preserve">X on </w:t>
      </w:r>
      <w:r w:rsidR="00402133">
        <w:rPr>
          <w:noProof/>
          <w:szCs w:val="24"/>
        </w:rPr>
        <w:t>i</w:t>
      </w:r>
      <w:r w:rsidR="00402133" w:rsidRPr="00402133">
        <w:rPr>
          <w:noProof/>
          <w:szCs w:val="24"/>
        </w:rPr>
        <w:t>nformation security in the institutions, bodies, offices and agencies of the Union</w:t>
      </w:r>
      <w:r w:rsidR="00CD2494" w:rsidRPr="005B03CE">
        <w:rPr>
          <w:noProof/>
          <w:szCs w:val="24"/>
        </w:rPr>
        <w:t>.</w:t>
      </w:r>
    </w:p>
    <w:p w:rsidR="00E10E21" w:rsidRPr="005B03CE" w:rsidRDefault="004E35C1" w:rsidP="007A6BA0">
      <w:pPr>
        <w:pStyle w:val="Bullet0"/>
        <w:rPr>
          <w:noProof/>
          <w:szCs w:val="24"/>
        </w:rPr>
      </w:pPr>
      <w:r w:rsidRPr="005B03CE">
        <w:rPr>
          <w:noProof/>
          <w:szCs w:val="24"/>
        </w:rPr>
        <w:t xml:space="preserve">Commission Recommendation of 23 June 2021 on building a </w:t>
      </w:r>
      <w:r w:rsidR="00FF7BDC" w:rsidRPr="005B03CE">
        <w:rPr>
          <w:noProof/>
          <w:szCs w:val="24"/>
        </w:rPr>
        <w:t xml:space="preserve">Joint Cyber Unit. </w:t>
      </w:r>
    </w:p>
    <w:p w:rsidR="00FF7BDC" w:rsidRPr="005B03CE" w:rsidRDefault="00E10E21" w:rsidP="007A6BA0">
      <w:pPr>
        <w:pStyle w:val="Bullet0"/>
        <w:rPr>
          <w:noProof/>
          <w:szCs w:val="24"/>
        </w:rPr>
      </w:pPr>
      <w:r w:rsidRPr="005B03CE">
        <w:rPr>
          <w:noProof/>
          <w:szCs w:val="24"/>
        </w:rPr>
        <w:t>Commission Recommendation (EU) 2017/1584 of 13 September 2017 on coordinated response to large-scale cybersecurity incidents and crises.</w:t>
      </w:r>
    </w:p>
    <w:p w:rsidR="00431A31" w:rsidRPr="005B03CE" w:rsidRDefault="00431A31" w:rsidP="00CD2494">
      <w:pPr>
        <w:pBdr>
          <w:top w:val="nil"/>
          <w:left w:val="nil"/>
          <w:bottom w:val="nil"/>
          <w:right w:val="nil"/>
          <w:between w:val="nil"/>
          <w:bar w:val="nil"/>
        </w:pBdr>
        <w:rPr>
          <w:rFonts w:eastAsia="Arial Unicode MS"/>
          <w:noProof/>
          <w:szCs w:val="24"/>
        </w:rPr>
      </w:pPr>
      <w:r w:rsidRPr="005B03CE">
        <w:rPr>
          <w:rFonts w:eastAsia="Arial Unicode MS"/>
          <w:noProof/>
          <w:szCs w:val="24"/>
        </w:rPr>
        <w:t xml:space="preserve">The Annex to </w:t>
      </w:r>
      <w:r w:rsidR="005274F7" w:rsidRPr="005B03CE">
        <w:rPr>
          <w:rFonts w:eastAsia="Arial Unicode MS"/>
          <w:noProof/>
          <w:szCs w:val="24"/>
        </w:rPr>
        <w:t>Commission Recommendation (EU) 2017/1584 of 13 September 2017 on coordinated response to large-scale cybersecurity incidents and crises sets out the Blueprint for coordinated response to large-scale cross-border cybersecurity incidents and crises.</w:t>
      </w:r>
    </w:p>
    <w:p w:rsidR="00431A31" w:rsidRPr="005B03CE" w:rsidRDefault="00431A31" w:rsidP="00431A31">
      <w:pPr>
        <w:pBdr>
          <w:top w:val="nil"/>
          <w:left w:val="nil"/>
          <w:bottom w:val="nil"/>
          <w:right w:val="nil"/>
          <w:between w:val="nil"/>
          <w:bar w:val="nil"/>
        </w:pBdr>
        <w:rPr>
          <w:rFonts w:eastAsia="Arial Unicode MS"/>
          <w:noProof/>
          <w:szCs w:val="24"/>
        </w:rPr>
      </w:pPr>
      <w:r w:rsidRPr="005B03CE">
        <w:rPr>
          <w:rFonts w:eastAsia="Arial Unicode MS"/>
          <w:noProof/>
          <w:szCs w:val="24"/>
        </w:rPr>
        <w:t>I</w:t>
      </w:r>
      <w:r w:rsidR="005274F7" w:rsidRPr="005B03CE">
        <w:rPr>
          <w:rFonts w:eastAsia="Arial Unicode MS"/>
          <w:noProof/>
          <w:szCs w:val="24"/>
        </w:rPr>
        <w:t>n its resolution from 9 M</w:t>
      </w:r>
      <w:r w:rsidRPr="005B03CE">
        <w:rPr>
          <w:rFonts w:eastAsia="Arial Unicode MS"/>
          <w:noProof/>
          <w:szCs w:val="24"/>
        </w:rPr>
        <w:t>arch 2021, the Council of the European Union</w:t>
      </w:r>
      <w:r w:rsidR="007A3AF8" w:rsidRPr="005B03CE">
        <w:rPr>
          <w:rFonts w:eastAsia="Arial Unicode MS"/>
          <w:noProof/>
          <w:szCs w:val="24"/>
        </w:rPr>
        <w:t xml:space="preserve"> stressed that cybersecurity is</w:t>
      </w:r>
      <w:r w:rsidRPr="005B03CE">
        <w:rPr>
          <w:rFonts w:eastAsia="Arial Unicode MS"/>
          <w:noProof/>
          <w:szCs w:val="24"/>
        </w:rPr>
        <w:t xml:space="preserve"> vital for the functioning of public administration at both national and EU level</w:t>
      </w:r>
      <w:r w:rsidR="005274F7" w:rsidRPr="005B03CE">
        <w:rPr>
          <w:rFonts w:eastAsia="Arial Unicode MS"/>
          <w:noProof/>
          <w:szCs w:val="24"/>
        </w:rPr>
        <w:t xml:space="preserve"> as well as </w:t>
      </w:r>
      <w:r w:rsidRPr="005B03CE">
        <w:rPr>
          <w:rFonts w:eastAsia="Arial Unicode MS"/>
          <w:noProof/>
          <w:szCs w:val="24"/>
        </w:rPr>
        <w:t>for societ</w:t>
      </w:r>
      <w:r w:rsidR="007A3AF8" w:rsidRPr="005B03CE">
        <w:rPr>
          <w:rFonts w:eastAsia="Arial Unicode MS"/>
          <w:noProof/>
          <w:szCs w:val="24"/>
        </w:rPr>
        <w:t>y and economy as a whole,</w:t>
      </w:r>
      <w:r w:rsidRPr="005B03CE">
        <w:rPr>
          <w:rFonts w:eastAsia="Arial Unicode MS"/>
          <w:noProof/>
          <w:szCs w:val="24"/>
        </w:rPr>
        <w:t xml:space="preserve"> underlin</w:t>
      </w:r>
      <w:r w:rsidR="007A3AF8" w:rsidRPr="005B03CE">
        <w:rPr>
          <w:rFonts w:eastAsia="Arial Unicode MS"/>
          <w:noProof/>
          <w:szCs w:val="24"/>
        </w:rPr>
        <w:t>ing</w:t>
      </w:r>
      <w:r w:rsidRPr="005B03CE">
        <w:rPr>
          <w:rFonts w:eastAsia="Arial Unicode MS"/>
          <w:noProof/>
          <w:szCs w:val="24"/>
        </w:rPr>
        <w:t xml:space="preserve"> the importance of a robust and consistent security framework to protect all EU personnel, </w:t>
      </w:r>
      <w:r w:rsidR="007A3AF8" w:rsidRPr="005B03CE">
        <w:rPr>
          <w:rFonts w:eastAsia="Arial Unicode MS"/>
          <w:noProof/>
          <w:szCs w:val="24"/>
        </w:rPr>
        <w:t>data, communication networks,</w:t>
      </w:r>
      <w:r w:rsidRPr="005B03CE">
        <w:rPr>
          <w:rFonts w:eastAsia="Arial Unicode MS"/>
          <w:noProof/>
          <w:szCs w:val="24"/>
        </w:rPr>
        <w:t xml:space="preserve"> information systems and decision-making processes</w:t>
      </w:r>
      <w:r w:rsidR="005274F7" w:rsidRPr="005B03CE">
        <w:rPr>
          <w:rFonts w:eastAsia="Arial Unicode MS"/>
          <w:noProof/>
          <w:szCs w:val="24"/>
        </w:rPr>
        <w:t xml:space="preserve">. </w:t>
      </w:r>
      <w:r w:rsidR="007A3AF8" w:rsidRPr="005B03CE">
        <w:rPr>
          <w:rFonts w:eastAsia="Arial Unicode MS"/>
          <w:noProof/>
          <w:szCs w:val="24"/>
        </w:rPr>
        <w:t>In particular, th</w:t>
      </w:r>
      <w:r w:rsidR="005274F7" w:rsidRPr="005B03CE">
        <w:rPr>
          <w:rFonts w:eastAsia="Arial Unicode MS"/>
          <w:noProof/>
          <w:szCs w:val="24"/>
        </w:rPr>
        <w:t xml:space="preserve">is is to be achieved through </w:t>
      </w:r>
      <w:r w:rsidRPr="005B03CE">
        <w:rPr>
          <w:rFonts w:eastAsia="Arial Unicode MS"/>
          <w:noProof/>
          <w:szCs w:val="24"/>
        </w:rPr>
        <w:t>enhanc</w:t>
      </w:r>
      <w:r w:rsidR="005274F7" w:rsidRPr="005B03CE">
        <w:rPr>
          <w:rFonts w:eastAsia="Arial Unicode MS"/>
          <w:noProof/>
          <w:szCs w:val="24"/>
        </w:rPr>
        <w:t>ed</w:t>
      </w:r>
      <w:r w:rsidRPr="005B03CE">
        <w:rPr>
          <w:rFonts w:eastAsia="Arial Unicode MS"/>
          <w:noProof/>
          <w:szCs w:val="24"/>
        </w:rPr>
        <w:t xml:space="preserve"> resilience and improv</w:t>
      </w:r>
      <w:r w:rsidR="005274F7" w:rsidRPr="005B03CE">
        <w:rPr>
          <w:rFonts w:eastAsia="Arial Unicode MS"/>
          <w:noProof/>
          <w:szCs w:val="24"/>
        </w:rPr>
        <w:t>ed</w:t>
      </w:r>
      <w:r w:rsidRPr="005B03CE">
        <w:rPr>
          <w:rFonts w:eastAsia="Arial Unicode MS"/>
          <w:noProof/>
          <w:szCs w:val="24"/>
        </w:rPr>
        <w:t xml:space="preserve"> security culture of the </w:t>
      </w:r>
      <w:r w:rsidR="00B07028" w:rsidRPr="005B03CE">
        <w:rPr>
          <w:rFonts w:eastAsia="Arial Unicode MS"/>
          <w:noProof/>
          <w:szCs w:val="24"/>
        </w:rPr>
        <w:t xml:space="preserve">Union </w:t>
      </w:r>
      <w:r w:rsidR="00DB116F" w:rsidRPr="005B03CE">
        <w:rPr>
          <w:rFonts w:eastAsia="Arial Unicode MS"/>
          <w:noProof/>
          <w:szCs w:val="24"/>
        </w:rPr>
        <w:t>institutions, bodies and agencies</w:t>
      </w:r>
      <w:r w:rsidR="005274F7" w:rsidRPr="005B03CE">
        <w:rPr>
          <w:rFonts w:eastAsia="Arial Unicode MS"/>
          <w:noProof/>
          <w:szCs w:val="24"/>
        </w:rPr>
        <w:t xml:space="preserve">. Sufficient </w:t>
      </w:r>
      <w:r w:rsidRPr="005B03CE">
        <w:rPr>
          <w:rFonts w:eastAsia="Arial Unicode MS"/>
          <w:noProof/>
          <w:szCs w:val="24"/>
        </w:rPr>
        <w:t xml:space="preserve">resources and capabilities are </w:t>
      </w:r>
      <w:r w:rsidR="005274F7" w:rsidRPr="005B03CE">
        <w:rPr>
          <w:rFonts w:eastAsia="Arial Unicode MS"/>
          <w:noProof/>
          <w:szCs w:val="24"/>
        </w:rPr>
        <w:t xml:space="preserve">to be </w:t>
      </w:r>
      <w:r w:rsidRPr="005B03CE">
        <w:rPr>
          <w:rFonts w:eastAsia="Arial Unicode MS"/>
          <w:noProof/>
          <w:szCs w:val="24"/>
        </w:rPr>
        <w:t>made available, including in the context of the reinforc</w:t>
      </w:r>
      <w:r w:rsidR="005274F7" w:rsidRPr="005B03CE">
        <w:rPr>
          <w:rFonts w:eastAsia="Arial Unicode MS"/>
          <w:noProof/>
          <w:szCs w:val="24"/>
        </w:rPr>
        <w:t>ement of the mandate of CERT-EU</w:t>
      </w:r>
      <w:r w:rsidR="000D79A8" w:rsidRPr="005B03CE">
        <w:rPr>
          <w:rFonts w:eastAsia="Arial Unicode MS"/>
          <w:noProof/>
          <w:szCs w:val="24"/>
        </w:rPr>
        <w:t>.</w:t>
      </w:r>
    </w:p>
    <w:p w:rsidR="002E56D2" w:rsidRPr="005B03CE" w:rsidRDefault="002E56D2" w:rsidP="00EF462E">
      <w:pPr>
        <w:pStyle w:val="ManualHeading1"/>
        <w:rPr>
          <w:noProof/>
          <w:szCs w:val="24"/>
        </w:rPr>
      </w:pPr>
      <w:r w:rsidRPr="005B03CE">
        <w:rPr>
          <w:noProof/>
          <w:szCs w:val="24"/>
        </w:rPr>
        <w:t>2.</w:t>
      </w:r>
      <w:r w:rsidRPr="005B03CE">
        <w:rPr>
          <w:noProof/>
          <w:szCs w:val="24"/>
        </w:rPr>
        <w:tab/>
        <w:t>LEGAL BASIS, SUBSIDIARITY AND PROPORTIONALITY</w:t>
      </w:r>
    </w:p>
    <w:p w:rsidR="002E56D2" w:rsidRPr="005B03CE" w:rsidRDefault="002E56D2" w:rsidP="00EF462E">
      <w:pPr>
        <w:pStyle w:val="ManualHeading2"/>
        <w:rPr>
          <w:rFonts w:eastAsia="Arial Unicode MS"/>
          <w:noProof/>
          <w:szCs w:val="24"/>
          <w:u w:color="000000"/>
          <w:bdr w:val="nil"/>
          <w:lang w:eastAsia="en-GB"/>
        </w:rPr>
      </w:pPr>
      <w:r w:rsidRPr="005B03CE">
        <w:rPr>
          <w:rFonts w:eastAsia="Arial Unicode MS"/>
          <w:noProof/>
          <w:szCs w:val="24"/>
          <w:u w:color="000000"/>
          <w:bdr w:val="nil"/>
          <w:lang w:eastAsia="en-GB"/>
        </w:rPr>
        <w:t>•</w:t>
      </w:r>
      <w:r w:rsidRPr="005B03CE">
        <w:rPr>
          <w:rFonts w:eastAsia="Arial Unicode MS"/>
          <w:noProof/>
          <w:szCs w:val="24"/>
          <w:u w:color="000000"/>
          <w:bdr w:val="nil"/>
          <w:lang w:eastAsia="en-GB"/>
        </w:rPr>
        <w:tab/>
        <w:t>Legal basis</w:t>
      </w:r>
    </w:p>
    <w:p w:rsidR="009B6EEA" w:rsidRPr="005B03CE" w:rsidRDefault="009B6EEA" w:rsidP="009B6EEA">
      <w:pPr>
        <w:pBdr>
          <w:top w:val="nil"/>
          <w:left w:val="nil"/>
          <w:bottom w:val="nil"/>
          <w:right w:val="nil"/>
          <w:between w:val="nil"/>
          <w:bar w:val="nil"/>
        </w:pBdr>
        <w:rPr>
          <w:noProof/>
          <w:szCs w:val="24"/>
        </w:rPr>
      </w:pPr>
      <w:r w:rsidRPr="005B03CE">
        <w:rPr>
          <w:noProof/>
          <w:szCs w:val="24"/>
        </w:rPr>
        <w:t xml:space="preserve">The legal basis for this Regulation is Article 298 of the Treaty on the Functioning of the European Union (TFEU) which </w:t>
      </w:r>
      <w:r w:rsidR="00DA09F3" w:rsidRPr="005B03CE">
        <w:rPr>
          <w:noProof/>
          <w:szCs w:val="24"/>
        </w:rPr>
        <w:t xml:space="preserve">provides </w:t>
      </w:r>
      <w:r w:rsidRPr="005B03CE">
        <w:rPr>
          <w:noProof/>
          <w:szCs w:val="24"/>
        </w:rPr>
        <w:t>that in carrying out their missions, the institutions, bodies, offices and agencies of the Union shall have the support of an open, efficient and independent European administration. In compliance with the Staff Regulations and the Conditions of Employment adopted on the basis of Article 336, the European Parliament and the Council, acting by means of regulations in accordance with the ordinary legislative procedure, shall establish provisions to that end.</w:t>
      </w:r>
    </w:p>
    <w:p w:rsidR="00EE01FB" w:rsidRPr="005B03CE" w:rsidRDefault="00EE01FB" w:rsidP="009B6EEA">
      <w:pPr>
        <w:pBdr>
          <w:top w:val="nil"/>
          <w:left w:val="nil"/>
          <w:bottom w:val="nil"/>
          <w:right w:val="nil"/>
          <w:between w:val="nil"/>
          <w:bar w:val="nil"/>
        </w:pBdr>
        <w:rPr>
          <w:rFonts w:eastAsia="Times New Roman"/>
          <w:noProof/>
          <w:szCs w:val="24"/>
        </w:rPr>
      </w:pPr>
      <w:r w:rsidRPr="005B03CE">
        <w:rPr>
          <w:noProof/>
          <w:szCs w:val="24"/>
        </w:rPr>
        <w:t>Information technology</w:t>
      </w:r>
      <w:r w:rsidRPr="005B03CE">
        <w:rPr>
          <w:rFonts w:eastAsia="Times New Roman"/>
          <w:noProof/>
          <w:szCs w:val="24"/>
        </w:rPr>
        <w:t xml:space="preserve"> has provided new ways for Union institutions, bodies and agencies to work, interact with citizens and improve overall operations. As technology continues to evolve, the cyber threat landscape evolves along with it. Union institutions, bodies and agencies have become highly attractive targets of sophisticated cyberattacks.</w:t>
      </w:r>
      <w:r w:rsidR="002D48F7" w:rsidRPr="005B03CE">
        <w:rPr>
          <w:rFonts w:eastAsia="Times New Roman"/>
          <w:noProof/>
          <w:szCs w:val="24"/>
        </w:rPr>
        <w:t xml:space="preserve"> </w:t>
      </w:r>
      <w:r w:rsidRPr="005B03CE">
        <w:rPr>
          <w:rFonts w:eastAsia="Times New Roman"/>
          <w:noProof/>
          <w:szCs w:val="24"/>
        </w:rPr>
        <w:t>The establishment of systems and requirements to ensure cybersecurity appears to be contributing to the efficiency and the independence of the European administration, so that Union institutions, bodies, offices and agencies can operate in a more efficient manner in a digital world in the conduct of their missions.</w:t>
      </w:r>
    </w:p>
    <w:p w:rsidR="00EE01FB" w:rsidRPr="005B03CE" w:rsidRDefault="00EE01FB" w:rsidP="00EE01FB">
      <w:pPr>
        <w:pBdr>
          <w:top w:val="nil"/>
          <w:left w:val="nil"/>
          <w:bottom w:val="nil"/>
          <w:right w:val="nil"/>
          <w:between w:val="nil"/>
          <w:bar w:val="nil"/>
        </w:pBdr>
        <w:rPr>
          <w:rFonts w:eastAsia="Arial Unicode MS"/>
          <w:noProof/>
          <w:szCs w:val="24"/>
        </w:rPr>
      </w:pPr>
      <w:r w:rsidRPr="005B03CE">
        <w:rPr>
          <w:noProof/>
          <w:szCs w:val="24"/>
        </w:rPr>
        <w:t>Moreover, current disparities, as explained in section 3 below, among Union institutions, bodies and agencies’ cybersecurity posture and approach in the area of cybersecurity are further obstacles to an open, efficient and independent European administration. Without a common approach, the cybersecurity posture among Union institutions, bodies and agencies would continue to develop in divergent directions. This legal basis is therefore appropriate given that the Regulation aims to create a common legal framework for cybersecurity within Union institutions, bodies, offices and agencies.</w:t>
      </w:r>
    </w:p>
    <w:p w:rsidR="002E56D2" w:rsidRPr="005B03CE" w:rsidRDefault="002E56D2" w:rsidP="00EF462E">
      <w:pPr>
        <w:pStyle w:val="ManualHeading2"/>
        <w:rPr>
          <w:rFonts w:eastAsia="Arial Unicode MS"/>
          <w:noProof/>
          <w:szCs w:val="24"/>
          <w:u w:color="000000"/>
          <w:bdr w:val="nil"/>
          <w:lang w:eastAsia="en-GB"/>
        </w:rPr>
      </w:pPr>
      <w:r w:rsidRPr="005B03CE">
        <w:rPr>
          <w:rFonts w:eastAsia="Arial Unicode MS"/>
          <w:noProof/>
          <w:szCs w:val="24"/>
          <w:u w:color="000000"/>
          <w:bdr w:val="nil"/>
          <w:lang w:eastAsia="en-GB"/>
        </w:rPr>
        <w:t>•</w:t>
      </w:r>
      <w:r w:rsidRPr="005B03CE">
        <w:rPr>
          <w:rFonts w:eastAsia="Arial Unicode MS"/>
          <w:noProof/>
          <w:szCs w:val="24"/>
          <w:u w:color="000000"/>
          <w:bdr w:val="nil"/>
          <w:lang w:eastAsia="en-GB"/>
        </w:rPr>
        <w:tab/>
        <w:t xml:space="preserve">Subsidiarity </w:t>
      </w:r>
    </w:p>
    <w:p w:rsidR="002E56D2" w:rsidRPr="005B03CE" w:rsidRDefault="00473FA5" w:rsidP="00B94C23">
      <w:pPr>
        <w:pBdr>
          <w:top w:val="nil"/>
          <w:left w:val="nil"/>
          <w:bottom w:val="nil"/>
          <w:right w:val="nil"/>
          <w:between w:val="nil"/>
          <w:bar w:val="nil"/>
        </w:pBdr>
        <w:rPr>
          <w:rFonts w:eastAsia="Arial Unicode MS"/>
          <w:noProof/>
          <w:szCs w:val="24"/>
        </w:rPr>
      </w:pPr>
      <w:r w:rsidRPr="005B03CE">
        <w:rPr>
          <w:noProof/>
          <w:szCs w:val="24"/>
        </w:rPr>
        <w:t xml:space="preserve">The </w:t>
      </w:r>
      <w:r w:rsidR="007D33B7" w:rsidRPr="005B03CE">
        <w:rPr>
          <w:noProof/>
          <w:szCs w:val="24"/>
        </w:rPr>
        <w:t>Regulation</w:t>
      </w:r>
      <w:r w:rsidRPr="005B03CE">
        <w:rPr>
          <w:noProof/>
          <w:szCs w:val="24"/>
        </w:rPr>
        <w:t xml:space="preserve"> </w:t>
      </w:r>
      <w:r w:rsidR="00402133" w:rsidRPr="00402133">
        <w:rPr>
          <w:noProof/>
          <w:szCs w:val="24"/>
        </w:rPr>
        <w:t>laying down measures for a high common level of cybersecurity at the institutions, bodies, offices and agencies of the Union</w:t>
      </w:r>
      <w:r w:rsidRPr="005B03CE">
        <w:rPr>
          <w:noProof/>
          <w:szCs w:val="24"/>
        </w:rPr>
        <w:t xml:space="preserve"> is within the remits of the Union’s exclusive competence</w:t>
      </w:r>
      <w:r w:rsidR="00B94C23" w:rsidRPr="005B03CE">
        <w:rPr>
          <w:noProof/>
          <w:szCs w:val="24"/>
        </w:rPr>
        <w:t>.</w:t>
      </w:r>
    </w:p>
    <w:p w:rsidR="002E56D2" w:rsidRPr="005B03CE" w:rsidRDefault="002E56D2" w:rsidP="00EF462E">
      <w:pPr>
        <w:pStyle w:val="ManualHeading2"/>
        <w:rPr>
          <w:rFonts w:eastAsia="Arial Unicode MS"/>
          <w:noProof/>
          <w:szCs w:val="24"/>
          <w:u w:color="000000"/>
          <w:bdr w:val="nil"/>
          <w:lang w:eastAsia="en-GB"/>
        </w:rPr>
      </w:pPr>
      <w:r w:rsidRPr="005B03CE">
        <w:rPr>
          <w:rFonts w:eastAsia="Arial Unicode MS"/>
          <w:noProof/>
          <w:szCs w:val="24"/>
          <w:u w:color="000000"/>
          <w:bdr w:val="nil"/>
          <w:lang w:eastAsia="en-GB"/>
        </w:rPr>
        <w:t>•</w:t>
      </w:r>
      <w:r w:rsidRPr="005B03CE">
        <w:rPr>
          <w:rFonts w:eastAsia="Arial Unicode MS"/>
          <w:noProof/>
          <w:szCs w:val="24"/>
          <w:u w:color="000000"/>
          <w:bdr w:val="nil"/>
          <w:lang w:eastAsia="en-GB"/>
        </w:rPr>
        <w:tab/>
        <w:t>Proportionality</w:t>
      </w:r>
    </w:p>
    <w:p w:rsidR="002E56D2" w:rsidRPr="005B03CE" w:rsidRDefault="00B94C23" w:rsidP="00B94C23">
      <w:pPr>
        <w:pBdr>
          <w:top w:val="nil"/>
          <w:left w:val="nil"/>
          <w:bottom w:val="nil"/>
          <w:right w:val="nil"/>
          <w:between w:val="nil"/>
          <w:bar w:val="nil"/>
        </w:pBdr>
        <w:rPr>
          <w:rFonts w:eastAsia="Arial Unicode MS"/>
          <w:noProof/>
          <w:szCs w:val="24"/>
        </w:rPr>
      </w:pPr>
      <w:r w:rsidRPr="005B03CE">
        <w:rPr>
          <w:noProof/>
          <w:szCs w:val="24"/>
        </w:rPr>
        <w:t xml:space="preserve">The rules proposed in this Regulation do not go beyond what is necessary to meet the specific objectives satisfactorily. The envisaged </w:t>
      </w:r>
      <w:r w:rsidR="00473FA5" w:rsidRPr="005B03CE">
        <w:rPr>
          <w:noProof/>
          <w:szCs w:val="24"/>
        </w:rPr>
        <w:t>measures</w:t>
      </w:r>
      <w:r w:rsidRPr="005B03CE">
        <w:rPr>
          <w:noProof/>
          <w:szCs w:val="24"/>
        </w:rPr>
        <w:t xml:space="preserve"> will</w:t>
      </w:r>
      <w:r w:rsidR="00473FA5" w:rsidRPr="005B03CE">
        <w:rPr>
          <w:noProof/>
          <w:szCs w:val="24"/>
        </w:rPr>
        <w:t xml:space="preserve"> contribute to achieving a high common level of cybersecurity without exceeding what is necessary to achieve the objective in light of the </w:t>
      </w:r>
      <w:r w:rsidRPr="005B03CE">
        <w:rPr>
          <w:noProof/>
          <w:szCs w:val="24"/>
        </w:rPr>
        <w:t xml:space="preserve">increasingly high risks they face. </w:t>
      </w:r>
    </w:p>
    <w:p w:rsidR="002E56D2" w:rsidRPr="005B03CE" w:rsidRDefault="002E56D2" w:rsidP="00EF462E">
      <w:pPr>
        <w:pStyle w:val="ManualHeading2"/>
        <w:rPr>
          <w:rFonts w:eastAsia="Arial Unicode MS"/>
          <w:noProof/>
          <w:szCs w:val="24"/>
          <w:u w:color="000000"/>
          <w:bdr w:val="nil"/>
          <w:lang w:eastAsia="en-GB"/>
        </w:rPr>
      </w:pPr>
      <w:r w:rsidRPr="005B03CE">
        <w:rPr>
          <w:rFonts w:eastAsia="Arial Unicode MS"/>
          <w:noProof/>
          <w:szCs w:val="24"/>
          <w:u w:color="000000"/>
          <w:bdr w:val="nil"/>
          <w:lang w:eastAsia="en-GB"/>
        </w:rPr>
        <w:t>•</w:t>
      </w:r>
      <w:r w:rsidRPr="005B03CE">
        <w:rPr>
          <w:rFonts w:eastAsia="Arial Unicode MS"/>
          <w:noProof/>
          <w:szCs w:val="24"/>
          <w:u w:color="000000"/>
          <w:bdr w:val="nil"/>
          <w:lang w:eastAsia="en-GB"/>
        </w:rPr>
        <w:tab/>
        <w:t>Choice of the instrument</w:t>
      </w:r>
    </w:p>
    <w:p w:rsidR="00172579" w:rsidRPr="005B03CE" w:rsidRDefault="00172579" w:rsidP="00172579">
      <w:pPr>
        <w:pBdr>
          <w:top w:val="nil"/>
          <w:left w:val="nil"/>
          <w:bottom w:val="nil"/>
          <w:right w:val="nil"/>
          <w:between w:val="nil"/>
          <w:bar w:val="nil"/>
        </w:pBdr>
        <w:rPr>
          <w:noProof/>
          <w:szCs w:val="24"/>
        </w:rPr>
      </w:pPr>
      <w:r w:rsidRPr="005B03CE">
        <w:rPr>
          <w:noProof/>
          <w:szCs w:val="24"/>
        </w:rPr>
        <w:t>The choice of a Regulation, which is directly applicable, is considered the appropri</w:t>
      </w:r>
      <w:r w:rsidR="00330EDC" w:rsidRPr="005B03CE">
        <w:rPr>
          <w:noProof/>
          <w:szCs w:val="24"/>
        </w:rPr>
        <w:t>ate legal instrument to define and</w:t>
      </w:r>
      <w:r w:rsidRPr="005B03CE">
        <w:rPr>
          <w:noProof/>
          <w:szCs w:val="24"/>
        </w:rPr>
        <w:t xml:space="preserve"> streamline the obligations imposed on Union institutions, bodies and agencies. In order to allow for targeted improvements, a regulation is the most appropriate legal instrument.</w:t>
      </w:r>
    </w:p>
    <w:p w:rsidR="002E56D2" w:rsidRPr="005B03CE" w:rsidRDefault="002E56D2" w:rsidP="00EF462E">
      <w:pPr>
        <w:pStyle w:val="ManualHeading1"/>
        <w:rPr>
          <w:noProof/>
          <w:szCs w:val="24"/>
        </w:rPr>
      </w:pPr>
      <w:r w:rsidRPr="005B03CE">
        <w:rPr>
          <w:noProof/>
          <w:szCs w:val="24"/>
        </w:rPr>
        <w:t>3.</w:t>
      </w:r>
      <w:r w:rsidRPr="005B03CE">
        <w:rPr>
          <w:noProof/>
          <w:szCs w:val="24"/>
        </w:rPr>
        <w:tab/>
        <w:t>RESULTS OF EX-</w:t>
      </w:r>
      <w:r w:rsidR="003E00E1" w:rsidRPr="005B03CE">
        <w:rPr>
          <w:noProof/>
          <w:szCs w:val="24"/>
        </w:rPr>
        <w:t>ANTE</w:t>
      </w:r>
      <w:r w:rsidRPr="005B03CE">
        <w:rPr>
          <w:noProof/>
          <w:szCs w:val="24"/>
        </w:rPr>
        <w:t xml:space="preserve"> EVALUATIONS, STAKEHOLDER CONSULTATIONS AND IMPACT ASSESSMENTS</w:t>
      </w:r>
    </w:p>
    <w:p w:rsidR="002E56D2" w:rsidRPr="005B03CE" w:rsidRDefault="002E56D2" w:rsidP="00EF462E">
      <w:pPr>
        <w:pStyle w:val="ManualHeading2"/>
        <w:rPr>
          <w:rFonts w:eastAsia="Arial Unicode MS"/>
          <w:noProof/>
          <w:szCs w:val="24"/>
          <w:u w:color="000000"/>
          <w:bdr w:val="nil"/>
          <w:lang w:eastAsia="en-GB"/>
        </w:rPr>
      </w:pPr>
      <w:r w:rsidRPr="005B03CE">
        <w:rPr>
          <w:rFonts w:eastAsia="Arial Unicode MS"/>
          <w:noProof/>
          <w:szCs w:val="24"/>
          <w:u w:color="000000"/>
          <w:bdr w:val="nil"/>
          <w:lang w:eastAsia="en-GB"/>
        </w:rPr>
        <w:t>•</w:t>
      </w:r>
      <w:r w:rsidRPr="005B03CE">
        <w:rPr>
          <w:rFonts w:eastAsia="Arial Unicode MS"/>
          <w:noProof/>
          <w:szCs w:val="24"/>
          <w:u w:color="000000"/>
          <w:bdr w:val="nil"/>
          <w:lang w:eastAsia="en-GB"/>
        </w:rPr>
        <w:tab/>
        <w:t>Ex-</w:t>
      </w:r>
      <w:r w:rsidR="003E00E1" w:rsidRPr="005B03CE">
        <w:rPr>
          <w:rFonts w:eastAsia="Arial Unicode MS"/>
          <w:noProof/>
          <w:szCs w:val="24"/>
          <w:u w:color="000000"/>
          <w:bdr w:val="nil"/>
          <w:lang w:eastAsia="en-GB"/>
        </w:rPr>
        <w:t>ante</w:t>
      </w:r>
      <w:r w:rsidRPr="005B03CE">
        <w:rPr>
          <w:rFonts w:eastAsia="Arial Unicode MS"/>
          <w:noProof/>
          <w:szCs w:val="24"/>
          <w:u w:color="000000"/>
          <w:bdr w:val="nil"/>
          <w:lang w:eastAsia="en-GB"/>
        </w:rPr>
        <w:t xml:space="preserve"> evaluations</w:t>
      </w:r>
    </w:p>
    <w:p w:rsidR="000C0223" w:rsidRPr="005B03CE" w:rsidRDefault="000C0223" w:rsidP="000C0223">
      <w:pPr>
        <w:pBdr>
          <w:top w:val="nil"/>
          <w:left w:val="nil"/>
          <w:bottom w:val="nil"/>
          <w:right w:val="nil"/>
          <w:between w:val="nil"/>
          <w:bar w:val="nil"/>
        </w:pBdr>
        <w:rPr>
          <w:noProof/>
          <w:szCs w:val="24"/>
        </w:rPr>
      </w:pPr>
      <w:r w:rsidRPr="005B03CE">
        <w:rPr>
          <w:noProof/>
          <w:szCs w:val="24"/>
        </w:rPr>
        <w:t xml:space="preserve">CERT-EU has conducted an assessment of the principal cyber threats to which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are currently exposed or are likely to be exposed to in the foreseeable future.</w:t>
      </w:r>
    </w:p>
    <w:p w:rsidR="000C0223" w:rsidRPr="005B03CE" w:rsidRDefault="000C0223" w:rsidP="000C0223">
      <w:pPr>
        <w:pBdr>
          <w:top w:val="nil"/>
          <w:left w:val="nil"/>
          <w:bottom w:val="nil"/>
          <w:right w:val="nil"/>
          <w:between w:val="nil"/>
          <w:bar w:val="nil"/>
        </w:pBdr>
        <w:rPr>
          <w:noProof/>
          <w:szCs w:val="24"/>
        </w:rPr>
      </w:pPr>
      <w:r w:rsidRPr="005B03CE">
        <w:rPr>
          <w:noProof/>
          <w:szCs w:val="24"/>
        </w:rPr>
        <w:t>Three categories of observations were used in the analysis:</w:t>
      </w:r>
    </w:p>
    <w:p w:rsidR="000C0223" w:rsidRPr="005B03CE" w:rsidRDefault="000C0223" w:rsidP="007F373E">
      <w:pPr>
        <w:pStyle w:val="Bullet0"/>
        <w:numPr>
          <w:ilvl w:val="0"/>
          <w:numId w:val="29"/>
        </w:numPr>
        <w:rPr>
          <w:noProof/>
          <w:szCs w:val="24"/>
        </w:rPr>
      </w:pPr>
      <w:r w:rsidRPr="005B03CE">
        <w:rPr>
          <w:noProof/>
          <w:szCs w:val="24"/>
        </w:rPr>
        <w:t xml:space="preserve">Attempts to breach </w:t>
      </w:r>
      <w:r w:rsidR="00B07028" w:rsidRPr="005B03CE">
        <w:rPr>
          <w:noProof/>
          <w:szCs w:val="24"/>
        </w:rPr>
        <w:t xml:space="preserve">Union </w:t>
      </w:r>
      <w:r w:rsidR="00DB116F" w:rsidRPr="005B03CE">
        <w:rPr>
          <w:noProof/>
          <w:szCs w:val="24"/>
        </w:rPr>
        <w:t>institutions, bodies and agencies</w:t>
      </w:r>
      <w:r w:rsidR="007E18EC" w:rsidRPr="005B03CE">
        <w:rPr>
          <w:noProof/>
          <w:szCs w:val="24"/>
        </w:rPr>
        <w:t>’</w:t>
      </w:r>
      <w:r w:rsidRPr="005B03CE">
        <w:rPr>
          <w:noProof/>
          <w:szCs w:val="24"/>
        </w:rPr>
        <w:t xml:space="preserve"> IT infrastructure (when successful, they are treated as incidents, in the other cases they are still recorded as detected attempts).</w:t>
      </w:r>
    </w:p>
    <w:p w:rsidR="000C0223" w:rsidRPr="005B03CE" w:rsidRDefault="000C0223" w:rsidP="004067E6">
      <w:pPr>
        <w:pStyle w:val="Bullet0"/>
        <w:rPr>
          <w:noProof/>
          <w:szCs w:val="24"/>
        </w:rPr>
      </w:pPr>
      <w:r w:rsidRPr="005B03CE">
        <w:rPr>
          <w:noProof/>
          <w:szCs w:val="24"/>
        </w:rPr>
        <w:t xml:space="preserve">Threats detected in the proximity of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(e.g. in their related sectors, their stakeholder communities or in Europe).</w:t>
      </w:r>
    </w:p>
    <w:p w:rsidR="000C0223" w:rsidRPr="005B03CE" w:rsidRDefault="000C0223" w:rsidP="004067E6">
      <w:pPr>
        <w:pStyle w:val="Bullet0"/>
        <w:rPr>
          <w:noProof/>
          <w:szCs w:val="24"/>
        </w:rPr>
      </w:pPr>
      <w:r w:rsidRPr="005B03CE">
        <w:rPr>
          <w:noProof/>
          <w:szCs w:val="24"/>
        </w:rPr>
        <w:t xml:space="preserve">Major threat trends observed globally. </w:t>
      </w:r>
    </w:p>
    <w:p w:rsidR="000C0223" w:rsidRPr="005B03CE" w:rsidRDefault="000C0223" w:rsidP="000C0223">
      <w:pPr>
        <w:pBdr>
          <w:top w:val="nil"/>
          <w:left w:val="nil"/>
          <w:bottom w:val="nil"/>
          <w:right w:val="nil"/>
          <w:between w:val="nil"/>
          <w:bar w:val="nil"/>
        </w:pBdr>
        <w:rPr>
          <w:noProof/>
          <w:szCs w:val="24"/>
        </w:rPr>
      </w:pPr>
      <w:r w:rsidRPr="005B03CE">
        <w:rPr>
          <w:noProof/>
          <w:szCs w:val="24"/>
        </w:rPr>
        <w:t xml:space="preserve">Furthermore, the analysis considered </w:t>
      </w:r>
      <w:r w:rsidR="00E064CF" w:rsidRPr="005B03CE">
        <w:rPr>
          <w:noProof/>
          <w:szCs w:val="24"/>
        </w:rPr>
        <w:t>how</w:t>
      </w:r>
      <w:r w:rsidRPr="005B03CE">
        <w:rPr>
          <w:noProof/>
          <w:szCs w:val="24"/>
        </w:rPr>
        <w:t xml:space="preserve"> major ongoing shifts are affecting the ways in which Union institutions manage and use their IT infrastructure and services. Such shifts include:</w:t>
      </w:r>
    </w:p>
    <w:p w:rsidR="000C0223" w:rsidRPr="005B03CE" w:rsidRDefault="000C0223" w:rsidP="004067E6">
      <w:pPr>
        <w:pStyle w:val="Bullet0"/>
        <w:rPr>
          <w:noProof/>
          <w:szCs w:val="24"/>
        </w:rPr>
      </w:pPr>
      <w:r w:rsidRPr="005B03CE">
        <w:rPr>
          <w:noProof/>
          <w:szCs w:val="24"/>
        </w:rPr>
        <w:t xml:space="preserve">Increased teleworking. </w:t>
      </w:r>
    </w:p>
    <w:p w:rsidR="000C0223" w:rsidRPr="005B03CE" w:rsidRDefault="000C0223" w:rsidP="004067E6">
      <w:pPr>
        <w:pStyle w:val="Bullet0"/>
        <w:rPr>
          <w:noProof/>
          <w:szCs w:val="24"/>
        </w:rPr>
      </w:pPr>
      <w:r w:rsidRPr="005B03CE">
        <w:rPr>
          <w:noProof/>
          <w:szCs w:val="24"/>
        </w:rPr>
        <w:t>Migration of systems to the cloud.</w:t>
      </w:r>
    </w:p>
    <w:p w:rsidR="000C0223" w:rsidRPr="005B03CE" w:rsidRDefault="000C0223" w:rsidP="004067E6">
      <w:pPr>
        <w:pStyle w:val="Bullet0"/>
        <w:rPr>
          <w:noProof/>
          <w:szCs w:val="24"/>
        </w:rPr>
      </w:pPr>
      <w:r w:rsidRPr="005B03CE">
        <w:rPr>
          <w:noProof/>
          <w:szCs w:val="24"/>
        </w:rPr>
        <w:t>Increased outsourcing of IT services.</w:t>
      </w:r>
    </w:p>
    <w:p w:rsidR="004D0C90" w:rsidRPr="005B03CE" w:rsidRDefault="005F5671" w:rsidP="000C0223">
      <w:pPr>
        <w:pBdr>
          <w:top w:val="nil"/>
          <w:left w:val="nil"/>
          <w:bottom w:val="nil"/>
          <w:right w:val="nil"/>
          <w:between w:val="nil"/>
          <w:bar w:val="nil"/>
        </w:pBdr>
        <w:rPr>
          <w:noProof/>
          <w:szCs w:val="24"/>
        </w:rPr>
      </w:pPr>
      <w:r w:rsidRPr="005B03CE">
        <w:rPr>
          <w:noProof/>
          <w:szCs w:val="24"/>
        </w:rPr>
        <w:t>From 2019 to 2021</w:t>
      </w:r>
      <w:r w:rsidR="000C0223" w:rsidRPr="005B03CE">
        <w:rPr>
          <w:noProof/>
          <w:szCs w:val="24"/>
        </w:rPr>
        <w:t>, the number of significant incidents</w:t>
      </w:r>
      <w:r w:rsidR="00E064CF" w:rsidRPr="005B03CE">
        <w:rPr>
          <w:rStyle w:val="FootnoteReference"/>
          <w:noProof/>
          <w:szCs w:val="24"/>
        </w:rPr>
        <w:footnoteReference w:id="2"/>
      </w:r>
      <w:r w:rsidR="000C0223" w:rsidRPr="005B03CE">
        <w:rPr>
          <w:noProof/>
          <w:szCs w:val="24"/>
        </w:rPr>
        <w:t xml:space="preserve"> affecting </w:t>
      </w:r>
      <w:r w:rsidR="00B07028" w:rsidRPr="005B03CE">
        <w:rPr>
          <w:noProof/>
          <w:szCs w:val="24"/>
        </w:rPr>
        <w:t xml:space="preserve">Union </w:t>
      </w:r>
      <w:r w:rsidR="00DB116F" w:rsidRPr="005B03CE">
        <w:rPr>
          <w:noProof/>
          <w:szCs w:val="24"/>
        </w:rPr>
        <w:t>institutions, bodies and agencies</w:t>
      </w:r>
      <w:r w:rsidR="000C0223" w:rsidRPr="005B03CE">
        <w:rPr>
          <w:noProof/>
          <w:szCs w:val="24"/>
        </w:rPr>
        <w:t>, authored by advanced persistent threat (APT) actors, has surged</w:t>
      </w:r>
      <w:r w:rsidRPr="005B03CE">
        <w:rPr>
          <w:noProof/>
          <w:szCs w:val="24"/>
        </w:rPr>
        <w:t xml:space="preserve"> dramatically</w:t>
      </w:r>
      <w:r w:rsidR="000C0223" w:rsidRPr="005B03CE">
        <w:rPr>
          <w:noProof/>
          <w:szCs w:val="24"/>
        </w:rPr>
        <w:t>.</w:t>
      </w:r>
      <w:r w:rsidR="00030528" w:rsidRPr="005B03CE">
        <w:rPr>
          <w:noProof/>
          <w:szCs w:val="24"/>
        </w:rPr>
        <w:t xml:space="preserve"> </w:t>
      </w:r>
      <w:r w:rsidR="00DA09F3" w:rsidRPr="005B03CE">
        <w:rPr>
          <w:noProof/>
          <w:szCs w:val="24"/>
        </w:rPr>
        <w:t>T</w:t>
      </w:r>
      <w:r w:rsidR="00030528" w:rsidRPr="005B03CE">
        <w:rPr>
          <w:noProof/>
          <w:szCs w:val="24"/>
        </w:rPr>
        <w:t xml:space="preserve">he first half of 2021 saw the equivalent in significant incidents as in the whole of 2020. </w:t>
      </w:r>
      <w:r w:rsidR="000C0223" w:rsidRPr="005B03CE">
        <w:rPr>
          <w:noProof/>
          <w:szCs w:val="24"/>
        </w:rPr>
        <w:t xml:space="preserve">This is </w:t>
      </w:r>
      <w:r w:rsidR="00DA09F3" w:rsidRPr="005B03CE">
        <w:rPr>
          <w:noProof/>
          <w:szCs w:val="24"/>
        </w:rPr>
        <w:t>also</w:t>
      </w:r>
      <w:r w:rsidR="000C0223" w:rsidRPr="005B03CE">
        <w:rPr>
          <w:noProof/>
          <w:szCs w:val="24"/>
        </w:rPr>
        <w:t xml:space="preserve"> reflected in the number of forensics images (snapshots of the contents of affected systems or devices) CERT-EU analysed in 2020, which tripled in comparison to 2019, while the number of significant incidents rose more than ten-fold since 2018.</w:t>
      </w:r>
      <w:r w:rsidR="004D0C90" w:rsidRPr="005B03CE">
        <w:rPr>
          <w:noProof/>
          <w:szCs w:val="24"/>
        </w:rPr>
        <w:t xml:space="preserve"> </w:t>
      </w:r>
    </w:p>
    <w:p w:rsidR="000C0223" w:rsidRPr="005B03CE" w:rsidRDefault="004D0C90" w:rsidP="000C0223">
      <w:pPr>
        <w:pBdr>
          <w:top w:val="nil"/>
          <w:left w:val="nil"/>
          <w:bottom w:val="nil"/>
          <w:right w:val="nil"/>
          <w:between w:val="nil"/>
          <w:bar w:val="nil"/>
        </w:pBdr>
        <w:rPr>
          <w:noProof/>
          <w:szCs w:val="24"/>
        </w:rPr>
      </w:pPr>
      <w:r w:rsidRPr="005B03CE">
        <w:rPr>
          <w:noProof/>
          <w:szCs w:val="24"/>
        </w:rPr>
        <w:t xml:space="preserve">In 2020, CERT-EU’s Steering Board set a new strategic aim for CERT-EU to guarantee a comprehensive level of cyber defence for all </w:t>
      </w:r>
      <w:r w:rsidR="00FF45F6" w:rsidRPr="005B03CE">
        <w:rPr>
          <w:noProof/>
          <w:szCs w:val="24"/>
        </w:rPr>
        <w:t>institutions, bodies and agencies</w:t>
      </w:r>
      <w:r w:rsidRPr="005B03CE">
        <w:rPr>
          <w:noProof/>
          <w:szCs w:val="24"/>
        </w:rPr>
        <w:t xml:space="preserve"> with suitable breadth and depth and continuous adaptation to current or impe</w:t>
      </w:r>
      <w:r w:rsidR="00DA09F3" w:rsidRPr="005B03CE">
        <w:rPr>
          <w:noProof/>
          <w:szCs w:val="24"/>
        </w:rPr>
        <w:t>n</w:t>
      </w:r>
      <w:r w:rsidRPr="005B03CE">
        <w:rPr>
          <w:noProof/>
          <w:szCs w:val="24"/>
        </w:rPr>
        <w:t>ding threats, including attacks against mobile devices, cloud environments and internet-of-things devices.</w:t>
      </w:r>
    </w:p>
    <w:p w:rsidR="000C0223" w:rsidRPr="005B03CE" w:rsidRDefault="000C0223" w:rsidP="000C0223">
      <w:pPr>
        <w:pBdr>
          <w:top w:val="nil"/>
          <w:left w:val="nil"/>
          <w:bottom w:val="nil"/>
          <w:right w:val="nil"/>
          <w:between w:val="nil"/>
          <w:bar w:val="nil"/>
        </w:pBdr>
        <w:rPr>
          <w:noProof/>
          <w:szCs w:val="24"/>
        </w:rPr>
      </w:pPr>
      <w:r w:rsidRPr="005B03CE">
        <w:rPr>
          <w:noProof/>
          <w:szCs w:val="24"/>
        </w:rPr>
        <w:t>Comp</w:t>
      </w:r>
      <w:r w:rsidR="00AF48B5" w:rsidRPr="005B03CE">
        <w:rPr>
          <w:noProof/>
          <w:szCs w:val="24"/>
        </w:rPr>
        <w:t xml:space="preserve">lementary to the CERT-EU threat </w:t>
      </w:r>
      <w:r w:rsidRPr="005B03CE">
        <w:rPr>
          <w:noProof/>
          <w:szCs w:val="24"/>
        </w:rPr>
        <w:t xml:space="preserve">analysis, the Commission has carried out an evaluation of the cybersecurity functioning of 20 </w:t>
      </w:r>
      <w:r w:rsidR="00B07028" w:rsidRPr="005B03CE">
        <w:rPr>
          <w:noProof/>
          <w:szCs w:val="24"/>
        </w:rPr>
        <w:t xml:space="preserve">Union </w:t>
      </w:r>
      <w:r w:rsidR="00DB116F" w:rsidRPr="005B03CE">
        <w:rPr>
          <w:noProof/>
          <w:szCs w:val="24"/>
        </w:rPr>
        <w:t>institutions, bodies and agencies</w:t>
      </w:r>
      <w:r w:rsidRPr="005B03CE">
        <w:rPr>
          <w:noProof/>
          <w:szCs w:val="24"/>
        </w:rPr>
        <w:t>.</w:t>
      </w:r>
      <w:r w:rsidR="001040F8" w:rsidRPr="005B03CE">
        <w:rPr>
          <w:noProof/>
          <w:szCs w:val="24"/>
        </w:rPr>
        <w:t xml:space="preserve"> This provided</w:t>
      </w:r>
      <w:r w:rsidRPr="005B03CE">
        <w:rPr>
          <w:noProof/>
          <w:szCs w:val="24"/>
        </w:rPr>
        <w:t xml:space="preserve"> insight in</w:t>
      </w:r>
      <w:r w:rsidR="00DA09F3" w:rsidRPr="005B03CE">
        <w:rPr>
          <w:noProof/>
          <w:szCs w:val="24"/>
        </w:rPr>
        <w:t>to</w:t>
      </w:r>
      <w:r w:rsidRPr="005B03CE">
        <w:rPr>
          <w:noProof/>
          <w:szCs w:val="24"/>
        </w:rPr>
        <w:t xml:space="preserve"> established cybersecurity practices, </w:t>
      </w:r>
      <w:r w:rsidR="00DA09F3" w:rsidRPr="005B03CE">
        <w:rPr>
          <w:noProof/>
          <w:szCs w:val="24"/>
        </w:rPr>
        <w:t xml:space="preserve">and </w:t>
      </w:r>
      <w:r w:rsidRPr="005B03CE">
        <w:rPr>
          <w:noProof/>
          <w:szCs w:val="24"/>
        </w:rPr>
        <w:t>cybersecurity management capabilities with external benchmarking of some technical security controls.</w:t>
      </w:r>
    </w:p>
    <w:p w:rsidR="000C0223" w:rsidRPr="005B03CE" w:rsidRDefault="009F00E4" w:rsidP="000C0223">
      <w:pPr>
        <w:pBdr>
          <w:top w:val="nil"/>
          <w:left w:val="nil"/>
          <w:bottom w:val="nil"/>
          <w:right w:val="nil"/>
          <w:between w:val="nil"/>
          <w:bar w:val="nil"/>
        </w:pBdr>
        <w:rPr>
          <w:noProof/>
          <w:szCs w:val="24"/>
        </w:rPr>
      </w:pPr>
      <w:r w:rsidRPr="005B03CE">
        <w:rPr>
          <w:noProof/>
          <w:szCs w:val="24"/>
        </w:rPr>
        <w:t>This evaluation was</w:t>
      </w:r>
      <w:r w:rsidR="000C0223" w:rsidRPr="005B03CE">
        <w:rPr>
          <w:noProof/>
          <w:szCs w:val="24"/>
        </w:rPr>
        <w:t xml:space="preserve"> based on questionnaires</w:t>
      </w:r>
      <w:r w:rsidR="00DA09F3" w:rsidRPr="005B03CE">
        <w:rPr>
          <w:noProof/>
          <w:szCs w:val="24"/>
        </w:rPr>
        <w:t xml:space="preserve"> to which these institutions, bodies and agencies responded</w:t>
      </w:r>
      <w:r w:rsidR="000C0223" w:rsidRPr="005B03CE">
        <w:rPr>
          <w:noProof/>
          <w:szCs w:val="24"/>
        </w:rPr>
        <w:t>, publicly available data</w:t>
      </w:r>
      <w:r w:rsidR="00DA09F3" w:rsidRPr="005B03CE">
        <w:rPr>
          <w:noProof/>
          <w:szCs w:val="24"/>
        </w:rPr>
        <w:t>,</w:t>
      </w:r>
      <w:r w:rsidR="000C0223" w:rsidRPr="005B03CE">
        <w:rPr>
          <w:noProof/>
          <w:szCs w:val="24"/>
        </w:rPr>
        <w:t xml:space="preserve"> and data provided directly by the </w:t>
      </w:r>
      <w:r w:rsidR="00B07028" w:rsidRPr="005B03CE">
        <w:rPr>
          <w:noProof/>
          <w:szCs w:val="24"/>
        </w:rPr>
        <w:t xml:space="preserve">Union </w:t>
      </w:r>
      <w:r w:rsidR="00DB116F" w:rsidRPr="005B03CE">
        <w:rPr>
          <w:noProof/>
          <w:szCs w:val="24"/>
        </w:rPr>
        <w:t>institutions, bodies and agencies</w:t>
      </w:r>
      <w:r w:rsidR="000C0223" w:rsidRPr="005B03CE">
        <w:rPr>
          <w:noProof/>
          <w:szCs w:val="24"/>
        </w:rPr>
        <w:t xml:space="preserve"> themselves</w:t>
      </w:r>
      <w:r w:rsidR="00515988" w:rsidRPr="005B03CE">
        <w:rPr>
          <w:noProof/>
          <w:szCs w:val="24"/>
        </w:rPr>
        <w:t xml:space="preserve">. It </w:t>
      </w:r>
      <w:r w:rsidR="000C0223" w:rsidRPr="005B03CE">
        <w:rPr>
          <w:noProof/>
          <w:szCs w:val="24"/>
        </w:rPr>
        <w:t xml:space="preserve">provides sufficient insights in the current situation to conclude: </w:t>
      </w:r>
    </w:p>
    <w:p w:rsidR="000C0223" w:rsidRPr="005B03CE" w:rsidRDefault="000C0223" w:rsidP="004067E6">
      <w:pPr>
        <w:pStyle w:val="Bullet0"/>
        <w:rPr>
          <w:noProof/>
          <w:szCs w:val="24"/>
        </w:rPr>
      </w:pPr>
      <w:r w:rsidRPr="005B03CE">
        <w:rPr>
          <w:noProof/>
          <w:szCs w:val="24"/>
        </w:rPr>
        <w:t>Cybersecurity maturity, IT infrastructure size and levels of capability vary substantially among the</w:t>
      </w:r>
      <w:r w:rsidR="001040F8" w:rsidRPr="005B03CE">
        <w:rPr>
          <w:noProof/>
          <w:szCs w:val="24"/>
        </w:rPr>
        <w:t xml:space="preserve"> evaluated</w:t>
      </w:r>
      <w:r w:rsidRPr="005B03CE">
        <w:rPr>
          <w:noProof/>
          <w:szCs w:val="24"/>
        </w:rPr>
        <w:t xml:space="preserve"> </w:t>
      </w:r>
      <w:r w:rsidR="00B07028" w:rsidRPr="005B03CE">
        <w:rPr>
          <w:noProof/>
          <w:szCs w:val="24"/>
        </w:rPr>
        <w:t xml:space="preserve">Union </w:t>
      </w:r>
      <w:r w:rsidR="00DB116F" w:rsidRPr="005B03CE">
        <w:rPr>
          <w:noProof/>
          <w:szCs w:val="24"/>
        </w:rPr>
        <w:t>institutions, bodies and agencies</w:t>
      </w:r>
      <w:r w:rsidRPr="005B03CE">
        <w:rPr>
          <w:noProof/>
          <w:szCs w:val="24"/>
        </w:rPr>
        <w:t>.</w:t>
      </w:r>
    </w:p>
    <w:p w:rsidR="000C0223" w:rsidRPr="005B03CE" w:rsidRDefault="00F76DD7" w:rsidP="004067E6">
      <w:pPr>
        <w:pStyle w:val="Bullet0"/>
        <w:rPr>
          <w:noProof/>
          <w:szCs w:val="24"/>
        </w:rPr>
      </w:pPr>
      <w:r w:rsidRPr="005B03CE">
        <w:rPr>
          <w:noProof/>
          <w:szCs w:val="24"/>
        </w:rPr>
        <w:t>Whereas there a</w:t>
      </w:r>
      <w:r w:rsidR="005876C0" w:rsidRPr="005B03CE">
        <w:rPr>
          <w:noProof/>
          <w:szCs w:val="24"/>
        </w:rPr>
        <w:t>re</w:t>
      </w:r>
      <w:r w:rsidRPr="005B03CE">
        <w:rPr>
          <w:noProof/>
          <w:szCs w:val="24"/>
        </w:rPr>
        <w:t xml:space="preserve"> mature d</w:t>
      </w:r>
      <w:r w:rsidR="000C0223" w:rsidRPr="005B03CE">
        <w:rPr>
          <w:noProof/>
          <w:szCs w:val="24"/>
        </w:rPr>
        <w:t xml:space="preserve">etection and response capabilities </w:t>
      </w:r>
      <w:r w:rsidRPr="005B03CE">
        <w:rPr>
          <w:noProof/>
          <w:szCs w:val="24"/>
        </w:rPr>
        <w:t xml:space="preserve">among many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in general, there are varying levels of integrated risk management in their </w:t>
      </w:r>
      <w:r w:rsidR="000C0223" w:rsidRPr="005B03CE">
        <w:rPr>
          <w:noProof/>
          <w:szCs w:val="24"/>
        </w:rPr>
        <w:t>cybersecurity governance capabilities</w:t>
      </w:r>
      <w:r w:rsidRPr="005B03CE">
        <w:rPr>
          <w:noProof/>
          <w:szCs w:val="24"/>
        </w:rPr>
        <w:t>.</w:t>
      </w:r>
      <w:r w:rsidR="000C0223" w:rsidRPr="005B03CE">
        <w:rPr>
          <w:noProof/>
          <w:szCs w:val="24"/>
        </w:rPr>
        <w:t xml:space="preserve"> </w:t>
      </w:r>
    </w:p>
    <w:p w:rsidR="000C0223" w:rsidRPr="005B03CE" w:rsidRDefault="00F76DD7" w:rsidP="004067E6">
      <w:pPr>
        <w:pStyle w:val="Bullet0"/>
        <w:rPr>
          <w:noProof/>
          <w:szCs w:val="24"/>
        </w:rPr>
      </w:pPr>
      <w:r w:rsidRPr="005B03CE">
        <w:rPr>
          <w:noProof/>
          <w:szCs w:val="24"/>
        </w:rPr>
        <w:t>Whereas in general c</w:t>
      </w:r>
      <w:r w:rsidR="000C0223" w:rsidRPr="005B03CE">
        <w:rPr>
          <w:noProof/>
          <w:szCs w:val="24"/>
        </w:rPr>
        <w:t xml:space="preserve">ybersecurity frameworks (strategy, policy and a </w:t>
      </w:r>
      <w:r w:rsidR="005876C0" w:rsidRPr="005B03CE">
        <w:rPr>
          <w:noProof/>
          <w:szCs w:val="24"/>
        </w:rPr>
        <w:t xml:space="preserve">base of </w:t>
      </w:r>
      <w:r w:rsidR="000C0223" w:rsidRPr="005B03CE">
        <w:rPr>
          <w:noProof/>
          <w:szCs w:val="24"/>
        </w:rPr>
        <w:t xml:space="preserve">rules) of the </w:t>
      </w:r>
      <w:r w:rsidR="001040F8" w:rsidRPr="005B03CE">
        <w:rPr>
          <w:noProof/>
          <w:szCs w:val="24"/>
        </w:rPr>
        <w:t xml:space="preserve">evaluated </w:t>
      </w:r>
      <w:r w:rsidR="00B07028" w:rsidRPr="005B03CE">
        <w:rPr>
          <w:noProof/>
          <w:szCs w:val="24"/>
        </w:rPr>
        <w:t xml:space="preserve">Union </w:t>
      </w:r>
      <w:r w:rsidR="00DB116F" w:rsidRPr="005B03CE">
        <w:rPr>
          <w:noProof/>
          <w:szCs w:val="24"/>
        </w:rPr>
        <w:t>institutions, bodies and agencies</w:t>
      </w:r>
      <w:r w:rsidR="000C0223" w:rsidRPr="005B03CE">
        <w:rPr>
          <w:noProof/>
          <w:szCs w:val="24"/>
        </w:rPr>
        <w:t xml:space="preserve"> are well established in the key cybersecurity domains</w:t>
      </w:r>
      <w:r w:rsidRPr="005B03CE">
        <w:rPr>
          <w:noProof/>
          <w:szCs w:val="24"/>
        </w:rPr>
        <w:t>, listed in the Annex I of the Regulation</w:t>
      </w:r>
      <w:r w:rsidR="000C0223" w:rsidRPr="005B03CE">
        <w:rPr>
          <w:noProof/>
          <w:szCs w:val="24"/>
        </w:rPr>
        <w:t>,</w:t>
      </w:r>
      <w:r w:rsidRPr="005B03CE">
        <w:rPr>
          <w:noProof/>
          <w:szCs w:val="24"/>
        </w:rPr>
        <w:t xml:space="preserve"> some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lack mature</w:t>
      </w:r>
      <w:r w:rsidR="000C0223" w:rsidRPr="005B03CE">
        <w:rPr>
          <w:noProof/>
          <w:szCs w:val="24"/>
        </w:rPr>
        <w:t xml:space="preserve"> business continuity management, compliance, audit and continuous improvement.</w:t>
      </w:r>
    </w:p>
    <w:p w:rsidR="000C0223" w:rsidRPr="005B03CE" w:rsidRDefault="00F76DD7" w:rsidP="004067E6">
      <w:pPr>
        <w:pStyle w:val="Bullet0"/>
        <w:rPr>
          <w:noProof/>
          <w:szCs w:val="24"/>
        </w:rPr>
      </w:pPr>
      <w:r w:rsidRPr="005B03CE">
        <w:rPr>
          <w:noProof/>
          <w:szCs w:val="24"/>
        </w:rPr>
        <w:t>Technical</w:t>
      </w:r>
      <w:r w:rsidR="000C0223" w:rsidRPr="005B03CE">
        <w:rPr>
          <w:noProof/>
          <w:szCs w:val="24"/>
        </w:rPr>
        <w:t xml:space="preserve"> </w:t>
      </w:r>
      <w:r w:rsidR="00E029C2" w:rsidRPr="005B03CE">
        <w:rPr>
          <w:noProof/>
          <w:szCs w:val="24"/>
        </w:rPr>
        <w:t>measures</w:t>
      </w:r>
      <w:r w:rsidRPr="005B03CE">
        <w:rPr>
          <w:noProof/>
          <w:szCs w:val="24"/>
        </w:rPr>
        <w:t xml:space="preserve"> considered best practices were found </w:t>
      </w:r>
      <w:r w:rsidR="005876C0" w:rsidRPr="005B03CE">
        <w:rPr>
          <w:noProof/>
          <w:szCs w:val="24"/>
        </w:rPr>
        <w:t xml:space="preserve">to be </w:t>
      </w:r>
      <w:r w:rsidRPr="005B03CE">
        <w:rPr>
          <w:noProof/>
          <w:szCs w:val="24"/>
        </w:rPr>
        <w:t>unevenly</w:t>
      </w:r>
      <w:r w:rsidR="000C0223" w:rsidRPr="005B03CE">
        <w:rPr>
          <w:noProof/>
          <w:szCs w:val="24"/>
        </w:rPr>
        <w:t xml:space="preserve"> applied by the </w:t>
      </w:r>
      <w:r w:rsidR="001040F8" w:rsidRPr="005B03CE">
        <w:rPr>
          <w:noProof/>
          <w:szCs w:val="24"/>
        </w:rPr>
        <w:t xml:space="preserve">evaluated </w:t>
      </w:r>
      <w:r w:rsidR="00B07028" w:rsidRPr="005B03CE">
        <w:rPr>
          <w:noProof/>
          <w:szCs w:val="24"/>
        </w:rPr>
        <w:t xml:space="preserve">Union </w:t>
      </w:r>
      <w:r w:rsidR="00DB116F" w:rsidRPr="005B03CE">
        <w:rPr>
          <w:noProof/>
          <w:szCs w:val="24"/>
        </w:rPr>
        <w:t>institutions, bodies and agencies</w:t>
      </w:r>
      <w:r w:rsidR="000819FE" w:rsidRPr="005B03CE">
        <w:rPr>
          <w:noProof/>
          <w:szCs w:val="24"/>
        </w:rPr>
        <w:t>.</w:t>
      </w:r>
    </w:p>
    <w:p w:rsidR="000C0223" w:rsidRPr="005B03CE" w:rsidRDefault="000C0223" w:rsidP="000C0223">
      <w:pPr>
        <w:pBdr>
          <w:top w:val="nil"/>
          <w:left w:val="nil"/>
          <w:bottom w:val="nil"/>
          <w:right w:val="nil"/>
          <w:between w:val="nil"/>
          <w:bar w:val="nil"/>
        </w:pBdr>
        <w:rPr>
          <w:noProof/>
          <w:szCs w:val="24"/>
        </w:rPr>
      </w:pPr>
      <w:r w:rsidRPr="005B03CE">
        <w:rPr>
          <w:noProof/>
          <w:szCs w:val="24"/>
        </w:rPr>
        <w:t xml:space="preserve">In summary, the analysis of the </w:t>
      </w:r>
      <w:r w:rsidR="001040F8" w:rsidRPr="005B03CE">
        <w:rPr>
          <w:noProof/>
          <w:szCs w:val="24"/>
        </w:rPr>
        <w:t xml:space="preserve">20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shows that their governance, cyber-hygiene, overall capability and maturity vary ov</w:t>
      </w:r>
      <w:r w:rsidR="00F76DD7" w:rsidRPr="005B03CE">
        <w:rPr>
          <w:noProof/>
          <w:szCs w:val="24"/>
        </w:rPr>
        <w:t>er a broad spectrum</w:t>
      </w:r>
      <w:r w:rsidR="005876C0" w:rsidRPr="005B03CE">
        <w:rPr>
          <w:noProof/>
          <w:szCs w:val="24"/>
        </w:rPr>
        <w:t>.</w:t>
      </w:r>
      <w:r w:rsidR="00F76DD7" w:rsidRPr="005B03CE">
        <w:rPr>
          <w:noProof/>
          <w:szCs w:val="24"/>
        </w:rPr>
        <w:t xml:space="preserve"> </w:t>
      </w:r>
      <w:r w:rsidR="005876C0" w:rsidRPr="005B03CE">
        <w:rPr>
          <w:noProof/>
          <w:szCs w:val="24"/>
        </w:rPr>
        <w:t>T</w:t>
      </w:r>
      <w:r w:rsidR="00F76DD7" w:rsidRPr="005B03CE">
        <w:rPr>
          <w:noProof/>
          <w:szCs w:val="24"/>
        </w:rPr>
        <w:t>herefore</w:t>
      </w:r>
      <w:r w:rsidR="005876C0" w:rsidRPr="005B03CE">
        <w:rPr>
          <w:noProof/>
          <w:szCs w:val="24"/>
        </w:rPr>
        <w:t>,</w:t>
      </w:r>
      <w:r w:rsidR="00F76DD7" w:rsidRPr="005B03CE">
        <w:rPr>
          <w:noProof/>
          <w:szCs w:val="24"/>
        </w:rPr>
        <w:t xml:space="preserve"> requiring all </w:t>
      </w:r>
      <w:r w:rsidR="00B07028" w:rsidRPr="005B03CE">
        <w:rPr>
          <w:noProof/>
          <w:szCs w:val="24"/>
        </w:rPr>
        <w:t xml:space="preserve">Union </w:t>
      </w:r>
      <w:r w:rsidR="00DB116F" w:rsidRPr="005B03CE">
        <w:rPr>
          <w:noProof/>
          <w:szCs w:val="24"/>
        </w:rPr>
        <w:t>institutions, bodies and agencies</w:t>
      </w:r>
      <w:r w:rsidR="00F76DD7" w:rsidRPr="005B03CE">
        <w:rPr>
          <w:noProof/>
          <w:szCs w:val="24"/>
        </w:rPr>
        <w:t xml:space="preserve"> to implement a</w:t>
      </w:r>
      <w:r w:rsidRPr="005B03CE">
        <w:rPr>
          <w:noProof/>
          <w:szCs w:val="24"/>
        </w:rPr>
        <w:t xml:space="preserve"> baseline of cybersecurity measures is instrumental</w:t>
      </w:r>
      <w:r w:rsidR="000819FE" w:rsidRPr="005B03CE">
        <w:rPr>
          <w:noProof/>
          <w:szCs w:val="24"/>
        </w:rPr>
        <w:t xml:space="preserve"> to address this disparity in maturity</w:t>
      </w:r>
      <w:r w:rsidR="00F76DD7" w:rsidRPr="005B03CE">
        <w:rPr>
          <w:noProof/>
          <w:szCs w:val="24"/>
        </w:rPr>
        <w:t xml:space="preserve"> and to bring all </w:t>
      </w:r>
      <w:r w:rsidR="00B07028" w:rsidRPr="005B03CE">
        <w:rPr>
          <w:noProof/>
          <w:szCs w:val="24"/>
        </w:rPr>
        <w:t xml:space="preserve">Union </w:t>
      </w:r>
      <w:r w:rsidR="00DB116F" w:rsidRPr="005B03CE">
        <w:rPr>
          <w:noProof/>
          <w:szCs w:val="24"/>
        </w:rPr>
        <w:t>institutions, bodies and agencies</w:t>
      </w:r>
      <w:r w:rsidR="00F76DD7" w:rsidRPr="005B03CE">
        <w:rPr>
          <w:noProof/>
          <w:szCs w:val="24"/>
        </w:rPr>
        <w:t xml:space="preserve"> to a high common level of cybersecurity</w:t>
      </w:r>
      <w:r w:rsidRPr="005B03CE">
        <w:rPr>
          <w:noProof/>
          <w:szCs w:val="24"/>
        </w:rPr>
        <w:t xml:space="preserve">. </w:t>
      </w:r>
    </w:p>
    <w:p w:rsidR="000C0223" w:rsidRPr="005B03CE" w:rsidRDefault="001040F8" w:rsidP="00670E3F">
      <w:pPr>
        <w:rPr>
          <w:noProof/>
          <w:szCs w:val="24"/>
        </w:rPr>
      </w:pPr>
      <w:r w:rsidRPr="005B03CE">
        <w:rPr>
          <w:noProof/>
          <w:szCs w:val="24"/>
        </w:rPr>
        <w:t>No Union</w:t>
      </w:r>
      <w:r w:rsidR="000C0223" w:rsidRPr="005B03CE">
        <w:rPr>
          <w:noProof/>
          <w:szCs w:val="24"/>
        </w:rPr>
        <w:t xml:space="preserve"> legislation has so far focussed on the cybersecurity of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and</w:t>
      </w:r>
      <w:r w:rsidR="00E029C2" w:rsidRPr="005B03CE">
        <w:rPr>
          <w:noProof/>
          <w:szCs w:val="24"/>
        </w:rPr>
        <w:t xml:space="preserve"> has</w:t>
      </w:r>
      <w:r w:rsidR="000C0223" w:rsidRPr="005B03CE">
        <w:rPr>
          <w:noProof/>
          <w:szCs w:val="24"/>
        </w:rPr>
        <w:t xml:space="preserve"> comprehensively tackled the cybersecurity threat landscape and the emerging IT risks driven by digitalisation.</w:t>
      </w:r>
    </w:p>
    <w:p w:rsidR="002E56D2" w:rsidRPr="005B03CE" w:rsidRDefault="002E56D2" w:rsidP="00EF462E">
      <w:pPr>
        <w:pStyle w:val="ManualHeading2"/>
        <w:rPr>
          <w:rFonts w:eastAsia="Arial Unicode MS"/>
          <w:noProof/>
          <w:szCs w:val="24"/>
          <w:u w:color="000000"/>
          <w:bdr w:val="nil"/>
          <w:lang w:eastAsia="en-GB"/>
        </w:rPr>
      </w:pPr>
      <w:r w:rsidRPr="005B03CE">
        <w:rPr>
          <w:rFonts w:eastAsia="Arial Unicode MS"/>
          <w:noProof/>
          <w:szCs w:val="24"/>
          <w:u w:color="000000"/>
          <w:bdr w:val="nil"/>
          <w:lang w:eastAsia="en-GB"/>
        </w:rPr>
        <w:t>•</w:t>
      </w:r>
      <w:r w:rsidRPr="005B03CE">
        <w:rPr>
          <w:rFonts w:eastAsia="Arial Unicode MS"/>
          <w:noProof/>
          <w:szCs w:val="24"/>
          <w:u w:color="000000"/>
          <w:bdr w:val="nil"/>
          <w:lang w:eastAsia="en-GB"/>
        </w:rPr>
        <w:tab/>
        <w:t>Stakeholder consultations</w:t>
      </w:r>
    </w:p>
    <w:p w:rsidR="000819FE" w:rsidRPr="005B03CE" w:rsidRDefault="00540D4C" w:rsidP="004C358B">
      <w:pPr>
        <w:pBdr>
          <w:top w:val="nil"/>
          <w:left w:val="nil"/>
          <w:bottom w:val="nil"/>
          <w:right w:val="nil"/>
          <w:between w:val="nil"/>
          <w:bar w:val="nil"/>
        </w:pBdr>
        <w:rPr>
          <w:noProof/>
          <w:szCs w:val="24"/>
        </w:rPr>
      </w:pPr>
      <w:r w:rsidRPr="005B03CE">
        <w:rPr>
          <w:noProof/>
          <w:szCs w:val="24"/>
        </w:rPr>
        <w:t>The</w:t>
      </w:r>
      <w:r w:rsidR="007F373E" w:rsidRPr="005B03CE">
        <w:rPr>
          <w:noProof/>
          <w:szCs w:val="24"/>
        </w:rPr>
        <w:t xml:space="preserve"> </w:t>
      </w:r>
      <w:r w:rsidRPr="005B03CE">
        <w:rPr>
          <w:noProof/>
          <w:szCs w:val="24"/>
        </w:rPr>
        <w:t>C</w:t>
      </w:r>
      <w:r w:rsidR="0088751B" w:rsidRPr="005B03CE">
        <w:rPr>
          <w:noProof/>
          <w:szCs w:val="24"/>
        </w:rPr>
        <w:t>ommission has consulted</w:t>
      </w:r>
      <w:r w:rsidRPr="005B03CE">
        <w:rPr>
          <w:noProof/>
          <w:szCs w:val="24"/>
        </w:rPr>
        <w:t> stakeholders</w:t>
      </w:r>
      <w:r w:rsidR="0088751B" w:rsidRPr="005B03CE">
        <w:rPr>
          <w:noProof/>
          <w:szCs w:val="24"/>
        </w:rPr>
        <w:t xml:space="preserve"> throughout the </w:t>
      </w:r>
      <w:r w:rsidR="00B07028" w:rsidRPr="005B03CE">
        <w:rPr>
          <w:noProof/>
          <w:szCs w:val="24"/>
        </w:rPr>
        <w:t xml:space="preserve">Union </w:t>
      </w:r>
      <w:r w:rsidR="00DB116F" w:rsidRPr="005B03CE">
        <w:rPr>
          <w:noProof/>
          <w:szCs w:val="24"/>
        </w:rPr>
        <w:t>institutions, bodies and agencies</w:t>
      </w:r>
      <w:r w:rsidR="0088751B" w:rsidRPr="005B03CE">
        <w:rPr>
          <w:noProof/>
          <w:szCs w:val="24"/>
        </w:rPr>
        <w:t xml:space="preserve"> as well as representatives of Member States in the Council and </w:t>
      </w:r>
      <w:r w:rsidRPr="005B03CE">
        <w:rPr>
          <w:noProof/>
          <w:szCs w:val="24"/>
        </w:rPr>
        <w:t>stakeholders</w:t>
      </w:r>
      <w:r w:rsidR="0088751B" w:rsidRPr="005B03CE">
        <w:rPr>
          <w:noProof/>
          <w:szCs w:val="24"/>
        </w:rPr>
        <w:t xml:space="preserve"> in the European Parliament. </w:t>
      </w:r>
      <w:r w:rsidRPr="005B03CE">
        <w:rPr>
          <w:noProof/>
          <w:szCs w:val="24"/>
        </w:rPr>
        <w:t xml:space="preserve">On 25 June 2021, </w:t>
      </w:r>
      <w:r w:rsidR="001040F8" w:rsidRPr="005B03CE">
        <w:rPr>
          <w:noProof/>
          <w:szCs w:val="24"/>
        </w:rPr>
        <w:t xml:space="preserve">representatives of </w:t>
      </w:r>
      <w:r w:rsidRPr="005B03CE">
        <w:rPr>
          <w:noProof/>
          <w:szCs w:val="24"/>
        </w:rPr>
        <w:t xml:space="preserve">Member States and relevant stakeholders from the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participated in a</w:t>
      </w:r>
      <w:r w:rsidR="007F373E" w:rsidRPr="005B03CE">
        <w:rPr>
          <w:noProof/>
          <w:szCs w:val="24"/>
        </w:rPr>
        <w:t xml:space="preserve"> </w:t>
      </w:r>
      <w:r w:rsidRPr="005B03CE">
        <w:rPr>
          <w:noProof/>
          <w:szCs w:val="24"/>
        </w:rPr>
        <w:t>workshop organised b</w:t>
      </w:r>
      <w:r w:rsidR="001040F8" w:rsidRPr="005B03CE">
        <w:rPr>
          <w:noProof/>
          <w:szCs w:val="24"/>
        </w:rPr>
        <w:t xml:space="preserve">y the Commission to discuss </w:t>
      </w:r>
      <w:r w:rsidRPr="005B03CE">
        <w:rPr>
          <w:noProof/>
          <w:szCs w:val="24"/>
        </w:rPr>
        <w:t>the cont</w:t>
      </w:r>
      <w:r w:rsidR="001040F8" w:rsidRPr="005B03CE">
        <w:rPr>
          <w:noProof/>
          <w:szCs w:val="24"/>
        </w:rPr>
        <w:t>ent of the future proposal for R</w:t>
      </w:r>
      <w:r w:rsidRPr="005B03CE">
        <w:rPr>
          <w:noProof/>
          <w:szCs w:val="24"/>
        </w:rPr>
        <w:t>egulation.</w:t>
      </w:r>
      <w:r w:rsidR="000819FE" w:rsidRPr="005B03CE">
        <w:rPr>
          <w:noProof/>
          <w:szCs w:val="24"/>
        </w:rPr>
        <w:t xml:space="preserve"> </w:t>
      </w:r>
    </w:p>
    <w:p w:rsidR="002E56D2" w:rsidRPr="005B03CE" w:rsidRDefault="00540D4C" w:rsidP="00EF462E">
      <w:pPr>
        <w:pStyle w:val="ManualHeading2"/>
        <w:rPr>
          <w:rFonts w:eastAsia="Arial Unicode MS"/>
          <w:noProof/>
          <w:szCs w:val="24"/>
          <w:u w:color="000000"/>
          <w:bdr w:val="nil"/>
          <w:lang w:eastAsia="en-GB"/>
        </w:rPr>
      </w:pPr>
      <w:r w:rsidRPr="005B03CE" w:rsidDel="00540D4C">
        <w:rPr>
          <w:noProof/>
          <w:szCs w:val="24"/>
        </w:rPr>
        <w:t xml:space="preserve"> </w:t>
      </w:r>
      <w:r w:rsidR="002E56D2" w:rsidRPr="005B03CE">
        <w:rPr>
          <w:rFonts w:eastAsia="Arial Unicode MS"/>
          <w:noProof/>
          <w:szCs w:val="24"/>
          <w:u w:color="000000"/>
          <w:bdr w:val="nil"/>
          <w:lang w:eastAsia="en-GB"/>
        </w:rPr>
        <w:t>•</w:t>
      </w:r>
      <w:r w:rsidR="002E56D2" w:rsidRPr="005B03CE">
        <w:rPr>
          <w:rFonts w:eastAsia="Arial Unicode MS"/>
          <w:noProof/>
          <w:szCs w:val="24"/>
          <w:u w:color="000000"/>
          <w:bdr w:val="nil"/>
          <w:lang w:eastAsia="en-GB"/>
        </w:rPr>
        <w:tab/>
        <w:t>Impact assessment</w:t>
      </w:r>
    </w:p>
    <w:p w:rsidR="00172579" w:rsidRPr="005B03CE" w:rsidRDefault="00172579" w:rsidP="00172579">
      <w:pPr>
        <w:pBdr>
          <w:top w:val="nil"/>
          <w:left w:val="nil"/>
          <w:bottom w:val="nil"/>
          <w:right w:val="nil"/>
          <w:between w:val="nil"/>
          <w:bar w:val="nil"/>
        </w:pBdr>
        <w:rPr>
          <w:rFonts w:eastAsia="Arial Unicode MS"/>
          <w:noProof/>
          <w:szCs w:val="24"/>
        </w:rPr>
      </w:pPr>
      <w:r w:rsidRPr="005B03CE">
        <w:rPr>
          <w:noProof/>
          <w:szCs w:val="24"/>
        </w:rPr>
        <w:t>The impact of the present proposal will fall on Union institutions, bodies and agencies. This renders a specific impact assessment not necessary as it will not apply to Member States.</w:t>
      </w:r>
    </w:p>
    <w:p w:rsidR="002E56D2" w:rsidRPr="005B03CE" w:rsidRDefault="002E56D2" w:rsidP="00EF462E">
      <w:pPr>
        <w:pStyle w:val="ManualHeading2"/>
        <w:rPr>
          <w:rFonts w:eastAsia="Arial Unicode MS"/>
          <w:noProof/>
          <w:szCs w:val="24"/>
          <w:u w:color="000000"/>
          <w:bdr w:val="nil"/>
          <w:lang w:eastAsia="en-GB"/>
        </w:rPr>
      </w:pPr>
      <w:r w:rsidRPr="005B03CE">
        <w:rPr>
          <w:rFonts w:eastAsia="Arial Unicode MS"/>
          <w:noProof/>
          <w:szCs w:val="24"/>
          <w:u w:color="000000"/>
          <w:bdr w:val="nil"/>
          <w:lang w:eastAsia="en-GB"/>
        </w:rPr>
        <w:t>•</w:t>
      </w:r>
      <w:r w:rsidRPr="005B03CE">
        <w:rPr>
          <w:rFonts w:eastAsia="Arial Unicode MS"/>
          <w:noProof/>
          <w:szCs w:val="24"/>
          <w:u w:color="000000"/>
          <w:bdr w:val="nil"/>
          <w:lang w:eastAsia="en-GB"/>
        </w:rPr>
        <w:tab/>
        <w:t>Fundamental rights</w:t>
      </w:r>
    </w:p>
    <w:p w:rsidR="00345578" w:rsidRPr="005B03CE" w:rsidRDefault="00345578" w:rsidP="00345578">
      <w:pPr>
        <w:pBdr>
          <w:top w:val="nil"/>
          <w:left w:val="nil"/>
          <w:bottom w:val="nil"/>
          <w:right w:val="nil"/>
          <w:between w:val="nil"/>
          <w:bar w:val="nil"/>
        </w:pBdr>
        <w:rPr>
          <w:rFonts w:eastAsia="Arial Unicode MS"/>
          <w:noProof/>
          <w:szCs w:val="24"/>
        </w:rPr>
      </w:pPr>
      <w:r w:rsidRPr="005B03CE">
        <w:rPr>
          <w:noProof/>
          <w:szCs w:val="24"/>
        </w:rPr>
        <w:t xml:space="preserve">The European Union is committed to ensuring high standards of protection of fundamental rights. All information sharing based on this Regulation would be conducted in trusted environments in full respect </w:t>
      </w:r>
      <w:r w:rsidR="00172579" w:rsidRPr="005B03CE">
        <w:rPr>
          <w:noProof/>
          <w:szCs w:val="24"/>
        </w:rPr>
        <w:t>of the right to the protection of personal data as laid down in Article 8 of the Charter of Fundamental Rights of the European Union and the relevant data protection legislation, notably Regulation (EU) 2018/1725 of the European Parliament and of the Council</w:t>
      </w:r>
      <w:r w:rsidRPr="005B03CE">
        <w:rPr>
          <w:noProof/>
          <w:szCs w:val="24"/>
        </w:rPr>
        <w:t>.</w:t>
      </w:r>
    </w:p>
    <w:p w:rsidR="0088751B" w:rsidRPr="005B03CE" w:rsidRDefault="002E56D2" w:rsidP="00446A80">
      <w:pPr>
        <w:pStyle w:val="ManualHeading1"/>
        <w:rPr>
          <w:noProof/>
          <w:szCs w:val="24"/>
        </w:rPr>
      </w:pPr>
      <w:r w:rsidRPr="005B03CE">
        <w:rPr>
          <w:noProof/>
          <w:szCs w:val="24"/>
        </w:rPr>
        <w:t>4.</w:t>
      </w:r>
      <w:r w:rsidRPr="005B03CE">
        <w:rPr>
          <w:noProof/>
          <w:szCs w:val="24"/>
        </w:rPr>
        <w:tab/>
        <w:t>BUDGETARY IMPLICATIONS</w:t>
      </w:r>
    </w:p>
    <w:p w:rsidR="00446A80" w:rsidRPr="005B03CE" w:rsidRDefault="000819FE" w:rsidP="00D5073D">
      <w:pPr>
        <w:pBdr>
          <w:top w:val="nil"/>
          <w:left w:val="nil"/>
          <w:bottom w:val="nil"/>
          <w:right w:val="nil"/>
          <w:between w:val="nil"/>
          <w:bar w:val="nil"/>
        </w:pBdr>
        <w:rPr>
          <w:noProof/>
          <w:szCs w:val="24"/>
        </w:rPr>
      </w:pPr>
      <w:r w:rsidRPr="005B03CE">
        <w:rPr>
          <w:noProof/>
          <w:szCs w:val="24"/>
        </w:rPr>
        <w:t>Market benchmarks and studies</w:t>
      </w:r>
      <w:r w:rsidRPr="005B03CE">
        <w:rPr>
          <w:rStyle w:val="FootnoteReference"/>
          <w:rFonts w:eastAsia="Arial Unicode MS"/>
          <w:noProof/>
          <w:szCs w:val="24"/>
        </w:rPr>
        <w:footnoteReference w:id="3"/>
      </w:r>
      <w:r w:rsidRPr="005B03CE">
        <w:rPr>
          <w:noProof/>
          <w:szCs w:val="24"/>
        </w:rPr>
        <w:t xml:space="preserve"> show that direct cybersecurity spending has tended to vary between 4 and 7% of the aggregated IT expenditures of organisations. However, the threat analysis undertaken by CERT-EU in support of this legislative proposal indicates that international bodies and political organisations face increased risks and therefore a level of 10% of IT spend</w:t>
      </w:r>
      <w:r w:rsidR="00652226" w:rsidRPr="005B03CE">
        <w:rPr>
          <w:noProof/>
          <w:szCs w:val="24"/>
        </w:rPr>
        <w:t>ing</w:t>
      </w:r>
      <w:r w:rsidRPr="005B03CE">
        <w:rPr>
          <w:noProof/>
          <w:szCs w:val="24"/>
        </w:rPr>
        <w:t xml:space="preserve"> on cyber</w:t>
      </w:r>
      <w:r w:rsidR="00652226" w:rsidRPr="005B03CE">
        <w:rPr>
          <w:noProof/>
          <w:szCs w:val="24"/>
        </w:rPr>
        <w:t xml:space="preserve">security </w:t>
      </w:r>
      <w:r w:rsidRPr="005B03CE">
        <w:rPr>
          <w:noProof/>
          <w:szCs w:val="24"/>
        </w:rPr>
        <w:t xml:space="preserve">would seem a more adequate target. The exact cost of such efforts cannot be determined due to the lack of detailed information on IT expenditure of the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and the relevant share of cybersecurity spending. </w:t>
      </w:r>
    </w:p>
    <w:p w:rsidR="00451A78" w:rsidRPr="005B03CE" w:rsidRDefault="00451A78" w:rsidP="00D5073D">
      <w:pPr>
        <w:pBdr>
          <w:top w:val="nil"/>
          <w:left w:val="nil"/>
          <w:bottom w:val="nil"/>
          <w:right w:val="nil"/>
          <w:between w:val="nil"/>
          <w:bar w:val="nil"/>
        </w:pBdr>
        <w:rPr>
          <w:noProof/>
          <w:szCs w:val="24"/>
        </w:rPr>
      </w:pPr>
      <w:r w:rsidRPr="005B03CE">
        <w:rPr>
          <w:noProof/>
          <w:szCs w:val="24"/>
        </w:rPr>
        <w:t xml:space="preserve">While it is therefore likely that many Union institutions, bodies and agencies spend less on cybersecurity than they should, this </w:t>
      </w:r>
      <w:r w:rsidR="006D61FF" w:rsidRPr="005B03CE">
        <w:rPr>
          <w:noProof/>
          <w:szCs w:val="24"/>
        </w:rPr>
        <w:t>R</w:t>
      </w:r>
      <w:r w:rsidRPr="005B03CE">
        <w:rPr>
          <w:noProof/>
          <w:szCs w:val="24"/>
        </w:rPr>
        <w:t xml:space="preserve">egulation will not cause </w:t>
      </w:r>
      <w:r w:rsidR="002E4542" w:rsidRPr="005B03CE">
        <w:rPr>
          <w:noProof/>
          <w:szCs w:val="24"/>
        </w:rPr>
        <w:t xml:space="preserve">as such an increase in that current expenditure. Even without the </w:t>
      </w:r>
      <w:r w:rsidR="006D61FF" w:rsidRPr="005B03CE">
        <w:rPr>
          <w:noProof/>
          <w:szCs w:val="24"/>
        </w:rPr>
        <w:t>R</w:t>
      </w:r>
      <w:r w:rsidR="002E4542" w:rsidRPr="005B03CE">
        <w:rPr>
          <w:noProof/>
          <w:szCs w:val="24"/>
        </w:rPr>
        <w:t xml:space="preserve">egulation each entity would need to ensure an adequate level of cybersecurity. The </w:t>
      </w:r>
      <w:r w:rsidR="006D61FF" w:rsidRPr="005B03CE">
        <w:rPr>
          <w:noProof/>
          <w:szCs w:val="24"/>
        </w:rPr>
        <w:t>R</w:t>
      </w:r>
      <w:r w:rsidR="002E4542" w:rsidRPr="005B03CE">
        <w:rPr>
          <w:noProof/>
          <w:szCs w:val="24"/>
        </w:rPr>
        <w:t>egulation continues the previous cooperation in the Steering Board of CERT-EU and formalises a layer of information exchange already partly exis</w:t>
      </w:r>
      <w:r w:rsidR="00F1392C" w:rsidRPr="005B03CE">
        <w:rPr>
          <w:noProof/>
          <w:szCs w:val="24"/>
        </w:rPr>
        <w:t>ting today. As detailed in the legislative financial s</w:t>
      </w:r>
      <w:r w:rsidR="002E4542" w:rsidRPr="005B03CE">
        <w:rPr>
          <w:noProof/>
          <w:szCs w:val="24"/>
        </w:rPr>
        <w:t>tatement, CERT-EU will require additional resources to fulfil its expanded role and these resources should be reallocated from the Union institutions, bodies and agencies benefitting from CERT-EU’s services.</w:t>
      </w:r>
    </w:p>
    <w:p w:rsidR="002E56D2" w:rsidRPr="005B03CE" w:rsidRDefault="0088751B" w:rsidP="000E76E9">
      <w:pPr>
        <w:pStyle w:val="ManualHeading1"/>
        <w:ind w:left="851" w:hanging="851"/>
        <w:rPr>
          <w:noProof/>
          <w:szCs w:val="24"/>
        </w:rPr>
      </w:pPr>
      <w:r w:rsidRPr="005B03CE">
        <w:rPr>
          <w:noProof/>
          <w:szCs w:val="24"/>
        </w:rPr>
        <w:t>5.</w:t>
      </w:r>
      <w:r w:rsidR="007D1755" w:rsidRPr="005B03CE">
        <w:rPr>
          <w:noProof/>
          <w:szCs w:val="24"/>
        </w:rPr>
        <w:tab/>
        <w:t>OTHER ELEMENTS</w:t>
      </w:r>
    </w:p>
    <w:p w:rsidR="007D1755" w:rsidRPr="005B03CE" w:rsidRDefault="00D30ECF" w:rsidP="000E76E9">
      <w:pPr>
        <w:pStyle w:val="Bullet0"/>
        <w:keepNext/>
        <w:ind w:left="851" w:hanging="851"/>
        <w:rPr>
          <w:b/>
          <w:noProof/>
          <w:szCs w:val="24"/>
        </w:rPr>
      </w:pPr>
      <w:r w:rsidRPr="005B03CE">
        <w:rPr>
          <w:b/>
          <w:noProof/>
          <w:szCs w:val="24"/>
        </w:rPr>
        <w:t>Implementation, m</w:t>
      </w:r>
      <w:r w:rsidR="007D1755" w:rsidRPr="005B03CE">
        <w:rPr>
          <w:b/>
          <w:noProof/>
          <w:szCs w:val="24"/>
        </w:rPr>
        <w:t>onitoring, evaluation and reporting arrangements</w:t>
      </w:r>
    </w:p>
    <w:p w:rsidR="00D30ECF" w:rsidRPr="005B03CE" w:rsidRDefault="00464461" w:rsidP="007467AE">
      <w:pPr>
        <w:rPr>
          <w:noProof/>
          <w:szCs w:val="24"/>
        </w:rPr>
      </w:pPr>
      <w:bookmarkStart w:id="1" w:name="_Hlk96689499"/>
      <w:r w:rsidRPr="005B03CE">
        <w:rPr>
          <w:noProof/>
          <w:szCs w:val="24"/>
        </w:rPr>
        <w:t xml:space="preserve">The Interinstitutional Cybersecurity Board </w:t>
      </w:r>
      <w:r w:rsidR="00D30ECF" w:rsidRPr="005B03CE">
        <w:rPr>
          <w:noProof/>
          <w:szCs w:val="24"/>
        </w:rPr>
        <w:t>(IICB)</w:t>
      </w:r>
      <w:r w:rsidR="001F2C30" w:rsidRPr="005B03CE">
        <w:rPr>
          <w:noProof/>
          <w:szCs w:val="24"/>
        </w:rPr>
        <w:t>, with the assistance of CERT-EU,</w:t>
      </w:r>
      <w:r w:rsidR="00D30ECF" w:rsidRPr="005B03CE">
        <w:rPr>
          <w:noProof/>
          <w:szCs w:val="24"/>
        </w:rPr>
        <w:t xml:space="preserve"> </w:t>
      </w:r>
      <w:r w:rsidRPr="005B03CE">
        <w:rPr>
          <w:noProof/>
          <w:szCs w:val="24"/>
        </w:rPr>
        <w:t>should review the functioning of this Regulation</w:t>
      </w:r>
      <w:r w:rsidR="00B61230" w:rsidRPr="005B03CE">
        <w:rPr>
          <w:noProof/>
          <w:szCs w:val="24"/>
        </w:rPr>
        <w:t>, carry out evaluations</w:t>
      </w:r>
      <w:r w:rsidRPr="005B03CE">
        <w:rPr>
          <w:noProof/>
          <w:szCs w:val="24"/>
        </w:rPr>
        <w:t xml:space="preserve">, and </w:t>
      </w:r>
      <w:r w:rsidR="00B61230" w:rsidRPr="005B03CE">
        <w:rPr>
          <w:noProof/>
          <w:szCs w:val="24"/>
        </w:rPr>
        <w:t xml:space="preserve">present a </w:t>
      </w:r>
      <w:r w:rsidRPr="005B03CE">
        <w:rPr>
          <w:noProof/>
          <w:szCs w:val="24"/>
        </w:rPr>
        <w:t>report</w:t>
      </w:r>
      <w:r w:rsidR="0047397F" w:rsidRPr="005B03CE">
        <w:rPr>
          <w:noProof/>
          <w:szCs w:val="24"/>
        </w:rPr>
        <w:t xml:space="preserve"> with its findings</w:t>
      </w:r>
      <w:r w:rsidRPr="005B03CE">
        <w:rPr>
          <w:noProof/>
          <w:szCs w:val="24"/>
        </w:rPr>
        <w:t xml:space="preserve"> to </w:t>
      </w:r>
      <w:r w:rsidR="001F2C30" w:rsidRPr="005B03CE">
        <w:rPr>
          <w:noProof/>
          <w:szCs w:val="24"/>
        </w:rPr>
        <w:t xml:space="preserve">the Commission. The Commission should ensure regular reporting to </w:t>
      </w:r>
      <w:r w:rsidRPr="005B03CE">
        <w:rPr>
          <w:noProof/>
          <w:szCs w:val="24"/>
        </w:rPr>
        <w:t>the European Parliament, the Council</w:t>
      </w:r>
      <w:r w:rsidR="001F2C30" w:rsidRPr="005B03CE">
        <w:rPr>
          <w:noProof/>
          <w:szCs w:val="24"/>
        </w:rPr>
        <w:t>, the European Economic and Social Committee and the Committee of the Regions</w:t>
      </w:r>
      <w:r w:rsidR="0047397F" w:rsidRPr="005B03CE">
        <w:rPr>
          <w:noProof/>
          <w:szCs w:val="24"/>
        </w:rPr>
        <w:t>.</w:t>
      </w:r>
      <w:r w:rsidR="00D93C07" w:rsidRPr="005B03CE">
        <w:rPr>
          <w:noProof/>
          <w:szCs w:val="24"/>
        </w:rPr>
        <w:t xml:space="preserve"> </w:t>
      </w:r>
    </w:p>
    <w:bookmarkEnd w:id="1"/>
    <w:p w:rsidR="00D93C07" w:rsidRPr="005B03CE" w:rsidRDefault="00D30ECF" w:rsidP="007467AE">
      <w:pPr>
        <w:rPr>
          <w:noProof/>
          <w:szCs w:val="24"/>
        </w:rPr>
      </w:pPr>
      <w:r w:rsidRPr="005B03CE">
        <w:rPr>
          <w:noProof/>
          <w:szCs w:val="24"/>
        </w:rPr>
        <w:t xml:space="preserve">CERT-EU can draft a proposal for a guidance document or a recommendation, which the IICB can choose to adopt. A guidance document is an advisory directed towards all or a subset of the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whereas a recommendation is directed towards individual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A call for action is a CERT-EU advisory describing urgent security measures which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are urged to take within a set timeframe.</w:t>
      </w:r>
    </w:p>
    <w:p w:rsidR="00464461" w:rsidRPr="005B03CE" w:rsidRDefault="007467AE" w:rsidP="00464461">
      <w:pPr>
        <w:pStyle w:val="Bullet0"/>
        <w:rPr>
          <w:b/>
          <w:noProof/>
          <w:szCs w:val="24"/>
        </w:rPr>
      </w:pPr>
      <w:r w:rsidRPr="005B03CE">
        <w:rPr>
          <w:b/>
          <w:noProof/>
          <w:szCs w:val="24"/>
        </w:rPr>
        <w:t>Detailed explanation of the specific provisions of the proposal</w:t>
      </w:r>
    </w:p>
    <w:p w:rsidR="008079C1" w:rsidRPr="005B03CE" w:rsidRDefault="008079C1" w:rsidP="008079C1">
      <w:pPr>
        <w:rPr>
          <w:noProof/>
          <w:szCs w:val="24"/>
        </w:rPr>
      </w:pPr>
      <w:r w:rsidRPr="005B03CE">
        <w:rPr>
          <w:noProof/>
          <w:szCs w:val="24"/>
          <w:u w:val="single"/>
        </w:rPr>
        <w:t>General provisions</w:t>
      </w:r>
    </w:p>
    <w:p w:rsidR="00435E17" w:rsidRPr="005B03CE" w:rsidRDefault="008079C1" w:rsidP="00435E17">
      <w:pPr>
        <w:rPr>
          <w:noProof/>
          <w:szCs w:val="24"/>
        </w:rPr>
      </w:pPr>
      <w:r w:rsidRPr="005B03CE">
        <w:rPr>
          <w:noProof/>
          <w:szCs w:val="24"/>
        </w:rPr>
        <w:t>T</w:t>
      </w:r>
      <w:r w:rsidR="00CC304F" w:rsidRPr="005B03CE">
        <w:rPr>
          <w:noProof/>
          <w:szCs w:val="24"/>
        </w:rPr>
        <w:t xml:space="preserve">he Regulation </w:t>
      </w:r>
      <w:r w:rsidR="00435E17" w:rsidRPr="005B03CE">
        <w:rPr>
          <w:noProof/>
          <w:szCs w:val="24"/>
        </w:rPr>
        <w:t>lays down measures with a view to ensuring a high common level of cybersecurity</w:t>
      </w:r>
      <w:r w:rsidR="00CC304F" w:rsidRPr="005B03CE">
        <w:rPr>
          <w:noProof/>
          <w:szCs w:val="24"/>
        </w:rPr>
        <w:t xml:space="preserve"> and it applies to</w:t>
      </w:r>
      <w:r w:rsidR="00435E17" w:rsidRPr="005B03CE">
        <w:rPr>
          <w:noProof/>
          <w:szCs w:val="24"/>
        </w:rPr>
        <w:t xml:space="preserve"> the </w:t>
      </w:r>
      <w:r w:rsidR="00B07028" w:rsidRPr="005B03CE">
        <w:rPr>
          <w:noProof/>
          <w:szCs w:val="24"/>
        </w:rPr>
        <w:t xml:space="preserve">Union </w:t>
      </w:r>
      <w:r w:rsidR="00DB116F" w:rsidRPr="005B03CE">
        <w:rPr>
          <w:noProof/>
          <w:szCs w:val="24"/>
        </w:rPr>
        <w:t>institutions, bodies and agencies</w:t>
      </w:r>
      <w:r w:rsidR="00435E17" w:rsidRPr="005B03CE">
        <w:rPr>
          <w:noProof/>
          <w:szCs w:val="24"/>
        </w:rPr>
        <w:t xml:space="preserve"> to enable them to carry out their respective missions in an open, efficient and independent way</w:t>
      </w:r>
      <w:r w:rsidR="00592B49" w:rsidRPr="005B03CE">
        <w:rPr>
          <w:noProof/>
          <w:szCs w:val="24"/>
        </w:rPr>
        <w:t>.</w:t>
      </w:r>
      <w:r w:rsidR="00435E17" w:rsidRPr="005B03CE">
        <w:rPr>
          <w:noProof/>
          <w:szCs w:val="24"/>
        </w:rPr>
        <w:t xml:space="preserve"> </w:t>
      </w:r>
      <w:r w:rsidR="004D061E" w:rsidRPr="005B03CE">
        <w:rPr>
          <w:noProof/>
          <w:szCs w:val="24"/>
        </w:rPr>
        <w:t>(Art</w:t>
      </w:r>
      <w:r w:rsidR="006D61FF" w:rsidRPr="005B03CE">
        <w:rPr>
          <w:noProof/>
          <w:szCs w:val="24"/>
        </w:rPr>
        <w:t>icles</w:t>
      </w:r>
      <w:r w:rsidR="004D061E" w:rsidRPr="005B03CE">
        <w:rPr>
          <w:noProof/>
          <w:szCs w:val="24"/>
        </w:rPr>
        <w:t xml:space="preserve"> 1-3, 23-25)</w:t>
      </w:r>
    </w:p>
    <w:p w:rsidR="008079C1" w:rsidRPr="005B03CE" w:rsidRDefault="008079C1" w:rsidP="008079C1">
      <w:pPr>
        <w:rPr>
          <w:noProof/>
          <w:szCs w:val="24"/>
          <w:u w:val="single"/>
        </w:rPr>
      </w:pPr>
      <w:r w:rsidRPr="005B03CE">
        <w:rPr>
          <w:noProof/>
          <w:szCs w:val="24"/>
          <w:u w:val="single"/>
        </w:rPr>
        <w:t>Measures for a high common level of cybersecurity</w:t>
      </w:r>
    </w:p>
    <w:p w:rsidR="00435E17" w:rsidRPr="005B03CE" w:rsidRDefault="00B07028" w:rsidP="00CC304F">
      <w:pPr>
        <w:rPr>
          <w:noProof/>
          <w:szCs w:val="24"/>
        </w:rPr>
      </w:pPr>
      <w:r w:rsidRPr="005B03CE">
        <w:rPr>
          <w:noProof/>
          <w:szCs w:val="24"/>
        </w:rPr>
        <w:t xml:space="preserve">Union </w:t>
      </w:r>
      <w:r w:rsidR="00DB116F" w:rsidRPr="005B03CE">
        <w:rPr>
          <w:noProof/>
          <w:szCs w:val="24"/>
        </w:rPr>
        <w:t>institutions, bodies and agencies</w:t>
      </w:r>
      <w:r w:rsidR="00435E17" w:rsidRPr="005B03CE">
        <w:rPr>
          <w:noProof/>
          <w:szCs w:val="24"/>
        </w:rPr>
        <w:t xml:space="preserve"> are obliged to </w:t>
      </w:r>
      <w:r w:rsidR="00CC304F" w:rsidRPr="005B03CE">
        <w:rPr>
          <w:noProof/>
          <w:szCs w:val="24"/>
        </w:rPr>
        <w:t xml:space="preserve">establish an internal cybersecurity risk management, governance and control framework that ensures an effective and prudent management of all cybersecurity risks. The </w:t>
      </w:r>
      <w:r w:rsidR="00FF45F6" w:rsidRPr="005B03CE">
        <w:rPr>
          <w:noProof/>
          <w:szCs w:val="24"/>
        </w:rPr>
        <w:t>institutions, bodies and agencies</w:t>
      </w:r>
      <w:r w:rsidR="00CC304F" w:rsidRPr="005B03CE">
        <w:rPr>
          <w:noProof/>
          <w:szCs w:val="24"/>
        </w:rPr>
        <w:t xml:space="preserve"> shall moreover adopt a cybersecurity baseline to address the risks identified under the framework, carry out regular cybersecurity maturity </w:t>
      </w:r>
      <w:r w:rsidR="00F90D74" w:rsidRPr="005B03CE">
        <w:rPr>
          <w:noProof/>
          <w:szCs w:val="24"/>
        </w:rPr>
        <w:t xml:space="preserve">assessments </w:t>
      </w:r>
      <w:r w:rsidR="00CC304F" w:rsidRPr="005B03CE">
        <w:rPr>
          <w:noProof/>
          <w:szCs w:val="24"/>
        </w:rPr>
        <w:t>and adopt a cybersecurity plan</w:t>
      </w:r>
      <w:r w:rsidR="00592B49" w:rsidRPr="005B03CE">
        <w:rPr>
          <w:noProof/>
          <w:szCs w:val="24"/>
        </w:rPr>
        <w:t>.</w:t>
      </w:r>
      <w:r w:rsidR="006D61FF" w:rsidRPr="005B03CE">
        <w:rPr>
          <w:noProof/>
          <w:szCs w:val="24"/>
        </w:rPr>
        <w:t xml:space="preserve"> </w:t>
      </w:r>
      <w:r w:rsidR="004D061E" w:rsidRPr="005B03CE">
        <w:rPr>
          <w:noProof/>
          <w:szCs w:val="24"/>
        </w:rPr>
        <w:t>(Art</w:t>
      </w:r>
      <w:r w:rsidR="006D61FF" w:rsidRPr="005B03CE">
        <w:rPr>
          <w:noProof/>
          <w:szCs w:val="24"/>
        </w:rPr>
        <w:t>icles</w:t>
      </w:r>
      <w:r w:rsidR="004D061E" w:rsidRPr="005B03CE">
        <w:rPr>
          <w:noProof/>
          <w:szCs w:val="24"/>
        </w:rPr>
        <w:t xml:space="preserve"> 4-8)</w:t>
      </w:r>
    </w:p>
    <w:p w:rsidR="008079C1" w:rsidRPr="005B03CE" w:rsidRDefault="008079C1" w:rsidP="008079C1">
      <w:pPr>
        <w:rPr>
          <w:noProof/>
          <w:szCs w:val="24"/>
          <w:u w:val="single"/>
        </w:rPr>
      </w:pPr>
      <w:r w:rsidRPr="005B03CE">
        <w:rPr>
          <w:noProof/>
          <w:szCs w:val="24"/>
          <w:u w:val="single"/>
        </w:rPr>
        <w:t>Interinstitutional Cybersecurity Board</w:t>
      </w:r>
    </w:p>
    <w:p w:rsidR="00435E17" w:rsidRPr="005B03CE" w:rsidRDefault="00CC304F" w:rsidP="00CC304F">
      <w:pPr>
        <w:rPr>
          <w:noProof/>
          <w:szCs w:val="24"/>
        </w:rPr>
      </w:pPr>
      <w:r w:rsidRPr="005B03CE">
        <w:rPr>
          <w:noProof/>
          <w:szCs w:val="24"/>
        </w:rPr>
        <w:t xml:space="preserve">The Interinstitutional Cybersecurity Board is established and shall be responsible for </w:t>
      </w:r>
      <w:r w:rsidR="00C526BD" w:rsidRPr="005B03CE">
        <w:rPr>
          <w:noProof/>
          <w:szCs w:val="24"/>
        </w:rPr>
        <w:t>monitoring</w:t>
      </w:r>
      <w:r w:rsidRPr="005B03CE">
        <w:rPr>
          <w:noProof/>
          <w:szCs w:val="24"/>
        </w:rPr>
        <w:t xml:space="preserve"> the implementation of this Regulation by the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as well as </w:t>
      </w:r>
      <w:r w:rsidR="00C526BD" w:rsidRPr="005B03CE">
        <w:rPr>
          <w:noProof/>
          <w:szCs w:val="24"/>
        </w:rPr>
        <w:t>supervising</w:t>
      </w:r>
      <w:r w:rsidRPr="005B03CE">
        <w:rPr>
          <w:noProof/>
          <w:szCs w:val="24"/>
        </w:rPr>
        <w:t xml:space="preserve"> the implementation of general priorities and objectives by CERT-EU and providing strategic direction to CERT-EU</w:t>
      </w:r>
      <w:r w:rsidR="00592B49" w:rsidRPr="005B03CE">
        <w:rPr>
          <w:noProof/>
          <w:szCs w:val="24"/>
        </w:rPr>
        <w:t>.</w:t>
      </w:r>
      <w:r w:rsidR="004D061E" w:rsidRPr="005B03CE">
        <w:rPr>
          <w:noProof/>
          <w:szCs w:val="24"/>
        </w:rPr>
        <w:t xml:space="preserve"> (Art</w:t>
      </w:r>
      <w:r w:rsidR="006D61FF" w:rsidRPr="005B03CE">
        <w:rPr>
          <w:noProof/>
          <w:szCs w:val="24"/>
        </w:rPr>
        <w:t>icles</w:t>
      </w:r>
      <w:r w:rsidR="004D061E" w:rsidRPr="005B03CE">
        <w:rPr>
          <w:noProof/>
          <w:szCs w:val="24"/>
        </w:rPr>
        <w:t xml:space="preserve"> 9-11)</w:t>
      </w:r>
      <w:r w:rsidR="006D61FF" w:rsidRPr="005B03CE">
        <w:rPr>
          <w:noProof/>
          <w:szCs w:val="24"/>
        </w:rPr>
        <w:t>.</w:t>
      </w:r>
    </w:p>
    <w:p w:rsidR="006F204A" w:rsidRPr="005B03CE" w:rsidRDefault="006F204A" w:rsidP="00CC304F">
      <w:pPr>
        <w:rPr>
          <w:noProof/>
          <w:szCs w:val="24"/>
        </w:rPr>
      </w:pPr>
    </w:p>
    <w:p w:rsidR="008079C1" w:rsidRPr="005B03CE" w:rsidRDefault="008079C1" w:rsidP="008079C1">
      <w:pPr>
        <w:rPr>
          <w:noProof/>
          <w:szCs w:val="24"/>
          <w:u w:val="single"/>
        </w:rPr>
      </w:pPr>
      <w:r w:rsidRPr="005B03CE">
        <w:rPr>
          <w:noProof/>
          <w:szCs w:val="24"/>
          <w:u w:val="single"/>
        </w:rPr>
        <w:t>CERT-EU</w:t>
      </w:r>
    </w:p>
    <w:p w:rsidR="00CC304F" w:rsidRPr="005B03CE" w:rsidRDefault="00CC304F" w:rsidP="00CC304F">
      <w:pPr>
        <w:rPr>
          <w:noProof/>
          <w:szCs w:val="24"/>
        </w:rPr>
      </w:pPr>
      <w:r w:rsidRPr="005B03CE">
        <w:rPr>
          <w:noProof/>
          <w:szCs w:val="24"/>
        </w:rPr>
        <w:t xml:space="preserve">CERT-EU shall contribute to the security of the IT environment of all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by advising them, by helping to prevent, detect, mitigate and respond to incidents and by acting as the</w:t>
      </w:r>
      <w:r w:rsidR="00FF45F6" w:rsidRPr="005B03CE">
        <w:rPr>
          <w:noProof/>
          <w:szCs w:val="24"/>
        </w:rPr>
        <w:t>ir</w:t>
      </w:r>
      <w:r w:rsidRPr="005B03CE">
        <w:rPr>
          <w:noProof/>
          <w:szCs w:val="24"/>
        </w:rPr>
        <w:t xml:space="preserve"> cybersecurity information exchange and incident response coordination hub. </w:t>
      </w:r>
      <w:r w:rsidR="004D061E" w:rsidRPr="005B03CE">
        <w:rPr>
          <w:noProof/>
          <w:szCs w:val="24"/>
        </w:rPr>
        <w:t>(Art</w:t>
      </w:r>
      <w:r w:rsidR="006D61FF" w:rsidRPr="005B03CE">
        <w:rPr>
          <w:noProof/>
          <w:szCs w:val="24"/>
        </w:rPr>
        <w:t>icles</w:t>
      </w:r>
      <w:r w:rsidR="004D061E" w:rsidRPr="005B03CE">
        <w:rPr>
          <w:noProof/>
          <w:szCs w:val="24"/>
        </w:rPr>
        <w:t xml:space="preserve"> 12-17)</w:t>
      </w:r>
    </w:p>
    <w:p w:rsidR="008079C1" w:rsidRPr="005B03CE" w:rsidRDefault="008079C1" w:rsidP="008079C1">
      <w:pPr>
        <w:rPr>
          <w:noProof/>
          <w:szCs w:val="24"/>
          <w:u w:val="single"/>
        </w:rPr>
      </w:pPr>
      <w:r w:rsidRPr="005B03CE">
        <w:rPr>
          <w:noProof/>
          <w:szCs w:val="24"/>
          <w:u w:val="single"/>
        </w:rPr>
        <w:t>Cooperation and reporting obligations</w:t>
      </w:r>
    </w:p>
    <w:p w:rsidR="006D61FF" w:rsidRPr="005B03CE" w:rsidRDefault="00435E17" w:rsidP="004769A6">
      <w:pPr>
        <w:rPr>
          <w:noProof/>
          <w:szCs w:val="24"/>
        </w:rPr>
      </w:pPr>
      <w:r w:rsidRPr="005B03CE">
        <w:rPr>
          <w:noProof/>
          <w:szCs w:val="24"/>
        </w:rPr>
        <w:t xml:space="preserve">The Regulation ensures cooperation and the exchange of information among </w:t>
      </w:r>
      <w:r w:rsidR="004769A6" w:rsidRPr="005B03CE">
        <w:rPr>
          <w:noProof/>
          <w:szCs w:val="24"/>
        </w:rPr>
        <w:t xml:space="preserve">CERT-EU, and the </w:t>
      </w:r>
      <w:r w:rsidR="00B07028" w:rsidRPr="005B03CE">
        <w:rPr>
          <w:noProof/>
          <w:szCs w:val="24"/>
        </w:rPr>
        <w:t xml:space="preserve">Union </w:t>
      </w:r>
      <w:r w:rsidR="00DB116F" w:rsidRPr="005B03CE">
        <w:rPr>
          <w:noProof/>
          <w:szCs w:val="24"/>
        </w:rPr>
        <w:t>institutions, bodies and agencies</w:t>
      </w:r>
      <w:r w:rsidR="004769A6" w:rsidRPr="005B03CE">
        <w:rPr>
          <w:noProof/>
          <w:szCs w:val="24"/>
        </w:rPr>
        <w:t xml:space="preserve"> </w:t>
      </w:r>
      <w:r w:rsidRPr="005B03CE">
        <w:rPr>
          <w:noProof/>
          <w:szCs w:val="24"/>
        </w:rPr>
        <w:t>to develop trust and confidence</w:t>
      </w:r>
      <w:r w:rsidR="004769A6" w:rsidRPr="005B03CE">
        <w:rPr>
          <w:noProof/>
          <w:szCs w:val="24"/>
        </w:rPr>
        <w:t xml:space="preserve">. To this end CERT-EU may request </w:t>
      </w:r>
      <w:r w:rsidR="00B07028" w:rsidRPr="005B03CE">
        <w:rPr>
          <w:noProof/>
          <w:szCs w:val="24"/>
        </w:rPr>
        <w:t xml:space="preserve">Union </w:t>
      </w:r>
      <w:r w:rsidR="00DB116F" w:rsidRPr="005B03CE">
        <w:rPr>
          <w:noProof/>
          <w:szCs w:val="24"/>
        </w:rPr>
        <w:t>institutions, bodies and agencies</w:t>
      </w:r>
      <w:r w:rsidR="004769A6" w:rsidRPr="005B03CE">
        <w:rPr>
          <w:noProof/>
          <w:szCs w:val="24"/>
        </w:rPr>
        <w:t xml:space="preserve"> to provide it with relevant information and CERT-EU may exchange incident-specific information with </w:t>
      </w:r>
      <w:r w:rsidR="00B07028" w:rsidRPr="005B03CE">
        <w:rPr>
          <w:noProof/>
          <w:szCs w:val="24"/>
        </w:rPr>
        <w:t xml:space="preserve">Union </w:t>
      </w:r>
      <w:r w:rsidR="00DB116F" w:rsidRPr="005B03CE">
        <w:rPr>
          <w:noProof/>
          <w:szCs w:val="24"/>
        </w:rPr>
        <w:t>institutions, bodies and agencies</w:t>
      </w:r>
      <w:r w:rsidR="004769A6" w:rsidRPr="005B03CE">
        <w:rPr>
          <w:noProof/>
          <w:szCs w:val="24"/>
        </w:rPr>
        <w:t xml:space="preserve"> to facilitate detection of similar cyber threats or incidents without the consent of the affected constituent. CERT-EU may only exchange incident-specific information which reveals the identity of the target of the cybersecurity incident with the consent of the affected constituent.</w:t>
      </w:r>
    </w:p>
    <w:p w:rsidR="004769A6" w:rsidRPr="005B03CE" w:rsidRDefault="004769A6" w:rsidP="004769A6">
      <w:pPr>
        <w:rPr>
          <w:noProof/>
          <w:szCs w:val="24"/>
        </w:rPr>
      </w:pPr>
      <w:r w:rsidRPr="005B03CE">
        <w:rPr>
          <w:noProof/>
          <w:szCs w:val="24"/>
        </w:rPr>
        <w:t xml:space="preserve">Notably, all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shall notify CERT-EU of significant cyber threats, significant vulnerabilities and significant incidents without undue delay and in any event no later than 24 hours after becoming aware of them.</w:t>
      </w:r>
      <w:r w:rsidR="004D061E" w:rsidRPr="005B03CE">
        <w:rPr>
          <w:noProof/>
          <w:szCs w:val="24"/>
        </w:rPr>
        <w:t xml:space="preserve"> (Art</w:t>
      </w:r>
      <w:r w:rsidR="006D61FF" w:rsidRPr="005B03CE">
        <w:rPr>
          <w:noProof/>
          <w:szCs w:val="24"/>
        </w:rPr>
        <w:t>icles</w:t>
      </w:r>
      <w:r w:rsidR="004D061E" w:rsidRPr="005B03CE">
        <w:rPr>
          <w:noProof/>
          <w:szCs w:val="24"/>
        </w:rPr>
        <w:t xml:space="preserve"> 18-22)</w:t>
      </w:r>
    </w:p>
    <w:p w:rsidR="007D1755" w:rsidRPr="005B03CE" w:rsidRDefault="007D1755" w:rsidP="007D1755">
      <w:pPr>
        <w:pStyle w:val="Text1"/>
        <w:rPr>
          <w:noProof/>
          <w:szCs w:val="24"/>
        </w:rPr>
        <w:sectPr w:rsidR="007D1755" w:rsidRPr="005B03CE" w:rsidSect="00427BA8">
          <w:footerReference w:type="default" r:id="rId16"/>
          <w:footerReference w:type="first" r:id="rId17"/>
          <w:pgSz w:w="11907" w:h="16839"/>
          <w:pgMar w:top="1134" w:right="1417" w:bottom="1134" w:left="1417" w:header="709" w:footer="709" w:gutter="0"/>
          <w:cols w:space="708"/>
          <w:docGrid w:linePitch="360"/>
        </w:sectPr>
      </w:pPr>
    </w:p>
    <w:p w:rsidR="00404367" w:rsidRDefault="00404367" w:rsidP="00404367">
      <w:pPr>
        <w:pStyle w:val="Rfrenceinterinstitutionnelle"/>
        <w:rPr>
          <w:noProof/>
        </w:rPr>
      </w:pPr>
      <w:r w:rsidRPr="00404367">
        <w:t>2022/0085 (COD)</w:t>
      </w:r>
    </w:p>
    <w:p w:rsidR="002E56D2" w:rsidRPr="005B03CE" w:rsidRDefault="00EB388C" w:rsidP="00EB388C">
      <w:pPr>
        <w:pStyle w:val="Statut"/>
        <w:rPr>
          <w:noProof/>
        </w:rPr>
      </w:pPr>
      <w:r w:rsidRPr="00EB388C">
        <w:rPr>
          <w:noProof/>
        </w:rPr>
        <w:t>Proposal for a</w:t>
      </w:r>
    </w:p>
    <w:p w:rsidR="002E56D2" w:rsidRPr="005B03CE" w:rsidRDefault="00EB388C" w:rsidP="00EB388C">
      <w:pPr>
        <w:pStyle w:val="Typedudocument"/>
        <w:rPr>
          <w:noProof/>
        </w:rPr>
      </w:pPr>
      <w:r w:rsidRPr="00EB388C">
        <w:rPr>
          <w:noProof/>
        </w:rPr>
        <w:t>REGULATION OF THE EUROPEAN PARLIAMENT AND OF THE COUNCIL</w:t>
      </w:r>
    </w:p>
    <w:p w:rsidR="002E56D2" w:rsidRPr="005B03CE" w:rsidRDefault="00EB388C" w:rsidP="00EB388C">
      <w:pPr>
        <w:pStyle w:val="Titreobjet"/>
        <w:rPr>
          <w:noProof/>
        </w:rPr>
      </w:pPr>
      <w:r w:rsidRPr="00EB388C">
        <w:rPr>
          <w:noProof/>
        </w:rPr>
        <w:t>laying down measures for a high common level of cybersecurity at the institutions, bodies, offices and agencies of the Union</w:t>
      </w:r>
    </w:p>
    <w:p w:rsidR="002E56D2" w:rsidRPr="005B03CE" w:rsidRDefault="002E56D2" w:rsidP="00EF462E">
      <w:pPr>
        <w:pStyle w:val="Institutionquiagit"/>
        <w:rPr>
          <w:noProof/>
          <w:szCs w:val="24"/>
        </w:rPr>
      </w:pPr>
      <w:r w:rsidRPr="005B03CE">
        <w:rPr>
          <w:noProof/>
          <w:szCs w:val="24"/>
        </w:rPr>
        <w:t>THE EUROPEAN PARLIAMENT AND THE COUNCIL OF THE EUROPEAN UNION,</w:t>
      </w:r>
    </w:p>
    <w:p w:rsidR="002E56D2" w:rsidRPr="005B03CE" w:rsidRDefault="002E56D2" w:rsidP="00EF462E">
      <w:pPr>
        <w:rPr>
          <w:noProof/>
          <w:szCs w:val="24"/>
        </w:rPr>
      </w:pPr>
      <w:r w:rsidRPr="005B03CE">
        <w:rPr>
          <w:noProof/>
          <w:szCs w:val="24"/>
        </w:rPr>
        <w:t xml:space="preserve">Having regard to the Treaty on the Functioning of the European Union, and in particular Article </w:t>
      </w:r>
      <w:r w:rsidR="006B7E78" w:rsidRPr="005B03CE">
        <w:rPr>
          <w:noProof/>
          <w:szCs w:val="24"/>
        </w:rPr>
        <w:t>298</w:t>
      </w:r>
      <w:r w:rsidRPr="005B03CE">
        <w:rPr>
          <w:noProof/>
          <w:szCs w:val="24"/>
        </w:rPr>
        <w:t xml:space="preserve"> thereof,</w:t>
      </w:r>
    </w:p>
    <w:p w:rsidR="00CD1A1F" w:rsidRPr="005B03CE" w:rsidRDefault="001501C3" w:rsidP="00EF462E">
      <w:pPr>
        <w:rPr>
          <w:noProof/>
          <w:szCs w:val="24"/>
        </w:rPr>
      </w:pPr>
      <w:r w:rsidRPr="005B03CE">
        <w:rPr>
          <w:noProof/>
          <w:szCs w:val="24"/>
        </w:rPr>
        <w:t xml:space="preserve">Having regard to the Treaty </w:t>
      </w:r>
      <w:r w:rsidR="00A10692" w:rsidRPr="005B03CE">
        <w:rPr>
          <w:noProof/>
          <w:szCs w:val="24"/>
        </w:rPr>
        <w:t>e</w:t>
      </w:r>
      <w:r w:rsidR="00CD1A1F" w:rsidRPr="005B03CE">
        <w:rPr>
          <w:noProof/>
          <w:szCs w:val="24"/>
        </w:rPr>
        <w:t xml:space="preserve">stablishing the European Atomic Energy Community, </w:t>
      </w:r>
      <w:r w:rsidR="000C691A" w:rsidRPr="005B03CE">
        <w:rPr>
          <w:noProof/>
          <w:szCs w:val="24"/>
        </w:rPr>
        <w:t>and in particular Article 106a thereof,</w:t>
      </w:r>
    </w:p>
    <w:p w:rsidR="002E56D2" w:rsidRPr="005B03CE" w:rsidRDefault="002E56D2" w:rsidP="00EF462E">
      <w:pPr>
        <w:rPr>
          <w:noProof/>
          <w:szCs w:val="24"/>
        </w:rPr>
      </w:pPr>
      <w:r w:rsidRPr="005B03CE">
        <w:rPr>
          <w:noProof/>
          <w:szCs w:val="24"/>
        </w:rPr>
        <w:t>Having regard to the proposal from the European Commission,</w:t>
      </w:r>
    </w:p>
    <w:p w:rsidR="00842CF0" w:rsidRPr="005B03CE" w:rsidRDefault="00842CF0" w:rsidP="00EF462E">
      <w:pPr>
        <w:rPr>
          <w:noProof/>
          <w:szCs w:val="24"/>
        </w:rPr>
      </w:pPr>
      <w:r w:rsidRPr="005B03CE">
        <w:rPr>
          <w:noProof/>
          <w:szCs w:val="24"/>
        </w:rPr>
        <w:t>After transmission of the draft legislative act to the national parliaments,</w:t>
      </w:r>
    </w:p>
    <w:p w:rsidR="002E56D2" w:rsidRPr="005B03CE" w:rsidRDefault="002E56D2" w:rsidP="00EF462E">
      <w:pPr>
        <w:rPr>
          <w:noProof/>
          <w:szCs w:val="24"/>
        </w:rPr>
      </w:pPr>
      <w:r w:rsidRPr="005B03CE">
        <w:rPr>
          <w:noProof/>
          <w:szCs w:val="24"/>
        </w:rPr>
        <w:t>Acting in accordance with the ordinary legislative procedure,</w:t>
      </w:r>
    </w:p>
    <w:p w:rsidR="002E56D2" w:rsidRPr="005B03CE" w:rsidRDefault="002E56D2" w:rsidP="00EF462E">
      <w:pPr>
        <w:rPr>
          <w:noProof/>
          <w:szCs w:val="24"/>
        </w:rPr>
      </w:pPr>
      <w:r w:rsidRPr="005B03CE">
        <w:rPr>
          <w:noProof/>
          <w:szCs w:val="24"/>
        </w:rPr>
        <w:t>Whereas:</w:t>
      </w:r>
    </w:p>
    <w:p w:rsidR="006B7E78" w:rsidRPr="005B03CE" w:rsidRDefault="004A06D6" w:rsidP="004A06D6">
      <w:pPr>
        <w:pStyle w:val="ManualConsidrant"/>
        <w:rPr>
          <w:noProof/>
        </w:rPr>
      </w:pPr>
      <w:r w:rsidRPr="004A06D6">
        <w:t>(1)</w:t>
      </w:r>
      <w:r w:rsidRPr="004A06D6">
        <w:tab/>
      </w:r>
      <w:r w:rsidR="006B7E78" w:rsidRPr="005B03CE">
        <w:rPr>
          <w:noProof/>
        </w:rPr>
        <w:t xml:space="preserve">In the digital age, information and communication technology </w:t>
      </w:r>
      <w:r w:rsidR="00540D4C" w:rsidRPr="005B03CE">
        <w:rPr>
          <w:rStyle w:val="normaltextrun"/>
          <w:noProof/>
          <w:szCs w:val="24"/>
          <w:bdr w:val="none" w:sz="0" w:space="0" w:color="auto" w:frame="1"/>
        </w:rPr>
        <w:t>is a cornerstone in</w:t>
      </w:r>
      <w:r w:rsidR="006B7E78" w:rsidRPr="005B03CE">
        <w:rPr>
          <w:noProof/>
        </w:rPr>
        <w:t xml:space="preserve"> an</w:t>
      </w:r>
      <w:r w:rsidR="002F2FCD" w:rsidRPr="005B03CE">
        <w:rPr>
          <w:noProof/>
        </w:rPr>
        <w:t xml:space="preserve"> </w:t>
      </w:r>
      <w:r w:rsidR="006B7E78" w:rsidRPr="005B03CE">
        <w:rPr>
          <w:noProof/>
        </w:rPr>
        <w:t xml:space="preserve">open, efficient and independent </w:t>
      </w:r>
      <w:r w:rsidR="00EE38E7" w:rsidRPr="005B03CE">
        <w:rPr>
          <w:noProof/>
        </w:rPr>
        <w:t xml:space="preserve">Union </w:t>
      </w:r>
      <w:r w:rsidR="006B7E78" w:rsidRPr="005B03CE">
        <w:rPr>
          <w:noProof/>
        </w:rPr>
        <w:t xml:space="preserve">administration. </w:t>
      </w:r>
      <w:r w:rsidR="00D40946" w:rsidRPr="005B03CE">
        <w:rPr>
          <w:noProof/>
        </w:rPr>
        <w:t xml:space="preserve">Evolving technology and increased complexity and interconnectedness of digital systems amplify cybersecurity risks making the </w:t>
      </w:r>
      <w:r w:rsidR="00EE38E7" w:rsidRPr="005B03CE">
        <w:rPr>
          <w:noProof/>
        </w:rPr>
        <w:t xml:space="preserve">Union </w:t>
      </w:r>
      <w:r w:rsidR="00D40946" w:rsidRPr="005B03CE">
        <w:rPr>
          <w:noProof/>
        </w:rPr>
        <w:t>administration more vulnerable to cyber threats and incidents, which ultimately poses threats to the administration’s business continuity and capacity to secure its data.</w:t>
      </w:r>
      <w:r w:rsidR="006B7E78" w:rsidRPr="005B03CE">
        <w:rPr>
          <w:noProof/>
        </w:rPr>
        <w:t xml:space="preserve"> While increased use of cloud services, ubiquitous use of IT, high digitalisation, remote work and evolving technology and connectivity are nowadays core features of all activit</w:t>
      </w:r>
      <w:r w:rsidR="006B044A" w:rsidRPr="005B03CE">
        <w:rPr>
          <w:noProof/>
        </w:rPr>
        <w:t xml:space="preserve">ies of the Union administration </w:t>
      </w:r>
      <w:r w:rsidR="006B7E78" w:rsidRPr="005B03CE">
        <w:rPr>
          <w:noProof/>
        </w:rPr>
        <w:t>entities, digital resilience is not yet sufficiently built i</w:t>
      </w:r>
      <w:r w:rsidR="00207449" w:rsidRPr="005B03CE">
        <w:rPr>
          <w:noProof/>
        </w:rPr>
        <w:t>n.</w:t>
      </w:r>
    </w:p>
    <w:p w:rsidR="00A10692" w:rsidRPr="005B03CE" w:rsidRDefault="004A06D6" w:rsidP="004A06D6">
      <w:pPr>
        <w:pStyle w:val="ManualConsidrant"/>
        <w:rPr>
          <w:noProof/>
        </w:rPr>
      </w:pPr>
      <w:r w:rsidRPr="004A06D6">
        <w:t>(2)</w:t>
      </w:r>
      <w:r w:rsidRPr="004A06D6">
        <w:tab/>
      </w:r>
      <w:r w:rsidR="00A10692" w:rsidRPr="005B03CE">
        <w:rPr>
          <w:noProof/>
        </w:rPr>
        <w:t xml:space="preserve">The cyber threat landscape faced by Union institutions, bodies and agencies is in constant evolution. </w:t>
      </w:r>
      <w:r w:rsidR="00C25B84" w:rsidRPr="005B03CE">
        <w:rPr>
          <w:noProof/>
        </w:rPr>
        <w:t>T</w:t>
      </w:r>
      <w:r w:rsidR="00A10692" w:rsidRPr="005B03CE">
        <w:rPr>
          <w:noProof/>
        </w:rPr>
        <w:t>he tactics, techniques and procedures employed by threat actors are constantly evolving</w:t>
      </w:r>
      <w:r w:rsidR="00C25B84" w:rsidRPr="005B03CE">
        <w:rPr>
          <w:noProof/>
        </w:rPr>
        <w:t>, while the prominent motives for such attacks change little, from stealing valuable undisclosed information to making money, manipulating public opinion or undermining digital infrastructure</w:t>
      </w:r>
      <w:r w:rsidR="00A10692" w:rsidRPr="005B03CE">
        <w:rPr>
          <w:noProof/>
        </w:rPr>
        <w:t>. The pace at which they conduct their cyberattacks keeps increasing, while their campaigns are increasingly sophisticated and automated, targeting exposed attack surfaces that keep expanding and quickly exploiting vulnerabilities.</w:t>
      </w:r>
    </w:p>
    <w:p w:rsidR="00207449" w:rsidRPr="005B03CE" w:rsidRDefault="004A06D6" w:rsidP="004A06D6">
      <w:pPr>
        <w:pStyle w:val="ManualConsidrant"/>
        <w:rPr>
          <w:noProof/>
        </w:rPr>
      </w:pPr>
      <w:r w:rsidRPr="004A06D6">
        <w:t>(3)</w:t>
      </w:r>
      <w:r w:rsidRPr="004A06D6">
        <w:tab/>
      </w:r>
      <w:r w:rsidR="00E65267" w:rsidRPr="005B03CE">
        <w:rPr>
          <w:noProof/>
        </w:rPr>
        <w:t xml:space="preserve">The </w:t>
      </w:r>
      <w:r w:rsidR="00B07028" w:rsidRPr="005B03CE">
        <w:rPr>
          <w:noProof/>
        </w:rPr>
        <w:t xml:space="preserve">Union </w:t>
      </w:r>
      <w:r w:rsidR="00DB116F" w:rsidRPr="005B03CE">
        <w:rPr>
          <w:noProof/>
        </w:rPr>
        <w:t>institutions, bodies and agencies</w:t>
      </w:r>
      <w:r w:rsidR="007E18EC" w:rsidRPr="005B03CE">
        <w:rPr>
          <w:noProof/>
        </w:rPr>
        <w:t>’</w:t>
      </w:r>
      <w:r w:rsidR="00E65267" w:rsidRPr="005B03CE">
        <w:rPr>
          <w:noProof/>
        </w:rPr>
        <w:t xml:space="preserve"> IT environments have interdependencies, integrated data flows and</w:t>
      </w:r>
      <w:r w:rsidR="00AB59DF" w:rsidRPr="005B03CE">
        <w:rPr>
          <w:noProof/>
        </w:rPr>
        <w:t xml:space="preserve"> their</w:t>
      </w:r>
      <w:r w:rsidR="00E65267" w:rsidRPr="005B03CE">
        <w:rPr>
          <w:noProof/>
        </w:rPr>
        <w:t xml:space="preserve"> users </w:t>
      </w:r>
      <w:r w:rsidR="00AB59DF" w:rsidRPr="005B03CE">
        <w:rPr>
          <w:noProof/>
        </w:rPr>
        <w:t>collabora</w:t>
      </w:r>
      <w:r w:rsidR="00E65267" w:rsidRPr="005B03CE">
        <w:rPr>
          <w:noProof/>
        </w:rPr>
        <w:t>te closely. This interconnection mea</w:t>
      </w:r>
      <w:r w:rsidR="00AB59DF" w:rsidRPr="005B03CE">
        <w:rPr>
          <w:noProof/>
        </w:rPr>
        <w:t>ns that any disruption, even when</w:t>
      </w:r>
      <w:r w:rsidR="00E65267" w:rsidRPr="005B03CE">
        <w:rPr>
          <w:noProof/>
        </w:rPr>
        <w:t xml:space="preserve"> initially confined to one</w:t>
      </w:r>
      <w:r w:rsidR="007467AE" w:rsidRPr="005B03CE">
        <w:rPr>
          <w:noProof/>
        </w:rPr>
        <w:t xml:space="preserve"> Union institution, body or agency</w:t>
      </w:r>
      <w:r w:rsidR="00E65267" w:rsidRPr="005B03CE">
        <w:rPr>
          <w:noProof/>
        </w:rPr>
        <w:t xml:space="preserve">, can have cascading effects more broadly, potentially resulting in far-reaching and long-lasting negative impacts on the </w:t>
      </w:r>
      <w:r w:rsidR="007467AE" w:rsidRPr="005B03CE">
        <w:rPr>
          <w:noProof/>
        </w:rPr>
        <w:t xml:space="preserve">others. </w:t>
      </w:r>
      <w:r w:rsidR="002F2FCD" w:rsidRPr="005B03CE">
        <w:rPr>
          <w:noProof/>
        </w:rPr>
        <w:t>In addition</w:t>
      </w:r>
      <w:r w:rsidR="00D465D6" w:rsidRPr="005B03CE">
        <w:rPr>
          <w:noProof/>
        </w:rPr>
        <w:t>, certain institutions, bodies and agencies</w:t>
      </w:r>
      <w:r w:rsidR="002F2FCD" w:rsidRPr="005B03CE">
        <w:rPr>
          <w:noProof/>
        </w:rPr>
        <w:t xml:space="preserve">’ IT environments are </w:t>
      </w:r>
      <w:r w:rsidR="00D465D6" w:rsidRPr="005B03CE">
        <w:rPr>
          <w:noProof/>
        </w:rPr>
        <w:t xml:space="preserve">connected with Member States’ IT </w:t>
      </w:r>
      <w:r w:rsidR="002F2FCD" w:rsidRPr="005B03CE">
        <w:rPr>
          <w:noProof/>
        </w:rPr>
        <w:t>environments</w:t>
      </w:r>
      <w:r w:rsidR="00F90D74" w:rsidRPr="005B03CE">
        <w:rPr>
          <w:noProof/>
        </w:rPr>
        <w:t>,</w:t>
      </w:r>
      <w:r w:rsidR="002F2FCD" w:rsidRPr="005B03CE">
        <w:rPr>
          <w:noProof/>
        </w:rPr>
        <w:t xml:space="preserve"> causing an incident in one </w:t>
      </w:r>
      <w:r w:rsidR="00A10692" w:rsidRPr="005B03CE">
        <w:rPr>
          <w:noProof/>
        </w:rPr>
        <w:t xml:space="preserve">Union </w:t>
      </w:r>
      <w:r w:rsidR="002F2FCD" w:rsidRPr="005B03CE">
        <w:rPr>
          <w:noProof/>
        </w:rPr>
        <w:t>entity to</w:t>
      </w:r>
      <w:r w:rsidR="00D465D6" w:rsidRPr="005B03CE">
        <w:rPr>
          <w:noProof/>
        </w:rPr>
        <w:t xml:space="preserve"> pose a risk to the cybersecurity of Membe</w:t>
      </w:r>
      <w:r w:rsidR="002F2FCD" w:rsidRPr="005B03CE">
        <w:rPr>
          <w:noProof/>
        </w:rPr>
        <w:t>r States’ IT environments</w:t>
      </w:r>
      <w:r w:rsidR="00A10692" w:rsidRPr="005B03CE">
        <w:rPr>
          <w:noProof/>
        </w:rPr>
        <w:t xml:space="preserve"> and vice versa</w:t>
      </w:r>
      <w:r w:rsidR="007F373E" w:rsidRPr="005B03CE">
        <w:rPr>
          <w:noProof/>
        </w:rPr>
        <w:t>.</w:t>
      </w:r>
    </w:p>
    <w:p w:rsidR="00E65267" w:rsidRPr="005B03CE" w:rsidRDefault="004A06D6" w:rsidP="004A06D6">
      <w:pPr>
        <w:pStyle w:val="ManualConsidrant"/>
        <w:rPr>
          <w:noProof/>
        </w:rPr>
      </w:pPr>
      <w:r w:rsidRPr="004A06D6">
        <w:t>(4)</w:t>
      </w:r>
      <w:r w:rsidRPr="004A06D6">
        <w:tab/>
      </w:r>
      <w:r w:rsidR="00E65267" w:rsidRPr="005B03CE">
        <w:rPr>
          <w:noProof/>
        </w:rPr>
        <w:t xml:space="preserve">The </w:t>
      </w:r>
      <w:r w:rsidR="00B07028" w:rsidRPr="005B03CE">
        <w:rPr>
          <w:noProof/>
        </w:rPr>
        <w:t xml:space="preserve">Union </w:t>
      </w:r>
      <w:r w:rsidR="00DB116F" w:rsidRPr="005B03CE">
        <w:rPr>
          <w:noProof/>
        </w:rPr>
        <w:t>institutions, bodies and agencies</w:t>
      </w:r>
      <w:r w:rsidR="00E65267" w:rsidRPr="005B03CE">
        <w:rPr>
          <w:noProof/>
        </w:rPr>
        <w:t xml:space="preserve"> are attractive targets who face highly skilled and well-resourced threat ac</w:t>
      </w:r>
      <w:r w:rsidR="00AF48B5" w:rsidRPr="005B03CE">
        <w:rPr>
          <w:noProof/>
        </w:rPr>
        <w:t>tors as well as other</w:t>
      </w:r>
      <w:r w:rsidR="00E65267" w:rsidRPr="005B03CE">
        <w:rPr>
          <w:noProof/>
        </w:rPr>
        <w:t xml:space="preserve"> threats. At the same time, the level </w:t>
      </w:r>
      <w:r w:rsidR="007467AE" w:rsidRPr="005B03CE">
        <w:rPr>
          <w:noProof/>
        </w:rPr>
        <w:t xml:space="preserve">and maturity </w:t>
      </w:r>
      <w:r w:rsidR="00E65267" w:rsidRPr="005B03CE">
        <w:rPr>
          <w:noProof/>
        </w:rPr>
        <w:t>of cyber resilience and the ability to detect and respond to malicious cyber activities varies signifi</w:t>
      </w:r>
      <w:r w:rsidR="00F266C4" w:rsidRPr="005B03CE">
        <w:rPr>
          <w:noProof/>
        </w:rPr>
        <w:t>cantly across tho</w:t>
      </w:r>
      <w:r w:rsidR="00E65267" w:rsidRPr="005B03CE">
        <w:rPr>
          <w:noProof/>
        </w:rPr>
        <w:t xml:space="preserve">se entities. It is thus necessary for the functioning of the European administration that the institutions, bodies and agencies of the Union achieve a high common level of cybersecurity through </w:t>
      </w:r>
      <w:r w:rsidR="00456219" w:rsidRPr="005B03CE">
        <w:rPr>
          <w:noProof/>
        </w:rPr>
        <w:t xml:space="preserve">a </w:t>
      </w:r>
      <w:r w:rsidR="00F266C4" w:rsidRPr="005B03CE">
        <w:rPr>
          <w:noProof/>
        </w:rPr>
        <w:t>cybersecurity baseline</w:t>
      </w:r>
      <w:r w:rsidR="00456219" w:rsidRPr="005B03CE">
        <w:rPr>
          <w:noProof/>
        </w:rPr>
        <w:t xml:space="preserve"> (</w:t>
      </w:r>
      <w:r w:rsidR="00456219" w:rsidRPr="005B03CE">
        <w:rPr>
          <w:noProof/>
          <w:szCs w:val="24"/>
        </w:rPr>
        <w:t>a set of minimum cybersecurity rules with which network and information systems and their operators and users have to be compliant to minimise cybersecurity risks</w:t>
      </w:r>
      <w:r w:rsidR="00456219" w:rsidRPr="005B03CE">
        <w:rPr>
          <w:noProof/>
        </w:rPr>
        <w:t>)</w:t>
      </w:r>
      <w:r w:rsidR="00F266C4" w:rsidRPr="005B03CE">
        <w:rPr>
          <w:noProof/>
        </w:rPr>
        <w:t xml:space="preserve">, </w:t>
      </w:r>
      <w:r w:rsidR="00E65267" w:rsidRPr="005B03CE">
        <w:rPr>
          <w:noProof/>
        </w:rPr>
        <w:t>information exchange and collaboration.</w:t>
      </w:r>
    </w:p>
    <w:p w:rsidR="00E65267" w:rsidRPr="005B03CE" w:rsidRDefault="004A06D6" w:rsidP="004A06D6">
      <w:pPr>
        <w:pStyle w:val="ManualConsidrant"/>
        <w:rPr>
          <w:noProof/>
        </w:rPr>
      </w:pPr>
      <w:r w:rsidRPr="004A06D6">
        <w:t>(5)</w:t>
      </w:r>
      <w:r w:rsidRPr="004A06D6">
        <w:tab/>
      </w:r>
      <w:r w:rsidR="00E65267" w:rsidRPr="005B03CE">
        <w:rPr>
          <w:noProof/>
        </w:rPr>
        <w:t xml:space="preserve">The </w:t>
      </w:r>
      <w:r w:rsidR="00460574" w:rsidRPr="005B03CE">
        <w:rPr>
          <w:noProof/>
        </w:rPr>
        <w:t xml:space="preserve">Directive </w:t>
      </w:r>
      <w:r w:rsidR="00E65267" w:rsidRPr="005B03CE">
        <w:rPr>
          <w:noProof/>
        </w:rPr>
        <w:t>[</w:t>
      </w:r>
      <w:r w:rsidR="00CC764A" w:rsidRPr="005B03CE">
        <w:rPr>
          <w:noProof/>
        </w:rPr>
        <w:t xml:space="preserve">proposal </w:t>
      </w:r>
      <w:r w:rsidR="00E65267" w:rsidRPr="005B03CE">
        <w:rPr>
          <w:noProof/>
        </w:rPr>
        <w:t xml:space="preserve">NIS 2] on measures for a high common level of cybersecurity across the Union aims to further improve the </w:t>
      </w:r>
      <w:r w:rsidR="003B6B72" w:rsidRPr="005B03CE">
        <w:rPr>
          <w:noProof/>
        </w:rPr>
        <w:t xml:space="preserve">cybersecurity </w:t>
      </w:r>
      <w:r w:rsidR="00E65267" w:rsidRPr="005B03CE">
        <w:rPr>
          <w:noProof/>
        </w:rPr>
        <w:t xml:space="preserve">resilience and incident response capacities of public and private entities, </w:t>
      </w:r>
      <w:r w:rsidR="003B6B72" w:rsidRPr="005B03CE">
        <w:rPr>
          <w:noProof/>
        </w:rPr>
        <w:t xml:space="preserve">national </w:t>
      </w:r>
      <w:r w:rsidR="00E65267" w:rsidRPr="005B03CE">
        <w:rPr>
          <w:noProof/>
        </w:rPr>
        <w:t>competent authorities</w:t>
      </w:r>
      <w:r w:rsidR="00E029C2" w:rsidRPr="005B03CE">
        <w:rPr>
          <w:noProof/>
        </w:rPr>
        <w:t xml:space="preserve"> and bodies as well as </w:t>
      </w:r>
      <w:r w:rsidR="00E65267" w:rsidRPr="005B03CE">
        <w:rPr>
          <w:noProof/>
        </w:rPr>
        <w:t>the Union as a whole</w:t>
      </w:r>
      <w:r w:rsidR="00D465D6" w:rsidRPr="005B03CE">
        <w:rPr>
          <w:noProof/>
        </w:rPr>
        <w:t xml:space="preserve">. </w:t>
      </w:r>
      <w:r w:rsidR="00E65267" w:rsidRPr="005B03CE">
        <w:rPr>
          <w:noProof/>
        </w:rPr>
        <w:t xml:space="preserve">It is therefore necessary that </w:t>
      </w:r>
      <w:r w:rsidR="00B07028" w:rsidRPr="005B03CE">
        <w:rPr>
          <w:noProof/>
        </w:rPr>
        <w:t xml:space="preserve">Union </w:t>
      </w:r>
      <w:r w:rsidR="00DB116F" w:rsidRPr="005B03CE">
        <w:rPr>
          <w:noProof/>
        </w:rPr>
        <w:t>institutions, bodies and agencies</w:t>
      </w:r>
      <w:r w:rsidR="001363CB" w:rsidRPr="005B03CE">
        <w:rPr>
          <w:noProof/>
        </w:rPr>
        <w:t xml:space="preserve"> follow suit by ensuring</w:t>
      </w:r>
      <w:r w:rsidR="00E65267" w:rsidRPr="005B03CE">
        <w:rPr>
          <w:noProof/>
        </w:rPr>
        <w:t xml:space="preserve"> rules that are consistent with the </w:t>
      </w:r>
      <w:r w:rsidR="00460574" w:rsidRPr="005B03CE">
        <w:rPr>
          <w:noProof/>
        </w:rPr>
        <w:t xml:space="preserve">Directive </w:t>
      </w:r>
      <w:r w:rsidR="00E65267" w:rsidRPr="005B03CE">
        <w:rPr>
          <w:noProof/>
        </w:rPr>
        <w:t>[</w:t>
      </w:r>
      <w:r w:rsidR="00CC764A" w:rsidRPr="005B03CE">
        <w:rPr>
          <w:noProof/>
        </w:rPr>
        <w:t>proposal NIS 2</w:t>
      </w:r>
      <w:r w:rsidR="00E65267" w:rsidRPr="005B03CE">
        <w:rPr>
          <w:noProof/>
        </w:rPr>
        <w:t>] and mirror its level of ambition.</w:t>
      </w:r>
    </w:p>
    <w:p w:rsidR="00C25B84" w:rsidRPr="005B03CE" w:rsidRDefault="004A06D6" w:rsidP="004A06D6">
      <w:pPr>
        <w:pStyle w:val="ManualConsidrant"/>
        <w:rPr>
          <w:noProof/>
        </w:rPr>
      </w:pPr>
      <w:r w:rsidRPr="004A06D6">
        <w:t>(6)</w:t>
      </w:r>
      <w:r w:rsidRPr="004A06D6">
        <w:tab/>
      </w:r>
      <w:r w:rsidR="00C25B84" w:rsidRPr="005B03CE">
        <w:rPr>
          <w:noProof/>
        </w:rPr>
        <w:t>To reach a high common level of cybersecurity, it is necessary that each Union institution, body and agency establishes</w:t>
      </w:r>
      <w:r w:rsidR="00C25B84" w:rsidRPr="005B03CE" w:rsidDel="00C25B84">
        <w:rPr>
          <w:noProof/>
        </w:rPr>
        <w:t xml:space="preserve"> </w:t>
      </w:r>
      <w:r w:rsidR="00C25B84" w:rsidRPr="005B03CE">
        <w:rPr>
          <w:noProof/>
        </w:rPr>
        <w:t xml:space="preserve">an internal cybersecurity risk management, governance and control framework that ensures an effective and prudent management of all cybersecurity risks, and takes account of </w:t>
      </w:r>
      <w:r w:rsidR="002501C5" w:rsidRPr="005B03CE">
        <w:rPr>
          <w:noProof/>
        </w:rPr>
        <w:t xml:space="preserve">business continuity </w:t>
      </w:r>
      <w:r w:rsidR="004059F8" w:rsidRPr="005B03CE">
        <w:rPr>
          <w:noProof/>
        </w:rPr>
        <w:t xml:space="preserve">and </w:t>
      </w:r>
      <w:r w:rsidR="007F373E" w:rsidRPr="005B03CE">
        <w:rPr>
          <w:noProof/>
        </w:rPr>
        <w:t>crisis management.</w:t>
      </w:r>
    </w:p>
    <w:p w:rsidR="00D465D6" w:rsidRPr="005B03CE" w:rsidRDefault="004A06D6" w:rsidP="004A06D6">
      <w:pPr>
        <w:pStyle w:val="ManualConsidrant"/>
        <w:rPr>
          <w:noProof/>
        </w:rPr>
      </w:pPr>
      <w:r w:rsidRPr="004A06D6">
        <w:t>(7)</w:t>
      </w:r>
      <w:r w:rsidRPr="004A06D6">
        <w:tab/>
      </w:r>
      <w:r w:rsidR="66A669F5" w:rsidRPr="005B03CE">
        <w:rPr>
          <w:noProof/>
        </w:rPr>
        <w:t>T</w:t>
      </w:r>
      <w:r w:rsidR="00E65267" w:rsidRPr="005B03CE">
        <w:rPr>
          <w:noProof/>
        </w:rPr>
        <w:t xml:space="preserve">he </w:t>
      </w:r>
      <w:r w:rsidR="00AD73D2" w:rsidRPr="005B03CE">
        <w:rPr>
          <w:noProof/>
        </w:rPr>
        <w:t xml:space="preserve">differences between </w:t>
      </w:r>
      <w:r w:rsidR="00B07028" w:rsidRPr="005B03CE">
        <w:rPr>
          <w:noProof/>
        </w:rPr>
        <w:t xml:space="preserve">Union </w:t>
      </w:r>
      <w:r w:rsidR="00DB116F" w:rsidRPr="005B03CE">
        <w:rPr>
          <w:noProof/>
        </w:rPr>
        <w:t>institutions, bodies and agencies</w:t>
      </w:r>
      <w:r w:rsidR="00E65267" w:rsidRPr="005B03CE">
        <w:rPr>
          <w:noProof/>
        </w:rPr>
        <w:t xml:space="preserve"> require flexibility in the implementation since one size will not fit all. </w:t>
      </w:r>
      <w:r w:rsidR="5CD30D56" w:rsidRPr="005B03CE">
        <w:rPr>
          <w:rFonts w:eastAsia="Times New Roman"/>
          <w:noProof/>
          <w:color w:val="000000" w:themeColor="text1"/>
        </w:rPr>
        <w:t xml:space="preserve">The measures for a high common level of cybersecurity should not include any obligations directly interfering with the exercise of the missions of Union </w:t>
      </w:r>
      <w:r w:rsidR="00DB116F" w:rsidRPr="005B03CE">
        <w:rPr>
          <w:rFonts w:eastAsia="Times New Roman"/>
          <w:noProof/>
          <w:color w:val="000000" w:themeColor="text1"/>
        </w:rPr>
        <w:t>institutions, bodies and agencies</w:t>
      </w:r>
      <w:r w:rsidR="5CD30D56" w:rsidRPr="005B03CE">
        <w:rPr>
          <w:rFonts w:eastAsia="Times New Roman"/>
          <w:noProof/>
          <w:color w:val="000000" w:themeColor="text1"/>
        </w:rPr>
        <w:t xml:space="preserve"> or encroaching on their institutional autonomy. Thus, </w:t>
      </w:r>
      <w:r w:rsidR="00C25B84" w:rsidRPr="005B03CE">
        <w:rPr>
          <w:rFonts w:eastAsia="Times New Roman"/>
          <w:noProof/>
          <w:color w:val="000000" w:themeColor="text1"/>
        </w:rPr>
        <w:t xml:space="preserve">those institutions, bodies and agencies </w:t>
      </w:r>
      <w:r w:rsidR="5CD30D56" w:rsidRPr="005B03CE">
        <w:rPr>
          <w:rFonts w:eastAsia="Times New Roman"/>
          <w:noProof/>
          <w:color w:val="000000" w:themeColor="text1"/>
        </w:rPr>
        <w:t>should establish their own frameworks for cybersecurity risk management, governance and control, and adopt their own baseline</w:t>
      </w:r>
      <w:r w:rsidR="00456219" w:rsidRPr="005B03CE">
        <w:rPr>
          <w:rFonts w:eastAsia="Times New Roman"/>
          <w:noProof/>
          <w:color w:val="000000" w:themeColor="text1"/>
        </w:rPr>
        <w:t>s</w:t>
      </w:r>
      <w:r w:rsidR="5CD30D56" w:rsidRPr="005B03CE">
        <w:rPr>
          <w:rFonts w:eastAsia="Times New Roman"/>
          <w:noProof/>
          <w:color w:val="000000" w:themeColor="text1"/>
        </w:rPr>
        <w:t xml:space="preserve"> and cybersecurity plans.</w:t>
      </w:r>
    </w:p>
    <w:p w:rsidR="00E65267" w:rsidRPr="005B03CE" w:rsidRDefault="004A06D6" w:rsidP="004A06D6">
      <w:pPr>
        <w:pStyle w:val="ManualConsidrant"/>
        <w:rPr>
          <w:noProof/>
        </w:rPr>
      </w:pPr>
      <w:r w:rsidRPr="004A06D6">
        <w:t>(8)</w:t>
      </w:r>
      <w:r w:rsidRPr="004A06D6">
        <w:tab/>
      </w:r>
      <w:r w:rsidR="00D465D6" w:rsidRPr="005B03CE">
        <w:rPr>
          <w:noProof/>
        </w:rPr>
        <w:t xml:space="preserve">In order to avoid imposing a disproportionate financial and </w:t>
      </w:r>
      <w:r w:rsidR="002F2FCD" w:rsidRPr="005B03CE">
        <w:rPr>
          <w:noProof/>
        </w:rPr>
        <w:t>administrative burden on </w:t>
      </w:r>
      <w:r w:rsidR="00B07028" w:rsidRPr="005B03CE">
        <w:rPr>
          <w:noProof/>
        </w:rPr>
        <w:t xml:space="preserve">Union </w:t>
      </w:r>
      <w:r w:rsidR="00DB116F" w:rsidRPr="005B03CE">
        <w:rPr>
          <w:noProof/>
        </w:rPr>
        <w:t>institutions, bodies and agencies</w:t>
      </w:r>
      <w:r w:rsidR="00D465D6" w:rsidRPr="005B03CE">
        <w:rPr>
          <w:noProof/>
        </w:rPr>
        <w:t>, the cybersecurity risk management requirements should be proportionate to the risk presented by the network and information system concerned, taking into account the state of the art of such measures</w:t>
      </w:r>
      <w:r w:rsidR="00E64B02" w:rsidRPr="005B03CE">
        <w:rPr>
          <w:noProof/>
        </w:rPr>
        <w:t xml:space="preserve">. </w:t>
      </w:r>
      <w:r w:rsidR="00E64B02" w:rsidRPr="005B03CE">
        <w:rPr>
          <w:rStyle w:val="s1"/>
          <w:noProof/>
          <w:szCs w:val="24"/>
        </w:rPr>
        <w:t xml:space="preserve">Each Union </w:t>
      </w:r>
      <w:r w:rsidR="00962D0F" w:rsidRPr="005B03CE">
        <w:rPr>
          <w:rStyle w:val="s1"/>
          <w:noProof/>
          <w:szCs w:val="24"/>
        </w:rPr>
        <w:t>institution, body and agency</w:t>
      </w:r>
      <w:r w:rsidR="00E64B02" w:rsidRPr="005B03CE">
        <w:rPr>
          <w:rStyle w:val="s1"/>
          <w:noProof/>
          <w:szCs w:val="24"/>
        </w:rPr>
        <w:t xml:space="preserve"> should aim to allocate an adequate percentage of its IT budget to improve its level of cybersecurity; in the longer term a target in the order of 10% should be pursued.</w:t>
      </w:r>
    </w:p>
    <w:p w:rsidR="00B1688D" w:rsidRPr="005B03CE" w:rsidRDefault="004A06D6" w:rsidP="004A06D6">
      <w:pPr>
        <w:pStyle w:val="ManualConsidrant"/>
        <w:rPr>
          <w:noProof/>
        </w:rPr>
      </w:pPr>
      <w:r w:rsidRPr="004A06D6">
        <w:t>(9)</w:t>
      </w:r>
      <w:r w:rsidRPr="004A06D6">
        <w:tab/>
      </w:r>
      <w:r w:rsidR="00B1688D" w:rsidRPr="005B03CE">
        <w:rPr>
          <w:noProof/>
        </w:rPr>
        <w:t xml:space="preserve">A high common level of cybersecurity requires </w:t>
      </w:r>
      <w:r w:rsidR="00734226" w:rsidRPr="005B03CE">
        <w:rPr>
          <w:noProof/>
        </w:rPr>
        <w:t xml:space="preserve">cybersecurity </w:t>
      </w:r>
      <w:r w:rsidR="00C25B84" w:rsidRPr="005B03CE">
        <w:rPr>
          <w:noProof/>
        </w:rPr>
        <w:t xml:space="preserve">to </w:t>
      </w:r>
      <w:r w:rsidR="00BA0021" w:rsidRPr="005B03CE">
        <w:rPr>
          <w:noProof/>
        </w:rPr>
        <w:t>come</w:t>
      </w:r>
      <w:r w:rsidR="00734226" w:rsidRPr="005B03CE">
        <w:rPr>
          <w:noProof/>
        </w:rPr>
        <w:t xml:space="preserve"> under the oversight</w:t>
      </w:r>
      <w:r w:rsidR="00D465D6" w:rsidRPr="005B03CE">
        <w:rPr>
          <w:noProof/>
        </w:rPr>
        <w:t xml:space="preserve"> of th</w:t>
      </w:r>
      <w:r w:rsidR="00B1688D" w:rsidRPr="005B03CE">
        <w:rPr>
          <w:noProof/>
        </w:rPr>
        <w:t xml:space="preserve">e highest level of management of each </w:t>
      </w:r>
      <w:r w:rsidR="00F77853" w:rsidRPr="005B03CE">
        <w:rPr>
          <w:noProof/>
        </w:rPr>
        <w:t xml:space="preserve">Union </w:t>
      </w:r>
      <w:r w:rsidR="00962D0F" w:rsidRPr="005B03CE">
        <w:rPr>
          <w:noProof/>
        </w:rPr>
        <w:t>institution, body and agency</w:t>
      </w:r>
      <w:r w:rsidR="00D465D6" w:rsidRPr="005B03CE">
        <w:rPr>
          <w:noProof/>
        </w:rPr>
        <w:t>, who should</w:t>
      </w:r>
      <w:r w:rsidR="00B1688D" w:rsidRPr="005B03CE">
        <w:rPr>
          <w:noProof/>
        </w:rPr>
        <w:t xml:space="preserve"> a</w:t>
      </w:r>
      <w:r w:rsidR="00734226" w:rsidRPr="005B03CE">
        <w:rPr>
          <w:noProof/>
        </w:rPr>
        <w:t>pprove</w:t>
      </w:r>
      <w:r w:rsidR="00B1688D" w:rsidRPr="005B03CE">
        <w:rPr>
          <w:noProof/>
        </w:rPr>
        <w:t xml:space="preserve"> a cybersecurity baseline that </w:t>
      </w:r>
      <w:r w:rsidR="00A172D3" w:rsidRPr="005B03CE">
        <w:rPr>
          <w:noProof/>
        </w:rPr>
        <w:t xml:space="preserve">should </w:t>
      </w:r>
      <w:r w:rsidR="00B1688D" w:rsidRPr="005B03CE">
        <w:rPr>
          <w:noProof/>
        </w:rPr>
        <w:t xml:space="preserve">address the risks identified under the framework </w:t>
      </w:r>
      <w:r w:rsidR="00A172D3" w:rsidRPr="005B03CE">
        <w:rPr>
          <w:noProof/>
        </w:rPr>
        <w:t>to be established by each institution, body and agency</w:t>
      </w:r>
      <w:r w:rsidR="008960C8" w:rsidRPr="005B03CE">
        <w:rPr>
          <w:noProof/>
        </w:rPr>
        <w:t>.</w:t>
      </w:r>
      <w:r w:rsidR="00CE0497" w:rsidRPr="005B03CE">
        <w:rPr>
          <w:noProof/>
        </w:rPr>
        <w:t xml:space="preserve"> Addressing the cybersecurity culture</w:t>
      </w:r>
      <w:r w:rsidR="00A172D3" w:rsidRPr="005B03CE">
        <w:rPr>
          <w:noProof/>
        </w:rPr>
        <w:t xml:space="preserve">, i.e. the daily practice of cybersecurity, </w:t>
      </w:r>
      <w:r w:rsidR="00CE0497" w:rsidRPr="005B03CE">
        <w:rPr>
          <w:noProof/>
        </w:rPr>
        <w:t xml:space="preserve">is an integral part of a cybersecurity baseline in all </w:t>
      </w:r>
      <w:r w:rsidR="00B07028" w:rsidRPr="005B03CE">
        <w:rPr>
          <w:noProof/>
        </w:rPr>
        <w:t xml:space="preserve">Union </w:t>
      </w:r>
      <w:r w:rsidR="00DB116F" w:rsidRPr="005B03CE">
        <w:rPr>
          <w:noProof/>
        </w:rPr>
        <w:t>institutions, bodies and agencies</w:t>
      </w:r>
      <w:r w:rsidR="00CE0497" w:rsidRPr="005B03CE">
        <w:rPr>
          <w:noProof/>
        </w:rPr>
        <w:t>.</w:t>
      </w:r>
    </w:p>
    <w:p w:rsidR="001A57FD" w:rsidRPr="005B03CE" w:rsidRDefault="004A06D6" w:rsidP="004A06D6">
      <w:pPr>
        <w:pStyle w:val="ManualConsidrant"/>
        <w:rPr>
          <w:noProof/>
        </w:rPr>
      </w:pPr>
      <w:r w:rsidRPr="004A06D6">
        <w:t>(10)</w:t>
      </w:r>
      <w:r w:rsidRPr="004A06D6">
        <w:tab/>
      </w:r>
      <w:r w:rsidR="001A57FD" w:rsidRPr="005B03CE">
        <w:rPr>
          <w:noProof/>
        </w:rPr>
        <w:t>Union institutions, bodies and agencies should assess risks related to relationships with suppliers and service providers, including providers of data storage and processing services or managed security services, and take appropriate measures to address them. These measures should form part of the cybersecurity baseline and be further specified in guidance documents or recommendations issued by CERT-EU. When defining measures and guidelines, due account should be taken of relevant EU legislation and policies, including risk assessments and recommendations issued by the NIS Cooperation Group, such as the EU Coordinated risk assessment and EU Toolbox on 5G cybersecurity. In addition, certification of relevant ICT products, services and processes could be required, under specific EU cybersecurity certification schemes adopted pursuant to Article 49 of Regulation EU 2019/881.</w:t>
      </w:r>
    </w:p>
    <w:p w:rsidR="00BB2DD1" w:rsidRPr="005B03CE" w:rsidRDefault="004A06D6" w:rsidP="004A06D6">
      <w:pPr>
        <w:pStyle w:val="ManualConsidrant"/>
        <w:rPr>
          <w:noProof/>
        </w:rPr>
      </w:pPr>
      <w:r w:rsidRPr="004A06D6">
        <w:t>(11)</w:t>
      </w:r>
      <w:r w:rsidRPr="004A06D6">
        <w:tab/>
      </w:r>
      <w:r w:rsidR="00896832" w:rsidRPr="005B03CE">
        <w:rPr>
          <w:noProof/>
        </w:rPr>
        <w:t xml:space="preserve">In May 2011, </w:t>
      </w:r>
      <w:r w:rsidR="00BB2DD1" w:rsidRPr="005B03CE">
        <w:rPr>
          <w:noProof/>
        </w:rPr>
        <w:t>the Secretaries-General of the Union institutions and bodies decided to establish a pre-configuration team for a computer emergency response team for the Union’s institutions, bodies and agencies (CERT-EU) supervised by an inter-institutional Steering Board. In July 2012, the Secretaries-General confirmed the practical arrangements and agreed to maintain CERT-EU as a permanent entity to continue to help improve the overall level of information techno</w:t>
      </w:r>
      <w:r w:rsidR="00C012D8" w:rsidRPr="005B03CE">
        <w:rPr>
          <w:noProof/>
        </w:rPr>
        <w:t>logy security of the Union’</w:t>
      </w:r>
      <w:r w:rsidR="00BB2DD1" w:rsidRPr="005B03CE">
        <w:rPr>
          <w:noProof/>
        </w:rPr>
        <w:t>s institutions, bodies and agencies as an example of visible inter-institutiona</w:t>
      </w:r>
      <w:r w:rsidR="00C012D8" w:rsidRPr="005B03CE">
        <w:rPr>
          <w:noProof/>
        </w:rPr>
        <w:t>l cooperation in cybersecurity. In September 2012, CERT-EU was established as a Taskforce of the European Commission with an interinstitutional mandate. In December 2017, the Union institutions and bodies concluded an interinstitutional arrangement on the organisation and operation of CERT-EU</w:t>
      </w:r>
      <w:r w:rsidR="009445CF" w:rsidRPr="005B03CE">
        <w:rPr>
          <w:rStyle w:val="FootnoteReference"/>
          <w:noProof/>
          <w:szCs w:val="24"/>
        </w:rPr>
        <w:footnoteReference w:id="4"/>
      </w:r>
      <w:r w:rsidR="00C012D8" w:rsidRPr="005B03CE">
        <w:rPr>
          <w:noProof/>
        </w:rPr>
        <w:t>.</w:t>
      </w:r>
      <w:r w:rsidR="00F1392C" w:rsidRPr="005B03CE">
        <w:rPr>
          <w:noProof/>
        </w:rPr>
        <w:t xml:space="preserve"> </w:t>
      </w:r>
      <w:r w:rsidR="00F1392C" w:rsidRPr="005B03CE">
        <w:rPr>
          <w:noProof/>
          <w:szCs w:val="24"/>
        </w:rPr>
        <w:t>This arrangement should continue to evolve to support the implementation of this Regulation.</w:t>
      </w:r>
    </w:p>
    <w:p w:rsidR="00896832" w:rsidRPr="005B03CE" w:rsidRDefault="004A06D6" w:rsidP="004A06D6">
      <w:pPr>
        <w:pStyle w:val="ManualConsidrant"/>
        <w:rPr>
          <w:noProof/>
        </w:rPr>
      </w:pPr>
      <w:r w:rsidRPr="004A06D6">
        <w:t>(12)</w:t>
      </w:r>
      <w:r w:rsidRPr="004A06D6">
        <w:tab/>
      </w:r>
      <w:r w:rsidR="003E43BD" w:rsidRPr="005B03CE">
        <w:rPr>
          <w:noProof/>
        </w:rPr>
        <w:t xml:space="preserve">CERT-EU should be renamed from </w:t>
      </w:r>
      <w:r w:rsidR="009445CF" w:rsidRPr="005B03CE">
        <w:rPr>
          <w:noProof/>
        </w:rPr>
        <w:t>‘</w:t>
      </w:r>
      <w:r w:rsidR="003E43BD" w:rsidRPr="005B03CE">
        <w:rPr>
          <w:noProof/>
        </w:rPr>
        <w:t>computer emergency response team</w:t>
      </w:r>
      <w:r w:rsidR="009445CF" w:rsidRPr="005B03CE">
        <w:rPr>
          <w:noProof/>
        </w:rPr>
        <w:t>’</w:t>
      </w:r>
      <w:r w:rsidR="003E43BD" w:rsidRPr="005B03CE">
        <w:rPr>
          <w:noProof/>
        </w:rPr>
        <w:t xml:space="preserve"> to </w:t>
      </w:r>
      <w:r w:rsidR="009445CF" w:rsidRPr="005B03CE">
        <w:rPr>
          <w:noProof/>
        </w:rPr>
        <w:t>‘</w:t>
      </w:r>
      <w:r w:rsidR="003E43BD" w:rsidRPr="005B03CE">
        <w:rPr>
          <w:noProof/>
        </w:rPr>
        <w:t>Cybersecurity Centre</w:t>
      </w:r>
      <w:r w:rsidR="009445CF" w:rsidRPr="005B03CE">
        <w:rPr>
          <w:noProof/>
        </w:rPr>
        <w:t>’</w:t>
      </w:r>
      <w:r w:rsidR="003E43BD" w:rsidRPr="005B03CE">
        <w:rPr>
          <w:noProof/>
        </w:rPr>
        <w:t xml:space="preserve"> for the Union </w:t>
      </w:r>
      <w:r w:rsidR="00DB116F" w:rsidRPr="005B03CE">
        <w:rPr>
          <w:noProof/>
        </w:rPr>
        <w:t>institutions, bodies and agencies</w:t>
      </w:r>
      <w:r w:rsidR="003E43BD" w:rsidRPr="005B03CE">
        <w:rPr>
          <w:noProof/>
        </w:rPr>
        <w:t xml:space="preserve">, in line with developments in the Member States and globally, where many CERTs are renamed as Cybersecurity Centres, but it should keep the short name </w:t>
      </w:r>
      <w:r w:rsidR="009445CF" w:rsidRPr="005B03CE">
        <w:rPr>
          <w:noProof/>
        </w:rPr>
        <w:t>‘</w:t>
      </w:r>
      <w:r w:rsidR="003E43BD" w:rsidRPr="005B03CE">
        <w:rPr>
          <w:noProof/>
        </w:rPr>
        <w:t>CERT-EU</w:t>
      </w:r>
      <w:r w:rsidR="009445CF" w:rsidRPr="005B03CE">
        <w:rPr>
          <w:noProof/>
        </w:rPr>
        <w:t>’</w:t>
      </w:r>
      <w:r w:rsidR="003E43BD" w:rsidRPr="005B03CE">
        <w:rPr>
          <w:noProof/>
        </w:rPr>
        <w:t xml:space="preserve"> because of name recognition.</w:t>
      </w:r>
    </w:p>
    <w:p w:rsidR="00B1688D" w:rsidRPr="005B03CE" w:rsidRDefault="004A06D6" w:rsidP="004A06D6">
      <w:pPr>
        <w:pStyle w:val="ManualConsidrant"/>
        <w:rPr>
          <w:noProof/>
        </w:rPr>
      </w:pPr>
      <w:r w:rsidRPr="004A06D6">
        <w:t>(13)</w:t>
      </w:r>
      <w:r w:rsidRPr="004A06D6">
        <w:tab/>
      </w:r>
      <w:r w:rsidR="00BA7BCF" w:rsidRPr="005B03CE">
        <w:rPr>
          <w:noProof/>
        </w:rPr>
        <w:t xml:space="preserve">Many cyberattacks are part of wider campaigns that target groups of Union </w:t>
      </w:r>
      <w:r w:rsidR="00DB116F" w:rsidRPr="005B03CE">
        <w:rPr>
          <w:noProof/>
        </w:rPr>
        <w:t>institutions, bodies and agencies</w:t>
      </w:r>
      <w:r w:rsidR="00BA7BCF" w:rsidRPr="005B03CE">
        <w:rPr>
          <w:noProof/>
        </w:rPr>
        <w:t xml:space="preserve"> or communities of interest that include Union </w:t>
      </w:r>
      <w:r w:rsidR="00DB116F" w:rsidRPr="005B03CE">
        <w:rPr>
          <w:noProof/>
        </w:rPr>
        <w:t>institutions, bodies and agencies</w:t>
      </w:r>
      <w:r w:rsidR="00BA7BCF" w:rsidRPr="005B03CE">
        <w:rPr>
          <w:noProof/>
        </w:rPr>
        <w:t xml:space="preserve">. </w:t>
      </w:r>
      <w:r w:rsidR="006276AE" w:rsidRPr="005B03CE">
        <w:rPr>
          <w:noProof/>
        </w:rPr>
        <w:t xml:space="preserve">To enable proactive detection, incident response or mitigating measures, </w:t>
      </w:r>
      <w:r w:rsidR="00B07028" w:rsidRPr="005B03CE">
        <w:rPr>
          <w:noProof/>
        </w:rPr>
        <w:t xml:space="preserve">Union </w:t>
      </w:r>
      <w:r w:rsidR="00DB116F" w:rsidRPr="005B03CE">
        <w:rPr>
          <w:noProof/>
        </w:rPr>
        <w:t>institutions, bodies and agencies</w:t>
      </w:r>
      <w:r w:rsidR="000C6D00" w:rsidRPr="005B03CE">
        <w:rPr>
          <w:noProof/>
        </w:rPr>
        <w:t xml:space="preserve"> should notify CERT-EU </w:t>
      </w:r>
      <w:r w:rsidR="00B1688D" w:rsidRPr="005B03CE">
        <w:rPr>
          <w:noProof/>
        </w:rPr>
        <w:t xml:space="preserve">of significant cyber threats, significant vulnerabilities and significant incidents and share appropriate technical details </w:t>
      </w:r>
      <w:r w:rsidR="00977920" w:rsidRPr="005B03CE">
        <w:rPr>
          <w:noProof/>
        </w:rPr>
        <w:t xml:space="preserve">that enable </w:t>
      </w:r>
      <w:r w:rsidR="00BC5394" w:rsidRPr="005B03CE">
        <w:rPr>
          <w:noProof/>
        </w:rPr>
        <w:t>detection</w:t>
      </w:r>
      <w:r w:rsidR="006D5754" w:rsidRPr="005B03CE">
        <w:rPr>
          <w:noProof/>
        </w:rPr>
        <w:t xml:space="preserve"> or</w:t>
      </w:r>
      <w:r w:rsidR="00BC5394" w:rsidRPr="005B03CE">
        <w:rPr>
          <w:noProof/>
        </w:rPr>
        <w:t xml:space="preserve"> </w:t>
      </w:r>
      <w:r w:rsidR="006D5754" w:rsidRPr="005B03CE">
        <w:rPr>
          <w:noProof/>
        </w:rPr>
        <w:t xml:space="preserve">mitigation of, as well as </w:t>
      </w:r>
      <w:r w:rsidR="00BC5394" w:rsidRPr="005B03CE">
        <w:rPr>
          <w:noProof/>
        </w:rPr>
        <w:t xml:space="preserve">response </w:t>
      </w:r>
      <w:r w:rsidR="006D5754" w:rsidRPr="005B03CE">
        <w:rPr>
          <w:noProof/>
        </w:rPr>
        <w:t>to,</w:t>
      </w:r>
      <w:r w:rsidR="00B1688D" w:rsidRPr="005B03CE">
        <w:rPr>
          <w:noProof/>
        </w:rPr>
        <w:t xml:space="preserve"> </w:t>
      </w:r>
      <w:r w:rsidR="00BD725F" w:rsidRPr="005B03CE">
        <w:rPr>
          <w:noProof/>
        </w:rPr>
        <w:t>similar cyber</w:t>
      </w:r>
      <w:r w:rsidR="00B1688D" w:rsidRPr="005B03CE">
        <w:rPr>
          <w:noProof/>
        </w:rPr>
        <w:t xml:space="preserve"> threats, vulnerabilities and incidents</w:t>
      </w:r>
      <w:r w:rsidR="00BD725F" w:rsidRPr="005B03CE">
        <w:rPr>
          <w:noProof/>
        </w:rPr>
        <w:t xml:space="preserve"> in other Union institutions, bodies and agencies</w:t>
      </w:r>
      <w:r w:rsidR="00B1688D" w:rsidRPr="005B03CE">
        <w:rPr>
          <w:noProof/>
        </w:rPr>
        <w:t xml:space="preserve">. </w:t>
      </w:r>
      <w:r w:rsidR="00BB2DD1" w:rsidRPr="005B03CE">
        <w:rPr>
          <w:noProof/>
        </w:rPr>
        <w:t>Following the same approach as the one envisaged in</w:t>
      </w:r>
      <w:r w:rsidR="00FB3FD5" w:rsidRPr="005B03CE">
        <w:rPr>
          <w:noProof/>
        </w:rPr>
        <w:t xml:space="preserve"> </w:t>
      </w:r>
      <w:r w:rsidR="00460574" w:rsidRPr="005B03CE">
        <w:rPr>
          <w:noProof/>
        </w:rPr>
        <w:t xml:space="preserve">Directive </w:t>
      </w:r>
      <w:r w:rsidR="000C6D00" w:rsidRPr="005B03CE">
        <w:rPr>
          <w:noProof/>
        </w:rPr>
        <w:t>[</w:t>
      </w:r>
      <w:r w:rsidR="00CC764A" w:rsidRPr="005B03CE">
        <w:rPr>
          <w:noProof/>
        </w:rPr>
        <w:t xml:space="preserve">proposal </w:t>
      </w:r>
      <w:r w:rsidR="00FB3FD5" w:rsidRPr="005B03CE">
        <w:rPr>
          <w:noProof/>
        </w:rPr>
        <w:t>NIS</w:t>
      </w:r>
      <w:r w:rsidR="000C6D00" w:rsidRPr="005B03CE">
        <w:rPr>
          <w:noProof/>
        </w:rPr>
        <w:t xml:space="preserve"> </w:t>
      </w:r>
      <w:r w:rsidR="00FB3FD5" w:rsidRPr="005B03CE">
        <w:rPr>
          <w:noProof/>
        </w:rPr>
        <w:t>2</w:t>
      </w:r>
      <w:r w:rsidR="000C6D00" w:rsidRPr="005B03CE">
        <w:rPr>
          <w:noProof/>
        </w:rPr>
        <w:t>]</w:t>
      </w:r>
      <w:r w:rsidR="00FB3FD5" w:rsidRPr="005B03CE">
        <w:rPr>
          <w:noProof/>
        </w:rPr>
        <w:t xml:space="preserve">, where entities become aware of a significant incident they </w:t>
      </w:r>
      <w:r w:rsidR="006276AE" w:rsidRPr="005B03CE">
        <w:rPr>
          <w:noProof/>
        </w:rPr>
        <w:t xml:space="preserve">should be </w:t>
      </w:r>
      <w:r w:rsidR="00FB3FD5" w:rsidRPr="005B03CE">
        <w:rPr>
          <w:noProof/>
        </w:rPr>
        <w:t>required to submit an initial notification to CERT-EU with</w:t>
      </w:r>
      <w:r w:rsidR="000C6D00" w:rsidRPr="005B03CE">
        <w:rPr>
          <w:noProof/>
        </w:rPr>
        <w:t>in 24 hours</w:t>
      </w:r>
      <w:r w:rsidR="00FB3FD5" w:rsidRPr="005B03CE">
        <w:rPr>
          <w:noProof/>
        </w:rPr>
        <w:t xml:space="preserve">. </w:t>
      </w:r>
      <w:r w:rsidR="00B1688D" w:rsidRPr="005B03CE">
        <w:rPr>
          <w:noProof/>
        </w:rPr>
        <w:t xml:space="preserve">Such information exchange </w:t>
      </w:r>
      <w:r w:rsidR="006276AE" w:rsidRPr="005B03CE">
        <w:rPr>
          <w:noProof/>
        </w:rPr>
        <w:t xml:space="preserve">should </w:t>
      </w:r>
      <w:r w:rsidR="00B1688D" w:rsidRPr="005B03CE">
        <w:rPr>
          <w:noProof/>
        </w:rPr>
        <w:t xml:space="preserve">enable CERT-EU to disseminate the information to other </w:t>
      </w:r>
      <w:r w:rsidR="00B07028" w:rsidRPr="005B03CE">
        <w:rPr>
          <w:noProof/>
        </w:rPr>
        <w:t xml:space="preserve">Union </w:t>
      </w:r>
      <w:r w:rsidR="00DB116F" w:rsidRPr="005B03CE">
        <w:rPr>
          <w:noProof/>
        </w:rPr>
        <w:t>institutions, bodies and agencies</w:t>
      </w:r>
      <w:r w:rsidR="006F19FC" w:rsidRPr="005B03CE">
        <w:rPr>
          <w:noProof/>
        </w:rPr>
        <w:t>,</w:t>
      </w:r>
      <w:r w:rsidR="00FD799B" w:rsidRPr="005B03CE">
        <w:rPr>
          <w:noProof/>
        </w:rPr>
        <w:t xml:space="preserve"> as well as </w:t>
      </w:r>
      <w:r w:rsidR="006276AE" w:rsidRPr="005B03CE">
        <w:rPr>
          <w:noProof/>
        </w:rPr>
        <w:t xml:space="preserve">to </w:t>
      </w:r>
      <w:r w:rsidR="00B1688D" w:rsidRPr="005B03CE">
        <w:rPr>
          <w:noProof/>
        </w:rPr>
        <w:t>appropriate co</w:t>
      </w:r>
      <w:r w:rsidR="0034043F" w:rsidRPr="005B03CE">
        <w:rPr>
          <w:noProof/>
        </w:rPr>
        <w:t>unterparts</w:t>
      </w:r>
      <w:r w:rsidR="006F19FC" w:rsidRPr="005B03CE">
        <w:rPr>
          <w:noProof/>
        </w:rPr>
        <w:t>,</w:t>
      </w:r>
      <w:r w:rsidR="0034043F" w:rsidRPr="005B03CE">
        <w:rPr>
          <w:noProof/>
        </w:rPr>
        <w:t xml:space="preserve"> to help protect the Union</w:t>
      </w:r>
      <w:r w:rsidR="0075738A" w:rsidRPr="005B03CE">
        <w:rPr>
          <w:noProof/>
        </w:rPr>
        <w:t xml:space="preserve"> IT environments</w:t>
      </w:r>
      <w:r w:rsidR="0034043F" w:rsidRPr="005B03CE">
        <w:rPr>
          <w:noProof/>
        </w:rPr>
        <w:t xml:space="preserve"> and the Union’s counterparts</w:t>
      </w:r>
      <w:r w:rsidR="006276AE" w:rsidRPr="005B03CE">
        <w:rPr>
          <w:noProof/>
        </w:rPr>
        <w:t>’</w:t>
      </w:r>
      <w:r w:rsidR="0034043F" w:rsidRPr="005B03CE">
        <w:rPr>
          <w:noProof/>
        </w:rPr>
        <w:t xml:space="preserve"> IT environments </w:t>
      </w:r>
      <w:r w:rsidR="00B1688D" w:rsidRPr="005B03CE">
        <w:rPr>
          <w:noProof/>
        </w:rPr>
        <w:t>against similar incidents, threats and vulnerabilities.</w:t>
      </w:r>
    </w:p>
    <w:p w:rsidR="006F0894" w:rsidRPr="005B03CE" w:rsidRDefault="004A06D6" w:rsidP="004A06D6">
      <w:pPr>
        <w:pStyle w:val="ManualConsidrant"/>
        <w:rPr>
          <w:noProof/>
        </w:rPr>
      </w:pPr>
      <w:r w:rsidRPr="004A06D6">
        <w:t>(14)</w:t>
      </w:r>
      <w:r w:rsidRPr="004A06D6">
        <w:tab/>
      </w:r>
      <w:r w:rsidR="00110458" w:rsidRPr="005B03CE">
        <w:rPr>
          <w:noProof/>
        </w:rPr>
        <w:t>In addition to giving CERT-EU more tasks and a</w:t>
      </w:r>
      <w:r w:rsidR="006276AE" w:rsidRPr="005B03CE">
        <w:rPr>
          <w:noProof/>
        </w:rPr>
        <w:t>n expanded</w:t>
      </w:r>
      <w:r w:rsidR="00110458" w:rsidRPr="005B03CE">
        <w:rPr>
          <w:noProof/>
        </w:rPr>
        <w:t xml:space="preserve"> role, an</w:t>
      </w:r>
      <w:r w:rsidR="006D61FF" w:rsidRPr="005B03CE">
        <w:rPr>
          <w:noProof/>
        </w:rPr>
        <w:t xml:space="preserve"> </w:t>
      </w:r>
      <w:r w:rsidR="00110458" w:rsidRPr="005B03CE">
        <w:rPr>
          <w:noProof/>
        </w:rPr>
        <w:t xml:space="preserve">Interinstitutional Cybersecurity Board </w:t>
      </w:r>
      <w:r w:rsidR="006F0894" w:rsidRPr="005B03CE">
        <w:rPr>
          <w:noProof/>
        </w:rPr>
        <w:t xml:space="preserve">(IICB) </w:t>
      </w:r>
      <w:r w:rsidR="00110458" w:rsidRPr="005B03CE">
        <w:rPr>
          <w:noProof/>
        </w:rPr>
        <w:t xml:space="preserve">should be established, which should facilitate a high common level of cybersecurity among Union </w:t>
      </w:r>
      <w:r w:rsidR="00DB116F" w:rsidRPr="005B03CE">
        <w:rPr>
          <w:noProof/>
        </w:rPr>
        <w:t>institutions, bodies and agencies</w:t>
      </w:r>
      <w:r w:rsidR="00110458" w:rsidRPr="005B03CE">
        <w:rPr>
          <w:noProof/>
        </w:rPr>
        <w:t xml:space="preserve"> by monitoring the implementation of this Regulation by the Union </w:t>
      </w:r>
      <w:r w:rsidR="00DB116F" w:rsidRPr="005B03CE">
        <w:rPr>
          <w:noProof/>
        </w:rPr>
        <w:t>institutions, bodies and agencies</w:t>
      </w:r>
      <w:r w:rsidR="00110458" w:rsidRPr="005B03CE">
        <w:rPr>
          <w:noProof/>
        </w:rPr>
        <w:t xml:space="preserve"> and by supervising implementation of general priorities and objectives by CERT-EU and providing strategic direction to CERT-EU. The IICB</w:t>
      </w:r>
      <w:r w:rsidR="006D61FF" w:rsidRPr="005B03CE">
        <w:rPr>
          <w:noProof/>
        </w:rPr>
        <w:t xml:space="preserve"> </w:t>
      </w:r>
      <w:r w:rsidR="00110458" w:rsidRPr="005B03CE">
        <w:rPr>
          <w:noProof/>
        </w:rPr>
        <w:t xml:space="preserve">should ensure representation of the institutions </w:t>
      </w:r>
      <w:r w:rsidR="006F0894" w:rsidRPr="005B03CE">
        <w:rPr>
          <w:noProof/>
        </w:rPr>
        <w:t>and</w:t>
      </w:r>
      <w:r w:rsidR="006D61FF" w:rsidRPr="005B03CE">
        <w:rPr>
          <w:noProof/>
        </w:rPr>
        <w:t xml:space="preserve"> </w:t>
      </w:r>
      <w:r w:rsidR="00110458" w:rsidRPr="005B03CE">
        <w:rPr>
          <w:noProof/>
        </w:rPr>
        <w:t xml:space="preserve">include representatives of agencies </w:t>
      </w:r>
      <w:r w:rsidR="006F0894" w:rsidRPr="005B03CE">
        <w:rPr>
          <w:noProof/>
        </w:rPr>
        <w:t xml:space="preserve">and bodies </w:t>
      </w:r>
      <w:r w:rsidR="00110458" w:rsidRPr="005B03CE">
        <w:rPr>
          <w:noProof/>
        </w:rPr>
        <w:t>through the Union Agencies Network</w:t>
      </w:r>
      <w:r w:rsidR="00110458" w:rsidRPr="005B03CE">
        <w:rPr>
          <w:i/>
          <w:iCs/>
          <w:noProof/>
        </w:rPr>
        <w:t>.</w:t>
      </w:r>
    </w:p>
    <w:p w:rsidR="00B1688D" w:rsidRPr="005B03CE" w:rsidRDefault="004A06D6" w:rsidP="004A06D6">
      <w:pPr>
        <w:pStyle w:val="ManualConsidrant"/>
        <w:rPr>
          <w:noProof/>
        </w:rPr>
      </w:pPr>
      <w:r w:rsidRPr="004A06D6">
        <w:t>(15)</w:t>
      </w:r>
      <w:r w:rsidRPr="004A06D6">
        <w:tab/>
      </w:r>
      <w:r w:rsidR="00E4735C" w:rsidRPr="005B03CE">
        <w:rPr>
          <w:noProof/>
        </w:rPr>
        <w:t xml:space="preserve">CERT-EU should support the implementation of </w:t>
      </w:r>
      <w:r w:rsidR="00694875" w:rsidRPr="005B03CE">
        <w:rPr>
          <w:noProof/>
        </w:rPr>
        <w:t>m</w:t>
      </w:r>
      <w:r w:rsidR="00E4735C" w:rsidRPr="005B03CE">
        <w:rPr>
          <w:noProof/>
        </w:rPr>
        <w:t xml:space="preserve">easures for a high common level of cybersecurity through proposals for guidance documents and recommendations to the IICB or by issuing calls for action. Such guidance documents and recommendations </w:t>
      </w:r>
      <w:r w:rsidR="00A172D3" w:rsidRPr="005B03CE">
        <w:rPr>
          <w:noProof/>
        </w:rPr>
        <w:t xml:space="preserve">should </w:t>
      </w:r>
      <w:r w:rsidR="00E4735C" w:rsidRPr="005B03CE">
        <w:rPr>
          <w:noProof/>
        </w:rPr>
        <w:t xml:space="preserve">be approved by the IICB. When needed, CERT-EU should issue calls for action describing urgent security measures which </w:t>
      </w:r>
      <w:r w:rsidR="00B07028" w:rsidRPr="005B03CE">
        <w:rPr>
          <w:noProof/>
        </w:rPr>
        <w:t xml:space="preserve">Union </w:t>
      </w:r>
      <w:r w:rsidR="00DB116F" w:rsidRPr="005B03CE">
        <w:rPr>
          <w:noProof/>
        </w:rPr>
        <w:t>institutions, bodies and agencies</w:t>
      </w:r>
      <w:r w:rsidR="00E4735C" w:rsidRPr="005B03CE">
        <w:rPr>
          <w:noProof/>
        </w:rPr>
        <w:t xml:space="preserve"> are urged to take within a set timeframe.</w:t>
      </w:r>
    </w:p>
    <w:p w:rsidR="00B1688D" w:rsidRPr="005B03CE" w:rsidRDefault="004A06D6" w:rsidP="004A06D6">
      <w:pPr>
        <w:pStyle w:val="ManualConsidrant"/>
        <w:rPr>
          <w:noProof/>
        </w:rPr>
      </w:pPr>
      <w:r w:rsidRPr="004A06D6">
        <w:t>(16)</w:t>
      </w:r>
      <w:r w:rsidRPr="004A06D6">
        <w:tab/>
      </w:r>
      <w:r w:rsidR="00FB3FD5" w:rsidRPr="005B03CE">
        <w:rPr>
          <w:noProof/>
        </w:rPr>
        <w:t xml:space="preserve">The IICB </w:t>
      </w:r>
      <w:r w:rsidR="00B53BE9" w:rsidRPr="005B03CE">
        <w:rPr>
          <w:noProof/>
        </w:rPr>
        <w:t>should</w:t>
      </w:r>
      <w:r w:rsidR="00FB3FD5" w:rsidRPr="005B03CE">
        <w:rPr>
          <w:noProof/>
        </w:rPr>
        <w:t xml:space="preserve"> </w:t>
      </w:r>
      <w:r w:rsidR="00B53BE9" w:rsidRPr="005B03CE">
        <w:rPr>
          <w:noProof/>
        </w:rPr>
        <w:t>monitor</w:t>
      </w:r>
      <w:r w:rsidR="00FB3FD5" w:rsidRPr="005B03CE">
        <w:rPr>
          <w:noProof/>
        </w:rPr>
        <w:t> compliance with th</w:t>
      </w:r>
      <w:r w:rsidR="00B67C63" w:rsidRPr="005B03CE">
        <w:rPr>
          <w:noProof/>
        </w:rPr>
        <w:t>is</w:t>
      </w:r>
      <w:r w:rsidR="00FB3FD5" w:rsidRPr="005B03CE">
        <w:rPr>
          <w:noProof/>
        </w:rPr>
        <w:t xml:space="preserve"> </w:t>
      </w:r>
      <w:r w:rsidR="00B67C63" w:rsidRPr="005B03CE">
        <w:rPr>
          <w:noProof/>
        </w:rPr>
        <w:t>R</w:t>
      </w:r>
      <w:r w:rsidR="00FB3FD5" w:rsidRPr="005B03CE">
        <w:rPr>
          <w:noProof/>
        </w:rPr>
        <w:t xml:space="preserve">egulation </w:t>
      </w:r>
      <w:r w:rsidR="00E7077B" w:rsidRPr="005B03CE">
        <w:rPr>
          <w:noProof/>
        </w:rPr>
        <w:t>as well as</w:t>
      </w:r>
      <w:r w:rsidR="00771E50" w:rsidRPr="005B03CE">
        <w:rPr>
          <w:noProof/>
        </w:rPr>
        <w:t xml:space="preserve"> follow-up of</w:t>
      </w:r>
      <w:r w:rsidR="00E7077B" w:rsidRPr="005B03CE">
        <w:rPr>
          <w:noProof/>
        </w:rPr>
        <w:t xml:space="preserve"> guidance documents and</w:t>
      </w:r>
      <w:r w:rsidR="00B1688D" w:rsidRPr="005B03CE">
        <w:rPr>
          <w:noProof/>
        </w:rPr>
        <w:t xml:space="preserve"> recommendations</w:t>
      </w:r>
      <w:r w:rsidR="00E7077B" w:rsidRPr="005B03CE">
        <w:rPr>
          <w:noProof/>
        </w:rPr>
        <w:t>,</w:t>
      </w:r>
      <w:r w:rsidR="00B1688D" w:rsidRPr="005B03CE">
        <w:rPr>
          <w:noProof/>
        </w:rPr>
        <w:t xml:space="preserve"> and calls for action</w:t>
      </w:r>
      <w:r w:rsidR="00E7077B" w:rsidRPr="005B03CE">
        <w:rPr>
          <w:noProof/>
        </w:rPr>
        <w:t xml:space="preserve"> issued by CERT-EU</w:t>
      </w:r>
      <w:r w:rsidR="00B1688D" w:rsidRPr="005B03CE">
        <w:rPr>
          <w:noProof/>
        </w:rPr>
        <w:t xml:space="preserve">. </w:t>
      </w:r>
      <w:r w:rsidR="007E1B84" w:rsidRPr="005B03CE">
        <w:rPr>
          <w:noProof/>
        </w:rPr>
        <w:t xml:space="preserve">The IICB </w:t>
      </w:r>
      <w:r w:rsidR="00E7077B" w:rsidRPr="005B03CE">
        <w:rPr>
          <w:noProof/>
        </w:rPr>
        <w:t>should</w:t>
      </w:r>
      <w:r w:rsidR="007E1B84" w:rsidRPr="005B03CE">
        <w:rPr>
          <w:noProof/>
        </w:rPr>
        <w:t xml:space="preserve"> be supported on technical matters by technical advisory groups composed as the IICB sees fit</w:t>
      </w:r>
      <w:r w:rsidR="00703ECC" w:rsidRPr="005B03CE">
        <w:rPr>
          <w:noProof/>
        </w:rPr>
        <w:t xml:space="preserve"> wh</w:t>
      </w:r>
      <w:r w:rsidR="00B67C63" w:rsidRPr="005B03CE">
        <w:rPr>
          <w:noProof/>
        </w:rPr>
        <w:t>ich</w:t>
      </w:r>
      <w:r w:rsidR="00703ECC" w:rsidRPr="005B03CE">
        <w:rPr>
          <w:noProof/>
        </w:rPr>
        <w:t xml:space="preserve"> </w:t>
      </w:r>
      <w:r w:rsidR="007B4A17" w:rsidRPr="005B03CE">
        <w:rPr>
          <w:noProof/>
        </w:rPr>
        <w:t>should</w:t>
      </w:r>
      <w:r w:rsidR="00703ECC" w:rsidRPr="005B03CE">
        <w:rPr>
          <w:noProof/>
        </w:rPr>
        <w:t xml:space="preserve"> work in close cooperation with CERT-EU, the </w:t>
      </w:r>
      <w:r w:rsidR="00B07028" w:rsidRPr="005B03CE">
        <w:rPr>
          <w:noProof/>
        </w:rPr>
        <w:t xml:space="preserve">Union </w:t>
      </w:r>
      <w:r w:rsidR="00DB116F" w:rsidRPr="005B03CE">
        <w:rPr>
          <w:noProof/>
        </w:rPr>
        <w:t>institutions, bodies and agencies</w:t>
      </w:r>
      <w:r w:rsidR="00703ECC" w:rsidRPr="005B03CE">
        <w:rPr>
          <w:noProof/>
        </w:rPr>
        <w:t xml:space="preserve"> and other stakeholders as necessary</w:t>
      </w:r>
      <w:r w:rsidR="007E1B84" w:rsidRPr="005B03CE">
        <w:rPr>
          <w:noProof/>
        </w:rPr>
        <w:t xml:space="preserve">. </w:t>
      </w:r>
      <w:r w:rsidR="007B4A17" w:rsidRPr="005B03CE">
        <w:rPr>
          <w:noProof/>
        </w:rPr>
        <w:t>Whe</w:t>
      </w:r>
      <w:r w:rsidR="00B67C63" w:rsidRPr="005B03CE">
        <w:rPr>
          <w:noProof/>
        </w:rPr>
        <w:t>re</w:t>
      </w:r>
      <w:r w:rsidR="007B4A17" w:rsidRPr="005B03CE">
        <w:rPr>
          <w:noProof/>
        </w:rPr>
        <w:t xml:space="preserve"> necessary, t</w:t>
      </w:r>
      <w:r w:rsidR="00B1688D" w:rsidRPr="005B03CE">
        <w:rPr>
          <w:noProof/>
        </w:rPr>
        <w:t xml:space="preserve">he IICB </w:t>
      </w:r>
      <w:r w:rsidR="007B4A17" w:rsidRPr="005B03CE">
        <w:rPr>
          <w:noProof/>
        </w:rPr>
        <w:t>should</w:t>
      </w:r>
      <w:r w:rsidR="00B1688D" w:rsidRPr="005B03CE">
        <w:rPr>
          <w:noProof/>
        </w:rPr>
        <w:t xml:space="preserve"> issue non-binding warning</w:t>
      </w:r>
      <w:r w:rsidR="001B7A27" w:rsidRPr="005B03CE">
        <w:rPr>
          <w:noProof/>
        </w:rPr>
        <w:t>s and</w:t>
      </w:r>
      <w:r w:rsidR="00771E50" w:rsidRPr="005B03CE">
        <w:rPr>
          <w:noProof/>
        </w:rPr>
        <w:t xml:space="preserve"> </w:t>
      </w:r>
      <w:r w:rsidR="009A7CE6" w:rsidRPr="005B03CE">
        <w:rPr>
          <w:noProof/>
        </w:rPr>
        <w:t>re</w:t>
      </w:r>
      <w:r w:rsidR="00D56182" w:rsidRPr="005B03CE">
        <w:rPr>
          <w:noProof/>
        </w:rPr>
        <w:t>commend</w:t>
      </w:r>
      <w:r w:rsidR="009A7CE6" w:rsidRPr="005B03CE">
        <w:rPr>
          <w:noProof/>
        </w:rPr>
        <w:t xml:space="preserve"> audits</w:t>
      </w:r>
      <w:r w:rsidR="00771E50" w:rsidRPr="005B03CE">
        <w:rPr>
          <w:noProof/>
        </w:rPr>
        <w:t>.</w:t>
      </w:r>
    </w:p>
    <w:p w:rsidR="00FB3FD5" w:rsidRPr="005B03CE" w:rsidRDefault="004A06D6" w:rsidP="004A06D6">
      <w:pPr>
        <w:pStyle w:val="ManualConsidrant"/>
        <w:rPr>
          <w:noProof/>
        </w:rPr>
      </w:pPr>
      <w:r w:rsidRPr="004A06D6">
        <w:t>(17)</w:t>
      </w:r>
      <w:r w:rsidRPr="004A06D6">
        <w:tab/>
      </w:r>
      <w:r w:rsidR="00FB3FD5" w:rsidRPr="005B03CE">
        <w:rPr>
          <w:noProof/>
        </w:rPr>
        <w:t xml:space="preserve">CERT-EU </w:t>
      </w:r>
      <w:r w:rsidR="007B4A17" w:rsidRPr="005B03CE">
        <w:rPr>
          <w:noProof/>
        </w:rPr>
        <w:t>should have</w:t>
      </w:r>
      <w:r w:rsidR="00FB3FD5" w:rsidRPr="005B03CE">
        <w:rPr>
          <w:noProof/>
        </w:rPr>
        <w:t xml:space="preserve"> the mission to contribute to the security of the IT environment of all </w:t>
      </w:r>
      <w:r w:rsidR="00B07028" w:rsidRPr="005B03CE">
        <w:rPr>
          <w:noProof/>
        </w:rPr>
        <w:t xml:space="preserve">Union </w:t>
      </w:r>
      <w:r w:rsidR="00DB116F" w:rsidRPr="005B03CE">
        <w:rPr>
          <w:noProof/>
        </w:rPr>
        <w:t>institutions, bodies and agencies</w:t>
      </w:r>
      <w:r w:rsidR="00FB3FD5" w:rsidRPr="005B03CE">
        <w:rPr>
          <w:noProof/>
        </w:rPr>
        <w:t xml:space="preserve">. CERT-EU should act as the equivalent of the designated coordinator </w:t>
      </w:r>
      <w:r w:rsidR="00D76DBC" w:rsidRPr="005B03CE">
        <w:rPr>
          <w:noProof/>
        </w:rPr>
        <w:t xml:space="preserve">for the </w:t>
      </w:r>
      <w:r w:rsidR="00B07028" w:rsidRPr="005B03CE">
        <w:rPr>
          <w:noProof/>
        </w:rPr>
        <w:t xml:space="preserve">Union </w:t>
      </w:r>
      <w:r w:rsidR="00DB116F" w:rsidRPr="005B03CE">
        <w:rPr>
          <w:noProof/>
        </w:rPr>
        <w:t>institutions, bodies and agencies</w:t>
      </w:r>
      <w:r w:rsidR="00D76DBC" w:rsidRPr="005B03CE">
        <w:rPr>
          <w:noProof/>
        </w:rPr>
        <w:t xml:space="preserve">, </w:t>
      </w:r>
      <w:r w:rsidR="00FB3FD5" w:rsidRPr="005B03CE">
        <w:rPr>
          <w:noProof/>
        </w:rPr>
        <w:t xml:space="preserve">for the purpose of coordinated vulnerability disclosure to the European vulnerability registry as referred to in Article 6 </w:t>
      </w:r>
      <w:r w:rsidR="00460574" w:rsidRPr="005B03CE">
        <w:rPr>
          <w:noProof/>
        </w:rPr>
        <w:t xml:space="preserve">of Directive </w:t>
      </w:r>
      <w:r w:rsidR="00FB3FD5" w:rsidRPr="005B03CE">
        <w:rPr>
          <w:noProof/>
        </w:rPr>
        <w:t>[</w:t>
      </w:r>
      <w:r w:rsidR="00CC764A" w:rsidRPr="005B03CE">
        <w:rPr>
          <w:noProof/>
        </w:rPr>
        <w:t xml:space="preserve">proposal </w:t>
      </w:r>
      <w:r w:rsidR="007F373E" w:rsidRPr="005B03CE">
        <w:rPr>
          <w:noProof/>
        </w:rPr>
        <w:t>NIS 2].</w:t>
      </w:r>
    </w:p>
    <w:p w:rsidR="000F5125" w:rsidRPr="005B03CE" w:rsidRDefault="004A06D6" w:rsidP="004A06D6">
      <w:pPr>
        <w:pStyle w:val="ManualConsidrant"/>
        <w:rPr>
          <w:noProof/>
        </w:rPr>
      </w:pPr>
      <w:r w:rsidRPr="004A06D6">
        <w:t>(18)</w:t>
      </w:r>
      <w:r w:rsidRPr="004A06D6">
        <w:tab/>
      </w:r>
      <w:r w:rsidR="00036E89" w:rsidRPr="005B03CE">
        <w:rPr>
          <w:noProof/>
        </w:rPr>
        <w:t xml:space="preserve">In 2020, CERT-EU’s Steering Board set a new strategic aim for CERT-EU </w:t>
      </w:r>
      <w:r w:rsidR="000F5125" w:rsidRPr="005B03CE">
        <w:rPr>
          <w:noProof/>
        </w:rPr>
        <w:t>to guarantee a comprehensive level of cyber</w:t>
      </w:r>
      <w:r w:rsidR="000E3D03" w:rsidRPr="005B03CE">
        <w:rPr>
          <w:noProof/>
        </w:rPr>
        <w:t xml:space="preserve"> </w:t>
      </w:r>
      <w:r w:rsidR="000F5125" w:rsidRPr="005B03CE">
        <w:rPr>
          <w:noProof/>
        </w:rPr>
        <w:t xml:space="preserve">defence for all </w:t>
      </w:r>
      <w:r w:rsidR="00FF45F6" w:rsidRPr="005B03CE">
        <w:rPr>
          <w:noProof/>
        </w:rPr>
        <w:t>Union institutions, bodies and agencies</w:t>
      </w:r>
      <w:r w:rsidR="000F5125" w:rsidRPr="005B03CE">
        <w:rPr>
          <w:noProof/>
        </w:rPr>
        <w:t xml:space="preserve"> with suitable breadth and depth and continuous adaptation to current or impe</w:t>
      </w:r>
      <w:r w:rsidR="00A172D3" w:rsidRPr="005B03CE">
        <w:rPr>
          <w:noProof/>
        </w:rPr>
        <w:t>n</w:t>
      </w:r>
      <w:r w:rsidR="000F5125" w:rsidRPr="005B03CE">
        <w:rPr>
          <w:noProof/>
        </w:rPr>
        <w:t xml:space="preserve">ding threats, including attacks against mobile devices, cloud environments and internet-of-things devices. </w:t>
      </w:r>
      <w:r w:rsidR="00A172D3" w:rsidRPr="005B03CE">
        <w:rPr>
          <w:noProof/>
        </w:rPr>
        <w:t xml:space="preserve">The strategic aim </w:t>
      </w:r>
      <w:r w:rsidR="000F5125" w:rsidRPr="005B03CE">
        <w:rPr>
          <w:noProof/>
        </w:rPr>
        <w:t xml:space="preserve">also includes broad-spectrum Security Operations Centres (SOCs) that monitor networks, and 24/7 monitoring for high-severity threats. For the larger </w:t>
      </w:r>
      <w:r w:rsidR="00F969ED" w:rsidRPr="005B03CE">
        <w:rPr>
          <w:noProof/>
        </w:rPr>
        <w:t xml:space="preserve">Union </w:t>
      </w:r>
      <w:r w:rsidR="00DB116F" w:rsidRPr="005B03CE">
        <w:rPr>
          <w:noProof/>
        </w:rPr>
        <w:t>institutions, bodies and agencies</w:t>
      </w:r>
      <w:r w:rsidR="000F5125" w:rsidRPr="005B03CE">
        <w:rPr>
          <w:noProof/>
        </w:rPr>
        <w:t xml:space="preserve">, CERT-EU should support their IT security teams, including with first-line 24/7 monitoring. For smaller and some medium-sized </w:t>
      </w:r>
      <w:r w:rsidR="00F969ED" w:rsidRPr="005B03CE">
        <w:rPr>
          <w:noProof/>
        </w:rPr>
        <w:t xml:space="preserve">Union </w:t>
      </w:r>
      <w:r w:rsidR="00DB116F" w:rsidRPr="005B03CE">
        <w:rPr>
          <w:noProof/>
        </w:rPr>
        <w:t>institutions, bodies and agencies</w:t>
      </w:r>
      <w:r w:rsidR="000F5125" w:rsidRPr="005B03CE">
        <w:rPr>
          <w:noProof/>
        </w:rPr>
        <w:t>, CERT-EU should provide all the services.</w:t>
      </w:r>
    </w:p>
    <w:p w:rsidR="00FB3FD5" w:rsidRPr="005B03CE" w:rsidRDefault="004A06D6" w:rsidP="004A06D6">
      <w:pPr>
        <w:pStyle w:val="ManualConsidrant"/>
        <w:rPr>
          <w:noProof/>
        </w:rPr>
      </w:pPr>
      <w:r w:rsidRPr="004A06D6">
        <w:t>(19)</w:t>
      </w:r>
      <w:r w:rsidRPr="004A06D6">
        <w:tab/>
      </w:r>
      <w:r w:rsidR="00FB3FD5" w:rsidRPr="005B03CE">
        <w:rPr>
          <w:noProof/>
        </w:rPr>
        <w:t>CERT</w:t>
      </w:r>
      <w:r w:rsidR="004441CB" w:rsidRPr="005B03CE">
        <w:rPr>
          <w:noProof/>
        </w:rPr>
        <w:t>-</w:t>
      </w:r>
      <w:r w:rsidR="00FB3FD5" w:rsidRPr="005B03CE">
        <w:rPr>
          <w:noProof/>
        </w:rPr>
        <w:t xml:space="preserve">EU </w:t>
      </w:r>
      <w:r w:rsidR="007B4A17" w:rsidRPr="005B03CE">
        <w:rPr>
          <w:noProof/>
        </w:rPr>
        <w:t>should</w:t>
      </w:r>
      <w:r w:rsidR="00FB3FD5" w:rsidRPr="005B03CE">
        <w:rPr>
          <w:noProof/>
        </w:rPr>
        <w:t xml:space="preserve"> </w:t>
      </w:r>
      <w:r w:rsidR="00F969ED" w:rsidRPr="005B03CE">
        <w:rPr>
          <w:noProof/>
        </w:rPr>
        <w:t xml:space="preserve">also </w:t>
      </w:r>
      <w:r w:rsidR="00FB3FD5" w:rsidRPr="005B03CE">
        <w:rPr>
          <w:noProof/>
        </w:rPr>
        <w:t xml:space="preserve">fulfil the role </w:t>
      </w:r>
      <w:r w:rsidR="00D21C98" w:rsidRPr="005B03CE">
        <w:rPr>
          <w:noProof/>
        </w:rPr>
        <w:t xml:space="preserve">provided </w:t>
      </w:r>
      <w:r w:rsidR="00FB3FD5" w:rsidRPr="005B03CE">
        <w:rPr>
          <w:noProof/>
        </w:rPr>
        <w:t xml:space="preserve">for it in </w:t>
      </w:r>
      <w:r w:rsidR="00460574" w:rsidRPr="005B03CE">
        <w:rPr>
          <w:noProof/>
        </w:rPr>
        <w:t xml:space="preserve">Directive </w:t>
      </w:r>
      <w:r w:rsidR="00EB0FD8" w:rsidRPr="005B03CE">
        <w:rPr>
          <w:noProof/>
        </w:rPr>
        <w:t>[</w:t>
      </w:r>
      <w:r w:rsidR="00CC764A" w:rsidRPr="005B03CE">
        <w:rPr>
          <w:noProof/>
        </w:rPr>
        <w:t xml:space="preserve">proposal </w:t>
      </w:r>
      <w:r w:rsidR="00FB3FD5" w:rsidRPr="005B03CE">
        <w:rPr>
          <w:noProof/>
        </w:rPr>
        <w:t>NIS</w:t>
      </w:r>
      <w:r w:rsidR="00EB0FD8" w:rsidRPr="005B03CE">
        <w:rPr>
          <w:noProof/>
        </w:rPr>
        <w:t xml:space="preserve"> </w:t>
      </w:r>
      <w:r w:rsidR="00FB3FD5" w:rsidRPr="005B03CE">
        <w:rPr>
          <w:noProof/>
        </w:rPr>
        <w:t>2</w:t>
      </w:r>
      <w:r w:rsidR="00EB0FD8" w:rsidRPr="005B03CE">
        <w:rPr>
          <w:noProof/>
        </w:rPr>
        <w:t>]</w:t>
      </w:r>
      <w:r w:rsidR="00D21C98" w:rsidRPr="005B03CE">
        <w:rPr>
          <w:noProof/>
        </w:rPr>
        <w:t xml:space="preserve"> </w:t>
      </w:r>
      <w:r w:rsidR="005133DB" w:rsidRPr="005B03CE">
        <w:rPr>
          <w:noProof/>
        </w:rPr>
        <w:t>concerning</w:t>
      </w:r>
      <w:r w:rsidR="00FB3FD5" w:rsidRPr="005B03CE">
        <w:rPr>
          <w:noProof/>
        </w:rPr>
        <w:t xml:space="preserve"> cooperation and information exchange with the </w:t>
      </w:r>
      <w:r w:rsidR="00683B46" w:rsidRPr="005B03CE">
        <w:rPr>
          <w:noProof/>
        </w:rPr>
        <w:t>computer security incident response teams (</w:t>
      </w:r>
      <w:r w:rsidR="00FB3FD5" w:rsidRPr="005B03CE">
        <w:rPr>
          <w:noProof/>
        </w:rPr>
        <w:t>CSI</w:t>
      </w:r>
      <w:r w:rsidR="00EB0FD8" w:rsidRPr="005B03CE">
        <w:rPr>
          <w:noProof/>
        </w:rPr>
        <w:t>RT</w:t>
      </w:r>
      <w:r w:rsidR="00683B46" w:rsidRPr="005B03CE">
        <w:rPr>
          <w:noProof/>
        </w:rPr>
        <w:t>s)</w:t>
      </w:r>
      <w:r w:rsidR="00EB0FD8" w:rsidRPr="005B03CE">
        <w:rPr>
          <w:noProof/>
        </w:rPr>
        <w:t xml:space="preserve"> network</w:t>
      </w:r>
      <w:r w:rsidR="00FB3FD5" w:rsidRPr="005B03CE">
        <w:rPr>
          <w:noProof/>
        </w:rPr>
        <w:t>. </w:t>
      </w:r>
      <w:r w:rsidR="004441CB" w:rsidRPr="005B03CE">
        <w:rPr>
          <w:noProof/>
        </w:rPr>
        <w:t xml:space="preserve">Moreover, in line with Commission Recommendation </w:t>
      </w:r>
      <w:r w:rsidR="005133DB" w:rsidRPr="005B03CE">
        <w:rPr>
          <w:noProof/>
        </w:rPr>
        <w:t>(EU) 2017/1584</w:t>
      </w:r>
      <w:r w:rsidR="005133DB" w:rsidRPr="005B03CE">
        <w:rPr>
          <w:rStyle w:val="FootnoteReference"/>
          <w:noProof/>
          <w:szCs w:val="24"/>
        </w:rPr>
        <w:footnoteReference w:id="5"/>
      </w:r>
      <w:r w:rsidR="004441CB" w:rsidRPr="005B03CE">
        <w:rPr>
          <w:noProof/>
        </w:rPr>
        <w:t>,</w:t>
      </w:r>
      <w:r w:rsidR="00EE472C" w:rsidRPr="005B03CE">
        <w:rPr>
          <w:noProof/>
        </w:rPr>
        <w:t xml:space="preserve"> CERT-EU should</w:t>
      </w:r>
      <w:r w:rsidR="004441CB" w:rsidRPr="005B03CE">
        <w:rPr>
          <w:noProof/>
        </w:rPr>
        <w:t xml:space="preserve"> cooperate and coordinate on the response with the relevant stakeholders. </w:t>
      </w:r>
      <w:r w:rsidR="00FB3FD5" w:rsidRPr="005B03CE">
        <w:rPr>
          <w:noProof/>
        </w:rPr>
        <w:t>In order to contribute to a high level of cybersecurity across the Union, CERT</w:t>
      </w:r>
      <w:r w:rsidR="00307F4B" w:rsidRPr="005B03CE">
        <w:rPr>
          <w:noProof/>
        </w:rPr>
        <w:t>-</w:t>
      </w:r>
      <w:r w:rsidR="00FB3FD5" w:rsidRPr="005B03CE">
        <w:rPr>
          <w:noProof/>
        </w:rPr>
        <w:t xml:space="preserve">EU </w:t>
      </w:r>
      <w:r w:rsidR="007B4A17" w:rsidRPr="005B03CE">
        <w:rPr>
          <w:noProof/>
        </w:rPr>
        <w:t>should</w:t>
      </w:r>
      <w:r w:rsidR="00FB3FD5" w:rsidRPr="005B03CE">
        <w:rPr>
          <w:noProof/>
        </w:rPr>
        <w:t xml:space="preserve"> share incident specific information with national counterparts. CERT-EU </w:t>
      </w:r>
      <w:r w:rsidR="007B4A17" w:rsidRPr="005B03CE">
        <w:rPr>
          <w:noProof/>
        </w:rPr>
        <w:t>should</w:t>
      </w:r>
      <w:r w:rsidR="00FB3FD5" w:rsidRPr="005B03CE">
        <w:rPr>
          <w:noProof/>
        </w:rPr>
        <w:t xml:space="preserve"> also collaborate with other public as well as private counterparts, </w:t>
      </w:r>
      <w:r w:rsidR="00D80CDC" w:rsidRPr="005B03CE">
        <w:rPr>
          <w:noProof/>
        </w:rPr>
        <w:t xml:space="preserve">including at NATO, </w:t>
      </w:r>
      <w:r w:rsidR="00FB3FD5" w:rsidRPr="005B03CE">
        <w:rPr>
          <w:noProof/>
        </w:rPr>
        <w:t>subject to prior approval by the IICB</w:t>
      </w:r>
      <w:r w:rsidR="00400B13" w:rsidRPr="005B03CE">
        <w:rPr>
          <w:noProof/>
        </w:rPr>
        <w:t>.</w:t>
      </w:r>
    </w:p>
    <w:p w:rsidR="00B1688D" w:rsidRPr="005B03CE" w:rsidRDefault="004A06D6" w:rsidP="004A06D6">
      <w:pPr>
        <w:pStyle w:val="ManualConsidrant"/>
        <w:rPr>
          <w:noProof/>
        </w:rPr>
      </w:pPr>
      <w:r w:rsidRPr="004A06D6">
        <w:t>(20)</w:t>
      </w:r>
      <w:r w:rsidRPr="004A06D6">
        <w:tab/>
      </w:r>
      <w:r w:rsidR="00B1688D" w:rsidRPr="005B03CE">
        <w:rPr>
          <w:noProof/>
        </w:rPr>
        <w:t xml:space="preserve">In supporting operational </w:t>
      </w:r>
      <w:r w:rsidR="00AF48B5" w:rsidRPr="005B03CE">
        <w:rPr>
          <w:noProof/>
        </w:rPr>
        <w:t>cybersecurity</w:t>
      </w:r>
      <w:r w:rsidR="00B1688D" w:rsidRPr="005B03CE">
        <w:rPr>
          <w:noProof/>
        </w:rPr>
        <w:t>, CERT-EU should make use of the available expertise of the European Union Agency for Cybersecurity through structured cooperation</w:t>
      </w:r>
      <w:r w:rsidR="00CE36B2" w:rsidRPr="005B03CE">
        <w:rPr>
          <w:noProof/>
        </w:rPr>
        <w:t xml:space="preserve"> as </w:t>
      </w:r>
      <w:r w:rsidR="00D21C98" w:rsidRPr="005B03CE">
        <w:rPr>
          <w:noProof/>
        </w:rPr>
        <w:t xml:space="preserve">provided for </w:t>
      </w:r>
      <w:r w:rsidR="00CE36B2" w:rsidRPr="005B03CE">
        <w:rPr>
          <w:noProof/>
        </w:rPr>
        <w:t>in Regulation (EU) 2019/881</w:t>
      </w:r>
      <w:r w:rsidR="00D21C98" w:rsidRPr="005B03CE">
        <w:rPr>
          <w:noProof/>
        </w:rPr>
        <w:t xml:space="preserve"> of the European Parliament and of the Council</w:t>
      </w:r>
      <w:r w:rsidR="00D21C98" w:rsidRPr="005B03CE">
        <w:rPr>
          <w:rStyle w:val="FootnoteReference"/>
          <w:noProof/>
          <w:szCs w:val="24"/>
        </w:rPr>
        <w:footnoteReference w:id="6"/>
      </w:r>
      <w:r w:rsidR="00B1688D" w:rsidRPr="005B03CE">
        <w:rPr>
          <w:noProof/>
        </w:rPr>
        <w:t>.</w:t>
      </w:r>
      <w:r w:rsidR="00AF48B5" w:rsidRPr="005B03CE">
        <w:rPr>
          <w:noProof/>
        </w:rPr>
        <w:t xml:space="preserve"> </w:t>
      </w:r>
      <w:r w:rsidR="00B1688D" w:rsidRPr="005B03CE">
        <w:rPr>
          <w:noProof/>
        </w:rPr>
        <w:t xml:space="preserve">Where appropriate, dedicated arrangements between the two entities should be established to define the practical implementation of such cooperation and to avoid the duplication of activities. CERT-EU should </w:t>
      </w:r>
      <w:r w:rsidR="00771E50" w:rsidRPr="005B03CE">
        <w:rPr>
          <w:noProof/>
        </w:rPr>
        <w:t xml:space="preserve">cooperate with the European Union Agency for Cybersecurity on threat analysis and share its threat landscape report with the Agency </w:t>
      </w:r>
      <w:r w:rsidR="00B1688D" w:rsidRPr="005B03CE">
        <w:rPr>
          <w:noProof/>
        </w:rPr>
        <w:t>on a regular basis.</w:t>
      </w:r>
    </w:p>
    <w:p w:rsidR="00FB3FD5" w:rsidRPr="005B03CE" w:rsidRDefault="004A06D6" w:rsidP="004A06D6">
      <w:pPr>
        <w:pStyle w:val="ManualConsidrant"/>
        <w:rPr>
          <w:noProof/>
        </w:rPr>
      </w:pPr>
      <w:r w:rsidRPr="004A06D6">
        <w:t>(21)</w:t>
      </w:r>
      <w:r w:rsidRPr="004A06D6">
        <w:tab/>
      </w:r>
      <w:r w:rsidR="004441CB" w:rsidRPr="005B03CE">
        <w:rPr>
          <w:noProof/>
        </w:rPr>
        <w:t xml:space="preserve">In support of the </w:t>
      </w:r>
      <w:r w:rsidR="00FB3FD5" w:rsidRPr="005B03CE">
        <w:rPr>
          <w:noProof/>
        </w:rPr>
        <w:t>Joint Cyber Unit</w:t>
      </w:r>
      <w:r w:rsidR="00317649" w:rsidRPr="005B03CE">
        <w:rPr>
          <w:noProof/>
        </w:rPr>
        <w:t xml:space="preserve"> built in accordance with </w:t>
      </w:r>
      <w:r w:rsidR="00B13727" w:rsidRPr="005B03CE">
        <w:rPr>
          <w:noProof/>
        </w:rPr>
        <w:t xml:space="preserve">the </w:t>
      </w:r>
      <w:r w:rsidR="00317649" w:rsidRPr="005B03CE">
        <w:rPr>
          <w:noProof/>
        </w:rPr>
        <w:t>Commission Recommendation of 23 June 2021</w:t>
      </w:r>
      <w:r w:rsidR="00317649" w:rsidRPr="005B03CE">
        <w:rPr>
          <w:rStyle w:val="FootnoteReference"/>
          <w:noProof/>
          <w:szCs w:val="24"/>
        </w:rPr>
        <w:footnoteReference w:id="7"/>
      </w:r>
      <w:r w:rsidR="004441CB" w:rsidRPr="005B03CE">
        <w:rPr>
          <w:noProof/>
        </w:rPr>
        <w:t xml:space="preserve">, </w:t>
      </w:r>
      <w:r w:rsidR="00A53007" w:rsidRPr="005B03CE">
        <w:rPr>
          <w:noProof/>
        </w:rPr>
        <w:t>CERT-EU should</w:t>
      </w:r>
      <w:r w:rsidR="004441CB" w:rsidRPr="005B03CE">
        <w:rPr>
          <w:noProof/>
        </w:rPr>
        <w:t xml:space="preserve"> cooperate and exchange information with stakeholders to foster operational cooperation and to enable the existing networks in realising their full potential in protecting the Union.</w:t>
      </w:r>
    </w:p>
    <w:p w:rsidR="003D4C20" w:rsidRPr="005B03CE" w:rsidRDefault="004A06D6" w:rsidP="004A06D6">
      <w:pPr>
        <w:pStyle w:val="ManualConsidrant"/>
        <w:rPr>
          <w:noProof/>
        </w:rPr>
      </w:pPr>
      <w:r w:rsidRPr="004A06D6">
        <w:t>(22)</w:t>
      </w:r>
      <w:r w:rsidRPr="004A06D6">
        <w:tab/>
      </w:r>
      <w:r w:rsidR="003D4C20" w:rsidRPr="005B03CE">
        <w:rPr>
          <w:noProof/>
        </w:rPr>
        <w:t>All personal data processed under this Regulation should be processed in accordance with data protection legislation including Regulation (EU) 2018/1725 of the European Parliament and of the Council.</w:t>
      </w:r>
      <w:r w:rsidR="003D4C20" w:rsidRPr="005B03CE">
        <w:rPr>
          <w:rStyle w:val="FootnoteReference"/>
          <w:noProof/>
          <w:szCs w:val="24"/>
        </w:rPr>
        <w:footnoteReference w:id="8"/>
      </w:r>
    </w:p>
    <w:p w:rsidR="003D4C20" w:rsidRPr="005B03CE" w:rsidRDefault="004A06D6" w:rsidP="004A06D6">
      <w:pPr>
        <w:pStyle w:val="ManualConsidrant"/>
        <w:rPr>
          <w:noProof/>
        </w:rPr>
      </w:pPr>
      <w:r w:rsidRPr="004A06D6">
        <w:t>(23)</w:t>
      </w:r>
      <w:r w:rsidRPr="004A06D6">
        <w:tab/>
      </w:r>
      <w:r w:rsidR="003D4C20" w:rsidRPr="005B03CE">
        <w:rPr>
          <w:noProof/>
        </w:rPr>
        <w:t xml:space="preserve">The handling of information by CERT-EU and the Union </w:t>
      </w:r>
      <w:r w:rsidR="00DB116F" w:rsidRPr="005B03CE">
        <w:rPr>
          <w:noProof/>
        </w:rPr>
        <w:t>institutions, bodies and agencies</w:t>
      </w:r>
      <w:r w:rsidR="003D4C20" w:rsidRPr="005B03CE">
        <w:rPr>
          <w:noProof/>
        </w:rPr>
        <w:t xml:space="preserve"> should be in line with the rules laid down in </w:t>
      </w:r>
      <w:r w:rsidR="00415169" w:rsidRPr="005B03CE">
        <w:rPr>
          <w:noProof/>
        </w:rPr>
        <w:t xml:space="preserve">Regulation </w:t>
      </w:r>
      <w:r w:rsidR="003D4C20" w:rsidRPr="005B03CE">
        <w:rPr>
          <w:noProof/>
        </w:rPr>
        <w:t>[proposed Regulation on information security]. To ensure coordination o</w:t>
      </w:r>
      <w:r w:rsidR="00091C96" w:rsidRPr="005B03CE">
        <w:rPr>
          <w:noProof/>
        </w:rPr>
        <w:t>n</w:t>
      </w:r>
      <w:r w:rsidR="003D4C20" w:rsidRPr="005B03CE">
        <w:rPr>
          <w:noProof/>
        </w:rPr>
        <w:t xml:space="preserve"> security matters, any contacts with CERT-EU initiated or sought by national security and intelligence services should be communicated to the Commission’s Security Directorate and the chair of the IICB without undue delay.</w:t>
      </w:r>
    </w:p>
    <w:p w:rsidR="00B1688D" w:rsidRPr="005B03CE" w:rsidRDefault="004A06D6" w:rsidP="004A06D6">
      <w:pPr>
        <w:pStyle w:val="ManualConsidrant"/>
        <w:rPr>
          <w:noProof/>
        </w:rPr>
      </w:pPr>
      <w:r w:rsidRPr="004A06D6">
        <w:t>(24)</w:t>
      </w:r>
      <w:r w:rsidRPr="004A06D6">
        <w:tab/>
      </w:r>
      <w:r w:rsidR="003D4C20" w:rsidRPr="005B03CE">
        <w:rPr>
          <w:noProof/>
        </w:rPr>
        <w:t xml:space="preserve">As the services and tasks of CERT-EU are in the interest of all Union </w:t>
      </w:r>
      <w:r w:rsidR="00DB116F" w:rsidRPr="005B03CE">
        <w:rPr>
          <w:noProof/>
        </w:rPr>
        <w:t>institutions, bodies and agencies</w:t>
      </w:r>
      <w:r w:rsidR="003D4C20" w:rsidRPr="005B03CE">
        <w:rPr>
          <w:noProof/>
        </w:rPr>
        <w:t>, e</w:t>
      </w:r>
      <w:r w:rsidR="00531387" w:rsidRPr="005B03CE">
        <w:rPr>
          <w:noProof/>
        </w:rPr>
        <w:t xml:space="preserve">ach Union </w:t>
      </w:r>
      <w:r w:rsidR="00962D0F" w:rsidRPr="005B03CE">
        <w:rPr>
          <w:noProof/>
        </w:rPr>
        <w:t>institution, body and agency</w:t>
      </w:r>
      <w:r w:rsidR="00531387" w:rsidRPr="005B03CE">
        <w:rPr>
          <w:noProof/>
        </w:rPr>
        <w:t xml:space="preserve"> </w:t>
      </w:r>
      <w:r w:rsidR="008A67FD" w:rsidRPr="005B03CE">
        <w:rPr>
          <w:noProof/>
        </w:rPr>
        <w:t xml:space="preserve">with IT expenditure </w:t>
      </w:r>
      <w:r w:rsidR="00531387" w:rsidRPr="005B03CE">
        <w:rPr>
          <w:noProof/>
        </w:rPr>
        <w:t>should contribute a fair share to th</w:t>
      </w:r>
      <w:r w:rsidR="003D4C20" w:rsidRPr="005B03CE">
        <w:rPr>
          <w:noProof/>
        </w:rPr>
        <w:t>os</w:t>
      </w:r>
      <w:r w:rsidR="00531387" w:rsidRPr="005B03CE">
        <w:rPr>
          <w:noProof/>
        </w:rPr>
        <w:t xml:space="preserve">e services and tasks. </w:t>
      </w:r>
      <w:r w:rsidR="0039401C" w:rsidRPr="005B03CE">
        <w:rPr>
          <w:noProof/>
        </w:rPr>
        <w:t>Th</w:t>
      </w:r>
      <w:r w:rsidR="003D4C20" w:rsidRPr="005B03CE">
        <w:rPr>
          <w:noProof/>
        </w:rPr>
        <w:t>o</w:t>
      </w:r>
      <w:r w:rsidR="0039401C" w:rsidRPr="005B03CE">
        <w:rPr>
          <w:noProof/>
        </w:rPr>
        <w:t xml:space="preserve">se contributions are without prejudice to the budgetary autonomy of the Union </w:t>
      </w:r>
      <w:r w:rsidR="00DB116F" w:rsidRPr="005B03CE">
        <w:rPr>
          <w:noProof/>
        </w:rPr>
        <w:t>institutions, bodies and agencies</w:t>
      </w:r>
      <w:r w:rsidR="0039401C" w:rsidRPr="005B03CE">
        <w:rPr>
          <w:noProof/>
        </w:rPr>
        <w:t>.</w:t>
      </w:r>
    </w:p>
    <w:p w:rsidR="002E56D2" w:rsidRPr="005B03CE" w:rsidRDefault="004A06D6" w:rsidP="004A06D6">
      <w:pPr>
        <w:pStyle w:val="ManualConsidrant"/>
        <w:rPr>
          <w:noProof/>
        </w:rPr>
      </w:pPr>
      <w:bookmarkStart w:id="2" w:name="_Hlk96689558"/>
      <w:r w:rsidRPr="004A06D6">
        <w:t>(25)</w:t>
      </w:r>
      <w:r w:rsidRPr="004A06D6">
        <w:tab/>
      </w:r>
      <w:r w:rsidR="00B1688D" w:rsidRPr="005B03CE">
        <w:rPr>
          <w:noProof/>
        </w:rPr>
        <w:t>The IICB</w:t>
      </w:r>
      <w:r w:rsidR="001F2C30" w:rsidRPr="005B03CE">
        <w:rPr>
          <w:noProof/>
        </w:rPr>
        <w:t>, with the assistance of CERT-EU,</w:t>
      </w:r>
      <w:r w:rsidR="00B1688D" w:rsidRPr="005B03CE">
        <w:rPr>
          <w:noProof/>
        </w:rPr>
        <w:t xml:space="preserve"> should review </w:t>
      </w:r>
      <w:r w:rsidR="001F2C30" w:rsidRPr="005B03CE">
        <w:rPr>
          <w:noProof/>
        </w:rPr>
        <w:t xml:space="preserve">and evaluate </w:t>
      </w:r>
      <w:r w:rsidR="00B1688D" w:rsidRPr="005B03CE">
        <w:rPr>
          <w:noProof/>
        </w:rPr>
        <w:t xml:space="preserve">the </w:t>
      </w:r>
      <w:r w:rsidR="0029749C" w:rsidRPr="005B03CE">
        <w:rPr>
          <w:noProof/>
        </w:rPr>
        <w:t xml:space="preserve">implementation </w:t>
      </w:r>
      <w:r w:rsidR="00B1688D" w:rsidRPr="005B03CE">
        <w:rPr>
          <w:noProof/>
        </w:rPr>
        <w:t>of this Regulation</w:t>
      </w:r>
      <w:r w:rsidR="003D4C20" w:rsidRPr="005B03CE">
        <w:rPr>
          <w:noProof/>
        </w:rPr>
        <w:t xml:space="preserve"> </w:t>
      </w:r>
      <w:r w:rsidR="00B1688D" w:rsidRPr="005B03CE">
        <w:rPr>
          <w:noProof/>
        </w:rPr>
        <w:t xml:space="preserve">and should report </w:t>
      </w:r>
      <w:r w:rsidR="003D4C20" w:rsidRPr="005B03CE">
        <w:rPr>
          <w:noProof/>
        </w:rPr>
        <w:t xml:space="preserve">its findings </w:t>
      </w:r>
      <w:r w:rsidR="00B1688D" w:rsidRPr="005B03CE">
        <w:rPr>
          <w:noProof/>
        </w:rPr>
        <w:t xml:space="preserve">to the </w:t>
      </w:r>
      <w:r w:rsidR="001F2C30" w:rsidRPr="005B03CE">
        <w:rPr>
          <w:noProof/>
        </w:rPr>
        <w:t xml:space="preserve">Commission. Building on this input, the Commission should report to the </w:t>
      </w:r>
      <w:r w:rsidR="00B1688D" w:rsidRPr="005B03CE">
        <w:rPr>
          <w:noProof/>
        </w:rPr>
        <w:t>European Parliament, the Council</w:t>
      </w:r>
      <w:r w:rsidR="00A4291C" w:rsidRPr="005B03CE">
        <w:rPr>
          <w:noProof/>
        </w:rPr>
        <w:t>,</w:t>
      </w:r>
      <w:r w:rsidR="00B1688D" w:rsidRPr="005B03CE">
        <w:rPr>
          <w:noProof/>
        </w:rPr>
        <w:t xml:space="preserve"> the </w:t>
      </w:r>
      <w:r w:rsidR="001F2C30" w:rsidRPr="005B03CE">
        <w:rPr>
          <w:noProof/>
        </w:rPr>
        <w:t>European Economic and Social Committee and the Committee of the Regions</w:t>
      </w:r>
      <w:r w:rsidR="00464461" w:rsidRPr="005B03CE">
        <w:rPr>
          <w:noProof/>
        </w:rPr>
        <w:t>.</w:t>
      </w:r>
    </w:p>
    <w:bookmarkEnd w:id="2"/>
    <w:p w:rsidR="002E56D2" w:rsidRPr="005B03CE" w:rsidRDefault="002E56D2" w:rsidP="00EF462E">
      <w:pPr>
        <w:pStyle w:val="Formuledadoption"/>
        <w:rPr>
          <w:noProof/>
          <w:szCs w:val="24"/>
        </w:rPr>
      </w:pPr>
      <w:r w:rsidRPr="005B03CE">
        <w:rPr>
          <w:noProof/>
          <w:szCs w:val="24"/>
        </w:rPr>
        <w:t>HAVE ADOPTED THIS REGULATION:</w:t>
      </w:r>
    </w:p>
    <w:p w:rsidR="008A7D49" w:rsidRPr="005B03CE" w:rsidRDefault="008A7D49" w:rsidP="009C6A61">
      <w:pPr>
        <w:pStyle w:val="ChapterTitle"/>
        <w:spacing w:before="360"/>
        <w:rPr>
          <w:i/>
          <w:noProof/>
          <w:sz w:val="24"/>
          <w:szCs w:val="24"/>
        </w:rPr>
      </w:pPr>
      <w:r w:rsidRPr="005B03CE">
        <w:rPr>
          <w:noProof/>
          <w:sz w:val="24"/>
          <w:szCs w:val="24"/>
        </w:rPr>
        <w:t>Chapter I</w:t>
      </w:r>
      <w:r w:rsidRPr="005B03CE">
        <w:rPr>
          <w:noProof/>
          <w:sz w:val="24"/>
          <w:szCs w:val="24"/>
        </w:rPr>
        <w:br/>
        <w:t>GENERAL PROVISIONS</w:t>
      </w:r>
    </w:p>
    <w:p w:rsidR="002E56D2" w:rsidRPr="005B03CE" w:rsidRDefault="002E56D2" w:rsidP="00EF462E">
      <w:pPr>
        <w:pStyle w:val="Titrearticle"/>
        <w:rPr>
          <w:noProof/>
          <w:szCs w:val="24"/>
        </w:rPr>
      </w:pPr>
      <w:r w:rsidRPr="005B03CE">
        <w:rPr>
          <w:noProof/>
          <w:szCs w:val="24"/>
        </w:rPr>
        <w:t>Article 1</w:t>
      </w:r>
      <w:r w:rsidR="008A7D49" w:rsidRPr="005B03CE">
        <w:rPr>
          <w:noProof/>
          <w:szCs w:val="24"/>
        </w:rPr>
        <w:br/>
      </w:r>
      <w:r w:rsidR="008A7D49" w:rsidRPr="005B03CE">
        <w:rPr>
          <w:b/>
          <w:noProof/>
          <w:szCs w:val="24"/>
        </w:rPr>
        <w:t>Subject</w:t>
      </w:r>
      <w:r w:rsidR="003D4C20" w:rsidRPr="005B03CE">
        <w:rPr>
          <w:b/>
          <w:noProof/>
          <w:szCs w:val="24"/>
        </w:rPr>
        <w:t>-</w:t>
      </w:r>
      <w:r w:rsidR="008A7D49" w:rsidRPr="005B03CE">
        <w:rPr>
          <w:b/>
          <w:noProof/>
          <w:szCs w:val="24"/>
        </w:rPr>
        <w:t>matter</w:t>
      </w:r>
    </w:p>
    <w:p w:rsidR="00C06094" w:rsidRPr="005B03CE" w:rsidRDefault="008A7D49" w:rsidP="00E33D22">
      <w:pPr>
        <w:rPr>
          <w:noProof/>
        </w:rPr>
      </w:pPr>
      <w:r w:rsidRPr="005B03CE">
        <w:rPr>
          <w:noProof/>
        </w:rPr>
        <w:t>This Regulation</w:t>
      </w:r>
      <w:r w:rsidR="00FB3FD5" w:rsidRPr="005B03CE">
        <w:rPr>
          <w:noProof/>
        </w:rPr>
        <w:t xml:space="preserve"> lays down</w:t>
      </w:r>
      <w:r w:rsidR="00F61C1D" w:rsidRPr="005B03CE">
        <w:rPr>
          <w:noProof/>
        </w:rPr>
        <w:t>:</w:t>
      </w:r>
    </w:p>
    <w:p w:rsidR="008474F4" w:rsidRPr="005B03CE" w:rsidRDefault="004A06D6" w:rsidP="004A06D6">
      <w:pPr>
        <w:pStyle w:val="Point0"/>
        <w:rPr>
          <w:noProof/>
        </w:rPr>
      </w:pPr>
      <w:r w:rsidRPr="004A06D6">
        <w:t>(a)</w:t>
      </w:r>
      <w:r w:rsidRPr="004A06D6">
        <w:tab/>
      </w:r>
      <w:r w:rsidR="0034043F" w:rsidRPr="005B03CE">
        <w:rPr>
          <w:noProof/>
        </w:rPr>
        <w:t xml:space="preserve">obligations on </w:t>
      </w:r>
      <w:r w:rsidR="00B07028" w:rsidRPr="005B03CE">
        <w:rPr>
          <w:noProof/>
        </w:rPr>
        <w:t xml:space="preserve">Union </w:t>
      </w:r>
      <w:r w:rsidR="00DB116F" w:rsidRPr="005B03CE">
        <w:rPr>
          <w:noProof/>
        </w:rPr>
        <w:t>institutions, bodies and agencies</w:t>
      </w:r>
      <w:r w:rsidR="00F61C1D" w:rsidRPr="005B03CE">
        <w:rPr>
          <w:noProof/>
        </w:rPr>
        <w:t xml:space="preserve"> to </w:t>
      </w:r>
      <w:r w:rsidR="008474F4" w:rsidRPr="005B03CE">
        <w:rPr>
          <w:noProof/>
        </w:rPr>
        <w:t>establish an</w:t>
      </w:r>
      <w:r w:rsidR="00F61C1D" w:rsidRPr="005B03CE">
        <w:rPr>
          <w:noProof/>
        </w:rPr>
        <w:t xml:space="preserve"> </w:t>
      </w:r>
      <w:r w:rsidR="008474F4" w:rsidRPr="005B03CE">
        <w:rPr>
          <w:noProof/>
        </w:rPr>
        <w:t>internal cybersecurity risk management, g</w:t>
      </w:r>
      <w:r w:rsidR="00F61C1D" w:rsidRPr="005B03CE">
        <w:rPr>
          <w:noProof/>
        </w:rPr>
        <w:t>overnance and control framework</w:t>
      </w:r>
      <w:r w:rsidR="007F373E" w:rsidRPr="005B03CE">
        <w:rPr>
          <w:noProof/>
        </w:rPr>
        <w:t>;</w:t>
      </w:r>
    </w:p>
    <w:p w:rsidR="008A7D49" w:rsidRPr="005B03CE" w:rsidRDefault="004A06D6" w:rsidP="004A06D6">
      <w:pPr>
        <w:pStyle w:val="Point0"/>
        <w:rPr>
          <w:noProof/>
        </w:rPr>
      </w:pPr>
      <w:r w:rsidRPr="004A06D6">
        <w:t>(b)</w:t>
      </w:r>
      <w:r w:rsidRPr="004A06D6">
        <w:tab/>
      </w:r>
      <w:r w:rsidR="008474F4" w:rsidRPr="005B03CE">
        <w:rPr>
          <w:noProof/>
        </w:rPr>
        <w:t>cybersecurity risk management and r</w:t>
      </w:r>
      <w:r w:rsidR="00650F5A" w:rsidRPr="005B03CE">
        <w:rPr>
          <w:noProof/>
        </w:rPr>
        <w:t>eporting obligations for</w:t>
      </w:r>
      <w:r w:rsidR="007F373E" w:rsidRPr="005B03CE">
        <w:rPr>
          <w:noProof/>
        </w:rPr>
        <w:t xml:space="preserve"> </w:t>
      </w:r>
      <w:r w:rsidR="00B07028" w:rsidRPr="005B03CE">
        <w:rPr>
          <w:noProof/>
        </w:rPr>
        <w:t xml:space="preserve">Union </w:t>
      </w:r>
      <w:r w:rsidR="00DB116F" w:rsidRPr="005B03CE">
        <w:rPr>
          <w:noProof/>
        </w:rPr>
        <w:t>institutions, bodies and agencies</w:t>
      </w:r>
      <w:r w:rsidR="007F373E" w:rsidRPr="005B03CE">
        <w:rPr>
          <w:noProof/>
        </w:rPr>
        <w:t>;</w:t>
      </w:r>
    </w:p>
    <w:p w:rsidR="00C06094" w:rsidRPr="005B03CE" w:rsidRDefault="004A06D6" w:rsidP="004A06D6">
      <w:pPr>
        <w:pStyle w:val="Point0"/>
        <w:rPr>
          <w:noProof/>
        </w:rPr>
      </w:pPr>
      <w:r w:rsidRPr="004A06D6">
        <w:t>(c)</w:t>
      </w:r>
      <w:r w:rsidRPr="004A06D6">
        <w:tab/>
      </w:r>
      <w:r w:rsidR="008A7D49" w:rsidRPr="005B03CE">
        <w:rPr>
          <w:noProof/>
        </w:rPr>
        <w:t>rules on the organisation</w:t>
      </w:r>
      <w:r w:rsidR="0034043F" w:rsidRPr="005B03CE">
        <w:rPr>
          <w:noProof/>
        </w:rPr>
        <w:t xml:space="preserve"> and operation of the</w:t>
      </w:r>
      <w:r w:rsidR="008A7D49" w:rsidRPr="005B03CE">
        <w:rPr>
          <w:noProof/>
        </w:rPr>
        <w:t xml:space="preserve"> Cybersecurity Centre for the </w:t>
      </w:r>
      <w:r w:rsidR="00B07028" w:rsidRPr="005B03CE">
        <w:rPr>
          <w:noProof/>
        </w:rPr>
        <w:t xml:space="preserve">Union </w:t>
      </w:r>
      <w:r w:rsidR="00DB116F" w:rsidRPr="005B03CE">
        <w:rPr>
          <w:noProof/>
        </w:rPr>
        <w:t>institutions, bodies and agencies</w:t>
      </w:r>
      <w:r w:rsidR="008A7D49" w:rsidRPr="005B03CE">
        <w:rPr>
          <w:noProof/>
        </w:rPr>
        <w:t xml:space="preserve"> (CERT-EU) and on the organisation and operation of the Interinstitutional Cybersecurity Board.</w:t>
      </w:r>
    </w:p>
    <w:p w:rsidR="002E56D2" w:rsidRPr="005B03CE" w:rsidRDefault="002E56D2" w:rsidP="00EF462E">
      <w:pPr>
        <w:pStyle w:val="Titrearticle"/>
        <w:rPr>
          <w:b/>
          <w:noProof/>
          <w:szCs w:val="24"/>
        </w:rPr>
      </w:pPr>
      <w:r w:rsidRPr="005B03CE">
        <w:rPr>
          <w:noProof/>
          <w:szCs w:val="24"/>
        </w:rPr>
        <w:t xml:space="preserve">Article </w:t>
      </w:r>
      <w:r w:rsidR="00DE5814" w:rsidRPr="005B03CE">
        <w:rPr>
          <w:noProof/>
          <w:szCs w:val="24"/>
        </w:rPr>
        <w:t>2</w:t>
      </w:r>
      <w:r w:rsidR="00DE5814" w:rsidRPr="005B03CE">
        <w:rPr>
          <w:noProof/>
          <w:szCs w:val="24"/>
        </w:rPr>
        <w:br/>
      </w:r>
      <w:r w:rsidR="00DE5814" w:rsidRPr="005B03CE">
        <w:rPr>
          <w:b/>
          <w:noProof/>
          <w:szCs w:val="24"/>
        </w:rPr>
        <w:t>Scope</w:t>
      </w:r>
    </w:p>
    <w:p w:rsidR="00DE5814" w:rsidRPr="005B03CE" w:rsidRDefault="00DE5814" w:rsidP="00E33D22">
      <w:pPr>
        <w:rPr>
          <w:noProof/>
        </w:rPr>
      </w:pPr>
      <w:r w:rsidRPr="005B03CE">
        <w:rPr>
          <w:noProof/>
        </w:rPr>
        <w:t xml:space="preserve">This Regulation applies to the management, governance and control of cybersecurity risks by all </w:t>
      </w:r>
      <w:r w:rsidR="00B07028" w:rsidRPr="005B03CE">
        <w:rPr>
          <w:noProof/>
        </w:rPr>
        <w:t xml:space="preserve">Union </w:t>
      </w:r>
      <w:r w:rsidR="00DB116F" w:rsidRPr="005B03CE">
        <w:rPr>
          <w:noProof/>
        </w:rPr>
        <w:t>institutions, bodies and agencies</w:t>
      </w:r>
      <w:r w:rsidRPr="005B03CE">
        <w:rPr>
          <w:noProof/>
        </w:rPr>
        <w:t xml:space="preserve"> and to the organisation and operation of CERT-EU and </w:t>
      </w:r>
      <w:r w:rsidR="008001BF" w:rsidRPr="005B03CE">
        <w:rPr>
          <w:noProof/>
        </w:rPr>
        <w:t>the Interinstitutional Cybersecurity Board</w:t>
      </w:r>
      <w:r w:rsidRPr="005B03CE">
        <w:rPr>
          <w:noProof/>
        </w:rPr>
        <w:t>.</w:t>
      </w:r>
    </w:p>
    <w:p w:rsidR="00DE5814" w:rsidRPr="005B03CE" w:rsidRDefault="00DE5814" w:rsidP="00DE5814">
      <w:pPr>
        <w:pStyle w:val="Titrearticle"/>
        <w:rPr>
          <w:b/>
          <w:noProof/>
          <w:szCs w:val="24"/>
        </w:rPr>
      </w:pPr>
      <w:r w:rsidRPr="005B03CE">
        <w:rPr>
          <w:noProof/>
          <w:szCs w:val="24"/>
        </w:rPr>
        <w:t>Article 3</w:t>
      </w:r>
      <w:r w:rsidRPr="005B03CE">
        <w:rPr>
          <w:noProof/>
          <w:szCs w:val="24"/>
        </w:rPr>
        <w:br/>
      </w:r>
      <w:r w:rsidRPr="005B03CE">
        <w:rPr>
          <w:b/>
          <w:noProof/>
          <w:szCs w:val="24"/>
        </w:rPr>
        <w:t>Definitions</w:t>
      </w:r>
    </w:p>
    <w:p w:rsidR="00DE5814" w:rsidRPr="005B03CE" w:rsidRDefault="00DE5814" w:rsidP="00DE5814">
      <w:pPr>
        <w:rPr>
          <w:noProof/>
          <w:szCs w:val="24"/>
        </w:rPr>
      </w:pPr>
      <w:r w:rsidRPr="005B03CE">
        <w:rPr>
          <w:noProof/>
          <w:szCs w:val="24"/>
        </w:rPr>
        <w:t>For the purpose of this Regulation, the following definitions apply:</w:t>
      </w:r>
    </w:p>
    <w:p w:rsidR="00E33D22" w:rsidRPr="005B03CE" w:rsidRDefault="004A06D6" w:rsidP="004A06D6">
      <w:pPr>
        <w:pStyle w:val="Point0"/>
        <w:rPr>
          <w:noProof/>
        </w:rPr>
      </w:pPr>
      <w:r w:rsidRPr="004A06D6">
        <w:t>(1)</w:t>
      </w:r>
      <w:r w:rsidRPr="004A06D6">
        <w:tab/>
      </w:r>
      <w:r w:rsidR="00E33D22" w:rsidRPr="005B03CE">
        <w:rPr>
          <w:noProof/>
        </w:rPr>
        <w:t>‘Union institutions, bodies and agencies’ means the Union institutions, bodies and agencies set up by, or on the basis of, the Treaty on European Union, the Treaty on the functioning of European Union or the Treaty establishing the European Atomic Energy Community;</w:t>
      </w:r>
    </w:p>
    <w:p w:rsidR="00E33D22" w:rsidRPr="005B03CE" w:rsidRDefault="004A06D6" w:rsidP="004A06D6">
      <w:pPr>
        <w:pStyle w:val="Point0"/>
        <w:rPr>
          <w:noProof/>
        </w:rPr>
      </w:pPr>
      <w:r w:rsidRPr="004A06D6">
        <w:t>(2)</w:t>
      </w:r>
      <w:r w:rsidRPr="004A06D6">
        <w:tab/>
      </w:r>
      <w:r w:rsidR="00E33D22" w:rsidRPr="005B03CE">
        <w:rPr>
          <w:noProof/>
        </w:rPr>
        <w:t>‘network and information system’ means network and information system within the meaning of Article 4(1) of Directive [proposal NIS 2];</w:t>
      </w:r>
    </w:p>
    <w:p w:rsidR="00E33D22" w:rsidRPr="005B03CE" w:rsidRDefault="004A06D6" w:rsidP="004A06D6">
      <w:pPr>
        <w:pStyle w:val="Point0"/>
        <w:rPr>
          <w:noProof/>
        </w:rPr>
      </w:pPr>
      <w:r w:rsidRPr="004A06D6">
        <w:t>(3)</w:t>
      </w:r>
      <w:r w:rsidRPr="004A06D6">
        <w:tab/>
      </w:r>
      <w:r w:rsidR="00E33D22" w:rsidRPr="005B03CE">
        <w:rPr>
          <w:noProof/>
        </w:rPr>
        <w:t>‘security of network and information systems’ means security of network and information systems within the meaning of Article 4(2) of Directive [proposal NIS 2];</w:t>
      </w:r>
    </w:p>
    <w:p w:rsidR="00E33D22" w:rsidRPr="005B03CE" w:rsidRDefault="004A06D6" w:rsidP="004A06D6">
      <w:pPr>
        <w:pStyle w:val="Point0"/>
        <w:rPr>
          <w:noProof/>
        </w:rPr>
      </w:pPr>
      <w:r w:rsidRPr="004A06D6">
        <w:t>(4)</w:t>
      </w:r>
      <w:r w:rsidRPr="004A06D6">
        <w:tab/>
      </w:r>
      <w:r w:rsidR="00E33D22" w:rsidRPr="005B03CE">
        <w:rPr>
          <w:noProof/>
        </w:rPr>
        <w:t>‘cybersecurity’ means cybersecurity within the meaning of Article 4(3) of Directive [proposal NIS 2];</w:t>
      </w:r>
    </w:p>
    <w:p w:rsidR="00E33D22" w:rsidRPr="005B03CE" w:rsidRDefault="004A06D6" w:rsidP="004A06D6">
      <w:pPr>
        <w:pStyle w:val="Point0"/>
        <w:rPr>
          <w:noProof/>
        </w:rPr>
      </w:pPr>
      <w:r w:rsidRPr="004A06D6">
        <w:t>(5)</w:t>
      </w:r>
      <w:r w:rsidRPr="004A06D6">
        <w:tab/>
      </w:r>
      <w:r w:rsidR="00E33D22" w:rsidRPr="005B03CE">
        <w:rPr>
          <w:noProof/>
        </w:rPr>
        <w:t>‘highest level of management’ means a manager, management or coordination and oversight body at the most senior administrative level, taking account of the high-level governance arrangements in each Union institution, body or agency;</w:t>
      </w:r>
    </w:p>
    <w:p w:rsidR="00E33D22" w:rsidRPr="005B03CE" w:rsidRDefault="004A06D6" w:rsidP="004A06D6">
      <w:pPr>
        <w:pStyle w:val="Point0"/>
        <w:rPr>
          <w:noProof/>
        </w:rPr>
      </w:pPr>
      <w:r w:rsidRPr="004A06D6">
        <w:t>(6)</w:t>
      </w:r>
      <w:r w:rsidRPr="004A06D6">
        <w:tab/>
      </w:r>
      <w:r w:rsidR="00E33D22" w:rsidRPr="005B03CE">
        <w:rPr>
          <w:noProof/>
        </w:rPr>
        <w:t>‘incident’ means an incident within the meaning of Article 4(5)</w:t>
      </w:r>
      <w:r w:rsidR="00F61C1D" w:rsidRPr="005B03CE">
        <w:rPr>
          <w:noProof/>
        </w:rPr>
        <w:t xml:space="preserve"> of Directive [proposal NIS 2];</w:t>
      </w:r>
    </w:p>
    <w:p w:rsidR="00E33D22" w:rsidRPr="005B03CE" w:rsidRDefault="004A06D6" w:rsidP="004A06D6">
      <w:pPr>
        <w:pStyle w:val="Point0"/>
        <w:rPr>
          <w:noProof/>
        </w:rPr>
      </w:pPr>
      <w:r w:rsidRPr="004A06D6">
        <w:t>(7)</w:t>
      </w:r>
      <w:r w:rsidRPr="004A06D6">
        <w:tab/>
      </w:r>
      <w:r w:rsidR="00E33D22" w:rsidRPr="005B03CE">
        <w:rPr>
          <w:noProof/>
        </w:rPr>
        <w:t>‘significant incident’ means any incident unless it has limited impact and is likely to be already well understood in</w:t>
      </w:r>
      <w:r w:rsidR="00F61C1D" w:rsidRPr="005B03CE">
        <w:rPr>
          <w:noProof/>
        </w:rPr>
        <w:t xml:space="preserve"> terms of method or technology;</w:t>
      </w:r>
    </w:p>
    <w:p w:rsidR="00E33D22" w:rsidRPr="005B03CE" w:rsidRDefault="004A06D6" w:rsidP="004A06D6">
      <w:pPr>
        <w:pStyle w:val="Point0"/>
        <w:rPr>
          <w:noProof/>
        </w:rPr>
      </w:pPr>
      <w:r w:rsidRPr="004A06D6">
        <w:t>(8)</w:t>
      </w:r>
      <w:r w:rsidRPr="004A06D6">
        <w:tab/>
      </w:r>
      <w:r w:rsidR="00E33D22" w:rsidRPr="005B03CE">
        <w:rPr>
          <w:noProof/>
        </w:rPr>
        <w:t>‘major attack’ means any incident requiring more resources than are available at the affected Union institution, body or agency and at CERT-EU;</w:t>
      </w:r>
    </w:p>
    <w:p w:rsidR="00E33D22" w:rsidRPr="005B03CE" w:rsidRDefault="004A06D6" w:rsidP="004A06D6">
      <w:pPr>
        <w:pStyle w:val="Point0"/>
        <w:rPr>
          <w:noProof/>
        </w:rPr>
      </w:pPr>
      <w:r w:rsidRPr="004A06D6">
        <w:t>(9)</w:t>
      </w:r>
      <w:r w:rsidRPr="004A06D6">
        <w:tab/>
      </w:r>
      <w:r w:rsidR="00E33D22" w:rsidRPr="005B03CE">
        <w:rPr>
          <w:noProof/>
        </w:rPr>
        <w:t>‘incident handling’ means incident handling within the meaning of Article 4(6) of Directive [proposal NIS 2];</w:t>
      </w:r>
    </w:p>
    <w:p w:rsidR="00E33D22" w:rsidRPr="005B03CE" w:rsidRDefault="004A06D6" w:rsidP="004A06D6">
      <w:pPr>
        <w:pStyle w:val="Point0"/>
        <w:rPr>
          <w:noProof/>
        </w:rPr>
      </w:pPr>
      <w:r w:rsidRPr="004A06D6">
        <w:t>(10)</w:t>
      </w:r>
      <w:r w:rsidRPr="004A06D6">
        <w:tab/>
      </w:r>
      <w:r w:rsidR="00E33D22" w:rsidRPr="005B03CE">
        <w:rPr>
          <w:noProof/>
        </w:rPr>
        <w:t>‘cyber threat’ means cyber threat within the meaning of Article 2(</w:t>
      </w:r>
      <w:r w:rsidR="00F61C1D" w:rsidRPr="005B03CE">
        <w:rPr>
          <w:noProof/>
        </w:rPr>
        <w:t>8) of Regulation (EU) 2019/881;</w:t>
      </w:r>
    </w:p>
    <w:p w:rsidR="00E33D22" w:rsidRPr="005B03CE" w:rsidRDefault="004A06D6" w:rsidP="004A06D6">
      <w:pPr>
        <w:pStyle w:val="Point0"/>
        <w:rPr>
          <w:noProof/>
        </w:rPr>
      </w:pPr>
      <w:r w:rsidRPr="004A06D6">
        <w:t>(11)</w:t>
      </w:r>
      <w:r w:rsidRPr="004A06D6">
        <w:tab/>
      </w:r>
      <w:r w:rsidR="00E33D22" w:rsidRPr="005B03CE">
        <w:rPr>
          <w:noProof/>
        </w:rPr>
        <w:t>‘significant cyber threat’ means a cyber threat with the intention, opportunity and capability t</w:t>
      </w:r>
      <w:r w:rsidR="00F61C1D" w:rsidRPr="005B03CE">
        <w:rPr>
          <w:noProof/>
        </w:rPr>
        <w:t>o cause a significant incident;</w:t>
      </w:r>
    </w:p>
    <w:p w:rsidR="00E33D22" w:rsidRPr="005B03CE" w:rsidRDefault="004A06D6" w:rsidP="004A06D6">
      <w:pPr>
        <w:pStyle w:val="Point0"/>
        <w:rPr>
          <w:noProof/>
        </w:rPr>
      </w:pPr>
      <w:r w:rsidRPr="004A06D6">
        <w:t>(12)</w:t>
      </w:r>
      <w:r w:rsidRPr="004A06D6">
        <w:tab/>
      </w:r>
      <w:r w:rsidR="00E33D22" w:rsidRPr="005B03CE">
        <w:rPr>
          <w:noProof/>
        </w:rPr>
        <w:t>‘vulnerability’ means vulnerability within the meaning of Article 4(8) of Directive [proposal NIS 2];</w:t>
      </w:r>
    </w:p>
    <w:p w:rsidR="00E33D22" w:rsidRPr="005B03CE" w:rsidRDefault="004A06D6" w:rsidP="004A06D6">
      <w:pPr>
        <w:pStyle w:val="Point0"/>
        <w:rPr>
          <w:noProof/>
        </w:rPr>
      </w:pPr>
      <w:r w:rsidRPr="004A06D6">
        <w:t>(13)</w:t>
      </w:r>
      <w:r w:rsidRPr="004A06D6">
        <w:tab/>
      </w:r>
      <w:r w:rsidR="00E33D22" w:rsidRPr="005B03CE">
        <w:rPr>
          <w:noProof/>
        </w:rPr>
        <w:t>‘significant vulnerability’ means a vulnerability that will likely lead to a significant incident if it is exploited;</w:t>
      </w:r>
    </w:p>
    <w:p w:rsidR="00E33D22" w:rsidRPr="005B03CE" w:rsidRDefault="004A06D6" w:rsidP="004A06D6">
      <w:pPr>
        <w:pStyle w:val="Point0"/>
        <w:rPr>
          <w:noProof/>
        </w:rPr>
      </w:pPr>
      <w:r w:rsidRPr="004A06D6">
        <w:t>(14)</w:t>
      </w:r>
      <w:r w:rsidRPr="004A06D6">
        <w:tab/>
      </w:r>
      <w:r w:rsidR="00E33D22" w:rsidRPr="005B03CE">
        <w:rPr>
          <w:noProof/>
        </w:rPr>
        <w:t>‘cybersecurity risk’ means any reasonably identifiable circumstance or event having a potential adverse effect on the security of n</w:t>
      </w:r>
      <w:r w:rsidR="00F61C1D" w:rsidRPr="005B03CE">
        <w:rPr>
          <w:noProof/>
        </w:rPr>
        <w:t>etwork and information systems;</w:t>
      </w:r>
    </w:p>
    <w:p w:rsidR="00E33D22" w:rsidRPr="005B03CE" w:rsidRDefault="004A06D6" w:rsidP="004A06D6">
      <w:pPr>
        <w:pStyle w:val="Point0"/>
        <w:rPr>
          <w:noProof/>
        </w:rPr>
      </w:pPr>
      <w:r w:rsidRPr="004A06D6">
        <w:t>(15)</w:t>
      </w:r>
      <w:r w:rsidRPr="004A06D6">
        <w:tab/>
      </w:r>
      <w:r w:rsidR="00E33D22" w:rsidRPr="005B03CE">
        <w:rPr>
          <w:noProof/>
        </w:rPr>
        <w:t>‘Joint Cyber Unit’ means a virtual and physical platform for cooperation for the different cybersecurity communities in the Union, with a focus on operational and technical coordination against major cross-border cyber threats and incidents within the meaning of Commission Recommendation of 23 June 2021;</w:t>
      </w:r>
    </w:p>
    <w:p w:rsidR="00E33D22" w:rsidRPr="005B03CE" w:rsidRDefault="004A06D6" w:rsidP="004A06D6">
      <w:pPr>
        <w:pStyle w:val="Point0"/>
        <w:rPr>
          <w:noProof/>
        </w:rPr>
      </w:pPr>
      <w:r w:rsidRPr="004A06D6">
        <w:t>(16)</w:t>
      </w:r>
      <w:r w:rsidRPr="004A06D6">
        <w:tab/>
      </w:r>
      <w:r w:rsidR="00E33D22" w:rsidRPr="005B03CE">
        <w:rPr>
          <w:noProof/>
        </w:rPr>
        <w:t>‘cybersecurity baseline’ means a set of minimum cybersecurity rules with which network and information systems and their operators and users must be compliant, to minimise cybersecurity risks.</w:t>
      </w:r>
    </w:p>
    <w:p w:rsidR="00343EB7" w:rsidRPr="005B03CE" w:rsidRDefault="00343EB7" w:rsidP="009C6A61">
      <w:pPr>
        <w:pStyle w:val="ChapterTitle"/>
        <w:spacing w:before="360"/>
        <w:rPr>
          <w:i/>
          <w:noProof/>
          <w:sz w:val="24"/>
          <w:szCs w:val="24"/>
        </w:rPr>
      </w:pPr>
      <w:r w:rsidRPr="005B03CE">
        <w:rPr>
          <w:noProof/>
          <w:sz w:val="24"/>
          <w:szCs w:val="24"/>
        </w:rPr>
        <w:t>Chapter II</w:t>
      </w:r>
      <w:r w:rsidRPr="005B03CE">
        <w:rPr>
          <w:noProof/>
          <w:sz w:val="24"/>
          <w:szCs w:val="24"/>
        </w:rPr>
        <w:br/>
        <w:t>MEASURES FOR A HIGH COMMON LEVEL OF CYBERSECURITY</w:t>
      </w:r>
    </w:p>
    <w:p w:rsidR="009F0536" w:rsidRPr="005B03CE" w:rsidRDefault="009F0536" w:rsidP="009F0536">
      <w:pPr>
        <w:pStyle w:val="Titrearticle"/>
        <w:rPr>
          <w:b/>
          <w:noProof/>
          <w:szCs w:val="24"/>
        </w:rPr>
      </w:pPr>
      <w:r w:rsidRPr="005B03CE">
        <w:rPr>
          <w:noProof/>
          <w:szCs w:val="24"/>
        </w:rPr>
        <w:t>Article 4</w:t>
      </w:r>
      <w:r w:rsidRPr="005B03CE">
        <w:rPr>
          <w:noProof/>
          <w:szCs w:val="24"/>
        </w:rPr>
        <w:br/>
      </w:r>
      <w:r w:rsidRPr="005B03CE">
        <w:rPr>
          <w:b/>
          <w:noProof/>
          <w:szCs w:val="24"/>
        </w:rPr>
        <w:t>Risk management, governance and control</w:t>
      </w:r>
    </w:p>
    <w:p w:rsidR="00BB701D" w:rsidRPr="00BB701D" w:rsidRDefault="004A06D6" w:rsidP="004A06D6">
      <w:pPr>
        <w:pStyle w:val="ManualNumPar1"/>
        <w:rPr>
          <w:noProof/>
        </w:rPr>
      </w:pPr>
      <w:r w:rsidRPr="004A06D6">
        <w:t>1.</w:t>
      </w:r>
      <w:r w:rsidRPr="004A06D6">
        <w:tab/>
      </w:r>
      <w:r w:rsidR="00BB701D" w:rsidRPr="00BB701D">
        <w:rPr>
          <w:noProof/>
        </w:rPr>
        <w:t>Each Union institution, body and agency shall establish its own internal cybersecurity risk management, governance and control framework (‘the framework’) in support of the entity’s mission and exercising its institutional autonomy. This work shall be overseen by the entity’s highest level of management to ensure an effective and prudent management of all cybersecurity risks. The framework shall be in place by …. at the latest [15 months after the entry into force of this Regulation].</w:t>
      </w:r>
    </w:p>
    <w:p w:rsidR="009F0536" w:rsidRPr="005B03CE" w:rsidRDefault="004A06D6" w:rsidP="004A06D6">
      <w:pPr>
        <w:pStyle w:val="ManualNumPar1"/>
        <w:rPr>
          <w:noProof/>
        </w:rPr>
      </w:pPr>
      <w:r w:rsidRPr="004A06D6">
        <w:t>2.</w:t>
      </w:r>
      <w:r w:rsidRPr="004A06D6">
        <w:tab/>
      </w:r>
      <w:r w:rsidR="009F0536" w:rsidRPr="005B03CE">
        <w:rPr>
          <w:noProof/>
        </w:rPr>
        <w:t xml:space="preserve">The framework shall cover the entirety of the IT environment of the concerned institution, body or agency, including any on-premise IT environment, outsourced assets and services in cloud computing environments or hosted by third parties, mobile devices, corporate networks, business networks not connected to the internet and any devices connected to the IT environment. </w:t>
      </w:r>
      <w:r w:rsidR="00E3423C" w:rsidRPr="005B03CE">
        <w:rPr>
          <w:noProof/>
        </w:rPr>
        <w:t xml:space="preserve">The framework </w:t>
      </w:r>
      <w:r w:rsidR="00EE472C" w:rsidRPr="005B03CE">
        <w:rPr>
          <w:noProof/>
        </w:rPr>
        <w:t xml:space="preserve">shall </w:t>
      </w:r>
      <w:r w:rsidR="000F5125" w:rsidRPr="005B03CE">
        <w:rPr>
          <w:noProof/>
        </w:rPr>
        <w:t xml:space="preserve">take account of </w:t>
      </w:r>
      <w:r w:rsidR="00961AC7" w:rsidRPr="005B03CE">
        <w:rPr>
          <w:noProof/>
        </w:rPr>
        <w:t xml:space="preserve">business continuity </w:t>
      </w:r>
      <w:r w:rsidR="004059F8" w:rsidRPr="005B03CE">
        <w:rPr>
          <w:noProof/>
        </w:rPr>
        <w:t xml:space="preserve">and </w:t>
      </w:r>
      <w:r w:rsidR="00E3423C" w:rsidRPr="005B03CE">
        <w:rPr>
          <w:noProof/>
        </w:rPr>
        <w:t>crisis management and it shall</w:t>
      </w:r>
      <w:r w:rsidR="00EE472C" w:rsidRPr="005B03CE">
        <w:rPr>
          <w:noProof/>
        </w:rPr>
        <w:t xml:space="preserve"> </w:t>
      </w:r>
      <w:r w:rsidR="00961AC7" w:rsidRPr="005B03CE">
        <w:rPr>
          <w:noProof/>
        </w:rPr>
        <w:t>consider</w:t>
      </w:r>
      <w:r w:rsidR="005D1C5F" w:rsidRPr="005B03CE">
        <w:rPr>
          <w:noProof/>
        </w:rPr>
        <w:t xml:space="preserve"> supply chain security as well as</w:t>
      </w:r>
      <w:r w:rsidR="00EE472C" w:rsidRPr="005B03CE">
        <w:rPr>
          <w:noProof/>
        </w:rPr>
        <w:t xml:space="preserve"> the </w:t>
      </w:r>
      <w:r w:rsidR="00E3423C" w:rsidRPr="005B03CE">
        <w:rPr>
          <w:noProof/>
        </w:rPr>
        <w:t xml:space="preserve">management of </w:t>
      </w:r>
      <w:r w:rsidR="00EE472C" w:rsidRPr="005B03CE">
        <w:rPr>
          <w:noProof/>
        </w:rPr>
        <w:t>human risks that could impact the cybersecurity of the concerned Un</w:t>
      </w:r>
      <w:r w:rsidR="00E3423C" w:rsidRPr="005B03CE">
        <w:rPr>
          <w:noProof/>
        </w:rPr>
        <w:t>ion institution, body or agency.</w:t>
      </w:r>
    </w:p>
    <w:p w:rsidR="00734226" w:rsidRPr="005B03CE" w:rsidRDefault="004A06D6" w:rsidP="004A06D6">
      <w:pPr>
        <w:pStyle w:val="ManualNumPar1"/>
        <w:rPr>
          <w:noProof/>
        </w:rPr>
      </w:pPr>
      <w:r w:rsidRPr="004A06D6">
        <w:t>3.</w:t>
      </w:r>
      <w:r w:rsidRPr="004A06D6">
        <w:tab/>
      </w:r>
      <w:r w:rsidR="009F0536" w:rsidRPr="005B03CE">
        <w:rPr>
          <w:noProof/>
        </w:rPr>
        <w:t xml:space="preserve">The highest level of management of each </w:t>
      </w:r>
      <w:r w:rsidR="00F77853" w:rsidRPr="005B03CE">
        <w:rPr>
          <w:noProof/>
        </w:rPr>
        <w:t xml:space="preserve">Union </w:t>
      </w:r>
      <w:r w:rsidR="00962D0F" w:rsidRPr="005B03CE">
        <w:rPr>
          <w:noProof/>
        </w:rPr>
        <w:t>institution, body and agency</w:t>
      </w:r>
      <w:r w:rsidR="009F0536" w:rsidRPr="005B03CE">
        <w:rPr>
          <w:noProof/>
        </w:rPr>
        <w:t xml:space="preserve"> shall</w:t>
      </w:r>
      <w:r w:rsidR="00734226" w:rsidRPr="005B03CE">
        <w:rPr>
          <w:noProof/>
        </w:rPr>
        <w:t xml:space="preserve"> provide oversight over </w:t>
      </w:r>
      <w:r w:rsidR="009F0536" w:rsidRPr="005B03CE">
        <w:rPr>
          <w:noProof/>
        </w:rPr>
        <w:t xml:space="preserve">the </w:t>
      </w:r>
      <w:r w:rsidR="00540F8A" w:rsidRPr="005B03CE">
        <w:rPr>
          <w:noProof/>
        </w:rPr>
        <w:t xml:space="preserve">compliance of their organisation with the obligations </w:t>
      </w:r>
      <w:r w:rsidR="009F0536" w:rsidRPr="005B03CE">
        <w:rPr>
          <w:noProof/>
        </w:rPr>
        <w:t>related to cybersecurity risk mana</w:t>
      </w:r>
      <w:r w:rsidR="00734226" w:rsidRPr="005B03CE">
        <w:rPr>
          <w:noProof/>
        </w:rPr>
        <w:t>g</w:t>
      </w:r>
      <w:r w:rsidR="00ED07C0" w:rsidRPr="005B03CE">
        <w:rPr>
          <w:noProof/>
        </w:rPr>
        <w:t>ement, governance, and control, without prejudice to the formal responsibilities of other levels of management for compliance and risk management in their respective areas of responsibility.</w:t>
      </w:r>
    </w:p>
    <w:p w:rsidR="009F0536" w:rsidRPr="005B03CE" w:rsidRDefault="004A06D6" w:rsidP="004A06D6">
      <w:pPr>
        <w:pStyle w:val="ManualNumPar1"/>
        <w:rPr>
          <w:noProof/>
        </w:rPr>
      </w:pPr>
      <w:r w:rsidRPr="004A06D6">
        <w:t>4.</w:t>
      </w:r>
      <w:r w:rsidRPr="004A06D6">
        <w:tab/>
      </w:r>
      <w:r w:rsidR="00734226" w:rsidRPr="005B03CE">
        <w:rPr>
          <w:noProof/>
        </w:rPr>
        <w:t xml:space="preserve">Each Union </w:t>
      </w:r>
      <w:r w:rsidR="00962D0F" w:rsidRPr="005B03CE">
        <w:rPr>
          <w:noProof/>
        </w:rPr>
        <w:t>institution, body and agency</w:t>
      </w:r>
      <w:r w:rsidR="00734226" w:rsidRPr="005B03CE">
        <w:rPr>
          <w:noProof/>
        </w:rPr>
        <w:t xml:space="preserve"> shall have</w:t>
      </w:r>
      <w:r w:rsidR="0060121E" w:rsidRPr="005B03CE">
        <w:rPr>
          <w:noProof/>
        </w:rPr>
        <w:t xml:space="preserve"> effective mechanisms in place to </w:t>
      </w:r>
      <w:r w:rsidR="002C3B54" w:rsidRPr="005B03CE">
        <w:rPr>
          <w:noProof/>
        </w:rPr>
        <w:t>ensure</w:t>
      </w:r>
      <w:r w:rsidR="009F0536" w:rsidRPr="005B03CE">
        <w:rPr>
          <w:noProof/>
        </w:rPr>
        <w:t xml:space="preserve"> that an adequate percentage of</w:t>
      </w:r>
      <w:r w:rsidR="00734226" w:rsidRPr="005B03CE">
        <w:rPr>
          <w:noProof/>
        </w:rPr>
        <w:t xml:space="preserve"> the</w:t>
      </w:r>
      <w:r w:rsidR="009F0536" w:rsidRPr="005B03CE">
        <w:rPr>
          <w:noProof/>
        </w:rPr>
        <w:t xml:space="preserve"> IT budget is spent on cybersecurity</w:t>
      </w:r>
      <w:r w:rsidR="00ED07C0" w:rsidRPr="005B03CE">
        <w:rPr>
          <w:noProof/>
        </w:rPr>
        <w:t>.</w:t>
      </w:r>
    </w:p>
    <w:p w:rsidR="00343EB7" w:rsidRPr="005B03CE" w:rsidRDefault="004A06D6" w:rsidP="004A06D6">
      <w:pPr>
        <w:pStyle w:val="ManualNumPar1"/>
        <w:rPr>
          <w:noProof/>
        </w:rPr>
      </w:pPr>
      <w:r w:rsidRPr="004A06D6">
        <w:t>5.</w:t>
      </w:r>
      <w:r w:rsidRPr="004A06D6">
        <w:tab/>
      </w:r>
      <w:r w:rsidR="009F0536" w:rsidRPr="005B03CE">
        <w:rPr>
          <w:noProof/>
        </w:rPr>
        <w:t xml:space="preserve">Each </w:t>
      </w:r>
      <w:r w:rsidR="00F77853" w:rsidRPr="005B03CE">
        <w:rPr>
          <w:noProof/>
        </w:rPr>
        <w:t xml:space="preserve">Union </w:t>
      </w:r>
      <w:r w:rsidR="00962D0F" w:rsidRPr="005B03CE">
        <w:rPr>
          <w:noProof/>
        </w:rPr>
        <w:t>institution, body and agency</w:t>
      </w:r>
      <w:r w:rsidR="009F0536" w:rsidRPr="005B03CE">
        <w:rPr>
          <w:noProof/>
        </w:rPr>
        <w:t xml:space="preserve"> shall appoint a Local Cybersecurity Officer </w:t>
      </w:r>
      <w:r w:rsidR="00DA28F2" w:rsidRPr="005B03CE">
        <w:rPr>
          <w:noProof/>
        </w:rPr>
        <w:t xml:space="preserve">or an equivalent function </w:t>
      </w:r>
      <w:r w:rsidR="009F0536" w:rsidRPr="005B03CE">
        <w:rPr>
          <w:noProof/>
        </w:rPr>
        <w:t xml:space="preserve">who shall </w:t>
      </w:r>
      <w:r w:rsidR="005356D5" w:rsidRPr="005B03CE">
        <w:rPr>
          <w:noProof/>
        </w:rPr>
        <w:t>act</w:t>
      </w:r>
      <w:r w:rsidR="009F0536" w:rsidRPr="005B03CE">
        <w:rPr>
          <w:noProof/>
        </w:rPr>
        <w:t xml:space="preserve"> as its single point of contact regarding all aspects of cybersecurity.</w:t>
      </w:r>
    </w:p>
    <w:p w:rsidR="009F0536" w:rsidRPr="005B03CE" w:rsidRDefault="009F0536" w:rsidP="009F0536">
      <w:pPr>
        <w:pStyle w:val="Titrearticle"/>
        <w:rPr>
          <w:b/>
          <w:noProof/>
          <w:szCs w:val="24"/>
        </w:rPr>
      </w:pPr>
      <w:r w:rsidRPr="005B03CE">
        <w:rPr>
          <w:noProof/>
          <w:szCs w:val="24"/>
        </w:rPr>
        <w:t>Article 5</w:t>
      </w:r>
      <w:r w:rsidRPr="005B03CE">
        <w:rPr>
          <w:noProof/>
          <w:szCs w:val="24"/>
        </w:rPr>
        <w:br/>
      </w:r>
      <w:r w:rsidRPr="005B03CE">
        <w:rPr>
          <w:b/>
          <w:noProof/>
          <w:szCs w:val="24"/>
        </w:rPr>
        <w:t>Cybersecurity baseline</w:t>
      </w:r>
    </w:p>
    <w:p w:rsidR="00BB701D" w:rsidRPr="00BB701D" w:rsidRDefault="004A06D6" w:rsidP="004A06D6">
      <w:pPr>
        <w:pStyle w:val="ManualNumPar1"/>
        <w:rPr>
          <w:noProof/>
        </w:rPr>
      </w:pPr>
      <w:r w:rsidRPr="004A06D6">
        <w:t>1.</w:t>
      </w:r>
      <w:r w:rsidRPr="004A06D6">
        <w:tab/>
      </w:r>
      <w:r w:rsidR="00BB701D" w:rsidRPr="00BB701D">
        <w:rPr>
          <w:noProof/>
        </w:rPr>
        <w:t>The highest level of management of each Union institution, body and agency shall approve the entity’s own cybersecurity baseline to address the risks identified under the framework referred to in Article 4(1). It shall do so in support of its mission and exercising its institutional autonomy. The cybersecurity baseline shall be in place by …. at the latest [18 months after the entry into force of this Regulation] and shall address the domains listed in Annex I and the measures listed in Annex II.</w:t>
      </w:r>
    </w:p>
    <w:p w:rsidR="00EE472C" w:rsidRPr="005B03CE" w:rsidRDefault="004A06D6" w:rsidP="004A06D6">
      <w:pPr>
        <w:pStyle w:val="ManualNumPar1"/>
        <w:rPr>
          <w:noProof/>
        </w:rPr>
      </w:pPr>
      <w:r w:rsidRPr="004A06D6">
        <w:t>2.</w:t>
      </w:r>
      <w:r w:rsidRPr="004A06D6">
        <w:tab/>
      </w:r>
      <w:r w:rsidR="00EE472C" w:rsidRPr="005B03CE">
        <w:rPr>
          <w:noProof/>
        </w:rPr>
        <w:t xml:space="preserve">The </w:t>
      </w:r>
      <w:r w:rsidR="002C3B54" w:rsidRPr="005B03CE">
        <w:rPr>
          <w:noProof/>
        </w:rPr>
        <w:t xml:space="preserve">senior </w:t>
      </w:r>
      <w:r w:rsidR="00EE472C" w:rsidRPr="005B03CE">
        <w:rPr>
          <w:noProof/>
        </w:rPr>
        <w:t xml:space="preserve">management of each </w:t>
      </w:r>
      <w:r w:rsidR="00F77853" w:rsidRPr="005B03CE">
        <w:rPr>
          <w:noProof/>
        </w:rPr>
        <w:t xml:space="preserve">Union </w:t>
      </w:r>
      <w:r w:rsidR="00962D0F" w:rsidRPr="005B03CE">
        <w:rPr>
          <w:noProof/>
        </w:rPr>
        <w:t>institution, body and agency</w:t>
      </w:r>
      <w:r w:rsidR="00EE472C" w:rsidRPr="005B03CE">
        <w:rPr>
          <w:noProof/>
        </w:rPr>
        <w:t xml:space="preserve"> shall follow specific trainings</w:t>
      </w:r>
      <w:r w:rsidR="00962D0F" w:rsidRPr="005B03CE">
        <w:rPr>
          <w:noProof/>
        </w:rPr>
        <w:t xml:space="preserve"> on a regular basis</w:t>
      </w:r>
      <w:r w:rsidR="00EE472C" w:rsidRPr="005B03CE">
        <w:rPr>
          <w:noProof/>
        </w:rPr>
        <w:t xml:space="preserve"> to gain sufficient knowledge and skills in order to apprehend and assess cybersecurity risk and management practices and their impact on the operations of the organisation.</w:t>
      </w:r>
    </w:p>
    <w:p w:rsidR="009F0536" w:rsidRPr="005B03CE" w:rsidRDefault="009F0536" w:rsidP="009F0536">
      <w:pPr>
        <w:pStyle w:val="Titrearticle"/>
        <w:rPr>
          <w:b/>
          <w:noProof/>
          <w:szCs w:val="24"/>
        </w:rPr>
      </w:pPr>
      <w:r w:rsidRPr="005B03CE">
        <w:rPr>
          <w:noProof/>
          <w:szCs w:val="24"/>
        </w:rPr>
        <w:t>Article 6</w:t>
      </w:r>
      <w:r w:rsidRPr="005B03CE">
        <w:rPr>
          <w:noProof/>
          <w:szCs w:val="24"/>
        </w:rPr>
        <w:br/>
      </w:r>
      <w:r w:rsidRPr="005B03CE">
        <w:rPr>
          <w:b/>
          <w:noProof/>
          <w:szCs w:val="24"/>
        </w:rPr>
        <w:t>Maturity assessments</w:t>
      </w:r>
    </w:p>
    <w:p w:rsidR="00DE5814" w:rsidRPr="005B03CE" w:rsidRDefault="009F0536" w:rsidP="00DE5814">
      <w:pPr>
        <w:rPr>
          <w:noProof/>
          <w:szCs w:val="24"/>
        </w:rPr>
      </w:pPr>
      <w:r w:rsidRPr="005B03CE">
        <w:rPr>
          <w:noProof/>
          <w:szCs w:val="24"/>
        </w:rPr>
        <w:t xml:space="preserve">Each </w:t>
      </w:r>
      <w:r w:rsidR="00F77853" w:rsidRPr="005B03CE">
        <w:rPr>
          <w:noProof/>
          <w:szCs w:val="24"/>
        </w:rPr>
        <w:t xml:space="preserve">Union </w:t>
      </w:r>
      <w:r w:rsidR="00962D0F" w:rsidRPr="005B03CE">
        <w:rPr>
          <w:noProof/>
          <w:szCs w:val="24"/>
        </w:rPr>
        <w:t>institution, body and agency</w:t>
      </w:r>
      <w:r w:rsidRPr="005B03CE">
        <w:rPr>
          <w:noProof/>
          <w:szCs w:val="24"/>
        </w:rPr>
        <w:t xml:space="preserve"> shall carry out a cybersecurity maturity assessment at least every three years, incorporating all the elements of their IT environment as described in Article 4, taking account of the relevant guidan</w:t>
      </w:r>
      <w:r w:rsidR="00387AEA" w:rsidRPr="005B03CE">
        <w:rPr>
          <w:noProof/>
          <w:szCs w:val="24"/>
        </w:rPr>
        <w:t>ce documents and recommendations</w:t>
      </w:r>
      <w:r w:rsidR="0059507F" w:rsidRPr="005B03CE">
        <w:rPr>
          <w:noProof/>
          <w:szCs w:val="24"/>
        </w:rPr>
        <w:t xml:space="preserve"> adopted in accordance with Article 13</w:t>
      </w:r>
      <w:r w:rsidRPr="005B03CE">
        <w:rPr>
          <w:noProof/>
          <w:szCs w:val="24"/>
        </w:rPr>
        <w:t>.</w:t>
      </w:r>
    </w:p>
    <w:p w:rsidR="009F0536" w:rsidRPr="005B03CE" w:rsidRDefault="009F0536" w:rsidP="009F0536">
      <w:pPr>
        <w:pStyle w:val="Titrearticle"/>
        <w:rPr>
          <w:b/>
          <w:noProof/>
          <w:szCs w:val="24"/>
        </w:rPr>
      </w:pPr>
      <w:r w:rsidRPr="005B03CE">
        <w:rPr>
          <w:noProof/>
          <w:szCs w:val="24"/>
        </w:rPr>
        <w:t>Article 7</w:t>
      </w:r>
      <w:r w:rsidRPr="005B03CE">
        <w:rPr>
          <w:noProof/>
          <w:szCs w:val="24"/>
        </w:rPr>
        <w:br/>
      </w:r>
      <w:r w:rsidRPr="005B03CE">
        <w:rPr>
          <w:b/>
          <w:noProof/>
          <w:szCs w:val="24"/>
        </w:rPr>
        <w:t>Cybersecurity plans</w:t>
      </w:r>
    </w:p>
    <w:p w:rsidR="009F0536" w:rsidRPr="005B03CE" w:rsidRDefault="004A06D6" w:rsidP="004A06D6">
      <w:pPr>
        <w:pStyle w:val="ManualNumPar1"/>
        <w:rPr>
          <w:noProof/>
        </w:rPr>
      </w:pPr>
      <w:r w:rsidRPr="004A06D6">
        <w:t>1.</w:t>
      </w:r>
      <w:r w:rsidRPr="004A06D6">
        <w:tab/>
      </w:r>
      <w:r w:rsidR="009F0536" w:rsidRPr="005B03CE">
        <w:rPr>
          <w:noProof/>
        </w:rPr>
        <w:t>Following the conclusions derived from the maturity assessment and considering the assets and ri</w:t>
      </w:r>
      <w:r w:rsidR="00FF5A9C" w:rsidRPr="005B03CE">
        <w:rPr>
          <w:noProof/>
        </w:rPr>
        <w:t xml:space="preserve">sks identified </w:t>
      </w:r>
      <w:r w:rsidR="009F0536" w:rsidRPr="005B03CE">
        <w:rPr>
          <w:noProof/>
        </w:rPr>
        <w:t xml:space="preserve">pursuant to Article 4, the </w:t>
      </w:r>
      <w:r w:rsidR="0060121E" w:rsidRPr="005B03CE">
        <w:rPr>
          <w:noProof/>
        </w:rPr>
        <w:t>highest level of management</w:t>
      </w:r>
      <w:r w:rsidR="002C3B54" w:rsidRPr="005B03CE">
        <w:rPr>
          <w:noProof/>
        </w:rPr>
        <w:t xml:space="preserve"> </w:t>
      </w:r>
      <w:r w:rsidR="009F0536" w:rsidRPr="005B03CE">
        <w:rPr>
          <w:noProof/>
        </w:rPr>
        <w:t xml:space="preserve">of each </w:t>
      </w:r>
      <w:r w:rsidR="00F77853" w:rsidRPr="005B03CE">
        <w:rPr>
          <w:noProof/>
        </w:rPr>
        <w:t xml:space="preserve">Union </w:t>
      </w:r>
      <w:r w:rsidR="00962D0F" w:rsidRPr="005B03CE">
        <w:rPr>
          <w:noProof/>
        </w:rPr>
        <w:t>institution, body and agency</w:t>
      </w:r>
      <w:r w:rsidR="009F0536" w:rsidRPr="005B03CE">
        <w:rPr>
          <w:noProof/>
        </w:rPr>
        <w:t xml:space="preserve"> shall a</w:t>
      </w:r>
      <w:r w:rsidR="00082A4A" w:rsidRPr="005B03CE">
        <w:rPr>
          <w:noProof/>
        </w:rPr>
        <w:t>pprove</w:t>
      </w:r>
      <w:r w:rsidR="009F0536" w:rsidRPr="005B03CE">
        <w:rPr>
          <w:noProof/>
        </w:rPr>
        <w:t xml:space="preserve"> a cybersecurity plan without undue delay after the establishment of the risk management, governance and control framework and the cybersecurity baseline. The plan shall aim at increasing the overall cybersecurity of the concerned entity and shall thereby contribute to the achievement or enhancement of a high common level of cybersecurity among all </w:t>
      </w:r>
      <w:r w:rsidR="00B07028" w:rsidRPr="005B03CE">
        <w:rPr>
          <w:noProof/>
        </w:rPr>
        <w:t xml:space="preserve">Union </w:t>
      </w:r>
      <w:r w:rsidR="00DB116F" w:rsidRPr="005B03CE">
        <w:rPr>
          <w:noProof/>
        </w:rPr>
        <w:t>institutions, bodies and agencies</w:t>
      </w:r>
      <w:r w:rsidR="009F0536" w:rsidRPr="005B03CE">
        <w:rPr>
          <w:noProof/>
        </w:rPr>
        <w:t xml:space="preserve">. </w:t>
      </w:r>
      <w:r w:rsidR="00BB701D">
        <w:rPr>
          <w:noProof/>
        </w:rPr>
        <w:t>To support the entity’s mission on the basis of its institutional autonomy, t</w:t>
      </w:r>
      <w:r w:rsidR="009F0536" w:rsidRPr="005B03CE">
        <w:rPr>
          <w:noProof/>
        </w:rPr>
        <w:t xml:space="preserve">he plan shall </w:t>
      </w:r>
      <w:r w:rsidR="00144F5E" w:rsidRPr="005B03CE">
        <w:rPr>
          <w:noProof/>
        </w:rPr>
        <w:t>at least include the domains listed in</w:t>
      </w:r>
      <w:r w:rsidR="00703ECC" w:rsidRPr="005B03CE">
        <w:rPr>
          <w:noProof/>
        </w:rPr>
        <w:t xml:space="preserve"> Annex I</w:t>
      </w:r>
      <w:r w:rsidR="00144F5E" w:rsidRPr="005B03CE">
        <w:rPr>
          <w:noProof/>
        </w:rPr>
        <w:t>,</w:t>
      </w:r>
      <w:r w:rsidR="00703ECC" w:rsidRPr="005B03CE">
        <w:rPr>
          <w:noProof/>
        </w:rPr>
        <w:t xml:space="preserve"> </w:t>
      </w:r>
      <w:r w:rsidR="00144F5E" w:rsidRPr="005B03CE">
        <w:rPr>
          <w:noProof/>
        </w:rPr>
        <w:t xml:space="preserve">the measures listed in Annex </w:t>
      </w:r>
      <w:r w:rsidR="00703ECC" w:rsidRPr="005B03CE">
        <w:rPr>
          <w:noProof/>
        </w:rPr>
        <w:t xml:space="preserve">II, </w:t>
      </w:r>
      <w:r w:rsidR="00144F5E" w:rsidRPr="005B03CE">
        <w:rPr>
          <w:noProof/>
        </w:rPr>
        <w:t xml:space="preserve">as well as </w:t>
      </w:r>
      <w:r w:rsidR="009F0536" w:rsidRPr="005B03CE">
        <w:rPr>
          <w:noProof/>
        </w:rPr>
        <w:t>measures related to incident preparedness, response and recovery, such as security monitoring and logging.</w:t>
      </w:r>
      <w:r w:rsidR="00D80CDC" w:rsidRPr="005B03CE">
        <w:rPr>
          <w:noProof/>
        </w:rPr>
        <w:t xml:space="preserve"> The plan shall be revised at least every three years, following the maturity assessments carried out pursuant to Article 6.</w:t>
      </w:r>
    </w:p>
    <w:p w:rsidR="009F0536" w:rsidRPr="005B03CE" w:rsidRDefault="004A06D6" w:rsidP="004A06D6">
      <w:pPr>
        <w:pStyle w:val="ManualNumPar1"/>
        <w:rPr>
          <w:noProof/>
        </w:rPr>
      </w:pPr>
      <w:r w:rsidRPr="004A06D6">
        <w:t>2.</w:t>
      </w:r>
      <w:r w:rsidRPr="004A06D6">
        <w:tab/>
      </w:r>
      <w:r w:rsidR="009F0536" w:rsidRPr="005B03CE">
        <w:rPr>
          <w:noProof/>
        </w:rPr>
        <w:t xml:space="preserve">The cybersecurity plan shall include </w:t>
      </w:r>
      <w:r w:rsidR="00305616" w:rsidRPr="005B03CE">
        <w:rPr>
          <w:noProof/>
        </w:rPr>
        <w:t xml:space="preserve">staff members’ </w:t>
      </w:r>
      <w:r w:rsidR="009F0536" w:rsidRPr="005B03CE">
        <w:rPr>
          <w:noProof/>
        </w:rPr>
        <w:t>roles and responsibilities for its implementation.</w:t>
      </w:r>
    </w:p>
    <w:p w:rsidR="00DE5814" w:rsidRPr="005B03CE" w:rsidRDefault="004A06D6" w:rsidP="004A06D6">
      <w:pPr>
        <w:pStyle w:val="ManualNumPar1"/>
        <w:rPr>
          <w:noProof/>
        </w:rPr>
      </w:pPr>
      <w:r w:rsidRPr="004A06D6">
        <w:t>3.</w:t>
      </w:r>
      <w:r w:rsidRPr="004A06D6">
        <w:tab/>
      </w:r>
      <w:r w:rsidR="009F0536" w:rsidRPr="005B03CE">
        <w:rPr>
          <w:noProof/>
        </w:rPr>
        <w:t xml:space="preserve">The cybersecurity plan </w:t>
      </w:r>
      <w:r w:rsidR="00C21538" w:rsidRPr="005B03CE">
        <w:rPr>
          <w:noProof/>
        </w:rPr>
        <w:t>shall</w:t>
      </w:r>
      <w:r w:rsidR="009F0536" w:rsidRPr="005B03CE">
        <w:rPr>
          <w:noProof/>
        </w:rPr>
        <w:t xml:space="preserve"> </w:t>
      </w:r>
      <w:r w:rsidR="0029749C" w:rsidRPr="005B03CE">
        <w:rPr>
          <w:noProof/>
        </w:rPr>
        <w:t>consider</w:t>
      </w:r>
      <w:r w:rsidR="009F0536" w:rsidRPr="005B03CE">
        <w:rPr>
          <w:noProof/>
        </w:rPr>
        <w:t xml:space="preserve"> any applicable guidance documents and recommendations issued by CERT-EU.</w:t>
      </w:r>
    </w:p>
    <w:p w:rsidR="009F0536" w:rsidRPr="005B03CE" w:rsidRDefault="009F0536" w:rsidP="009F0536">
      <w:pPr>
        <w:pStyle w:val="Titrearticle"/>
        <w:rPr>
          <w:b/>
          <w:noProof/>
          <w:szCs w:val="24"/>
        </w:rPr>
      </w:pPr>
      <w:r w:rsidRPr="005B03CE">
        <w:rPr>
          <w:noProof/>
          <w:szCs w:val="24"/>
        </w:rPr>
        <w:t>Article 8</w:t>
      </w:r>
      <w:r w:rsidRPr="005B03CE">
        <w:rPr>
          <w:noProof/>
          <w:szCs w:val="24"/>
        </w:rPr>
        <w:br/>
      </w:r>
      <w:r w:rsidRPr="005B03CE">
        <w:rPr>
          <w:b/>
          <w:noProof/>
          <w:szCs w:val="24"/>
        </w:rPr>
        <w:t xml:space="preserve">Implementation </w:t>
      </w:r>
    </w:p>
    <w:p w:rsidR="009F0536" w:rsidRPr="005B03CE" w:rsidRDefault="004A06D6" w:rsidP="004A06D6">
      <w:pPr>
        <w:pStyle w:val="ManualNumPar1"/>
        <w:rPr>
          <w:noProof/>
        </w:rPr>
      </w:pPr>
      <w:r w:rsidRPr="004A06D6">
        <w:t>1.</w:t>
      </w:r>
      <w:r w:rsidRPr="004A06D6">
        <w:tab/>
      </w:r>
      <w:r w:rsidR="00BC42E4" w:rsidRPr="005B03CE">
        <w:rPr>
          <w:noProof/>
        </w:rPr>
        <w:t>Upon completion of maturity assessments</w:t>
      </w:r>
      <w:r w:rsidR="006E3211" w:rsidRPr="005B03CE">
        <w:rPr>
          <w:noProof/>
        </w:rPr>
        <w:t xml:space="preserve">, the </w:t>
      </w:r>
      <w:r w:rsidR="00B07028" w:rsidRPr="005B03CE">
        <w:rPr>
          <w:noProof/>
        </w:rPr>
        <w:t xml:space="preserve">Union </w:t>
      </w:r>
      <w:r w:rsidR="00DB116F" w:rsidRPr="005B03CE">
        <w:rPr>
          <w:noProof/>
        </w:rPr>
        <w:t>institutions, bodies and agencies</w:t>
      </w:r>
      <w:r w:rsidR="006E3211" w:rsidRPr="005B03CE">
        <w:rPr>
          <w:noProof/>
        </w:rPr>
        <w:t xml:space="preserve"> shall </w:t>
      </w:r>
      <w:r w:rsidR="005D1C5F" w:rsidRPr="005B03CE">
        <w:rPr>
          <w:noProof/>
        </w:rPr>
        <w:t xml:space="preserve">submit </w:t>
      </w:r>
      <w:r w:rsidR="006E3211" w:rsidRPr="005B03CE">
        <w:rPr>
          <w:noProof/>
        </w:rPr>
        <w:t xml:space="preserve">these to the </w:t>
      </w:r>
      <w:r w:rsidR="00305616" w:rsidRPr="005B03CE">
        <w:rPr>
          <w:noProof/>
        </w:rPr>
        <w:t>Interinstitutional Cybersecurity Board</w:t>
      </w:r>
      <w:r w:rsidR="006E3211" w:rsidRPr="005B03CE">
        <w:rPr>
          <w:noProof/>
        </w:rPr>
        <w:t xml:space="preserve">. Upon completion of </w:t>
      </w:r>
      <w:r w:rsidR="00BC42E4" w:rsidRPr="005B03CE">
        <w:rPr>
          <w:noProof/>
        </w:rPr>
        <w:t xml:space="preserve">security plans, the </w:t>
      </w:r>
      <w:r w:rsidR="00B07028" w:rsidRPr="005B03CE">
        <w:rPr>
          <w:noProof/>
        </w:rPr>
        <w:t xml:space="preserve">Union </w:t>
      </w:r>
      <w:r w:rsidR="00DB116F" w:rsidRPr="005B03CE">
        <w:rPr>
          <w:noProof/>
        </w:rPr>
        <w:t>institutions, bodies and agencies</w:t>
      </w:r>
      <w:r w:rsidR="00BC42E4" w:rsidRPr="005B03CE">
        <w:rPr>
          <w:noProof/>
        </w:rPr>
        <w:t xml:space="preserve"> shall notify the </w:t>
      </w:r>
      <w:r w:rsidR="00305616" w:rsidRPr="005B03CE">
        <w:rPr>
          <w:noProof/>
        </w:rPr>
        <w:t xml:space="preserve">Interinstitutional Cybersecurity Board </w:t>
      </w:r>
      <w:r w:rsidR="00BC42E4" w:rsidRPr="005B03CE">
        <w:rPr>
          <w:noProof/>
        </w:rPr>
        <w:t xml:space="preserve">of the completion. Upon request of the </w:t>
      </w:r>
      <w:r w:rsidR="00305616" w:rsidRPr="005B03CE">
        <w:rPr>
          <w:noProof/>
        </w:rPr>
        <w:t>Board</w:t>
      </w:r>
      <w:r w:rsidR="00BC42E4" w:rsidRPr="005B03CE">
        <w:rPr>
          <w:noProof/>
        </w:rPr>
        <w:t>, they</w:t>
      </w:r>
      <w:r w:rsidR="009F0536" w:rsidRPr="005B03CE">
        <w:rPr>
          <w:noProof/>
        </w:rPr>
        <w:t xml:space="preserve"> shall report on specific aspects of </w:t>
      </w:r>
      <w:r w:rsidR="00305616" w:rsidRPr="005B03CE">
        <w:rPr>
          <w:noProof/>
        </w:rPr>
        <w:t xml:space="preserve">this </w:t>
      </w:r>
      <w:r w:rsidR="009F0536" w:rsidRPr="005B03CE">
        <w:rPr>
          <w:noProof/>
        </w:rPr>
        <w:t>Chapter</w:t>
      </w:r>
      <w:r w:rsidR="00BC42E4" w:rsidRPr="005B03CE">
        <w:rPr>
          <w:noProof/>
        </w:rPr>
        <w:t>.</w:t>
      </w:r>
    </w:p>
    <w:p w:rsidR="009F0536" w:rsidRPr="005B03CE" w:rsidRDefault="004A06D6" w:rsidP="004A06D6">
      <w:pPr>
        <w:pStyle w:val="ManualNumPar1"/>
        <w:rPr>
          <w:noProof/>
        </w:rPr>
      </w:pPr>
      <w:r w:rsidRPr="004A06D6">
        <w:t>2.</w:t>
      </w:r>
      <w:r w:rsidRPr="004A06D6">
        <w:tab/>
      </w:r>
      <w:r w:rsidR="009F0536" w:rsidRPr="005B03CE">
        <w:rPr>
          <w:noProof/>
        </w:rPr>
        <w:t xml:space="preserve">Guidance documents and recommendations, </w:t>
      </w:r>
      <w:r w:rsidR="00305616" w:rsidRPr="005B03CE">
        <w:rPr>
          <w:noProof/>
        </w:rPr>
        <w:t xml:space="preserve">issued </w:t>
      </w:r>
      <w:r w:rsidR="009F0536" w:rsidRPr="005B03CE">
        <w:rPr>
          <w:noProof/>
        </w:rPr>
        <w:t>in accordance with Article 13, shall support the implementation of the provisions laid down in this Chapter.</w:t>
      </w:r>
    </w:p>
    <w:p w:rsidR="009F0536" w:rsidRPr="005B03CE" w:rsidRDefault="009F0536" w:rsidP="009C6A61">
      <w:pPr>
        <w:pStyle w:val="ChapterTitle"/>
        <w:spacing w:before="360"/>
        <w:rPr>
          <w:i/>
          <w:noProof/>
          <w:sz w:val="24"/>
          <w:szCs w:val="24"/>
        </w:rPr>
      </w:pPr>
      <w:r w:rsidRPr="005B03CE">
        <w:rPr>
          <w:noProof/>
          <w:sz w:val="24"/>
          <w:szCs w:val="24"/>
        </w:rPr>
        <w:t>Chapter III</w:t>
      </w:r>
      <w:r w:rsidRPr="005B03CE">
        <w:rPr>
          <w:noProof/>
          <w:sz w:val="24"/>
          <w:szCs w:val="24"/>
        </w:rPr>
        <w:br/>
        <w:t>INTERINSTITUTIONAL CYBERSECURITY BOARD</w:t>
      </w:r>
    </w:p>
    <w:p w:rsidR="009F0536" w:rsidRPr="005B03CE" w:rsidRDefault="009F0536" w:rsidP="009F0536">
      <w:pPr>
        <w:pStyle w:val="Titrearticle"/>
        <w:rPr>
          <w:b/>
          <w:noProof/>
          <w:szCs w:val="24"/>
        </w:rPr>
      </w:pPr>
      <w:r w:rsidRPr="005B03CE">
        <w:rPr>
          <w:noProof/>
          <w:szCs w:val="24"/>
        </w:rPr>
        <w:t>Article 9</w:t>
      </w:r>
      <w:r w:rsidRPr="005B03CE">
        <w:rPr>
          <w:noProof/>
          <w:szCs w:val="24"/>
        </w:rPr>
        <w:br/>
      </w:r>
      <w:r w:rsidRPr="005B03CE">
        <w:rPr>
          <w:b/>
          <w:noProof/>
          <w:szCs w:val="24"/>
        </w:rPr>
        <w:t>Interinstitutional Cybersecurity Board</w:t>
      </w:r>
    </w:p>
    <w:p w:rsidR="009F0536" w:rsidRPr="005B03CE" w:rsidRDefault="004A06D6" w:rsidP="004A06D6">
      <w:pPr>
        <w:pStyle w:val="ManualNumPar1"/>
        <w:rPr>
          <w:noProof/>
        </w:rPr>
      </w:pPr>
      <w:r w:rsidRPr="004A06D6">
        <w:t>1.</w:t>
      </w:r>
      <w:r w:rsidRPr="004A06D6">
        <w:tab/>
      </w:r>
      <w:r w:rsidR="009F0536" w:rsidRPr="005B03CE">
        <w:rPr>
          <w:noProof/>
        </w:rPr>
        <w:t>An Interinstitutional Cybersecuri</w:t>
      </w:r>
      <w:r w:rsidR="00F61C1D" w:rsidRPr="005B03CE">
        <w:rPr>
          <w:noProof/>
        </w:rPr>
        <w:t>ty Board (IICB) is established.</w:t>
      </w:r>
    </w:p>
    <w:p w:rsidR="009F0536" w:rsidRPr="005B03CE" w:rsidRDefault="004A06D6" w:rsidP="004A06D6">
      <w:pPr>
        <w:pStyle w:val="ManualNumPar1"/>
        <w:rPr>
          <w:noProof/>
        </w:rPr>
      </w:pPr>
      <w:r w:rsidRPr="004A06D6">
        <w:t>2.</w:t>
      </w:r>
      <w:r w:rsidRPr="004A06D6">
        <w:tab/>
      </w:r>
      <w:r w:rsidR="009F0536" w:rsidRPr="005B03CE">
        <w:rPr>
          <w:noProof/>
        </w:rPr>
        <w:t>The IICB shall be responsible for:</w:t>
      </w:r>
    </w:p>
    <w:p w:rsidR="009F0536" w:rsidRPr="005B03CE" w:rsidRDefault="004A06D6" w:rsidP="004A06D6">
      <w:pPr>
        <w:pStyle w:val="Point1"/>
        <w:rPr>
          <w:noProof/>
        </w:rPr>
      </w:pPr>
      <w:r w:rsidRPr="004A06D6">
        <w:t>(a)</w:t>
      </w:r>
      <w:r w:rsidRPr="004A06D6">
        <w:tab/>
      </w:r>
      <w:r w:rsidR="00C526BD" w:rsidRPr="005B03CE">
        <w:rPr>
          <w:noProof/>
        </w:rPr>
        <w:t>monitoring</w:t>
      </w:r>
      <w:r w:rsidR="009F0536" w:rsidRPr="005B03CE">
        <w:rPr>
          <w:noProof/>
        </w:rPr>
        <w:t xml:space="preserve"> the implementation of this Regulation by the </w:t>
      </w:r>
      <w:r w:rsidR="00B07028" w:rsidRPr="005B03CE">
        <w:rPr>
          <w:noProof/>
        </w:rPr>
        <w:t xml:space="preserve">Union </w:t>
      </w:r>
      <w:r w:rsidR="00DB116F" w:rsidRPr="005B03CE">
        <w:rPr>
          <w:noProof/>
        </w:rPr>
        <w:t>institutions, bodies and agencies</w:t>
      </w:r>
      <w:r w:rsidR="00305616" w:rsidRPr="005B03CE">
        <w:rPr>
          <w:noProof/>
        </w:rPr>
        <w:t>;</w:t>
      </w:r>
    </w:p>
    <w:p w:rsidR="009F0536" w:rsidRPr="005B03CE" w:rsidRDefault="004A06D6" w:rsidP="004A06D6">
      <w:pPr>
        <w:pStyle w:val="Point1"/>
        <w:rPr>
          <w:noProof/>
        </w:rPr>
      </w:pPr>
      <w:r w:rsidRPr="004A06D6">
        <w:t>(b)</w:t>
      </w:r>
      <w:r w:rsidRPr="004A06D6">
        <w:tab/>
      </w:r>
      <w:r w:rsidR="00C526BD" w:rsidRPr="005B03CE">
        <w:rPr>
          <w:noProof/>
        </w:rPr>
        <w:t>supervising</w:t>
      </w:r>
      <w:r w:rsidR="009F0536" w:rsidRPr="005B03CE">
        <w:rPr>
          <w:noProof/>
        </w:rPr>
        <w:t xml:space="preserve"> the implementation of general priorities and objectives by CERT-EU and providing strategic direction to CERT-EU.</w:t>
      </w:r>
    </w:p>
    <w:p w:rsidR="009F0536" w:rsidRPr="005B03CE" w:rsidRDefault="004A06D6" w:rsidP="004A06D6">
      <w:pPr>
        <w:pStyle w:val="ManualNumPar1"/>
        <w:rPr>
          <w:noProof/>
        </w:rPr>
      </w:pPr>
      <w:r w:rsidRPr="004A06D6">
        <w:t>3.</w:t>
      </w:r>
      <w:r w:rsidRPr="004A06D6">
        <w:tab/>
      </w:r>
      <w:r w:rsidR="009F0536" w:rsidRPr="005B03CE">
        <w:rPr>
          <w:noProof/>
        </w:rPr>
        <w:t xml:space="preserve">The IICB shall consist of three representatives nominated by the Union Agencies Network (EUAN) upon a proposal of its ICT Advisory Committee to represent the interests of the agencies </w:t>
      </w:r>
      <w:r w:rsidR="00F93665" w:rsidRPr="005B03CE">
        <w:rPr>
          <w:noProof/>
        </w:rPr>
        <w:t>and</w:t>
      </w:r>
      <w:r w:rsidR="00BE2C25" w:rsidRPr="005B03CE">
        <w:rPr>
          <w:noProof/>
        </w:rPr>
        <w:t xml:space="preserve"> bodies</w:t>
      </w:r>
      <w:r w:rsidR="00F93665" w:rsidRPr="005B03CE">
        <w:rPr>
          <w:noProof/>
        </w:rPr>
        <w:t xml:space="preserve"> </w:t>
      </w:r>
      <w:r w:rsidR="009F0536" w:rsidRPr="005B03CE">
        <w:rPr>
          <w:noProof/>
        </w:rPr>
        <w:t>that run their own IT environment and one representative desig</w:t>
      </w:r>
      <w:r w:rsidR="00F61C1D" w:rsidRPr="005B03CE">
        <w:rPr>
          <w:noProof/>
        </w:rPr>
        <w:t>nated by each of the following:</w:t>
      </w:r>
    </w:p>
    <w:p w:rsidR="009F0536" w:rsidRPr="005B03CE" w:rsidRDefault="004A06D6" w:rsidP="004A06D6">
      <w:pPr>
        <w:pStyle w:val="Point1"/>
        <w:rPr>
          <w:noProof/>
        </w:rPr>
      </w:pPr>
      <w:r w:rsidRPr="004A06D6">
        <w:t>(a)</w:t>
      </w:r>
      <w:r w:rsidRPr="004A06D6">
        <w:tab/>
      </w:r>
      <w:r w:rsidR="009F0536" w:rsidRPr="005B03CE">
        <w:rPr>
          <w:noProof/>
        </w:rPr>
        <w:t>the European Parliament;</w:t>
      </w:r>
    </w:p>
    <w:p w:rsidR="009F0536" w:rsidRPr="005B03CE" w:rsidRDefault="004A06D6" w:rsidP="004A06D6">
      <w:pPr>
        <w:pStyle w:val="Point1"/>
        <w:rPr>
          <w:noProof/>
        </w:rPr>
      </w:pPr>
      <w:r w:rsidRPr="004A06D6">
        <w:t>(b)</w:t>
      </w:r>
      <w:r w:rsidRPr="004A06D6">
        <w:tab/>
      </w:r>
      <w:r w:rsidR="009F0536" w:rsidRPr="005B03CE">
        <w:rPr>
          <w:noProof/>
        </w:rPr>
        <w:t>the Council of the European Union;</w:t>
      </w:r>
    </w:p>
    <w:p w:rsidR="009F0536" w:rsidRPr="005B03CE" w:rsidRDefault="004A06D6" w:rsidP="004A06D6">
      <w:pPr>
        <w:pStyle w:val="Point1"/>
        <w:rPr>
          <w:noProof/>
        </w:rPr>
      </w:pPr>
      <w:r w:rsidRPr="004A06D6">
        <w:t>(c)</w:t>
      </w:r>
      <w:r w:rsidRPr="004A06D6">
        <w:tab/>
      </w:r>
      <w:r w:rsidR="009F0536" w:rsidRPr="005B03CE">
        <w:rPr>
          <w:noProof/>
        </w:rPr>
        <w:t>the European Commission;</w:t>
      </w:r>
    </w:p>
    <w:p w:rsidR="009F0536" w:rsidRPr="005B03CE" w:rsidRDefault="004A06D6" w:rsidP="004A06D6">
      <w:pPr>
        <w:pStyle w:val="Point1"/>
        <w:rPr>
          <w:noProof/>
        </w:rPr>
      </w:pPr>
      <w:r w:rsidRPr="004A06D6">
        <w:t>(d)</w:t>
      </w:r>
      <w:r w:rsidRPr="004A06D6">
        <w:tab/>
      </w:r>
      <w:r w:rsidR="009F0536" w:rsidRPr="005B03CE">
        <w:rPr>
          <w:noProof/>
        </w:rPr>
        <w:t>the Court of Justice of the European Union;</w:t>
      </w:r>
    </w:p>
    <w:p w:rsidR="009F0536" w:rsidRPr="005B03CE" w:rsidRDefault="004A06D6" w:rsidP="004A06D6">
      <w:pPr>
        <w:pStyle w:val="Point1"/>
        <w:rPr>
          <w:noProof/>
        </w:rPr>
      </w:pPr>
      <w:r w:rsidRPr="004A06D6">
        <w:t>(e)</w:t>
      </w:r>
      <w:r w:rsidRPr="004A06D6">
        <w:tab/>
      </w:r>
      <w:r w:rsidR="009F0536" w:rsidRPr="005B03CE">
        <w:rPr>
          <w:noProof/>
        </w:rPr>
        <w:t>the European Central Bank;</w:t>
      </w:r>
    </w:p>
    <w:p w:rsidR="009F0536" w:rsidRPr="005B03CE" w:rsidRDefault="004A06D6" w:rsidP="004A06D6">
      <w:pPr>
        <w:pStyle w:val="Point1"/>
        <w:rPr>
          <w:noProof/>
        </w:rPr>
      </w:pPr>
      <w:r w:rsidRPr="004A06D6">
        <w:t>(f)</w:t>
      </w:r>
      <w:r w:rsidRPr="004A06D6">
        <w:tab/>
      </w:r>
      <w:r w:rsidR="009F0536" w:rsidRPr="005B03CE">
        <w:rPr>
          <w:noProof/>
        </w:rPr>
        <w:t>the European Court of Auditors;</w:t>
      </w:r>
    </w:p>
    <w:p w:rsidR="009F0536" w:rsidRPr="005B03CE" w:rsidRDefault="004A06D6" w:rsidP="004A06D6">
      <w:pPr>
        <w:pStyle w:val="Point1"/>
        <w:rPr>
          <w:noProof/>
        </w:rPr>
      </w:pPr>
      <w:r w:rsidRPr="004A06D6">
        <w:t>(g)</w:t>
      </w:r>
      <w:r w:rsidRPr="004A06D6">
        <w:tab/>
      </w:r>
      <w:r w:rsidR="009F0536" w:rsidRPr="005B03CE">
        <w:rPr>
          <w:noProof/>
        </w:rPr>
        <w:t>the European External Action Service;</w:t>
      </w:r>
    </w:p>
    <w:p w:rsidR="009F0536" w:rsidRPr="005B03CE" w:rsidRDefault="004A06D6" w:rsidP="004A06D6">
      <w:pPr>
        <w:pStyle w:val="Point1"/>
        <w:rPr>
          <w:noProof/>
        </w:rPr>
      </w:pPr>
      <w:r w:rsidRPr="004A06D6">
        <w:t>(h)</w:t>
      </w:r>
      <w:r w:rsidRPr="004A06D6">
        <w:tab/>
      </w:r>
      <w:r w:rsidR="009F0536" w:rsidRPr="005B03CE">
        <w:rPr>
          <w:noProof/>
        </w:rPr>
        <w:t>the European Economic and Social Committee;</w:t>
      </w:r>
    </w:p>
    <w:p w:rsidR="009F0536" w:rsidRPr="005B03CE" w:rsidRDefault="004A06D6" w:rsidP="004A06D6">
      <w:pPr>
        <w:pStyle w:val="Point1"/>
        <w:rPr>
          <w:noProof/>
        </w:rPr>
      </w:pPr>
      <w:r w:rsidRPr="004A06D6">
        <w:t>(i)</w:t>
      </w:r>
      <w:r w:rsidRPr="004A06D6">
        <w:tab/>
      </w:r>
      <w:r w:rsidR="009F0536" w:rsidRPr="005B03CE">
        <w:rPr>
          <w:noProof/>
        </w:rPr>
        <w:t>the European Committee of the Regions;</w:t>
      </w:r>
    </w:p>
    <w:p w:rsidR="009F0536" w:rsidRPr="005B03CE" w:rsidRDefault="004A06D6" w:rsidP="004A06D6">
      <w:pPr>
        <w:pStyle w:val="Point1"/>
        <w:rPr>
          <w:noProof/>
        </w:rPr>
      </w:pPr>
      <w:r w:rsidRPr="004A06D6">
        <w:t>(j)</w:t>
      </w:r>
      <w:r w:rsidRPr="004A06D6">
        <w:tab/>
      </w:r>
      <w:r w:rsidR="009F0536" w:rsidRPr="005B03CE">
        <w:rPr>
          <w:noProof/>
        </w:rPr>
        <w:t>the European Investment Bank;</w:t>
      </w:r>
    </w:p>
    <w:p w:rsidR="00861CD9" w:rsidRPr="005B03CE" w:rsidRDefault="004A06D6" w:rsidP="004A06D6">
      <w:pPr>
        <w:pStyle w:val="Point1"/>
        <w:rPr>
          <w:noProof/>
        </w:rPr>
      </w:pPr>
      <w:r w:rsidRPr="004A06D6">
        <w:t>(k)</w:t>
      </w:r>
      <w:r w:rsidRPr="004A06D6">
        <w:tab/>
      </w:r>
      <w:r w:rsidR="009F0536" w:rsidRPr="005B03CE">
        <w:rPr>
          <w:noProof/>
        </w:rPr>
        <w:t>the European Union Agency for Cybersecurity.</w:t>
      </w:r>
    </w:p>
    <w:p w:rsidR="009F0536" w:rsidRPr="005B03CE" w:rsidRDefault="009F0536" w:rsidP="007037E3">
      <w:pPr>
        <w:pStyle w:val="Text1"/>
        <w:rPr>
          <w:noProof/>
          <w:szCs w:val="24"/>
        </w:rPr>
      </w:pPr>
      <w:r w:rsidRPr="005B03CE">
        <w:rPr>
          <w:noProof/>
          <w:szCs w:val="24"/>
        </w:rPr>
        <w:t xml:space="preserve">Members may be assisted by an alternate. Other representatives of </w:t>
      </w:r>
      <w:r w:rsidR="00FD17C3" w:rsidRPr="005B03CE">
        <w:rPr>
          <w:noProof/>
          <w:szCs w:val="24"/>
        </w:rPr>
        <w:t xml:space="preserve">the organisations listed above or of other </w:t>
      </w:r>
      <w:r w:rsidR="00B07028" w:rsidRPr="005B03CE">
        <w:rPr>
          <w:noProof/>
          <w:szCs w:val="24"/>
        </w:rPr>
        <w:t xml:space="preserve">Union </w:t>
      </w:r>
      <w:r w:rsidR="00DB116F" w:rsidRPr="005B03CE">
        <w:rPr>
          <w:noProof/>
          <w:szCs w:val="24"/>
        </w:rPr>
        <w:t>institutions, bodies and agencies</w:t>
      </w:r>
      <w:r w:rsidRPr="005B03CE">
        <w:rPr>
          <w:noProof/>
          <w:szCs w:val="24"/>
        </w:rPr>
        <w:t xml:space="preserve"> may be invited by the chair to attend </w:t>
      </w:r>
      <w:r w:rsidR="00693DF3" w:rsidRPr="005B03CE">
        <w:rPr>
          <w:noProof/>
          <w:szCs w:val="24"/>
        </w:rPr>
        <w:t>IICB</w:t>
      </w:r>
      <w:r w:rsidRPr="005B03CE">
        <w:rPr>
          <w:noProof/>
          <w:szCs w:val="24"/>
        </w:rPr>
        <w:t xml:space="preserve"> meetings without voting power.</w:t>
      </w:r>
    </w:p>
    <w:p w:rsidR="009F0536" w:rsidRPr="005B03CE" w:rsidRDefault="004A06D6" w:rsidP="004A06D6">
      <w:pPr>
        <w:pStyle w:val="ManualNumPar1"/>
        <w:rPr>
          <w:noProof/>
        </w:rPr>
      </w:pPr>
      <w:r w:rsidRPr="004A06D6">
        <w:t>4.</w:t>
      </w:r>
      <w:r w:rsidRPr="004A06D6">
        <w:tab/>
      </w:r>
      <w:r w:rsidR="009F0536" w:rsidRPr="005B03CE">
        <w:rPr>
          <w:noProof/>
        </w:rPr>
        <w:t xml:space="preserve">The IICB shall adopt </w:t>
      </w:r>
      <w:r w:rsidR="00FD17C3" w:rsidRPr="005B03CE">
        <w:rPr>
          <w:noProof/>
        </w:rPr>
        <w:t xml:space="preserve">its </w:t>
      </w:r>
      <w:r w:rsidR="00F61C1D" w:rsidRPr="005B03CE">
        <w:rPr>
          <w:noProof/>
        </w:rPr>
        <w:t>internal rules of procedure.</w:t>
      </w:r>
    </w:p>
    <w:p w:rsidR="009F0536" w:rsidRPr="005B03CE" w:rsidRDefault="004A06D6" w:rsidP="004A06D6">
      <w:pPr>
        <w:pStyle w:val="ManualNumPar1"/>
        <w:rPr>
          <w:noProof/>
        </w:rPr>
      </w:pPr>
      <w:r w:rsidRPr="004A06D6">
        <w:t>5.</w:t>
      </w:r>
      <w:r w:rsidRPr="004A06D6">
        <w:tab/>
      </w:r>
      <w:r w:rsidR="009F0536" w:rsidRPr="005B03CE">
        <w:rPr>
          <w:noProof/>
        </w:rPr>
        <w:t xml:space="preserve">The IICB shall designate a chair, in </w:t>
      </w:r>
      <w:r w:rsidR="00FD17C3" w:rsidRPr="005B03CE">
        <w:rPr>
          <w:noProof/>
        </w:rPr>
        <w:t xml:space="preserve">accordance </w:t>
      </w:r>
      <w:r w:rsidR="009F0536" w:rsidRPr="005B03CE">
        <w:rPr>
          <w:noProof/>
        </w:rPr>
        <w:t xml:space="preserve">with its internal rules of procedure, from among its members for a period of </w:t>
      </w:r>
      <w:r w:rsidR="00FD17C3" w:rsidRPr="005B03CE">
        <w:rPr>
          <w:noProof/>
        </w:rPr>
        <w:t xml:space="preserve">four </w:t>
      </w:r>
      <w:r w:rsidR="009F0536" w:rsidRPr="005B03CE">
        <w:rPr>
          <w:noProof/>
        </w:rPr>
        <w:t xml:space="preserve">years. His or her alternate shall become a full member of the </w:t>
      </w:r>
      <w:r w:rsidR="00693DF3" w:rsidRPr="005B03CE">
        <w:rPr>
          <w:noProof/>
        </w:rPr>
        <w:t>IICB</w:t>
      </w:r>
      <w:r w:rsidR="00F61C1D" w:rsidRPr="005B03CE">
        <w:rPr>
          <w:noProof/>
        </w:rPr>
        <w:t xml:space="preserve"> for the same duration.</w:t>
      </w:r>
    </w:p>
    <w:p w:rsidR="009F0536" w:rsidRPr="005B03CE" w:rsidRDefault="004A06D6" w:rsidP="004A06D6">
      <w:pPr>
        <w:pStyle w:val="ManualNumPar1"/>
        <w:rPr>
          <w:noProof/>
        </w:rPr>
      </w:pPr>
      <w:r w:rsidRPr="004A06D6">
        <w:t>6.</w:t>
      </w:r>
      <w:r w:rsidRPr="004A06D6">
        <w:tab/>
      </w:r>
      <w:r w:rsidR="009F0536" w:rsidRPr="005B03CE">
        <w:rPr>
          <w:noProof/>
        </w:rPr>
        <w:t>The IICB shall meet at the initiative of its chair, at the request of CERT-EU or at the</w:t>
      </w:r>
      <w:r w:rsidR="00F61C1D" w:rsidRPr="005B03CE">
        <w:rPr>
          <w:noProof/>
        </w:rPr>
        <w:t xml:space="preserve"> request of any of its members.</w:t>
      </w:r>
    </w:p>
    <w:p w:rsidR="009F0536" w:rsidRPr="005B03CE" w:rsidRDefault="004A06D6" w:rsidP="004A06D6">
      <w:pPr>
        <w:pStyle w:val="ManualNumPar1"/>
        <w:rPr>
          <w:noProof/>
        </w:rPr>
      </w:pPr>
      <w:r w:rsidRPr="004A06D6">
        <w:t>7.</w:t>
      </w:r>
      <w:r w:rsidRPr="004A06D6">
        <w:tab/>
      </w:r>
      <w:r w:rsidR="009F0536" w:rsidRPr="005B03CE">
        <w:rPr>
          <w:noProof/>
        </w:rPr>
        <w:t>Each member of the IICB shall have one vote. The IICB</w:t>
      </w:r>
      <w:r w:rsidR="007E18EC" w:rsidRPr="005B03CE">
        <w:rPr>
          <w:noProof/>
        </w:rPr>
        <w:t>’</w:t>
      </w:r>
      <w:r w:rsidR="009F0536" w:rsidRPr="005B03CE">
        <w:rPr>
          <w:noProof/>
        </w:rPr>
        <w:t>s decisions shall be taken by simple majority except where otherwise</w:t>
      </w:r>
      <w:r w:rsidR="00F15F34" w:rsidRPr="005B03CE">
        <w:rPr>
          <w:noProof/>
        </w:rPr>
        <w:t xml:space="preserve"> </w:t>
      </w:r>
      <w:r w:rsidR="00FD17C3" w:rsidRPr="005B03CE">
        <w:rPr>
          <w:noProof/>
        </w:rPr>
        <w:t xml:space="preserve">provided for </w:t>
      </w:r>
      <w:r w:rsidR="00F15F34" w:rsidRPr="005B03CE">
        <w:rPr>
          <w:noProof/>
        </w:rPr>
        <w:t>in this Regulation</w:t>
      </w:r>
      <w:r w:rsidR="009F0536" w:rsidRPr="005B03CE">
        <w:rPr>
          <w:noProof/>
        </w:rPr>
        <w:t>. The chair shall not vote except in the event of a tied vote where he or she may cast a deciding vote.</w:t>
      </w:r>
    </w:p>
    <w:p w:rsidR="009F0536" w:rsidRPr="005B03CE" w:rsidRDefault="004A06D6" w:rsidP="004A06D6">
      <w:pPr>
        <w:pStyle w:val="ManualNumPar1"/>
        <w:rPr>
          <w:noProof/>
        </w:rPr>
      </w:pPr>
      <w:r w:rsidRPr="004A06D6">
        <w:t>8.</w:t>
      </w:r>
      <w:r w:rsidRPr="004A06D6">
        <w:tab/>
      </w:r>
      <w:r w:rsidR="009F0536" w:rsidRPr="005B03CE">
        <w:rPr>
          <w:noProof/>
        </w:rPr>
        <w:t xml:space="preserve">The IICB may act by a simplified written procedure initiated </w:t>
      </w:r>
      <w:r w:rsidR="00C06094" w:rsidRPr="005B03CE">
        <w:rPr>
          <w:noProof/>
        </w:rPr>
        <w:t xml:space="preserve">in </w:t>
      </w:r>
      <w:r w:rsidR="00081631" w:rsidRPr="005B03CE">
        <w:rPr>
          <w:noProof/>
        </w:rPr>
        <w:t xml:space="preserve">accordance </w:t>
      </w:r>
      <w:r w:rsidR="00C06094" w:rsidRPr="005B03CE">
        <w:rPr>
          <w:noProof/>
        </w:rPr>
        <w:t>with the internal rules of procedure of the IICB</w:t>
      </w:r>
      <w:r w:rsidR="00081631" w:rsidRPr="005B03CE">
        <w:rPr>
          <w:noProof/>
        </w:rPr>
        <w:t>. U</w:t>
      </w:r>
      <w:r w:rsidR="009F0536" w:rsidRPr="005B03CE">
        <w:rPr>
          <w:noProof/>
        </w:rPr>
        <w:t xml:space="preserve">nder </w:t>
      </w:r>
      <w:r w:rsidR="00081631" w:rsidRPr="005B03CE">
        <w:rPr>
          <w:noProof/>
        </w:rPr>
        <w:t xml:space="preserve">that procedure, </w:t>
      </w:r>
      <w:r w:rsidR="009F0536" w:rsidRPr="005B03CE">
        <w:rPr>
          <w:noProof/>
        </w:rPr>
        <w:t>the relevant decision shall be deemed approved within the timeframe set by the chair, except where a member objects.</w:t>
      </w:r>
    </w:p>
    <w:p w:rsidR="009F0536" w:rsidRPr="005B03CE" w:rsidRDefault="004A06D6" w:rsidP="004A06D6">
      <w:pPr>
        <w:pStyle w:val="ManualNumPar1"/>
        <w:rPr>
          <w:noProof/>
        </w:rPr>
      </w:pPr>
      <w:r w:rsidRPr="004A06D6">
        <w:t>9.</w:t>
      </w:r>
      <w:r w:rsidRPr="004A06D6">
        <w:tab/>
      </w:r>
      <w:r w:rsidR="0005358C" w:rsidRPr="005B03CE">
        <w:rPr>
          <w:noProof/>
        </w:rPr>
        <w:t>T</w:t>
      </w:r>
      <w:r w:rsidR="009F0536" w:rsidRPr="005B03CE">
        <w:rPr>
          <w:noProof/>
        </w:rPr>
        <w:t xml:space="preserve">he Head of CERT-EU, or his or her alternate, shall participate in IICB meetings except where otherwise decided by the </w:t>
      </w:r>
      <w:r w:rsidR="00693DF3" w:rsidRPr="005B03CE">
        <w:rPr>
          <w:noProof/>
        </w:rPr>
        <w:t>IICB</w:t>
      </w:r>
      <w:r w:rsidR="009F0536" w:rsidRPr="005B03CE">
        <w:rPr>
          <w:noProof/>
        </w:rPr>
        <w:t>.</w:t>
      </w:r>
    </w:p>
    <w:p w:rsidR="009F0536" w:rsidRPr="005B03CE" w:rsidRDefault="004A06D6" w:rsidP="004A06D6">
      <w:pPr>
        <w:pStyle w:val="ManualNumPar1"/>
        <w:rPr>
          <w:noProof/>
        </w:rPr>
      </w:pPr>
      <w:r w:rsidRPr="004A06D6">
        <w:t>10.</w:t>
      </w:r>
      <w:r w:rsidRPr="004A06D6">
        <w:tab/>
      </w:r>
      <w:r w:rsidR="009F0536" w:rsidRPr="005B03CE">
        <w:rPr>
          <w:noProof/>
        </w:rPr>
        <w:t xml:space="preserve">The secretariat of the IICB shall be provided by the </w:t>
      </w:r>
      <w:r w:rsidR="00F61C1D" w:rsidRPr="005B03CE">
        <w:rPr>
          <w:noProof/>
        </w:rPr>
        <w:t>Commission.</w:t>
      </w:r>
    </w:p>
    <w:p w:rsidR="009F0536" w:rsidRPr="005B03CE" w:rsidRDefault="004A06D6" w:rsidP="004A06D6">
      <w:pPr>
        <w:pStyle w:val="ManualNumPar1"/>
        <w:rPr>
          <w:noProof/>
        </w:rPr>
      </w:pPr>
      <w:r w:rsidRPr="004A06D6">
        <w:t>11.</w:t>
      </w:r>
      <w:r w:rsidRPr="004A06D6">
        <w:tab/>
      </w:r>
      <w:r w:rsidR="009F0536" w:rsidRPr="005B03CE">
        <w:rPr>
          <w:noProof/>
        </w:rPr>
        <w:t xml:space="preserve">The representatives nominated </w:t>
      </w:r>
      <w:r w:rsidR="00184604" w:rsidRPr="005B03CE">
        <w:rPr>
          <w:noProof/>
        </w:rPr>
        <w:t xml:space="preserve">by the </w:t>
      </w:r>
      <w:r w:rsidR="00730A5B" w:rsidRPr="005B03CE">
        <w:rPr>
          <w:noProof/>
        </w:rPr>
        <w:t xml:space="preserve">EUAN upon a proposal of </w:t>
      </w:r>
      <w:r w:rsidR="00081631" w:rsidRPr="005B03CE">
        <w:rPr>
          <w:noProof/>
        </w:rPr>
        <w:t xml:space="preserve">the ICT Advisory Committee shall </w:t>
      </w:r>
      <w:r w:rsidR="009F0536" w:rsidRPr="005B03CE">
        <w:rPr>
          <w:noProof/>
        </w:rPr>
        <w:t>relay the IICB</w:t>
      </w:r>
      <w:r w:rsidR="007E18EC" w:rsidRPr="005B03CE">
        <w:rPr>
          <w:noProof/>
        </w:rPr>
        <w:t>’</w:t>
      </w:r>
      <w:r w:rsidR="009F0536" w:rsidRPr="005B03CE">
        <w:rPr>
          <w:noProof/>
        </w:rPr>
        <w:t>s decisions to the Union agencies</w:t>
      </w:r>
      <w:r w:rsidR="00F93665" w:rsidRPr="005B03CE">
        <w:rPr>
          <w:noProof/>
        </w:rPr>
        <w:t xml:space="preserve"> and joint undertakings</w:t>
      </w:r>
      <w:r w:rsidR="009F0536" w:rsidRPr="005B03CE">
        <w:rPr>
          <w:noProof/>
        </w:rPr>
        <w:t xml:space="preserve">. Any </w:t>
      </w:r>
      <w:r w:rsidR="00081631" w:rsidRPr="005B03CE">
        <w:rPr>
          <w:noProof/>
        </w:rPr>
        <w:t xml:space="preserve">Union </w:t>
      </w:r>
      <w:r w:rsidR="009F0536" w:rsidRPr="005B03CE">
        <w:rPr>
          <w:noProof/>
        </w:rPr>
        <w:t>agency</w:t>
      </w:r>
      <w:r w:rsidR="00F93665" w:rsidRPr="005B03CE">
        <w:rPr>
          <w:noProof/>
        </w:rPr>
        <w:t xml:space="preserve"> and </w:t>
      </w:r>
      <w:r w:rsidR="00BE2C25" w:rsidRPr="005B03CE">
        <w:rPr>
          <w:noProof/>
        </w:rPr>
        <w:t>bod</w:t>
      </w:r>
      <w:r w:rsidR="00184604" w:rsidRPr="005B03CE">
        <w:rPr>
          <w:noProof/>
        </w:rPr>
        <w:t>y</w:t>
      </w:r>
      <w:r w:rsidR="009F0536" w:rsidRPr="005B03CE">
        <w:rPr>
          <w:noProof/>
        </w:rPr>
        <w:t xml:space="preserve"> shall be entitled to raise with the representatives or the chair of the</w:t>
      </w:r>
      <w:r w:rsidR="00693DF3" w:rsidRPr="005B03CE">
        <w:rPr>
          <w:noProof/>
        </w:rPr>
        <w:t xml:space="preserve"> IICB</w:t>
      </w:r>
      <w:r w:rsidR="009F0536" w:rsidRPr="005B03CE">
        <w:rPr>
          <w:noProof/>
        </w:rPr>
        <w:t xml:space="preserve"> any matter which it considers should be brought to the IICB</w:t>
      </w:r>
      <w:r w:rsidR="007E18EC" w:rsidRPr="005B03CE">
        <w:rPr>
          <w:noProof/>
        </w:rPr>
        <w:t>’</w:t>
      </w:r>
      <w:r w:rsidR="00F61C1D" w:rsidRPr="005B03CE">
        <w:rPr>
          <w:noProof/>
        </w:rPr>
        <w:t>s attention.</w:t>
      </w:r>
    </w:p>
    <w:p w:rsidR="00E1737C" w:rsidRPr="005B03CE" w:rsidRDefault="004A06D6" w:rsidP="004A06D6">
      <w:pPr>
        <w:pStyle w:val="ManualNumPar1"/>
        <w:rPr>
          <w:noProof/>
        </w:rPr>
      </w:pPr>
      <w:r w:rsidRPr="004A06D6">
        <w:t>12.</w:t>
      </w:r>
      <w:r w:rsidRPr="004A06D6">
        <w:tab/>
      </w:r>
      <w:r w:rsidR="00E1737C" w:rsidRPr="005B03CE">
        <w:rPr>
          <w:noProof/>
        </w:rPr>
        <w:t xml:space="preserve">The </w:t>
      </w:r>
      <w:r w:rsidR="006D5754" w:rsidRPr="005B03CE">
        <w:rPr>
          <w:noProof/>
        </w:rPr>
        <w:t>IICB</w:t>
      </w:r>
      <w:r w:rsidR="00E1737C" w:rsidRPr="005B03CE">
        <w:rPr>
          <w:noProof/>
        </w:rPr>
        <w:t xml:space="preserve"> may act by a simplified written procedure initiated by the chair under which the relevant decision shall be deemed approved within the timeframe set by the chair, except where a member objects.</w:t>
      </w:r>
    </w:p>
    <w:p w:rsidR="004964D3" w:rsidRPr="005B03CE" w:rsidRDefault="004A06D6" w:rsidP="004A06D6">
      <w:pPr>
        <w:pStyle w:val="ManualNumPar1"/>
        <w:rPr>
          <w:noProof/>
        </w:rPr>
      </w:pPr>
      <w:r w:rsidRPr="004A06D6">
        <w:t>13.</w:t>
      </w:r>
      <w:r w:rsidRPr="004A06D6">
        <w:tab/>
      </w:r>
      <w:r w:rsidR="009F0536" w:rsidRPr="005B03CE">
        <w:rPr>
          <w:noProof/>
        </w:rPr>
        <w:t xml:space="preserve">The IICB </w:t>
      </w:r>
      <w:r w:rsidR="006A2829" w:rsidRPr="005B03CE">
        <w:rPr>
          <w:noProof/>
        </w:rPr>
        <w:t xml:space="preserve">may </w:t>
      </w:r>
      <w:r w:rsidR="009F0536" w:rsidRPr="005B03CE">
        <w:rPr>
          <w:noProof/>
        </w:rPr>
        <w:t xml:space="preserve">nominate an Executive Committee to assist it in its work, and delegate some of its tasks and powers to it. The IICB shall lay down the rules of procedure of the Executive Committee, including </w:t>
      </w:r>
      <w:r w:rsidR="00081631" w:rsidRPr="005B03CE">
        <w:rPr>
          <w:noProof/>
        </w:rPr>
        <w:t>its tasks and powers,</w:t>
      </w:r>
      <w:r w:rsidR="009F0536" w:rsidRPr="005B03CE">
        <w:rPr>
          <w:noProof/>
        </w:rPr>
        <w:t xml:space="preserve"> and the terms of office of its members.</w:t>
      </w:r>
    </w:p>
    <w:p w:rsidR="004964D3" w:rsidRPr="005B03CE" w:rsidRDefault="004964D3" w:rsidP="004964D3">
      <w:pPr>
        <w:pStyle w:val="Titrearticle"/>
        <w:rPr>
          <w:b/>
          <w:noProof/>
          <w:szCs w:val="24"/>
        </w:rPr>
      </w:pPr>
      <w:r w:rsidRPr="005B03CE">
        <w:rPr>
          <w:noProof/>
          <w:szCs w:val="24"/>
        </w:rPr>
        <w:t>Article 10</w:t>
      </w:r>
      <w:r w:rsidRPr="005B03CE">
        <w:rPr>
          <w:noProof/>
          <w:szCs w:val="24"/>
        </w:rPr>
        <w:br/>
      </w:r>
      <w:r w:rsidRPr="005B03CE">
        <w:rPr>
          <w:b/>
          <w:noProof/>
          <w:szCs w:val="24"/>
        </w:rPr>
        <w:t xml:space="preserve">Tasks of the </w:t>
      </w:r>
      <w:r w:rsidR="00693DF3" w:rsidRPr="005B03CE">
        <w:rPr>
          <w:b/>
          <w:noProof/>
          <w:szCs w:val="24"/>
        </w:rPr>
        <w:t>IICB</w:t>
      </w:r>
    </w:p>
    <w:p w:rsidR="004964D3" w:rsidRPr="005B03CE" w:rsidRDefault="00B852FF" w:rsidP="00F61C1D">
      <w:pPr>
        <w:rPr>
          <w:noProof/>
          <w:szCs w:val="24"/>
        </w:rPr>
      </w:pPr>
      <w:r w:rsidRPr="005B03CE">
        <w:rPr>
          <w:noProof/>
          <w:szCs w:val="24"/>
        </w:rPr>
        <w:t>When exercising its responsibilities</w:t>
      </w:r>
      <w:r w:rsidR="004964D3" w:rsidRPr="005B03CE">
        <w:rPr>
          <w:noProof/>
          <w:szCs w:val="24"/>
        </w:rPr>
        <w:t>, the IICB shall in particular:</w:t>
      </w:r>
    </w:p>
    <w:p w:rsidR="004964D3" w:rsidRPr="005B03CE" w:rsidRDefault="004A06D6" w:rsidP="004A06D6">
      <w:pPr>
        <w:pStyle w:val="Point0"/>
        <w:rPr>
          <w:noProof/>
        </w:rPr>
      </w:pPr>
      <w:r w:rsidRPr="004A06D6">
        <w:t>(a)</w:t>
      </w:r>
      <w:r w:rsidRPr="004A06D6">
        <w:tab/>
      </w:r>
      <w:r w:rsidR="009C6A61" w:rsidRPr="005B03CE">
        <w:rPr>
          <w:noProof/>
        </w:rPr>
        <w:t xml:space="preserve">review </w:t>
      </w:r>
      <w:r w:rsidR="006A2829" w:rsidRPr="005B03CE">
        <w:rPr>
          <w:noProof/>
        </w:rPr>
        <w:t xml:space="preserve">any </w:t>
      </w:r>
      <w:r w:rsidR="004964D3" w:rsidRPr="005B03CE">
        <w:rPr>
          <w:noProof/>
        </w:rPr>
        <w:t xml:space="preserve">reports </w:t>
      </w:r>
      <w:r w:rsidR="006A2829" w:rsidRPr="005B03CE">
        <w:rPr>
          <w:noProof/>
        </w:rPr>
        <w:t xml:space="preserve">requested from </w:t>
      </w:r>
      <w:r w:rsidR="004964D3" w:rsidRPr="005B03CE">
        <w:rPr>
          <w:noProof/>
        </w:rPr>
        <w:t xml:space="preserve">CERT-EU on the state of implementation of this Regulation by the </w:t>
      </w:r>
      <w:r w:rsidR="00B07028" w:rsidRPr="005B03CE">
        <w:rPr>
          <w:noProof/>
        </w:rPr>
        <w:t xml:space="preserve">Union </w:t>
      </w:r>
      <w:r w:rsidR="00DB116F" w:rsidRPr="005B03CE">
        <w:rPr>
          <w:noProof/>
        </w:rPr>
        <w:t>institutions, bodies and agencies</w:t>
      </w:r>
      <w:r w:rsidR="004964D3" w:rsidRPr="005B03CE">
        <w:rPr>
          <w:noProof/>
        </w:rPr>
        <w:t>;</w:t>
      </w:r>
    </w:p>
    <w:p w:rsidR="004964D3" w:rsidRPr="005B03CE" w:rsidRDefault="004A06D6" w:rsidP="004A06D6">
      <w:pPr>
        <w:pStyle w:val="Point0"/>
        <w:rPr>
          <w:noProof/>
        </w:rPr>
      </w:pPr>
      <w:r w:rsidRPr="004A06D6">
        <w:t>(b)</w:t>
      </w:r>
      <w:r w:rsidRPr="004A06D6">
        <w:tab/>
      </w:r>
      <w:r w:rsidR="004964D3" w:rsidRPr="005B03CE">
        <w:rPr>
          <w:noProof/>
        </w:rPr>
        <w:t>approve, on the basis of a proposal from the Head of CERT-EU, the annual work programme for CERT-EU and monitor its implementation;</w:t>
      </w:r>
    </w:p>
    <w:p w:rsidR="004964D3" w:rsidRPr="005B03CE" w:rsidRDefault="004A06D6" w:rsidP="004A06D6">
      <w:pPr>
        <w:pStyle w:val="Point0"/>
        <w:rPr>
          <w:noProof/>
        </w:rPr>
      </w:pPr>
      <w:r w:rsidRPr="004A06D6">
        <w:t>(c)</w:t>
      </w:r>
      <w:r w:rsidRPr="004A06D6">
        <w:tab/>
      </w:r>
      <w:r w:rsidR="004964D3" w:rsidRPr="005B03CE">
        <w:rPr>
          <w:noProof/>
        </w:rPr>
        <w:t>approve, on the basis of a proposal from the Head of CERT-EU, CERT-EU</w:t>
      </w:r>
      <w:r w:rsidR="007E18EC" w:rsidRPr="005B03CE">
        <w:rPr>
          <w:noProof/>
        </w:rPr>
        <w:t>’</w:t>
      </w:r>
      <w:r w:rsidR="004964D3" w:rsidRPr="005B03CE">
        <w:rPr>
          <w:noProof/>
        </w:rPr>
        <w:t>s service catalogue;</w:t>
      </w:r>
    </w:p>
    <w:p w:rsidR="004964D3" w:rsidRPr="005B03CE" w:rsidRDefault="004A06D6" w:rsidP="004A06D6">
      <w:pPr>
        <w:pStyle w:val="Point0"/>
        <w:rPr>
          <w:noProof/>
        </w:rPr>
      </w:pPr>
      <w:r w:rsidRPr="004A06D6">
        <w:t>(d)</w:t>
      </w:r>
      <w:r w:rsidRPr="004A06D6">
        <w:tab/>
      </w:r>
      <w:r w:rsidR="004964D3" w:rsidRPr="005B03CE">
        <w:rPr>
          <w:noProof/>
        </w:rPr>
        <w:t>approve, on the basis of a proposal submitted by the Head of CERT-EU, the</w:t>
      </w:r>
      <w:r w:rsidR="00A727BE" w:rsidRPr="005B03CE">
        <w:rPr>
          <w:noProof/>
        </w:rPr>
        <w:t xml:space="preserve"> annual</w:t>
      </w:r>
      <w:r w:rsidR="004964D3" w:rsidRPr="005B03CE">
        <w:rPr>
          <w:noProof/>
        </w:rPr>
        <w:t xml:space="preserve"> financial planning of revenue and expenditure, including staffing, for CERT-EU activities;</w:t>
      </w:r>
    </w:p>
    <w:p w:rsidR="004964D3" w:rsidRPr="005B03CE" w:rsidRDefault="004A06D6" w:rsidP="004A06D6">
      <w:pPr>
        <w:pStyle w:val="Point0"/>
        <w:rPr>
          <w:noProof/>
        </w:rPr>
      </w:pPr>
      <w:r w:rsidRPr="004A06D6">
        <w:t>(e)</w:t>
      </w:r>
      <w:r w:rsidRPr="004A06D6">
        <w:tab/>
      </w:r>
      <w:r w:rsidR="004964D3" w:rsidRPr="005B03CE">
        <w:rPr>
          <w:noProof/>
        </w:rPr>
        <w:t xml:space="preserve">approve, on the basis of a proposal from the Head </w:t>
      </w:r>
      <w:r w:rsidR="00306A0D" w:rsidRPr="005B03CE">
        <w:rPr>
          <w:noProof/>
        </w:rPr>
        <w:t>of CERT-EU, the modalities for service l</w:t>
      </w:r>
      <w:r w:rsidR="004964D3" w:rsidRPr="005B03CE">
        <w:rPr>
          <w:noProof/>
        </w:rPr>
        <w:t xml:space="preserve">evel </w:t>
      </w:r>
      <w:r w:rsidR="00306A0D" w:rsidRPr="005B03CE">
        <w:rPr>
          <w:noProof/>
        </w:rPr>
        <w:t>a</w:t>
      </w:r>
      <w:r w:rsidR="004964D3" w:rsidRPr="005B03CE">
        <w:rPr>
          <w:noProof/>
        </w:rPr>
        <w:t>greements;</w:t>
      </w:r>
    </w:p>
    <w:p w:rsidR="004964D3" w:rsidRPr="005B03CE" w:rsidRDefault="004A06D6" w:rsidP="004A06D6">
      <w:pPr>
        <w:pStyle w:val="Point0"/>
        <w:rPr>
          <w:noProof/>
        </w:rPr>
      </w:pPr>
      <w:r w:rsidRPr="004A06D6">
        <w:t>(f)</w:t>
      </w:r>
      <w:r w:rsidRPr="004A06D6">
        <w:tab/>
      </w:r>
      <w:r w:rsidR="004964D3" w:rsidRPr="005B03CE">
        <w:rPr>
          <w:noProof/>
        </w:rPr>
        <w:t>examine and approve the annual report drawn up by the Head of CERT-EU covering the activities of, and management of funds by CERT-EU;</w:t>
      </w:r>
    </w:p>
    <w:p w:rsidR="004964D3" w:rsidRPr="005B03CE" w:rsidRDefault="004A06D6" w:rsidP="004A06D6">
      <w:pPr>
        <w:pStyle w:val="Point0"/>
        <w:rPr>
          <w:noProof/>
        </w:rPr>
      </w:pPr>
      <w:r w:rsidRPr="004A06D6">
        <w:t>(g)</w:t>
      </w:r>
      <w:r w:rsidRPr="004A06D6">
        <w:tab/>
      </w:r>
      <w:r w:rsidR="004964D3" w:rsidRPr="005B03CE">
        <w:rPr>
          <w:noProof/>
        </w:rPr>
        <w:t>approve and monitor key performance indicators for CERT-EU defined on a proposal by the Head of CERT-EU;</w:t>
      </w:r>
    </w:p>
    <w:p w:rsidR="004964D3" w:rsidRPr="005B03CE" w:rsidRDefault="004A06D6" w:rsidP="004A06D6">
      <w:pPr>
        <w:pStyle w:val="Point0"/>
        <w:rPr>
          <w:noProof/>
        </w:rPr>
      </w:pPr>
      <w:r w:rsidRPr="004A06D6">
        <w:t>(h)</w:t>
      </w:r>
      <w:r w:rsidRPr="004A06D6">
        <w:tab/>
      </w:r>
      <w:r w:rsidR="004964D3" w:rsidRPr="005B03CE">
        <w:rPr>
          <w:noProof/>
        </w:rPr>
        <w:t>approve cooperation arrangements, service level arrangements or contracts between CERT-EU and other entities pursuant to Article 17;</w:t>
      </w:r>
    </w:p>
    <w:p w:rsidR="004964D3" w:rsidRPr="005B03CE" w:rsidRDefault="004A06D6" w:rsidP="004A06D6">
      <w:pPr>
        <w:pStyle w:val="Point0"/>
        <w:rPr>
          <w:noProof/>
        </w:rPr>
      </w:pPr>
      <w:r w:rsidRPr="004A06D6">
        <w:t>(i)</w:t>
      </w:r>
      <w:r w:rsidRPr="004A06D6">
        <w:tab/>
      </w:r>
      <w:r w:rsidR="004964D3" w:rsidRPr="005B03CE">
        <w:rPr>
          <w:noProof/>
        </w:rPr>
        <w:t>establish as many technical advisory groups as necessary to assist the IICB</w:t>
      </w:r>
      <w:r w:rsidR="007E18EC" w:rsidRPr="005B03CE">
        <w:rPr>
          <w:noProof/>
        </w:rPr>
        <w:t>’</w:t>
      </w:r>
      <w:r w:rsidR="004964D3" w:rsidRPr="005B03CE">
        <w:rPr>
          <w:noProof/>
        </w:rPr>
        <w:t xml:space="preserve">s work, approve their terms of reference and designate their </w:t>
      </w:r>
      <w:r w:rsidR="00AB15EE" w:rsidRPr="005B03CE">
        <w:rPr>
          <w:noProof/>
        </w:rPr>
        <w:t xml:space="preserve">respective </w:t>
      </w:r>
      <w:r w:rsidR="004964D3" w:rsidRPr="005B03CE">
        <w:rPr>
          <w:noProof/>
        </w:rPr>
        <w:t>chair</w:t>
      </w:r>
      <w:r w:rsidR="00AB15EE" w:rsidRPr="005B03CE">
        <w:rPr>
          <w:noProof/>
        </w:rPr>
        <w:t>s</w:t>
      </w:r>
      <w:r w:rsidR="004964D3" w:rsidRPr="005B03CE">
        <w:rPr>
          <w:noProof/>
        </w:rPr>
        <w:t>.</w:t>
      </w:r>
    </w:p>
    <w:p w:rsidR="001E38DE" w:rsidRPr="005B03CE" w:rsidRDefault="001E38DE" w:rsidP="001E38DE">
      <w:pPr>
        <w:pStyle w:val="Titrearticle"/>
        <w:rPr>
          <w:b/>
          <w:noProof/>
          <w:szCs w:val="24"/>
        </w:rPr>
      </w:pPr>
      <w:r w:rsidRPr="005B03CE">
        <w:rPr>
          <w:noProof/>
          <w:szCs w:val="24"/>
        </w:rPr>
        <w:t>Article 1</w:t>
      </w:r>
      <w:r w:rsidR="004964D3" w:rsidRPr="005B03CE">
        <w:rPr>
          <w:noProof/>
          <w:szCs w:val="24"/>
        </w:rPr>
        <w:t>1</w:t>
      </w:r>
      <w:r w:rsidRPr="005B03CE">
        <w:rPr>
          <w:noProof/>
          <w:szCs w:val="24"/>
        </w:rPr>
        <w:br/>
      </w:r>
      <w:r w:rsidR="00740369" w:rsidRPr="005B03CE">
        <w:rPr>
          <w:b/>
          <w:noProof/>
          <w:szCs w:val="24"/>
        </w:rPr>
        <w:t>Compliance</w:t>
      </w:r>
    </w:p>
    <w:p w:rsidR="001E38DE" w:rsidRPr="005B03CE" w:rsidRDefault="001E38DE" w:rsidP="001E38DE">
      <w:pPr>
        <w:rPr>
          <w:noProof/>
          <w:szCs w:val="24"/>
        </w:rPr>
      </w:pPr>
      <w:r w:rsidRPr="005B03CE">
        <w:rPr>
          <w:noProof/>
          <w:szCs w:val="24"/>
        </w:rPr>
        <w:t xml:space="preserve">The IICB shall </w:t>
      </w:r>
      <w:r w:rsidR="627B65FE" w:rsidRPr="005B03CE">
        <w:rPr>
          <w:noProof/>
          <w:szCs w:val="24"/>
        </w:rPr>
        <w:t xml:space="preserve">monitor </w:t>
      </w:r>
      <w:r w:rsidR="00073F82" w:rsidRPr="005B03CE">
        <w:rPr>
          <w:noProof/>
          <w:szCs w:val="24"/>
        </w:rPr>
        <w:t>the implementation of</w:t>
      </w:r>
      <w:r w:rsidRPr="005B03CE">
        <w:rPr>
          <w:noProof/>
          <w:szCs w:val="24"/>
        </w:rPr>
        <w:t xml:space="preserve"> this Regulation and </w:t>
      </w:r>
      <w:r w:rsidR="00073F82" w:rsidRPr="005B03CE">
        <w:rPr>
          <w:noProof/>
          <w:szCs w:val="24"/>
        </w:rPr>
        <w:t xml:space="preserve">of </w:t>
      </w:r>
      <w:r w:rsidRPr="005B03CE">
        <w:rPr>
          <w:noProof/>
          <w:szCs w:val="24"/>
        </w:rPr>
        <w:t xml:space="preserve">adopted guidance documents, recommendations and calls for action by the </w:t>
      </w:r>
      <w:r w:rsidR="00B07028" w:rsidRPr="005B03CE">
        <w:rPr>
          <w:noProof/>
          <w:szCs w:val="24"/>
        </w:rPr>
        <w:t xml:space="preserve">Union </w:t>
      </w:r>
      <w:r w:rsidR="00DB116F" w:rsidRPr="005B03CE">
        <w:rPr>
          <w:noProof/>
          <w:szCs w:val="24"/>
        </w:rPr>
        <w:t>institutions, bodies and agencies</w:t>
      </w:r>
      <w:r w:rsidRPr="005B03CE">
        <w:rPr>
          <w:noProof/>
          <w:szCs w:val="24"/>
        </w:rPr>
        <w:t>. Whe</w:t>
      </w:r>
      <w:r w:rsidR="00073F82" w:rsidRPr="005B03CE">
        <w:rPr>
          <w:noProof/>
          <w:szCs w:val="24"/>
        </w:rPr>
        <w:t>re</w:t>
      </w:r>
      <w:r w:rsidRPr="005B03CE">
        <w:rPr>
          <w:noProof/>
          <w:szCs w:val="24"/>
        </w:rPr>
        <w:t xml:space="preserve"> the </w:t>
      </w:r>
      <w:r w:rsidR="00693DF3" w:rsidRPr="005B03CE">
        <w:rPr>
          <w:noProof/>
          <w:szCs w:val="24"/>
        </w:rPr>
        <w:t>IICB</w:t>
      </w:r>
      <w:r w:rsidRPr="005B03CE">
        <w:rPr>
          <w:noProof/>
          <w:szCs w:val="24"/>
        </w:rPr>
        <w:t xml:space="preserve"> finds that </w:t>
      </w:r>
      <w:r w:rsidR="003A3BF4" w:rsidRPr="005B03CE">
        <w:rPr>
          <w:noProof/>
          <w:szCs w:val="24"/>
        </w:rPr>
        <w:t xml:space="preserve">Union </w:t>
      </w:r>
      <w:r w:rsidRPr="005B03CE">
        <w:rPr>
          <w:noProof/>
          <w:szCs w:val="24"/>
        </w:rPr>
        <w:t xml:space="preserve">institutions, bodies or agencies have </w:t>
      </w:r>
      <w:r w:rsidR="00073F82" w:rsidRPr="005B03CE">
        <w:rPr>
          <w:noProof/>
          <w:szCs w:val="24"/>
        </w:rPr>
        <w:t xml:space="preserve">not effectively applied or implemented </w:t>
      </w:r>
      <w:r w:rsidRPr="005B03CE">
        <w:rPr>
          <w:noProof/>
          <w:szCs w:val="24"/>
        </w:rPr>
        <w:t>this Regulation or guidance documents, recommendations and calls for action issued under this Regulation, it may,</w:t>
      </w:r>
      <w:r w:rsidR="000C691A" w:rsidRPr="005B03CE">
        <w:rPr>
          <w:noProof/>
          <w:szCs w:val="24"/>
        </w:rPr>
        <w:t xml:space="preserve"> without prejudice to the internal procedure</w:t>
      </w:r>
      <w:r w:rsidR="6BB9A67F" w:rsidRPr="005B03CE">
        <w:rPr>
          <w:noProof/>
          <w:szCs w:val="24"/>
        </w:rPr>
        <w:t>s</w:t>
      </w:r>
      <w:r w:rsidR="000C691A" w:rsidRPr="005B03CE">
        <w:rPr>
          <w:noProof/>
          <w:szCs w:val="24"/>
        </w:rPr>
        <w:t xml:space="preserve"> of the relevant Union institution, body or agency</w:t>
      </w:r>
      <w:r w:rsidRPr="005B03CE">
        <w:rPr>
          <w:noProof/>
          <w:szCs w:val="24"/>
        </w:rPr>
        <w:t>:</w:t>
      </w:r>
    </w:p>
    <w:p w:rsidR="001E38DE" w:rsidRPr="005B03CE" w:rsidRDefault="004A06D6" w:rsidP="004A06D6">
      <w:pPr>
        <w:pStyle w:val="Point0"/>
        <w:rPr>
          <w:noProof/>
        </w:rPr>
      </w:pPr>
      <w:r w:rsidRPr="004A06D6">
        <w:t>(a)</w:t>
      </w:r>
      <w:r w:rsidRPr="004A06D6">
        <w:tab/>
      </w:r>
      <w:r w:rsidR="002628C5" w:rsidRPr="005B03CE">
        <w:rPr>
          <w:noProof/>
        </w:rPr>
        <w:t>issue a warning; where necessary in view of a compelling cybersecurity risk, the audience of the warning shall be restricted appropriately</w:t>
      </w:r>
      <w:r w:rsidR="001E38DE" w:rsidRPr="005B03CE">
        <w:rPr>
          <w:noProof/>
        </w:rPr>
        <w:t>;</w:t>
      </w:r>
    </w:p>
    <w:p w:rsidR="001E38DE" w:rsidRPr="005B03CE" w:rsidRDefault="004A06D6" w:rsidP="004A06D6">
      <w:pPr>
        <w:pStyle w:val="Point0"/>
        <w:rPr>
          <w:noProof/>
        </w:rPr>
      </w:pPr>
      <w:r w:rsidRPr="004A06D6">
        <w:t>(b)</w:t>
      </w:r>
      <w:r w:rsidRPr="004A06D6">
        <w:tab/>
      </w:r>
      <w:r w:rsidR="001E38DE" w:rsidRPr="005B03CE">
        <w:rPr>
          <w:noProof/>
        </w:rPr>
        <w:t>re</w:t>
      </w:r>
      <w:r w:rsidR="00115A32" w:rsidRPr="005B03CE">
        <w:rPr>
          <w:noProof/>
        </w:rPr>
        <w:t>commend</w:t>
      </w:r>
      <w:r w:rsidR="001E38DE" w:rsidRPr="005B03CE">
        <w:rPr>
          <w:noProof/>
        </w:rPr>
        <w:t xml:space="preserve"> </w:t>
      </w:r>
      <w:r w:rsidR="002375C2" w:rsidRPr="005B03CE">
        <w:rPr>
          <w:noProof/>
        </w:rPr>
        <w:t xml:space="preserve">a </w:t>
      </w:r>
      <w:r w:rsidR="001E38DE" w:rsidRPr="005B03CE">
        <w:rPr>
          <w:noProof/>
        </w:rPr>
        <w:t>relevant audit service to carry out an audit</w:t>
      </w:r>
      <w:r w:rsidR="00D56182" w:rsidRPr="005B03CE">
        <w:rPr>
          <w:noProof/>
        </w:rPr>
        <w:t>.</w:t>
      </w:r>
    </w:p>
    <w:p w:rsidR="008F298B" w:rsidRPr="00BB701D" w:rsidRDefault="008F298B" w:rsidP="009C6A61">
      <w:pPr>
        <w:pStyle w:val="ChapterTitle"/>
        <w:spacing w:before="360"/>
        <w:rPr>
          <w:i/>
          <w:noProof/>
          <w:sz w:val="24"/>
          <w:szCs w:val="24"/>
          <w:lang w:val="fr-BE"/>
        </w:rPr>
      </w:pPr>
      <w:r w:rsidRPr="00BB701D">
        <w:rPr>
          <w:noProof/>
          <w:sz w:val="24"/>
          <w:szCs w:val="24"/>
          <w:lang w:val="fr-BE"/>
        </w:rPr>
        <w:t>Chapter IV</w:t>
      </w:r>
      <w:r w:rsidRPr="00BB701D">
        <w:rPr>
          <w:noProof/>
          <w:sz w:val="24"/>
          <w:szCs w:val="24"/>
          <w:lang w:val="fr-BE"/>
        </w:rPr>
        <w:br/>
        <w:t>CERT-EU</w:t>
      </w:r>
    </w:p>
    <w:p w:rsidR="008F298B" w:rsidRPr="00BB701D" w:rsidRDefault="008F298B" w:rsidP="008F298B">
      <w:pPr>
        <w:pStyle w:val="Titrearticle"/>
        <w:rPr>
          <w:b/>
          <w:noProof/>
          <w:szCs w:val="24"/>
          <w:lang w:val="fr-BE"/>
        </w:rPr>
      </w:pPr>
      <w:r w:rsidRPr="00BB701D">
        <w:rPr>
          <w:noProof/>
          <w:szCs w:val="24"/>
          <w:lang w:val="fr-BE"/>
        </w:rPr>
        <w:t>Article 12</w:t>
      </w:r>
      <w:r w:rsidRPr="00BB701D">
        <w:rPr>
          <w:noProof/>
          <w:szCs w:val="24"/>
          <w:lang w:val="fr-BE"/>
        </w:rPr>
        <w:br/>
      </w:r>
      <w:r w:rsidRPr="00BB701D">
        <w:rPr>
          <w:b/>
          <w:noProof/>
          <w:szCs w:val="24"/>
          <w:lang w:val="fr-BE"/>
        </w:rPr>
        <w:t>CERT-EU mission and tasks</w:t>
      </w:r>
    </w:p>
    <w:p w:rsidR="008F298B" w:rsidRPr="005B03CE" w:rsidRDefault="004A06D6" w:rsidP="004A06D6">
      <w:pPr>
        <w:pStyle w:val="ManualNumPar1"/>
        <w:rPr>
          <w:noProof/>
        </w:rPr>
      </w:pPr>
      <w:r w:rsidRPr="004A06D6">
        <w:t>1.</w:t>
      </w:r>
      <w:r w:rsidRPr="004A06D6">
        <w:tab/>
      </w:r>
      <w:r w:rsidR="00F1392C" w:rsidRPr="005B03CE">
        <w:rPr>
          <w:noProof/>
        </w:rPr>
        <w:t>The</w:t>
      </w:r>
      <w:r w:rsidR="008F298B" w:rsidRPr="005B03CE">
        <w:rPr>
          <w:noProof/>
        </w:rPr>
        <w:t xml:space="preserve"> mission </w:t>
      </w:r>
      <w:r w:rsidR="00F1392C" w:rsidRPr="005B03CE">
        <w:rPr>
          <w:noProof/>
        </w:rPr>
        <w:t xml:space="preserve">of CERT-EU, the autonomous interinstitutional Cybersecurity Centre for all Union institutions, bodies and agencies, </w:t>
      </w:r>
      <w:r w:rsidR="008F298B" w:rsidRPr="005B03CE">
        <w:rPr>
          <w:noProof/>
        </w:rPr>
        <w:t xml:space="preserve">shall be to contribute to the security of the </w:t>
      </w:r>
      <w:r w:rsidR="00C87088" w:rsidRPr="005B03CE">
        <w:rPr>
          <w:noProof/>
        </w:rPr>
        <w:t xml:space="preserve">unclassified </w:t>
      </w:r>
      <w:r w:rsidR="008F298B" w:rsidRPr="005B03CE">
        <w:rPr>
          <w:noProof/>
        </w:rPr>
        <w:t xml:space="preserve">IT environment of all </w:t>
      </w:r>
      <w:r w:rsidR="00B07028" w:rsidRPr="005B03CE">
        <w:rPr>
          <w:noProof/>
        </w:rPr>
        <w:t xml:space="preserve">Union </w:t>
      </w:r>
      <w:r w:rsidR="00DB116F" w:rsidRPr="005B03CE">
        <w:rPr>
          <w:noProof/>
        </w:rPr>
        <w:t>institutions, bodies and agencies</w:t>
      </w:r>
      <w:r w:rsidR="008F298B" w:rsidRPr="005B03CE">
        <w:rPr>
          <w:noProof/>
        </w:rPr>
        <w:t xml:space="preserve"> by advising the</w:t>
      </w:r>
      <w:r w:rsidR="00FF45F6" w:rsidRPr="005B03CE">
        <w:rPr>
          <w:noProof/>
        </w:rPr>
        <w:t>m</w:t>
      </w:r>
      <w:r w:rsidR="008F298B" w:rsidRPr="005B03CE">
        <w:rPr>
          <w:noProof/>
        </w:rPr>
        <w:t xml:space="preserve"> on cybersecurity, by helping </w:t>
      </w:r>
      <w:r w:rsidR="00FF45F6" w:rsidRPr="005B03CE">
        <w:rPr>
          <w:noProof/>
        </w:rPr>
        <w:t xml:space="preserve">them </w:t>
      </w:r>
      <w:r w:rsidR="008F298B" w:rsidRPr="005B03CE">
        <w:rPr>
          <w:noProof/>
        </w:rPr>
        <w:t>to prevent, detect, mitigate and respond to incidents and by acting as the</w:t>
      </w:r>
      <w:r w:rsidR="00FF45F6" w:rsidRPr="005B03CE">
        <w:rPr>
          <w:noProof/>
        </w:rPr>
        <w:t>ir</w:t>
      </w:r>
      <w:r w:rsidR="008F298B" w:rsidRPr="005B03CE">
        <w:rPr>
          <w:noProof/>
        </w:rPr>
        <w:t xml:space="preserve"> cybersecurity information exchange and incident response coordination hub.</w:t>
      </w:r>
    </w:p>
    <w:p w:rsidR="008F298B" w:rsidRPr="005B03CE" w:rsidRDefault="004A06D6" w:rsidP="004A06D6">
      <w:pPr>
        <w:pStyle w:val="ManualNumPar1"/>
        <w:rPr>
          <w:noProof/>
        </w:rPr>
      </w:pPr>
      <w:r w:rsidRPr="004A06D6">
        <w:t>2.</w:t>
      </w:r>
      <w:r w:rsidRPr="004A06D6">
        <w:tab/>
      </w:r>
      <w:r w:rsidR="008F298B" w:rsidRPr="005B03CE">
        <w:rPr>
          <w:noProof/>
        </w:rPr>
        <w:t xml:space="preserve">CERT-EU shall </w:t>
      </w:r>
      <w:r w:rsidR="004834FE" w:rsidRPr="005B03CE">
        <w:rPr>
          <w:noProof/>
        </w:rPr>
        <w:t xml:space="preserve">perform the following tasks for </w:t>
      </w:r>
      <w:r w:rsidR="00FF45F6" w:rsidRPr="005B03CE">
        <w:rPr>
          <w:noProof/>
        </w:rPr>
        <w:t>the Union institutions, bodies and agencies</w:t>
      </w:r>
      <w:r w:rsidR="008F298B" w:rsidRPr="005B03CE">
        <w:rPr>
          <w:noProof/>
        </w:rPr>
        <w:t>:</w:t>
      </w:r>
    </w:p>
    <w:p w:rsidR="008F298B" w:rsidRPr="005B03CE" w:rsidRDefault="004A06D6" w:rsidP="004A06D6">
      <w:pPr>
        <w:pStyle w:val="Point1"/>
        <w:rPr>
          <w:noProof/>
        </w:rPr>
      </w:pPr>
      <w:r w:rsidRPr="004A06D6">
        <w:t>(a)</w:t>
      </w:r>
      <w:r w:rsidRPr="004A06D6">
        <w:tab/>
      </w:r>
      <w:r w:rsidR="008F298B" w:rsidRPr="005B03CE">
        <w:rPr>
          <w:noProof/>
        </w:rPr>
        <w:t>support the</w:t>
      </w:r>
      <w:r w:rsidR="00FF45F6" w:rsidRPr="005B03CE">
        <w:rPr>
          <w:noProof/>
        </w:rPr>
        <w:t>m</w:t>
      </w:r>
      <w:r w:rsidR="008F298B" w:rsidRPr="005B03CE">
        <w:rPr>
          <w:noProof/>
        </w:rPr>
        <w:t xml:space="preserve"> with the implementation of this Regulation and </w:t>
      </w:r>
      <w:r w:rsidR="004834FE" w:rsidRPr="005B03CE">
        <w:rPr>
          <w:noProof/>
        </w:rPr>
        <w:t>contribute to the coordination of the application of this Regulation through the measures listed in Article 13.1</w:t>
      </w:r>
      <w:r w:rsidR="00585035" w:rsidRPr="005B03CE">
        <w:rPr>
          <w:noProof/>
        </w:rPr>
        <w:t xml:space="preserve"> or through ad-hoc reports requested by the IICB</w:t>
      </w:r>
      <w:r w:rsidR="008F298B" w:rsidRPr="005B03CE">
        <w:rPr>
          <w:noProof/>
        </w:rPr>
        <w:t>;</w:t>
      </w:r>
    </w:p>
    <w:p w:rsidR="008F298B" w:rsidRPr="005B03CE" w:rsidRDefault="004A06D6" w:rsidP="004A06D6">
      <w:pPr>
        <w:pStyle w:val="Point1"/>
        <w:rPr>
          <w:noProof/>
        </w:rPr>
      </w:pPr>
      <w:r w:rsidRPr="004A06D6">
        <w:t>(b)</w:t>
      </w:r>
      <w:r w:rsidRPr="004A06D6">
        <w:tab/>
      </w:r>
      <w:r w:rsidR="008F298B" w:rsidRPr="005B03CE">
        <w:rPr>
          <w:noProof/>
        </w:rPr>
        <w:t>support the</w:t>
      </w:r>
      <w:r w:rsidR="00FF45F6" w:rsidRPr="005B03CE">
        <w:rPr>
          <w:noProof/>
        </w:rPr>
        <w:t>m</w:t>
      </w:r>
      <w:r w:rsidR="008F298B" w:rsidRPr="005B03CE">
        <w:rPr>
          <w:noProof/>
        </w:rPr>
        <w:t xml:space="preserve"> </w:t>
      </w:r>
      <w:r w:rsidR="0075738A" w:rsidRPr="005B03CE">
        <w:rPr>
          <w:noProof/>
        </w:rPr>
        <w:t xml:space="preserve">with </w:t>
      </w:r>
      <w:r w:rsidR="004834FE" w:rsidRPr="005B03CE">
        <w:rPr>
          <w:noProof/>
        </w:rPr>
        <w:t>a package of</w:t>
      </w:r>
      <w:r w:rsidR="008F298B" w:rsidRPr="005B03CE">
        <w:rPr>
          <w:noProof/>
        </w:rPr>
        <w:t xml:space="preserve"> cybersecurity services</w:t>
      </w:r>
      <w:r w:rsidR="004834FE" w:rsidRPr="005B03CE">
        <w:rPr>
          <w:noProof/>
        </w:rPr>
        <w:t xml:space="preserve"> described in its service catalogue</w:t>
      </w:r>
      <w:r w:rsidR="00B955A7" w:rsidRPr="005B03CE">
        <w:rPr>
          <w:noProof/>
        </w:rPr>
        <w:t xml:space="preserve"> </w:t>
      </w:r>
      <w:r w:rsidR="00B13727" w:rsidRPr="005B03CE">
        <w:rPr>
          <w:noProof/>
        </w:rPr>
        <w:t>(</w:t>
      </w:r>
      <w:r w:rsidR="009445CF" w:rsidRPr="005B03CE">
        <w:rPr>
          <w:noProof/>
        </w:rPr>
        <w:t>‘</w:t>
      </w:r>
      <w:r w:rsidR="00EB45B9" w:rsidRPr="005B03CE">
        <w:rPr>
          <w:noProof/>
        </w:rPr>
        <w:t>baseline services</w:t>
      </w:r>
      <w:r w:rsidR="009445CF" w:rsidRPr="005B03CE">
        <w:rPr>
          <w:noProof/>
        </w:rPr>
        <w:t>’</w:t>
      </w:r>
      <w:r w:rsidR="00B13727" w:rsidRPr="005B03CE">
        <w:rPr>
          <w:noProof/>
        </w:rPr>
        <w:t>)</w:t>
      </w:r>
      <w:r w:rsidR="008F298B" w:rsidRPr="005B03CE">
        <w:rPr>
          <w:noProof/>
        </w:rPr>
        <w:t>;</w:t>
      </w:r>
    </w:p>
    <w:p w:rsidR="008F298B" w:rsidRPr="005B03CE" w:rsidRDefault="004A06D6" w:rsidP="004A06D6">
      <w:pPr>
        <w:pStyle w:val="Point1"/>
        <w:rPr>
          <w:noProof/>
        </w:rPr>
      </w:pPr>
      <w:r w:rsidRPr="004A06D6">
        <w:t>(c)</w:t>
      </w:r>
      <w:r w:rsidRPr="004A06D6">
        <w:tab/>
      </w:r>
      <w:r w:rsidR="008F298B" w:rsidRPr="005B03CE">
        <w:rPr>
          <w:noProof/>
        </w:rPr>
        <w:t>maintain a network of peers and partners to support the services</w:t>
      </w:r>
      <w:r w:rsidR="004834FE" w:rsidRPr="005B03CE">
        <w:rPr>
          <w:noProof/>
        </w:rPr>
        <w:t xml:space="preserve"> as outlined in Articles 16 and 17</w:t>
      </w:r>
      <w:r w:rsidR="008F298B" w:rsidRPr="005B03CE">
        <w:rPr>
          <w:noProof/>
        </w:rPr>
        <w:t>;</w:t>
      </w:r>
    </w:p>
    <w:p w:rsidR="008F298B" w:rsidRPr="005B03CE" w:rsidRDefault="004A06D6" w:rsidP="004A06D6">
      <w:pPr>
        <w:pStyle w:val="Point1"/>
        <w:rPr>
          <w:noProof/>
        </w:rPr>
      </w:pPr>
      <w:r w:rsidRPr="004A06D6">
        <w:t>(d)</w:t>
      </w:r>
      <w:r w:rsidRPr="004A06D6">
        <w:tab/>
      </w:r>
      <w:r w:rsidR="007E1B84" w:rsidRPr="005B03CE">
        <w:rPr>
          <w:noProof/>
        </w:rPr>
        <w:t>raise to the attention of the IICB any issue relating to the implementation of this Regulation and of the implementation of the guidance documents, recommendations and calls for action</w:t>
      </w:r>
      <w:r w:rsidR="002628C5" w:rsidRPr="005B03CE">
        <w:rPr>
          <w:noProof/>
        </w:rPr>
        <w:t>;</w:t>
      </w:r>
    </w:p>
    <w:p w:rsidR="008F298B" w:rsidRPr="005B03CE" w:rsidRDefault="004A06D6" w:rsidP="004A06D6">
      <w:pPr>
        <w:pStyle w:val="Point1"/>
        <w:rPr>
          <w:noProof/>
        </w:rPr>
      </w:pPr>
      <w:r w:rsidRPr="004A06D6">
        <w:t>(e)</w:t>
      </w:r>
      <w:r w:rsidRPr="004A06D6">
        <w:tab/>
      </w:r>
      <w:r w:rsidR="004834FE" w:rsidRPr="005B03CE">
        <w:rPr>
          <w:noProof/>
        </w:rPr>
        <w:t>r</w:t>
      </w:r>
      <w:r w:rsidR="008F298B" w:rsidRPr="005B03CE">
        <w:rPr>
          <w:noProof/>
        </w:rPr>
        <w:t xml:space="preserve">eport on </w:t>
      </w:r>
      <w:r w:rsidR="004834FE" w:rsidRPr="005B03CE">
        <w:rPr>
          <w:noProof/>
        </w:rPr>
        <w:t xml:space="preserve">the </w:t>
      </w:r>
      <w:r w:rsidR="008F298B" w:rsidRPr="005B03CE">
        <w:rPr>
          <w:noProof/>
        </w:rPr>
        <w:t xml:space="preserve">cyber threats faced by the </w:t>
      </w:r>
      <w:r w:rsidR="00FF45F6" w:rsidRPr="005B03CE">
        <w:rPr>
          <w:noProof/>
        </w:rPr>
        <w:t>Union institutions, bodies and agencies</w:t>
      </w:r>
      <w:r w:rsidR="00A25B64" w:rsidRPr="005B03CE">
        <w:rPr>
          <w:noProof/>
        </w:rPr>
        <w:t xml:space="preserve"> and </w:t>
      </w:r>
      <w:r w:rsidR="00B56EA9" w:rsidRPr="005B03CE">
        <w:rPr>
          <w:noProof/>
        </w:rPr>
        <w:t>contribute to</w:t>
      </w:r>
      <w:r w:rsidR="00A25B64" w:rsidRPr="005B03CE">
        <w:rPr>
          <w:noProof/>
        </w:rPr>
        <w:t xml:space="preserve"> the EU cyber situational awareness</w:t>
      </w:r>
      <w:r w:rsidR="008F298B" w:rsidRPr="005B03CE">
        <w:rPr>
          <w:noProof/>
        </w:rPr>
        <w:t>.</w:t>
      </w:r>
    </w:p>
    <w:p w:rsidR="008F298B" w:rsidRPr="005B03CE" w:rsidRDefault="004A06D6" w:rsidP="004A06D6">
      <w:pPr>
        <w:pStyle w:val="ManualNumPar1"/>
        <w:rPr>
          <w:noProof/>
        </w:rPr>
      </w:pPr>
      <w:r w:rsidRPr="004A06D6">
        <w:t>3.</w:t>
      </w:r>
      <w:r w:rsidRPr="004A06D6">
        <w:tab/>
      </w:r>
      <w:r w:rsidR="008F298B" w:rsidRPr="005B03CE">
        <w:rPr>
          <w:noProof/>
        </w:rPr>
        <w:t>CERT-EU shall contribute to the Joint Cyber Unit</w:t>
      </w:r>
      <w:r w:rsidR="00917EB2" w:rsidRPr="005B03CE">
        <w:rPr>
          <w:noProof/>
        </w:rPr>
        <w:t xml:space="preserve">, </w:t>
      </w:r>
      <w:r w:rsidR="00B13727" w:rsidRPr="005B03CE">
        <w:rPr>
          <w:noProof/>
        </w:rPr>
        <w:t xml:space="preserve">built in accordance with the Commission Recommendation of 23 June 2021, </w:t>
      </w:r>
      <w:r w:rsidR="00917EB2" w:rsidRPr="005B03CE">
        <w:rPr>
          <w:noProof/>
        </w:rPr>
        <w:t>including</w:t>
      </w:r>
      <w:r w:rsidR="008F298B" w:rsidRPr="005B03CE">
        <w:rPr>
          <w:noProof/>
        </w:rPr>
        <w:t xml:space="preserve"> </w:t>
      </w:r>
      <w:r w:rsidR="00917EB2" w:rsidRPr="005B03CE">
        <w:rPr>
          <w:noProof/>
        </w:rPr>
        <w:t>in the following areas</w:t>
      </w:r>
      <w:r w:rsidR="00F61C1D" w:rsidRPr="005B03CE">
        <w:rPr>
          <w:noProof/>
        </w:rPr>
        <w:t>:</w:t>
      </w:r>
    </w:p>
    <w:p w:rsidR="008F298B" w:rsidRPr="005B03CE" w:rsidRDefault="004A06D6" w:rsidP="004A06D6">
      <w:pPr>
        <w:pStyle w:val="Point1"/>
        <w:rPr>
          <w:noProof/>
        </w:rPr>
      </w:pPr>
      <w:r w:rsidRPr="004A06D6">
        <w:t>(a)</w:t>
      </w:r>
      <w:r w:rsidRPr="004A06D6">
        <w:tab/>
      </w:r>
      <w:r w:rsidR="00540F8A" w:rsidRPr="005B03CE">
        <w:rPr>
          <w:noProof/>
        </w:rPr>
        <w:t xml:space="preserve">preparedness, </w:t>
      </w:r>
      <w:r w:rsidR="008F298B" w:rsidRPr="005B03CE">
        <w:rPr>
          <w:noProof/>
        </w:rPr>
        <w:t xml:space="preserve">incident coordination, information exchange and crisis response at the technical level on cases linked to </w:t>
      </w:r>
      <w:r w:rsidR="00B07028" w:rsidRPr="005B03CE">
        <w:rPr>
          <w:noProof/>
        </w:rPr>
        <w:t xml:space="preserve">Union </w:t>
      </w:r>
      <w:r w:rsidR="00DB116F" w:rsidRPr="005B03CE">
        <w:rPr>
          <w:noProof/>
        </w:rPr>
        <w:t>institutions, bodies and agencies</w:t>
      </w:r>
      <w:r w:rsidR="008F298B" w:rsidRPr="005B03CE">
        <w:rPr>
          <w:noProof/>
        </w:rPr>
        <w:t>;</w:t>
      </w:r>
    </w:p>
    <w:p w:rsidR="008F298B" w:rsidRPr="005B03CE" w:rsidRDefault="004A06D6" w:rsidP="004A06D6">
      <w:pPr>
        <w:pStyle w:val="Point1"/>
        <w:rPr>
          <w:noProof/>
        </w:rPr>
      </w:pPr>
      <w:r w:rsidRPr="004A06D6">
        <w:t>(b)</w:t>
      </w:r>
      <w:r w:rsidRPr="004A06D6">
        <w:tab/>
      </w:r>
      <w:r w:rsidR="008F298B" w:rsidRPr="005B03CE">
        <w:rPr>
          <w:noProof/>
        </w:rPr>
        <w:t xml:space="preserve">operational cooperation regarding the </w:t>
      </w:r>
      <w:r w:rsidR="00683B46" w:rsidRPr="005B03CE">
        <w:rPr>
          <w:noProof/>
        </w:rPr>
        <w:t>computer security incident response teams (</w:t>
      </w:r>
      <w:r w:rsidR="008F298B" w:rsidRPr="005B03CE">
        <w:rPr>
          <w:noProof/>
        </w:rPr>
        <w:t>CSIRTs</w:t>
      </w:r>
      <w:r w:rsidR="00683B46" w:rsidRPr="005B03CE">
        <w:rPr>
          <w:noProof/>
        </w:rPr>
        <w:t>)</w:t>
      </w:r>
      <w:r w:rsidR="008F298B" w:rsidRPr="005B03CE">
        <w:rPr>
          <w:noProof/>
        </w:rPr>
        <w:t xml:space="preserve"> </w:t>
      </w:r>
      <w:r w:rsidR="00683B46" w:rsidRPr="005B03CE">
        <w:rPr>
          <w:noProof/>
        </w:rPr>
        <w:t>n</w:t>
      </w:r>
      <w:r w:rsidR="008F298B" w:rsidRPr="005B03CE">
        <w:rPr>
          <w:noProof/>
        </w:rPr>
        <w:t>etwork</w:t>
      </w:r>
      <w:r w:rsidR="00CE0E77" w:rsidRPr="005B03CE">
        <w:rPr>
          <w:noProof/>
        </w:rPr>
        <w:t>, including on mutual assistance,</w:t>
      </w:r>
      <w:r w:rsidR="008F298B" w:rsidRPr="005B03CE">
        <w:rPr>
          <w:noProof/>
        </w:rPr>
        <w:t xml:space="preserve"> and the broader </w:t>
      </w:r>
      <w:r w:rsidR="00540F8A" w:rsidRPr="005B03CE">
        <w:rPr>
          <w:noProof/>
        </w:rPr>
        <w:t>cybersecurity</w:t>
      </w:r>
      <w:r w:rsidR="008F298B" w:rsidRPr="005B03CE">
        <w:rPr>
          <w:noProof/>
        </w:rPr>
        <w:t xml:space="preserve"> community;</w:t>
      </w:r>
    </w:p>
    <w:p w:rsidR="008F298B" w:rsidRPr="005B03CE" w:rsidRDefault="004A06D6" w:rsidP="004A06D6">
      <w:pPr>
        <w:pStyle w:val="Point1"/>
        <w:rPr>
          <w:noProof/>
        </w:rPr>
      </w:pPr>
      <w:r w:rsidRPr="004A06D6">
        <w:t>(c)</w:t>
      </w:r>
      <w:r w:rsidRPr="004A06D6">
        <w:tab/>
      </w:r>
      <w:r w:rsidR="008F298B" w:rsidRPr="005B03CE">
        <w:rPr>
          <w:noProof/>
        </w:rPr>
        <w:t>cyber threat intelligence</w:t>
      </w:r>
      <w:r w:rsidR="00917EB2" w:rsidRPr="005B03CE">
        <w:rPr>
          <w:noProof/>
        </w:rPr>
        <w:t>,</w:t>
      </w:r>
      <w:r w:rsidR="008F298B" w:rsidRPr="005B03CE">
        <w:rPr>
          <w:noProof/>
        </w:rPr>
        <w:t xml:space="preserve"> including situational awareness;</w:t>
      </w:r>
    </w:p>
    <w:p w:rsidR="008F298B" w:rsidRPr="005B03CE" w:rsidRDefault="004A06D6" w:rsidP="004A06D6">
      <w:pPr>
        <w:pStyle w:val="Point1"/>
        <w:rPr>
          <w:noProof/>
        </w:rPr>
      </w:pPr>
      <w:r w:rsidRPr="004A06D6">
        <w:t>(d)</w:t>
      </w:r>
      <w:r w:rsidRPr="004A06D6">
        <w:tab/>
      </w:r>
      <w:r w:rsidR="008F298B" w:rsidRPr="005B03CE">
        <w:rPr>
          <w:noProof/>
        </w:rPr>
        <w:t>on any topic requiring CERT-EU</w:t>
      </w:r>
      <w:r w:rsidR="007E18EC" w:rsidRPr="005B03CE">
        <w:rPr>
          <w:noProof/>
        </w:rPr>
        <w:t>’</w:t>
      </w:r>
      <w:r w:rsidR="008F298B" w:rsidRPr="005B03CE">
        <w:rPr>
          <w:noProof/>
        </w:rPr>
        <w:t>s technical cybersecurity expertise.</w:t>
      </w:r>
    </w:p>
    <w:p w:rsidR="008F298B" w:rsidRPr="005B03CE" w:rsidRDefault="004A06D6" w:rsidP="004A06D6">
      <w:pPr>
        <w:pStyle w:val="ManualNumPar1"/>
        <w:rPr>
          <w:noProof/>
        </w:rPr>
      </w:pPr>
      <w:r w:rsidRPr="004A06D6">
        <w:t>4.</w:t>
      </w:r>
      <w:r w:rsidRPr="004A06D6">
        <w:tab/>
      </w:r>
      <w:r w:rsidR="008F298B" w:rsidRPr="005B03CE">
        <w:rPr>
          <w:noProof/>
        </w:rPr>
        <w:t xml:space="preserve">CERT-EU shall engage in structured cooperation with the European Union Agency for Cybersecurity on capacity building, operational cooperation and long-term strategic analyses of cyber threats in </w:t>
      </w:r>
      <w:r w:rsidR="00683B46" w:rsidRPr="005B03CE">
        <w:rPr>
          <w:noProof/>
        </w:rPr>
        <w:t xml:space="preserve">accordance </w:t>
      </w:r>
      <w:r w:rsidR="008F298B" w:rsidRPr="005B03CE">
        <w:rPr>
          <w:noProof/>
        </w:rPr>
        <w:t>with Regulation (EU) 2019/881</w:t>
      </w:r>
      <w:r w:rsidR="00683B46" w:rsidRPr="005B03CE">
        <w:rPr>
          <w:noProof/>
        </w:rPr>
        <w:t xml:space="preserve"> of the European Parliament and of the Council</w:t>
      </w:r>
      <w:r w:rsidR="008F298B" w:rsidRPr="005B03CE">
        <w:rPr>
          <w:noProof/>
        </w:rPr>
        <w:t>.</w:t>
      </w:r>
    </w:p>
    <w:p w:rsidR="004834FE" w:rsidRPr="005B03CE" w:rsidRDefault="004A06D6" w:rsidP="004A06D6">
      <w:pPr>
        <w:pStyle w:val="ManualNumPar1"/>
        <w:rPr>
          <w:noProof/>
        </w:rPr>
      </w:pPr>
      <w:r w:rsidRPr="004A06D6">
        <w:t>5.</w:t>
      </w:r>
      <w:r w:rsidRPr="004A06D6">
        <w:tab/>
      </w:r>
      <w:r w:rsidR="004834FE" w:rsidRPr="005B03CE">
        <w:rPr>
          <w:noProof/>
        </w:rPr>
        <w:t>CERT-EU may provide the following</w:t>
      </w:r>
      <w:r w:rsidR="00EB45B9" w:rsidRPr="005B03CE">
        <w:rPr>
          <w:noProof/>
        </w:rPr>
        <w:t xml:space="preserve"> services</w:t>
      </w:r>
      <w:r w:rsidR="0075510B" w:rsidRPr="005B03CE">
        <w:rPr>
          <w:noProof/>
        </w:rPr>
        <w:t xml:space="preserve"> </w:t>
      </w:r>
      <w:r w:rsidR="00B955A7" w:rsidRPr="005B03CE">
        <w:rPr>
          <w:noProof/>
        </w:rPr>
        <w:t xml:space="preserve">not </w:t>
      </w:r>
      <w:r w:rsidR="0075510B" w:rsidRPr="005B03CE">
        <w:rPr>
          <w:noProof/>
        </w:rPr>
        <w:t>des</w:t>
      </w:r>
      <w:r w:rsidR="00B955A7" w:rsidRPr="005B03CE">
        <w:rPr>
          <w:noProof/>
        </w:rPr>
        <w:t>cribed in its service catalogue</w:t>
      </w:r>
      <w:r w:rsidR="003671E8" w:rsidRPr="005B03CE">
        <w:rPr>
          <w:noProof/>
        </w:rPr>
        <w:t xml:space="preserve"> </w:t>
      </w:r>
      <w:r w:rsidR="00912C5C" w:rsidRPr="005B03CE">
        <w:rPr>
          <w:noProof/>
        </w:rPr>
        <w:t>(</w:t>
      </w:r>
      <w:r w:rsidR="009445CF" w:rsidRPr="005B03CE">
        <w:rPr>
          <w:noProof/>
        </w:rPr>
        <w:t>‘</w:t>
      </w:r>
      <w:r w:rsidR="0075510B" w:rsidRPr="005B03CE">
        <w:rPr>
          <w:noProof/>
        </w:rPr>
        <w:t>chargeable services</w:t>
      </w:r>
      <w:r w:rsidR="009445CF" w:rsidRPr="005B03CE">
        <w:rPr>
          <w:noProof/>
        </w:rPr>
        <w:t>’</w:t>
      </w:r>
      <w:r w:rsidR="00912C5C" w:rsidRPr="005B03CE">
        <w:rPr>
          <w:noProof/>
        </w:rPr>
        <w:t>)</w:t>
      </w:r>
      <w:r w:rsidR="004834FE" w:rsidRPr="005B03CE">
        <w:rPr>
          <w:noProof/>
        </w:rPr>
        <w:t>:</w:t>
      </w:r>
    </w:p>
    <w:p w:rsidR="004834FE" w:rsidRPr="005B03CE" w:rsidRDefault="004A06D6" w:rsidP="004A06D6">
      <w:pPr>
        <w:pStyle w:val="Point1"/>
        <w:rPr>
          <w:noProof/>
        </w:rPr>
      </w:pPr>
      <w:r w:rsidRPr="004A06D6">
        <w:t>(a)</w:t>
      </w:r>
      <w:r w:rsidRPr="004A06D6">
        <w:tab/>
      </w:r>
      <w:r w:rsidR="004834FE" w:rsidRPr="005B03CE">
        <w:rPr>
          <w:noProof/>
        </w:rPr>
        <w:t xml:space="preserve">services that support the </w:t>
      </w:r>
      <w:r w:rsidR="0075738A" w:rsidRPr="005B03CE">
        <w:rPr>
          <w:noProof/>
        </w:rPr>
        <w:t>cyber</w:t>
      </w:r>
      <w:r w:rsidR="004834FE" w:rsidRPr="005B03CE">
        <w:rPr>
          <w:noProof/>
        </w:rPr>
        <w:t xml:space="preserve">security of </w:t>
      </w:r>
      <w:r w:rsidR="00FF45F6" w:rsidRPr="005B03CE">
        <w:rPr>
          <w:noProof/>
        </w:rPr>
        <w:t>Union institutions, bodies and agencies</w:t>
      </w:r>
      <w:r w:rsidR="004834FE" w:rsidRPr="005B03CE">
        <w:rPr>
          <w:noProof/>
        </w:rPr>
        <w:t>’ IT environment,</w:t>
      </w:r>
      <w:r w:rsidR="0075510B" w:rsidRPr="005B03CE">
        <w:rPr>
          <w:noProof/>
        </w:rPr>
        <w:t xml:space="preserve"> other than those referred to in </w:t>
      </w:r>
      <w:r w:rsidR="00912C5C" w:rsidRPr="005B03CE">
        <w:rPr>
          <w:noProof/>
        </w:rPr>
        <w:t xml:space="preserve">paragraph </w:t>
      </w:r>
      <w:r w:rsidR="0075510B" w:rsidRPr="005B03CE">
        <w:rPr>
          <w:noProof/>
        </w:rPr>
        <w:t>2</w:t>
      </w:r>
      <w:r w:rsidR="004834FE" w:rsidRPr="005B03CE">
        <w:rPr>
          <w:noProof/>
        </w:rPr>
        <w:t>, on the basis of service level agreements and subject to available resources;</w:t>
      </w:r>
    </w:p>
    <w:p w:rsidR="004834FE" w:rsidRPr="005B03CE" w:rsidRDefault="004A06D6" w:rsidP="004A06D6">
      <w:pPr>
        <w:pStyle w:val="Point1"/>
        <w:rPr>
          <w:noProof/>
        </w:rPr>
      </w:pPr>
      <w:r w:rsidRPr="004A06D6">
        <w:t>(b)</w:t>
      </w:r>
      <w:r w:rsidRPr="004A06D6">
        <w:tab/>
      </w:r>
      <w:r w:rsidR="004834FE" w:rsidRPr="005B03CE">
        <w:rPr>
          <w:noProof/>
        </w:rPr>
        <w:t xml:space="preserve">services that support cybersecurity operations or projects of </w:t>
      </w:r>
      <w:r w:rsidR="00FF45F6" w:rsidRPr="005B03CE">
        <w:rPr>
          <w:noProof/>
        </w:rPr>
        <w:t>Union institutions, bodies and agencies</w:t>
      </w:r>
      <w:r w:rsidR="004834FE" w:rsidRPr="005B03CE">
        <w:rPr>
          <w:noProof/>
        </w:rPr>
        <w:t xml:space="preserve">, other than those to protect their IT environment, on the basis of </w:t>
      </w:r>
      <w:r w:rsidR="00EB45B9" w:rsidRPr="005B03CE">
        <w:rPr>
          <w:noProof/>
        </w:rPr>
        <w:t>written a</w:t>
      </w:r>
      <w:r w:rsidR="004834FE" w:rsidRPr="005B03CE">
        <w:rPr>
          <w:noProof/>
        </w:rPr>
        <w:t>greements and with the prior approval of the IICB;</w:t>
      </w:r>
    </w:p>
    <w:p w:rsidR="004834FE" w:rsidRPr="005B03CE" w:rsidRDefault="004A06D6" w:rsidP="004A06D6">
      <w:pPr>
        <w:pStyle w:val="Point1"/>
        <w:rPr>
          <w:noProof/>
        </w:rPr>
      </w:pPr>
      <w:r w:rsidRPr="004A06D6">
        <w:t>(c)</w:t>
      </w:r>
      <w:r w:rsidRPr="004A06D6">
        <w:tab/>
      </w:r>
      <w:r w:rsidR="004834FE" w:rsidRPr="005B03CE">
        <w:rPr>
          <w:noProof/>
        </w:rPr>
        <w:t xml:space="preserve">services that support the security of their IT environment to </w:t>
      </w:r>
      <w:r w:rsidR="00C509FD" w:rsidRPr="005B03CE">
        <w:rPr>
          <w:noProof/>
        </w:rPr>
        <w:t>organisations</w:t>
      </w:r>
      <w:r w:rsidR="004834FE" w:rsidRPr="005B03CE">
        <w:rPr>
          <w:noProof/>
        </w:rPr>
        <w:t xml:space="preserve"> other than the </w:t>
      </w:r>
      <w:r w:rsidR="00FF45F6" w:rsidRPr="005B03CE">
        <w:rPr>
          <w:noProof/>
        </w:rPr>
        <w:t>Union institutions, bodies and agencies</w:t>
      </w:r>
      <w:r w:rsidR="004834FE" w:rsidRPr="005B03CE">
        <w:rPr>
          <w:noProof/>
        </w:rPr>
        <w:t xml:space="preserve"> that cooperate closely with </w:t>
      </w:r>
      <w:r w:rsidR="00B07028" w:rsidRPr="005B03CE">
        <w:rPr>
          <w:noProof/>
        </w:rPr>
        <w:t xml:space="preserve">Union </w:t>
      </w:r>
      <w:r w:rsidR="00DB116F" w:rsidRPr="005B03CE">
        <w:rPr>
          <w:noProof/>
        </w:rPr>
        <w:t>institutions, bodies and agencies</w:t>
      </w:r>
      <w:r w:rsidR="004834FE" w:rsidRPr="005B03CE">
        <w:rPr>
          <w:noProof/>
        </w:rPr>
        <w:t xml:space="preserve">, </w:t>
      </w:r>
      <w:r w:rsidR="00912C5C" w:rsidRPr="005B03CE">
        <w:rPr>
          <w:noProof/>
        </w:rPr>
        <w:t>for instance</w:t>
      </w:r>
      <w:r w:rsidR="004834FE" w:rsidRPr="005B03CE">
        <w:rPr>
          <w:noProof/>
        </w:rPr>
        <w:t xml:space="preserve"> by having assigned tasks or responsibilities under Union law, on the basis of </w:t>
      </w:r>
      <w:r w:rsidR="0075510B" w:rsidRPr="005B03CE">
        <w:rPr>
          <w:noProof/>
        </w:rPr>
        <w:t>written</w:t>
      </w:r>
      <w:r w:rsidR="004834FE" w:rsidRPr="005B03CE">
        <w:rPr>
          <w:noProof/>
        </w:rPr>
        <w:t xml:space="preserve"> agreements and with the prior approval of the IICB.</w:t>
      </w:r>
    </w:p>
    <w:p w:rsidR="008F298B" w:rsidRPr="005B03CE" w:rsidRDefault="004A06D6" w:rsidP="004A06D6">
      <w:pPr>
        <w:pStyle w:val="ManualNumPar1"/>
        <w:rPr>
          <w:noProof/>
        </w:rPr>
      </w:pPr>
      <w:r w:rsidRPr="004A06D6">
        <w:t>6.</w:t>
      </w:r>
      <w:r w:rsidRPr="004A06D6">
        <w:tab/>
      </w:r>
      <w:r w:rsidR="008F298B" w:rsidRPr="005B03CE">
        <w:rPr>
          <w:noProof/>
        </w:rPr>
        <w:t>CERT-EU may organise cybersecurity exercises or recommend participation in existing exercises</w:t>
      </w:r>
      <w:r w:rsidR="00AF48B5" w:rsidRPr="005B03CE">
        <w:rPr>
          <w:noProof/>
        </w:rPr>
        <w:t>, in close cooperation with the European Union Agency for Cybersecurity whenever applicable,</w:t>
      </w:r>
      <w:r w:rsidR="008F298B" w:rsidRPr="005B03CE">
        <w:rPr>
          <w:noProof/>
        </w:rPr>
        <w:t xml:space="preserve"> to test the level of cybersecurity of the </w:t>
      </w:r>
      <w:r w:rsidR="00B07028" w:rsidRPr="005B03CE">
        <w:rPr>
          <w:noProof/>
        </w:rPr>
        <w:t xml:space="preserve">Union </w:t>
      </w:r>
      <w:r w:rsidR="00DB116F" w:rsidRPr="005B03CE">
        <w:rPr>
          <w:noProof/>
        </w:rPr>
        <w:t>institutions, bodies and agencies</w:t>
      </w:r>
      <w:r w:rsidR="008F298B" w:rsidRPr="005B03CE">
        <w:rPr>
          <w:noProof/>
        </w:rPr>
        <w:t>.</w:t>
      </w:r>
    </w:p>
    <w:p w:rsidR="00BD2147" w:rsidRPr="005B03CE" w:rsidRDefault="004A06D6" w:rsidP="004A06D6">
      <w:pPr>
        <w:pStyle w:val="ManualNumPar1"/>
        <w:rPr>
          <w:noProof/>
        </w:rPr>
      </w:pPr>
      <w:r w:rsidRPr="004A06D6">
        <w:t>7.</w:t>
      </w:r>
      <w:r w:rsidRPr="004A06D6">
        <w:tab/>
      </w:r>
      <w:r w:rsidR="00BD2147" w:rsidRPr="005B03CE">
        <w:rPr>
          <w:noProof/>
        </w:rPr>
        <w:t xml:space="preserve">CERT-EU may provide assistance to </w:t>
      </w:r>
      <w:r w:rsidR="00B07028" w:rsidRPr="005B03CE">
        <w:rPr>
          <w:noProof/>
        </w:rPr>
        <w:t xml:space="preserve">Union </w:t>
      </w:r>
      <w:r w:rsidR="00DB116F" w:rsidRPr="005B03CE">
        <w:rPr>
          <w:noProof/>
        </w:rPr>
        <w:t>institutions, bodies and agencies</w:t>
      </w:r>
      <w:r w:rsidR="00BD2147" w:rsidRPr="005B03CE">
        <w:rPr>
          <w:noProof/>
        </w:rPr>
        <w:t xml:space="preserve"> regarding incidents in classified IT environments if it is explicitly requested to do so</w:t>
      </w:r>
      <w:r w:rsidR="00F61C1D" w:rsidRPr="005B03CE">
        <w:rPr>
          <w:noProof/>
        </w:rPr>
        <w:t xml:space="preserve"> by the constituent concerned.</w:t>
      </w:r>
    </w:p>
    <w:p w:rsidR="002C436A" w:rsidRPr="005B03CE" w:rsidRDefault="002C436A" w:rsidP="002C436A">
      <w:pPr>
        <w:pStyle w:val="Titrearticle"/>
        <w:rPr>
          <w:b/>
          <w:noProof/>
          <w:szCs w:val="24"/>
        </w:rPr>
      </w:pPr>
      <w:r w:rsidRPr="005B03CE">
        <w:rPr>
          <w:noProof/>
          <w:szCs w:val="24"/>
        </w:rPr>
        <w:t>Article 13</w:t>
      </w:r>
      <w:r w:rsidRPr="005B03CE">
        <w:rPr>
          <w:noProof/>
          <w:szCs w:val="24"/>
        </w:rPr>
        <w:br/>
      </w:r>
      <w:r w:rsidRPr="005B03CE">
        <w:rPr>
          <w:b/>
          <w:noProof/>
          <w:szCs w:val="24"/>
        </w:rPr>
        <w:t>Guidance documents, recommendations and calls for action</w:t>
      </w:r>
    </w:p>
    <w:p w:rsidR="002721B8" w:rsidRPr="005B03CE" w:rsidRDefault="004A06D6" w:rsidP="004A06D6">
      <w:pPr>
        <w:pStyle w:val="ManualNumPar1"/>
        <w:rPr>
          <w:noProof/>
        </w:rPr>
      </w:pPr>
      <w:r w:rsidRPr="004A06D6">
        <w:t>1.</w:t>
      </w:r>
      <w:r w:rsidRPr="004A06D6">
        <w:tab/>
      </w:r>
      <w:r w:rsidR="00D162BF" w:rsidRPr="005B03CE">
        <w:rPr>
          <w:noProof/>
        </w:rPr>
        <w:t xml:space="preserve">CERT-EU shall support the implementation of this </w:t>
      </w:r>
      <w:r w:rsidR="002721B8" w:rsidRPr="005B03CE">
        <w:rPr>
          <w:noProof/>
        </w:rPr>
        <w:t>R</w:t>
      </w:r>
      <w:r w:rsidR="00D162BF" w:rsidRPr="005B03CE">
        <w:rPr>
          <w:noProof/>
        </w:rPr>
        <w:t>egulation by issuing</w:t>
      </w:r>
      <w:r w:rsidR="002721B8" w:rsidRPr="005B03CE">
        <w:rPr>
          <w:noProof/>
        </w:rPr>
        <w:t>:</w:t>
      </w:r>
    </w:p>
    <w:p w:rsidR="002721B8" w:rsidRPr="005B03CE" w:rsidRDefault="004A06D6" w:rsidP="004A06D6">
      <w:pPr>
        <w:pStyle w:val="Point1"/>
        <w:rPr>
          <w:noProof/>
        </w:rPr>
      </w:pPr>
      <w:r w:rsidRPr="004A06D6">
        <w:t>(a)</w:t>
      </w:r>
      <w:r w:rsidRPr="004A06D6">
        <w:tab/>
      </w:r>
      <w:r w:rsidR="00D162BF" w:rsidRPr="005B03CE">
        <w:rPr>
          <w:noProof/>
        </w:rPr>
        <w:t xml:space="preserve">calls for action </w:t>
      </w:r>
      <w:r w:rsidR="00313C95" w:rsidRPr="005B03CE">
        <w:rPr>
          <w:noProof/>
        </w:rPr>
        <w:t xml:space="preserve">describing urgent security measures that </w:t>
      </w:r>
      <w:r w:rsidR="00B07028" w:rsidRPr="005B03CE">
        <w:rPr>
          <w:noProof/>
        </w:rPr>
        <w:t>Union institutions</w:t>
      </w:r>
      <w:r w:rsidR="00BD597D" w:rsidRPr="005B03CE">
        <w:rPr>
          <w:noProof/>
        </w:rPr>
        <w:t>, bodies and agencies</w:t>
      </w:r>
      <w:r w:rsidR="00313C95" w:rsidRPr="005B03CE">
        <w:rPr>
          <w:noProof/>
        </w:rPr>
        <w:t xml:space="preserve"> are urged to take within a set timeframe</w:t>
      </w:r>
      <w:r w:rsidR="002721B8" w:rsidRPr="005B03CE">
        <w:rPr>
          <w:noProof/>
        </w:rPr>
        <w:t>;</w:t>
      </w:r>
    </w:p>
    <w:p w:rsidR="00313C95" w:rsidRPr="005B03CE" w:rsidRDefault="004A06D6" w:rsidP="004A06D6">
      <w:pPr>
        <w:pStyle w:val="Point1"/>
        <w:rPr>
          <w:noProof/>
        </w:rPr>
      </w:pPr>
      <w:r w:rsidRPr="004A06D6">
        <w:t>(b)</w:t>
      </w:r>
      <w:r w:rsidRPr="004A06D6">
        <w:tab/>
      </w:r>
      <w:r w:rsidR="00D162BF" w:rsidRPr="005B03CE">
        <w:rPr>
          <w:noProof/>
        </w:rPr>
        <w:t xml:space="preserve">proposals </w:t>
      </w:r>
      <w:r w:rsidR="00313C95" w:rsidRPr="005B03CE">
        <w:rPr>
          <w:noProof/>
        </w:rPr>
        <w:t xml:space="preserve">to the IICB </w:t>
      </w:r>
      <w:r w:rsidR="00D162BF" w:rsidRPr="005B03CE">
        <w:rPr>
          <w:noProof/>
        </w:rPr>
        <w:t xml:space="preserve">for guidance documents </w:t>
      </w:r>
      <w:r w:rsidR="002949FB" w:rsidRPr="005B03CE">
        <w:rPr>
          <w:noProof/>
        </w:rPr>
        <w:t>addressed</w:t>
      </w:r>
      <w:r w:rsidR="00F610B2" w:rsidRPr="005B03CE">
        <w:rPr>
          <w:noProof/>
        </w:rPr>
        <w:t xml:space="preserve"> to all or a subset of the Union </w:t>
      </w:r>
      <w:r w:rsidR="00DB116F" w:rsidRPr="005B03CE">
        <w:rPr>
          <w:noProof/>
        </w:rPr>
        <w:t>institutions, bodies and agencies</w:t>
      </w:r>
      <w:r w:rsidR="00313C95" w:rsidRPr="005B03CE">
        <w:rPr>
          <w:noProof/>
        </w:rPr>
        <w:t>;</w:t>
      </w:r>
    </w:p>
    <w:p w:rsidR="00D162BF" w:rsidRPr="005B03CE" w:rsidRDefault="004A06D6" w:rsidP="004A06D6">
      <w:pPr>
        <w:pStyle w:val="Point1"/>
        <w:rPr>
          <w:noProof/>
        </w:rPr>
      </w:pPr>
      <w:r w:rsidRPr="004A06D6">
        <w:t>(c)</w:t>
      </w:r>
      <w:r w:rsidRPr="004A06D6">
        <w:tab/>
      </w:r>
      <w:r w:rsidR="00313C95" w:rsidRPr="005B03CE">
        <w:rPr>
          <w:noProof/>
        </w:rPr>
        <w:t xml:space="preserve">proposals to the IICB for </w:t>
      </w:r>
      <w:r w:rsidR="00D162BF" w:rsidRPr="005B03CE">
        <w:rPr>
          <w:noProof/>
        </w:rPr>
        <w:t xml:space="preserve">recommendations </w:t>
      </w:r>
      <w:r w:rsidR="002949FB" w:rsidRPr="005B03CE">
        <w:rPr>
          <w:noProof/>
        </w:rPr>
        <w:t>addressed</w:t>
      </w:r>
      <w:r w:rsidR="00F610B2" w:rsidRPr="005B03CE">
        <w:rPr>
          <w:noProof/>
        </w:rPr>
        <w:t xml:space="preserve"> to individual Union </w:t>
      </w:r>
      <w:r w:rsidR="00DB116F" w:rsidRPr="005B03CE">
        <w:rPr>
          <w:noProof/>
        </w:rPr>
        <w:t>institutions, bodies and agencies</w:t>
      </w:r>
      <w:r w:rsidR="00F61C1D" w:rsidRPr="005B03CE">
        <w:rPr>
          <w:noProof/>
        </w:rPr>
        <w:t>.</w:t>
      </w:r>
    </w:p>
    <w:p w:rsidR="00D162BF" w:rsidRPr="005B03CE" w:rsidRDefault="004A06D6" w:rsidP="004A06D6">
      <w:pPr>
        <w:pStyle w:val="ManualNumPar1"/>
        <w:rPr>
          <w:noProof/>
        </w:rPr>
      </w:pPr>
      <w:r w:rsidRPr="004A06D6">
        <w:t>2.</w:t>
      </w:r>
      <w:r w:rsidRPr="004A06D6">
        <w:tab/>
      </w:r>
      <w:r w:rsidR="00D162BF" w:rsidRPr="005B03CE">
        <w:rPr>
          <w:noProof/>
        </w:rPr>
        <w:t>Guidance documents and recommendations may include:</w:t>
      </w:r>
    </w:p>
    <w:p w:rsidR="00D162BF" w:rsidRPr="005B03CE" w:rsidRDefault="004A06D6" w:rsidP="004A06D6">
      <w:pPr>
        <w:pStyle w:val="Point1"/>
        <w:rPr>
          <w:noProof/>
        </w:rPr>
      </w:pPr>
      <w:r w:rsidRPr="004A06D6">
        <w:t>(a)</w:t>
      </w:r>
      <w:r w:rsidRPr="004A06D6">
        <w:tab/>
      </w:r>
      <w:r w:rsidR="00D162BF" w:rsidRPr="005B03CE">
        <w:rPr>
          <w:noProof/>
        </w:rPr>
        <w:t>modalities for or improvements to cybersecurity risk management and the cybersecurity baseline;</w:t>
      </w:r>
    </w:p>
    <w:p w:rsidR="00D162BF" w:rsidRPr="005B03CE" w:rsidRDefault="004A06D6" w:rsidP="004A06D6">
      <w:pPr>
        <w:pStyle w:val="Point1"/>
        <w:rPr>
          <w:noProof/>
        </w:rPr>
      </w:pPr>
      <w:r w:rsidRPr="004A06D6">
        <w:t>(b)</w:t>
      </w:r>
      <w:r w:rsidRPr="004A06D6">
        <w:tab/>
      </w:r>
      <w:r w:rsidR="00D162BF" w:rsidRPr="005B03CE">
        <w:rPr>
          <w:noProof/>
        </w:rPr>
        <w:t>modalities for maturity assessments and cybersecurity plans; and</w:t>
      </w:r>
    </w:p>
    <w:p w:rsidR="00D162BF" w:rsidRPr="005B03CE" w:rsidRDefault="004A06D6" w:rsidP="004A06D6">
      <w:pPr>
        <w:pStyle w:val="Point1"/>
        <w:rPr>
          <w:noProof/>
        </w:rPr>
      </w:pPr>
      <w:r w:rsidRPr="004A06D6">
        <w:t>(c)</w:t>
      </w:r>
      <w:r w:rsidRPr="004A06D6">
        <w:tab/>
      </w:r>
      <w:r w:rsidR="00D162BF" w:rsidRPr="005B03CE">
        <w:rPr>
          <w:noProof/>
        </w:rPr>
        <w:t>where appropriate, the use of common technology, architecture and associated best practices with the aim of achieving interoperability and common standards</w:t>
      </w:r>
      <w:r w:rsidR="00677E95" w:rsidRPr="005B03CE">
        <w:rPr>
          <w:noProof/>
        </w:rPr>
        <w:t xml:space="preserve"> within the meaning of Article 4(10) of Directive [</w:t>
      </w:r>
      <w:r w:rsidR="00460574" w:rsidRPr="005B03CE">
        <w:rPr>
          <w:noProof/>
        </w:rPr>
        <w:t>proposal</w:t>
      </w:r>
      <w:r w:rsidR="00677E95" w:rsidRPr="005B03CE">
        <w:rPr>
          <w:noProof/>
        </w:rPr>
        <w:t xml:space="preserve"> NIS 2]</w:t>
      </w:r>
      <w:r w:rsidR="00D162BF" w:rsidRPr="005B03CE">
        <w:rPr>
          <w:noProof/>
        </w:rPr>
        <w:t>.</w:t>
      </w:r>
    </w:p>
    <w:p w:rsidR="00D162BF" w:rsidRPr="005B03CE" w:rsidRDefault="004A06D6" w:rsidP="004A06D6">
      <w:pPr>
        <w:pStyle w:val="ManualNumPar1"/>
        <w:rPr>
          <w:noProof/>
        </w:rPr>
      </w:pPr>
      <w:r w:rsidRPr="004A06D6">
        <w:t>3.</w:t>
      </w:r>
      <w:r w:rsidRPr="004A06D6">
        <w:tab/>
      </w:r>
      <w:r w:rsidR="00D162BF" w:rsidRPr="005B03CE">
        <w:rPr>
          <w:noProof/>
        </w:rPr>
        <w:t>The IICB may adopt guidance documents or recommendations on proposal of CERT-EU.</w:t>
      </w:r>
    </w:p>
    <w:p w:rsidR="008F298B" w:rsidRPr="005B03CE" w:rsidRDefault="004A06D6" w:rsidP="004A06D6">
      <w:pPr>
        <w:pStyle w:val="ManualNumPar1"/>
        <w:rPr>
          <w:noProof/>
        </w:rPr>
      </w:pPr>
      <w:r w:rsidRPr="004A06D6">
        <w:t>4.</w:t>
      </w:r>
      <w:r w:rsidRPr="004A06D6">
        <w:tab/>
      </w:r>
      <w:r w:rsidR="00D162BF" w:rsidRPr="005B03CE">
        <w:rPr>
          <w:noProof/>
        </w:rPr>
        <w:t xml:space="preserve">The IICB may instruct CERT-EU to issue, </w:t>
      </w:r>
      <w:r w:rsidR="00925BD1" w:rsidRPr="005B03CE">
        <w:rPr>
          <w:noProof/>
        </w:rPr>
        <w:t xml:space="preserve">withdraw </w:t>
      </w:r>
      <w:r w:rsidR="00D162BF" w:rsidRPr="005B03CE">
        <w:rPr>
          <w:noProof/>
        </w:rPr>
        <w:t>or modify a proposal for guidance documents or recommendations</w:t>
      </w:r>
      <w:r w:rsidR="00D41BF8" w:rsidRPr="005B03CE">
        <w:rPr>
          <w:noProof/>
        </w:rPr>
        <w:t xml:space="preserve">, or </w:t>
      </w:r>
      <w:r w:rsidR="00D162BF" w:rsidRPr="005B03CE">
        <w:rPr>
          <w:noProof/>
        </w:rPr>
        <w:t>a call for action.</w:t>
      </w:r>
    </w:p>
    <w:p w:rsidR="00BF0263" w:rsidRPr="005B03CE" w:rsidRDefault="00BF0263" w:rsidP="00BF0263">
      <w:pPr>
        <w:pStyle w:val="Titrearticle"/>
        <w:rPr>
          <w:b/>
          <w:noProof/>
          <w:szCs w:val="24"/>
        </w:rPr>
      </w:pPr>
      <w:r w:rsidRPr="005B03CE">
        <w:rPr>
          <w:noProof/>
          <w:szCs w:val="24"/>
        </w:rPr>
        <w:t>Article 14</w:t>
      </w:r>
      <w:r w:rsidRPr="005B03CE">
        <w:rPr>
          <w:noProof/>
          <w:szCs w:val="24"/>
        </w:rPr>
        <w:br/>
      </w:r>
      <w:r w:rsidRPr="005B03CE">
        <w:rPr>
          <w:b/>
          <w:noProof/>
          <w:szCs w:val="24"/>
        </w:rPr>
        <w:t>Head of CERT-EU</w:t>
      </w:r>
    </w:p>
    <w:p w:rsidR="00BF0263" w:rsidRPr="005B03CE" w:rsidRDefault="00720392" w:rsidP="00E33D22">
      <w:pPr>
        <w:rPr>
          <w:noProof/>
        </w:rPr>
      </w:pPr>
      <w:r w:rsidRPr="005B03CE">
        <w:rPr>
          <w:noProof/>
        </w:rPr>
        <w:t xml:space="preserve">The Head of CERT-EU shall regularly submit reports to the IICB </w:t>
      </w:r>
      <w:r w:rsidR="00510176" w:rsidRPr="005B03CE">
        <w:rPr>
          <w:noProof/>
        </w:rPr>
        <w:t xml:space="preserve">and the IICB Chair </w:t>
      </w:r>
      <w:r w:rsidRPr="005B03CE">
        <w:rPr>
          <w:noProof/>
        </w:rPr>
        <w:t>on the performance of CERT-EU, financial planning, revenue, impleme</w:t>
      </w:r>
      <w:r w:rsidR="0075510B" w:rsidRPr="005B03CE">
        <w:rPr>
          <w:noProof/>
        </w:rPr>
        <w:t xml:space="preserve">ntation of the budget, </w:t>
      </w:r>
      <w:r w:rsidR="00925BD1" w:rsidRPr="005B03CE">
        <w:rPr>
          <w:noProof/>
        </w:rPr>
        <w:t>s</w:t>
      </w:r>
      <w:r w:rsidR="0075510B" w:rsidRPr="005B03CE">
        <w:rPr>
          <w:noProof/>
        </w:rPr>
        <w:t xml:space="preserve">ervice </w:t>
      </w:r>
      <w:r w:rsidR="00925BD1" w:rsidRPr="005B03CE">
        <w:rPr>
          <w:noProof/>
        </w:rPr>
        <w:t>l</w:t>
      </w:r>
      <w:r w:rsidR="0075510B" w:rsidRPr="005B03CE">
        <w:rPr>
          <w:noProof/>
        </w:rPr>
        <w:t xml:space="preserve">evel </w:t>
      </w:r>
      <w:r w:rsidR="00925BD1" w:rsidRPr="005B03CE">
        <w:rPr>
          <w:noProof/>
        </w:rPr>
        <w:t>a</w:t>
      </w:r>
      <w:r w:rsidR="0075510B" w:rsidRPr="005B03CE">
        <w:rPr>
          <w:noProof/>
        </w:rPr>
        <w:t>greements and written agreements</w:t>
      </w:r>
      <w:r w:rsidRPr="005B03CE">
        <w:rPr>
          <w:noProof/>
        </w:rPr>
        <w:t xml:space="preserve"> entered into, </w:t>
      </w:r>
      <w:r w:rsidR="00306A0D" w:rsidRPr="005B03CE">
        <w:rPr>
          <w:noProof/>
        </w:rPr>
        <w:t xml:space="preserve">cooperation with counterparts and partners, </w:t>
      </w:r>
      <w:r w:rsidRPr="005B03CE">
        <w:rPr>
          <w:noProof/>
        </w:rPr>
        <w:t>and missions undertaken by staff, including the reports referred to in Article 10</w:t>
      </w:r>
      <w:r w:rsidR="00925BD1" w:rsidRPr="005B03CE">
        <w:rPr>
          <w:noProof/>
        </w:rPr>
        <w:t>(1)</w:t>
      </w:r>
      <w:r w:rsidRPr="005B03CE">
        <w:rPr>
          <w:noProof/>
        </w:rPr>
        <w:t>.</w:t>
      </w:r>
    </w:p>
    <w:p w:rsidR="00720392" w:rsidRPr="005B03CE" w:rsidRDefault="00720392" w:rsidP="00720392">
      <w:pPr>
        <w:pStyle w:val="Titrearticle"/>
        <w:rPr>
          <w:b/>
          <w:noProof/>
          <w:szCs w:val="24"/>
        </w:rPr>
      </w:pPr>
      <w:r w:rsidRPr="005B03CE">
        <w:rPr>
          <w:noProof/>
          <w:szCs w:val="24"/>
        </w:rPr>
        <w:t>Article 15</w:t>
      </w:r>
      <w:r w:rsidRPr="005B03CE">
        <w:rPr>
          <w:noProof/>
          <w:szCs w:val="24"/>
        </w:rPr>
        <w:br/>
      </w:r>
      <w:r w:rsidR="00F1392C" w:rsidRPr="005B03CE">
        <w:rPr>
          <w:b/>
          <w:noProof/>
          <w:szCs w:val="24"/>
        </w:rPr>
        <w:t>F</w:t>
      </w:r>
      <w:r w:rsidRPr="005B03CE">
        <w:rPr>
          <w:b/>
          <w:noProof/>
          <w:szCs w:val="24"/>
        </w:rPr>
        <w:t xml:space="preserve">inancial </w:t>
      </w:r>
      <w:r w:rsidR="00F1392C" w:rsidRPr="005B03CE">
        <w:rPr>
          <w:b/>
          <w:noProof/>
          <w:szCs w:val="24"/>
        </w:rPr>
        <w:t xml:space="preserve">and staffing </w:t>
      </w:r>
      <w:r w:rsidRPr="005B03CE">
        <w:rPr>
          <w:b/>
          <w:noProof/>
          <w:szCs w:val="24"/>
        </w:rPr>
        <w:t>matters</w:t>
      </w:r>
    </w:p>
    <w:p w:rsidR="00720392" w:rsidRPr="005B03CE" w:rsidRDefault="004A06D6" w:rsidP="004A06D6">
      <w:pPr>
        <w:pStyle w:val="ManualNumPar1"/>
        <w:rPr>
          <w:noProof/>
        </w:rPr>
      </w:pPr>
      <w:r w:rsidRPr="004A06D6">
        <w:t>1.</w:t>
      </w:r>
      <w:r w:rsidRPr="004A06D6">
        <w:tab/>
      </w:r>
      <w:r w:rsidR="0041291F" w:rsidRPr="005B03CE">
        <w:rPr>
          <w:noProof/>
        </w:rPr>
        <w:t>The Commission, after having obtained the unanimous approval of the IICB, shall appoint the Head of CERT-EU. The IICB shall be consulted at all stages of the procedure prior to the appointment of the Head of CERT-EU, in particular in drafting vacancy notices, examining applications and appointing selection boards in relation to this post</w:t>
      </w:r>
      <w:r w:rsidR="00720392" w:rsidRPr="005B03CE">
        <w:rPr>
          <w:noProof/>
        </w:rPr>
        <w:t>.</w:t>
      </w:r>
    </w:p>
    <w:p w:rsidR="003A03B5" w:rsidRPr="005B03CE" w:rsidRDefault="004A06D6" w:rsidP="004A06D6">
      <w:pPr>
        <w:pStyle w:val="ManualNumPar1"/>
        <w:rPr>
          <w:noProof/>
        </w:rPr>
      </w:pPr>
      <w:r w:rsidRPr="004A06D6">
        <w:t>2.</w:t>
      </w:r>
      <w:r w:rsidRPr="004A06D6">
        <w:tab/>
      </w:r>
      <w:r w:rsidR="0041291F" w:rsidRPr="005B03CE">
        <w:rPr>
          <w:noProof/>
        </w:rPr>
        <w:t>For the application of administrative and financial procedures, the Head of CERT-EU shall act under the authority of the Commission.</w:t>
      </w:r>
    </w:p>
    <w:p w:rsidR="00306A0D" w:rsidRPr="005B03CE" w:rsidRDefault="004A06D6" w:rsidP="004A06D6">
      <w:pPr>
        <w:pStyle w:val="ManualNumPar1"/>
        <w:rPr>
          <w:noProof/>
        </w:rPr>
      </w:pPr>
      <w:r w:rsidRPr="004A06D6">
        <w:t>3.</w:t>
      </w:r>
      <w:r w:rsidRPr="004A06D6">
        <w:tab/>
      </w:r>
      <w:r w:rsidR="00C87088" w:rsidRPr="005B03CE">
        <w:rPr>
          <w:bCs/>
          <w:noProof/>
          <w:szCs w:val="24"/>
        </w:rPr>
        <w:t>CERT-EU tasks and activities, including s</w:t>
      </w:r>
      <w:r w:rsidR="0041291F" w:rsidRPr="005B03CE">
        <w:rPr>
          <w:noProof/>
        </w:rPr>
        <w:t xml:space="preserve">ervices provided by CERT-EU pursuant to Article 12(2), (3), (4), (6), and Article 13(1) to Union </w:t>
      </w:r>
      <w:r w:rsidR="00DB116F" w:rsidRPr="005B03CE">
        <w:rPr>
          <w:noProof/>
        </w:rPr>
        <w:t>institutions, bodies and agencies</w:t>
      </w:r>
      <w:r w:rsidR="0041291F" w:rsidRPr="005B03CE">
        <w:rPr>
          <w:noProof/>
        </w:rPr>
        <w:t xml:space="preserve"> financed from the heading of the multiannual financial framework dedicated to European public administration</w:t>
      </w:r>
      <w:r w:rsidR="00C87088" w:rsidRPr="005B03CE">
        <w:rPr>
          <w:noProof/>
        </w:rPr>
        <w:t>,</w:t>
      </w:r>
      <w:r w:rsidR="0041291F" w:rsidRPr="005B03CE">
        <w:rPr>
          <w:noProof/>
        </w:rPr>
        <w:t xml:space="preserve"> shall be funded through a distinct budget line of the Commission budget. CERT-EU earmarked posts shall be detailed in a footnote to the Commission establishment plan.</w:t>
      </w:r>
    </w:p>
    <w:p w:rsidR="00306A0D" w:rsidRPr="005B03CE" w:rsidRDefault="004A06D6" w:rsidP="004A06D6">
      <w:pPr>
        <w:pStyle w:val="ManualNumPar1"/>
        <w:rPr>
          <w:noProof/>
        </w:rPr>
      </w:pPr>
      <w:r w:rsidRPr="004A06D6">
        <w:t>4.</w:t>
      </w:r>
      <w:r w:rsidRPr="004A06D6">
        <w:tab/>
      </w:r>
      <w:r w:rsidR="0041291F" w:rsidRPr="005B03CE">
        <w:rPr>
          <w:bCs/>
          <w:noProof/>
        </w:rPr>
        <w:t xml:space="preserve">Union </w:t>
      </w:r>
      <w:r w:rsidR="00DB116F" w:rsidRPr="005B03CE">
        <w:rPr>
          <w:bCs/>
          <w:noProof/>
        </w:rPr>
        <w:t>institutions, bodies and agencies</w:t>
      </w:r>
      <w:r w:rsidR="0041291F" w:rsidRPr="005B03CE">
        <w:rPr>
          <w:bCs/>
          <w:noProof/>
        </w:rPr>
        <w:t xml:space="preserve"> other than those referred to in paragraph </w:t>
      </w:r>
      <w:r w:rsidR="00452B6B" w:rsidRPr="005B03CE">
        <w:rPr>
          <w:bCs/>
          <w:noProof/>
        </w:rPr>
        <w:t>3</w:t>
      </w:r>
      <w:r w:rsidR="0041291F" w:rsidRPr="005B03CE">
        <w:rPr>
          <w:bCs/>
          <w:noProof/>
        </w:rPr>
        <w:t xml:space="preserve"> </w:t>
      </w:r>
      <w:r w:rsidR="0041291F" w:rsidRPr="005B03CE">
        <w:rPr>
          <w:noProof/>
        </w:rPr>
        <w:t xml:space="preserve">shall make an annual financial contribution to CERT-EU to cover the services provided by CERT-EU pursuant to </w:t>
      </w:r>
      <w:r w:rsidR="00B92251" w:rsidRPr="005B03CE">
        <w:rPr>
          <w:noProof/>
        </w:rPr>
        <w:t xml:space="preserve">that </w:t>
      </w:r>
      <w:r w:rsidR="0041291F" w:rsidRPr="005B03CE">
        <w:rPr>
          <w:noProof/>
        </w:rPr>
        <w:t xml:space="preserve">paragraph </w:t>
      </w:r>
      <w:r w:rsidR="00452B6B" w:rsidRPr="005B03CE">
        <w:rPr>
          <w:noProof/>
        </w:rPr>
        <w:t>3</w:t>
      </w:r>
      <w:r w:rsidR="0041291F" w:rsidRPr="005B03CE">
        <w:rPr>
          <w:noProof/>
        </w:rPr>
        <w:t xml:space="preserve">. The respective contributions shall be based on orientations given by the IICB and agreed between each entity and CERT-EU </w:t>
      </w:r>
      <w:r w:rsidR="00D86165" w:rsidRPr="005B03CE">
        <w:rPr>
          <w:noProof/>
        </w:rPr>
        <w:t>in ser</w:t>
      </w:r>
      <w:r w:rsidR="00F52B7C" w:rsidRPr="005B03CE">
        <w:rPr>
          <w:noProof/>
        </w:rPr>
        <w:t>vic</w:t>
      </w:r>
      <w:r w:rsidR="00D86165" w:rsidRPr="005B03CE">
        <w:rPr>
          <w:noProof/>
        </w:rPr>
        <w:t>e level a</w:t>
      </w:r>
      <w:r w:rsidR="00F52B7C" w:rsidRPr="005B03CE">
        <w:rPr>
          <w:noProof/>
        </w:rPr>
        <w:t>greements</w:t>
      </w:r>
      <w:r w:rsidR="0041291F" w:rsidRPr="005B03CE">
        <w:rPr>
          <w:noProof/>
        </w:rPr>
        <w:t xml:space="preserve">. The contributions shall represent </w:t>
      </w:r>
      <w:r w:rsidR="00B92251" w:rsidRPr="005B03CE">
        <w:rPr>
          <w:noProof/>
        </w:rPr>
        <w:t xml:space="preserve">a </w:t>
      </w:r>
      <w:r w:rsidR="0041291F" w:rsidRPr="005B03CE">
        <w:rPr>
          <w:noProof/>
        </w:rPr>
        <w:t xml:space="preserve">fair and proportionate share of the total costs of services provided. </w:t>
      </w:r>
      <w:r w:rsidR="00B92251" w:rsidRPr="005B03CE">
        <w:rPr>
          <w:noProof/>
        </w:rPr>
        <w:t>They</w:t>
      </w:r>
      <w:r w:rsidR="0041291F" w:rsidRPr="005B03CE">
        <w:rPr>
          <w:noProof/>
        </w:rPr>
        <w:t xml:space="preserve"> shall be received by the distinct budget line referred to in paragraph </w:t>
      </w:r>
      <w:r w:rsidR="00452B6B" w:rsidRPr="005B03CE">
        <w:rPr>
          <w:noProof/>
        </w:rPr>
        <w:t>3</w:t>
      </w:r>
      <w:r w:rsidR="0041291F" w:rsidRPr="005B03CE">
        <w:rPr>
          <w:noProof/>
        </w:rPr>
        <w:t xml:space="preserve"> as assigned revenue as </w:t>
      </w:r>
      <w:r w:rsidR="00B92251" w:rsidRPr="005B03CE">
        <w:rPr>
          <w:noProof/>
        </w:rPr>
        <w:t xml:space="preserve">provided for </w:t>
      </w:r>
      <w:r w:rsidR="0041291F" w:rsidRPr="005B03CE">
        <w:rPr>
          <w:noProof/>
        </w:rPr>
        <w:t>in Article 21(3)</w:t>
      </w:r>
      <w:r w:rsidR="00B92251" w:rsidRPr="005B03CE">
        <w:rPr>
          <w:noProof/>
        </w:rPr>
        <w:t xml:space="preserve">, point </w:t>
      </w:r>
      <w:r w:rsidR="0041291F" w:rsidRPr="005B03CE">
        <w:rPr>
          <w:noProof/>
        </w:rPr>
        <w:t>(c) of</w:t>
      </w:r>
      <w:r w:rsidR="00B92251" w:rsidRPr="005B03CE">
        <w:rPr>
          <w:noProof/>
        </w:rPr>
        <w:t xml:space="preserve"> Regulation (EU, Euratom) 2018/1046 of the European Parliament and of the Council</w:t>
      </w:r>
      <w:r w:rsidR="00B92251" w:rsidRPr="005B03CE">
        <w:rPr>
          <w:rStyle w:val="FootnoteReference"/>
          <w:noProof/>
          <w:szCs w:val="24"/>
        </w:rPr>
        <w:footnoteReference w:id="9"/>
      </w:r>
      <w:r w:rsidR="00F61C1D" w:rsidRPr="005B03CE">
        <w:rPr>
          <w:noProof/>
        </w:rPr>
        <w:t>.</w:t>
      </w:r>
    </w:p>
    <w:p w:rsidR="0041291F" w:rsidRPr="005B03CE" w:rsidRDefault="004A06D6" w:rsidP="004A06D6">
      <w:pPr>
        <w:pStyle w:val="ManualNumPar1"/>
        <w:rPr>
          <w:noProof/>
        </w:rPr>
      </w:pPr>
      <w:r w:rsidRPr="004A06D6">
        <w:t>5.</w:t>
      </w:r>
      <w:r w:rsidRPr="004A06D6">
        <w:tab/>
      </w:r>
      <w:r w:rsidR="0041291F" w:rsidRPr="005B03CE">
        <w:rPr>
          <w:noProof/>
        </w:rPr>
        <w:t xml:space="preserve">The costs of the tasks defined in Article 12(5) </w:t>
      </w:r>
      <w:r w:rsidR="00B92251" w:rsidRPr="005B03CE">
        <w:rPr>
          <w:noProof/>
        </w:rPr>
        <w:t xml:space="preserve">shall </w:t>
      </w:r>
      <w:r w:rsidR="0041291F" w:rsidRPr="005B03CE">
        <w:rPr>
          <w:noProof/>
        </w:rPr>
        <w:t xml:space="preserve">be recovered from the Union </w:t>
      </w:r>
      <w:r w:rsidR="00DB116F" w:rsidRPr="005B03CE">
        <w:rPr>
          <w:noProof/>
        </w:rPr>
        <w:t>institutions, bodies and agencies</w:t>
      </w:r>
      <w:r w:rsidR="0041291F" w:rsidRPr="005B03CE">
        <w:rPr>
          <w:noProof/>
        </w:rPr>
        <w:t xml:space="preserve"> receiving the CERT-EU services. </w:t>
      </w:r>
      <w:r w:rsidR="00D10DC8" w:rsidRPr="005B03CE">
        <w:rPr>
          <w:noProof/>
        </w:rPr>
        <w:t xml:space="preserve">The revenues shall be assigned </w:t>
      </w:r>
      <w:r w:rsidR="0041291F" w:rsidRPr="005B03CE">
        <w:rPr>
          <w:noProof/>
        </w:rPr>
        <w:t>to the budget lines supporting the costs.</w:t>
      </w:r>
    </w:p>
    <w:p w:rsidR="00B6522F" w:rsidRPr="005B03CE" w:rsidRDefault="00B6522F" w:rsidP="00B6522F">
      <w:pPr>
        <w:pStyle w:val="Titrearticle"/>
        <w:rPr>
          <w:b/>
          <w:noProof/>
          <w:szCs w:val="24"/>
        </w:rPr>
      </w:pPr>
      <w:r w:rsidRPr="005B03CE">
        <w:rPr>
          <w:noProof/>
          <w:szCs w:val="24"/>
        </w:rPr>
        <w:t>Article 16</w:t>
      </w:r>
      <w:r w:rsidRPr="005B03CE">
        <w:rPr>
          <w:noProof/>
          <w:szCs w:val="24"/>
        </w:rPr>
        <w:br/>
      </w:r>
      <w:r w:rsidRPr="005B03CE">
        <w:rPr>
          <w:b/>
          <w:noProof/>
          <w:szCs w:val="24"/>
        </w:rPr>
        <w:t>Cooperation of CERT-EU with Member State counterparts</w:t>
      </w:r>
    </w:p>
    <w:p w:rsidR="00B6522F" w:rsidRPr="005B03CE" w:rsidRDefault="004A06D6" w:rsidP="004A06D6">
      <w:pPr>
        <w:pStyle w:val="ManualNumPar1"/>
        <w:rPr>
          <w:noProof/>
        </w:rPr>
      </w:pPr>
      <w:r w:rsidRPr="004A06D6">
        <w:t>1.</w:t>
      </w:r>
      <w:r w:rsidRPr="004A06D6">
        <w:tab/>
      </w:r>
      <w:r w:rsidR="00B6522F" w:rsidRPr="005B03CE">
        <w:rPr>
          <w:noProof/>
        </w:rPr>
        <w:t>CERT-EU shall cooperate and exchange information with national counterparts in the Member States, including CERTs, National Cybersecurity Centres</w:t>
      </w:r>
      <w:r w:rsidR="0016520F" w:rsidRPr="005B03CE">
        <w:rPr>
          <w:noProof/>
        </w:rPr>
        <w:t>,</w:t>
      </w:r>
      <w:r w:rsidR="00B6522F" w:rsidRPr="005B03CE">
        <w:rPr>
          <w:noProof/>
        </w:rPr>
        <w:t xml:space="preserve"> CSIRTs</w:t>
      </w:r>
      <w:r w:rsidR="0016520F" w:rsidRPr="005B03CE">
        <w:rPr>
          <w:noProof/>
        </w:rPr>
        <w:t>, and single points of contact referred to in Article 8 of Directive [</w:t>
      </w:r>
      <w:r w:rsidR="00460574" w:rsidRPr="005B03CE">
        <w:rPr>
          <w:noProof/>
        </w:rPr>
        <w:t xml:space="preserve">proposal </w:t>
      </w:r>
      <w:r w:rsidR="0016520F" w:rsidRPr="005B03CE">
        <w:rPr>
          <w:noProof/>
        </w:rPr>
        <w:t xml:space="preserve">NIS </w:t>
      </w:r>
      <w:r w:rsidR="009047C3" w:rsidRPr="005B03CE">
        <w:rPr>
          <w:noProof/>
        </w:rPr>
        <w:t>2</w:t>
      </w:r>
      <w:r w:rsidR="0016520F" w:rsidRPr="005B03CE">
        <w:rPr>
          <w:noProof/>
        </w:rPr>
        <w:t>],</w:t>
      </w:r>
      <w:r w:rsidR="00B6522F" w:rsidRPr="005B03CE">
        <w:rPr>
          <w:noProof/>
        </w:rPr>
        <w:t xml:space="preserve"> on cyber threats, vulnerabilities and incidents, on possible countermeasures </w:t>
      </w:r>
      <w:r w:rsidR="00B44AED" w:rsidRPr="005B03CE">
        <w:rPr>
          <w:noProof/>
        </w:rPr>
        <w:t>and on all matters relevant for improving the protection of the IT environments of Union institutions, bodies and agencies, including</w:t>
      </w:r>
      <w:r w:rsidR="00B6522F" w:rsidRPr="005B03CE">
        <w:rPr>
          <w:noProof/>
        </w:rPr>
        <w:t xml:space="preserve"> through the CSIRTs network referred to in Article 13 </w:t>
      </w:r>
      <w:r w:rsidR="00460574" w:rsidRPr="005B03CE">
        <w:rPr>
          <w:noProof/>
        </w:rPr>
        <w:t xml:space="preserve">of Directive </w:t>
      </w:r>
      <w:r w:rsidR="00B6522F" w:rsidRPr="005B03CE">
        <w:rPr>
          <w:noProof/>
        </w:rPr>
        <w:t>[</w:t>
      </w:r>
      <w:r w:rsidR="00CC764A" w:rsidRPr="005B03CE">
        <w:rPr>
          <w:noProof/>
        </w:rPr>
        <w:t>proposal NIS 2</w:t>
      </w:r>
      <w:r w:rsidR="00B6522F" w:rsidRPr="005B03CE">
        <w:rPr>
          <w:noProof/>
        </w:rPr>
        <w:t>].</w:t>
      </w:r>
    </w:p>
    <w:p w:rsidR="00B6522F" w:rsidRPr="005B03CE" w:rsidRDefault="004A06D6" w:rsidP="004A06D6">
      <w:pPr>
        <w:pStyle w:val="ManualNumPar1"/>
        <w:rPr>
          <w:noProof/>
        </w:rPr>
      </w:pPr>
      <w:r w:rsidRPr="004A06D6">
        <w:t>2.</w:t>
      </w:r>
      <w:r w:rsidRPr="004A06D6">
        <w:tab/>
      </w:r>
      <w:r w:rsidR="00B6522F" w:rsidRPr="005B03CE">
        <w:rPr>
          <w:noProof/>
        </w:rPr>
        <w:t>CERT-EU may exchange incident-specific information with national counterparts in the Member States to facilitate detection of similar cyber threats or incidents without the consent of the affected constituent. CERT-EU may only exchange incident-specific information which reveals the identity of the target of the cybersecurity incident with the consent of the affected constituent.</w:t>
      </w:r>
    </w:p>
    <w:p w:rsidR="00B6522F" w:rsidRPr="005B03CE" w:rsidRDefault="00B6522F" w:rsidP="00B6522F">
      <w:pPr>
        <w:pStyle w:val="Titrearticle"/>
        <w:rPr>
          <w:b/>
          <w:noProof/>
          <w:szCs w:val="24"/>
        </w:rPr>
      </w:pPr>
      <w:r w:rsidRPr="005B03CE">
        <w:rPr>
          <w:noProof/>
          <w:szCs w:val="24"/>
        </w:rPr>
        <w:t>Article 17</w:t>
      </w:r>
      <w:r w:rsidRPr="005B03CE">
        <w:rPr>
          <w:noProof/>
          <w:szCs w:val="24"/>
        </w:rPr>
        <w:br/>
      </w:r>
      <w:r w:rsidRPr="005B03CE">
        <w:rPr>
          <w:b/>
          <w:noProof/>
          <w:szCs w:val="24"/>
        </w:rPr>
        <w:t>Cooperation of CERT-EU with non-Member State counterparts</w:t>
      </w:r>
    </w:p>
    <w:p w:rsidR="00B6522F" w:rsidRPr="005B03CE" w:rsidRDefault="004A06D6" w:rsidP="004A06D6">
      <w:pPr>
        <w:pStyle w:val="ManualNumPar1"/>
        <w:rPr>
          <w:noProof/>
        </w:rPr>
      </w:pPr>
      <w:r w:rsidRPr="004A06D6">
        <w:t>1.</w:t>
      </w:r>
      <w:r w:rsidRPr="004A06D6">
        <w:tab/>
      </w:r>
      <w:r w:rsidR="00B6522F" w:rsidRPr="005B03CE">
        <w:rPr>
          <w:noProof/>
        </w:rPr>
        <w:t xml:space="preserve">CERT-EU may cooperate with </w:t>
      </w:r>
      <w:r w:rsidR="00D41BF8" w:rsidRPr="005B03CE">
        <w:rPr>
          <w:noProof/>
        </w:rPr>
        <w:t xml:space="preserve">non-Member State </w:t>
      </w:r>
      <w:r w:rsidR="00B6522F" w:rsidRPr="005B03CE">
        <w:rPr>
          <w:noProof/>
        </w:rPr>
        <w:t>counterparts including industry sector-specific counterparts on tools and metho</w:t>
      </w:r>
      <w:r w:rsidR="00AE06A3" w:rsidRPr="005B03CE">
        <w:rPr>
          <w:noProof/>
        </w:rPr>
        <w:t xml:space="preserve">ds, such as techniques, tactics, </w:t>
      </w:r>
      <w:r w:rsidR="00B6522F" w:rsidRPr="005B03CE">
        <w:rPr>
          <w:noProof/>
        </w:rPr>
        <w:t>procedures</w:t>
      </w:r>
      <w:r w:rsidR="00AE06A3" w:rsidRPr="005B03CE">
        <w:rPr>
          <w:noProof/>
        </w:rPr>
        <w:t xml:space="preserve"> and </w:t>
      </w:r>
      <w:r w:rsidR="00B6522F" w:rsidRPr="005B03CE">
        <w:rPr>
          <w:noProof/>
        </w:rPr>
        <w:t>best practices</w:t>
      </w:r>
      <w:r w:rsidR="00240AA7" w:rsidRPr="005B03CE">
        <w:rPr>
          <w:noProof/>
        </w:rPr>
        <w:t>,</w:t>
      </w:r>
      <w:r w:rsidR="00B6522F" w:rsidRPr="005B03CE">
        <w:rPr>
          <w:noProof/>
        </w:rPr>
        <w:t xml:space="preserve"> and on cyber threats and vulnerabilities. For all cooperation with such counterparts, including in frameworks where non-EU counterparts cooperate with national counterparts of Member States, CERT-EU shall seek prior approval from the IICB.</w:t>
      </w:r>
    </w:p>
    <w:p w:rsidR="00B6522F" w:rsidRPr="005B03CE" w:rsidRDefault="004A06D6" w:rsidP="004A06D6">
      <w:pPr>
        <w:pStyle w:val="ManualNumPar1"/>
        <w:rPr>
          <w:noProof/>
        </w:rPr>
      </w:pPr>
      <w:r w:rsidRPr="004A06D6">
        <w:t>2.</w:t>
      </w:r>
      <w:r w:rsidRPr="004A06D6">
        <w:tab/>
      </w:r>
      <w:r w:rsidR="00B6522F" w:rsidRPr="005B03CE">
        <w:rPr>
          <w:noProof/>
        </w:rPr>
        <w:t>CERT-EU may cooperate with other partners, such as commercial entities, international organisations, non-European Union national entities or individual experts, to gather information on general and specific cyber threats, vulnerabilities and possible countermeasures. For wider cooperation with such partners, CERT-EU shall seek prior approval from the IICB.</w:t>
      </w:r>
    </w:p>
    <w:p w:rsidR="005356D5" w:rsidRPr="005B03CE" w:rsidRDefault="004A06D6" w:rsidP="004A06D6">
      <w:pPr>
        <w:pStyle w:val="ManualNumPar1"/>
        <w:rPr>
          <w:noProof/>
        </w:rPr>
      </w:pPr>
      <w:r w:rsidRPr="004A06D6">
        <w:t>3.</w:t>
      </w:r>
      <w:r w:rsidRPr="004A06D6">
        <w:tab/>
      </w:r>
      <w:r w:rsidR="00B6522F" w:rsidRPr="005B03CE">
        <w:rPr>
          <w:noProof/>
        </w:rPr>
        <w:t>CERT-EU may, with the consent of the constituent</w:t>
      </w:r>
      <w:r w:rsidR="00BC4734" w:rsidRPr="005B03CE">
        <w:rPr>
          <w:noProof/>
        </w:rPr>
        <w:t xml:space="preserve"> affected by an incident</w:t>
      </w:r>
      <w:r w:rsidR="00B6522F" w:rsidRPr="005B03CE">
        <w:rPr>
          <w:noProof/>
        </w:rPr>
        <w:t xml:space="preserve">, provide information related to </w:t>
      </w:r>
      <w:r w:rsidR="00BC4734" w:rsidRPr="005B03CE">
        <w:rPr>
          <w:noProof/>
        </w:rPr>
        <w:t>the</w:t>
      </w:r>
      <w:r w:rsidR="00B6522F" w:rsidRPr="005B03CE">
        <w:rPr>
          <w:noProof/>
        </w:rPr>
        <w:t xml:space="preserve"> incident to partners </w:t>
      </w:r>
      <w:r w:rsidR="00BC4734" w:rsidRPr="005B03CE">
        <w:rPr>
          <w:noProof/>
        </w:rPr>
        <w:t>that</w:t>
      </w:r>
      <w:r w:rsidR="00B6522F" w:rsidRPr="005B03CE">
        <w:rPr>
          <w:noProof/>
        </w:rPr>
        <w:t xml:space="preserve"> </w:t>
      </w:r>
      <w:r w:rsidR="00F61C1D" w:rsidRPr="005B03CE">
        <w:rPr>
          <w:noProof/>
        </w:rPr>
        <w:t>can contribute to its analysis.</w:t>
      </w:r>
    </w:p>
    <w:p w:rsidR="005356D5" w:rsidRPr="005B03CE" w:rsidRDefault="005356D5" w:rsidP="005356D5">
      <w:pPr>
        <w:pStyle w:val="ChapterTitle"/>
        <w:spacing w:before="360"/>
        <w:rPr>
          <w:i/>
          <w:noProof/>
          <w:sz w:val="24"/>
          <w:szCs w:val="24"/>
        </w:rPr>
      </w:pPr>
      <w:r w:rsidRPr="005B03CE">
        <w:rPr>
          <w:noProof/>
          <w:sz w:val="24"/>
          <w:szCs w:val="24"/>
        </w:rPr>
        <w:t>Chapter V</w:t>
      </w:r>
      <w:r w:rsidRPr="005B03CE">
        <w:rPr>
          <w:noProof/>
          <w:sz w:val="24"/>
          <w:szCs w:val="24"/>
        </w:rPr>
        <w:br/>
        <w:t>COOPERATION AND REPORTING OBLIGATIONS</w:t>
      </w:r>
    </w:p>
    <w:p w:rsidR="00B6522F" w:rsidRPr="005B03CE" w:rsidRDefault="00B6522F" w:rsidP="00B6522F">
      <w:pPr>
        <w:pStyle w:val="Titrearticle"/>
        <w:rPr>
          <w:b/>
          <w:noProof/>
          <w:szCs w:val="24"/>
        </w:rPr>
      </w:pPr>
      <w:r w:rsidRPr="005B03CE">
        <w:rPr>
          <w:noProof/>
          <w:szCs w:val="24"/>
        </w:rPr>
        <w:t>Article 18</w:t>
      </w:r>
      <w:r w:rsidRPr="005B03CE">
        <w:rPr>
          <w:noProof/>
          <w:szCs w:val="24"/>
        </w:rPr>
        <w:br/>
      </w:r>
      <w:r w:rsidRPr="005B03CE">
        <w:rPr>
          <w:b/>
          <w:noProof/>
          <w:szCs w:val="24"/>
        </w:rPr>
        <w:t>Information handling</w:t>
      </w:r>
    </w:p>
    <w:p w:rsidR="00B6522F" w:rsidRPr="005B03CE" w:rsidRDefault="004A06D6" w:rsidP="004A06D6">
      <w:pPr>
        <w:pStyle w:val="ManualNumPar1"/>
        <w:rPr>
          <w:noProof/>
        </w:rPr>
      </w:pPr>
      <w:r w:rsidRPr="004A06D6">
        <w:t>1.</w:t>
      </w:r>
      <w:r w:rsidRPr="004A06D6">
        <w:tab/>
      </w:r>
      <w:r w:rsidR="00B6522F" w:rsidRPr="005B03CE">
        <w:rPr>
          <w:noProof/>
        </w:rPr>
        <w:t xml:space="preserve">CERT-EU and </w:t>
      </w:r>
      <w:r w:rsidR="00FF45F6" w:rsidRPr="005B03CE">
        <w:rPr>
          <w:noProof/>
        </w:rPr>
        <w:t>Union institutions, bodies and agencies</w:t>
      </w:r>
      <w:r w:rsidR="00B6522F" w:rsidRPr="005B03CE">
        <w:rPr>
          <w:noProof/>
        </w:rPr>
        <w:t xml:space="preserve"> shall respect the obligation of professional secrecy in accordance with Article 339 of the Treaty on the Functioning of the European Union or equivalent applicable frameworks.</w:t>
      </w:r>
    </w:p>
    <w:p w:rsidR="00B6522F" w:rsidRPr="005B03CE" w:rsidRDefault="004A06D6" w:rsidP="004A06D6">
      <w:pPr>
        <w:pStyle w:val="ManualNumPar1"/>
        <w:rPr>
          <w:noProof/>
        </w:rPr>
      </w:pPr>
      <w:r w:rsidRPr="004A06D6">
        <w:t>2.</w:t>
      </w:r>
      <w:r w:rsidRPr="004A06D6">
        <w:tab/>
      </w:r>
      <w:r w:rsidR="00B6522F" w:rsidRPr="005B03CE">
        <w:rPr>
          <w:noProof/>
        </w:rPr>
        <w:t xml:space="preserve">The </w:t>
      </w:r>
      <w:r w:rsidR="00BC4734" w:rsidRPr="005B03CE">
        <w:rPr>
          <w:noProof/>
        </w:rPr>
        <w:t>provisions of</w:t>
      </w:r>
      <w:r w:rsidR="00B6522F" w:rsidRPr="005B03CE">
        <w:rPr>
          <w:noProof/>
        </w:rPr>
        <w:t xml:space="preserve"> Regulation (EC) No 1049/2001 of the European Parliament and the Council</w:t>
      </w:r>
      <w:r w:rsidR="007B3179" w:rsidRPr="005B03CE">
        <w:rPr>
          <w:rStyle w:val="FootnoteReference"/>
          <w:noProof/>
          <w:szCs w:val="24"/>
        </w:rPr>
        <w:footnoteReference w:id="10"/>
      </w:r>
      <w:r w:rsidR="00B6522F" w:rsidRPr="005B03CE">
        <w:rPr>
          <w:noProof/>
        </w:rPr>
        <w:t xml:space="preserve"> shall apply with regard to requests for public access to documents held by CERT-EU</w:t>
      </w:r>
      <w:r w:rsidR="007B3179" w:rsidRPr="005B03CE">
        <w:rPr>
          <w:noProof/>
        </w:rPr>
        <w:t>,</w:t>
      </w:r>
      <w:r w:rsidR="00B6522F" w:rsidRPr="005B03CE">
        <w:rPr>
          <w:noProof/>
        </w:rPr>
        <w:t xml:space="preserve"> </w:t>
      </w:r>
      <w:r w:rsidR="007B3179" w:rsidRPr="005B03CE">
        <w:rPr>
          <w:noProof/>
        </w:rPr>
        <w:t xml:space="preserve">including </w:t>
      </w:r>
      <w:r w:rsidR="00B6522F" w:rsidRPr="005B03CE">
        <w:rPr>
          <w:noProof/>
        </w:rPr>
        <w:t xml:space="preserve">the obligation under that Regulation to consult other </w:t>
      </w:r>
      <w:r w:rsidR="00FF45F6" w:rsidRPr="005B03CE">
        <w:rPr>
          <w:noProof/>
        </w:rPr>
        <w:t>Union institutions, bodies and agencies</w:t>
      </w:r>
      <w:r w:rsidR="00B6522F" w:rsidRPr="005B03CE">
        <w:rPr>
          <w:noProof/>
        </w:rPr>
        <w:t xml:space="preserve"> whenever a request concerns their documents.</w:t>
      </w:r>
    </w:p>
    <w:p w:rsidR="00B6522F" w:rsidRPr="005B03CE" w:rsidRDefault="004A06D6" w:rsidP="004A06D6">
      <w:pPr>
        <w:pStyle w:val="ManualNumPar1"/>
        <w:rPr>
          <w:noProof/>
        </w:rPr>
      </w:pPr>
      <w:r w:rsidRPr="004A06D6">
        <w:t>3.</w:t>
      </w:r>
      <w:r w:rsidRPr="004A06D6">
        <w:tab/>
      </w:r>
      <w:r w:rsidR="00B6522F" w:rsidRPr="005B03CE">
        <w:rPr>
          <w:noProof/>
        </w:rPr>
        <w:t>The processing of personal data carried out under this Regulation shall be subject to Regulation (EU) 2018/1725 of the European Parliament and of the Council.</w:t>
      </w:r>
    </w:p>
    <w:p w:rsidR="00B6522F" w:rsidRPr="005B03CE" w:rsidRDefault="004A06D6" w:rsidP="004A06D6">
      <w:pPr>
        <w:pStyle w:val="ManualNumPar1"/>
        <w:rPr>
          <w:noProof/>
        </w:rPr>
      </w:pPr>
      <w:r w:rsidRPr="004A06D6">
        <w:t>4.</w:t>
      </w:r>
      <w:r w:rsidRPr="004A06D6">
        <w:tab/>
      </w:r>
      <w:r w:rsidR="00B6522F" w:rsidRPr="005B03CE">
        <w:rPr>
          <w:noProof/>
        </w:rPr>
        <w:t xml:space="preserve">The handling of information by CERT-EU and its </w:t>
      </w:r>
      <w:r w:rsidR="00FF45F6" w:rsidRPr="005B03CE">
        <w:rPr>
          <w:noProof/>
        </w:rPr>
        <w:t>Union institutions, bodies and agencies</w:t>
      </w:r>
      <w:r w:rsidR="00B6522F" w:rsidRPr="005B03CE">
        <w:rPr>
          <w:noProof/>
        </w:rPr>
        <w:t xml:space="preserve"> shall be in line with the rules laid down in [proposed Regulation on information security].</w:t>
      </w:r>
    </w:p>
    <w:p w:rsidR="00140736" w:rsidRPr="005B03CE" w:rsidRDefault="004A06D6" w:rsidP="004A06D6">
      <w:pPr>
        <w:pStyle w:val="ManualNumPar1"/>
        <w:rPr>
          <w:noProof/>
        </w:rPr>
      </w:pPr>
      <w:r w:rsidRPr="004A06D6">
        <w:t>5.</w:t>
      </w:r>
      <w:r w:rsidRPr="004A06D6">
        <w:tab/>
      </w:r>
      <w:r w:rsidR="00140736" w:rsidRPr="005B03CE">
        <w:rPr>
          <w:noProof/>
        </w:rPr>
        <w:t>Any contacts with CERT-EU initiated or sought by national security and intelligence services shall be communicated to the Commission’s Security Directorate and the chair of the IICB without undue delay.</w:t>
      </w:r>
    </w:p>
    <w:p w:rsidR="005C04EA" w:rsidRPr="005B03CE" w:rsidRDefault="005C04EA" w:rsidP="005C04EA">
      <w:pPr>
        <w:pStyle w:val="Titrearticle"/>
        <w:rPr>
          <w:b/>
          <w:noProof/>
          <w:szCs w:val="24"/>
        </w:rPr>
      </w:pPr>
      <w:r w:rsidRPr="005B03CE">
        <w:rPr>
          <w:noProof/>
          <w:szCs w:val="24"/>
        </w:rPr>
        <w:t>Article 19</w:t>
      </w:r>
      <w:r w:rsidRPr="005B03CE">
        <w:rPr>
          <w:noProof/>
          <w:szCs w:val="24"/>
        </w:rPr>
        <w:br/>
      </w:r>
      <w:r w:rsidRPr="005B03CE">
        <w:rPr>
          <w:b/>
          <w:noProof/>
          <w:szCs w:val="24"/>
        </w:rPr>
        <w:t>Sharing obligations</w:t>
      </w:r>
    </w:p>
    <w:p w:rsidR="005C04EA" w:rsidRPr="005B03CE" w:rsidRDefault="004A06D6" w:rsidP="004A06D6">
      <w:pPr>
        <w:pStyle w:val="ManualNumPar1"/>
        <w:rPr>
          <w:noProof/>
        </w:rPr>
      </w:pPr>
      <w:r w:rsidRPr="004A06D6">
        <w:t>1.</w:t>
      </w:r>
      <w:r w:rsidRPr="004A06D6">
        <w:tab/>
      </w:r>
      <w:r w:rsidR="005C04EA" w:rsidRPr="005B03CE">
        <w:rPr>
          <w:noProof/>
        </w:rPr>
        <w:t xml:space="preserve">To enable CERT-EU to coordinate vulnerability management and incident response, it may request </w:t>
      </w:r>
      <w:r w:rsidR="00B07028" w:rsidRPr="005B03CE">
        <w:rPr>
          <w:noProof/>
        </w:rPr>
        <w:t xml:space="preserve">Union </w:t>
      </w:r>
      <w:r w:rsidR="00DB116F" w:rsidRPr="005B03CE">
        <w:rPr>
          <w:noProof/>
        </w:rPr>
        <w:t>institutions, bodies and agencies</w:t>
      </w:r>
      <w:r w:rsidR="005C04EA" w:rsidRPr="005B03CE">
        <w:rPr>
          <w:noProof/>
        </w:rPr>
        <w:t xml:space="preserve"> to provide it wit</w:t>
      </w:r>
      <w:r w:rsidR="00D34155" w:rsidRPr="005B03CE">
        <w:rPr>
          <w:noProof/>
        </w:rPr>
        <w:t xml:space="preserve">h </w:t>
      </w:r>
      <w:r w:rsidR="005C04EA" w:rsidRPr="005B03CE">
        <w:rPr>
          <w:noProof/>
        </w:rPr>
        <w:t>information from their respective IT system inventories</w:t>
      </w:r>
      <w:r w:rsidR="00D34155" w:rsidRPr="005B03CE">
        <w:rPr>
          <w:noProof/>
        </w:rPr>
        <w:t xml:space="preserve"> that is relevant for the CERT-EU support</w:t>
      </w:r>
      <w:r w:rsidR="005C04EA" w:rsidRPr="005B03CE">
        <w:rPr>
          <w:noProof/>
        </w:rPr>
        <w:t xml:space="preserve">. The requested </w:t>
      </w:r>
      <w:r w:rsidR="007B3179" w:rsidRPr="005B03CE">
        <w:rPr>
          <w:noProof/>
        </w:rPr>
        <w:t xml:space="preserve">institution, body or agency </w:t>
      </w:r>
      <w:r w:rsidR="005C04EA" w:rsidRPr="005B03CE">
        <w:rPr>
          <w:noProof/>
        </w:rPr>
        <w:t>shall transmit the requested information, and any subsequent update</w:t>
      </w:r>
      <w:r w:rsidR="000D79A8" w:rsidRPr="005B03CE">
        <w:rPr>
          <w:noProof/>
        </w:rPr>
        <w:t>s thereto, without undue delay.</w:t>
      </w:r>
    </w:p>
    <w:p w:rsidR="005C04EA" w:rsidRPr="005B03CE" w:rsidRDefault="004A06D6" w:rsidP="004A06D6">
      <w:pPr>
        <w:pStyle w:val="ManualNumPar1"/>
        <w:rPr>
          <w:noProof/>
        </w:rPr>
      </w:pPr>
      <w:r w:rsidRPr="004A06D6">
        <w:t>2.</w:t>
      </w:r>
      <w:r w:rsidRPr="004A06D6">
        <w:tab/>
      </w:r>
      <w:r w:rsidR="00BF1546" w:rsidRPr="005B03CE">
        <w:rPr>
          <w:noProof/>
        </w:rPr>
        <w:t>The Union institutions, bodies and agencies, upon request from CERT-EU and without undue delay, shall provide it with digital information created by the use of electronic devices involved in their respective incidents. CERT-EU may further clarify which types of such digital information it requires for situational awareness and incident response.</w:t>
      </w:r>
    </w:p>
    <w:p w:rsidR="005C04EA" w:rsidRPr="005B03CE" w:rsidRDefault="004A06D6" w:rsidP="004A06D6">
      <w:pPr>
        <w:pStyle w:val="ManualNumPar1"/>
        <w:rPr>
          <w:noProof/>
        </w:rPr>
      </w:pPr>
      <w:bookmarkStart w:id="3" w:name="_Hlk96685544"/>
      <w:r w:rsidRPr="004A06D6">
        <w:t>3.</w:t>
      </w:r>
      <w:r w:rsidRPr="004A06D6">
        <w:tab/>
      </w:r>
      <w:r w:rsidR="0028190D" w:rsidRPr="005B03CE">
        <w:rPr>
          <w:noProof/>
        </w:rPr>
        <w:t xml:space="preserve">CERT-EU may only exchange incident-specific information which reveals the identity of the </w:t>
      </w:r>
      <w:r w:rsidR="00D10DC8" w:rsidRPr="005B03CE">
        <w:rPr>
          <w:noProof/>
        </w:rPr>
        <w:t>Union institution, body or agency</w:t>
      </w:r>
      <w:r w:rsidR="0028190D" w:rsidRPr="005B03CE">
        <w:rPr>
          <w:noProof/>
        </w:rPr>
        <w:t xml:space="preserve"> affected by the incident with the consent of that </w:t>
      </w:r>
      <w:r w:rsidR="00D10DC8" w:rsidRPr="005B03CE">
        <w:rPr>
          <w:noProof/>
        </w:rPr>
        <w:t>entity</w:t>
      </w:r>
      <w:r w:rsidR="005C04EA" w:rsidRPr="005B03CE">
        <w:rPr>
          <w:noProof/>
        </w:rPr>
        <w:t xml:space="preserve">. CERT-EU may only exchange incident-specific information which reveals the identity of the target of the cybersecurity incident with the consent of the </w:t>
      </w:r>
      <w:r w:rsidR="00D10DC8" w:rsidRPr="005B03CE">
        <w:rPr>
          <w:noProof/>
        </w:rPr>
        <w:t xml:space="preserve">entity </w:t>
      </w:r>
      <w:r w:rsidR="0090324C" w:rsidRPr="005B03CE">
        <w:rPr>
          <w:noProof/>
        </w:rPr>
        <w:t>affected by the incident</w:t>
      </w:r>
      <w:r w:rsidR="005C04EA" w:rsidRPr="005B03CE">
        <w:rPr>
          <w:noProof/>
        </w:rPr>
        <w:t>.</w:t>
      </w:r>
    </w:p>
    <w:bookmarkEnd w:id="3"/>
    <w:p w:rsidR="001B514E" w:rsidRPr="005B03CE" w:rsidRDefault="004A06D6" w:rsidP="004A06D6">
      <w:pPr>
        <w:pStyle w:val="ManualNumPar1"/>
        <w:rPr>
          <w:noProof/>
        </w:rPr>
      </w:pPr>
      <w:r w:rsidRPr="004A06D6">
        <w:t>4.</w:t>
      </w:r>
      <w:r w:rsidRPr="004A06D6">
        <w:tab/>
      </w:r>
      <w:r w:rsidR="001B514E" w:rsidRPr="005B03CE">
        <w:rPr>
          <w:noProof/>
        </w:rPr>
        <w:t>The sharing obligation</w:t>
      </w:r>
      <w:r w:rsidR="00716926" w:rsidRPr="005B03CE">
        <w:rPr>
          <w:noProof/>
        </w:rPr>
        <w:t>s</w:t>
      </w:r>
      <w:r w:rsidR="001B514E" w:rsidRPr="005B03CE">
        <w:rPr>
          <w:noProof/>
        </w:rPr>
        <w:t xml:space="preserve"> </w:t>
      </w:r>
      <w:r w:rsidR="004C2861" w:rsidRPr="005B03CE">
        <w:rPr>
          <w:noProof/>
        </w:rPr>
        <w:t>shall</w:t>
      </w:r>
      <w:r w:rsidR="001B514E" w:rsidRPr="005B03CE">
        <w:rPr>
          <w:noProof/>
        </w:rPr>
        <w:t xml:space="preserve"> not extend to </w:t>
      </w:r>
      <w:r w:rsidR="00712689" w:rsidRPr="005B03CE">
        <w:rPr>
          <w:noProof/>
        </w:rPr>
        <w:t>EU Classified Information (</w:t>
      </w:r>
      <w:r w:rsidR="001B514E" w:rsidRPr="005B03CE">
        <w:rPr>
          <w:noProof/>
        </w:rPr>
        <w:t>EU</w:t>
      </w:r>
      <w:r w:rsidR="00715100" w:rsidRPr="005B03CE">
        <w:rPr>
          <w:noProof/>
        </w:rPr>
        <w:t>CI</w:t>
      </w:r>
      <w:r w:rsidR="00712689" w:rsidRPr="005B03CE">
        <w:rPr>
          <w:noProof/>
        </w:rPr>
        <w:t>)</w:t>
      </w:r>
      <w:r w:rsidR="00304312" w:rsidRPr="005B03CE">
        <w:rPr>
          <w:noProof/>
        </w:rPr>
        <w:t xml:space="preserve"> </w:t>
      </w:r>
      <w:r w:rsidR="00CE2106" w:rsidRPr="005B03CE">
        <w:rPr>
          <w:noProof/>
        </w:rPr>
        <w:t xml:space="preserve">and </w:t>
      </w:r>
      <w:r w:rsidR="00716926" w:rsidRPr="005B03CE">
        <w:rPr>
          <w:noProof/>
        </w:rPr>
        <w:t xml:space="preserve">to information that a Union institution, body or agency has </w:t>
      </w:r>
      <w:r w:rsidR="00304312" w:rsidRPr="005B03CE">
        <w:rPr>
          <w:noProof/>
        </w:rPr>
        <w:t xml:space="preserve">received </w:t>
      </w:r>
      <w:r w:rsidR="00724264" w:rsidRPr="005B03CE">
        <w:rPr>
          <w:noProof/>
        </w:rPr>
        <w:t>f</w:t>
      </w:r>
      <w:r w:rsidR="00304312" w:rsidRPr="005B03CE">
        <w:rPr>
          <w:noProof/>
        </w:rPr>
        <w:t xml:space="preserve">rom </w:t>
      </w:r>
      <w:r w:rsidR="00716926" w:rsidRPr="005B03CE">
        <w:rPr>
          <w:noProof/>
        </w:rPr>
        <w:t xml:space="preserve">a </w:t>
      </w:r>
      <w:r w:rsidR="00304312" w:rsidRPr="005B03CE">
        <w:rPr>
          <w:noProof/>
        </w:rPr>
        <w:t>M</w:t>
      </w:r>
      <w:r w:rsidR="00724264" w:rsidRPr="005B03CE">
        <w:rPr>
          <w:noProof/>
        </w:rPr>
        <w:t xml:space="preserve">ember </w:t>
      </w:r>
      <w:r w:rsidR="00304312" w:rsidRPr="005B03CE">
        <w:rPr>
          <w:noProof/>
        </w:rPr>
        <w:t>S</w:t>
      </w:r>
      <w:r w:rsidR="00724264" w:rsidRPr="005B03CE">
        <w:rPr>
          <w:noProof/>
        </w:rPr>
        <w:t xml:space="preserve">tate </w:t>
      </w:r>
      <w:r w:rsidR="002E716A" w:rsidRPr="005B03CE">
        <w:rPr>
          <w:noProof/>
        </w:rPr>
        <w:t>S</w:t>
      </w:r>
      <w:r w:rsidR="00304312" w:rsidRPr="005B03CE">
        <w:rPr>
          <w:noProof/>
        </w:rPr>
        <w:t>ecurity</w:t>
      </w:r>
      <w:r w:rsidR="002E716A" w:rsidRPr="005B03CE">
        <w:rPr>
          <w:noProof/>
        </w:rPr>
        <w:t xml:space="preserve"> or Intelligence Service</w:t>
      </w:r>
      <w:r w:rsidR="00304312" w:rsidRPr="005B03CE">
        <w:rPr>
          <w:noProof/>
        </w:rPr>
        <w:t xml:space="preserve"> </w:t>
      </w:r>
      <w:r w:rsidR="004C2861" w:rsidRPr="005B03CE">
        <w:rPr>
          <w:noProof/>
        </w:rPr>
        <w:t xml:space="preserve">or </w:t>
      </w:r>
      <w:r w:rsidR="00304312" w:rsidRPr="005B03CE">
        <w:rPr>
          <w:noProof/>
        </w:rPr>
        <w:t>law enforcement agenc</w:t>
      </w:r>
      <w:r w:rsidR="00716926" w:rsidRPr="005B03CE">
        <w:rPr>
          <w:noProof/>
        </w:rPr>
        <w:t xml:space="preserve">y </w:t>
      </w:r>
      <w:r w:rsidR="00CE2106" w:rsidRPr="005B03CE">
        <w:rPr>
          <w:noProof/>
        </w:rPr>
        <w:t>under the explicit condition that it will not be shared with CERT-EU</w:t>
      </w:r>
      <w:r w:rsidR="00712689" w:rsidRPr="005B03CE">
        <w:rPr>
          <w:noProof/>
        </w:rPr>
        <w:t>.</w:t>
      </w:r>
    </w:p>
    <w:p w:rsidR="005C04EA" w:rsidRPr="005B03CE" w:rsidRDefault="005C04EA" w:rsidP="005C04EA">
      <w:pPr>
        <w:pStyle w:val="Titrearticle"/>
        <w:rPr>
          <w:b/>
          <w:noProof/>
          <w:szCs w:val="24"/>
        </w:rPr>
      </w:pPr>
      <w:r w:rsidRPr="005B03CE">
        <w:rPr>
          <w:noProof/>
          <w:szCs w:val="24"/>
        </w:rPr>
        <w:t>Article 20</w:t>
      </w:r>
      <w:r w:rsidRPr="005B03CE">
        <w:rPr>
          <w:noProof/>
          <w:szCs w:val="24"/>
        </w:rPr>
        <w:br/>
      </w:r>
      <w:r w:rsidRPr="005B03CE">
        <w:rPr>
          <w:b/>
          <w:noProof/>
          <w:szCs w:val="24"/>
        </w:rPr>
        <w:t>Notification obligations</w:t>
      </w:r>
    </w:p>
    <w:p w:rsidR="00B61828" w:rsidRPr="005B03CE" w:rsidRDefault="004A06D6" w:rsidP="004A06D6">
      <w:pPr>
        <w:pStyle w:val="ManualNumPar1"/>
        <w:rPr>
          <w:noProof/>
        </w:rPr>
      </w:pPr>
      <w:r w:rsidRPr="004A06D6">
        <w:t>1.</w:t>
      </w:r>
      <w:r w:rsidRPr="004A06D6">
        <w:tab/>
      </w:r>
      <w:r w:rsidR="005C04EA" w:rsidRPr="005B03CE">
        <w:rPr>
          <w:noProof/>
        </w:rPr>
        <w:t xml:space="preserve">All </w:t>
      </w:r>
      <w:r w:rsidR="00B07028" w:rsidRPr="005B03CE">
        <w:rPr>
          <w:noProof/>
        </w:rPr>
        <w:t xml:space="preserve">Union </w:t>
      </w:r>
      <w:r w:rsidR="00DB116F" w:rsidRPr="005B03CE">
        <w:rPr>
          <w:noProof/>
        </w:rPr>
        <w:t>institutions, bodies and agencies</w:t>
      </w:r>
      <w:r w:rsidR="005C04EA" w:rsidRPr="005B03CE">
        <w:rPr>
          <w:noProof/>
        </w:rPr>
        <w:t xml:space="preserve"> shall </w:t>
      </w:r>
      <w:r w:rsidR="0090324C" w:rsidRPr="005B03CE">
        <w:rPr>
          <w:noProof/>
        </w:rPr>
        <w:t xml:space="preserve">make an initial notification to </w:t>
      </w:r>
      <w:r w:rsidR="005C04EA" w:rsidRPr="005B03CE">
        <w:rPr>
          <w:noProof/>
        </w:rPr>
        <w:t>CERT-EU of significant cyber threats, significant vulnerabilities and significant incidents without undue delay and in any event no later than 24 hours after becoming aware of them.</w:t>
      </w:r>
    </w:p>
    <w:p w:rsidR="00054648" w:rsidRPr="005B03CE" w:rsidRDefault="00054648" w:rsidP="00054648">
      <w:pPr>
        <w:pStyle w:val="Text1"/>
        <w:rPr>
          <w:noProof/>
          <w:szCs w:val="24"/>
        </w:rPr>
      </w:pPr>
      <w:r w:rsidRPr="005B03CE">
        <w:rPr>
          <w:noProof/>
          <w:szCs w:val="24"/>
        </w:rPr>
        <w:t xml:space="preserve">In duly justified cases and in agreement with CERT-EU, the </w:t>
      </w:r>
      <w:r w:rsidR="00CC2EFA" w:rsidRPr="005B03CE">
        <w:rPr>
          <w:noProof/>
          <w:szCs w:val="24"/>
        </w:rPr>
        <w:t xml:space="preserve">Union </w:t>
      </w:r>
      <w:r w:rsidR="00962D0F" w:rsidRPr="005B03CE">
        <w:rPr>
          <w:noProof/>
          <w:szCs w:val="24"/>
        </w:rPr>
        <w:t>institution, body or agency</w:t>
      </w:r>
      <w:r w:rsidR="00CC2EFA" w:rsidRPr="005B03CE">
        <w:rPr>
          <w:noProof/>
          <w:szCs w:val="24"/>
        </w:rPr>
        <w:t xml:space="preserve"> </w:t>
      </w:r>
      <w:r w:rsidRPr="005B03CE">
        <w:rPr>
          <w:noProof/>
          <w:szCs w:val="24"/>
        </w:rPr>
        <w:t>concerned can deviate from the deadline laid down in the previous paragraph.</w:t>
      </w:r>
    </w:p>
    <w:p w:rsidR="005C04EA" w:rsidRPr="005B03CE" w:rsidRDefault="004A06D6" w:rsidP="004A06D6">
      <w:pPr>
        <w:pStyle w:val="ManualNumPar1"/>
        <w:rPr>
          <w:noProof/>
        </w:rPr>
      </w:pPr>
      <w:r w:rsidRPr="004A06D6">
        <w:t>2.</w:t>
      </w:r>
      <w:r w:rsidRPr="004A06D6">
        <w:tab/>
      </w:r>
      <w:r w:rsidR="00B61828" w:rsidRPr="005B03CE">
        <w:rPr>
          <w:noProof/>
        </w:rPr>
        <w:t xml:space="preserve">The Union institutions, bodies and agencies shall further notify to CERT-EU without undue delay </w:t>
      </w:r>
      <w:r w:rsidR="005C04EA" w:rsidRPr="005B03CE">
        <w:rPr>
          <w:noProof/>
        </w:rPr>
        <w:t xml:space="preserve">appropriate technical details of cyber threats, vulnerabilities and incidents that enable </w:t>
      </w:r>
      <w:r w:rsidR="00712689" w:rsidRPr="005B03CE">
        <w:rPr>
          <w:noProof/>
          <w:szCs w:val="24"/>
        </w:rPr>
        <w:t>detection, incident response or mitigating measures</w:t>
      </w:r>
      <w:r w:rsidR="005C04EA" w:rsidRPr="005B03CE">
        <w:rPr>
          <w:noProof/>
        </w:rPr>
        <w:t xml:space="preserve">. </w:t>
      </w:r>
      <w:r w:rsidR="00B61828" w:rsidRPr="005B03CE">
        <w:rPr>
          <w:noProof/>
        </w:rPr>
        <w:t xml:space="preserve">The </w:t>
      </w:r>
      <w:r w:rsidR="005C04EA" w:rsidRPr="005B03CE">
        <w:rPr>
          <w:noProof/>
        </w:rPr>
        <w:t>notification shall include if available:</w:t>
      </w:r>
    </w:p>
    <w:p w:rsidR="005C04EA" w:rsidRPr="005B03CE" w:rsidRDefault="004A06D6" w:rsidP="004A06D6">
      <w:pPr>
        <w:pStyle w:val="Point1"/>
        <w:rPr>
          <w:noProof/>
        </w:rPr>
      </w:pPr>
      <w:r w:rsidRPr="004A06D6">
        <w:t>(a)</w:t>
      </w:r>
      <w:r w:rsidRPr="004A06D6">
        <w:tab/>
      </w:r>
      <w:r w:rsidR="005C04EA" w:rsidRPr="005B03CE">
        <w:rPr>
          <w:noProof/>
        </w:rPr>
        <w:t>relevant indicators of compromise;</w:t>
      </w:r>
    </w:p>
    <w:p w:rsidR="005C04EA" w:rsidRPr="005B03CE" w:rsidRDefault="004A06D6" w:rsidP="004A06D6">
      <w:pPr>
        <w:pStyle w:val="Point1"/>
        <w:rPr>
          <w:noProof/>
        </w:rPr>
      </w:pPr>
      <w:r w:rsidRPr="004A06D6">
        <w:t>(b)</w:t>
      </w:r>
      <w:r w:rsidRPr="004A06D6">
        <w:tab/>
      </w:r>
      <w:r w:rsidR="005C04EA" w:rsidRPr="005B03CE">
        <w:rPr>
          <w:noProof/>
        </w:rPr>
        <w:t>relevant detection mechanisms;</w:t>
      </w:r>
    </w:p>
    <w:p w:rsidR="005C04EA" w:rsidRPr="005B03CE" w:rsidRDefault="004A06D6" w:rsidP="004A06D6">
      <w:pPr>
        <w:pStyle w:val="Point1"/>
        <w:rPr>
          <w:noProof/>
        </w:rPr>
      </w:pPr>
      <w:r w:rsidRPr="004A06D6">
        <w:t>(c)</w:t>
      </w:r>
      <w:r w:rsidRPr="004A06D6">
        <w:tab/>
      </w:r>
      <w:r w:rsidR="005C04EA" w:rsidRPr="005B03CE">
        <w:rPr>
          <w:noProof/>
        </w:rPr>
        <w:t xml:space="preserve">potential impact; </w:t>
      </w:r>
    </w:p>
    <w:p w:rsidR="005C04EA" w:rsidRPr="005B03CE" w:rsidRDefault="004A06D6" w:rsidP="004A06D6">
      <w:pPr>
        <w:pStyle w:val="Point1"/>
        <w:rPr>
          <w:noProof/>
        </w:rPr>
      </w:pPr>
      <w:r w:rsidRPr="004A06D6">
        <w:t>(d)</w:t>
      </w:r>
      <w:r w:rsidRPr="004A06D6">
        <w:tab/>
      </w:r>
      <w:r w:rsidR="005C04EA" w:rsidRPr="005B03CE">
        <w:rPr>
          <w:noProof/>
        </w:rPr>
        <w:t>relevant mitigating measures.</w:t>
      </w:r>
    </w:p>
    <w:p w:rsidR="00CB30CE" w:rsidRPr="005B03CE" w:rsidRDefault="004A06D6" w:rsidP="004A06D6">
      <w:pPr>
        <w:pStyle w:val="ManualNumPar1"/>
        <w:rPr>
          <w:noProof/>
        </w:rPr>
      </w:pPr>
      <w:r w:rsidRPr="004A06D6">
        <w:t>3.</w:t>
      </w:r>
      <w:r w:rsidRPr="004A06D6">
        <w:tab/>
      </w:r>
      <w:r w:rsidR="00CB30CE" w:rsidRPr="005B03CE">
        <w:rPr>
          <w:noProof/>
        </w:rPr>
        <w:t>CERT-EU shall submit to ENISA on a monthly basis a summary report including anonymised and aggregated data on significant cyber threats, significant vulnerabilities and significant incidents notified in accordance with para</w:t>
      </w:r>
      <w:r w:rsidR="00712689" w:rsidRPr="005B03CE">
        <w:rPr>
          <w:noProof/>
        </w:rPr>
        <w:t>graph</w:t>
      </w:r>
      <w:r w:rsidR="00CB30CE" w:rsidRPr="005B03CE">
        <w:rPr>
          <w:noProof/>
        </w:rPr>
        <w:t xml:space="preserve"> 1.</w:t>
      </w:r>
    </w:p>
    <w:p w:rsidR="00CE0497" w:rsidRPr="005B03CE" w:rsidRDefault="004A06D6" w:rsidP="004A06D6">
      <w:pPr>
        <w:pStyle w:val="ManualNumPar1"/>
        <w:rPr>
          <w:noProof/>
        </w:rPr>
      </w:pPr>
      <w:r w:rsidRPr="004A06D6">
        <w:t>4.</w:t>
      </w:r>
      <w:r w:rsidRPr="004A06D6">
        <w:tab/>
      </w:r>
      <w:r w:rsidR="005A0862" w:rsidRPr="005B03CE">
        <w:rPr>
          <w:noProof/>
        </w:rPr>
        <w:t>The IICB</w:t>
      </w:r>
      <w:r w:rsidR="005C04EA" w:rsidRPr="005B03CE">
        <w:rPr>
          <w:noProof/>
        </w:rPr>
        <w:t xml:space="preserve"> may issue guidance documents or recommendations concerning the modalities and content of the notification. CERT-EU shall disseminate the </w:t>
      </w:r>
      <w:r w:rsidR="00977920" w:rsidRPr="005B03CE">
        <w:rPr>
          <w:noProof/>
        </w:rPr>
        <w:t xml:space="preserve">appropriate </w:t>
      </w:r>
      <w:r w:rsidR="005C04EA" w:rsidRPr="005B03CE">
        <w:rPr>
          <w:noProof/>
        </w:rPr>
        <w:t xml:space="preserve">technical details to </w:t>
      </w:r>
      <w:r w:rsidR="00712689" w:rsidRPr="005B03CE">
        <w:rPr>
          <w:noProof/>
          <w:szCs w:val="24"/>
        </w:rPr>
        <w:t xml:space="preserve">enable proactive detection, incident response or mitigating measures </w:t>
      </w:r>
      <w:r w:rsidR="005C04EA" w:rsidRPr="005B03CE">
        <w:rPr>
          <w:noProof/>
        </w:rPr>
        <w:t xml:space="preserve">by </w:t>
      </w:r>
      <w:r w:rsidR="00B07028" w:rsidRPr="005B03CE">
        <w:rPr>
          <w:noProof/>
        </w:rPr>
        <w:t xml:space="preserve">Union </w:t>
      </w:r>
      <w:r w:rsidR="00DB116F" w:rsidRPr="005B03CE">
        <w:rPr>
          <w:noProof/>
        </w:rPr>
        <w:t>institutions, bodies and agencies</w:t>
      </w:r>
      <w:r w:rsidR="005C04EA" w:rsidRPr="005B03CE">
        <w:rPr>
          <w:noProof/>
        </w:rPr>
        <w:t>.</w:t>
      </w:r>
    </w:p>
    <w:p w:rsidR="00715100" w:rsidRPr="005B03CE" w:rsidRDefault="004A06D6" w:rsidP="004A06D6">
      <w:pPr>
        <w:pStyle w:val="ManualNumPar1"/>
        <w:rPr>
          <w:noProof/>
        </w:rPr>
      </w:pPr>
      <w:r w:rsidRPr="004A06D6">
        <w:t>5.</w:t>
      </w:r>
      <w:r w:rsidRPr="004A06D6">
        <w:tab/>
      </w:r>
      <w:r w:rsidR="00715100" w:rsidRPr="005B03CE">
        <w:rPr>
          <w:noProof/>
        </w:rPr>
        <w:t xml:space="preserve">The notification obligations </w:t>
      </w:r>
      <w:r w:rsidR="00B61828" w:rsidRPr="005B03CE">
        <w:rPr>
          <w:noProof/>
        </w:rPr>
        <w:t xml:space="preserve">shall </w:t>
      </w:r>
      <w:r w:rsidR="00715100" w:rsidRPr="005B03CE">
        <w:rPr>
          <w:noProof/>
        </w:rPr>
        <w:t>not extend to EUCI</w:t>
      </w:r>
      <w:r w:rsidR="00304312" w:rsidRPr="005B03CE">
        <w:rPr>
          <w:noProof/>
        </w:rPr>
        <w:t xml:space="preserve"> </w:t>
      </w:r>
      <w:r w:rsidR="00147D66" w:rsidRPr="005B03CE">
        <w:rPr>
          <w:noProof/>
        </w:rPr>
        <w:t xml:space="preserve">and </w:t>
      </w:r>
      <w:r w:rsidR="004C2861" w:rsidRPr="005B03CE">
        <w:rPr>
          <w:noProof/>
        </w:rPr>
        <w:t xml:space="preserve">to information that a Union institution, body or agency has </w:t>
      </w:r>
      <w:r w:rsidR="00304312" w:rsidRPr="005B03CE">
        <w:rPr>
          <w:noProof/>
        </w:rPr>
        <w:t xml:space="preserve">received from </w:t>
      </w:r>
      <w:r w:rsidR="004C2861" w:rsidRPr="005B03CE">
        <w:rPr>
          <w:noProof/>
        </w:rPr>
        <w:t xml:space="preserve">a </w:t>
      </w:r>
      <w:r w:rsidR="00304312" w:rsidRPr="005B03CE">
        <w:rPr>
          <w:noProof/>
        </w:rPr>
        <w:t>M</w:t>
      </w:r>
      <w:r w:rsidR="00724264" w:rsidRPr="005B03CE">
        <w:rPr>
          <w:noProof/>
        </w:rPr>
        <w:t xml:space="preserve">ember </w:t>
      </w:r>
      <w:r w:rsidR="00304312" w:rsidRPr="005B03CE">
        <w:rPr>
          <w:noProof/>
        </w:rPr>
        <w:t>S</w:t>
      </w:r>
      <w:r w:rsidR="00724264" w:rsidRPr="005B03CE">
        <w:rPr>
          <w:noProof/>
        </w:rPr>
        <w:t>tate</w:t>
      </w:r>
      <w:r w:rsidR="00304312" w:rsidRPr="005B03CE">
        <w:rPr>
          <w:noProof/>
        </w:rPr>
        <w:t xml:space="preserve"> </w:t>
      </w:r>
      <w:r w:rsidR="002E716A" w:rsidRPr="005B03CE">
        <w:rPr>
          <w:noProof/>
        </w:rPr>
        <w:t>S</w:t>
      </w:r>
      <w:r w:rsidR="00304312" w:rsidRPr="005B03CE">
        <w:rPr>
          <w:noProof/>
        </w:rPr>
        <w:t>ecurity</w:t>
      </w:r>
      <w:r w:rsidR="002E716A" w:rsidRPr="005B03CE">
        <w:rPr>
          <w:noProof/>
        </w:rPr>
        <w:t xml:space="preserve"> or Intelligence Service</w:t>
      </w:r>
      <w:r w:rsidR="00304312" w:rsidRPr="005B03CE">
        <w:rPr>
          <w:noProof/>
        </w:rPr>
        <w:t xml:space="preserve"> </w:t>
      </w:r>
      <w:r w:rsidR="004C2861" w:rsidRPr="005B03CE">
        <w:rPr>
          <w:noProof/>
        </w:rPr>
        <w:t xml:space="preserve">or </w:t>
      </w:r>
      <w:r w:rsidR="00304312" w:rsidRPr="005B03CE">
        <w:rPr>
          <w:noProof/>
        </w:rPr>
        <w:t xml:space="preserve">law enforcement </w:t>
      </w:r>
      <w:r w:rsidR="004C2861" w:rsidRPr="005B03CE">
        <w:rPr>
          <w:noProof/>
        </w:rPr>
        <w:t xml:space="preserve">agency </w:t>
      </w:r>
      <w:r w:rsidR="00147D66" w:rsidRPr="005B03CE">
        <w:rPr>
          <w:noProof/>
        </w:rPr>
        <w:t>under the explicit condition that it will not be shared with CERT-EU</w:t>
      </w:r>
      <w:r w:rsidR="00715100" w:rsidRPr="005B03CE">
        <w:rPr>
          <w:noProof/>
        </w:rPr>
        <w:t>.</w:t>
      </w:r>
    </w:p>
    <w:p w:rsidR="005C04EA" w:rsidRPr="005B03CE" w:rsidRDefault="005C04EA" w:rsidP="005C04EA">
      <w:pPr>
        <w:pStyle w:val="Titrearticle"/>
        <w:rPr>
          <w:b/>
          <w:noProof/>
          <w:szCs w:val="24"/>
        </w:rPr>
      </w:pPr>
      <w:r w:rsidRPr="005B03CE">
        <w:rPr>
          <w:noProof/>
          <w:szCs w:val="24"/>
        </w:rPr>
        <w:t>Article 21</w:t>
      </w:r>
      <w:r w:rsidRPr="005B03CE">
        <w:rPr>
          <w:noProof/>
          <w:szCs w:val="24"/>
        </w:rPr>
        <w:br/>
      </w:r>
      <w:r w:rsidRPr="005B03CE">
        <w:rPr>
          <w:b/>
          <w:noProof/>
          <w:szCs w:val="24"/>
        </w:rPr>
        <w:t>Incident response coordination and cooperation on significant incidents</w:t>
      </w:r>
    </w:p>
    <w:p w:rsidR="005C04EA" w:rsidRPr="005B03CE" w:rsidRDefault="004A06D6" w:rsidP="004A06D6">
      <w:pPr>
        <w:pStyle w:val="ManualNumPar1"/>
        <w:rPr>
          <w:noProof/>
        </w:rPr>
      </w:pPr>
      <w:r w:rsidRPr="004A06D6">
        <w:t>1.</w:t>
      </w:r>
      <w:r w:rsidRPr="004A06D6">
        <w:tab/>
      </w:r>
      <w:r w:rsidR="005C04EA" w:rsidRPr="005B03CE">
        <w:rPr>
          <w:noProof/>
        </w:rPr>
        <w:t>In acting as a cybersecurity information exchange and incident response coordination hub, CERT-EU shall facilitate information exchange with regards to cyber threats, vulnerabilities and incidents among:</w:t>
      </w:r>
    </w:p>
    <w:p w:rsidR="005C04EA" w:rsidRPr="005B03CE" w:rsidRDefault="004A06D6" w:rsidP="004A06D6">
      <w:pPr>
        <w:pStyle w:val="Point1"/>
        <w:rPr>
          <w:noProof/>
        </w:rPr>
      </w:pPr>
      <w:r w:rsidRPr="004A06D6">
        <w:t>(a)</w:t>
      </w:r>
      <w:r w:rsidRPr="004A06D6">
        <w:tab/>
      </w:r>
      <w:r w:rsidR="00B07028" w:rsidRPr="005B03CE">
        <w:rPr>
          <w:noProof/>
        </w:rPr>
        <w:t xml:space="preserve">Union </w:t>
      </w:r>
      <w:r w:rsidR="00DB116F" w:rsidRPr="005B03CE">
        <w:rPr>
          <w:noProof/>
        </w:rPr>
        <w:t>institutions, bodies and agencies</w:t>
      </w:r>
      <w:r w:rsidR="00B61828" w:rsidRPr="005B03CE">
        <w:rPr>
          <w:noProof/>
        </w:rPr>
        <w:t>;</w:t>
      </w:r>
      <w:r w:rsidR="005C04EA" w:rsidRPr="005B03CE">
        <w:rPr>
          <w:noProof/>
        </w:rPr>
        <w:t xml:space="preserve"> </w:t>
      </w:r>
    </w:p>
    <w:p w:rsidR="005C04EA" w:rsidRPr="005B03CE" w:rsidRDefault="004A06D6" w:rsidP="004A06D6">
      <w:pPr>
        <w:pStyle w:val="Point1"/>
        <w:rPr>
          <w:noProof/>
        </w:rPr>
      </w:pPr>
      <w:r w:rsidRPr="004A06D6">
        <w:t>(b)</w:t>
      </w:r>
      <w:r w:rsidRPr="004A06D6">
        <w:tab/>
      </w:r>
      <w:r w:rsidR="005C04EA" w:rsidRPr="005B03CE">
        <w:rPr>
          <w:noProof/>
        </w:rPr>
        <w:t>the counterparts referred to in Articles 16 and 17.</w:t>
      </w:r>
    </w:p>
    <w:p w:rsidR="005C04EA" w:rsidRPr="005B03CE" w:rsidRDefault="004A06D6" w:rsidP="004A06D6">
      <w:pPr>
        <w:pStyle w:val="ManualNumPar1"/>
        <w:rPr>
          <w:noProof/>
        </w:rPr>
      </w:pPr>
      <w:r w:rsidRPr="004A06D6">
        <w:t>2.</w:t>
      </w:r>
      <w:r w:rsidRPr="004A06D6">
        <w:tab/>
      </w:r>
      <w:r w:rsidR="005C04EA" w:rsidRPr="005B03CE">
        <w:rPr>
          <w:noProof/>
        </w:rPr>
        <w:t xml:space="preserve">CERT-EU shall facilitate coordination among </w:t>
      </w:r>
      <w:r w:rsidR="00B07028" w:rsidRPr="005B03CE">
        <w:rPr>
          <w:noProof/>
        </w:rPr>
        <w:t xml:space="preserve">Union </w:t>
      </w:r>
      <w:r w:rsidR="00DB116F" w:rsidRPr="005B03CE">
        <w:rPr>
          <w:noProof/>
        </w:rPr>
        <w:t>institutions, bodies and agencies</w:t>
      </w:r>
      <w:r w:rsidR="005C04EA" w:rsidRPr="005B03CE">
        <w:rPr>
          <w:noProof/>
        </w:rPr>
        <w:t xml:space="preserve"> on incident response</w:t>
      </w:r>
      <w:r w:rsidR="00A31C54" w:rsidRPr="005B03CE">
        <w:rPr>
          <w:noProof/>
        </w:rPr>
        <w:t>,</w:t>
      </w:r>
      <w:r w:rsidR="005C04EA" w:rsidRPr="005B03CE">
        <w:rPr>
          <w:noProof/>
        </w:rPr>
        <w:t xml:space="preserve"> includ</w:t>
      </w:r>
      <w:r w:rsidR="00A31C54" w:rsidRPr="005B03CE">
        <w:rPr>
          <w:noProof/>
        </w:rPr>
        <w:t>ing</w:t>
      </w:r>
      <w:r w:rsidR="005C04EA" w:rsidRPr="005B03CE">
        <w:rPr>
          <w:noProof/>
        </w:rPr>
        <w:t>:</w:t>
      </w:r>
    </w:p>
    <w:p w:rsidR="005C04EA" w:rsidRPr="005B03CE" w:rsidRDefault="004A06D6" w:rsidP="004A06D6">
      <w:pPr>
        <w:pStyle w:val="Point1"/>
        <w:rPr>
          <w:noProof/>
        </w:rPr>
      </w:pPr>
      <w:r w:rsidRPr="004A06D6">
        <w:t>(a)</w:t>
      </w:r>
      <w:r w:rsidRPr="004A06D6">
        <w:tab/>
      </w:r>
      <w:r w:rsidR="008E18FF" w:rsidRPr="005B03CE">
        <w:rPr>
          <w:noProof/>
        </w:rPr>
        <w:t xml:space="preserve">contribution to </w:t>
      </w:r>
      <w:r w:rsidR="005C04EA" w:rsidRPr="005B03CE">
        <w:rPr>
          <w:noProof/>
        </w:rPr>
        <w:t>consistent external communication;</w:t>
      </w:r>
    </w:p>
    <w:p w:rsidR="005C04EA" w:rsidRPr="005B03CE" w:rsidRDefault="004A06D6" w:rsidP="004A06D6">
      <w:pPr>
        <w:pStyle w:val="Point1"/>
        <w:rPr>
          <w:noProof/>
        </w:rPr>
      </w:pPr>
      <w:r w:rsidRPr="004A06D6">
        <w:t>(b)</w:t>
      </w:r>
      <w:r w:rsidRPr="004A06D6">
        <w:tab/>
      </w:r>
      <w:r w:rsidR="005C04EA" w:rsidRPr="005B03CE">
        <w:rPr>
          <w:noProof/>
        </w:rPr>
        <w:t>mutual assistance;</w:t>
      </w:r>
    </w:p>
    <w:p w:rsidR="005C04EA" w:rsidRPr="005B03CE" w:rsidRDefault="004A06D6" w:rsidP="004A06D6">
      <w:pPr>
        <w:pStyle w:val="Point1"/>
        <w:rPr>
          <w:noProof/>
        </w:rPr>
      </w:pPr>
      <w:r w:rsidRPr="004A06D6">
        <w:t>(c)</w:t>
      </w:r>
      <w:r w:rsidRPr="004A06D6">
        <w:tab/>
      </w:r>
      <w:r w:rsidR="005C04EA" w:rsidRPr="005B03CE">
        <w:rPr>
          <w:noProof/>
        </w:rPr>
        <w:t xml:space="preserve">optimal use of operational resources; </w:t>
      </w:r>
    </w:p>
    <w:p w:rsidR="005C04EA" w:rsidRPr="005B03CE" w:rsidRDefault="004A06D6" w:rsidP="004A06D6">
      <w:pPr>
        <w:pStyle w:val="Point1"/>
        <w:rPr>
          <w:noProof/>
        </w:rPr>
      </w:pPr>
      <w:r w:rsidRPr="004A06D6">
        <w:t>(d)</w:t>
      </w:r>
      <w:r w:rsidRPr="004A06D6">
        <w:tab/>
      </w:r>
      <w:r w:rsidR="005C04EA" w:rsidRPr="005B03CE">
        <w:rPr>
          <w:noProof/>
        </w:rPr>
        <w:t>coordination with other crisis response mechanisms at Union level.</w:t>
      </w:r>
    </w:p>
    <w:p w:rsidR="005C04EA" w:rsidRPr="005B03CE" w:rsidRDefault="004A06D6" w:rsidP="004A06D6">
      <w:pPr>
        <w:pStyle w:val="ManualNumPar1"/>
        <w:rPr>
          <w:noProof/>
        </w:rPr>
      </w:pPr>
      <w:r w:rsidRPr="004A06D6">
        <w:t>3.</w:t>
      </w:r>
      <w:r w:rsidRPr="004A06D6">
        <w:tab/>
      </w:r>
      <w:r w:rsidR="005C04EA" w:rsidRPr="005B03CE">
        <w:rPr>
          <w:noProof/>
        </w:rPr>
        <w:t xml:space="preserve">CERT-EU shall support </w:t>
      </w:r>
      <w:r w:rsidR="00FF45F6" w:rsidRPr="005B03CE">
        <w:rPr>
          <w:noProof/>
        </w:rPr>
        <w:t>Union institutions, bodies and agencies</w:t>
      </w:r>
      <w:r w:rsidR="005C04EA" w:rsidRPr="005B03CE">
        <w:rPr>
          <w:noProof/>
        </w:rPr>
        <w:t xml:space="preserve"> regarding situational awareness of cyber threats,</w:t>
      </w:r>
      <w:r w:rsidR="00F61C1D" w:rsidRPr="005B03CE">
        <w:rPr>
          <w:noProof/>
        </w:rPr>
        <w:t xml:space="preserve"> vulnerabilities and incidents.</w:t>
      </w:r>
    </w:p>
    <w:p w:rsidR="005C04EA" w:rsidRPr="005B03CE" w:rsidRDefault="004A06D6" w:rsidP="004A06D6">
      <w:pPr>
        <w:pStyle w:val="ManualNumPar1"/>
        <w:rPr>
          <w:noProof/>
        </w:rPr>
      </w:pPr>
      <w:r w:rsidRPr="004A06D6">
        <w:t>4.</w:t>
      </w:r>
      <w:r w:rsidRPr="004A06D6">
        <w:tab/>
      </w:r>
      <w:r w:rsidR="005A0862" w:rsidRPr="005B03CE">
        <w:rPr>
          <w:noProof/>
        </w:rPr>
        <w:t>The IICB</w:t>
      </w:r>
      <w:r w:rsidR="005C04EA" w:rsidRPr="005B03CE">
        <w:rPr>
          <w:noProof/>
        </w:rPr>
        <w:t xml:space="preserve"> shall issue guidance on incident response coordination and cooperation for significant incidents. Where the criminal nature of an incident is suspected, CERT-EU shall </w:t>
      </w:r>
      <w:r w:rsidR="00A31C54" w:rsidRPr="005B03CE">
        <w:rPr>
          <w:noProof/>
        </w:rPr>
        <w:t>a</w:t>
      </w:r>
      <w:r w:rsidR="001E39D1" w:rsidRPr="005B03CE">
        <w:rPr>
          <w:noProof/>
        </w:rPr>
        <w:t>dvis</w:t>
      </w:r>
      <w:r w:rsidR="00A31C54" w:rsidRPr="005B03CE">
        <w:rPr>
          <w:noProof/>
        </w:rPr>
        <w:t xml:space="preserve">e </w:t>
      </w:r>
      <w:r w:rsidR="005C04EA" w:rsidRPr="005B03CE">
        <w:rPr>
          <w:noProof/>
        </w:rPr>
        <w:t xml:space="preserve">on </w:t>
      </w:r>
      <w:r w:rsidR="00A31C54" w:rsidRPr="005B03CE">
        <w:rPr>
          <w:noProof/>
        </w:rPr>
        <w:t xml:space="preserve">how to </w:t>
      </w:r>
      <w:r w:rsidR="005C04EA" w:rsidRPr="005B03CE">
        <w:rPr>
          <w:noProof/>
        </w:rPr>
        <w:t>report the incident to law enforcement authorities.</w:t>
      </w:r>
    </w:p>
    <w:p w:rsidR="00F902BD" w:rsidRPr="005B03CE" w:rsidRDefault="00F902BD" w:rsidP="00F902BD">
      <w:pPr>
        <w:pStyle w:val="Titrearticle"/>
        <w:rPr>
          <w:b/>
          <w:noProof/>
          <w:szCs w:val="24"/>
        </w:rPr>
      </w:pPr>
      <w:r w:rsidRPr="005B03CE">
        <w:rPr>
          <w:noProof/>
          <w:szCs w:val="24"/>
        </w:rPr>
        <w:t>Article 22</w:t>
      </w:r>
      <w:r w:rsidRPr="005B03CE">
        <w:rPr>
          <w:noProof/>
          <w:szCs w:val="24"/>
        </w:rPr>
        <w:br/>
      </w:r>
      <w:r w:rsidRPr="005B03CE">
        <w:rPr>
          <w:b/>
          <w:noProof/>
          <w:szCs w:val="24"/>
        </w:rPr>
        <w:t>Major attack</w:t>
      </w:r>
      <w:r w:rsidR="008A1452" w:rsidRPr="005B03CE">
        <w:rPr>
          <w:b/>
          <w:noProof/>
          <w:szCs w:val="24"/>
        </w:rPr>
        <w:t>s</w:t>
      </w:r>
    </w:p>
    <w:p w:rsidR="00F902BD" w:rsidRPr="005B03CE" w:rsidRDefault="004A06D6" w:rsidP="004A06D6">
      <w:pPr>
        <w:pStyle w:val="ManualNumPar1"/>
        <w:rPr>
          <w:noProof/>
        </w:rPr>
      </w:pPr>
      <w:r w:rsidRPr="004A06D6">
        <w:t>1.</w:t>
      </w:r>
      <w:r w:rsidRPr="004A06D6">
        <w:tab/>
      </w:r>
      <w:r w:rsidR="00F902BD" w:rsidRPr="005B03CE">
        <w:rPr>
          <w:noProof/>
        </w:rPr>
        <w:t>CERT-EU shall</w:t>
      </w:r>
      <w:r w:rsidR="00CC4FF0" w:rsidRPr="005B03CE">
        <w:rPr>
          <w:noProof/>
        </w:rPr>
        <w:t xml:space="preserve"> coordinate </w:t>
      </w:r>
      <w:r w:rsidR="000F5125" w:rsidRPr="005B03CE">
        <w:rPr>
          <w:noProof/>
        </w:rPr>
        <w:t xml:space="preserve">among </w:t>
      </w:r>
      <w:r w:rsidR="00B07028" w:rsidRPr="005B03CE">
        <w:rPr>
          <w:noProof/>
        </w:rPr>
        <w:t xml:space="preserve">Union </w:t>
      </w:r>
      <w:r w:rsidR="00DB116F" w:rsidRPr="005B03CE">
        <w:rPr>
          <w:noProof/>
        </w:rPr>
        <w:t>institutions, bodies and agencies</w:t>
      </w:r>
      <w:r w:rsidR="000F5125" w:rsidRPr="005B03CE">
        <w:rPr>
          <w:noProof/>
        </w:rPr>
        <w:t xml:space="preserve"> </w:t>
      </w:r>
      <w:r w:rsidR="00CC4FF0" w:rsidRPr="005B03CE">
        <w:rPr>
          <w:noProof/>
        </w:rPr>
        <w:t>response</w:t>
      </w:r>
      <w:r w:rsidR="000F5125" w:rsidRPr="005B03CE">
        <w:rPr>
          <w:noProof/>
        </w:rPr>
        <w:t>s</w:t>
      </w:r>
      <w:r w:rsidR="00CC4FF0" w:rsidRPr="005B03CE">
        <w:rPr>
          <w:noProof/>
        </w:rPr>
        <w:t xml:space="preserve"> to major attack</w:t>
      </w:r>
      <w:r w:rsidR="000F5125" w:rsidRPr="005B03CE">
        <w:rPr>
          <w:noProof/>
        </w:rPr>
        <w:t xml:space="preserve">s. </w:t>
      </w:r>
      <w:r w:rsidR="001F49B4" w:rsidRPr="005B03CE">
        <w:rPr>
          <w:noProof/>
        </w:rPr>
        <w:t>I</w:t>
      </w:r>
      <w:r w:rsidR="000F5125" w:rsidRPr="005B03CE">
        <w:rPr>
          <w:noProof/>
        </w:rPr>
        <w:t>t shall</w:t>
      </w:r>
      <w:r w:rsidR="00F902BD" w:rsidRPr="005B03CE">
        <w:rPr>
          <w:noProof/>
        </w:rPr>
        <w:t xml:space="preserve"> maintain a</w:t>
      </w:r>
      <w:r w:rsidR="001F49B4" w:rsidRPr="005B03CE">
        <w:rPr>
          <w:noProof/>
        </w:rPr>
        <w:t xml:space="preserve">n inventory </w:t>
      </w:r>
      <w:r w:rsidR="00F902BD" w:rsidRPr="005B03CE">
        <w:rPr>
          <w:noProof/>
        </w:rPr>
        <w:t xml:space="preserve">of technical expertise </w:t>
      </w:r>
      <w:r w:rsidR="001F49B4" w:rsidRPr="005B03CE">
        <w:rPr>
          <w:noProof/>
        </w:rPr>
        <w:t>that</w:t>
      </w:r>
      <w:r w:rsidR="00F902BD" w:rsidRPr="005B03CE">
        <w:rPr>
          <w:noProof/>
        </w:rPr>
        <w:t xml:space="preserve"> would be needed for incident response in the event of </w:t>
      </w:r>
      <w:r w:rsidR="001F49B4" w:rsidRPr="005B03CE">
        <w:rPr>
          <w:noProof/>
        </w:rPr>
        <w:t>such</w:t>
      </w:r>
      <w:r w:rsidR="00F902BD" w:rsidRPr="005B03CE">
        <w:rPr>
          <w:noProof/>
        </w:rPr>
        <w:t xml:space="preserve"> attack</w:t>
      </w:r>
      <w:r w:rsidR="001F49B4" w:rsidRPr="005B03CE">
        <w:rPr>
          <w:noProof/>
        </w:rPr>
        <w:t>s</w:t>
      </w:r>
      <w:r w:rsidR="00F61C1D" w:rsidRPr="005B03CE">
        <w:rPr>
          <w:noProof/>
        </w:rPr>
        <w:t>.</w:t>
      </w:r>
    </w:p>
    <w:p w:rsidR="00F902BD" w:rsidRPr="005B03CE" w:rsidRDefault="004A06D6" w:rsidP="004A06D6">
      <w:pPr>
        <w:pStyle w:val="ManualNumPar1"/>
        <w:rPr>
          <w:noProof/>
        </w:rPr>
      </w:pPr>
      <w:r w:rsidRPr="004A06D6">
        <w:t>2.</w:t>
      </w:r>
      <w:r w:rsidRPr="004A06D6">
        <w:tab/>
      </w:r>
      <w:r w:rsidR="00F902BD" w:rsidRPr="005B03CE">
        <w:rPr>
          <w:noProof/>
        </w:rPr>
        <w:t xml:space="preserve">The </w:t>
      </w:r>
      <w:r w:rsidR="00B07028" w:rsidRPr="005B03CE">
        <w:rPr>
          <w:noProof/>
        </w:rPr>
        <w:t xml:space="preserve">Union </w:t>
      </w:r>
      <w:r w:rsidR="00DB116F" w:rsidRPr="005B03CE">
        <w:rPr>
          <w:noProof/>
        </w:rPr>
        <w:t>institutions, bodies and agencies</w:t>
      </w:r>
      <w:r w:rsidR="00F902BD" w:rsidRPr="005B03CE">
        <w:rPr>
          <w:noProof/>
        </w:rPr>
        <w:t xml:space="preserve"> shall </w:t>
      </w:r>
      <w:r w:rsidR="001F49B4" w:rsidRPr="005B03CE">
        <w:rPr>
          <w:noProof/>
        </w:rPr>
        <w:t>contribute to the inventory of technical expertise by providing</w:t>
      </w:r>
      <w:r w:rsidR="00F902BD" w:rsidRPr="005B03CE">
        <w:rPr>
          <w:noProof/>
        </w:rPr>
        <w:t xml:space="preserve"> an annually update</w:t>
      </w:r>
      <w:r w:rsidR="001F49B4" w:rsidRPr="005B03CE">
        <w:rPr>
          <w:noProof/>
        </w:rPr>
        <w:t>d</w:t>
      </w:r>
      <w:r w:rsidR="00F902BD" w:rsidRPr="005B03CE">
        <w:rPr>
          <w:noProof/>
        </w:rPr>
        <w:t xml:space="preserve"> list of experts available within their respective organisations detailing their specific</w:t>
      </w:r>
      <w:r w:rsidR="001F49B4" w:rsidRPr="005B03CE">
        <w:rPr>
          <w:noProof/>
        </w:rPr>
        <w:t xml:space="preserve"> technical</w:t>
      </w:r>
      <w:r w:rsidR="00F61C1D" w:rsidRPr="005B03CE">
        <w:rPr>
          <w:noProof/>
        </w:rPr>
        <w:t xml:space="preserve"> skills.</w:t>
      </w:r>
    </w:p>
    <w:p w:rsidR="00F902BD" w:rsidRPr="005B03CE" w:rsidRDefault="004A06D6" w:rsidP="004A06D6">
      <w:pPr>
        <w:pStyle w:val="ManualNumPar1"/>
        <w:rPr>
          <w:noProof/>
        </w:rPr>
      </w:pPr>
      <w:r w:rsidRPr="004A06D6">
        <w:t>3.</w:t>
      </w:r>
      <w:r w:rsidRPr="004A06D6">
        <w:tab/>
      </w:r>
      <w:r w:rsidR="00F902BD" w:rsidRPr="005B03CE">
        <w:rPr>
          <w:noProof/>
        </w:rPr>
        <w:t xml:space="preserve">With the approval of the concerned </w:t>
      </w:r>
      <w:r w:rsidR="00B07028" w:rsidRPr="005B03CE">
        <w:rPr>
          <w:noProof/>
        </w:rPr>
        <w:t xml:space="preserve">Union </w:t>
      </w:r>
      <w:r w:rsidR="00DB116F" w:rsidRPr="005B03CE">
        <w:rPr>
          <w:noProof/>
        </w:rPr>
        <w:t>institutions, bodies and agencies</w:t>
      </w:r>
      <w:r w:rsidR="00F902BD" w:rsidRPr="005B03CE">
        <w:rPr>
          <w:noProof/>
        </w:rPr>
        <w:t xml:space="preserve">, CERT-EU </w:t>
      </w:r>
      <w:r w:rsidR="001E39D1" w:rsidRPr="005B03CE">
        <w:rPr>
          <w:noProof/>
        </w:rPr>
        <w:t xml:space="preserve">may </w:t>
      </w:r>
      <w:r w:rsidR="00F902BD" w:rsidRPr="005B03CE">
        <w:rPr>
          <w:noProof/>
        </w:rPr>
        <w:t xml:space="preserve">also call on experts </w:t>
      </w:r>
      <w:r w:rsidR="001E39D1" w:rsidRPr="005B03CE">
        <w:rPr>
          <w:noProof/>
        </w:rPr>
        <w:t xml:space="preserve">from the list referred to in paragraph 2 </w:t>
      </w:r>
      <w:r w:rsidR="00F902BD" w:rsidRPr="005B03CE">
        <w:rPr>
          <w:noProof/>
        </w:rPr>
        <w:t xml:space="preserve">for contributing to the response to a major attack in a Member State, in line with </w:t>
      </w:r>
      <w:r w:rsidR="00D10DC8" w:rsidRPr="005B03CE">
        <w:rPr>
          <w:noProof/>
        </w:rPr>
        <w:t>the</w:t>
      </w:r>
      <w:r w:rsidR="00F902BD" w:rsidRPr="005B03CE">
        <w:rPr>
          <w:noProof/>
        </w:rPr>
        <w:t xml:space="preserve"> </w:t>
      </w:r>
      <w:r w:rsidR="00D10DC8" w:rsidRPr="005B03CE">
        <w:rPr>
          <w:noProof/>
        </w:rPr>
        <w:t xml:space="preserve">Joint Cyber Unit’s </w:t>
      </w:r>
      <w:r w:rsidR="00F902BD" w:rsidRPr="005B03CE">
        <w:rPr>
          <w:noProof/>
        </w:rPr>
        <w:t>operating procedures.</w:t>
      </w:r>
    </w:p>
    <w:p w:rsidR="003E32A6" w:rsidRPr="005B03CE" w:rsidRDefault="003E32A6" w:rsidP="009C6A61">
      <w:pPr>
        <w:pStyle w:val="ChapterTitle"/>
        <w:spacing w:before="360"/>
        <w:rPr>
          <w:i/>
          <w:noProof/>
          <w:sz w:val="24"/>
          <w:szCs w:val="24"/>
        </w:rPr>
      </w:pPr>
      <w:r w:rsidRPr="005B03CE">
        <w:rPr>
          <w:noProof/>
          <w:sz w:val="24"/>
          <w:szCs w:val="24"/>
        </w:rPr>
        <w:t>Chapter VI</w:t>
      </w:r>
      <w:r w:rsidRPr="005B03CE">
        <w:rPr>
          <w:noProof/>
          <w:sz w:val="24"/>
          <w:szCs w:val="24"/>
        </w:rPr>
        <w:br/>
        <w:t>FINAL PROVISIONS</w:t>
      </w:r>
    </w:p>
    <w:p w:rsidR="003E32A6" w:rsidRPr="005B03CE" w:rsidRDefault="003E32A6" w:rsidP="003E32A6">
      <w:pPr>
        <w:pStyle w:val="Titrearticle"/>
        <w:rPr>
          <w:b/>
          <w:noProof/>
          <w:szCs w:val="24"/>
        </w:rPr>
      </w:pPr>
      <w:r w:rsidRPr="005B03CE">
        <w:rPr>
          <w:noProof/>
          <w:szCs w:val="24"/>
        </w:rPr>
        <w:t>Article 23</w:t>
      </w:r>
      <w:r w:rsidRPr="005B03CE">
        <w:rPr>
          <w:noProof/>
          <w:szCs w:val="24"/>
        </w:rPr>
        <w:br/>
      </w:r>
      <w:r w:rsidR="003A03B5" w:rsidRPr="005B03CE">
        <w:rPr>
          <w:b/>
          <w:noProof/>
          <w:szCs w:val="24"/>
        </w:rPr>
        <w:t>Initial budgetary reallocation</w:t>
      </w:r>
    </w:p>
    <w:p w:rsidR="003E32A6" w:rsidRPr="005B03CE" w:rsidRDefault="001E39D1" w:rsidP="00DE5814">
      <w:pPr>
        <w:rPr>
          <w:noProof/>
          <w:szCs w:val="24"/>
        </w:rPr>
      </w:pPr>
      <w:r w:rsidRPr="005B03CE">
        <w:rPr>
          <w:noProof/>
          <w:szCs w:val="24"/>
        </w:rPr>
        <w:t>T</w:t>
      </w:r>
      <w:r w:rsidR="003A03B5" w:rsidRPr="005B03CE">
        <w:rPr>
          <w:noProof/>
          <w:szCs w:val="24"/>
        </w:rPr>
        <w:t xml:space="preserve">he Commission shall propose the reallocation of staff and financial resources from </w:t>
      </w:r>
      <w:r w:rsidRPr="005B03CE">
        <w:rPr>
          <w:noProof/>
          <w:szCs w:val="24"/>
        </w:rPr>
        <w:t>relevant Union institutions</w:t>
      </w:r>
      <w:r w:rsidR="00DA67B8" w:rsidRPr="005B03CE">
        <w:rPr>
          <w:noProof/>
          <w:szCs w:val="24"/>
        </w:rPr>
        <w:t>, bodies and agencies</w:t>
      </w:r>
      <w:r w:rsidRPr="005B03CE">
        <w:rPr>
          <w:noProof/>
          <w:szCs w:val="24"/>
        </w:rPr>
        <w:t xml:space="preserve"> </w:t>
      </w:r>
      <w:r w:rsidR="003A03B5" w:rsidRPr="005B03CE">
        <w:rPr>
          <w:noProof/>
          <w:szCs w:val="24"/>
        </w:rPr>
        <w:t xml:space="preserve">to the Commission budget. The reallocation </w:t>
      </w:r>
      <w:r w:rsidRPr="005B03CE">
        <w:rPr>
          <w:noProof/>
          <w:szCs w:val="24"/>
        </w:rPr>
        <w:t xml:space="preserve">shall </w:t>
      </w:r>
      <w:r w:rsidR="003A03B5" w:rsidRPr="005B03CE">
        <w:rPr>
          <w:noProof/>
          <w:szCs w:val="24"/>
        </w:rPr>
        <w:t xml:space="preserve">be effective at the same time </w:t>
      </w:r>
      <w:r w:rsidR="00115A32" w:rsidRPr="005B03CE">
        <w:rPr>
          <w:noProof/>
          <w:szCs w:val="24"/>
        </w:rPr>
        <w:t>as</w:t>
      </w:r>
      <w:r w:rsidR="003A03B5" w:rsidRPr="005B03CE">
        <w:rPr>
          <w:noProof/>
          <w:szCs w:val="24"/>
        </w:rPr>
        <w:t xml:space="preserve"> the first budget adopted following the entry into force of this Regulation.</w:t>
      </w:r>
    </w:p>
    <w:p w:rsidR="00233D58" w:rsidRPr="005B03CE" w:rsidRDefault="00233D58" w:rsidP="00233D58">
      <w:pPr>
        <w:pStyle w:val="Titrearticle"/>
        <w:rPr>
          <w:b/>
          <w:noProof/>
          <w:szCs w:val="24"/>
        </w:rPr>
      </w:pPr>
      <w:r w:rsidRPr="005B03CE">
        <w:rPr>
          <w:noProof/>
          <w:szCs w:val="24"/>
        </w:rPr>
        <w:t>Article 24</w:t>
      </w:r>
      <w:r w:rsidRPr="005B03CE">
        <w:rPr>
          <w:noProof/>
          <w:szCs w:val="24"/>
        </w:rPr>
        <w:br/>
      </w:r>
      <w:r w:rsidRPr="005B03CE">
        <w:rPr>
          <w:b/>
          <w:noProof/>
          <w:szCs w:val="24"/>
        </w:rPr>
        <w:t>Review</w:t>
      </w:r>
    </w:p>
    <w:p w:rsidR="00B200F3" w:rsidRPr="005B03CE" w:rsidRDefault="004A06D6" w:rsidP="004A06D6">
      <w:pPr>
        <w:pStyle w:val="ManualNumPar1"/>
        <w:rPr>
          <w:noProof/>
        </w:rPr>
      </w:pPr>
      <w:bookmarkStart w:id="4" w:name="_Hlk96689796"/>
      <w:r w:rsidRPr="004A06D6">
        <w:t>1.</w:t>
      </w:r>
      <w:r w:rsidRPr="004A06D6">
        <w:tab/>
      </w:r>
      <w:r w:rsidR="00233D58" w:rsidRPr="005B03CE">
        <w:rPr>
          <w:noProof/>
        </w:rPr>
        <w:t xml:space="preserve">The IICB, with the assistance of CERT-EU, shall periodically </w:t>
      </w:r>
      <w:r w:rsidR="00B200F3" w:rsidRPr="005B03CE">
        <w:rPr>
          <w:noProof/>
        </w:rPr>
        <w:t>report to the Commission on</w:t>
      </w:r>
      <w:r w:rsidR="001F2C30" w:rsidRPr="005B03CE">
        <w:rPr>
          <w:noProof/>
        </w:rPr>
        <w:t xml:space="preserve"> </w:t>
      </w:r>
      <w:r w:rsidR="00233D58" w:rsidRPr="005B03CE">
        <w:rPr>
          <w:noProof/>
        </w:rPr>
        <w:t xml:space="preserve">the </w:t>
      </w:r>
      <w:r w:rsidR="008E18FF" w:rsidRPr="005B03CE">
        <w:rPr>
          <w:noProof/>
        </w:rPr>
        <w:t xml:space="preserve">implementation </w:t>
      </w:r>
      <w:r w:rsidR="00233D58" w:rsidRPr="005B03CE">
        <w:rPr>
          <w:noProof/>
        </w:rPr>
        <w:t>of this Regulation</w:t>
      </w:r>
      <w:r w:rsidR="001F2C30" w:rsidRPr="005B03CE">
        <w:rPr>
          <w:noProof/>
        </w:rPr>
        <w:t xml:space="preserve">. </w:t>
      </w:r>
      <w:r w:rsidR="00233D58" w:rsidRPr="005B03CE">
        <w:rPr>
          <w:noProof/>
        </w:rPr>
        <w:t xml:space="preserve">The IICB may </w:t>
      </w:r>
      <w:r w:rsidR="001F2C30" w:rsidRPr="005B03CE">
        <w:rPr>
          <w:noProof/>
        </w:rPr>
        <w:t xml:space="preserve">also </w:t>
      </w:r>
      <w:r w:rsidR="00233D58" w:rsidRPr="005B03CE">
        <w:rPr>
          <w:noProof/>
        </w:rPr>
        <w:t>make recommendations to the Commission to propose amendments to this Regulation.</w:t>
      </w:r>
    </w:p>
    <w:p w:rsidR="003E32A6" w:rsidRPr="005B03CE" w:rsidRDefault="004A06D6" w:rsidP="004A06D6">
      <w:pPr>
        <w:pStyle w:val="ManualNumPar1"/>
        <w:rPr>
          <w:noProof/>
        </w:rPr>
      </w:pPr>
      <w:r w:rsidRPr="004A06D6">
        <w:t>2.</w:t>
      </w:r>
      <w:r w:rsidRPr="004A06D6">
        <w:tab/>
      </w:r>
      <w:r w:rsidR="00B200F3" w:rsidRPr="005B03CE">
        <w:rPr>
          <w:noProof/>
        </w:rPr>
        <w:t>T</w:t>
      </w:r>
      <w:r w:rsidR="001F2C30" w:rsidRPr="005B03CE">
        <w:rPr>
          <w:noProof/>
        </w:rPr>
        <w:t xml:space="preserve">he Commission shall report </w:t>
      </w:r>
      <w:r w:rsidR="00B200F3" w:rsidRPr="005B03CE">
        <w:rPr>
          <w:noProof/>
        </w:rPr>
        <w:t xml:space="preserve">on the implementation of this Regulation </w:t>
      </w:r>
      <w:r w:rsidR="001F2C30" w:rsidRPr="005B03CE">
        <w:rPr>
          <w:noProof/>
        </w:rPr>
        <w:t xml:space="preserve">to the European Parliament </w:t>
      </w:r>
      <w:r w:rsidR="00B200F3" w:rsidRPr="005B03CE">
        <w:rPr>
          <w:noProof/>
        </w:rPr>
        <w:t xml:space="preserve">and </w:t>
      </w:r>
      <w:r w:rsidR="001F2C30" w:rsidRPr="005B03CE">
        <w:rPr>
          <w:noProof/>
        </w:rPr>
        <w:t>the Council</w:t>
      </w:r>
      <w:r w:rsidR="00B200F3" w:rsidRPr="005B03CE">
        <w:rPr>
          <w:noProof/>
        </w:rPr>
        <w:t xml:space="preserve"> </w:t>
      </w:r>
      <w:r w:rsidR="001E39D1" w:rsidRPr="005B03CE">
        <w:rPr>
          <w:noProof/>
        </w:rPr>
        <w:t>at the latest</w:t>
      </w:r>
      <w:r w:rsidR="00233D58" w:rsidRPr="005B03CE">
        <w:rPr>
          <w:noProof/>
        </w:rPr>
        <w:t xml:space="preserve"> </w:t>
      </w:r>
      <w:r w:rsidR="008474F4" w:rsidRPr="005B03CE">
        <w:rPr>
          <w:noProof/>
        </w:rPr>
        <w:t xml:space="preserve">48 </w:t>
      </w:r>
      <w:r w:rsidR="00233D58" w:rsidRPr="005B03CE">
        <w:rPr>
          <w:noProof/>
        </w:rPr>
        <w:t>months after the entry into force of this Regulation and every three years</w:t>
      </w:r>
      <w:r w:rsidR="001E39D1" w:rsidRPr="005B03CE">
        <w:rPr>
          <w:noProof/>
        </w:rPr>
        <w:t xml:space="preserve"> thereafter</w:t>
      </w:r>
      <w:r w:rsidR="00233D58" w:rsidRPr="005B03CE">
        <w:rPr>
          <w:noProof/>
        </w:rPr>
        <w:t>.</w:t>
      </w:r>
    </w:p>
    <w:p w:rsidR="00B200F3" w:rsidRPr="005B03CE" w:rsidRDefault="004A06D6" w:rsidP="004A06D6">
      <w:pPr>
        <w:pStyle w:val="ManualNumPar1"/>
        <w:rPr>
          <w:noProof/>
        </w:rPr>
      </w:pPr>
      <w:r w:rsidRPr="004A06D6">
        <w:t>3.</w:t>
      </w:r>
      <w:r w:rsidRPr="004A06D6">
        <w:tab/>
      </w:r>
      <w:r w:rsidR="00B200F3" w:rsidRPr="005B03CE">
        <w:rPr>
          <w:noProof/>
        </w:rPr>
        <w:t>The Commission shall evaluate the functioning of this Regulation and report to the European Parliament, the Council, the European Economic and Social Committee and the Committee of the Regions no sooner than five years after the date of entry into force.</w:t>
      </w:r>
    </w:p>
    <w:bookmarkEnd w:id="4"/>
    <w:p w:rsidR="00233D58" w:rsidRPr="005B03CE" w:rsidRDefault="00233D58" w:rsidP="00233D58">
      <w:pPr>
        <w:pStyle w:val="Titrearticle"/>
        <w:rPr>
          <w:b/>
          <w:noProof/>
          <w:szCs w:val="24"/>
        </w:rPr>
      </w:pPr>
      <w:r w:rsidRPr="005B03CE">
        <w:rPr>
          <w:noProof/>
          <w:szCs w:val="24"/>
        </w:rPr>
        <w:t xml:space="preserve">Article </w:t>
      </w:r>
      <w:r w:rsidR="001F49B4" w:rsidRPr="005B03CE">
        <w:rPr>
          <w:noProof/>
          <w:szCs w:val="24"/>
        </w:rPr>
        <w:t>25</w:t>
      </w:r>
      <w:r w:rsidRPr="005B03CE">
        <w:rPr>
          <w:noProof/>
          <w:szCs w:val="24"/>
        </w:rPr>
        <w:br/>
      </w:r>
      <w:r w:rsidR="00C77667" w:rsidRPr="005B03CE">
        <w:rPr>
          <w:b/>
          <w:noProof/>
          <w:szCs w:val="24"/>
        </w:rPr>
        <w:t>Entry into force</w:t>
      </w:r>
    </w:p>
    <w:p w:rsidR="002E56D2" w:rsidRPr="005B03CE" w:rsidRDefault="002E56D2" w:rsidP="00EF462E">
      <w:pPr>
        <w:rPr>
          <w:noProof/>
          <w:szCs w:val="24"/>
        </w:rPr>
      </w:pPr>
      <w:r w:rsidRPr="005B03CE">
        <w:rPr>
          <w:noProof/>
          <w:szCs w:val="24"/>
        </w:rPr>
        <w:t xml:space="preserve">This Regulation shall enter into force on the </w:t>
      </w:r>
      <w:r w:rsidR="00C77667" w:rsidRPr="005B03CE">
        <w:rPr>
          <w:noProof/>
          <w:szCs w:val="24"/>
        </w:rPr>
        <w:t>twentieth</w:t>
      </w:r>
      <w:r w:rsidRPr="005B03CE">
        <w:rPr>
          <w:noProof/>
          <w:szCs w:val="24"/>
        </w:rPr>
        <w:t xml:space="preserve"> day following that of its publication in the </w:t>
      </w:r>
      <w:r w:rsidRPr="005B03CE">
        <w:rPr>
          <w:i/>
          <w:noProof/>
          <w:szCs w:val="24"/>
        </w:rPr>
        <w:t>Official Journal of the European Union</w:t>
      </w:r>
      <w:r w:rsidRPr="005B03CE">
        <w:rPr>
          <w:noProof/>
          <w:szCs w:val="24"/>
        </w:rPr>
        <w:t>.</w:t>
      </w:r>
    </w:p>
    <w:p w:rsidR="00602598" w:rsidRPr="005B03CE" w:rsidRDefault="00602598" w:rsidP="00EF462E">
      <w:pPr>
        <w:rPr>
          <w:noProof/>
          <w:szCs w:val="24"/>
        </w:rPr>
      </w:pPr>
      <w:r w:rsidRPr="005B03CE">
        <w:rPr>
          <w:noProof/>
          <w:szCs w:val="24"/>
        </w:rPr>
        <w:t>This Regulation shall be binding in its entirety and directly applicable in all Member States.</w:t>
      </w:r>
    </w:p>
    <w:p w:rsidR="002E56D2" w:rsidRPr="005B03CE" w:rsidRDefault="00AE679B" w:rsidP="00E66E73">
      <w:pPr>
        <w:pStyle w:val="Fait"/>
        <w:rPr>
          <w:noProof/>
        </w:rPr>
      </w:pPr>
      <w:r w:rsidRPr="00AE679B">
        <w:t>Done at Brussels,</w:t>
      </w:r>
    </w:p>
    <w:p w:rsidR="002E56D2" w:rsidRPr="005B03CE" w:rsidRDefault="002E56D2" w:rsidP="00E66E73">
      <w:pPr>
        <w:pStyle w:val="Institutionquisigne"/>
        <w:rPr>
          <w:noProof/>
          <w:szCs w:val="24"/>
        </w:rPr>
      </w:pPr>
      <w:r w:rsidRPr="005B03CE">
        <w:rPr>
          <w:noProof/>
          <w:szCs w:val="24"/>
        </w:rPr>
        <w:t>For the European Parliament</w:t>
      </w:r>
      <w:r w:rsidRPr="005B03CE">
        <w:rPr>
          <w:noProof/>
          <w:szCs w:val="24"/>
        </w:rPr>
        <w:tab/>
        <w:t>For the Council</w:t>
      </w:r>
    </w:p>
    <w:p w:rsidR="002E56D2" w:rsidRPr="005B03CE" w:rsidRDefault="002E56D2" w:rsidP="002E56D2">
      <w:pPr>
        <w:pStyle w:val="Personnequisigne"/>
        <w:rPr>
          <w:noProof/>
          <w:szCs w:val="24"/>
        </w:rPr>
      </w:pPr>
      <w:r w:rsidRPr="005B03CE">
        <w:rPr>
          <w:noProof/>
          <w:szCs w:val="24"/>
        </w:rPr>
        <w:t>The President</w:t>
      </w:r>
      <w:r w:rsidRPr="005B03CE">
        <w:rPr>
          <w:noProof/>
          <w:szCs w:val="24"/>
        </w:rPr>
        <w:tab/>
        <w:t>The President</w:t>
      </w:r>
    </w:p>
    <w:p w:rsidR="00DD0A9C" w:rsidRPr="005B03CE" w:rsidRDefault="00DD0A9C" w:rsidP="00DD0A9C">
      <w:pPr>
        <w:rPr>
          <w:noProof/>
        </w:rPr>
        <w:sectPr w:rsidR="00DD0A9C" w:rsidRPr="005B03CE" w:rsidSect="00427BA8">
          <w:pgSz w:w="11907" w:h="16839"/>
          <w:pgMar w:top="1134" w:right="1417" w:bottom="1134" w:left="1417" w:header="709" w:footer="709" w:gutter="0"/>
          <w:cols w:space="708"/>
          <w:docGrid w:linePitch="360"/>
        </w:sectPr>
      </w:pPr>
    </w:p>
    <w:p w:rsidR="00DD0A9C" w:rsidRPr="005B03CE" w:rsidRDefault="00DD0A9C" w:rsidP="00DD0A9C">
      <w:pPr>
        <w:pStyle w:val="Fichefinanciretitre"/>
        <w:keepNext/>
        <w:rPr>
          <w:noProof/>
        </w:rPr>
      </w:pPr>
      <w:r w:rsidRPr="005B03CE">
        <w:rPr>
          <w:noProof/>
        </w:rPr>
        <w:t>LEGISLATIVE FINANCIAL STATEMENT</w:t>
      </w:r>
    </w:p>
    <w:p w:rsidR="00DD0A9C" w:rsidRPr="005B03CE" w:rsidRDefault="00DD0A9C" w:rsidP="00DD0A9C">
      <w:pPr>
        <w:pStyle w:val="ManualHeading1"/>
        <w:rPr>
          <w:noProof/>
        </w:rPr>
      </w:pPr>
      <w:r w:rsidRPr="005B03CE">
        <w:rPr>
          <w:noProof/>
        </w:rPr>
        <w:t>1.</w:t>
      </w:r>
      <w:r w:rsidRPr="005B03CE">
        <w:rPr>
          <w:noProof/>
        </w:rPr>
        <w:tab/>
        <w:t>FRAMEWORK OF THE PROPOSAL/INITIATIVE</w:t>
      </w:r>
    </w:p>
    <w:p w:rsidR="00DD0A9C" w:rsidRPr="005B03CE" w:rsidRDefault="00DD0A9C" w:rsidP="00DD0A9C">
      <w:pPr>
        <w:pStyle w:val="ManualHeading2"/>
        <w:rPr>
          <w:noProof/>
        </w:rPr>
      </w:pPr>
      <w:r w:rsidRPr="005B03CE">
        <w:rPr>
          <w:noProof/>
        </w:rPr>
        <w:tab/>
        <w:t>1.1.</w:t>
      </w:r>
      <w:r w:rsidRPr="005B03CE">
        <w:rPr>
          <w:noProof/>
        </w:rPr>
        <w:tab/>
        <w:t>Title of the proposal/initiative</w:t>
      </w:r>
    </w:p>
    <w:p w:rsidR="00DD0A9C" w:rsidRPr="005B03CE" w:rsidRDefault="00DD0A9C" w:rsidP="00DD0A9C">
      <w:pPr>
        <w:pStyle w:val="ManualHeading2"/>
        <w:rPr>
          <w:noProof/>
        </w:rPr>
      </w:pPr>
      <w:r w:rsidRPr="005B03CE">
        <w:rPr>
          <w:noProof/>
        </w:rPr>
        <w:tab/>
        <w:t>1.2.</w:t>
      </w:r>
      <w:r w:rsidRPr="005B03CE">
        <w:rPr>
          <w:noProof/>
        </w:rPr>
        <w:tab/>
        <w:t>Policy area(s) concerned</w:t>
      </w:r>
    </w:p>
    <w:p w:rsidR="00DD0A9C" w:rsidRPr="005B03CE" w:rsidRDefault="00DD0A9C" w:rsidP="00DD0A9C">
      <w:pPr>
        <w:pStyle w:val="ManualHeading2"/>
        <w:rPr>
          <w:noProof/>
        </w:rPr>
      </w:pPr>
      <w:r w:rsidRPr="005B03CE">
        <w:rPr>
          <w:noProof/>
        </w:rPr>
        <w:tab/>
        <w:t>1.3.</w:t>
      </w:r>
      <w:r w:rsidRPr="005B03CE">
        <w:rPr>
          <w:noProof/>
        </w:rPr>
        <w:tab/>
        <w:t>The proposal/initiative relates to:</w:t>
      </w:r>
    </w:p>
    <w:p w:rsidR="00DD0A9C" w:rsidRPr="005B03CE" w:rsidRDefault="00DD0A9C" w:rsidP="00DD0A9C">
      <w:pPr>
        <w:pStyle w:val="ManualHeading2"/>
        <w:rPr>
          <w:noProof/>
        </w:rPr>
      </w:pPr>
      <w:r w:rsidRPr="005B03CE">
        <w:rPr>
          <w:noProof/>
        </w:rPr>
        <w:tab/>
        <w:t>1.4.</w:t>
      </w:r>
      <w:r w:rsidRPr="005B03CE">
        <w:rPr>
          <w:noProof/>
        </w:rPr>
        <w:tab/>
        <w:t>Objective(s)</w:t>
      </w:r>
    </w:p>
    <w:p w:rsidR="00DD0A9C" w:rsidRPr="005B03CE" w:rsidRDefault="00DD0A9C" w:rsidP="00DD0A9C">
      <w:pPr>
        <w:pStyle w:val="ManualHeading3"/>
        <w:rPr>
          <w:noProof/>
        </w:rPr>
      </w:pPr>
      <w:r w:rsidRPr="005B03CE">
        <w:rPr>
          <w:noProof/>
        </w:rPr>
        <w:tab/>
        <w:t>1.4.1.</w:t>
      </w:r>
      <w:r w:rsidRPr="005B03CE">
        <w:rPr>
          <w:noProof/>
        </w:rPr>
        <w:tab/>
        <w:t>General objective(s)</w:t>
      </w:r>
    </w:p>
    <w:p w:rsidR="00DD0A9C" w:rsidRPr="005B03CE" w:rsidRDefault="00DD0A9C" w:rsidP="00DD0A9C">
      <w:pPr>
        <w:pStyle w:val="ManualHeading3"/>
        <w:rPr>
          <w:noProof/>
        </w:rPr>
      </w:pPr>
      <w:r w:rsidRPr="005B03CE">
        <w:rPr>
          <w:noProof/>
        </w:rPr>
        <w:tab/>
        <w:t>1.4.2.</w:t>
      </w:r>
      <w:r w:rsidRPr="005B03CE">
        <w:rPr>
          <w:noProof/>
        </w:rPr>
        <w:tab/>
        <w:t>Specific objective(s)</w:t>
      </w:r>
    </w:p>
    <w:p w:rsidR="00DD0A9C" w:rsidRPr="005B03CE" w:rsidRDefault="00DD0A9C" w:rsidP="00DD0A9C">
      <w:pPr>
        <w:pStyle w:val="ManualHeading3"/>
        <w:rPr>
          <w:noProof/>
        </w:rPr>
      </w:pPr>
      <w:r w:rsidRPr="005B03CE">
        <w:rPr>
          <w:noProof/>
        </w:rPr>
        <w:tab/>
        <w:t>1.4.3.</w:t>
      </w:r>
      <w:r w:rsidRPr="005B03CE">
        <w:rPr>
          <w:noProof/>
        </w:rPr>
        <w:tab/>
        <w:t>Expected result(s) and impact</w:t>
      </w:r>
    </w:p>
    <w:p w:rsidR="00DD0A9C" w:rsidRPr="005B03CE" w:rsidRDefault="00DD0A9C" w:rsidP="00DD0A9C">
      <w:pPr>
        <w:pStyle w:val="ManualHeading3"/>
        <w:rPr>
          <w:noProof/>
        </w:rPr>
      </w:pPr>
      <w:r w:rsidRPr="005B03CE">
        <w:rPr>
          <w:noProof/>
        </w:rPr>
        <w:tab/>
        <w:t>1.4.4.</w:t>
      </w:r>
      <w:r w:rsidRPr="005B03CE">
        <w:rPr>
          <w:noProof/>
        </w:rPr>
        <w:tab/>
        <w:t>Indicators of performance</w:t>
      </w:r>
    </w:p>
    <w:p w:rsidR="00DD0A9C" w:rsidRPr="005B03CE" w:rsidRDefault="00DD0A9C" w:rsidP="00DD0A9C">
      <w:pPr>
        <w:pStyle w:val="ManualHeading2"/>
        <w:rPr>
          <w:noProof/>
        </w:rPr>
      </w:pPr>
      <w:r w:rsidRPr="005B03CE">
        <w:rPr>
          <w:noProof/>
        </w:rPr>
        <w:tab/>
        <w:t>1.5.</w:t>
      </w:r>
      <w:r w:rsidRPr="005B03CE">
        <w:rPr>
          <w:noProof/>
        </w:rPr>
        <w:tab/>
        <w:t>Grounds for the proposal/initiative</w:t>
      </w:r>
    </w:p>
    <w:p w:rsidR="00DD0A9C" w:rsidRPr="005B03CE" w:rsidRDefault="00DD0A9C" w:rsidP="00DD0A9C">
      <w:pPr>
        <w:pStyle w:val="ManualHeading3"/>
        <w:rPr>
          <w:noProof/>
        </w:rPr>
      </w:pPr>
      <w:r w:rsidRPr="005B03CE">
        <w:rPr>
          <w:noProof/>
        </w:rPr>
        <w:tab/>
        <w:t>1.5.1.</w:t>
      </w:r>
      <w:r w:rsidRPr="005B03CE">
        <w:rPr>
          <w:noProof/>
        </w:rPr>
        <w:tab/>
        <w:t>Requirement(s) to be met in the short or long term including a detailed timeline for roll-out of the implementation of the initiative</w:t>
      </w:r>
      <w:r w:rsidR="002D48F7" w:rsidRPr="005B03CE">
        <w:rPr>
          <w:noProof/>
        </w:rPr>
        <w:t>.</w:t>
      </w:r>
    </w:p>
    <w:p w:rsidR="00DD0A9C" w:rsidRPr="005B03CE" w:rsidRDefault="00DD0A9C" w:rsidP="00DD0A9C">
      <w:pPr>
        <w:pStyle w:val="ManualHeading3"/>
        <w:rPr>
          <w:noProof/>
        </w:rPr>
      </w:pPr>
      <w:r w:rsidRPr="005B03CE">
        <w:rPr>
          <w:noProof/>
        </w:rPr>
        <w:tab/>
        <w:t>1.5.2.</w:t>
      </w:r>
      <w:r w:rsidRPr="005B03CE">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rsidR="00DD0A9C" w:rsidRPr="005B03CE" w:rsidRDefault="00DD0A9C" w:rsidP="00DD0A9C">
      <w:pPr>
        <w:pStyle w:val="ManualHeading3"/>
        <w:rPr>
          <w:noProof/>
        </w:rPr>
      </w:pPr>
      <w:r w:rsidRPr="005B03CE">
        <w:rPr>
          <w:noProof/>
        </w:rPr>
        <w:tab/>
        <w:t>1.5.3.</w:t>
      </w:r>
      <w:r w:rsidRPr="005B03CE">
        <w:rPr>
          <w:noProof/>
        </w:rPr>
        <w:tab/>
        <w:t>Lessons learned from similar experiences in the past</w:t>
      </w:r>
    </w:p>
    <w:p w:rsidR="00DD0A9C" w:rsidRPr="005B03CE" w:rsidRDefault="00DD0A9C" w:rsidP="00DD0A9C">
      <w:pPr>
        <w:pStyle w:val="ManualHeading3"/>
        <w:rPr>
          <w:noProof/>
        </w:rPr>
      </w:pPr>
      <w:r w:rsidRPr="005B03CE">
        <w:rPr>
          <w:noProof/>
        </w:rPr>
        <w:tab/>
        <w:t>1.5.4.</w:t>
      </w:r>
      <w:r w:rsidRPr="005B03CE">
        <w:rPr>
          <w:noProof/>
        </w:rPr>
        <w:tab/>
        <w:t>Compatibility with the Multiannual Financial Framework and possible synergies with other appropriate instruments</w:t>
      </w:r>
    </w:p>
    <w:p w:rsidR="00DD0A9C" w:rsidRPr="005B03CE" w:rsidRDefault="00DD0A9C" w:rsidP="00DD0A9C">
      <w:pPr>
        <w:pStyle w:val="ManualHeading3"/>
        <w:rPr>
          <w:noProof/>
        </w:rPr>
      </w:pPr>
      <w:r w:rsidRPr="005B03CE">
        <w:rPr>
          <w:noProof/>
        </w:rPr>
        <w:tab/>
        <w:t>1.5.5.</w:t>
      </w:r>
      <w:r w:rsidRPr="005B03CE">
        <w:rPr>
          <w:noProof/>
        </w:rPr>
        <w:tab/>
        <w:t>Assessment of the different available financing options, including scope for redeployment</w:t>
      </w:r>
    </w:p>
    <w:p w:rsidR="00DD0A9C" w:rsidRPr="005B03CE" w:rsidRDefault="00DD0A9C" w:rsidP="00DD0A9C">
      <w:pPr>
        <w:pStyle w:val="ManualHeading2"/>
        <w:rPr>
          <w:noProof/>
        </w:rPr>
      </w:pPr>
      <w:r w:rsidRPr="005B03CE">
        <w:rPr>
          <w:noProof/>
        </w:rPr>
        <w:tab/>
        <w:t>1.6.</w:t>
      </w:r>
      <w:r w:rsidRPr="005B03CE">
        <w:rPr>
          <w:noProof/>
        </w:rPr>
        <w:tab/>
        <w:t>Duration and financial impact of the proposal/initiative</w:t>
      </w:r>
    </w:p>
    <w:p w:rsidR="00DD0A9C" w:rsidRPr="005B03CE" w:rsidRDefault="00DD0A9C" w:rsidP="00DD0A9C">
      <w:pPr>
        <w:pStyle w:val="ManualHeading2"/>
        <w:rPr>
          <w:noProof/>
        </w:rPr>
      </w:pPr>
      <w:r w:rsidRPr="005B03CE">
        <w:rPr>
          <w:noProof/>
        </w:rPr>
        <w:tab/>
        <w:t>1.7.</w:t>
      </w:r>
      <w:r w:rsidRPr="005B03CE">
        <w:rPr>
          <w:noProof/>
        </w:rPr>
        <w:tab/>
        <w:t>Management mode(s) planned</w:t>
      </w:r>
    </w:p>
    <w:p w:rsidR="00DD0A9C" w:rsidRPr="005B03CE" w:rsidRDefault="00DD0A9C" w:rsidP="00DD0A9C">
      <w:pPr>
        <w:pStyle w:val="ManualHeading1"/>
        <w:rPr>
          <w:noProof/>
        </w:rPr>
      </w:pPr>
      <w:r w:rsidRPr="005B03CE">
        <w:rPr>
          <w:noProof/>
        </w:rPr>
        <w:tab/>
        <w:t>2.</w:t>
      </w:r>
      <w:r w:rsidRPr="005B03CE">
        <w:rPr>
          <w:noProof/>
        </w:rPr>
        <w:tab/>
        <w:t>MANAGEMENT MEASURES</w:t>
      </w:r>
    </w:p>
    <w:p w:rsidR="00DD0A9C" w:rsidRPr="005B03CE" w:rsidRDefault="00DD0A9C" w:rsidP="00DD0A9C">
      <w:pPr>
        <w:pStyle w:val="ManualHeading2"/>
        <w:rPr>
          <w:noProof/>
        </w:rPr>
      </w:pPr>
      <w:r w:rsidRPr="005B03CE">
        <w:rPr>
          <w:noProof/>
        </w:rPr>
        <w:tab/>
        <w:t>2.1.</w:t>
      </w:r>
      <w:r w:rsidRPr="005B03CE">
        <w:rPr>
          <w:noProof/>
        </w:rPr>
        <w:tab/>
        <w:t>Monitoring and reporting rules</w:t>
      </w:r>
    </w:p>
    <w:p w:rsidR="00DD0A9C" w:rsidRPr="005B03CE" w:rsidRDefault="00DD0A9C" w:rsidP="00DD0A9C">
      <w:pPr>
        <w:pStyle w:val="ManualHeading2"/>
        <w:rPr>
          <w:noProof/>
        </w:rPr>
      </w:pPr>
      <w:r w:rsidRPr="005B03CE">
        <w:rPr>
          <w:noProof/>
        </w:rPr>
        <w:tab/>
        <w:t>2.2.</w:t>
      </w:r>
      <w:r w:rsidRPr="005B03CE">
        <w:rPr>
          <w:noProof/>
        </w:rPr>
        <w:tab/>
        <w:t>Management and control system(s)</w:t>
      </w:r>
    </w:p>
    <w:p w:rsidR="00DD0A9C" w:rsidRPr="005B03CE" w:rsidRDefault="00DD0A9C" w:rsidP="00DD0A9C">
      <w:pPr>
        <w:pStyle w:val="ManualHeading3"/>
        <w:rPr>
          <w:noProof/>
        </w:rPr>
      </w:pPr>
      <w:r w:rsidRPr="005B03CE">
        <w:rPr>
          <w:noProof/>
        </w:rPr>
        <w:tab/>
        <w:t>2.2.1.</w:t>
      </w:r>
      <w:r w:rsidRPr="005B03CE">
        <w:rPr>
          <w:noProof/>
        </w:rPr>
        <w:tab/>
        <w:t>Justification of the management mode(s), the funding implementation mechanism(s), the payment modalities and the control strategy proposed</w:t>
      </w:r>
    </w:p>
    <w:p w:rsidR="00DD0A9C" w:rsidRPr="005B03CE" w:rsidRDefault="00DD0A9C" w:rsidP="00DD0A9C">
      <w:pPr>
        <w:pStyle w:val="ManualHeading3"/>
        <w:rPr>
          <w:noProof/>
        </w:rPr>
      </w:pPr>
      <w:r w:rsidRPr="005B03CE">
        <w:rPr>
          <w:noProof/>
        </w:rPr>
        <w:tab/>
        <w:t>2.2.2.</w:t>
      </w:r>
      <w:r w:rsidRPr="005B03CE">
        <w:rPr>
          <w:noProof/>
        </w:rPr>
        <w:tab/>
        <w:t>Information concerning the risks identified and the internal control system(s) set up to mitigate them</w:t>
      </w:r>
    </w:p>
    <w:p w:rsidR="00DD0A9C" w:rsidRPr="005B03CE" w:rsidRDefault="00DD0A9C" w:rsidP="00DD0A9C">
      <w:pPr>
        <w:pStyle w:val="ManualHeading3"/>
        <w:rPr>
          <w:noProof/>
        </w:rPr>
      </w:pPr>
      <w:r w:rsidRPr="005B03CE">
        <w:rPr>
          <w:noProof/>
        </w:rPr>
        <w:tab/>
        <w:t>2.2.3.</w:t>
      </w:r>
      <w:r w:rsidRPr="005B03CE">
        <w:rPr>
          <w:noProof/>
        </w:rPr>
        <w:tab/>
        <w:t xml:space="preserve">Estimation and justification of the cost-effectiveness of the controls (ratio of </w:t>
      </w:r>
      <w:r w:rsidR="009445CF" w:rsidRPr="005B03CE">
        <w:rPr>
          <w:noProof/>
        </w:rPr>
        <w:t>‘</w:t>
      </w:r>
      <w:r w:rsidRPr="005B03CE">
        <w:rPr>
          <w:noProof/>
        </w:rPr>
        <w:t>control costs ÷ value of the related funds managed</w:t>
      </w:r>
      <w:r w:rsidR="009445CF" w:rsidRPr="005B03CE">
        <w:rPr>
          <w:noProof/>
        </w:rPr>
        <w:t>’</w:t>
      </w:r>
      <w:r w:rsidRPr="005B03CE">
        <w:rPr>
          <w:noProof/>
        </w:rPr>
        <w:t>), and assessment of the expected levels of risk of error (at payment &amp; at closure)</w:t>
      </w:r>
    </w:p>
    <w:p w:rsidR="00DD0A9C" w:rsidRPr="005B03CE" w:rsidRDefault="00DD0A9C" w:rsidP="00DD0A9C">
      <w:pPr>
        <w:pStyle w:val="ManualHeading2"/>
        <w:rPr>
          <w:noProof/>
        </w:rPr>
      </w:pPr>
      <w:r w:rsidRPr="005B03CE">
        <w:rPr>
          <w:noProof/>
        </w:rPr>
        <w:tab/>
        <w:t>2.3.</w:t>
      </w:r>
      <w:r w:rsidRPr="005B03CE">
        <w:rPr>
          <w:noProof/>
        </w:rPr>
        <w:tab/>
        <w:t>Measures to prevent fraud and irregularities</w:t>
      </w:r>
    </w:p>
    <w:p w:rsidR="00DD0A9C" w:rsidRPr="005B03CE" w:rsidRDefault="00DD0A9C" w:rsidP="00DD0A9C">
      <w:pPr>
        <w:pStyle w:val="ManualHeading1"/>
        <w:rPr>
          <w:noProof/>
        </w:rPr>
      </w:pPr>
      <w:r w:rsidRPr="005B03CE">
        <w:rPr>
          <w:noProof/>
        </w:rPr>
        <w:t>3.</w:t>
      </w:r>
      <w:r w:rsidRPr="005B03CE">
        <w:rPr>
          <w:noProof/>
        </w:rPr>
        <w:tab/>
        <w:t>ESTIMATED FINANCIAL IMPACT OF THE PROPOSAL/INITIATIVE</w:t>
      </w:r>
      <w:r w:rsidRPr="005B03CE">
        <w:rPr>
          <w:noProof/>
        </w:rPr>
        <w:tab/>
      </w:r>
    </w:p>
    <w:p w:rsidR="00DD0A9C" w:rsidRPr="005B03CE" w:rsidRDefault="00DD0A9C" w:rsidP="00DD0A9C">
      <w:pPr>
        <w:pStyle w:val="ManualHeading2"/>
        <w:rPr>
          <w:noProof/>
        </w:rPr>
      </w:pPr>
      <w:r w:rsidRPr="005B03CE">
        <w:rPr>
          <w:noProof/>
        </w:rPr>
        <w:tab/>
        <w:t>3.1.</w:t>
      </w:r>
      <w:r w:rsidRPr="005B03CE">
        <w:rPr>
          <w:noProof/>
        </w:rPr>
        <w:tab/>
        <w:t>Heading(s) of the multiannual financial framework and expenditure budget line(s) affected</w:t>
      </w:r>
    </w:p>
    <w:p w:rsidR="00DD0A9C" w:rsidRPr="005B03CE" w:rsidRDefault="00DD0A9C" w:rsidP="00DD0A9C">
      <w:pPr>
        <w:pStyle w:val="ManualHeading2"/>
        <w:rPr>
          <w:noProof/>
        </w:rPr>
      </w:pPr>
      <w:r w:rsidRPr="005B03CE">
        <w:rPr>
          <w:noProof/>
        </w:rPr>
        <w:tab/>
        <w:t>3.2.</w:t>
      </w:r>
      <w:r w:rsidRPr="005B03CE">
        <w:rPr>
          <w:noProof/>
        </w:rPr>
        <w:tab/>
        <w:t>Estimated financial impact of the proposal on appropriations</w:t>
      </w:r>
    </w:p>
    <w:p w:rsidR="00DD0A9C" w:rsidRPr="005B03CE" w:rsidRDefault="00DD0A9C" w:rsidP="00DD0A9C">
      <w:pPr>
        <w:pStyle w:val="ManualHeading3"/>
        <w:rPr>
          <w:noProof/>
        </w:rPr>
      </w:pPr>
      <w:r w:rsidRPr="005B03CE">
        <w:rPr>
          <w:noProof/>
        </w:rPr>
        <w:tab/>
        <w:t>3.2.1.</w:t>
      </w:r>
      <w:r w:rsidRPr="005B03CE">
        <w:rPr>
          <w:noProof/>
        </w:rPr>
        <w:tab/>
        <w:t>Summary of estimated impact on operational appropriations</w:t>
      </w:r>
    </w:p>
    <w:p w:rsidR="00DD0A9C" w:rsidRPr="005B03CE" w:rsidRDefault="00DD0A9C" w:rsidP="00DD0A9C">
      <w:pPr>
        <w:pStyle w:val="ManualHeading3"/>
        <w:rPr>
          <w:noProof/>
        </w:rPr>
      </w:pPr>
      <w:r w:rsidRPr="005B03CE">
        <w:rPr>
          <w:noProof/>
        </w:rPr>
        <w:tab/>
        <w:t>3.2.2.</w:t>
      </w:r>
      <w:r w:rsidRPr="005B03CE">
        <w:rPr>
          <w:noProof/>
        </w:rPr>
        <w:tab/>
        <w:t>Estimated output funded with operational appropriations</w:t>
      </w:r>
    </w:p>
    <w:p w:rsidR="00DD0A9C" w:rsidRPr="005B03CE" w:rsidRDefault="00DD0A9C" w:rsidP="00DD0A9C">
      <w:pPr>
        <w:pStyle w:val="ManualHeading3"/>
        <w:rPr>
          <w:noProof/>
        </w:rPr>
      </w:pPr>
      <w:r w:rsidRPr="005B03CE">
        <w:rPr>
          <w:noProof/>
        </w:rPr>
        <w:tab/>
        <w:t>3.2.3.</w:t>
      </w:r>
      <w:r w:rsidRPr="005B03CE">
        <w:rPr>
          <w:noProof/>
        </w:rPr>
        <w:tab/>
        <w:t>Summary of estimated impact on administrative appropriations</w:t>
      </w:r>
    </w:p>
    <w:p w:rsidR="00DD0A9C" w:rsidRPr="005B03CE" w:rsidRDefault="00DD0A9C" w:rsidP="00DD0A9C">
      <w:pPr>
        <w:pStyle w:val="ManualHeading3"/>
        <w:rPr>
          <w:noProof/>
        </w:rPr>
      </w:pPr>
      <w:r w:rsidRPr="005B03CE">
        <w:rPr>
          <w:noProof/>
        </w:rPr>
        <w:tab/>
        <w:t>3.2.4.</w:t>
      </w:r>
      <w:r w:rsidRPr="005B03CE">
        <w:rPr>
          <w:noProof/>
        </w:rPr>
        <w:tab/>
        <w:t>Compatibility with the current multiannual financial framework</w:t>
      </w:r>
    </w:p>
    <w:p w:rsidR="00DD0A9C" w:rsidRPr="005B03CE" w:rsidRDefault="00DD0A9C" w:rsidP="00DD0A9C">
      <w:pPr>
        <w:pStyle w:val="ManualHeading3"/>
        <w:rPr>
          <w:noProof/>
        </w:rPr>
      </w:pPr>
      <w:r w:rsidRPr="005B03CE">
        <w:rPr>
          <w:noProof/>
        </w:rPr>
        <w:tab/>
        <w:t>3.2.5.</w:t>
      </w:r>
      <w:r w:rsidRPr="005B03CE">
        <w:rPr>
          <w:noProof/>
        </w:rPr>
        <w:tab/>
        <w:t>Third-party contributions</w:t>
      </w:r>
    </w:p>
    <w:p w:rsidR="00DD0A9C" w:rsidRPr="005B03CE" w:rsidRDefault="00DD0A9C" w:rsidP="00DD0A9C">
      <w:pPr>
        <w:pStyle w:val="ManualHeading2"/>
        <w:rPr>
          <w:noProof/>
        </w:rPr>
      </w:pPr>
      <w:r w:rsidRPr="005B03CE">
        <w:rPr>
          <w:noProof/>
        </w:rPr>
        <w:tab/>
        <w:t>3.3.</w:t>
      </w:r>
      <w:r w:rsidRPr="005B03CE">
        <w:rPr>
          <w:noProof/>
        </w:rPr>
        <w:tab/>
        <w:t>Estimated impact on revenue</w:t>
      </w:r>
    </w:p>
    <w:p w:rsidR="00DD0A9C" w:rsidRPr="005B03CE" w:rsidRDefault="00DD0A9C" w:rsidP="00DD0A9C">
      <w:pPr>
        <w:spacing w:before="0" w:after="0"/>
        <w:jc w:val="left"/>
        <w:rPr>
          <w:noProof/>
        </w:rPr>
        <w:sectPr w:rsidR="00DD0A9C" w:rsidRPr="005B03CE" w:rsidSect="00427BA8">
          <w:pgSz w:w="11907" w:h="16840"/>
          <w:pgMar w:top="1134" w:right="1418" w:bottom="1134" w:left="1418" w:header="709" w:footer="709" w:gutter="0"/>
          <w:cols w:space="720"/>
          <w:docGrid w:linePitch="326"/>
        </w:sectPr>
      </w:pPr>
    </w:p>
    <w:p w:rsidR="00DD0A9C" w:rsidRPr="005B03CE" w:rsidRDefault="00DD0A9C" w:rsidP="00DD0A9C">
      <w:pPr>
        <w:jc w:val="center"/>
        <w:rPr>
          <w:noProof/>
        </w:rPr>
      </w:pPr>
      <w:r w:rsidRPr="005B03CE">
        <w:rPr>
          <w:b/>
          <w:noProof/>
          <w:u w:val="single"/>
        </w:rPr>
        <w:t>LEGISLATIVE FINANCIAL STATEMENT</w:t>
      </w:r>
    </w:p>
    <w:p w:rsidR="00DD0A9C" w:rsidRPr="005B03CE" w:rsidRDefault="004A06D6" w:rsidP="004A06D6">
      <w:pPr>
        <w:pStyle w:val="ManualHeading1"/>
        <w:rPr>
          <w:noProof/>
        </w:rPr>
      </w:pPr>
      <w:bookmarkStart w:id="5" w:name="_Toc514938007"/>
      <w:bookmarkStart w:id="6" w:name="_Toc520485025"/>
      <w:r w:rsidRPr="004A06D6">
        <w:t>1.</w:t>
      </w:r>
      <w:r w:rsidRPr="004A06D6">
        <w:tab/>
      </w:r>
      <w:r w:rsidR="00DD0A9C" w:rsidRPr="005B03CE">
        <w:rPr>
          <w:noProof/>
        </w:rPr>
        <w:t>FRAMEWORK OF THE PROPOSAL/INITIATIVE</w:t>
      </w:r>
      <w:bookmarkEnd w:id="5"/>
      <w:bookmarkEnd w:id="6"/>
      <w:r w:rsidR="00DD0A9C" w:rsidRPr="005B03CE">
        <w:rPr>
          <w:noProof/>
        </w:rPr>
        <w:t xml:space="preserve"> </w:t>
      </w:r>
    </w:p>
    <w:p w:rsidR="00DD0A9C" w:rsidRPr="005B03CE" w:rsidRDefault="004A06D6" w:rsidP="004A06D6">
      <w:pPr>
        <w:pStyle w:val="ManualHeading2"/>
        <w:rPr>
          <w:noProof/>
        </w:rPr>
      </w:pPr>
      <w:bookmarkStart w:id="7" w:name="_Toc514938008"/>
      <w:bookmarkStart w:id="8" w:name="_Toc520485026"/>
      <w:r w:rsidRPr="004A06D6">
        <w:t>1.1.</w:t>
      </w:r>
      <w:r w:rsidRPr="004A06D6">
        <w:tab/>
      </w:r>
      <w:r w:rsidR="00DD0A9C" w:rsidRPr="005B03CE">
        <w:rPr>
          <w:noProof/>
        </w:rPr>
        <w:t>Title of the proposal/initiative</w:t>
      </w:r>
      <w:bookmarkEnd w:id="7"/>
      <w:bookmarkEnd w:id="8"/>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bookmarkStart w:id="9" w:name="_Toc514938011"/>
      <w:bookmarkStart w:id="10" w:name="_Toc520485027"/>
      <w:r w:rsidRPr="005B03CE">
        <w:rPr>
          <w:noProof/>
        </w:rPr>
        <w:t xml:space="preserve">Proposal for a Regulation of the European Parliament and of the Council </w:t>
      </w:r>
      <w:r w:rsidR="00EB388C" w:rsidRPr="00EB388C">
        <w:rPr>
          <w:noProof/>
        </w:rPr>
        <w:t>laying down measures for a high common level of cybersecurity at the institutions, bodies, offices and agencies of the Union</w:t>
      </w:r>
    </w:p>
    <w:p w:rsidR="00DD0A9C" w:rsidRPr="005B03CE" w:rsidRDefault="004A06D6" w:rsidP="004A06D6">
      <w:pPr>
        <w:pStyle w:val="ManualHeading2"/>
        <w:rPr>
          <w:i/>
          <w:noProof/>
        </w:rPr>
      </w:pPr>
      <w:r w:rsidRPr="004A06D6">
        <w:t>1.2.</w:t>
      </w:r>
      <w:r w:rsidRPr="004A06D6">
        <w:tab/>
      </w:r>
      <w:r w:rsidR="00DD0A9C" w:rsidRPr="005B03CE">
        <w:rPr>
          <w:noProof/>
        </w:rPr>
        <w:t>Policy area(s) concerned</w:t>
      </w:r>
      <w:bookmarkEnd w:id="9"/>
      <w:bookmarkEnd w:id="10"/>
      <w:r w:rsidR="00DD0A9C" w:rsidRPr="005B03CE">
        <w:rPr>
          <w:i/>
          <w:noProof/>
        </w:rPr>
        <w:t xml:space="preserve"> </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European Public Administration</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 xml:space="preserve">The proposal concerns measures that ensure a high common level of cybersecurity within the </w:t>
      </w:r>
      <w:r w:rsidR="00B07028" w:rsidRPr="005B03CE">
        <w:rPr>
          <w:noProof/>
        </w:rPr>
        <w:t xml:space="preserve">Union </w:t>
      </w:r>
      <w:r w:rsidR="00DB116F" w:rsidRPr="005B03CE">
        <w:rPr>
          <w:noProof/>
        </w:rPr>
        <w:t>institutions, bodies and agencies</w:t>
      </w:r>
    </w:p>
    <w:p w:rsidR="00DD0A9C" w:rsidRPr="005B03CE" w:rsidRDefault="004A06D6" w:rsidP="004A06D6">
      <w:pPr>
        <w:pStyle w:val="ManualHeading2"/>
        <w:rPr>
          <w:bCs/>
          <w:noProof/>
          <w:szCs w:val="24"/>
        </w:rPr>
      </w:pPr>
      <w:bookmarkStart w:id="11" w:name="_Toc514938014"/>
      <w:bookmarkStart w:id="12" w:name="_Toc520485028"/>
      <w:r w:rsidRPr="004A06D6">
        <w:t>1.3.</w:t>
      </w:r>
      <w:r w:rsidRPr="004A06D6">
        <w:tab/>
      </w:r>
      <w:r w:rsidR="00DD0A9C" w:rsidRPr="005B03CE">
        <w:rPr>
          <w:noProof/>
        </w:rPr>
        <w:t>The proposal/initiative relates to:</w:t>
      </w:r>
      <w:bookmarkEnd w:id="11"/>
      <w:bookmarkEnd w:id="12"/>
      <w:r w:rsidR="00DD0A9C" w:rsidRPr="005B03CE">
        <w:rPr>
          <w:noProof/>
        </w:rPr>
        <w:t xml:space="preserve"> </w:t>
      </w:r>
    </w:p>
    <w:p w:rsidR="001414A1" w:rsidRPr="005B03CE" w:rsidRDefault="001414A1" w:rsidP="001414A1">
      <w:pPr>
        <w:pStyle w:val="Text1"/>
        <w:rPr>
          <w:b/>
          <w:noProof/>
          <w:sz w:val="22"/>
        </w:rPr>
      </w:pPr>
      <w:bookmarkStart w:id="13" w:name="_Toc514938015"/>
      <w:bookmarkStart w:id="14" w:name="_Toc520485029"/>
      <w:r w:rsidRPr="005B03CE">
        <w:rPr>
          <w:rFonts w:ascii="Wingdings" w:eastAsia="Wingdings" w:hAnsi="Wingdings" w:cs="Wingdings"/>
          <w:noProof/>
          <w:sz w:val="22"/>
        </w:rPr>
        <w:t></w:t>
      </w:r>
      <w:r w:rsidRPr="005B03CE">
        <w:rPr>
          <w:b/>
          <w:noProof/>
        </w:rPr>
        <w:t>a new action</w:t>
      </w:r>
      <w:r w:rsidRPr="005B03CE">
        <w:rPr>
          <w:b/>
          <w:noProof/>
          <w:sz w:val="22"/>
        </w:rPr>
        <w:t xml:space="preserve"> </w:t>
      </w:r>
    </w:p>
    <w:p w:rsidR="001414A1" w:rsidRPr="005B03CE" w:rsidRDefault="001414A1" w:rsidP="001414A1">
      <w:pPr>
        <w:pStyle w:val="Text1"/>
        <w:rPr>
          <w:noProof/>
          <w:sz w:val="22"/>
        </w:rPr>
      </w:pPr>
      <w:r w:rsidRPr="005B03CE">
        <w:rPr>
          <w:rFonts w:ascii="Wingdings" w:eastAsia="Wingdings" w:hAnsi="Wingdings" w:cs="Wingdings"/>
          <w:noProof/>
          <w:sz w:val="22"/>
        </w:rPr>
        <w:t></w:t>
      </w:r>
      <w:r w:rsidRPr="005B03CE">
        <w:rPr>
          <w:i/>
          <w:noProof/>
          <w:sz w:val="22"/>
        </w:rPr>
        <w:t xml:space="preserve"> </w:t>
      </w:r>
      <w:r w:rsidRPr="005B03CE">
        <w:rPr>
          <w:b/>
          <w:noProof/>
        </w:rPr>
        <w:t>a new action following a pilot project/preparatory action</w:t>
      </w:r>
      <w:r w:rsidRPr="005B03CE">
        <w:rPr>
          <w:rStyle w:val="FootnoteReference"/>
          <w:b/>
          <w:noProof/>
        </w:rPr>
        <w:footnoteReference w:id="11"/>
      </w:r>
      <w:r w:rsidRPr="005B03CE">
        <w:rPr>
          <w:noProof/>
          <w:sz w:val="22"/>
        </w:rPr>
        <w:t xml:space="preserve"> </w:t>
      </w:r>
    </w:p>
    <w:p w:rsidR="001414A1" w:rsidRPr="005B03CE" w:rsidRDefault="001414A1" w:rsidP="001414A1">
      <w:pPr>
        <w:pStyle w:val="Text1"/>
        <w:rPr>
          <w:noProof/>
          <w:sz w:val="22"/>
        </w:rPr>
      </w:pPr>
      <w:r w:rsidRPr="005B03CE">
        <w:rPr>
          <w:rFonts w:ascii="Wingdings" w:eastAsia="Wingdings" w:hAnsi="Wingdings" w:cs="Wingdings"/>
          <w:noProof/>
          <w:sz w:val="22"/>
        </w:rPr>
        <w:t></w:t>
      </w:r>
      <w:r w:rsidRPr="005B03CE">
        <w:rPr>
          <w:i/>
          <w:noProof/>
          <w:sz w:val="22"/>
        </w:rPr>
        <w:t xml:space="preserve"> </w:t>
      </w:r>
      <w:r w:rsidRPr="005B03CE">
        <w:rPr>
          <w:b/>
          <w:noProof/>
        </w:rPr>
        <w:t>the extension of an existing action</w:t>
      </w:r>
      <w:r w:rsidRPr="005B03CE">
        <w:rPr>
          <w:noProof/>
          <w:sz w:val="22"/>
        </w:rPr>
        <w:t xml:space="preserve"> </w:t>
      </w:r>
    </w:p>
    <w:p w:rsidR="001414A1" w:rsidRPr="005B03CE" w:rsidRDefault="001414A1" w:rsidP="001414A1">
      <w:pPr>
        <w:pStyle w:val="Text1"/>
        <w:rPr>
          <w:noProof/>
        </w:rPr>
      </w:pPr>
      <w:r w:rsidRPr="005B03CE">
        <w:rPr>
          <w:rFonts w:ascii="Wingdings" w:eastAsia="Wingdings" w:hAnsi="Wingdings" w:cs="Wingdings"/>
          <w:noProof/>
          <w:sz w:val="22"/>
        </w:rPr>
        <w:t></w:t>
      </w:r>
      <w:r w:rsidRPr="005B03CE">
        <w:rPr>
          <w:i/>
          <w:noProof/>
          <w:sz w:val="22"/>
        </w:rPr>
        <w:t xml:space="preserve"> </w:t>
      </w:r>
      <w:r w:rsidRPr="005B03CE">
        <w:rPr>
          <w:b/>
          <w:noProof/>
        </w:rPr>
        <w:t>a merger or redirection of one or more actions towards another/a new action</w:t>
      </w:r>
      <w:r w:rsidRPr="005B03CE">
        <w:rPr>
          <w:noProof/>
        </w:rPr>
        <w:t xml:space="preserve"> </w:t>
      </w:r>
    </w:p>
    <w:p w:rsidR="00DD0A9C" w:rsidRPr="005B03CE" w:rsidRDefault="004A06D6" w:rsidP="004A06D6">
      <w:pPr>
        <w:pStyle w:val="ManualHeading2"/>
        <w:rPr>
          <w:bCs/>
          <w:noProof/>
          <w:szCs w:val="24"/>
        </w:rPr>
      </w:pPr>
      <w:r w:rsidRPr="004A06D6">
        <w:t>1.4.</w:t>
      </w:r>
      <w:r w:rsidRPr="004A06D6">
        <w:tab/>
      </w:r>
      <w:r w:rsidR="00DD0A9C" w:rsidRPr="005B03CE">
        <w:rPr>
          <w:noProof/>
        </w:rPr>
        <w:t>Objective(s)</w:t>
      </w:r>
      <w:bookmarkEnd w:id="13"/>
      <w:bookmarkEnd w:id="14"/>
    </w:p>
    <w:p w:rsidR="00DD0A9C" w:rsidRPr="005B03CE" w:rsidRDefault="004A06D6" w:rsidP="004A06D6">
      <w:pPr>
        <w:pStyle w:val="ManualHeading3"/>
        <w:rPr>
          <w:noProof/>
        </w:rPr>
      </w:pPr>
      <w:bookmarkStart w:id="15" w:name="_Toc514938016"/>
      <w:bookmarkStart w:id="16" w:name="_Toc520485030"/>
      <w:r w:rsidRPr="004A06D6">
        <w:t>1.4.1.</w:t>
      </w:r>
      <w:r w:rsidRPr="004A06D6">
        <w:tab/>
      </w:r>
      <w:r w:rsidR="00DD0A9C" w:rsidRPr="005B03CE">
        <w:rPr>
          <w:noProof/>
        </w:rPr>
        <w:t>General objective(s)</w:t>
      </w:r>
      <w:bookmarkEnd w:id="15"/>
      <w:bookmarkEnd w:id="16"/>
    </w:p>
    <w:p w:rsidR="00DD0A9C" w:rsidRPr="005B03CE" w:rsidRDefault="00DD0A9C" w:rsidP="007F373E">
      <w:pPr>
        <w:pStyle w:val="Tiret1"/>
        <w:numPr>
          <w:ilvl w:val="0"/>
          <w:numId w:val="40"/>
        </w:numPr>
        <w:pBdr>
          <w:top w:val="single" w:sz="4" w:space="1" w:color="auto"/>
          <w:left w:val="single" w:sz="4" w:space="4" w:color="auto"/>
          <w:bottom w:val="single" w:sz="4" w:space="1" w:color="auto"/>
          <w:right w:val="single" w:sz="4" w:space="4" w:color="auto"/>
        </w:pBdr>
        <w:rPr>
          <w:noProof/>
        </w:rPr>
      </w:pPr>
      <w:r w:rsidRPr="005B03CE">
        <w:rPr>
          <w:noProof/>
        </w:rPr>
        <w:t xml:space="preserve">To establish a framework to ensure a high common level of cybersecurity within the </w:t>
      </w:r>
      <w:r w:rsidR="00B07028" w:rsidRPr="005B03CE">
        <w:rPr>
          <w:noProof/>
        </w:rPr>
        <w:t xml:space="preserve">Union </w:t>
      </w:r>
      <w:r w:rsidR="00DB116F" w:rsidRPr="005B03CE">
        <w:rPr>
          <w:noProof/>
        </w:rPr>
        <w:t>institutions, bodies and agencies</w:t>
      </w:r>
    </w:p>
    <w:p w:rsidR="00DD0A9C" w:rsidRPr="005B03CE" w:rsidRDefault="00DD0A9C" w:rsidP="00CC7818">
      <w:pPr>
        <w:pStyle w:val="Tiret1"/>
        <w:pBdr>
          <w:top w:val="single" w:sz="4" w:space="1" w:color="auto"/>
          <w:left w:val="single" w:sz="4" w:space="4" w:color="auto"/>
          <w:bottom w:val="single" w:sz="4" w:space="1" w:color="auto"/>
          <w:right w:val="single" w:sz="4" w:space="4" w:color="auto"/>
        </w:pBdr>
        <w:rPr>
          <w:noProof/>
        </w:rPr>
      </w:pPr>
      <w:r w:rsidRPr="005B03CE">
        <w:rPr>
          <w:noProof/>
        </w:rPr>
        <w:t xml:space="preserve">To provide a new legal base for CERT-EU to reinforce its mandate and funding </w:t>
      </w:r>
    </w:p>
    <w:p w:rsidR="00DD0A9C" w:rsidRPr="005B03CE" w:rsidRDefault="004A06D6" w:rsidP="004A06D6">
      <w:pPr>
        <w:pStyle w:val="ManualHeading3"/>
        <w:rPr>
          <w:bCs/>
          <w:noProof/>
          <w:szCs w:val="24"/>
        </w:rPr>
      </w:pPr>
      <w:bookmarkStart w:id="17" w:name="_Toc514938018"/>
      <w:bookmarkStart w:id="18" w:name="_Toc520485031"/>
      <w:r w:rsidRPr="004A06D6">
        <w:t>1.4.2.</w:t>
      </w:r>
      <w:r w:rsidRPr="004A06D6">
        <w:tab/>
      </w:r>
      <w:r w:rsidR="00DD0A9C" w:rsidRPr="005B03CE">
        <w:rPr>
          <w:noProof/>
        </w:rPr>
        <w:t>Specific objective(s)</w:t>
      </w:r>
      <w:bookmarkEnd w:id="17"/>
      <w:bookmarkEnd w:id="18"/>
    </w:p>
    <w:p w:rsidR="00DD0A9C" w:rsidRPr="005B03CE" w:rsidRDefault="004A06D6" w:rsidP="004A06D6">
      <w:pPr>
        <w:pStyle w:val="Point1"/>
        <w:rPr>
          <w:noProof/>
        </w:rPr>
      </w:pPr>
      <w:r w:rsidRPr="004A06D6">
        <w:t>(1)</w:t>
      </w:r>
      <w:r w:rsidRPr="004A06D6">
        <w:tab/>
      </w:r>
      <w:r w:rsidR="00DD0A9C" w:rsidRPr="005B03CE">
        <w:rPr>
          <w:noProof/>
        </w:rPr>
        <w:t xml:space="preserve">To lay down obligations on </w:t>
      </w:r>
      <w:r w:rsidR="00B07028" w:rsidRPr="005B03CE">
        <w:rPr>
          <w:noProof/>
        </w:rPr>
        <w:t xml:space="preserve">Union </w:t>
      </w:r>
      <w:r w:rsidR="00DB116F" w:rsidRPr="005B03CE">
        <w:rPr>
          <w:noProof/>
        </w:rPr>
        <w:t>institutions, bodies and agencies</w:t>
      </w:r>
      <w:r w:rsidR="00DD0A9C" w:rsidRPr="005B03CE">
        <w:rPr>
          <w:noProof/>
        </w:rPr>
        <w:t xml:space="preserve"> to establish an internal cybersecurity risk management, governance and control framework </w:t>
      </w:r>
    </w:p>
    <w:p w:rsidR="00DD0A9C" w:rsidRPr="005B03CE" w:rsidRDefault="004A06D6" w:rsidP="004A06D6">
      <w:pPr>
        <w:pStyle w:val="Point1"/>
        <w:rPr>
          <w:noProof/>
        </w:rPr>
      </w:pPr>
      <w:r w:rsidRPr="004A06D6">
        <w:t>(2)</w:t>
      </w:r>
      <w:r w:rsidRPr="004A06D6">
        <w:tab/>
      </w:r>
      <w:r w:rsidR="00DD0A9C" w:rsidRPr="005B03CE">
        <w:rPr>
          <w:noProof/>
        </w:rPr>
        <w:t>To lay down</w:t>
      </w:r>
      <w:r w:rsidR="00FE749F" w:rsidRPr="005B03CE" w:rsidDel="00FE749F">
        <w:rPr>
          <w:noProof/>
        </w:rPr>
        <w:t xml:space="preserve"> </w:t>
      </w:r>
      <w:r w:rsidR="00DD0A9C" w:rsidRPr="005B03CE">
        <w:rPr>
          <w:noProof/>
        </w:rPr>
        <w:t xml:space="preserve">obligations </w:t>
      </w:r>
      <w:r w:rsidR="00AE59A2" w:rsidRPr="005B03CE">
        <w:rPr>
          <w:noProof/>
        </w:rPr>
        <w:t>on</w:t>
      </w:r>
      <w:r w:rsidR="00625859" w:rsidRPr="005B03CE">
        <w:rPr>
          <w:noProof/>
        </w:rPr>
        <w:t xml:space="preserve"> </w:t>
      </w:r>
      <w:r w:rsidR="00B07028" w:rsidRPr="005B03CE">
        <w:rPr>
          <w:noProof/>
        </w:rPr>
        <w:t xml:space="preserve">Union </w:t>
      </w:r>
      <w:r w:rsidR="00DB116F" w:rsidRPr="005B03CE">
        <w:rPr>
          <w:noProof/>
        </w:rPr>
        <w:t>institutions, bodies and agencies</w:t>
      </w:r>
      <w:r w:rsidR="00AE59A2" w:rsidRPr="005B03CE">
        <w:rPr>
          <w:noProof/>
        </w:rPr>
        <w:t xml:space="preserve"> to report on their cybersecurity risk management, governance and control framework as well as on cybersecurity incidents</w:t>
      </w:r>
      <w:r w:rsidR="00DD0A9C" w:rsidRPr="005B03CE">
        <w:rPr>
          <w:noProof/>
        </w:rPr>
        <w:t> </w:t>
      </w:r>
    </w:p>
    <w:p w:rsidR="00DD0A9C" w:rsidRPr="005B03CE" w:rsidRDefault="004A06D6" w:rsidP="004A06D6">
      <w:pPr>
        <w:pStyle w:val="Point1"/>
        <w:rPr>
          <w:noProof/>
        </w:rPr>
      </w:pPr>
      <w:r w:rsidRPr="004A06D6">
        <w:t>(3)</w:t>
      </w:r>
      <w:r w:rsidRPr="004A06D6">
        <w:tab/>
      </w:r>
      <w:r w:rsidR="00DD0A9C" w:rsidRPr="005B03CE">
        <w:rPr>
          <w:noProof/>
        </w:rPr>
        <w:t xml:space="preserve">To lay down rules on the organisation and operation of the Cybersecurity Centre for the </w:t>
      </w:r>
      <w:r w:rsidR="00B07028" w:rsidRPr="005B03CE">
        <w:rPr>
          <w:noProof/>
        </w:rPr>
        <w:t xml:space="preserve">Union </w:t>
      </w:r>
      <w:r w:rsidR="00DB116F" w:rsidRPr="005B03CE">
        <w:rPr>
          <w:noProof/>
        </w:rPr>
        <w:t>institutions, bodies and agencies</w:t>
      </w:r>
      <w:r w:rsidR="00DD0A9C" w:rsidRPr="005B03CE">
        <w:rPr>
          <w:noProof/>
        </w:rPr>
        <w:t xml:space="preserve"> (CERT-EU) and on the organisation and operation of the Interinstitutional Cybersecurity Board (IICB)</w:t>
      </w:r>
    </w:p>
    <w:p w:rsidR="00DD0A9C" w:rsidRPr="005B03CE" w:rsidRDefault="004A06D6" w:rsidP="004A06D6">
      <w:pPr>
        <w:pStyle w:val="Point1"/>
        <w:rPr>
          <w:noProof/>
        </w:rPr>
      </w:pPr>
      <w:r w:rsidRPr="004A06D6">
        <w:t>(4)</w:t>
      </w:r>
      <w:r w:rsidRPr="004A06D6">
        <w:tab/>
      </w:r>
      <w:r w:rsidR="00DD0A9C" w:rsidRPr="005B03CE">
        <w:rPr>
          <w:noProof/>
        </w:rPr>
        <w:t>To contribute to the Joint Cyber Unit</w:t>
      </w:r>
    </w:p>
    <w:p w:rsidR="00DD0A9C" w:rsidRPr="005B03CE" w:rsidRDefault="004A06D6" w:rsidP="004A06D6">
      <w:pPr>
        <w:pStyle w:val="ManualHeading3"/>
        <w:rPr>
          <w:noProof/>
        </w:rPr>
      </w:pPr>
      <w:bookmarkStart w:id="19" w:name="_Toc514938019"/>
      <w:bookmarkStart w:id="20" w:name="_Toc520485032"/>
      <w:r w:rsidRPr="004A06D6">
        <w:t>1.4.3.</w:t>
      </w:r>
      <w:r w:rsidRPr="004A06D6">
        <w:tab/>
      </w:r>
      <w:r w:rsidR="00DD0A9C" w:rsidRPr="005B03CE">
        <w:rPr>
          <w:noProof/>
        </w:rPr>
        <w:t>Expected result(s) and impact</w:t>
      </w:r>
      <w:bookmarkEnd w:id="19"/>
      <w:bookmarkEnd w:id="20"/>
    </w:p>
    <w:p w:rsidR="00DD0A9C" w:rsidRPr="005B03CE" w:rsidRDefault="00DD0A9C" w:rsidP="00DD0A9C">
      <w:pPr>
        <w:pStyle w:val="Text1"/>
        <w:rPr>
          <w:i/>
          <w:noProof/>
          <w:sz w:val="20"/>
        </w:rPr>
      </w:pPr>
      <w:r w:rsidRPr="005B03CE">
        <w:rPr>
          <w:i/>
          <w:noProof/>
          <w:sz w:val="20"/>
        </w:rPr>
        <w:t>Specify the effects which the proposal/initiative should have on the beneficiaries/groups targeted.</w:t>
      </w:r>
    </w:p>
    <w:p w:rsidR="00DD0A9C" w:rsidRPr="005B03CE" w:rsidRDefault="00DD0A9C" w:rsidP="00511B5D">
      <w:pPr>
        <w:pStyle w:val="Tiret1"/>
        <w:pBdr>
          <w:top w:val="single" w:sz="4" w:space="1" w:color="auto"/>
          <w:left w:val="single" w:sz="4" w:space="4" w:color="auto"/>
          <w:bottom w:val="single" w:sz="4" w:space="1" w:color="auto"/>
          <w:right w:val="single" w:sz="4" w:space="4" w:color="auto"/>
        </w:pBdr>
        <w:rPr>
          <w:noProof/>
        </w:rPr>
      </w:pPr>
      <w:r w:rsidRPr="005B03CE">
        <w:rPr>
          <w:noProof/>
        </w:rPr>
        <w:t xml:space="preserve">Internal cybersecurity risk management, governance and control frameworks, cybersecurity baselines, regular maturity assessments and cybersecurity plans at the </w:t>
      </w:r>
      <w:r w:rsidR="00B07028" w:rsidRPr="005B03CE">
        <w:rPr>
          <w:noProof/>
        </w:rPr>
        <w:t xml:space="preserve">Union </w:t>
      </w:r>
      <w:r w:rsidR="00DB116F" w:rsidRPr="005B03CE">
        <w:rPr>
          <w:noProof/>
        </w:rPr>
        <w:t>institutions, bodies and agencies</w:t>
      </w:r>
    </w:p>
    <w:p w:rsidR="00DD0A9C" w:rsidRPr="005B03CE" w:rsidRDefault="00DD0A9C" w:rsidP="00511B5D">
      <w:pPr>
        <w:pStyle w:val="Tiret1"/>
        <w:pBdr>
          <w:top w:val="single" w:sz="4" w:space="1" w:color="auto"/>
          <w:left w:val="single" w:sz="4" w:space="4" w:color="auto"/>
          <w:bottom w:val="single" w:sz="4" w:space="1" w:color="auto"/>
          <w:right w:val="single" w:sz="4" w:space="4" w:color="auto"/>
        </w:pBdr>
        <w:rPr>
          <w:noProof/>
        </w:rPr>
      </w:pPr>
      <w:r w:rsidRPr="005B03CE">
        <w:rPr>
          <w:noProof/>
        </w:rPr>
        <w:t xml:space="preserve">Improvement of cybersecurity resilience and incident response capacities at the </w:t>
      </w:r>
      <w:r w:rsidR="00B07028" w:rsidRPr="005B03CE">
        <w:rPr>
          <w:noProof/>
        </w:rPr>
        <w:t xml:space="preserve">Union </w:t>
      </w:r>
      <w:r w:rsidR="00DB116F" w:rsidRPr="005B03CE">
        <w:rPr>
          <w:noProof/>
        </w:rPr>
        <w:t>institutions, bodies and agencies</w:t>
      </w:r>
    </w:p>
    <w:p w:rsidR="00DD0A9C" w:rsidRPr="005B03CE" w:rsidRDefault="00DD0A9C" w:rsidP="00511B5D">
      <w:pPr>
        <w:pStyle w:val="Tiret1"/>
        <w:pBdr>
          <w:top w:val="single" w:sz="4" w:space="1" w:color="auto"/>
          <w:left w:val="single" w:sz="4" w:space="4" w:color="auto"/>
          <w:bottom w:val="single" w:sz="4" w:space="1" w:color="auto"/>
          <w:right w:val="single" w:sz="4" w:space="4" w:color="auto"/>
        </w:pBdr>
        <w:rPr>
          <w:noProof/>
        </w:rPr>
      </w:pPr>
      <w:r w:rsidRPr="005B03CE">
        <w:rPr>
          <w:noProof/>
        </w:rPr>
        <w:t>Modernisation of CERT-EU</w:t>
      </w:r>
    </w:p>
    <w:p w:rsidR="00DD0A9C" w:rsidRPr="005B03CE" w:rsidRDefault="00DD0A9C" w:rsidP="00511B5D">
      <w:pPr>
        <w:pStyle w:val="Tiret1"/>
        <w:pBdr>
          <w:top w:val="single" w:sz="4" w:space="1" w:color="auto"/>
          <w:left w:val="single" w:sz="4" w:space="4" w:color="auto"/>
          <w:bottom w:val="single" w:sz="4" w:space="1" w:color="auto"/>
          <w:right w:val="single" w:sz="4" w:space="4" w:color="auto"/>
        </w:pBdr>
        <w:rPr>
          <w:noProof/>
        </w:rPr>
      </w:pPr>
      <w:r w:rsidRPr="005B03CE">
        <w:rPr>
          <w:noProof/>
        </w:rPr>
        <w:t xml:space="preserve">Contribution to the Joint Cyber Unit </w:t>
      </w:r>
    </w:p>
    <w:p w:rsidR="00DD0A9C" w:rsidRPr="005B03CE" w:rsidRDefault="004A06D6" w:rsidP="004A06D6">
      <w:pPr>
        <w:pStyle w:val="ManualHeading3"/>
        <w:rPr>
          <w:noProof/>
          <w:szCs w:val="24"/>
        </w:rPr>
      </w:pPr>
      <w:bookmarkStart w:id="21" w:name="_Toc514938023"/>
      <w:bookmarkStart w:id="22" w:name="_Toc520485033"/>
      <w:r w:rsidRPr="004A06D6">
        <w:t>1.4.4.</w:t>
      </w:r>
      <w:r w:rsidRPr="004A06D6">
        <w:tab/>
      </w:r>
      <w:r w:rsidR="00DD0A9C" w:rsidRPr="005B03CE">
        <w:rPr>
          <w:noProof/>
        </w:rPr>
        <w:t>Indicators of performance</w:t>
      </w:r>
      <w:bookmarkEnd w:id="21"/>
      <w:bookmarkEnd w:id="22"/>
    </w:p>
    <w:p w:rsidR="00DD0A9C" w:rsidRPr="005B03CE" w:rsidRDefault="00DD0A9C" w:rsidP="00DD0A9C">
      <w:pPr>
        <w:pStyle w:val="Text1"/>
        <w:rPr>
          <w:noProof/>
        </w:rPr>
      </w:pPr>
      <w:r w:rsidRPr="005B03CE">
        <w:rPr>
          <w:i/>
          <w:noProof/>
          <w:sz w:val="20"/>
        </w:rPr>
        <w:t>Specify the indicators for monitoring progress and achievements.</w:t>
      </w:r>
    </w:p>
    <w:p w:rsidR="00DD0A9C" w:rsidRPr="005B03CE" w:rsidRDefault="00DD0A9C" w:rsidP="00511B5D">
      <w:pPr>
        <w:pStyle w:val="Tiret1"/>
        <w:pBdr>
          <w:top w:val="single" w:sz="4" w:space="1" w:color="auto"/>
          <w:left w:val="single" w:sz="4" w:space="4" w:color="auto"/>
          <w:bottom w:val="single" w:sz="4" w:space="1" w:color="auto"/>
          <w:right w:val="single" w:sz="4" w:space="4" w:color="auto"/>
        </w:pBdr>
        <w:rPr>
          <w:noProof/>
        </w:rPr>
      </w:pPr>
      <w:r w:rsidRPr="005B03CE">
        <w:rPr>
          <w:noProof/>
        </w:rPr>
        <w:t>Frameworks and baselines in place, regular maturity assessments and cybersecurity plans carri</w:t>
      </w:r>
      <w:r w:rsidR="004D0C90" w:rsidRPr="005B03CE">
        <w:rPr>
          <w:noProof/>
        </w:rPr>
        <w:t>ed out in the Union institution</w:t>
      </w:r>
      <w:r w:rsidR="000D2770" w:rsidRPr="005B03CE">
        <w:rPr>
          <w:noProof/>
        </w:rPr>
        <w:t>, bodies and agencies</w:t>
      </w:r>
    </w:p>
    <w:p w:rsidR="00DD0A9C" w:rsidRPr="005B03CE" w:rsidRDefault="00DD0A9C" w:rsidP="00511B5D">
      <w:pPr>
        <w:pStyle w:val="Tiret1"/>
        <w:pBdr>
          <w:top w:val="single" w:sz="4" w:space="1" w:color="auto"/>
          <w:left w:val="single" w:sz="4" w:space="4" w:color="auto"/>
          <w:bottom w:val="single" w:sz="4" w:space="1" w:color="auto"/>
          <w:right w:val="single" w:sz="4" w:space="4" w:color="auto"/>
        </w:pBdr>
        <w:rPr>
          <w:noProof/>
        </w:rPr>
      </w:pPr>
      <w:r w:rsidRPr="005B03CE">
        <w:rPr>
          <w:noProof/>
        </w:rPr>
        <w:t>Improved handling of incidents</w:t>
      </w:r>
    </w:p>
    <w:p w:rsidR="00DD0A9C" w:rsidRPr="005B03CE" w:rsidRDefault="00DD0A9C" w:rsidP="00511B5D">
      <w:pPr>
        <w:pStyle w:val="Tiret1"/>
        <w:pBdr>
          <w:top w:val="single" w:sz="4" w:space="1" w:color="auto"/>
          <w:left w:val="single" w:sz="4" w:space="4" w:color="auto"/>
          <w:bottom w:val="single" w:sz="4" w:space="1" w:color="auto"/>
          <w:right w:val="single" w:sz="4" w:space="4" w:color="auto"/>
        </w:pBdr>
        <w:rPr>
          <w:noProof/>
        </w:rPr>
      </w:pPr>
      <w:r w:rsidRPr="005B03CE">
        <w:rPr>
          <w:noProof/>
        </w:rPr>
        <w:t xml:space="preserve">Increased awareness of cybersecurity risks at the </w:t>
      </w:r>
      <w:r w:rsidR="00F953B9" w:rsidRPr="005B03CE">
        <w:rPr>
          <w:noProof/>
        </w:rPr>
        <w:t>senior management level</w:t>
      </w:r>
      <w:r w:rsidRPr="005B03CE">
        <w:rPr>
          <w:noProof/>
        </w:rPr>
        <w:t xml:space="preserve"> of the </w:t>
      </w:r>
      <w:r w:rsidR="00B07028" w:rsidRPr="005B03CE">
        <w:rPr>
          <w:noProof/>
        </w:rPr>
        <w:t xml:space="preserve">Union </w:t>
      </w:r>
      <w:r w:rsidR="00DB116F" w:rsidRPr="005B03CE">
        <w:rPr>
          <w:noProof/>
        </w:rPr>
        <w:t>institutions, bodies and agencies</w:t>
      </w:r>
    </w:p>
    <w:p w:rsidR="00DD0A9C" w:rsidRPr="005B03CE" w:rsidRDefault="00DD0A9C" w:rsidP="00511B5D">
      <w:pPr>
        <w:pStyle w:val="Tiret1"/>
        <w:pBdr>
          <w:top w:val="single" w:sz="4" w:space="1" w:color="auto"/>
          <w:left w:val="single" w:sz="4" w:space="4" w:color="auto"/>
          <w:bottom w:val="single" w:sz="4" w:space="1" w:color="auto"/>
          <w:right w:val="single" w:sz="4" w:space="4" w:color="auto"/>
        </w:pBdr>
        <w:rPr>
          <w:noProof/>
        </w:rPr>
      </w:pPr>
      <w:r w:rsidRPr="005B03CE">
        <w:rPr>
          <w:noProof/>
        </w:rPr>
        <w:t>Levelling ICT security spending as a percentage of overall ICT spending</w:t>
      </w:r>
    </w:p>
    <w:p w:rsidR="00DD0A9C" w:rsidRPr="005B03CE" w:rsidRDefault="00DD0A9C" w:rsidP="00511B5D">
      <w:pPr>
        <w:pStyle w:val="Tiret1"/>
        <w:pBdr>
          <w:top w:val="single" w:sz="4" w:space="1" w:color="auto"/>
          <w:left w:val="single" w:sz="4" w:space="4" w:color="auto"/>
          <w:bottom w:val="single" w:sz="4" w:space="1" w:color="auto"/>
          <w:right w:val="single" w:sz="4" w:space="4" w:color="auto"/>
        </w:pBdr>
        <w:rPr>
          <w:noProof/>
        </w:rPr>
      </w:pPr>
      <w:r w:rsidRPr="005B03CE">
        <w:rPr>
          <w:noProof/>
        </w:rPr>
        <w:t>Strong leadership of the IICB and CERT-EU</w:t>
      </w:r>
    </w:p>
    <w:p w:rsidR="00DD0A9C" w:rsidRPr="005B03CE" w:rsidRDefault="00DD0A9C" w:rsidP="00511B5D">
      <w:pPr>
        <w:pStyle w:val="Tiret1"/>
        <w:pBdr>
          <w:top w:val="single" w:sz="4" w:space="1" w:color="auto"/>
          <w:left w:val="single" w:sz="4" w:space="4" w:color="auto"/>
          <w:bottom w:val="single" w:sz="4" w:space="1" w:color="auto"/>
          <w:right w:val="single" w:sz="4" w:space="4" w:color="auto"/>
        </w:pBdr>
        <w:rPr>
          <w:noProof/>
        </w:rPr>
      </w:pPr>
      <w:r w:rsidRPr="005B03CE">
        <w:rPr>
          <w:noProof/>
        </w:rPr>
        <w:t xml:space="preserve">Increased information sharing among the </w:t>
      </w:r>
      <w:r w:rsidR="00B07028" w:rsidRPr="005B03CE">
        <w:rPr>
          <w:noProof/>
        </w:rPr>
        <w:t xml:space="preserve">Union </w:t>
      </w:r>
      <w:r w:rsidR="00DB116F" w:rsidRPr="005B03CE">
        <w:rPr>
          <w:noProof/>
        </w:rPr>
        <w:t>institutions, bodies and agencies</w:t>
      </w:r>
      <w:r w:rsidRPr="005B03CE">
        <w:rPr>
          <w:noProof/>
        </w:rPr>
        <w:t xml:space="preserve"> and with relevant bodies and stakeholders in the EU</w:t>
      </w:r>
    </w:p>
    <w:p w:rsidR="00DD0A9C" w:rsidRPr="005B03CE" w:rsidRDefault="00DD0A9C" w:rsidP="00511B5D">
      <w:pPr>
        <w:pStyle w:val="Tiret1"/>
        <w:pBdr>
          <w:top w:val="single" w:sz="4" w:space="1" w:color="auto"/>
          <w:left w:val="single" w:sz="4" w:space="4" w:color="auto"/>
          <w:bottom w:val="single" w:sz="4" w:space="1" w:color="auto"/>
          <w:right w:val="single" w:sz="4" w:space="4" w:color="auto"/>
        </w:pBdr>
        <w:rPr>
          <w:noProof/>
        </w:rPr>
      </w:pPr>
      <w:r w:rsidRPr="005B03CE">
        <w:rPr>
          <w:noProof/>
        </w:rPr>
        <w:t>Increased cybersecurity cooperation with relevant bodies and stakeholders in the EU, via CERT-EU and ENISA</w:t>
      </w:r>
    </w:p>
    <w:p w:rsidR="00DD0A9C" w:rsidRPr="005B03CE" w:rsidRDefault="004A06D6" w:rsidP="004A06D6">
      <w:pPr>
        <w:pStyle w:val="ManualHeading2"/>
        <w:rPr>
          <w:bCs/>
          <w:noProof/>
          <w:szCs w:val="24"/>
        </w:rPr>
      </w:pPr>
      <w:bookmarkStart w:id="23" w:name="_Toc514938025"/>
      <w:bookmarkStart w:id="24" w:name="_Toc520485034"/>
      <w:r w:rsidRPr="004A06D6">
        <w:t>1.5.</w:t>
      </w:r>
      <w:r w:rsidRPr="004A06D6">
        <w:tab/>
      </w:r>
      <w:r w:rsidR="00DD0A9C" w:rsidRPr="005B03CE">
        <w:rPr>
          <w:noProof/>
        </w:rPr>
        <w:t>Grounds for the proposal/initiative</w:t>
      </w:r>
      <w:bookmarkEnd w:id="23"/>
      <w:bookmarkEnd w:id="24"/>
      <w:r w:rsidR="00DD0A9C" w:rsidRPr="005B03CE">
        <w:rPr>
          <w:noProof/>
        </w:rPr>
        <w:t xml:space="preserve"> </w:t>
      </w:r>
    </w:p>
    <w:p w:rsidR="00DD0A9C" w:rsidRPr="005B03CE" w:rsidRDefault="004A06D6" w:rsidP="004A06D6">
      <w:pPr>
        <w:pStyle w:val="ManualHeading3"/>
        <w:rPr>
          <w:noProof/>
        </w:rPr>
      </w:pPr>
      <w:bookmarkStart w:id="25" w:name="_Toc514938026"/>
      <w:bookmarkStart w:id="26" w:name="_Toc520485035"/>
      <w:r w:rsidRPr="004A06D6">
        <w:t>1.5.1.</w:t>
      </w:r>
      <w:r w:rsidRPr="004A06D6">
        <w:tab/>
      </w:r>
      <w:r w:rsidR="00DD0A9C" w:rsidRPr="005B03CE">
        <w:rPr>
          <w:noProof/>
        </w:rPr>
        <w:t>Requirement(s) to be met in the short or long term including a detailed timeline for roll-out of the implementation of the initiative</w:t>
      </w:r>
      <w:bookmarkEnd w:id="25"/>
      <w:bookmarkEnd w:id="26"/>
      <w:r w:rsidR="002D48F7" w:rsidRPr="005B03CE">
        <w:rPr>
          <w:noProof/>
        </w:rPr>
        <w:t>.</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 xml:space="preserve">The proposal aims to increase the level of cyber resilience of the </w:t>
      </w:r>
      <w:r w:rsidR="00B07028" w:rsidRPr="005B03CE">
        <w:rPr>
          <w:noProof/>
        </w:rPr>
        <w:t xml:space="preserve">Union </w:t>
      </w:r>
      <w:r w:rsidR="00DB116F" w:rsidRPr="005B03CE">
        <w:rPr>
          <w:noProof/>
        </w:rPr>
        <w:t>institutions, bodies and agencies</w:t>
      </w:r>
      <w:r w:rsidRPr="005B03CE">
        <w:rPr>
          <w:noProof/>
        </w:rPr>
        <w:t xml:space="preserve">, to reduce inconsistencies in the resilience across these </w:t>
      </w:r>
      <w:r w:rsidR="00240AA7" w:rsidRPr="005B03CE">
        <w:rPr>
          <w:noProof/>
        </w:rPr>
        <w:t>entities</w:t>
      </w:r>
      <w:r w:rsidRPr="005B03CE">
        <w:rPr>
          <w:noProof/>
        </w:rPr>
        <w:t xml:space="preserve"> and to improve the level of joint situational awareness and the collective capability to prepare and respond.</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The proposal is fully consistent and coherent with other related initiatives, and in particular the proposal for a Directive on measures for a high common level of cybersecurity across the Union, repe</w:t>
      </w:r>
      <w:r w:rsidR="001414A1" w:rsidRPr="005B03CE">
        <w:rPr>
          <w:noProof/>
        </w:rPr>
        <w:t xml:space="preserve">aling Directive (EU) 2016/1148 [proposal </w:t>
      </w:r>
      <w:r w:rsidRPr="005B03CE">
        <w:rPr>
          <w:noProof/>
        </w:rPr>
        <w:t>NIS</w:t>
      </w:r>
      <w:r w:rsidR="001414A1" w:rsidRPr="005B03CE">
        <w:rPr>
          <w:noProof/>
        </w:rPr>
        <w:t xml:space="preserve"> </w:t>
      </w:r>
      <w:r w:rsidRPr="005B03CE">
        <w:rPr>
          <w:noProof/>
        </w:rPr>
        <w:t>2</w:t>
      </w:r>
      <w:r w:rsidR="001414A1" w:rsidRPr="005B03CE">
        <w:rPr>
          <w:noProof/>
        </w:rPr>
        <w:t>].</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The proposal is an essential part of the EU Security Union Strategy and the EU’s Cybersecurity Strategy for the Digital Decade.</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 xml:space="preserve">The Regulation is scheduled to be proposed by the European Commission in October 2021, the adoption of the Regulation by the European Parliament and the Council is expected in 2022 and the provisions will be applicable from the entry into force of the Regulation. The financial and HR impact outlined in this Legislative Financial Statement are foreseen to begin in 2023. A </w:t>
      </w:r>
      <w:r w:rsidR="008E18FF" w:rsidRPr="005B03CE">
        <w:rPr>
          <w:noProof/>
        </w:rPr>
        <w:t>preparatory</w:t>
      </w:r>
      <w:r w:rsidRPr="005B03CE">
        <w:rPr>
          <w:noProof/>
        </w:rPr>
        <w:t xml:space="preserve"> period has already begun in 2021, but the </w:t>
      </w:r>
      <w:r w:rsidR="008E18FF" w:rsidRPr="005B03CE">
        <w:rPr>
          <w:noProof/>
        </w:rPr>
        <w:t>preparatory</w:t>
      </w:r>
      <w:r w:rsidRPr="005B03CE">
        <w:rPr>
          <w:noProof/>
        </w:rPr>
        <w:t xml:space="preserve"> activities in 2021 and 2022 are outside the financial impact of the proposal.</w:t>
      </w:r>
    </w:p>
    <w:p w:rsidR="00DD0A9C" w:rsidRPr="005B03CE" w:rsidRDefault="004A06D6" w:rsidP="004A06D6">
      <w:pPr>
        <w:pStyle w:val="ManualHeading3"/>
        <w:rPr>
          <w:bCs/>
          <w:noProof/>
          <w:szCs w:val="24"/>
        </w:rPr>
      </w:pPr>
      <w:bookmarkStart w:id="27" w:name="_Toc514938029"/>
      <w:bookmarkStart w:id="28" w:name="_Toc520485036"/>
      <w:r w:rsidRPr="004A06D6">
        <w:t>1.5.2.</w:t>
      </w:r>
      <w:r w:rsidRPr="004A06D6">
        <w:tab/>
      </w:r>
      <w:r w:rsidR="00DD0A9C" w:rsidRPr="005B03CE">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27"/>
      <w:bookmarkEnd w:id="28"/>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Reasons for act</w:t>
      </w:r>
      <w:r w:rsidR="00BD6894" w:rsidRPr="005B03CE">
        <w:rPr>
          <w:noProof/>
        </w:rPr>
        <w:t>ion at European level (ex-ante)</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 xml:space="preserve">From 2019 to 2021, the number of significant incidents affecting </w:t>
      </w:r>
      <w:r w:rsidR="00B07028" w:rsidRPr="005B03CE">
        <w:rPr>
          <w:noProof/>
        </w:rPr>
        <w:t xml:space="preserve">Union </w:t>
      </w:r>
      <w:r w:rsidR="00DB116F" w:rsidRPr="005B03CE">
        <w:rPr>
          <w:noProof/>
        </w:rPr>
        <w:t>institutions, bodies and agencies</w:t>
      </w:r>
      <w:r w:rsidRPr="005B03CE">
        <w:rPr>
          <w:noProof/>
        </w:rPr>
        <w:t>, authored by advanced persistent threat actors, has surged dramatically. The first half of 2021 saw the equivalent in significant incidents as in the whole of 2020. This is as well reflected in the number of forensics images (snapshots of the contents of affected systems or devices) CERT-EU analysed in 2020, which tripled in comparison to 2019, while the number of significant incidents rose more than ten-fold since 2018.</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The levels of cybersecurity maturity vary substantially from one entity to another</w:t>
      </w:r>
      <w:r w:rsidR="001414A1" w:rsidRPr="005B03CE">
        <w:rPr>
          <w:rStyle w:val="FootnoteReference"/>
          <w:noProof/>
        </w:rPr>
        <w:footnoteReference w:id="12"/>
      </w:r>
      <w:r w:rsidRPr="005B03CE">
        <w:rPr>
          <w:noProof/>
        </w:rPr>
        <w:t xml:space="preserve">. This Regulation ensures that all </w:t>
      </w:r>
      <w:r w:rsidR="00B07028" w:rsidRPr="005B03CE">
        <w:rPr>
          <w:noProof/>
        </w:rPr>
        <w:t xml:space="preserve">Union </w:t>
      </w:r>
      <w:r w:rsidR="00DB116F" w:rsidRPr="005B03CE">
        <w:rPr>
          <w:noProof/>
        </w:rPr>
        <w:t>institutions, bodies and agencies</w:t>
      </w:r>
      <w:r w:rsidRPr="005B03CE">
        <w:rPr>
          <w:noProof/>
        </w:rPr>
        <w:t xml:space="preserve"> will implement a baseline of security measures and cooperate among each other with as its goal the open and efficient functioning of the </w:t>
      </w:r>
      <w:r w:rsidR="00C60133" w:rsidRPr="005B03CE">
        <w:rPr>
          <w:noProof/>
        </w:rPr>
        <w:t>Union</w:t>
      </w:r>
      <w:r w:rsidRPr="005B03CE">
        <w:rPr>
          <w:noProof/>
        </w:rPr>
        <w:t xml:space="preserve"> administration.</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 xml:space="preserve">The systems to be preserved fall within the autonomy of and are operated by the </w:t>
      </w:r>
      <w:r w:rsidR="00B07028" w:rsidRPr="005B03CE">
        <w:rPr>
          <w:noProof/>
        </w:rPr>
        <w:t xml:space="preserve">Union </w:t>
      </w:r>
      <w:r w:rsidR="00DB116F" w:rsidRPr="005B03CE">
        <w:rPr>
          <w:noProof/>
        </w:rPr>
        <w:t>institutions, bodies and agencies</w:t>
      </w:r>
      <w:r w:rsidRPr="005B03CE">
        <w:rPr>
          <w:noProof/>
        </w:rPr>
        <w:t>; the proposed actions could not be created by the Member States.</w:t>
      </w:r>
    </w:p>
    <w:p w:rsidR="00DD0A9C" w:rsidRPr="005B03CE" w:rsidRDefault="004A06D6" w:rsidP="004A06D6">
      <w:pPr>
        <w:pStyle w:val="ManualHeading3"/>
        <w:rPr>
          <w:noProof/>
        </w:rPr>
      </w:pPr>
      <w:bookmarkStart w:id="29" w:name="_Toc514938030"/>
      <w:bookmarkStart w:id="30" w:name="_Toc520485037"/>
      <w:r w:rsidRPr="004A06D6">
        <w:t>1.5.3.</w:t>
      </w:r>
      <w:r w:rsidRPr="004A06D6">
        <w:tab/>
      </w:r>
      <w:r w:rsidR="00DD0A9C" w:rsidRPr="005B03CE">
        <w:rPr>
          <w:noProof/>
        </w:rPr>
        <w:t>Lessons learned from similar experiences in the past</w:t>
      </w:r>
      <w:bookmarkEnd w:id="29"/>
      <w:bookmarkEnd w:id="30"/>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The NIS Directive has been the first horizontal internal market instrument aimed at improving the resilience of networks and systems in the Union against cybersecurity risks. Since its entry into force in 2016, it has contributed greatly to raising the common level of cybersecurity amongst the Member States. The proposal for the NIS2 Directive seeks to further improve these measures.</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 xml:space="preserve">The Regulation seeks to provide similar measures for the </w:t>
      </w:r>
      <w:r w:rsidR="00B07028" w:rsidRPr="005B03CE">
        <w:rPr>
          <w:noProof/>
        </w:rPr>
        <w:t xml:space="preserve">Union </w:t>
      </w:r>
      <w:r w:rsidR="00DB116F" w:rsidRPr="005B03CE">
        <w:rPr>
          <w:noProof/>
        </w:rPr>
        <w:t>institutions, bodies and agencies</w:t>
      </w:r>
      <w:r w:rsidRPr="005B03CE">
        <w:rPr>
          <w:noProof/>
        </w:rPr>
        <w:t>.</w:t>
      </w:r>
    </w:p>
    <w:p w:rsidR="00DD0A9C" w:rsidRPr="005B03CE" w:rsidRDefault="004A06D6" w:rsidP="004A06D6">
      <w:pPr>
        <w:pStyle w:val="ManualHeading3"/>
        <w:rPr>
          <w:noProof/>
        </w:rPr>
      </w:pPr>
      <w:bookmarkStart w:id="31" w:name="_Toc514938033"/>
      <w:bookmarkStart w:id="32" w:name="_Toc520485038"/>
      <w:r w:rsidRPr="004A06D6">
        <w:t>1.5.4.</w:t>
      </w:r>
      <w:r w:rsidRPr="004A06D6">
        <w:tab/>
      </w:r>
      <w:r w:rsidR="00DD0A9C" w:rsidRPr="005B03CE">
        <w:rPr>
          <w:noProof/>
        </w:rPr>
        <w:t>Compatibility with the Multiannual Financial Framework and possible synergies with other appropriate instruments</w:t>
      </w:r>
      <w:bookmarkEnd w:id="31"/>
      <w:bookmarkEnd w:id="32"/>
    </w:p>
    <w:p w:rsidR="008A79D9" w:rsidRPr="005B03CE" w:rsidRDefault="00DD0A9C" w:rsidP="008A79D9">
      <w:pPr>
        <w:pStyle w:val="Text1"/>
        <w:pBdr>
          <w:top w:val="single" w:sz="4" w:space="1" w:color="auto"/>
          <w:left w:val="single" w:sz="4" w:space="4" w:color="auto"/>
          <w:bottom w:val="single" w:sz="4" w:space="1" w:color="auto"/>
          <w:right w:val="single" w:sz="4" w:space="4" w:color="auto"/>
        </w:pBdr>
        <w:rPr>
          <w:noProof/>
        </w:rPr>
      </w:pPr>
      <w:r w:rsidRPr="005B03CE">
        <w:rPr>
          <w:noProof/>
        </w:rPr>
        <w:t xml:space="preserve">The proposal is consistent with the Multiannual Financial Framework and is an essential part of the EU Security Union Strategy as well as the EU’s Cybersecurity Strategy for the Digital Decade. </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 xml:space="preserve">The proposal envisages to apply measures for a high common level of cybersecurity to </w:t>
      </w:r>
      <w:r w:rsidR="00B07028" w:rsidRPr="005B03CE">
        <w:rPr>
          <w:noProof/>
        </w:rPr>
        <w:t xml:space="preserve">Union </w:t>
      </w:r>
      <w:r w:rsidR="00DB116F" w:rsidRPr="005B03CE">
        <w:rPr>
          <w:noProof/>
        </w:rPr>
        <w:t>institutions, bodies and agencies</w:t>
      </w:r>
      <w:r w:rsidRPr="005B03CE">
        <w:rPr>
          <w:noProof/>
        </w:rPr>
        <w:t xml:space="preserve">. The proposal is in line with the proposal for a Directive on measures for a high common level of cybersecurity across the Union, repealing Directive (EU) 2016/1148 </w:t>
      </w:r>
      <w:r w:rsidR="001414A1" w:rsidRPr="005B03CE">
        <w:rPr>
          <w:noProof/>
        </w:rPr>
        <w:t xml:space="preserve">[proposal </w:t>
      </w:r>
      <w:r w:rsidRPr="005B03CE">
        <w:rPr>
          <w:noProof/>
        </w:rPr>
        <w:t>NIS</w:t>
      </w:r>
      <w:r w:rsidR="001414A1" w:rsidRPr="005B03CE">
        <w:rPr>
          <w:noProof/>
        </w:rPr>
        <w:t xml:space="preserve"> </w:t>
      </w:r>
      <w:r w:rsidRPr="005B03CE">
        <w:rPr>
          <w:noProof/>
        </w:rPr>
        <w:t>2</w:t>
      </w:r>
      <w:r w:rsidR="001414A1" w:rsidRPr="005B03CE">
        <w:rPr>
          <w:noProof/>
        </w:rPr>
        <w:t>].</w:t>
      </w:r>
    </w:p>
    <w:p w:rsidR="00DD0A9C" w:rsidRPr="005B03CE" w:rsidRDefault="004A06D6" w:rsidP="004A06D6">
      <w:pPr>
        <w:pStyle w:val="ManualHeading3"/>
        <w:rPr>
          <w:noProof/>
        </w:rPr>
      </w:pPr>
      <w:bookmarkStart w:id="33" w:name="_Toc514938036"/>
      <w:bookmarkStart w:id="34" w:name="_Toc520485039"/>
      <w:r w:rsidRPr="004A06D6">
        <w:t>1.5.5.</w:t>
      </w:r>
      <w:r w:rsidRPr="004A06D6">
        <w:tab/>
      </w:r>
      <w:r w:rsidR="00DD0A9C" w:rsidRPr="005B03CE">
        <w:rPr>
          <w:noProof/>
        </w:rPr>
        <w:t>Assessment of the different available financing options, including scope for redeployment</w:t>
      </w:r>
      <w:bookmarkEnd w:id="33"/>
      <w:bookmarkEnd w:id="34"/>
    </w:p>
    <w:p w:rsidR="00DD0A9C" w:rsidRPr="005B03CE" w:rsidRDefault="00DD0A9C" w:rsidP="00320F7A">
      <w:pPr>
        <w:pStyle w:val="Text1"/>
        <w:pBdr>
          <w:top w:val="single" w:sz="4" w:space="1" w:color="auto"/>
          <w:left w:val="single" w:sz="4" w:space="4" w:color="auto"/>
          <w:bottom w:val="single" w:sz="4" w:space="1" w:color="auto"/>
          <w:right w:val="single" w:sz="4" w:space="4" w:color="auto"/>
        </w:pBdr>
        <w:rPr>
          <w:noProof/>
        </w:rPr>
      </w:pPr>
      <w:r w:rsidRPr="005B03CE">
        <w:rPr>
          <w:noProof/>
        </w:rPr>
        <w:t xml:space="preserve">The management of the tasks by CERT-EU necessitate specific profiles and supplementary workload that cannot be absorbed without any increase of human and financial resources. </w:t>
      </w:r>
    </w:p>
    <w:p w:rsidR="00DD0A9C" w:rsidRPr="005B03CE" w:rsidRDefault="00DD0A9C" w:rsidP="004A06D6">
      <w:pPr>
        <w:pStyle w:val="ManualHeading2"/>
        <w:rPr>
          <w:bCs/>
          <w:noProof/>
          <w:szCs w:val="24"/>
        </w:rPr>
      </w:pPr>
      <w:r w:rsidRPr="005B03CE">
        <w:rPr>
          <w:noProof/>
        </w:rPr>
        <w:br w:type="page"/>
      </w:r>
      <w:bookmarkStart w:id="35" w:name="_Toc514938039"/>
      <w:bookmarkStart w:id="36" w:name="_Toc520485040"/>
      <w:r w:rsidR="004A06D6" w:rsidRPr="004A06D6">
        <w:t>1.6.</w:t>
      </w:r>
      <w:r w:rsidR="004A06D6" w:rsidRPr="004A06D6">
        <w:tab/>
      </w:r>
      <w:r w:rsidRPr="005B03CE">
        <w:rPr>
          <w:noProof/>
        </w:rPr>
        <w:t>Duration and financial impact of the proposal/initiative</w:t>
      </w:r>
      <w:bookmarkEnd w:id="35"/>
      <w:bookmarkEnd w:id="36"/>
    </w:p>
    <w:p w:rsidR="001414A1" w:rsidRPr="005B03CE" w:rsidRDefault="001414A1" w:rsidP="001414A1">
      <w:pPr>
        <w:pStyle w:val="Text1"/>
        <w:rPr>
          <w:noProof/>
        </w:rPr>
      </w:pPr>
      <w:bookmarkStart w:id="37" w:name="_Toc514938040"/>
      <w:bookmarkStart w:id="38" w:name="_Toc520485041"/>
      <w:r w:rsidRPr="005B03CE">
        <w:rPr>
          <w:rFonts w:ascii="Wingdings" w:eastAsia="Wingdings" w:hAnsi="Wingdings" w:cs="Wingdings"/>
          <w:noProof/>
        </w:rPr>
        <w:t></w:t>
      </w:r>
      <w:r w:rsidRPr="005B03CE">
        <w:rPr>
          <w:b/>
          <w:i/>
          <w:noProof/>
        </w:rPr>
        <w:t xml:space="preserve"> </w:t>
      </w:r>
      <w:r w:rsidRPr="005B03CE">
        <w:rPr>
          <w:b/>
          <w:noProof/>
        </w:rPr>
        <w:t xml:space="preserve">limited duration </w:t>
      </w:r>
    </w:p>
    <w:p w:rsidR="001414A1" w:rsidRPr="005B03CE" w:rsidRDefault="001414A1" w:rsidP="001414A1">
      <w:pPr>
        <w:pStyle w:val="ListDash2"/>
        <w:rPr>
          <w:noProof/>
        </w:rPr>
      </w:pPr>
      <w:r w:rsidRPr="005B03CE">
        <w:rPr>
          <w:rFonts w:ascii="Wingdings" w:eastAsia="Wingdings" w:hAnsi="Wingdings" w:cs="Wingdings"/>
          <w:noProof/>
        </w:rPr>
        <w:t></w:t>
      </w:r>
      <w:r w:rsidRPr="005B03CE">
        <w:rPr>
          <w:noProof/>
        </w:rPr>
        <w:tab/>
        <w:t xml:space="preserve">in effect from [DD/MM]YYYY to [DD/MM]YYYY </w:t>
      </w:r>
    </w:p>
    <w:p w:rsidR="001414A1" w:rsidRPr="005B03CE" w:rsidRDefault="001414A1" w:rsidP="001414A1">
      <w:pPr>
        <w:pStyle w:val="ListDash2"/>
        <w:rPr>
          <w:noProof/>
        </w:rPr>
      </w:pPr>
      <w:r w:rsidRPr="005B03CE">
        <w:rPr>
          <w:rFonts w:ascii="Wingdings" w:eastAsia="Wingdings" w:hAnsi="Wingdings" w:cs="Wingdings"/>
          <w:noProof/>
        </w:rPr>
        <w:t></w:t>
      </w:r>
      <w:r w:rsidRPr="005B03CE">
        <w:rPr>
          <w:noProof/>
        </w:rPr>
        <w:tab/>
        <w:t xml:space="preserve">Financial impact from YYYY to YYYY for commitment appropriations and from YYYY to YYYY for payment appropriations. </w:t>
      </w:r>
    </w:p>
    <w:p w:rsidR="001414A1" w:rsidRPr="005B03CE" w:rsidRDefault="001414A1" w:rsidP="001414A1">
      <w:pPr>
        <w:pStyle w:val="Text1"/>
        <w:rPr>
          <w:noProof/>
        </w:rPr>
      </w:pPr>
      <w:r w:rsidRPr="005B03CE">
        <w:rPr>
          <w:rFonts w:ascii="Wingdings" w:eastAsia="Wingdings" w:hAnsi="Wingdings" w:cs="Wingdings"/>
          <w:noProof/>
        </w:rPr>
        <w:t></w:t>
      </w:r>
      <w:r w:rsidRPr="005B03CE">
        <w:rPr>
          <w:b/>
          <w:i/>
          <w:noProof/>
        </w:rPr>
        <w:t xml:space="preserve"> </w:t>
      </w:r>
      <w:r w:rsidRPr="005B03CE">
        <w:rPr>
          <w:b/>
          <w:noProof/>
        </w:rPr>
        <w:t>unlimited duration</w:t>
      </w:r>
    </w:p>
    <w:p w:rsidR="001414A1" w:rsidRPr="005B03CE" w:rsidRDefault="001414A1" w:rsidP="001414A1">
      <w:pPr>
        <w:pStyle w:val="ListDash1"/>
        <w:rPr>
          <w:noProof/>
        </w:rPr>
      </w:pPr>
      <w:r w:rsidRPr="005B03CE">
        <w:rPr>
          <w:noProof/>
        </w:rPr>
        <w:t>The financial impact should start with the first budget adopted following the entry into force of the Regulation. A reallocation of resources from the Union institutions and main bodies to the Commission would take place in the first year, considered a transition year; this and other (re)allocation of resources will take place in the framework of the annual budgets. If the Regulation is adopted in 2022, financial year 2023 will be the transitory period, and 2024 will operate at full-scale.</w:t>
      </w:r>
    </w:p>
    <w:p w:rsidR="00DD0A9C" w:rsidRPr="005B03CE" w:rsidRDefault="004A06D6" w:rsidP="004A06D6">
      <w:pPr>
        <w:pStyle w:val="ManualHeading2"/>
        <w:rPr>
          <w:bCs/>
          <w:noProof/>
          <w:szCs w:val="24"/>
        </w:rPr>
      </w:pPr>
      <w:r w:rsidRPr="004A06D6">
        <w:t>1.7.</w:t>
      </w:r>
      <w:r w:rsidRPr="004A06D6">
        <w:tab/>
      </w:r>
      <w:r w:rsidR="00DD0A9C" w:rsidRPr="005B03CE">
        <w:rPr>
          <w:noProof/>
        </w:rPr>
        <w:t>Management mode(s) planned</w:t>
      </w:r>
      <w:r w:rsidR="00DD0A9C" w:rsidRPr="005B03CE">
        <w:rPr>
          <w:rStyle w:val="FootnoteReference"/>
          <w:noProof/>
        </w:rPr>
        <w:footnoteReference w:id="13"/>
      </w:r>
      <w:bookmarkEnd w:id="37"/>
      <w:bookmarkEnd w:id="38"/>
      <w:r w:rsidR="00DD0A9C" w:rsidRPr="005B03CE">
        <w:rPr>
          <w:rStyle w:val="FootnoteReference"/>
          <w:noProof/>
        </w:rPr>
        <w:t xml:space="preserve"> </w:t>
      </w:r>
    </w:p>
    <w:p w:rsidR="00DD0A9C" w:rsidRPr="005B03CE" w:rsidRDefault="001414A1" w:rsidP="00DD0A9C">
      <w:pPr>
        <w:pStyle w:val="Text1"/>
        <w:rPr>
          <w:noProof/>
        </w:rPr>
      </w:pPr>
      <w:r w:rsidRPr="005B03CE">
        <w:rPr>
          <w:rFonts w:ascii="Wingdings" w:eastAsia="Wingdings" w:hAnsi="Wingdings" w:cs="Wingdings"/>
          <w:noProof/>
        </w:rPr>
        <w:t></w:t>
      </w:r>
      <w:r w:rsidR="00DD0A9C" w:rsidRPr="005B03CE">
        <w:rPr>
          <w:i/>
          <w:noProof/>
        </w:rPr>
        <w:t xml:space="preserve"> </w:t>
      </w:r>
      <w:r w:rsidR="00DD0A9C" w:rsidRPr="005B03CE">
        <w:rPr>
          <w:b/>
          <w:noProof/>
        </w:rPr>
        <w:t>Direct management</w:t>
      </w:r>
      <w:r w:rsidR="00DD0A9C" w:rsidRPr="005B03CE">
        <w:rPr>
          <w:noProof/>
        </w:rPr>
        <w:t xml:space="preserve"> by the Commission and by each </w:t>
      </w:r>
      <w:r w:rsidR="00F77853" w:rsidRPr="005B03CE">
        <w:rPr>
          <w:noProof/>
        </w:rPr>
        <w:t xml:space="preserve">Union </w:t>
      </w:r>
      <w:r w:rsidR="00962D0F" w:rsidRPr="005B03CE">
        <w:rPr>
          <w:noProof/>
        </w:rPr>
        <w:t>institution, body and agency</w:t>
      </w:r>
    </w:p>
    <w:p w:rsidR="001414A1" w:rsidRPr="005B03CE" w:rsidRDefault="001414A1" w:rsidP="001414A1">
      <w:pPr>
        <w:pStyle w:val="ListDash2"/>
        <w:rPr>
          <w:rFonts w:cs="EUAlbertina"/>
          <w:noProof/>
        </w:rPr>
      </w:pPr>
      <w:r w:rsidRPr="005B03CE">
        <w:rPr>
          <w:rFonts w:ascii="Wingdings" w:eastAsia="Wingdings" w:hAnsi="Wingdings" w:cs="Wingdings"/>
          <w:noProof/>
        </w:rPr>
        <w:t></w:t>
      </w:r>
      <w:r w:rsidRPr="005B03CE">
        <w:rPr>
          <w:noProof/>
        </w:rPr>
        <w:t xml:space="preserve"> by its departments, including by its staff in the Union delegations; </w:t>
      </w:r>
    </w:p>
    <w:p w:rsidR="001414A1" w:rsidRPr="005B03CE" w:rsidRDefault="001414A1" w:rsidP="001414A1">
      <w:pPr>
        <w:pStyle w:val="ListDash2"/>
        <w:rPr>
          <w:noProof/>
        </w:rPr>
      </w:pPr>
      <w:r w:rsidRPr="005B03CE">
        <w:rPr>
          <w:rFonts w:ascii="Wingdings" w:eastAsia="Wingdings" w:hAnsi="Wingdings" w:cs="Wingdings"/>
          <w:noProof/>
        </w:rPr>
        <w:t></w:t>
      </w:r>
      <w:r w:rsidRPr="005B03CE">
        <w:rPr>
          <w:noProof/>
        </w:rPr>
        <w:tab/>
        <w:t xml:space="preserve">by the executive agencies </w:t>
      </w:r>
    </w:p>
    <w:p w:rsidR="001414A1" w:rsidRPr="005B03CE" w:rsidRDefault="001414A1" w:rsidP="001414A1">
      <w:pPr>
        <w:pStyle w:val="Text1"/>
        <w:rPr>
          <w:noProof/>
        </w:rPr>
      </w:pPr>
      <w:r w:rsidRPr="005B03CE">
        <w:rPr>
          <w:rFonts w:ascii="Wingdings" w:eastAsia="Wingdings" w:hAnsi="Wingdings" w:cs="Wingdings"/>
          <w:noProof/>
        </w:rPr>
        <w:t></w:t>
      </w:r>
      <w:r w:rsidRPr="005B03CE">
        <w:rPr>
          <w:b/>
          <w:i/>
          <w:noProof/>
        </w:rPr>
        <w:t xml:space="preserve"> </w:t>
      </w:r>
      <w:r w:rsidRPr="005B03CE">
        <w:rPr>
          <w:b/>
          <w:noProof/>
        </w:rPr>
        <w:t>Shared management</w:t>
      </w:r>
      <w:r w:rsidRPr="005B03CE">
        <w:rPr>
          <w:noProof/>
        </w:rPr>
        <w:t xml:space="preserve"> with the Member States </w:t>
      </w:r>
    </w:p>
    <w:p w:rsidR="001414A1" w:rsidRPr="005B03CE" w:rsidRDefault="001414A1" w:rsidP="001414A1">
      <w:pPr>
        <w:pStyle w:val="Text1"/>
        <w:rPr>
          <w:noProof/>
        </w:rPr>
      </w:pPr>
      <w:r w:rsidRPr="005B03CE">
        <w:rPr>
          <w:rFonts w:ascii="Wingdings" w:eastAsia="Wingdings" w:hAnsi="Wingdings" w:cs="Wingdings"/>
          <w:noProof/>
        </w:rPr>
        <w:t></w:t>
      </w:r>
      <w:r w:rsidRPr="005B03CE">
        <w:rPr>
          <w:i/>
          <w:noProof/>
        </w:rPr>
        <w:t xml:space="preserve"> </w:t>
      </w:r>
      <w:r w:rsidRPr="005B03CE">
        <w:rPr>
          <w:b/>
          <w:noProof/>
        </w:rPr>
        <w:t>Indirect management</w:t>
      </w:r>
      <w:r w:rsidRPr="005B03CE">
        <w:rPr>
          <w:noProof/>
        </w:rPr>
        <w:t xml:space="preserve"> by entrusting budget implementation tasks to:</w:t>
      </w:r>
    </w:p>
    <w:p w:rsidR="001414A1" w:rsidRPr="005B03CE" w:rsidRDefault="001414A1" w:rsidP="001414A1">
      <w:pPr>
        <w:pStyle w:val="ListDash2"/>
        <w:rPr>
          <w:noProof/>
        </w:rPr>
      </w:pPr>
      <w:r w:rsidRPr="005B03CE">
        <w:rPr>
          <w:rFonts w:ascii="Wingdings" w:eastAsia="Wingdings" w:hAnsi="Wingdings" w:cs="Wingdings"/>
          <w:noProof/>
        </w:rPr>
        <w:t></w:t>
      </w:r>
      <w:r w:rsidRPr="005B03CE">
        <w:rPr>
          <w:noProof/>
        </w:rPr>
        <w:t xml:space="preserve"> third countries or the bodies they have designated;</w:t>
      </w:r>
    </w:p>
    <w:p w:rsidR="001414A1" w:rsidRPr="005B03CE" w:rsidRDefault="001414A1" w:rsidP="001414A1">
      <w:pPr>
        <w:pStyle w:val="ListDash2"/>
        <w:rPr>
          <w:noProof/>
        </w:rPr>
      </w:pPr>
      <w:r w:rsidRPr="005B03CE">
        <w:rPr>
          <w:rFonts w:ascii="Wingdings" w:eastAsia="Wingdings" w:hAnsi="Wingdings" w:cs="Wingdings"/>
          <w:noProof/>
        </w:rPr>
        <w:t></w:t>
      </w:r>
      <w:r w:rsidRPr="005B03CE">
        <w:rPr>
          <w:noProof/>
        </w:rPr>
        <w:t xml:space="preserve"> international organisations and their agencies (to be specified);</w:t>
      </w:r>
    </w:p>
    <w:p w:rsidR="001414A1" w:rsidRPr="005B03CE" w:rsidRDefault="001414A1" w:rsidP="001414A1">
      <w:pPr>
        <w:pStyle w:val="ListDash2"/>
        <w:rPr>
          <w:noProof/>
        </w:rPr>
      </w:pPr>
      <w:r w:rsidRPr="005B03CE">
        <w:rPr>
          <w:rFonts w:ascii="Wingdings" w:eastAsia="Wingdings" w:hAnsi="Wingdings" w:cs="Wingdings"/>
          <w:noProof/>
        </w:rPr>
        <w:t></w:t>
      </w:r>
      <w:r w:rsidRPr="005B03CE">
        <w:rPr>
          <w:noProof/>
        </w:rPr>
        <w:t xml:space="preserve"> the EIB and the European Investment Fund;</w:t>
      </w:r>
    </w:p>
    <w:p w:rsidR="001414A1" w:rsidRPr="005B03CE" w:rsidRDefault="001414A1" w:rsidP="001414A1">
      <w:pPr>
        <w:pStyle w:val="ListDash2"/>
        <w:rPr>
          <w:noProof/>
        </w:rPr>
      </w:pPr>
      <w:r w:rsidRPr="005B03CE">
        <w:rPr>
          <w:rFonts w:ascii="Wingdings" w:eastAsia="Wingdings" w:hAnsi="Wingdings" w:cs="Wingdings"/>
          <w:noProof/>
        </w:rPr>
        <w:t></w:t>
      </w:r>
      <w:r w:rsidRPr="005B03CE">
        <w:rPr>
          <w:noProof/>
        </w:rPr>
        <w:t xml:space="preserve"> bodies referred to in Articles 70 and 71 of the Financial Regulation;</w:t>
      </w:r>
    </w:p>
    <w:p w:rsidR="001414A1" w:rsidRPr="005B03CE" w:rsidRDefault="001414A1" w:rsidP="001414A1">
      <w:pPr>
        <w:pStyle w:val="ListDash2"/>
        <w:rPr>
          <w:noProof/>
        </w:rPr>
      </w:pPr>
      <w:r w:rsidRPr="005B03CE">
        <w:rPr>
          <w:rFonts w:ascii="Wingdings" w:eastAsia="Wingdings" w:hAnsi="Wingdings" w:cs="Wingdings"/>
          <w:noProof/>
        </w:rPr>
        <w:t></w:t>
      </w:r>
      <w:r w:rsidRPr="005B03CE">
        <w:rPr>
          <w:noProof/>
        </w:rPr>
        <w:t xml:space="preserve"> public law bodies;</w:t>
      </w:r>
    </w:p>
    <w:p w:rsidR="001414A1" w:rsidRPr="005B03CE" w:rsidRDefault="001414A1" w:rsidP="001414A1">
      <w:pPr>
        <w:pStyle w:val="ListDash2"/>
        <w:rPr>
          <w:noProof/>
        </w:rPr>
      </w:pPr>
      <w:r w:rsidRPr="005B03CE">
        <w:rPr>
          <w:rFonts w:ascii="Wingdings" w:eastAsia="Wingdings" w:hAnsi="Wingdings" w:cs="Wingdings"/>
          <w:noProof/>
        </w:rPr>
        <w:t></w:t>
      </w:r>
      <w:r w:rsidRPr="005B03CE">
        <w:rPr>
          <w:noProof/>
        </w:rPr>
        <w:t xml:space="preserve"> bodies governed by private law with a public service mission to the extent that they provide adequate financial guarantees;</w:t>
      </w:r>
    </w:p>
    <w:p w:rsidR="001414A1" w:rsidRPr="005B03CE" w:rsidRDefault="001414A1" w:rsidP="001414A1">
      <w:pPr>
        <w:pStyle w:val="ListDash2"/>
        <w:rPr>
          <w:noProof/>
        </w:rPr>
      </w:pPr>
      <w:r w:rsidRPr="005B03CE">
        <w:rPr>
          <w:rFonts w:ascii="Wingdings" w:eastAsia="Wingdings" w:hAnsi="Wingdings" w:cs="Wingdings"/>
          <w:noProof/>
        </w:rPr>
        <w:t></w:t>
      </w:r>
      <w:r w:rsidRPr="005B03CE">
        <w:rPr>
          <w:noProof/>
        </w:rPr>
        <w:t xml:space="preserve"> bodies governed by the private law of a Member State that are entrusted with the implementation of a public-private partnership and that provide adequate financial guarantees;</w:t>
      </w:r>
    </w:p>
    <w:p w:rsidR="001414A1" w:rsidRPr="005B03CE" w:rsidRDefault="001414A1" w:rsidP="001414A1">
      <w:pPr>
        <w:pStyle w:val="ListDash2"/>
        <w:rPr>
          <w:noProof/>
        </w:rPr>
      </w:pPr>
      <w:r w:rsidRPr="005B03CE">
        <w:rPr>
          <w:rFonts w:ascii="Wingdings" w:eastAsia="Wingdings" w:hAnsi="Wingdings" w:cs="Wingdings"/>
          <w:noProof/>
        </w:rPr>
        <w:t></w:t>
      </w:r>
      <w:r w:rsidRPr="005B03CE">
        <w:rPr>
          <w:noProof/>
        </w:rPr>
        <w:t xml:space="preserve"> persons entrusted with the implementation of specific actions in the CFSP pursuant to Title V of the TEU, and identified in the relevant basic act.</w:t>
      </w:r>
    </w:p>
    <w:p w:rsidR="00DD0A9C" w:rsidRPr="005B03CE" w:rsidRDefault="00DD0A9C" w:rsidP="00DD0A9C">
      <w:pPr>
        <w:pStyle w:val="ListDash2"/>
        <w:rPr>
          <w:i/>
          <w:noProof/>
          <w:sz w:val="18"/>
          <w:u w:val="single"/>
        </w:rPr>
      </w:pPr>
      <w:r w:rsidRPr="005B03CE">
        <w:rPr>
          <w:i/>
          <w:noProof/>
          <w:sz w:val="18"/>
        </w:rPr>
        <w:t>If more than one management mode is indicated, please provide details in the ‘Comments’ section.</w:t>
      </w:r>
    </w:p>
    <w:p w:rsidR="00DD0A9C" w:rsidRPr="005B03CE" w:rsidRDefault="00DD0A9C" w:rsidP="00DD0A9C">
      <w:pPr>
        <w:rPr>
          <w:noProof/>
        </w:rPr>
      </w:pPr>
      <w:r w:rsidRPr="005B03CE">
        <w:rPr>
          <w:noProof/>
        </w:rPr>
        <w:t xml:space="preserve">Comments </w:t>
      </w:r>
    </w:p>
    <w:p w:rsidR="00DD0A9C" w:rsidRPr="005B03CE" w:rsidRDefault="00DD0A9C" w:rsidP="00DD0A9C">
      <w:pPr>
        <w:pBdr>
          <w:top w:val="single" w:sz="4" w:space="1" w:color="auto"/>
          <w:left w:val="single" w:sz="4" w:space="4" w:color="auto"/>
          <w:bottom w:val="single" w:sz="4" w:space="1" w:color="auto"/>
          <w:right w:val="single" w:sz="4" w:space="4" w:color="auto"/>
        </w:pBdr>
        <w:rPr>
          <w:noProof/>
        </w:rPr>
      </w:pPr>
      <w:r w:rsidRPr="005B03CE">
        <w:rPr>
          <w:noProof/>
        </w:rPr>
        <w:t>For the application of administrative and financial procedures, CERT-EU acts under the authority of the Commission.</w:t>
      </w:r>
    </w:p>
    <w:p w:rsidR="003A7F98" w:rsidRPr="005B03CE" w:rsidRDefault="003A7F98" w:rsidP="00DD0A9C">
      <w:pPr>
        <w:pBdr>
          <w:top w:val="single" w:sz="4" w:space="1" w:color="auto"/>
          <w:left w:val="single" w:sz="4" w:space="4" w:color="auto"/>
          <w:bottom w:val="single" w:sz="4" w:space="1" w:color="auto"/>
          <w:right w:val="single" w:sz="4" w:space="4" w:color="auto"/>
        </w:pBdr>
        <w:rPr>
          <w:noProof/>
        </w:rPr>
      </w:pPr>
      <w:r w:rsidRPr="005B03CE">
        <w:rPr>
          <w:noProof/>
        </w:rPr>
        <w:t>Additional resources stemming from the draft Regulation:</w:t>
      </w:r>
    </w:p>
    <w:p w:rsidR="00DD0A9C" w:rsidRPr="005B03CE" w:rsidRDefault="00B955A7" w:rsidP="00800E67">
      <w:pPr>
        <w:pBdr>
          <w:top w:val="single" w:sz="4" w:space="1" w:color="auto"/>
          <w:left w:val="single" w:sz="4" w:space="4" w:color="auto"/>
          <w:bottom w:val="single" w:sz="4" w:space="1" w:color="auto"/>
          <w:right w:val="single" w:sz="4" w:space="4" w:color="auto"/>
        </w:pBdr>
        <w:rPr>
          <w:noProof/>
        </w:rPr>
      </w:pPr>
      <w:r w:rsidRPr="005B03CE">
        <w:rPr>
          <w:noProof/>
        </w:rPr>
        <w:t>The implementation of</w:t>
      </w:r>
      <w:r w:rsidR="00DD0A9C" w:rsidRPr="005B03CE">
        <w:rPr>
          <w:noProof/>
        </w:rPr>
        <w:t xml:space="preserve"> Article 12 and 13 of the draft Regulation</w:t>
      </w:r>
      <w:r w:rsidRPr="005B03CE">
        <w:rPr>
          <w:noProof/>
        </w:rPr>
        <w:t xml:space="preserve"> lead</w:t>
      </w:r>
      <w:r w:rsidR="00375A0A" w:rsidRPr="005B03CE">
        <w:rPr>
          <w:noProof/>
        </w:rPr>
        <w:t>s</w:t>
      </w:r>
      <w:r w:rsidRPr="005B03CE">
        <w:rPr>
          <w:noProof/>
        </w:rPr>
        <w:t xml:space="preserve"> to </w:t>
      </w:r>
      <w:r w:rsidR="007D3609" w:rsidRPr="005B03CE">
        <w:rPr>
          <w:noProof/>
        </w:rPr>
        <w:t xml:space="preserve">an </w:t>
      </w:r>
      <w:r w:rsidRPr="005B03CE">
        <w:rPr>
          <w:noProof/>
        </w:rPr>
        <w:t>enlarged service catalogue with additional baseline services. W</w:t>
      </w:r>
      <w:r w:rsidR="00DD0A9C" w:rsidRPr="005B03CE">
        <w:rPr>
          <w:noProof/>
        </w:rPr>
        <w:t>hen operating at full-scale, the following additional resources will be necessary (until the end of the MFF at the end of 2027): 2</w:t>
      </w:r>
      <w:r w:rsidR="009B1049" w:rsidRPr="005B03CE">
        <w:rPr>
          <w:noProof/>
        </w:rPr>
        <w:t>1</w:t>
      </w:r>
      <w:r w:rsidR="00DD0A9C" w:rsidRPr="005B03CE">
        <w:rPr>
          <w:noProof/>
        </w:rPr>
        <w:t xml:space="preserve"> FTE and </w:t>
      </w:r>
      <w:r w:rsidR="001414A1" w:rsidRPr="005B03CE">
        <w:rPr>
          <w:noProof/>
        </w:rPr>
        <w:t xml:space="preserve">EUR </w:t>
      </w:r>
      <w:r w:rsidR="00C5714C" w:rsidRPr="005B03CE">
        <w:rPr>
          <w:noProof/>
        </w:rPr>
        <w:t>14.</w:t>
      </w:r>
      <w:r w:rsidR="002B0D69" w:rsidRPr="005B03CE">
        <w:rPr>
          <w:noProof/>
        </w:rPr>
        <w:t>05 million</w:t>
      </w:r>
      <w:r w:rsidR="00DD0A9C" w:rsidRPr="005B03CE">
        <w:rPr>
          <w:noProof/>
        </w:rPr>
        <w:t xml:space="preserve">. </w:t>
      </w:r>
    </w:p>
    <w:p w:rsidR="00DD0A9C" w:rsidRPr="005B03CE" w:rsidRDefault="00DD0A9C" w:rsidP="00800E67">
      <w:pPr>
        <w:pBdr>
          <w:top w:val="single" w:sz="4" w:space="1" w:color="auto"/>
          <w:left w:val="single" w:sz="4" w:space="4" w:color="auto"/>
          <w:bottom w:val="single" w:sz="4" w:space="1" w:color="auto"/>
          <w:right w:val="single" w:sz="4" w:space="4" w:color="auto"/>
        </w:pBdr>
        <w:rPr>
          <w:noProof/>
        </w:rPr>
      </w:pPr>
      <w:r w:rsidRPr="005B03CE">
        <w:rPr>
          <w:noProof/>
        </w:rPr>
        <w:t xml:space="preserve">The breakdown of the additional resources </w:t>
      </w:r>
      <w:r w:rsidR="00F02E25" w:rsidRPr="005B03CE">
        <w:rPr>
          <w:noProof/>
        </w:rPr>
        <w:t xml:space="preserve">under the budget </w:t>
      </w:r>
      <w:r w:rsidRPr="005B03CE">
        <w:rPr>
          <w:noProof/>
        </w:rPr>
        <w:t>over the different tasks is as follows:</w:t>
      </w:r>
    </w:p>
    <w:p w:rsidR="00DD0A9C" w:rsidRPr="005B03CE" w:rsidRDefault="004A06D6" w:rsidP="004A06D6">
      <w:pPr>
        <w:pStyle w:val="Point0"/>
        <w:rPr>
          <w:noProof/>
        </w:rPr>
      </w:pPr>
      <w:r w:rsidRPr="004A06D6">
        <w:t>(a)</w:t>
      </w:r>
      <w:r w:rsidRPr="004A06D6">
        <w:tab/>
      </w:r>
      <w:r w:rsidR="00DD0A9C" w:rsidRPr="005B03CE">
        <w:rPr>
          <w:noProof/>
        </w:rPr>
        <w:t xml:space="preserve">For the performance of tasks for the </w:t>
      </w:r>
      <w:r w:rsidR="00FF45F6" w:rsidRPr="005B03CE">
        <w:rPr>
          <w:noProof/>
        </w:rPr>
        <w:t>Union institutions, bodies and agencies</w:t>
      </w:r>
      <w:r w:rsidR="00DD0A9C" w:rsidRPr="005B03CE">
        <w:rPr>
          <w:noProof/>
        </w:rPr>
        <w:t xml:space="preserve"> detailed in Article 12.2 (a), (b), (c), and (e): 13</w:t>
      </w:r>
      <w:r w:rsidR="00957202" w:rsidRPr="005B03CE">
        <w:rPr>
          <w:noProof/>
        </w:rPr>
        <w:t>.</w:t>
      </w:r>
      <w:r w:rsidR="00DD0A9C" w:rsidRPr="005B03CE">
        <w:rPr>
          <w:noProof/>
        </w:rPr>
        <w:t xml:space="preserve">75 FTE and </w:t>
      </w:r>
      <w:r w:rsidR="001414A1" w:rsidRPr="005B03CE">
        <w:rPr>
          <w:noProof/>
        </w:rPr>
        <w:t xml:space="preserve">EUR </w:t>
      </w:r>
      <w:r w:rsidR="00C5714C" w:rsidRPr="005B03CE">
        <w:rPr>
          <w:noProof/>
        </w:rPr>
        <w:t>11.275</w:t>
      </w:r>
      <w:r w:rsidR="0096783A" w:rsidRPr="005B03CE">
        <w:rPr>
          <w:noProof/>
        </w:rPr>
        <w:t xml:space="preserve"> </w:t>
      </w:r>
      <w:r w:rsidR="00DD0A9C" w:rsidRPr="005B03CE">
        <w:rPr>
          <w:noProof/>
        </w:rPr>
        <w:t>million;</w:t>
      </w:r>
    </w:p>
    <w:p w:rsidR="00DD0A9C" w:rsidRPr="005B03CE" w:rsidRDefault="004A06D6" w:rsidP="004A06D6">
      <w:pPr>
        <w:pStyle w:val="Point0"/>
        <w:rPr>
          <w:noProof/>
        </w:rPr>
      </w:pPr>
      <w:r w:rsidRPr="004A06D6">
        <w:t>(b)</w:t>
      </w:r>
      <w:r w:rsidRPr="004A06D6">
        <w:tab/>
      </w:r>
      <w:r w:rsidR="00DD0A9C" w:rsidRPr="005B03CE">
        <w:rPr>
          <w:noProof/>
        </w:rPr>
        <w:t xml:space="preserve">For the performance of tasks detailed in Article 12.3 (contribution to Joint Cyber Unit): 2 FTE and </w:t>
      </w:r>
      <w:r w:rsidR="001414A1" w:rsidRPr="005B03CE">
        <w:rPr>
          <w:noProof/>
        </w:rPr>
        <w:t>EUR 381 </w:t>
      </w:r>
      <w:r w:rsidR="00C5714C" w:rsidRPr="005B03CE">
        <w:rPr>
          <w:noProof/>
        </w:rPr>
        <w:t>000</w:t>
      </w:r>
      <w:r w:rsidR="00DD0A9C" w:rsidRPr="005B03CE">
        <w:rPr>
          <w:noProof/>
        </w:rPr>
        <w:t>;</w:t>
      </w:r>
    </w:p>
    <w:p w:rsidR="00DD0A9C" w:rsidRPr="005B03CE" w:rsidRDefault="004A06D6" w:rsidP="004A06D6">
      <w:pPr>
        <w:pStyle w:val="Point0"/>
        <w:rPr>
          <w:noProof/>
        </w:rPr>
      </w:pPr>
      <w:r w:rsidRPr="004A06D6">
        <w:t>(c)</w:t>
      </w:r>
      <w:r w:rsidRPr="004A06D6">
        <w:tab/>
      </w:r>
      <w:r w:rsidR="00DD0A9C" w:rsidRPr="005B03CE">
        <w:rPr>
          <w:noProof/>
        </w:rPr>
        <w:t>For the performance of tasks detailed in Article 12.4 (struct</w:t>
      </w:r>
      <w:r w:rsidR="00957202" w:rsidRPr="005B03CE">
        <w:rPr>
          <w:noProof/>
        </w:rPr>
        <w:t>ured cooperation with ENISA): 0.</w:t>
      </w:r>
      <w:r w:rsidR="00DD0A9C" w:rsidRPr="005B03CE">
        <w:rPr>
          <w:noProof/>
        </w:rPr>
        <w:t xml:space="preserve">25 FTE and </w:t>
      </w:r>
      <w:r w:rsidR="001414A1" w:rsidRPr="005B03CE">
        <w:rPr>
          <w:noProof/>
        </w:rPr>
        <w:t>EUR 236 </w:t>
      </w:r>
      <w:r w:rsidR="00C5714C" w:rsidRPr="005B03CE">
        <w:rPr>
          <w:noProof/>
        </w:rPr>
        <w:t>000</w:t>
      </w:r>
      <w:r w:rsidR="00DD0A9C" w:rsidRPr="005B03CE">
        <w:rPr>
          <w:noProof/>
        </w:rPr>
        <w:t>;</w:t>
      </w:r>
    </w:p>
    <w:p w:rsidR="00DD0A9C" w:rsidRPr="005B03CE" w:rsidRDefault="004A06D6" w:rsidP="004A06D6">
      <w:pPr>
        <w:pStyle w:val="Point0"/>
        <w:rPr>
          <w:noProof/>
        </w:rPr>
      </w:pPr>
      <w:r w:rsidRPr="004A06D6">
        <w:t>(d)</w:t>
      </w:r>
      <w:r w:rsidRPr="004A06D6">
        <w:tab/>
      </w:r>
      <w:r w:rsidR="00DD0A9C" w:rsidRPr="005B03CE">
        <w:rPr>
          <w:noProof/>
        </w:rPr>
        <w:t>For the performance of tasks detailed in Article 12.6 (cybersecurity exercises): 0</w:t>
      </w:r>
      <w:r w:rsidR="00957202" w:rsidRPr="005B03CE">
        <w:rPr>
          <w:noProof/>
        </w:rPr>
        <w:t>.</w:t>
      </w:r>
      <w:r w:rsidR="00DD0A9C" w:rsidRPr="005B03CE">
        <w:rPr>
          <w:noProof/>
        </w:rPr>
        <w:t xml:space="preserve">25 FTE and </w:t>
      </w:r>
      <w:r w:rsidR="001414A1" w:rsidRPr="005B03CE">
        <w:rPr>
          <w:noProof/>
        </w:rPr>
        <w:t>EUR 79 </w:t>
      </w:r>
      <w:r w:rsidR="00C5714C" w:rsidRPr="005B03CE">
        <w:rPr>
          <w:noProof/>
        </w:rPr>
        <w:t>000</w:t>
      </w:r>
      <w:r w:rsidR="00DD0A9C" w:rsidRPr="005B03CE">
        <w:rPr>
          <w:noProof/>
        </w:rPr>
        <w:t>;</w:t>
      </w:r>
    </w:p>
    <w:p w:rsidR="00DD0A9C" w:rsidRPr="005B03CE" w:rsidRDefault="004A06D6" w:rsidP="004A06D6">
      <w:pPr>
        <w:pStyle w:val="Point0"/>
        <w:rPr>
          <w:noProof/>
        </w:rPr>
      </w:pPr>
      <w:r w:rsidRPr="004A06D6">
        <w:t>(e)</w:t>
      </w:r>
      <w:r w:rsidRPr="004A06D6">
        <w:tab/>
      </w:r>
      <w:r w:rsidR="00DD0A9C" w:rsidRPr="005B03CE">
        <w:rPr>
          <w:noProof/>
        </w:rPr>
        <w:t>For performance of tasks detailed in Article 12.2 (d) and Article 13 (analysis and reporting on implementation of the Regulation, preparation of guidance documents, recommendations and calls for action): 3</w:t>
      </w:r>
      <w:r w:rsidR="00957202" w:rsidRPr="005B03CE">
        <w:rPr>
          <w:noProof/>
        </w:rPr>
        <w:t>.</w:t>
      </w:r>
      <w:r w:rsidR="00DD0A9C" w:rsidRPr="005B03CE">
        <w:rPr>
          <w:noProof/>
        </w:rPr>
        <w:t xml:space="preserve">75 FTE and </w:t>
      </w:r>
      <w:r w:rsidR="001414A1" w:rsidRPr="005B03CE">
        <w:rPr>
          <w:noProof/>
        </w:rPr>
        <w:t xml:space="preserve">EUR </w:t>
      </w:r>
      <w:r w:rsidR="00C5714C" w:rsidRPr="005B03CE">
        <w:rPr>
          <w:noProof/>
        </w:rPr>
        <w:t>2.079</w:t>
      </w:r>
      <w:r w:rsidR="00054956" w:rsidRPr="005B03CE">
        <w:rPr>
          <w:noProof/>
        </w:rPr>
        <w:t xml:space="preserve"> </w:t>
      </w:r>
      <w:r w:rsidR="00DD0A9C" w:rsidRPr="005B03CE">
        <w:rPr>
          <w:noProof/>
        </w:rPr>
        <w:t>million.</w:t>
      </w:r>
    </w:p>
    <w:p w:rsidR="00DD0A9C" w:rsidRPr="005B03CE" w:rsidRDefault="004A06D6" w:rsidP="004A06D6">
      <w:pPr>
        <w:pStyle w:val="Point0"/>
        <w:rPr>
          <w:noProof/>
        </w:rPr>
      </w:pPr>
      <w:r w:rsidRPr="004A06D6">
        <w:t>(f)</w:t>
      </w:r>
      <w:r w:rsidRPr="004A06D6">
        <w:tab/>
      </w:r>
      <w:r w:rsidR="00DD0A9C" w:rsidRPr="005B03CE">
        <w:rPr>
          <w:noProof/>
        </w:rPr>
        <w:t>For the performance of tasks to support the secretariat of the Interinstitutional Cybersecurity Board (IICB): 1 FTE.</w:t>
      </w:r>
    </w:p>
    <w:p w:rsidR="004A20EC" w:rsidRPr="005B03CE" w:rsidRDefault="003A7F98" w:rsidP="00800E67">
      <w:pPr>
        <w:pBdr>
          <w:top w:val="single" w:sz="4" w:space="1" w:color="auto"/>
          <w:left w:val="single" w:sz="4" w:space="4" w:color="auto"/>
          <w:bottom w:val="single" w:sz="4" w:space="1" w:color="auto"/>
          <w:right w:val="single" w:sz="4" w:space="4" w:color="auto"/>
        </w:pBdr>
        <w:rPr>
          <w:noProof/>
        </w:rPr>
      </w:pPr>
      <w:r w:rsidRPr="005B03CE">
        <w:rPr>
          <w:noProof/>
        </w:rPr>
        <w:t>Overview of current resources and transition to full scale</w:t>
      </w:r>
      <w:r w:rsidR="004A20EC" w:rsidRPr="005B03CE">
        <w:rPr>
          <w:noProof/>
        </w:rPr>
        <w:t>:</w:t>
      </w:r>
    </w:p>
    <w:p w:rsidR="00800E67" w:rsidRPr="005B03CE" w:rsidRDefault="004A20EC" w:rsidP="00800E67">
      <w:pPr>
        <w:pBdr>
          <w:top w:val="single" w:sz="4" w:space="1" w:color="auto"/>
          <w:left w:val="single" w:sz="4" w:space="4" w:color="auto"/>
          <w:bottom w:val="single" w:sz="4" w:space="1" w:color="auto"/>
          <w:right w:val="single" w:sz="4" w:space="4" w:color="auto"/>
        </w:pBdr>
        <w:rPr>
          <w:noProof/>
        </w:rPr>
      </w:pPr>
      <w:r w:rsidRPr="005B03CE">
        <w:rPr>
          <w:noProof/>
        </w:rPr>
        <w:t>In September 2021</w:t>
      </w:r>
      <w:r w:rsidR="00DD0A9C" w:rsidRPr="005B03CE">
        <w:rPr>
          <w:noProof/>
        </w:rPr>
        <w:t xml:space="preserve"> CERT-EU operate</w:t>
      </w:r>
      <w:r w:rsidRPr="005B03CE">
        <w:rPr>
          <w:noProof/>
        </w:rPr>
        <w:t>d</w:t>
      </w:r>
      <w:r w:rsidR="00DD0A9C" w:rsidRPr="005B03CE">
        <w:rPr>
          <w:noProof/>
        </w:rPr>
        <w:t xml:space="preserve"> with the following resources:</w:t>
      </w:r>
    </w:p>
    <w:p w:rsidR="00DF3E6D" w:rsidRPr="005B03CE" w:rsidRDefault="004A20EC" w:rsidP="00800E67">
      <w:pPr>
        <w:pBdr>
          <w:top w:val="single" w:sz="4" w:space="1" w:color="auto"/>
          <w:left w:val="single" w:sz="4" w:space="4" w:color="auto"/>
          <w:bottom w:val="single" w:sz="4" w:space="1" w:color="auto"/>
          <w:right w:val="single" w:sz="4" w:space="4" w:color="auto"/>
        </w:pBdr>
        <w:rPr>
          <w:noProof/>
        </w:rPr>
      </w:pPr>
      <w:r w:rsidRPr="005B03CE">
        <w:rPr>
          <w:noProof/>
        </w:rPr>
        <w:t xml:space="preserve">- </w:t>
      </w:r>
      <w:r w:rsidR="00DD0A9C" w:rsidRPr="005B03CE">
        <w:rPr>
          <w:noProof/>
        </w:rPr>
        <w:t xml:space="preserve">permanent </w:t>
      </w:r>
      <w:r w:rsidR="00DF3E6D" w:rsidRPr="005B03CE">
        <w:rPr>
          <w:noProof/>
        </w:rPr>
        <w:t xml:space="preserve">and seconded </w:t>
      </w:r>
      <w:r w:rsidR="00DD0A9C" w:rsidRPr="005B03CE">
        <w:rPr>
          <w:noProof/>
        </w:rPr>
        <w:t>post</w:t>
      </w:r>
      <w:r w:rsidR="00611C0C" w:rsidRPr="005B03CE">
        <w:rPr>
          <w:noProof/>
        </w:rPr>
        <w:t>s: 14</w:t>
      </w:r>
      <w:r w:rsidR="00DF3E6D" w:rsidRPr="005B03CE">
        <w:rPr>
          <w:noProof/>
        </w:rPr>
        <w:t xml:space="preserve"> </w:t>
      </w:r>
      <w:r w:rsidRPr="005B03CE">
        <w:rPr>
          <w:noProof/>
        </w:rPr>
        <w:t>FTEs</w:t>
      </w:r>
      <w:r w:rsidR="00A70449" w:rsidRPr="005B03CE">
        <w:rPr>
          <w:noProof/>
        </w:rPr>
        <w:t>,</w:t>
      </w:r>
    </w:p>
    <w:p w:rsidR="00800E67" w:rsidRPr="005B03CE" w:rsidRDefault="004A20EC" w:rsidP="00800E67">
      <w:pPr>
        <w:pBdr>
          <w:top w:val="single" w:sz="4" w:space="1" w:color="auto"/>
          <w:left w:val="single" w:sz="4" w:space="4" w:color="auto"/>
          <w:bottom w:val="single" w:sz="4" w:space="1" w:color="auto"/>
          <w:right w:val="single" w:sz="4" w:space="4" w:color="auto"/>
        </w:pBdr>
        <w:rPr>
          <w:noProof/>
        </w:rPr>
      </w:pPr>
      <w:r w:rsidRPr="005B03CE">
        <w:rPr>
          <w:noProof/>
        </w:rPr>
        <w:t xml:space="preserve">- </w:t>
      </w:r>
      <w:r w:rsidR="00DF3E6D" w:rsidRPr="005B03CE">
        <w:rPr>
          <w:noProof/>
        </w:rPr>
        <w:t>contract a</w:t>
      </w:r>
      <w:r w:rsidR="00DD0A9C" w:rsidRPr="005B03CE">
        <w:rPr>
          <w:noProof/>
        </w:rPr>
        <w:t>gents financed under</w:t>
      </w:r>
      <w:r w:rsidRPr="005B03CE">
        <w:rPr>
          <w:noProof/>
        </w:rPr>
        <w:t xml:space="preserve"> service level agreem</w:t>
      </w:r>
      <w:r w:rsidR="00A70449" w:rsidRPr="005B03CE">
        <w:rPr>
          <w:noProof/>
        </w:rPr>
        <w:t>e</w:t>
      </w:r>
      <w:r w:rsidRPr="005B03CE">
        <w:rPr>
          <w:noProof/>
        </w:rPr>
        <w:t>nts</w:t>
      </w:r>
      <w:r w:rsidR="00DD0A9C" w:rsidRPr="005B03CE">
        <w:rPr>
          <w:noProof/>
        </w:rPr>
        <w:t>: 2</w:t>
      </w:r>
      <w:r w:rsidR="00A70449" w:rsidRPr="005B03CE">
        <w:rPr>
          <w:noProof/>
        </w:rPr>
        <w:t>4</w:t>
      </w:r>
      <w:r w:rsidR="00DD0A9C" w:rsidRPr="005B03CE">
        <w:rPr>
          <w:noProof/>
        </w:rPr>
        <w:t xml:space="preserve"> FTE,</w:t>
      </w:r>
    </w:p>
    <w:p w:rsidR="004A20EC" w:rsidRPr="005B03CE" w:rsidRDefault="004A20EC" w:rsidP="00800E67">
      <w:pPr>
        <w:pBdr>
          <w:top w:val="single" w:sz="4" w:space="1" w:color="auto"/>
          <w:left w:val="single" w:sz="4" w:space="4" w:color="auto"/>
          <w:bottom w:val="single" w:sz="4" w:space="1" w:color="auto"/>
          <w:right w:val="single" w:sz="4" w:space="4" w:color="auto"/>
        </w:pBdr>
        <w:rPr>
          <w:noProof/>
        </w:rPr>
      </w:pPr>
      <w:r w:rsidRPr="005B03CE">
        <w:rPr>
          <w:noProof/>
        </w:rPr>
        <w:t xml:space="preserve">- total </w:t>
      </w:r>
      <w:r w:rsidR="00611C0C" w:rsidRPr="005B03CE">
        <w:rPr>
          <w:noProof/>
        </w:rPr>
        <w:t>38</w:t>
      </w:r>
      <w:r w:rsidRPr="005B03CE">
        <w:rPr>
          <w:noProof/>
        </w:rPr>
        <w:t xml:space="preserve"> FTE</w:t>
      </w:r>
      <w:r w:rsidR="003A7F98" w:rsidRPr="005B03CE">
        <w:rPr>
          <w:noProof/>
        </w:rPr>
        <w:t>.</w:t>
      </w:r>
    </w:p>
    <w:p w:rsidR="00B941D6" w:rsidRPr="005B03CE" w:rsidRDefault="00B941D6" w:rsidP="00800E67">
      <w:pPr>
        <w:pBdr>
          <w:top w:val="single" w:sz="4" w:space="1" w:color="auto"/>
          <w:left w:val="single" w:sz="4" w:space="4" w:color="auto"/>
          <w:bottom w:val="single" w:sz="4" w:space="1" w:color="auto"/>
          <w:right w:val="single" w:sz="4" w:space="4" w:color="auto"/>
        </w:pBdr>
        <w:rPr>
          <w:noProof/>
        </w:rPr>
      </w:pPr>
      <w:r w:rsidRPr="005B03CE">
        <w:rPr>
          <w:noProof/>
        </w:rPr>
        <w:t xml:space="preserve">CERT-EU budget in 2020 was: </w:t>
      </w:r>
      <w:r w:rsidR="00375A0A" w:rsidRPr="005B03CE">
        <w:rPr>
          <w:noProof/>
        </w:rPr>
        <w:t xml:space="preserve">EUR </w:t>
      </w:r>
      <w:r w:rsidRPr="005B03CE">
        <w:rPr>
          <w:noProof/>
        </w:rPr>
        <w:t>250</w:t>
      </w:r>
      <w:r w:rsidR="001414A1" w:rsidRPr="005B03CE">
        <w:rPr>
          <w:noProof/>
        </w:rPr>
        <w:t> </w:t>
      </w:r>
      <w:r w:rsidRPr="005B03CE">
        <w:rPr>
          <w:noProof/>
        </w:rPr>
        <w:t xml:space="preserve">000 under the Commission Budget, </w:t>
      </w:r>
      <w:r w:rsidR="00375A0A" w:rsidRPr="005B03CE">
        <w:rPr>
          <w:noProof/>
        </w:rPr>
        <w:t xml:space="preserve">EUR </w:t>
      </w:r>
      <w:r w:rsidRPr="005B03CE">
        <w:rPr>
          <w:noProof/>
        </w:rPr>
        <w:t>3</w:t>
      </w:r>
      <w:r w:rsidR="00375A0A" w:rsidRPr="005B03CE">
        <w:rPr>
          <w:noProof/>
        </w:rPr>
        <w:t>.</w:t>
      </w:r>
      <w:r w:rsidRPr="005B03CE">
        <w:rPr>
          <w:noProof/>
        </w:rPr>
        <w:t xml:space="preserve">5 million through assigned revenues from service level agreements. Total: </w:t>
      </w:r>
      <w:r w:rsidR="00375A0A" w:rsidRPr="005B03CE">
        <w:rPr>
          <w:noProof/>
        </w:rPr>
        <w:t xml:space="preserve">EUR </w:t>
      </w:r>
      <w:r w:rsidRPr="005B03CE">
        <w:rPr>
          <w:noProof/>
        </w:rPr>
        <w:t>3</w:t>
      </w:r>
      <w:r w:rsidR="00375A0A" w:rsidRPr="005B03CE">
        <w:rPr>
          <w:noProof/>
        </w:rPr>
        <w:t>.</w:t>
      </w:r>
      <w:r w:rsidRPr="005B03CE">
        <w:rPr>
          <w:noProof/>
        </w:rPr>
        <w:t>75 million. This constituted the entire CERT-EU budget covering training, hardware, software, missions, support, contract agents and conferences.</w:t>
      </w:r>
    </w:p>
    <w:p w:rsidR="004A20EC" w:rsidRPr="005B03CE" w:rsidRDefault="004A20EC" w:rsidP="00800E67">
      <w:pPr>
        <w:pBdr>
          <w:top w:val="single" w:sz="4" w:space="1" w:color="auto"/>
          <w:left w:val="single" w:sz="4" w:space="4" w:color="auto"/>
          <w:bottom w:val="single" w:sz="4" w:space="1" w:color="auto"/>
          <w:right w:val="single" w:sz="4" w:space="4" w:color="auto"/>
        </w:pBdr>
        <w:rPr>
          <w:noProof/>
        </w:rPr>
      </w:pPr>
      <w:r w:rsidRPr="005B03CE">
        <w:rPr>
          <w:noProof/>
        </w:rPr>
        <w:t>Once the regulation is into force the future resources of CERT-E</w:t>
      </w:r>
      <w:r w:rsidR="00A70449" w:rsidRPr="005B03CE">
        <w:rPr>
          <w:noProof/>
        </w:rPr>
        <w:t>U</w:t>
      </w:r>
      <w:r w:rsidRPr="005B03CE">
        <w:rPr>
          <w:noProof/>
        </w:rPr>
        <w:t xml:space="preserve"> are foreseen to be:</w:t>
      </w:r>
    </w:p>
    <w:p w:rsidR="004A20EC" w:rsidRPr="005B03CE" w:rsidRDefault="004A20EC" w:rsidP="00800E67">
      <w:pPr>
        <w:pBdr>
          <w:top w:val="single" w:sz="4" w:space="1" w:color="auto"/>
          <w:left w:val="single" w:sz="4" w:space="4" w:color="auto"/>
          <w:bottom w:val="single" w:sz="4" w:space="1" w:color="auto"/>
          <w:right w:val="single" w:sz="4" w:space="4" w:color="auto"/>
        </w:pBdr>
        <w:rPr>
          <w:noProof/>
        </w:rPr>
      </w:pPr>
      <w:r w:rsidRPr="005B03CE">
        <w:rPr>
          <w:noProof/>
        </w:rPr>
        <w:t>- permanent posts: 34 FTE,</w:t>
      </w:r>
      <w:r w:rsidR="00A70449" w:rsidRPr="005B03CE">
        <w:rPr>
          <w:noProof/>
        </w:rPr>
        <w:t xml:space="preserve"> </w:t>
      </w:r>
    </w:p>
    <w:p w:rsidR="004A20EC" w:rsidRPr="005B03CE" w:rsidRDefault="004A20EC" w:rsidP="00800E67">
      <w:pPr>
        <w:pBdr>
          <w:top w:val="single" w:sz="4" w:space="1" w:color="auto"/>
          <w:left w:val="single" w:sz="4" w:space="4" w:color="auto"/>
          <w:bottom w:val="single" w:sz="4" w:space="1" w:color="auto"/>
          <w:right w:val="single" w:sz="4" w:space="4" w:color="auto"/>
        </w:pBdr>
        <w:rPr>
          <w:noProof/>
        </w:rPr>
      </w:pPr>
      <w:r w:rsidRPr="005B03CE">
        <w:rPr>
          <w:noProof/>
        </w:rPr>
        <w:t>-</w:t>
      </w:r>
      <w:r w:rsidR="00DF3E6D" w:rsidRPr="005B03CE">
        <w:rPr>
          <w:noProof/>
        </w:rPr>
        <w:t xml:space="preserve"> c</w:t>
      </w:r>
      <w:r w:rsidRPr="005B03CE">
        <w:rPr>
          <w:noProof/>
        </w:rPr>
        <w:t>on</w:t>
      </w:r>
      <w:r w:rsidR="00DF3E6D" w:rsidRPr="005B03CE">
        <w:rPr>
          <w:noProof/>
        </w:rPr>
        <w:t>tract a</w:t>
      </w:r>
      <w:r w:rsidRPr="005B03CE">
        <w:rPr>
          <w:noProof/>
        </w:rPr>
        <w:t>gents: 1</w:t>
      </w:r>
      <w:r w:rsidR="00054956" w:rsidRPr="005B03CE">
        <w:rPr>
          <w:noProof/>
        </w:rPr>
        <w:t>5</w:t>
      </w:r>
      <w:r w:rsidRPr="005B03CE">
        <w:rPr>
          <w:noProof/>
        </w:rPr>
        <w:t xml:space="preserve"> FTE</w:t>
      </w:r>
      <w:r w:rsidR="00DD0A9C" w:rsidRPr="005B03CE">
        <w:rPr>
          <w:noProof/>
        </w:rPr>
        <w:t>,</w:t>
      </w:r>
      <w:r w:rsidR="00A70449" w:rsidRPr="005B03CE">
        <w:rPr>
          <w:noProof/>
        </w:rPr>
        <w:t xml:space="preserve"> </w:t>
      </w:r>
    </w:p>
    <w:p w:rsidR="004A20EC" w:rsidRPr="005B03CE" w:rsidRDefault="004A20EC" w:rsidP="00800E67">
      <w:pPr>
        <w:pBdr>
          <w:top w:val="single" w:sz="4" w:space="1" w:color="auto"/>
          <w:left w:val="single" w:sz="4" w:space="4" w:color="auto"/>
          <w:bottom w:val="single" w:sz="4" w:space="1" w:color="auto"/>
          <w:right w:val="single" w:sz="4" w:space="4" w:color="auto"/>
        </w:pBdr>
        <w:rPr>
          <w:noProof/>
        </w:rPr>
      </w:pPr>
      <w:r w:rsidRPr="005B03CE">
        <w:rPr>
          <w:noProof/>
        </w:rPr>
        <w:t>- total 4</w:t>
      </w:r>
      <w:r w:rsidR="00054956" w:rsidRPr="005B03CE">
        <w:rPr>
          <w:noProof/>
        </w:rPr>
        <w:t>9</w:t>
      </w:r>
      <w:r w:rsidRPr="005B03CE">
        <w:rPr>
          <w:noProof/>
        </w:rPr>
        <w:t xml:space="preserve"> FTE, thus a net increase of </w:t>
      </w:r>
      <w:r w:rsidR="00611C0C" w:rsidRPr="005B03CE">
        <w:rPr>
          <w:noProof/>
        </w:rPr>
        <w:t>11</w:t>
      </w:r>
      <w:r w:rsidRPr="005B03CE">
        <w:rPr>
          <w:noProof/>
        </w:rPr>
        <w:t xml:space="preserve"> FTE</w:t>
      </w:r>
      <w:r w:rsidR="00A70449" w:rsidRPr="005B03CE">
        <w:rPr>
          <w:noProof/>
        </w:rPr>
        <w:t xml:space="preserve">. </w:t>
      </w:r>
    </w:p>
    <w:p w:rsidR="00DF3E6D" w:rsidRPr="005B03CE" w:rsidRDefault="004A20EC" w:rsidP="00800E67">
      <w:pPr>
        <w:pBdr>
          <w:top w:val="single" w:sz="4" w:space="1" w:color="auto"/>
          <w:left w:val="single" w:sz="4" w:space="4" w:color="auto"/>
          <w:bottom w:val="single" w:sz="4" w:space="1" w:color="auto"/>
          <w:right w:val="single" w:sz="4" w:space="4" w:color="auto"/>
        </w:pBdr>
        <w:rPr>
          <w:noProof/>
        </w:rPr>
      </w:pPr>
      <w:r w:rsidRPr="005B03CE">
        <w:rPr>
          <w:noProof/>
        </w:rPr>
        <w:t>The change in ratio between permanent posts and contract age</w:t>
      </w:r>
      <w:r w:rsidR="00A70449" w:rsidRPr="005B03CE">
        <w:rPr>
          <w:noProof/>
        </w:rPr>
        <w:t xml:space="preserve">nts </w:t>
      </w:r>
      <w:r w:rsidRPr="005B03CE">
        <w:rPr>
          <w:noProof/>
        </w:rPr>
        <w:t>address</w:t>
      </w:r>
      <w:r w:rsidR="00A70449" w:rsidRPr="005B03CE">
        <w:rPr>
          <w:noProof/>
        </w:rPr>
        <w:t>es</w:t>
      </w:r>
      <w:r w:rsidRPr="005B03CE">
        <w:rPr>
          <w:noProof/>
        </w:rPr>
        <w:t xml:space="preserve"> the </w:t>
      </w:r>
      <w:r w:rsidR="00A70449" w:rsidRPr="005B03CE">
        <w:rPr>
          <w:noProof/>
        </w:rPr>
        <w:t xml:space="preserve">pertinent stumbling block of hiring and retaining senior cybersecurity professionals due to their scarcity on the labour market. </w:t>
      </w:r>
    </w:p>
    <w:p w:rsidR="00DF3E6D" w:rsidRPr="005B03CE" w:rsidRDefault="00AE493D" w:rsidP="00800E67">
      <w:pPr>
        <w:pBdr>
          <w:top w:val="single" w:sz="4" w:space="1" w:color="auto"/>
          <w:left w:val="single" w:sz="4" w:space="4" w:color="auto"/>
          <w:bottom w:val="single" w:sz="4" w:space="1" w:color="auto"/>
          <w:right w:val="single" w:sz="4" w:space="4" w:color="auto"/>
        </w:pBdr>
        <w:rPr>
          <w:noProof/>
        </w:rPr>
      </w:pPr>
      <w:r w:rsidRPr="005B03CE">
        <w:rPr>
          <w:noProof/>
        </w:rPr>
        <w:t>In addition,</w:t>
      </w:r>
      <w:r w:rsidR="00DF3E6D" w:rsidRPr="005B03CE">
        <w:rPr>
          <w:noProof/>
        </w:rPr>
        <w:t xml:space="preserve"> 1 FTE contract agent will be required within the Commission’s Directorate</w:t>
      </w:r>
      <w:r w:rsidR="00375A0A" w:rsidRPr="005B03CE">
        <w:rPr>
          <w:noProof/>
        </w:rPr>
        <w:t>-General</w:t>
      </w:r>
      <w:r w:rsidR="00DF3E6D" w:rsidRPr="005B03CE">
        <w:rPr>
          <w:noProof/>
        </w:rPr>
        <w:t xml:space="preserve"> for Informatics to support the IICB (Interinstitutional Cybersecurity Board). </w:t>
      </w:r>
    </w:p>
    <w:p w:rsidR="00DF3E6D" w:rsidRPr="005B03CE" w:rsidRDefault="00DF3E6D" w:rsidP="00800E67">
      <w:pPr>
        <w:pBdr>
          <w:top w:val="single" w:sz="4" w:space="1" w:color="auto"/>
          <w:left w:val="single" w:sz="4" w:space="4" w:color="auto"/>
          <w:bottom w:val="single" w:sz="4" w:space="1" w:color="auto"/>
          <w:right w:val="single" w:sz="4" w:space="4" w:color="auto"/>
        </w:pBdr>
        <w:rPr>
          <w:noProof/>
        </w:rPr>
      </w:pPr>
      <w:r w:rsidRPr="005B03CE">
        <w:rPr>
          <w:noProof/>
        </w:rPr>
        <w:t xml:space="preserve">In total 21 FTE additional will thus be required to implement </w:t>
      </w:r>
      <w:r w:rsidR="00DE7DC4" w:rsidRPr="005B03CE">
        <w:rPr>
          <w:noProof/>
        </w:rPr>
        <w:t>the R</w:t>
      </w:r>
      <w:r w:rsidRPr="005B03CE">
        <w:rPr>
          <w:noProof/>
        </w:rPr>
        <w:t>egulation (20 FTE for CERT-EU and 1 for the Commission’s Directorate</w:t>
      </w:r>
      <w:r w:rsidR="00375A0A" w:rsidRPr="005B03CE">
        <w:rPr>
          <w:noProof/>
        </w:rPr>
        <w:t>-General</w:t>
      </w:r>
      <w:r w:rsidRPr="005B03CE">
        <w:rPr>
          <w:noProof/>
        </w:rPr>
        <w:t xml:space="preserve"> for Informatics).</w:t>
      </w:r>
      <w:r w:rsidR="00AE493D" w:rsidRPr="005B03CE">
        <w:rPr>
          <w:noProof/>
        </w:rPr>
        <w:t xml:space="preserve"> This will be compensated by a parallel reduction of 9 FTE contract agents in CERT-EU which were previously financed through assigned revenue from service level agreements.</w:t>
      </w:r>
    </w:p>
    <w:p w:rsidR="00DF3E6D" w:rsidRPr="005B03CE" w:rsidRDefault="00DF3E6D" w:rsidP="00800E67">
      <w:pPr>
        <w:pBdr>
          <w:top w:val="single" w:sz="4" w:space="1" w:color="auto"/>
          <w:left w:val="single" w:sz="4" w:space="4" w:color="auto"/>
          <w:bottom w:val="single" w:sz="4" w:space="1" w:color="auto"/>
          <w:right w:val="single" w:sz="4" w:space="4" w:color="auto"/>
        </w:pBdr>
        <w:rPr>
          <w:noProof/>
        </w:rPr>
      </w:pPr>
      <w:r w:rsidRPr="005B03CE">
        <w:rPr>
          <w:noProof/>
        </w:rPr>
        <w:t xml:space="preserve">The CERT-EU </w:t>
      </w:r>
      <w:r w:rsidR="00AE493D" w:rsidRPr="005B03CE">
        <w:rPr>
          <w:noProof/>
        </w:rPr>
        <w:t xml:space="preserve">non-human resources budget </w:t>
      </w:r>
      <w:r w:rsidR="008A3024" w:rsidRPr="005B03CE">
        <w:rPr>
          <w:noProof/>
        </w:rPr>
        <w:t>in 2024 after transition period</w:t>
      </w:r>
      <w:r w:rsidRPr="005B03CE">
        <w:rPr>
          <w:noProof/>
        </w:rPr>
        <w:t xml:space="preserve"> </w:t>
      </w:r>
      <w:r w:rsidR="00C5714C" w:rsidRPr="005B03CE">
        <w:rPr>
          <w:noProof/>
        </w:rPr>
        <w:t>will cover the tasks listed above under (a) through (e) and is</w:t>
      </w:r>
      <w:r w:rsidRPr="005B03CE">
        <w:rPr>
          <w:noProof/>
        </w:rPr>
        <w:t xml:space="preserve"> foreseen to be</w:t>
      </w:r>
      <w:r w:rsidR="00C5714C" w:rsidRPr="005B03CE">
        <w:rPr>
          <w:noProof/>
        </w:rPr>
        <w:t xml:space="preserve"> funded as follows</w:t>
      </w:r>
      <w:r w:rsidRPr="005B03CE">
        <w:rPr>
          <w:noProof/>
        </w:rPr>
        <w:t>:</w:t>
      </w:r>
    </w:p>
    <w:p w:rsidR="00DF3E6D" w:rsidRPr="005B03CE" w:rsidRDefault="00DF3E6D" w:rsidP="00800E67">
      <w:pPr>
        <w:pBdr>
          <w:top w:val="single" w:sz="4" w:space="1" w:color="auto"/>
          <w:left w:val="single" w:sz="4" w:space="4" w:color="auto"/>
          <w:bottom w:val="single" w:sz="4" w:space="1" w:color="auto"/>
          <w:right w:val="single" w:sz="4" w:space="4" w:color="auto"/>
        </w:pBdr>
        <w:rPr>
          <w:noProof/>
        </w:rPr>
      </w:pPr>
      <w:r w:rsidRPr="005B03CE">
        <w:rPr>
          <w:noProof/>
        </w:rPr>
        <w:t xml:space="preserve">- </w:t>
      </w:r>
      <w:r w:rsidR="00375A0A" w:rsidRPr="005B03CE">
        <w:rPr>
          <w:noProof/>
        </w:rPr>
        <w:t xml:space="preserve">EUR </w:t>
      </w:r>
      <w:r w:rsidR="00054956" w:rsidRPr="005B03CE">
        <w:rPr>
          <w:noProof/>
        </w:rPr>
        <w:t>8</w:t>
      </w:r>
      <w:r w:rsidR="00375A0A" w:rsidRPr="005B03CE">
        <w:rPr>
          <w:noProof/>
        </w:rPr>
        <w:t>.</w:t>
      </w:r>
      <w:r w:rsidR="00054956" w:rsidRPr="005B03CE">
        <w:rPr>
          <w:noProof/>
        </w:rPr>
        <w:t xml:space="preserve">921 </w:t>
      </w:r>
      <w:r w:rsidR="00DD0A9C" w:rsidRPr="005B03CE">
        <w:rPr>
          <w:noProof/>
        </w:rPr>
        <w:t xml:space="preserve">million </w:t>
      </w:r>
      <w:r w:rsidR="00AE493D" w:rsidRPr="005B03CE">
        <w:rPr>
          <w:noProof/>
        </w:rPr>
        <w:t>per</w:t>
      </w:r>
      <w:r w:rsidR="008A3024" w:rsidRPr="005B03CE">
        <w:rPr>
          <w:noProof/>
        </w:rPr>
        <w:t xml:space="preserve"> year</w:t>
      </w:r>
      <w:r w:rsidR="00DD0A9C" w:rsidRPr="005B03CE">
        <w:rPr>
          <w:noProof/>
        </w:rPr>
        <w:t xml:space="preserve"> </w:t>
      </w:r>
      <w:r w:rsidRPr="005B03CE">
        <w:rPr>
          <w:noProof/>
        </w:rPr>
        <w:t xml:space="preserve">from the </w:t>
      </w:r>
      <w:r w:rsidR="00B07028" w:rsidRPr="005B03CE">
        <w:rPr>
          <w:noProof/>
        </w:rPr>
        <w:t xml:space="preserve">Union institutions </w:t>
      </w:r>
      <w:r w:rsidR="00C5714C" w:rsidRPr="005B03CE">
        <w:rPr>
          <w:noProof/>
        </w:rPr>
        <w:t>financed under Union</w:t>
      </w:r>
      <w:r w:rsidRPr="005B03CE">
        <w:rPr>
          <w:noProof/>
        </w:rPr>
        <w:t xml:space="preserve"> b</w:t>
      </w:r>
      <w:r w:rsidR="00DD0A9C" w:rsidRPr="005B03CE">
        <w:rPr>
          <w:noProof/>
        </w:rPr>
        <w:t>udget</w:t>
      </w:r>
      <w:r w:rsidR="00C5714C" w:rsidRPr="005B03CE">
        <w:rPr>
          <w:noProof/>
        </w:rPr>
        <w:t xml:space="preserve"> Heading 7,</w:t>
      </w:r>
    </w:p>
    <w:p w:rsidR="00DE7DC4" w:rsidRPr="005B03CE" w:rsidRDefault="00DE7DC4" w:rsidP="00800E67">
      <w:pPr>
        <w:pBdr>
          <w:top w:val="single" w:sz="4" w:space="1" w:color="auto"/>
          <w:left w:val="single" w:sz="4" w:space="4" w:color="auto"/>
          <w:bottom w:val="single" w:sz="4" w:space="1" w:color="auto"/>
          <w:right w:val="single" w:sz="4" w:space="4" w:color="auto"/>
        </w:pBdr>
        <w:rPr>
          <w:noProof/>
        </w:rPr>
      </w:pPr>
      <w:r w:rsidRPr="005B03CE">
        <w:rPr>
          <w:noProof/>
        </w:rPr>
        <w:t xml:space="preserve">- </w:t>
      </w:r>
      <w:r w:rsidR="00375A0A" w:rsidRPr="005B03CE">
        <w:rPr>
          <w:noProof/>
        </w:rPr>
        <w:t xml:space="preserve">EUR </w:t>
      </w:r>
      <w:r w:rsidR="0028190D" w:rsidRPr="005B03CE">
        <w:rPr>
          <w:noProof/>
        </w:rPr>
        <w:t>2.45</w:t>
      </w:r>
      <w:r w:rsidR="00ED126E" w:rsidRPr="005B03CE">
        <w:rPr>
          <w:noProof/>
        </w:rPr>
        <w:t>9</w:t>
      </w:r>
      <w:r w:rsidRPr="005B03CE">
        <w:rPr>
          <w:noProof/>
        </w:rPr>
        <w:t xml:space="preserve"> million </w:t>
      </w:r>
      <w:r w:rsidR="00C5714C" w:rsidRPr="005B03CE">
        <w:rPr>
          <w:noProof/>
        </w:rPr>
        <w:t>from</w:t>
      </w:r>
      <w:r w:rsidRPr="005B03CE">
        <w:rPr>
          <w:noProof/>
        </w:rPr>
        <w:t xml:space="preserve"> </w:t>
      </w:r>
      <w:r w:rsidR="00B07028" w:rsidRPr="005B03CE">
        <w:rPr>
          <w:noProof/>
        </w:rPr>
        <w:t xml:space="preserve">Union </w:t>
      </w:r>
      <w:r w:rsidR="00DB116F" w:rsidRPr="005B03CE">
        <w:rPr>
          <w:noProof/>
        </w:rPr>
        <w:t>institutions, bodies and agencies</w:t>
      </w:r>
      <w:r w:rsidRPr="005B03CE">
        <w:rPr>
          <w:noProof/>
        </w:rPr>
        <w:t xml:space="preserve"> financed under Union budget Heading</w:t>
      </w:r>
      <w:r w:rsidR="00C5714C" w:rsidRPr="005B03CE">
        <w:rPr>
          <w:noProof/>
        </w:rPr>
        <w:t xml:space="preserve">s 1 to </w:t>
      </w:r>
      <w:r w:rsidRPr="005B03CE">
        <w:rPr>
          <w:noProof/>
        </w:rPr>
        <w:t>6,</w:t>
      </w:r>
    </w:p>
    <w:p w:rsidR="00DE7DC4" w:rsidRPr="005B03CE" w:rsidRDefault="00DE7DC4" w:rsidP="00800E67">
      <w:pPr>
        <w:pBdr>
          <w:top w:val="single" w:sz="4" w:space="1" w:color="auto"/>
          <w:left w:val="single" w:sz="4" w:space="4" w:color="auto"/>
          <w:bottom w:val="single" w:sz="4" w:space="1" w:color="auto"/>
          <w:right w:val="single" w:sz="4" w:space="4" w:color="auto"/>
        </w:pBdr>
        <w:rPr>
          <w:noProof/>
        </w:rPr>
      </w:pPr>
      <w:r w:rsidRPr="005B03CE">
        <w:rPr>
          <w:noProof/>
        </w:rPr>
        <w:t xml:space="preserve">- </w:t>
      </w:r>
      <w:r w:rsidR="00375A0A" w:rsidRPr="005B03CE">
        <w:rPr>
          <w:noProof/>
        </w:rPr>
        <w:t xml:space="preserve">EUR </w:t>
      </w:r>
      <w:r w:rsidRPr="005B03CE">
        <w:rPr>
          <w:noProof/>
        </w:rPr>
        <w:t>2</w:t>
      </w:r>
      <w:r w:rsidR="00375A0A" w:rsidRPr="005B03CE">
        <w:rPr>
          <w:noProof/>
        </w:rPr>
        <w:t>.</w:t>
      </w:r>
      <w:r w:rsidRPr="005B03CE">
        <w:rPr>
          <w:noProof/>
        </w:rPr>
        <w:t xml:space="preserve">670 million </w:t>
      </w:r>
      <w:r w:rsidR="00C5714C" w:rsidRPr="005B03CE">
        <w:rPr>
          <w:noProof/>
        </w:rPr>
        <w:t>from</w:t>
      </w:r>
      <w:r w:rsidRPr="005B03CE">
        <w:rPr>
          <w:noProof/>
        </w:rPr>
        <w:t xml:space="preserve"> </w:t>
      </w:r>
      <w:r w:rsidR="00D16C70" w:rsidRPr="005B03CE">
        <w:rPr>
          <w:noProof/>
        </w:rPr>
        <w:t>self-financed</w:t>
      </w:r>
      <w:r w:rsidRPr="005B03CE">
        <w:rPr>
          <w:noProof/>
        </w:rPr>
        <w:t xml:space="preserve"> </w:t>
      </w:r>
      <w:r w:rsidR="00B07028" w:rsidRPr="005B03CE">
        <w:rPr>
          <w:noProof/>
        </w:rPr>
        <w:t xml:space="preserve">Union </w:t>
      </w:r>
      <w:r w:rsidR="00DB116F" w:rsidRPr="005B03CE">
        <w:rPr>
          <w:noProof/>
        </w:rPr>
        <w:t>institutions, bodies and agencies</w:t>
      </w:r>
      <w:r w:rsidRPr="005B03CE">
        <w:rPr>
          <w:noProof/>
        </w:rPr>
        <w:t xml:space="preserve">. </w:t>
      </w:r>
    </w:p>
    <w:p w:rsidR="00DE7DC4" w:rsidRPr="00BB701D" w:rsidRDefault="00DF3E6D" w:rsidP="00800E67">
      <w:pPr>
        <w:pBdr>
          <w:top w:val="single" w:sz="4" w:space="1" w:color="auto"/>
          <w:left w:val="single" w:sz="4" w:space="4" w:color="auto"/>
          <w:bottom w:val="single" w:sz="4" w:space="1" w:color="auto"/>
          <w:right w:val="single" w:sz="4" w:space="4" w:color="auto"/>
        </w:pBdr>
        <w:rPr>
          <w:noProof/>
          <w:lang w:val="fr-BE"/>
        </w:rPr>
      </w:pPr>
      <w:r w:rsidRPr="00BB701D">
        <w:rPr>
          <w:noProof/>
          <w:lang w:val="fr-BE"/>
        </w:rPr>
        <w:t xml:space="preserve">- Total CERT-EU budget: </w:t>
      </w:r>
      <w:r w:rsidR="00375A0A" w:rsidRPr="00BB701D">
        <w:rPr>
          <w:noProof/>
          <w:lang w:val="fr-BE"/>
        </w:rPr>
        <w:t xml:space="preserve">EUR </w:t>
      </w:r>
      <w:r w:rsidRPr="00BB701D">
        <w:rPr>
          <w:noProof/>
          <w:lang w:val="fr-BE"/>
        </w:rPr>
        <w:t>14</w:t>
      </w:r>
      <w:r w:rsidR="00375A0A" w:rsidRPr="00BB701D">
        <w:rPr>
          <w:noProof/>
          <w:lang w:val="fr-BE"/>
        </w:rPr>
        <w:t>.</w:t>
      </w:r>
      <w:r w:rsidRPr="00BB701D">
        <w:rPr>
          <w:noProof/>
          <w:lang w:val="fr-BE"/>
        </w:rPr>
        <w:t>05 million</w:t>
      </w:r>
      <w:r w:rsidR="008A3024" w:rsidRPr="00BB701D">
        <w:rPr>
          <w:noProof/>
          <w:lang w:val="fr-BE"/>
        </w:rPr>
        <w:t>.</w:t>
      </w:r>
    </w:p>
    <w:p w:rsidR="00AE493D" w:rsidRPr="005B03CE" w:rsidRDefault="00AE493D" w:rsidP="00800E67">
      <w:pPr>
        <w:pBdr>
          <w:top w:val="single" w:sz="4" w:space="1" w:color="auto"/>
          <w:left w:val="single" w:sz="4" w:space="4" w:color="auto"/>
          <w:bottom w:val="single" w:sz="4" w:space="1" w:color="auto"/>
          <w:right w:val="single" w:sz="4" w:space="4" w:color="auto"/>
        </w:pBdr>
        <w:rPr>
          <w:noProof/>
        </w:rPr>
      </w:pPr>
      <w:r w:rsidRPr="005B03CE">
        <w:rPr>
          <w:noProof/>
        </w:rPr>
        <w:t>The tasks listed in Article 12.5 are not described in its service catalogue, these are chargeable services. These are ancillary, represent relatively low amounts, are mostly temporary, and the costs of these services will be recovered from beneficiaries of the services through service level agreements or written agreements.</w:t>
      </w:r>
    </w:p>
    <w:p w:rsidR="00C02F17" w:rsidRPr="005B03CE" w:rsidRDefault="00C02F17" w:rsidP="00800E67">
      <w:pPr>
        <w:pBdr>
          <w:top w:val="single" w:sz="4" w:space="1" w:color="auto"/>
          <w:left w:val="single" w:sz="4" w:space="4" w:color="auto"/>
          <w:bottom w:val="single" w:sz="4" w:space="1" w:color="auto"/>
          <w:right w:val="single" w:sz="4" w:space="4" w:color="auto"/>
        </w:pBdr>
        <w:rPr>
          <w:noProof/>
        </w:rPr>
      </w:pPr>
      <w:r w:rsidRPr="005B03CE">
        <w:rPr>
          <w:noProof/>
        </w:rPr>
        <w:t>With regards to contributions to staff of CERT-EU: the Union institutions and main bodies shall contribute a fair share which is in proportion to the respective share of permanent AD posts of the organisation.  It should be seen whether ECB and EIB can also contribute a fair share through secondment of permanent staff.</w:t>
      </w:r>
    </w:p>
    <w:p w:rsidR="00DE7DC4" w:rsidRPr="005B03CE" w:rsidRDefault="00DE7DC4" w:rsidP="00C02F17">
      <w:pPr>
        <w:rPr>
          <w:noProof/>
        </w:rPr>
        <w:sectPr w:rsidR="00DE7DC4" w:rsidRPr="005B03CE" w:rsidSect="00427BA8">
          <w:pgSz w:w="11907" w:h="16840" w:code="9"/>
          <w:pgMar w:top="1134" w:right="1418" w:bottom="1134" w:left="1418" w:header="709" w:footer="709" w:gutter="0"/>
          <w:cols w:space="708"/>
          <w:docGrid w:linePitch="360"/>
        </w:sectPr>
      </w:pPr>
    </w:p>
    <w:p w:rsidR="00DD0A9C" w:rsidRPr="005B03CE" w:rsidRDefault="004A06D6" w:rsidP="004A06D6">
      <w:pPr>
        <w:pStyle w:val="ManualHeading1"/>
        <w:rPr>
          <w:bCs/>
          <w:noProof/>
          <w:szCs w:val="24"/>
        </w:rPr>
      </w:pPr>
      <w:bookmarkStart w:id="39" w:name="_Toc514938041"/>
      <w:bookmarkStart w:id="40" w:name="_Toc520485042"/>
      <w:r w:rsidRPr="004A06D6">
        <w:t>2.</w:t>
      </w:r>
      <w:r w:rsidRPr="004A06D6">
        <w:tab/>
      </w:r>
      <w:r w:rsidR="00DD0A9C" w:rsidRPr="005B03CE">
        <w:rPr>
          <w:noProof/>
        </w:rPr>
        <w:t>MANAGEMENT MEASURES</w:t>
      </w:r>
      <w:bookmarkEnd w:id="39"/>
      <w:bookmarkEnd w:id="40"/>
      <w:r w:rsidR="00DD0A9C" w:rsidRPr="005B03CE">
        <w:rPr>
          <w:noProof/>
        </w:rPr>
        <w:t xml:space="preserve"> </w:t>
      </w:r>
    </w:p>
    <w:p w:rsidR="00DD0A9C" w:rsidRPr="005B03CE" w:rsidRDefault="004A06D6" w:rsidP="004A06D6">
      <w:pPr>
        <w:pStyle w:val="ManualHeading2"/>
        <w:rPr>
          <w:noProof/>
        </w:rPr>
      </w:pPr>
      <w:bookmarkStart w:id="41" w:name="_Toc514938042"/>
      <w:bookmarkStart w:id="42" w:name="_Toc520485043"/>
      <w:r w:rsidRPr="004A06D6">
        <w:t>2.1.</w:t>
      </w:r>
      <w:r w:rsidRPr="004A06D6">
        <w:tab/>
      </w:r>
      <w:r w:rsidR="00DD0A9C" w:rsidRPr="005B03CE">
        <w:rPr>
          <w:noProof/>
        </w:rPr>
        <w:t>Monitoring and reporting rules</w:t>
      </w:r>
      <w:bookmarkEnd w:id="41"/>
      <w:bookmarkEnd w:id="42"/>
      <w:r w:rsidR="00DD0A9C" w:rsidRPr="005B03CE">
        <w:rPr>
          <w:noProof/>
        </w:rPr>
        <w:t xml:space="preserve"> </w:t>
      </w:r>
    </w:p>
    <w:p w:rsidR="00DD0A9C" w:rsidRPr="005B03CE" w:rsidRDefault="00DD0A9C" w:rsidP="00DD0A9C">
      <w:pPr>
        <w:pStyle w:val="Text1"/>
        <w:rPr>
          <w:i/>
          <w:noProof/>
          <w:sz w:val="20"/>
        </w:rPr>
      </w:pPr>
      <w:r w:rsidRPr="005B03CE">
        <w:rPr>
          <w:i/>
          <w:noProof/>
          <w:sz w:val="20"/>
        </w:rPr>
        <w:t>Specify frequency and conditions.</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The Commission, with the help of the IICB and CERT-EU, will periodically review the functioning of the Regulation and report to the European Parliament and the Council, the first time no later than 48 months after the entry into force of this Regulation, and thereafter every three years.</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 xml:space="preserve">The data sources used for the reviews would mostly be from the IICB and CERT-EU. In addition, specific data gathering tools could be used when needed, e.g. surveys of the Union </w:t>
      </w:r>
      <w:r w:rsidR="00DB116F" w:rsidRPr="005B03CE">
        <w:rPr>
          <w:noProof/>
        </w:rPr>
        <w:t>institutions, bodies and agencies</w:t>
      </w:r>
      <w:r w:rsidRPr="005B03CE">
        <w:rPr>
          <w:noProof/>
        </w:rPr>
        <w:t>, ENISA or the CSIRTs Network.</w:t>
      </w:r>
    </w:p>
    <w:p w:rsidR="00DD0A9C" w:rsidRPr="005B03CE" w:rsidRDefault="004A06D6" w:rsidP="004A06D6">
      <w:pPr>
        <w:pStyle w:val="ManualHeading2"/>
        <w:rPr>
          <w:bCs/>
          <w:noProof/>
          <w:szCs w:val="24"/>
        </w:rPr>
      </w:pPr>
      <w:bookmarkStart w:id="43" w:name="_Toc514938045"/>
      <w:bookmarkStart w:id="44" w:name="_Toc520485044"/>
      <w:r w:rsidRPr="004A06D6">
        <w:t>2.2.</w:t>
      </w:r>
      <w:r w:rsidRPr="004A06D6">
        <w:tab/>
      </w:r>
      <w:r w:rsidR="00DD0A9C" w:rsidRPr="005B03CE">
        <w:rPr>
          <w:noProof/>
        </w:rPr>
        <w:t>Management and control system(s)</w:t>
      </w:r>
      <w:bookmarkEnd w:id="43"/>
      <w:bookmarkEnd w:id="44"/>
      <w:r w:rsidR="00DD0A9C" w:rsidRPr="005B03CE">
        <w:rPr>
          <w:noProof/>
        </w:rPr>
        <w:t xml:space="preserve"> </w:t>
      </w:r>
    </w:p>
    <w:p w:rsidR="00DD0A9C" w:rsidRPr="005B03CE" w:rsidRDefault="004A06D6" w:rsidP="004A06D6">
      <w:pPr>
        <w:pStyle w:val="ManualHeading3"/>
        <w:rPr>
          <w:noProof/>
        </w:rPr>
      </w:pPr>
      <w:bookmarkStart w:id="45" w:name="_Toc514938046"/>
      <w:bookmarkStart w:id="46" w:name="_Toc520485045"/>
      <w:r w:rsidRPr="004A06D6">
        <w:t>2.2.1.</w:t>
      </w:r>
      <w:r w:rsidRPr="004A06D6">
        <w:tab/>
      </w:r>
      <w:r w:rsidR="00DD0A9C" w:rsidRPr="005B03CE">
        <w:rPr>
          <w:noProof/>
        </w:rPr>
        <w:t>Justification of the management mode(s), the funding implementation mechanism(s), the payment modalities and the control strategy proposed</w:t>
      </w:r>
      <w:bookmarkEnd w:id="45"/>
      <w:bookmarkEnd w:id="46"/>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Actions deriving from the Regulation will be manage</w:t>
      </w:r>
      <w:r w:rsidR="004D0C90" w:rsidRPr="005B03CE">
        <w:rPr>
          <w:noProof/>
        </w:rPr>
        <w:t>d within each Union institution</w:t>
      </w:r>
      <w:r w:rsidRPr="005B03CE">
        <w:rPr>
          <w:noProof/>
        </w:rPr>
        <w:t xml:space="preserve">, body and agency in accordance with their relevant applicable rules </w:t>
      </w:r>
      <w:r w:rsidR="00D16C70" w:rsidRPr="005B03CE">
        <w:rPr>
          <w:noProof/>
        </w:rPr>
        <w:t>and regulations</w:t>
      </w:r>
      <w:r w:rsidRPr="005B03CE">
        <w:rPr>
          <w:noProof/>
        </w:rPr>
        <w:t>.</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 xml:space="preserve">Administrative and financial management of CERT-EU activities is embedded within the Commission administration and follows its applicable management and implementation mechanisms, payment modalities and controls. </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The Commission’s internal auditor exercises the same powers over CERT-EU as over the Commission departments.</w:t>
      </w:r>
    </w:p>
    <w:p w:rsidR="00DD0A9C" w:rsidRPr="005B03CE" w:rsidRDefault="004A06D6" w:rsidP="004A06D6">
      <w:pPr>
        <w:pStyle w:val="ManualHeading3"/>
        <w:rPr>
          <w:bCs/>
          <w:noProof/>
          <w:szCs w:val="24"/>
        </w:rPr>
      </w:pPr>
      <w:bookmarkStart w:id="47" w:name="_Toc514938047"/>
      <w:bookmarkStart w:id="48" w:name="_Toc520485046"/>
      <w:r w:rsidRPr="004A06D6">
        <w:t>2.2.2.</w:t>
      </w:r>
      <w:r w:rsidRPr="004A06D6">
        <w:tab/>
      </w:r>
      <w:r w:rsidR="00DD0A9C" w:rsidRPr="005B03CE">
        <w:rPr>
          <w:noProof/>
        </w:rPr>
        <w:t>Information concerning the risks identified and the internal control system(s) set up to mitigate them</w:t>
      </w:r>
      <w:bookmarkEnd w:id="47"/>
      <w:bookmarkEnd w:id="48"/>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 xml:space="preserve">Very low risk, as CERT-EU is already attached </w:t>
      </w:r>
      <w:r w:rsidR="00375A0A" w:rsidRPr="005B03CE">
        <w:rPr>
          <w:noProof/>
        </w:rPr>
        <w:t xml:space="preserve">administratively </w:t>
      </w:r>
      <w:r w:rsidRPr="005B03CE">
        <w:rPr>
          <w:noProof/>
        </w:rPr>
        <w:t xml:space="preserve">as a Commission Taskforce to the Director-General </w:t>
      </w:r>
      <w:r w:rsidR="00375A0A" w:rsidRPr="005B03CE">
        <w:rPr>
          <w:noProof/>
        </w:rPr>
        <w:t xml:space="preserve">for </w:t>
      </w:r>
      <w:r w:rsidRPr="005B03CE">
        <w:rPr>
          <w:noProof/>
        </w:rPr>
        <w:t>Informatics, and the IICB is modelled on the current CERT-EU Steering Board. The ecosystem for financial management and internal control is thus already in place.</w:t>
      </w:r>
    </w:p>
    <w:p w:rsidR="00DD0A9C" w:rsidRPr="005B03CE" w:rsidRDefault="004A06D6" w:rsidP="004A06D6">
      <w:pPr>
        <w:pStyle w:val="ManualHeading3"/>
        <w:rPr>
          <w:noProof/>
        </w:rPr>
      </w:pPr>
      <w:bookmarkStart w:id="49" w:name="_Toc514938048"/>
      <w:bookmarkStart w:id="50" w:name="_Toc520485047"/>
      <w:r w:rsidRPr="004A06D6">
        <w:t>2.2.3.</w:t>
      </w:r>
      <w:r w:rsidRPr="004A06D6">
        <w:tab/>
      </w:r>
      <w:r w:rsidR="00DD0A9C" w:rsidRPr="005B03CE">
        <w:rPr>
          <w:noProof/>
        </w:rPr>
        <w:t xml:space="preserve">Estimation and justification of the cost-effectiveness of the controls (ratio of </w:t>
      </w:r>
      <w:r w:rsidR="009445CF" w:rsidRPr="005B03CE">
        <w:rPr>
          <w:noProof/>
        </w:rPr>
        <w:t>‘</w:t>
      </w:r>
      <w:r w:rsidR="00DD0A9C" w:rsidRPr="005B03CE">
        <w:rPr>
          <w:noProof/>
        </w:rPr>
        <w:t>control costs ÷ value of the related funds managed</w:t>
      </w:r>
      <w:r w:rsidR="009445CF" w:rsidRPr="005B03CE">
        <w:rPr>
          <w:noProof/>
        </w:rPr>
        <w:t>’</w:t>
      </w:r>
      <w:r w:rsidR="00DD0A9C" w:rsidRPr="005B03CE">
        <w:rPr>
          <w:noProof/>
        </w:rPr>
        <w:t>), and assessment of the expected levels of risk of error (at payment &amp; at closure)</w:t>
      </w:r>
      <w:bookmarkEnd w:id="49"/>
      <w:bookmarkEnd w:id="50"/>
      <w:r w:rsidR="00DD0A9C" w:rsidRPr="005B03CE">
        <w:rPr>
          <w:noProof/>
        </w:rPr>
        <w:t xml:space="preserve"> </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bookmarkStart w:id="51" w:name="_Toc514938049"/>
      <w:bookmarkStart w:id="52" w:name="_Toc520485048"/>
      <w:r w:rsidRPr="005B03CE">
        <w:rPr>
          <w:noProof/>
        </w:rPr>
        <w:t>Procedures for procurement, financial management and control are already in place and well tested. Cost-effectiveness of controls and the levels of risk of error correspond to those in each Union institution, body or agency, and to those of the Commission for CERT-EU activities.</w:t>
      </w:r>
    </w:p>
    <w:p w:rsidR="00DD0A9C" w:rsidRPr="005B03CE" w:rsidRDefault="004A06D6" w:rsidP="004A06D6">
      <w:pPr>
        <w:pStyle w:val="ManualHeading2"/>
        <w:rPr>
          <w:bCs/>
          <w:noProof/>
          <w:szCs w:val="24"/>
        </w:rPr>
      </w:pPr>
      <w:r w:rsidRPr="004A06D6">
        <w:t>2.3.</w:t>
      </w:r>
      <w:r w:rsidRPr="004A06D6">
        <w:tab/>
      </w:r>
      <w:r w:rsidR="00DD0A9C" w:rsidRPr="005B03CE">
        <w:rPr>
          <w:noProof/>
        </w:rPr>
        <w:t>Measures to prevent fraud and irregularities</w:t>
      </w:r>
      <w:bookmarkEnd w:id="51"/>
      <w:bookmarkEnd w:id="52"/>
      <w:r w:rsidR="00DD0A9C" w:rsidRPr="005B03CE">
        <w:rPr>
          <w:noProof/>
        </w:rPr>
        <w:t xml:space="preserve"> </w:t>
      </w:r>
    </w:p>
    <w:p w:rsidR="00DD0A9C" w:rsidRPr="005B03CE" w:rsidRDefault="00DD0A9C" w:rsidP="00DD0A9C">
      <w:pPr>
        <w:pStyle w:val="Text1"/>
        <w:rPr>
          <w:i/>
          <w:noProof/>
          <w:sz w:val="20"/>
        </w:rPr>
      </w:pPr>
      <w:r w:rsidRPr="005B03CE">
        <w:rPr>
          <w:i/>
          <w:noProof/>
          <w:sz w:val="20"/>
        </w:rPr>
        <w:t>Specify existing or envisaged prevention and protection measures, e.g. from the Anti-Fraud Strategy.</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The financial management and internal control systems of the Commission apply for CERT-EU activities.</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r w:rsidRPr="005B03CE">
        <w:rPr>
          <w:noProof/>
        </w:rPr>
        <w:t xml:space="preserve">In order to combat fraud, corruption and other unlawful activities the provisions of Regulation (EU, Euratom) No 883/2013 of the European Parliament and of the Council of </w:t>
      </w:r>
      <w:r w:rsidR="00D41BF8" w:rsidRPr="005B03CE">
        <w:rPr>
          <w:noProof/>
        </w:rPr>
        <w:t>11</w:t>
      </w:r>
      <w:r w:rsidRPr="005B03CE">
        <w:rPr>
          <w:noProof/>
        </w:rPr>
        <w:t xml:space="preserve"> </w:t>
      </w:r>
      <w:r w:rsidR="00D41BF8" w:rsidRPr="005B03CE">
        <w:rPr>
          <w:noProof/>
        </w:rPr>
        <w:t>September</w:t>
      </w:r>
      <w:r w:rsidRPr="005B03CE">
        <w:rPr>
          <w:noProof/>
        </w:rPr>
        <w:t xml:space="preserve"> </w:t>
      </w:r>
      <w:r w:rsidR="00D41BF8" w:rsidRPr="005B03CE">
        <w:rPr>
          <w:noProof/>
        </w:rPr>
        <w:t>2013</w:t>
      </w:r>
      <w:r w:rsidRPr="005B03CE">
        <w:rPr>
          <w:noProof/>
        </w:rPr>
        <w:t xml:space="preserve"> concerning investigations conducted by the European Anti-fraud Office (OLAF) applies without restriction. </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color w:val="0000FF"/>
        </w:rPr>
        <w:sectPr w:rsidR="00DD0A9C" w:rsidRPr="005B03CE" w:rsidSect="00427BA8">
          <w:pgSz w:w="11907" w:h="16840" w:code="9"/>
          <w:pgMar w:top="1134" w:right="1418" w:bottom="1134" w:left="1418" w:header="709" w:footer="709" w:gutter="0"/>
          <w:cols w:space="708"/>
          <w:docGrid w:linePitch="360"/>
        </w:sectPr>
      </w:pPr>
    </w:p>
    <w:p w:rsidR="00DD0A9C" w:rsidRPr="005B03CE" w:rsidRDefault="004A06D6" w:rsidP="004A06D6">
      <w:pPr>
        <w:pStyle w:val="ManualHeading1"/>
        <w:rPr>
          <w:bCs/>
          <w:noProof/>
          <w:szCs w:val="24"/>
        </w:rPr>
      </w:pPr>
      <w:bookmarkStart w:id="53" w:name="_Toc514938050"/>
      <w:bookmarkStart w:id="54" w:name="_Toc520485049"/>
      <w:r w:rsidRPr="004A06D6">
        <w:t>3.</w:t>
      </w:r>
      <w:r w:rsidRPr="004A06D6">
        <w:tab/>
      </w:r>
      <w:r w:rsidR="00DD0A9C" w:rsidRPr="005B03CE">
        <w:rPr>
          <w:noProof/>
        </w:rPr>
        <w:t>ESTIMATED FINANCIAL IMPACT OF THE PROPOSAL/INITIATIVE</w:t>
      </w:r>
      <w:bookmarkEnd w:id="53"/>
      <w:bookmarkEnd w:id="54"/>
      <w:r w:rsidR="00DD0A9C" w:rsidRPr="005B03CE">
        <w:rPr>
          <w:noProof/>
        </w:rPr>
        <w:t xml:space="preserve"> </w:t>
      </w:r>
    </w:p>
    <w:p w:rsidR="00DD0A9C" w:rsidRPr="005B03CE" w:rsidRDefault="004A06D6" w:rsidP="004A06D6">
      <w:pPr>
        <w:pStyle w:val="ManualHeading2"/>
        <w:rPr>
          <w:noProof/>
        </w:rPr>
      </w:pPr>
      <w:bookmarkStart w:id="55" w:name="_Toc514938051"/>
      <w:bookmarkStart w:id="56" w:name="_Toc520485050"/>
      <w:r w:rsidRPr="004A06D6">
        <w:t>3.1.</w:t>
      </w:r>
      <w:r w:rsidRPr="004A06D6">
        <w:tab/>
      </w:r>
      <w:r w:rsidR="00DD0A9C" w:rsidRPr="005B03CE">
        <w:rPr>
          <w:noProof/>
        </w:rPr>
        <w:t>Heading(s) of the multiannual financial framework and expenditure budget line(s) affected</w:t>
      </w:r>
      <w:bookmarkEnd w:id="55"/>
      <w:bookmarkEnd w:id="56"/>
      <w:r w:rsidR="00DD0A9C" w:rsidRPr="005B03CE">
        <w:rPr>
          <w:noProof/>
        </w:rPr>
        <w:t xml:space="preserve"> </w:t>
      </w:r>
    </w:p>
    <w:p w:rsidR="00DD0A9C" w:rsidRPr="005B03CE" w:rsidRDefault="00DD0A9C" w:rsidP="00DD0A9C">
      <w:pPr>
        <w:pStyle w:val="ListBullet1"/>
        <w:rPr>
          <w:noProof/>
        </w:rPr>
      </w:pPr>
      <w:r w:rsidRPr="005B03CE">
        <w:rPr>
          <w:noProof/>
        </w:rPr>
        <w:t xml:space="preserve">Existing budget lines </w:t>
      </w:r>
    </w:p>
    <w:p w:rsidR="00DD0A9C" w:rsidRPr="005B03CE" w:rsidRDefault="00DD0A9C" w:rsidP="00DD0A9C">
      <w:pPr>
        <w:pStyle w:val="Text1"/>
        <w:rPr>
          <w:i/>
          <w:noProof/>
        </w:rPr>
      </w:pPr>
      <w:r w:rsidRPr="005B03CE">
        <w:rPr>
          <w:i/>
          <w:noProof/>
          <w:u w:val="single"/>
        </w:rPr>
        <w:t>In order</w:t>
      </w:r>
      <w:r w:rsidRPr="005B03CE">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DD0A9C" w:rsidRPr="005B03CE" w:rsidTr="00F158BD">
        <w:tc>
          <w:tcPr>
            <w:tcW w:w="1080" w:type="dxa"/>
            <w:vMerge w:val="restart"/>
            <w:vAlign w:val="center"/>
          </w:tcPr>
          <w:p w:rsidR="00DD0A9C" w:rsidRPr="005B03CE" w:rsidRDefault="00DD0A9C" w:rsidP="00F158BD">
            <w:pPr>
              <w:spacing w:before="60" w:after="60"/>
              <w:jc w:val="center"/>
              <w:rPr>
                <w:noProof/>
              </w:rPr>
            </w:pPr>
            <w:r w:rsidRPr="005B03CE">
              <w:rPr>
                <w:noProof/>
                <w:sz w:val="18"/>
              </w:rPr>
              <w:t>Heading of multiannual financial framework</w:t>
            </w:r>
          </w:p>
        </w:tc>
        <w:tc>
          <w:tcPr>
            <w:tcW w:w="3960" w:type="dxa"/>
            <w:vAlign w:val="center"/>
          </w:tcPr>
          <w:p w:rsidR="00DD0A9C" w:rsidRPr="005B03CE" w:rsidRDefault="00DD0A9C" w:rsidP="00F158BD">
            <w:pPr>
              <w:spacing w:before="60" w:after="60"/>
              <w:jc w:val="center"/>
              <w:rPr>
                <w:noProof/>
              </w:rPr>
            </w:pPr>
            <w:r w:rsidRPr="005B03CE">
              <w:rPr>
                <w:noProof/>
                <w:sz w:val="20"/>
              </w:rPr>
              <w:t>Budget line</w:t>
            </w:r>
          </w:p>
        </w:tc>
        <w:tc>
          <w:tcPr>
            <w:tcW w:w="1080" w:type="dxa"/>
            <w:vAlign w:val="center"/>
          </w:tcPr>
          <w:p w:rsidR="00DD0A9C" w:rsidRPr="005B03CE" w:rsidRDefault="00DD0A9C" w:rsidP="00F158BD">
            <w:pPr>
              <w:spacing w:before="60" w:after="60"/>
              <w:jc w:val="center"/>
              <w:rPr>
                <w:noProof/>
              </w:rPr>
            </w:pPr>
            <w:r w:rsidRPr="005B03CE">
              <w:rPr>
                <w:noProof/>
                <w:sz w:val="18"/>
              </w:rPr>
              <w:t xml:space="preserve">Type of </w:t>
            </w:r>
            <w:r w:rsidRPr="005B03CE">
              <w:rPr>
                <w:noProof/>
                <w:sz w:val="22"/>
              </w:rPr>
              <w:br/>
            </w:r>
            <w:r w:rsidRPr="005B03CE">
              <w:rPr>
                <w:noProof/>
                <w:sz w:val="18"/>
              </w:rPr>
              <w:t>expenditure</w:t>
            </w:r>
          </w:p>
        </w:tc>
        <w:tc>
          <w:tcPr>
            <w:tcW w:w="4440" w:type="dxa"/>
            <w:gridSpan w:val="4"/>
            <w:vAlign w:val="center"/>
          </w:tcPr>
          <w:p w:rsidR="00DD0A9C" w:rsidRPr="005B03CE" w:rsidRDefault="00DD0A9C" w:rsidP="00F158BD">
            <w:pPr>
              <w:spacing w:before="60" w:after="60"/>
              <w:jc w:val="center"/>
              <w:rPr>
                <w:noProof/>
              </w:rPr>
            </w:pPr>
            <w:r w:rsidRPr="005B03CE">
              <w:rPr>
                <w:noProof/>
                <w:sz w:val="20"/>
              </w:rPr>
              <w:t xml:space="preserve">Contribution </w:t>
            </w:r>
          </w:p>
        </w:tc>
      </w:tr>
      <w:tr w:rsidR="00DD0A9C" w:rsidRPr="005B03CE" w:rsidTr="00F158BD">
        <w:tc>
          <w:tcPr>
            <w:tcW w:w="1080" w:type="dxa"/>
            <w:vMerge/>
            <w:vAlign w:val="center"/>
          </w:tcPr>
          <w:p w:rsidR="00DD0A9C" w:rsidRPr="005B03CE" w:rsidRDefault="00DD0A9C" w:rsidP="00F158BD">
            <w:pPr>
              <w:jc w:val="center"/>
              <w:rPr>
                <w:noProof/>
              </w:rPr>
            </w:pPr>
          </w:p>
        </w:tc>
        <w:tc>
          <w:tcPr>
            <w:tcW w:w="3960" w:type="dxa"/>
            <w:vAlign w:val="center"/>
          </w:tcPr>
          <w:p w:rsidR="00DD0A9C" w:rsidRPr="005B03CE" w:rsidRDefault="00DD0A9C" w:rsidP="00F158BD">
            <w:pPr>
              <w:rPr>
                <w:noProof/>
              </w:rPr>
            </w:pPr>
            <w:r w:rsidRPr="005B03CE">
              <w:rPr>
                <w:noProof/>
                <w:sz w:val="20"/>
              </w:rPr>
              <w:t xml:space="preserve">Number </w:t>
            </w:r>
            <w:r w:rsidRPr="005B03CE">
              <w:rPr>
                <w:noProof/>
                <w:sz w:val="22"/>
              </w:rPr>
              <w:br/>
            </w:r>
          </w:p>
        </w:tc>
        <w:tc>
          <w:tcPr>
            <w:tcW w:w="1080" w:type="dxa"/>
            <w:vAlign w:val="center"/>
          </w:tcPr>
          <w:p w:rsidR="00DD0A9C" w:rsidRPr="005B03CE" w:rsidRDefault="00DD0A9C" w:rsidP="00F158BD">
            <w:pPr>
              <w:jc w:val="center"/>
              <w:rPr>
                <w:noProof/>
              </w:rPr>
            </w:pPr>
            <w:r w:rsidRPr="005B03CE">
              <w:rPr>
                <w:noProof/>
                <w:sz w:val="18"/>
              </w:rPr>
              <w:t>Diff./Non-diff.</w:t>
            </w:r>
            <w:r w:rsidRPr="005B03CE">
              <w:rPr>
                <w:rStyle w:val="FootnoteReference"/>
                <w:noProof/>
                <w:sz w:val="18"/>
              </w:rPr>
              <w:footnoteReference w:id="14"/>
            </w:r>
          </w:p>
        </w:tc>
        <w:tc>
          <w:tcPr>
            <w:tcW w:w="956" w:type="dxa"/>
            <w:vAlign w:val="center"/>
          </w:tcPr>
          <w:p w:rsidR="00DD0A9C" w:rsidRPr="005B03CE" w:rsidRDefault="00DD0A9C" w:rsidP="00F158BD">
            <w:pPr>
              <w:jc w:val="center"/>
              <w:rPr>
                <w:noProof/>
              </w:rPr>
            </w:pPr>
            <w:r w:rsidRPr="005B03CE">
              <w:rPr>
                <w:noProof/>
                <w:sz w:val="18"/>
              </w:rPr>
              <w:t>from EFTA countries</w:t>
            </w:r>
            <w:r w:rsidRPr="005B03CE">
              <w:rPr>
                <w:rStyle w:val="FootnoteReference"/>
                <w:noProof/>
                <w:sz w:val="18"/>
              </w:rPr>
              <w:footnoteReference w:id="15"/>
            </w:r>
          </w:p>
          <w:p w:rsidR="00DD0A9C" w:rsidRPr="005B03CE" w:rsidRDefault="00DD0A9C" w:rsidP="00F158BD">
            <w:pPr>
              <w:spacing w:before="0" w:after="0"/>
              <w:jc w:val="center"/>
              <w:rPr>
                <w:b/>
                <w:noProof/>
                <w:sz w:val="18"/>
              </w:rPr>
            </w:pPr>
          </w:p>
        </w:tc>
        <w:tc>
          <w:tcPr>
            <w:tcW w:w="1080" w:type="dxa"/>
            <w:vAlign w:val="center"/>
          </w:tcPr>
          <w:p w:rsidR="00DD0A9C" w:rsidRPr="005B03CE" w:rsidRDefault="00DD0A9C" w:rsidP="00F158BD">
            <w:pPr>
              <w:jc w:val="center"/>
              <w:rPr>
                <w:noProof/>
              </w:rPr>
            </w:pPr>
            <w:r w:rsidRPr="005B03CE">
              <w:rPr>
                <w:noProof/>
                <w:sz w:val="18"/>
              </w:rPr>
              <w:t>from candidate countries</w:t>
            </w:r>
            <w:r w:rsidRPr="005B03CE">
              <w:rPr>
                <w:rStyle w:val="FootnoteReference"/>
                <w:noProof/>
                <w:sz w:val="18"/>
              </w:rPr>
              <w:footnoteReference w:id="16"/>
            </w:r>
          </w:p>
          <w:p w:rsidR="00DD0A9C" w:rsidRPr="005B03CE" w:rsidRDefault="00DD0A9C" w:rsidP="00F158BD">
            <w:pPr>
              <w:spacing w:before="0" w:after="0"/>
              <w:jc w:val="center"/>
              <w:rPr>
                <w:noProof/>
                <w:sz w:val="18"/>
              </w:rPr>
            </w:pPr>
          </w:p>
        </w:tc>
        <w:tc>
          <w:tcPr>
            <w:tcW w:w="956" w:type="dxa"/>
            <w:vAlign w:val="center"/>
          </w:tcPr>
          <w:p w:rsidR="00DD0A9C" w:rsidRPr="005B03CE" w:rsidRDefault="00DD0A9C" w:rsidP="00F158BD">
            <w:pPr>
              <w:jc w:val="center"/>
              <w:rPr>
                <w:noProof/>
                <w:sz w:val="18"/>
              </w:rPr>
            </w:pPr>
            <w:r w:rsidRPr="005B03CE">
              <w:rPr>
                <w:noProof/>
                <w:sz w:val="18"/>
              </w:rPr>
              <w:t>from third countries</w:t>
            </w:r>
          </w:p>
        </w:tc>
        <w:tc>
          <w:tcPr>
            <w:tcW w:w="1448" w:type="dxa"/>
            <w:vAlign w:val="center"/>
          </w:tcPr>
          <w:p w:rsidR="00DD0A9C" w:rsidRPr="005B03CE" w:rsidRDefault="00DD0A9C" w:rsidP="00F158BD">
            <w:pPr>
              <w:jc w:val="center"/>
              <w:rPr>
                <w:noProof/>
              </w:rPr>
            </w:pPr>
            <w:r w:rsidRPr="005B03CE">
              <w:rPr>
                <w:noProof/>
                <w:sz w:val="16"/>
              </w:rPr>
              <w:t xml:space="preserve">within the meaning of Article 21(2)(b) of the Financial Regulation </w:t>
            </w:r>
          </w:p>
        </w:tc>
      </w:tr>
      <w:tr w:rsidR="001D2981" w:rsidRPr="005B03CE" w:rsidTr="00F158BD">
        <w:tc>
          <w:tcPr>
            <w:tcW w:w="1080" w:type="dxa"/>
            <w:vAlign w:val="center"/>
          </w:tcPr>
          <w:p w:rsidR="001D2981" w:rsidRPr="005B03CE" w:rsidRDefault="001D2981" w:rsidP="00F158BD">
            <w:pPr>
              <w:jc w:val="center"/>
              <w:rPr>
                <w:noProof/>
              </w:rPr>
            </w:pPr>
            <w:r w:rsidRPr="005B03CE">
              <w:rPr>
                <w:noProof/>
              </w:rPr>
              <w:t>1 to 6</w:t>
            </w:r>
          </w:p>
        </w:tc>
        <w:tc>
          <w:tcPr>
            <w:tcW w:w="3960" w:type="dxa"/>
            <w:vAlign w:val="center"/>
          </w:tcPr>
          <w:p w:rsidR="001D2981" w:rsidRPr="005B03CE" w:rsidRDefault="001D2981" w:rsidP="00F158BD">
            <w:pPr>
              <w:spacing w:after="60"/>
              <w:rPr>
                <w:noProof/>
                <w:sz w:val="22"/>
              </w:rPr>
            </w:pPr>
            <w:r w:rsidRPr="005B03CE">
              <w:rPr>
                <w:noProof/>
                <w:sz w:val="22"/>
              </w:rPr>
              <w:t>Budget lines covering Union contributions to decentralised agencies and bodies</w:t>
            </w:r>
          </w:p>
        </w:tc>
        <w:tc>
          <w:tcPr>
            <w:tcW w:w="1080" w:type="dxa"/>
            <w:vAlign w:val="center"/>
          </w:tcPr>
          <w:p w:rsidR="001D2981" w:rsidRPr="005B03CE" w:rsidRDefault="001D2981" w:rsidP="00F158BD">
            <w:pPr>
              <w:jc w:val="center"/>
              <w:rPr>
                <w:noProof/>
                <w:sz w:val="22"/>
              </w:rPr>
            </w:pPr>
            <w:r w:rsidRPr="005B03CE">
              <w:rPr>
                <w:noProof/>
                <w:sz w:val="22"/>
              </w:rPr>
              <w:t>Diff.</w:t>
            </w:r>
          </w:p>
        </w:tc>
        <w:tc>
          <w:tcPr>
            <w:tcW w:w="956" w:type="dxa"/>
            <w:vAlign w:val="center"/>
          </w:tcPr>
          <w:p w:rsidR="001D2981" w:rsidRPr="005B03CE" w:rsidRDefault="001D2981" w:rsidP="00F158BD">
            <w:pPr>
              <w:jc w:val="center"/>
              <w:rPr>
                <w:noProof/>
                <w:sz w:val="20"/>
                <w:szCs w:val="20"/>
              </w:rPr>
            </w:pPr>
            <w:r w:rsidRPr="005B03CE">
              <w:rPr>
                <w:noProof/>
                <w:sz w:val="20"/>
                <w:szCs w:val="20"/>
              </w:rPr>
              <w:t>NO</w:t>
            </w:r>
          </w:p>
        </w:tc>
        <w:tc>
          <w:tcPr>
            <w:tcW w:w="1080" w:type="dxa"/>
            <w:vAlign w:val="center"/>
          </w:tcPr>
          <w:p w:rsidR="001D2981" w:rsidRPr="005B03CE" w:rsidRDefault="001D2981" w:rsidP="00F158BD">
            <w:pPr>
              <w:jc w:val="center"/>
              <w:rPr>
                <w:noProof/>
                <w:sz w:val="20"/>
                <w:szCs w:val="20"/>
              </w:rPr>
            </w:pPr>
            <w:r w:rsidRPr="005B03CE">
              <w:rPr>
                <w:noProof/>
                <w:sz w:val="20"/>
                <w:szCs w:val="20"/>
              </w:rPr>
              <w:t>NO</w:t>
            </w:r>
          </w:p>
        </w:tc>
        <w:tc>
          <w:tcPr>
            <w:tcW w:w="956" w:type="dxa"/>
            <w:vAlign w:val="center"/>
          </w:tcPr>
          <w:p w:rsidR="001D2981" w:rsidRPr="005B03CE" w:rsidRDefault="001D2981" w:rsidP="00F158BD">
            <w:pPr>
              <w:jc w:val="center"/>
              <w:rPr>
                <w:noProof/>
                <w:sz w:val="20"/>
                <w:szCs w:val="20"/>
              </w:rPr>
            </w:pPr>
            <w:r w:rsidRPr="005B03CE">
              <w:rPr>
                <w:noProof/>
                <w:sz w:val="20"/>
                <w:szCs w:val="20"/>
              </w:rPr>
              <w:t>NO</w:t>
            </w:r>
          </w:p>
        </w:tc>
        <w:tc>
          <w:tcPr>
            <w:tcW w:w="1448" w:type="dxa"/>
            <w:vAlign w:val="center"/>
          </w:tcPr>
          <w:p w:rsidR="001D2981" w:rsidRPr="005B03CE" w:rsidRDefault="001D2981" w:rsidP="00F158BD">
            <w:pPr>
              <w:jc w:val="center"/>
              <w:rPr>
                <w:noProof/>
                <w:sz w:val="20"/>
                <w:szCs w:val="20"/>
              </w:rPr>
            </w:pPr>
            <w:r w:rsidRPr="005B03CE">
              <w:rPr>
                <w:noProof/>
                <w:sz w:val="20"/>
                <w:szCs w:val="20"/>
              </w:rPr>
              <w:t>NO</w:t>
            </w:r>
          </w:p>
        </w:tc>
      </w:tr>
      <w:tr w:rsidR="00DD0A9C" w:rsidRPr="005B03CE" w:rsidTr="00F158BD">
        <w:tc>
          <w:tcPr>
            <w:tcW w:w="1080" w:type="dxa"/>
            <w:vAlign w:val="center"/>
          </w:tcPr>
          <w:p w:rsidR="00DD0A9C" w:rsidRPr="005B03CE" w:rsidRDefault="00DD0A9C" w:rsidP="00F158BD">
            <w:pPr>
              <w:jc w:val="center"/>
              <w:rPr>
                <w:noProof/>
              </w:rPr>
            </w:pPr>
            <w:r w:rsidRPr="005B03CE">
              <w:rPr>
                <w:noProof/>
              </w:rPr>
              <w:t>7</w:t>
            </w:r>
          </w:p>
        </w:tc>
        <w:tc>
          <w:tcPr>
            <w:tcW w:w="3960" w:type="dxa"/>
            <w:vAlign w:val="center"/>
          </w:tcPr>
          <w:p w:rsidR="00DD0A9C" w:rsidRPr="005B03CE" w:rsidRDefault="007E3F53" w:rsidP="00F158BD">
            <w:pPr>
              <w:spacing w:after="60"/>
              <w:rPr>
                <w:noProof/>
              </w:rPr>
            </w:pPr>
            <w:r w:rsidRPr="005B03CE">
              <w:rPr>
                <w:noProof/>
                <w:sz w:val="22"/>
              </w:rPr>
              <w:t xml:space="preserve">Budget lines covering staff remunerations, IT expenditure and other administrative expenditure in the different Sections of the EU budget </w:t>
            </w:r>
          </w:p>
        </w:tc>
        <w:tc>
          <w:tcPr>
            <w:tcW w:w="1080" w:type="dxa"/>
            <w:vAlign w:val="center"/>
          </w:tcPr>
          <w:p w:rsidR="00DD0A9C" w:rsidRPr="005B03CE" w:rsidRDefault="00DD0A9C" w:rsidP="00F158BD">
            <w:pPr>
              <w:jc w:val="center"/>
              <w:rPr>
                <w:noProof/>
                <w:color w:val="0000FF"/>
              </w:rPr>
            </w:pPr>
            <w:r w:rsidRPr="005B03CE">
              <w:rPr>
                <w:noProof/>
                <w:sz w:val="22"/>
              </w:rPr>
              <w:t>Non-diff.</w:t>
            </w:r>
          </w:p>
        </w:tc>
        <w:tc>
          <w:tcPr>
            <w:tcW w:w="956" w:type="dxa"/>
            <w:vAlign w:val="center"/>
          </w:tcPr>
          <w:p w:rsidR="00DD0A9C" w:rsidRPr="005B03CE" w:rsidRDefault="00DD0A9C" w:rsidP="00F158BD">
            <w:pPr>
              <w:jc w:val="center"/>
              <w:rPr>
                <w:noProof/>
                <w:sz w:val="20"/>
                <w:szCs w:val="20"/>
              </w:rPr>
            </w:pPr>
            <w:r w:rsidRPr="005B03CE">
              <w:rPr>
                <w:noProof/>
                <w:sz w:val="20"/>
                <w:szCs w:val="20"/>
              </w:rPr>
              <w:t>NO</w:t>
            </w:r>
          </w:p>
        </w:tc>
        <w:tc>
          <w:tcPr>
            <w:tcW w:w="1080" w:type="dxa"/>
            <w:vAlign w:val="center"/>
          </w:tcPr>
          <w:p w:rsidR="00DD0A9C" w:rsidRPr="005B03CE" w:rsidRDefault="00DD0A9C" w:rsidP="00F158BD">
            <w:pPr>
              <w:jc w:val="center"/>
              <w:rPr>
                <w:noProof/>
                <w:sz w:val="20"/>
                <w:szCs w:val="20"/>
              </w:rPr>
            </w:pPr>
            <w:r w:rsidRPr="005B03CE">
              <w:rPr>
                <w:noProof/>
                <w:sz w:val="20"/>
                <w:szCs w:val="20"/>
              </w:rPr>
              <w:t>NO</w:t>
            </w:r>
          </w:p>
        </w:tc>
        <w:tc>
          <w:tcPr>
            <w:tcW w:w="956" w:type="dxa"/>
            <w:vAlign w:val="center"/>
          </w:tcPr>
          <w:p w:rsidR="00DD0A9C" w:rsidRPr="005B03CE" w:rsidRDefault="00DD0A9C" w:rsidP="00F158BD">
            <w:pPr>
              <w:jc w:val="center"/>
              <w:rPr>
                <w:noProof/>
                <w:sz w:val="20"/>
                <w:szCs w:val="20"/>
              </w:rPr>
            </w:pPr>
            <w:r w:rsidRPr="005B03CE">
              <w:rPr>
                <w:noProof/>
                <w:sz w:val="20"/>
                <w:szCs w:val="20"/>
              </w:rPr>
              <w:t>NO</w:t>
            </w:r>
          </w:p>
        </w:tc>
        <w:tc>
          <w:tcPr>
            <w:tcW w:w="1448" w:type="dxa"/>
            <w:vAlign w:val="center"/>
          </w:tcPr>
          <w:p w:rsidR="00DD0A9C" w:rsidRPr="005B03CE" w:rsidRDefault="00DD0A9C" w:rsidP="00F158BD">
            <w:pPr>
              <w:jc w:val="center"/>
              <w:rPr>
                <w:noProof/>
                <w:sz w:val="20"/>
                <w:szCs w:val="20"/>
              </w:rPr>
            </w:pPr>
            <w:r w:rsidRPr="005B03CE">
              <w:rPr>
                <w:noProof/>
                <w:sz w:val="20"/>
                <w:szCs w:val="20"/>
              </w:rPr>
              <w:t>NO</w:t>
            </w:r>
          </w:p>
        </w:tc>
      </w:tr>
    </w:tbl>
    <w:p w:rsidR="00DD0A9C" w:rsidRPr="005B03CE" w:rsidRDefault="00DD0A9C" w:rsidP="00DD0A9C">
      <w:pPr>
        <w:pStyle w:val="ListBullet1"/>
        <w:rPr>
          <w:noProof/>
        </w:rPr>
      </w:pPr>
      <w:r w:rsidRPr="005B03CE">
        <w:rPr>
          <w:noProof/>
        </w:rPr>
        <w:t xml:space="preserve">New budget lines requested </w:t>
      </w:r>
    </w:p>
    <w:p w:rsidR="00DD0A9C" w:rsidRPr="005B03CE" w:rsidRDefault="00DD0A9C" w:rsidP="00DD0A9C">
      <w:pPr>
        <w:pStyle w:val="Text1"/>
        <w:rPr>
          <w:i/>
          <w:noProof/>
          <w:sz w:val="20"/>
        </w:rPr>
      </w:pPr>
      <w:r w:rsidRPr="005B03CE">
        <w:rPr>
          <w:i/>
          <w:noProof/>
          <w:u w:val="single"/>
        </w:rPr>
        <w:t>In order</w:t>
      </w:r>
      <w:r w:rsidRPr="005B03CE">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DD0A9C" w:rsidRPr="005B03CE" w:rsidTr="00F158BD">
        <w:tc>
          <w:tcPr>
            <w:tcW w:w="1080" w:type="dxa"/>
            <w:vMerge w:val="restart"/>
            <w:vAlign w:val="center"/>
          </w:tcPr>
          <w:p w:rsidR="00DD0A9C" w:rsidRPr="005B03CE" w:rsidRDefault="00DD0A9C" w:rsidP="00F158BD">
            <w:pPr>
              <w:spacing w:before="60" w:after="60"/>
              <w:jc w:val="center"/>
              <w:rPr>
                <w:noProof/>
                <w:sz w:val="18"/>
                <w:szCs w:val="18"/>
              </w:rPr>
            </w:pPr>
            <w:r w:rsidRPr="005B03CE">
              <w:rPr>
                <w:noProof/>
                <w:sz w:val="18"/>
              </w:rPr>
              <w:t>Heading of multiannual financial framework</w:t>
            </w:r>
          </w:p>
        </w:tc>
        <w:tc>
          <w:tcPr>
            <w:tcW w:w="3960" w:type="dxa"/>
            <w:vAlign w:val="center"/>
          </w:tcPr>
          <w:p w:rsidR="00DD0A9C" w:rsidRPr="005B03CE" w:rsidRDefault="00DD0A9C" w:rsidP="00F158BD">
            <w:pPr>
              <w:spacing w:before="60" w:after="60"/>
              <w:jc w:val="center"/>
              <w:rPr>
                <w:noProof/>
              </w:rPr>
            </w:pPr>
            <w:r w:rsidRPr="005B03CE">
              <w:rPr>
                <w:noProof/>
                <w:sz w:val="20"/>
              </w:rPr>
              <w:t>Budget line</w:t>
            </w:r>
          </w:p>
        </w:tc>
        <w:tc>
          <w:tcPr>
            <w:tcW w:w="1080" w:type="dxa"/>
            <w:vAlign w:val="center"/>
          </w:tcPr>
          <w:p w:rsidR="00DD0A9C" w:rsidRPr="005B03CE" w:rsidRDefault="00DD0A9C" w:rsidP="00F158BD">
            <w:pPr>
              <w:spacing w:before="60" w:after="60"/>
              <w:jc w:val="center"/>
              <w:rPr>
                <w:noProof/>
              </w:rPr>
            </w:pPr>
            <w:r w:rsidRPr="005B03CE">
              <w:rPr>
                <w:noProof/>
                <w:sz w:val="18"/>
              </w:rPr>
              <w:t>Type of</w:t>
            </w:r>
            <w:r w:rsidRPr="005B03CE">
              <w:rPr>
                <w:noProof/>
                <w:sz w:val="22"/>
              </w:rPr>
              <w:br/>
            </w:r>
            <w:r w:rsidRPr="005B03CE">
              <w:rPr>
                <w:noProof/>
                <w:sz w:val="18"/>
              </w:rPr>
              <w:t>expenditure</w:t>
            </w:r>
          </w:p>
        </w:tc>
        <w:tc>
          <w:tcPr>
            <w:tcW w:w="4440" w:type="dxa"/>
            <w:gridSpan w:val="4"/>
            <w:vAlign w:val="center"/>
          </w:tcPr>
          <w:p w:rsidR="00DD0A9C" w:rsidRPr="005B03CE" w:rsidRDefault="00DD0A9C" w:rsidP="00F158BD">
            <w:pPr>
              <w:spacing w:before="60" w:after="60"/>
              <w:jc w:val="center"/>
              <w:rPr>
                <w:noProof/>
              </w:rPr>
            </w:pPr>
            <w:r w:rsidRPr="005B03CE">
              <w:rPr>
                <w:noProof/>
                <w:sz w:val="20"/>
              </w:rPr>
              <w:t xml:space="preserve">Contribution </w:t>
            </w:r>
          </w:p>
        </w:tc>
      </w:tr>
      <w:tr w:rsidR="00DD0A9C" w:rsidRPr="005B03CE" w:rsidTr="00F158BD">
        <w:tc>
          <w:tcPr>
            <w:tcW w:w="1080" w:type="dxa"/>
            <w:vMerge/>
            <w:vAlign w:val="center"/>
          </w:tcPr>
          <w:p w:rsidR="00DD0A9C" w:rsidRPr="005B03CE" w:rsidRDefault="00DD0A9C" w:rsidP="00F158BD">
            <w:pPr>
              <w:jc w:val="center"/>
              <w:rPr>
                <w:noProof/>
              </w:rPr>
            </w:pPr>
          </w:p>
        </w:tc>
        <w:tc>
          <w:tcPr>
            <w:tcW w:w="3960" w:type="dxa"/>
            <w:vAlign w:val="center"/>
          </w:tcPr>
          <w:p w:rsidR="00DD0A9C" w:rsidRPr="005B03CE" w:rsidRDefault="00DD0A9C" w:rsidP="00F158BD">
            <w:pPr>
              <w:rPr>
                <w:noProof/>
              </w:rPr>
            </w:pPr>
            <w:r w:rsidRPr="005B03CE">
              <w:rPr>
                <w:noProof/>
                <w:sz w:val="20"/>
              </w:rPr>
              <w:t xml:space="preserve">Number </w:t>
            </w:r>
            <w:r w:rsidRPr="005B03CE">
              <w:rPr>
                <w:noProof/>
                <w:sz w:val="22"/>
              </w:rPr>
              <w:br/>
            </w:r>
          </w:p>
        </w:tc>
        <w:tc>
          <w:tcPr>
            <w:tcW w:w="1080" w:type="dxa"/>
            <w:vAlign w:val="center"/>
          </w:tcPr>
          <w:p w:rsidR="00DD0A9C" w:rsidRPr="005B03CE" w:rsidRDefault="00DD0A9C" w:rsidP="00F158BD">
            <w:pPr>
              <w:jc w:val="center"/>
              <w:rPr>
                <w:noProof/>
              </w:rPr>
            </w:pPr>
            <w:r w:rsidRPr="005B03CE">
              <w:rPr>
                <w:noProof/>
                <w:sz w:val="18"/>
              </w:rPr>
              <w:t>Diff./Non-diff.</w:t>
            </w:r>
          </w:p>
        </w:tc>
        <w:tc>
          <w:tcPr>
            <w:tcW w:w="956" w:type="dxa"/>
            <w:vAlign w:val="center"/>
          </w:tcPr>
          <w:p w:rsidR="00DD0A9C" w:rsidRPr="005B03CE" w:rsidRDefault="00DD0A9C" w:rsidP="00F158BD">
            <w:pPr>
              <w:jc w:val="center"/>
              <w:rPr>
                <w:noProof/>
                <w:sz w:val="18"/>
              </w:rPr>
            </w:pPr>
            <w:r w:rsidRPr="005B03CE">
              <w:rPr>
                <w:noProof/>
                <w:sz w:val="18"/>
              </w:rPr>
              <w:t>from EFTA countries</w:t>
            </w:r>
          </w:p>
        </w:tc>
        <w:tc>
          <w:tcPr>
            <w:tcW w:w="1080" w:type="dxa"/>
            <w:vAlign w:val="center"/>
          </w:tcPr>
          <w:p w:rsidR="00DD0A9C" w:rsidRPr="005B03CE" w:rsidRDefault="00DD0A9C" w:rsidP="00F158BD">
            <w:pPr>
              <w:jc w:val="center"/>
              <w:rPr>
                <w:noProof/>
                <w:sz w:val="18"/>
              </w:rPr>
            </w:pPr>
            <w:r w:rsidRPr="005B03CE">
              <w:rPr>
                <w:noProof/>
                <w:sz w:val="18"/>
              </w:rPr>
              <w:t>from candidate countries</w:t>
            </w:r>
          </w:p>
        </w:tc>
        <w:tc>
          <w:tcPr>
            <w:tcW w:w="956" w:type="dxa"/>
            <w:vAlign w:val="center"/>
          </w:tcPr>
          <w:p w:rsidR="00DD0A9C" w:rsidRPr="005B03CE" w:rsidRDefault="00DD0A9C" w:rsidP="00F158BD">
            <w:pPr>
              <w:jc w:val="center"/>
              <w:rPr>
                <w:noProof/>
                <w:sz w:val="18"/>
              </w:rPr>
            </w:pPr>
            <w:r w:rsidRPr="005B03CE">
              <w:rPr>
                <w:noProof/>
                <w:sz w:val="18"/>
              </w:rPr>
              <w:t>from third countries</w:t>
            </w:r>
          </w:p>
        </w:tc>
        <w:tc>
          <w:tcPr>
            <w:tcW w:w="1448" w:type="dxa"/>
            <w:vAlign w:val="center"/>
          </w:tcPr>
          <w:p w:rsidR="00DD0A9C" w:rsidRPr="005B03CE" w:rsidRDefault="00DD0A9C" w:rsidP="00F158BD">
            <w:pPr>
              <w:jc w:val="center"/>
              <w:rPr>
                <w:noProof/>
              </w:rPr>
            </w:pPr>
            <w:r w:rsidRPr="005B03CE">
              <w:rPr>
                <w:noProof/>
                <w:sz w:val="16"/>
              </w:rPr>
              <w:t xml:space="preserve">within the meaning of Article 21(2)(b) of the Financial Regulation </w:t>
            </w:r>
          </w:p>
        </w:tc>
      </w:tr>
      <w:tr w:rsidR="00DD0A9C" w:rsidRPr="005B03CE" w:rsidTr="00F158BD">
        <w:tc>
          <w:tcPr>
            <w:tcW w:w="1080" w:type="dxa"/>
            <w:vAlign w:val="center"/>
          </w:tcPr>
          <w:p w:rsidR="00DD0A9C" w:rsidRPr="005B03CE" w:rsidRDefault="00DD0A9C" w:rsidP="00F158BD">
            <w:pPr>
              <w:jc w:val="center"/>
              <w:rPr>
                <w:noProof/>
                <w:color w:val="0000FF"/>
              </w:rPr>
            </w:pPr>
          </w:p>
        </w:tc>
        <w:tc>
          <w:tcPr>
            <w:tcW w:w="3960" w:type="dxa"/>
            <w:vAlign w:val="center"/>
          </w:tcPr>
          <w:p w:rsidR="00DD0A9C" w:rsidRPr="005B03CE" w:rsidRDefault="00DD0A9C" w:rsidP="00F158BD">
            <w:pPr>
              <w:spacing w:before="60"/>
              <w:rPr>
                <w:noProof/>
              </w:rPr>
            </w:pPr>
            <w:r w:rsidRPr="005B03CE">
              <w:rPr>
                <w:noProof/>
                <w:sz w:val="22"/>
              </w:rPr>
              <w:t>None</w:t>
            </w:r>
          </w:p>
          <w:p w:rsidR="00DD0A9C" w:rsidRPr="005B03CE" w:rsidRDefault="00DD0A9C" w:rsidP="00F158BD">
            <w:pPr>
              <w:spacing w:after="60"/>
              <w:rPr>
                <w:noProof/>
                <w:color w:val="0000FF"/>
              </w:rPr>
            </w:pPr>
          </w:p>
        </w:tc>
        <w:tc>
          <w:tcPr>
            <w:tcW w:w="1080" w:type="dxa"/>
            <w:vAlign w:val="center"/>
          </w:tcPr>
          <w:p w:rsidR="00DD0A9C" w:rsidRPr="005B03CE" w:rsidRDefault="00DD0A9C" w:rsidP="00F158BD">
            <w:pPr>
              <w:jc w:val="center"/>
              <w:rPr>
                <w:noProof/>
                <w:color w:val="0000FF"/>
              </w:rPr>
            </w:pPr>
          </w:p>
        </w:tc>
        <w:tc>
          <w:tcPr>
            <w:tcW w:w="956" w:type="dxa"/>
            <w:vAlign w:val="center"/>
          </w:tcPr>
          <w:p w:rsidR="00DD0A9C" w:rsidRPr="005B03CE" w:rsidRDefault="00DD0A9C" w:rsidP="00F158BD">
            <w:pPr>
              <w:jc w:val="center"/>
              <w:rPr>
                <w:noProof/>
                <w:sz w:val="20"/>
                <w:szCs w:val="20"/>
              </w:rPr>
            </w:pPr>
            <w:r w:rsidRPr="005B03CE">
              <w:rPr>
                <w:noProof/>
                <w:sz w:val="20"/>
                <w:szCs w:val="20"/>
              </w:rPr>
              <w:t>YES/NO</w:t>
            </w:r>
          </w:p>
        </w:tc>
        <w:tc>
          <w:tcPr>
            <w:tcW w:w="1080" w:type="dxa"/>
            <w:vAlign w:val="center"/>
          </w:tcPr>
          <w:p w:rsidR="00DD0A9C" w:rsidRPr="005B03CE" w:rsidRDefault="00DD0A9C" w:rsidP="00F158BD">
            <w:pPr>
              <w:jc w:val="center"/>
              <w:rPr>
                <w:noProof/>
                <w:color w:val="0000FF"/>
                <w:sz w:val="20"/>
                <w:szCs w:val="20"/>
              </w:rPr>
            </w:pPr>
            <w:r w:rsidRPr="005B03CE">
              <w:rPr>
                <w:noProof/>
                <w:sz w:val="20"/>
                <w:szCs w:val="20"/>
              </w:rPr>
              <w:t>YES/NO</w:t>
            </w:r>
          </w:p>
        </w:tc>
        <w:tc>
          <w:tcPr>
            <w:tcW w:w="956" w:type="dxa"/>
            <w:vAlign w:val="center"/>
          </w:tcPr>
          <w:p w:rsidR="00DD0A9C" w:rsidRPr="005B03CE" w:rsidRDefault="00DD0A9C" w:rsidP="00F158BD">
            <w:pPr>
              <w:jc w:val="center"/>
              <w:rPr>
                <w:noProof/>
                <w:color w:val="0000FF"/>
                <w:sz w:val="20"/>
                <w:szCs w:val="20"/>
              </w:rPr>
            </w:pPr>
            <w:r w:rsidRPr="005B03CE">
              <w:rPr>
                <w:noProof/>
                <w:sz w:val="20"/>
                <w:szCs w:val="20"/>
              </w:rPr>
              <w:t>YES/NO</w:t>
            </w:r>
          </w:p>
        </w:tc>
        <w:tc>
          <w:tcPr>
            <w:tcW w:w="1448" w:type="dxa"/>
            <w:vAlign w:val="center"/>
          </w:tcPr>
          <w:p w:rsidR="00DD0A9C" w:rsidRPr="005B03CE" w:rsidRDefault="00DD0A9C" w:rsidP="00F158BD">
            <w:pPr>
              <w:jc w:val="center"/>
              <w:rPr>
                <w:noProof/>
                <w:sz w:val="20"/>
                <w:szCs w:val="20"/>
              </w:rPr>
            </w:pPr>
            <w:r w:rsidRPr="005B03CE">
              <w:rPr>
                <w:noProof/>
                <w:sz w:val="20"/>
                <w:szCs w:val="20"/>
              </w:rPr>
              <w:t>YES/NO</w:t>
            </w:r>
          </w:p>
        </w:tc>
      </w:tr>
    </w:tbl>
    <w:p w:rsidR="00DD0A9C" w:rsidRPr="005B03CE" w:rsidRDefault="00DD0A9C" w:rsidP="00DD0A9C">
      <w:pPr>
        <w:rPr>
          <w:noProof/>
        </w:rPr>
        <w:sectPr w:rsidR="00DD0A9C" w:rsidRPr="005B03CE" w:rsidSect="00427BA8">
          <w:pgSz w:w="11907" w:h="16840" w:code="1"/>
          <w:pgMar w:top="1134" w:right="1418" w:bottom="1134" w:left="1418" w:header="709" w:footer="709" w:gutter="0"/>
          <w:cols w:space="708"/>
          <w:docGrid w:linePitch="360"/>
        </w:sectPr>
      </w:pPr>
    </w:p>
    <w:p w:rsidR="00DD0A9C" w:rsidRPr="005B03CE" w:rsidRDefault="004A06D6" w:rsidP="004A06D6">
      <w:pPr>
        <w:pStyle w:val="ManualHeading2"/>
        <w:rPr>
          <w:bCs/>
          <w:noProof/>
          <w:szCs w:val="24"/>
        </w:rPr>
      </w:pPr>
      <w:bookmarkStart w:id="57" w:name="_Toc514938052"/>
      <w:bookmarkStart w:id="58" w:name="_Toc520485051"/>
      <w:r w:rsidRPr="004A06D6">
        <w:t>3.2.</w:t>
      </w:r>
      <w:r w:rsidRPr="004A06D6">
        <w:tab/>
      </w:r>
      <w:r w:rsidR="00DD0A9C" w:rsidRPr="005B03CE">
        <w:rPr>
          <w:noProof/>
        </w:rPr>
        <w:t>Estimated financial impact of the proposal on appropriations</w:t>
      </w:r>
      <w:bookmarkEnd w:id="57"/>
      <w:bookmarkEnd w:id="58"/>
      <w:r w:rsidR="00DD0A9C" w:rsidRPr="005B03CE">
        <w:rPr>
          <w:noProof/>
        </w:rPr>
        <w:t xml:space="preserve"> </w:t>
      </w:r>
    </w:p>
    <w:p w:rsidR="00DD0A9C" w:rsidRPr="005B03CE" w:rsidRDefault="004A06D6" w:rsidP="004A06D6">
      <w:pPr>
        <w:pStyle w:val="ManualHeading3"/>
        <w:rPr>
          <w:noProof/>
        </w:rPr>
      </w:pPr>
      <w:bookmarkStart w:id="59" w:name="_Toc514938053"/>
      <w:bookmarkStart w:id="60" w:name="_Toc520485052"/>
      <w:r w:rsidRPr="004A06D6">
        <w:t>3.2.1.</w:t>
      </w:r>
      <w:r w:rsidRPr="004A06D6">
        <w:tab/>
      </w:r>
      <w:r w:rsidR="00DD0A9C" w:rsidRPr="005B03CE">
        <w:rPr>
          <w:noProof/>
        </w:rPr>
        <w:t>Summary of estimated impact on operational appropriations</w:t>
      </w:r>
      <w:bookmarkEnd w:id="59"/>
      <w:bookmarkEnd w:id="60"/>
      <w:r w:rsidR="00DD0A9C" w:rsidRPr="005B03CE">
        <w:rPr>
          <w:noProof/>
        </w:rPr>
        <w:t xml:space="preserve"> </w:t>
      </w:r>
    </w:p>
    <w:p w:rsidR="00E62491" w:rsidRPr="005B03CE" w:rsidRDefault="00E62491" w:rsidP="00E62491">
      <w:pPr>
        <w:pStyle w:val="ListDash1"/>
        <w:rPr>
          <w:noProof/>
        </w:rPr>
      </w:pPr>
      <w:r w:rsidRPr="005B03CE">
        <w:rPr>
          <w:rFonts w:ascii="Wingdings" w:eastAsia="Wingdings" w:hAnsi="Wingdings" w:cs="Wingdings"/>
          <w:noProof/>
        </w:rPr>
        <w:t></w:t>
      </w:r>
      <w:r w:rsidRPr="005B03CE">
        <w:rPr>
          <w:noProof/>
        </w:rPr>
        <w:tab/>
        <w:t xml:space="preserve">The proposal/initiative does not require the use of operational appropriations </w:t>
      </w:r>
    </w:p>
    <w:p w:rsidR="00E62491" w:rsidRPr="005B03CE" w:rsidRDefault="00E62491" w:rsidP="00E62491">
      <w:pPr>
        <w:pStyle w:val="ListDash1"/>
        <w:rPr>
          <w:noProof/>
        </w:rPr>
      </w:pPr>
      <w:r w:rsidRPr="005B03CE">
        <w:rPr>
          <w:rFonts w:ascii="Wingdings" w:eastAsia="Wingdings" w:hAnsi="Wingdings" w:cs="Wingdings"/>
          <w:noProof/>
        </w:rPr>
        <w:t></w:t>
      </w:r>
      <w:r w:rsidRPr="005B03CE">
        <w:rPr>
          <w:noProof/>
        </w:rPr>
        <w:tab/>
        <w:t>The proposal/initiative requires the use of operational appropriations, as explained below:</w:t>
      </w:r>
    </w:p>
    <w:p w:rsidR="00DD0A9C" w:rsidRPr="005B03CE" w:rsidRDefault="00DD0A9C" w:rsidP="00DD0A9C">
      <w:pPr>
        <w:jc w:val="right"/>
        <w:rPr>
          <w:noProof/>
          <w:sz w:val="18"/>
          <w:szCs w:val="18"/>
        </w:rPr>
      </w:pPr>
      <w:r w:rsidRPr="005B03CE">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D0A9C" w:rsidRPr="005B03CE" w:rsidTr="00F158BD">
        <w:trPr>
          <w:jc w:val="center"/>
        </w:trPr>
        <w:tc>
          <w:tcPr>
            <w:tcW w:w="4744" w:type="dxa"/>
            <w:shd w:val="thinDiagStripe" w:color="C0C0C0" w:fill="auto"/>
            <w:vAlign w:val="center"/>
          </w:tcPr>
          <w:p w:rsidR="00DD0A9C" w:rsidRPr="005B03CE" w:rsidRDefault="00DD0A9C" w:rsidP="00F158BD">
            <w:pPr>
              <w:spacing w:before="60" w:after="60"/>
              <w:jc w:val="center"/>
              <w:rPr>
                <w:b/>
                <w:noProof/>
              </w:rPr>
            </w:pPr>
            <w:r w:rsidRPr="005B03CE">
              <w:rPr>
                <w:b/>
                <w:noProof/>
                <w:sz w:val="22"/>
              </w:rPr>
              <w:t xml:space="preserve">Heading of multiannual financial </w:t>
            </w:r>
            <w:r w:rsidRPr="005B03CE">
              <w:rPr>
                <w:noProof/>
                <w:sz w:val="22"/>
              </w:rPr>
              <w:br/>
            </w:r>
            <w:r w:rsidRPr="005B03CE">
              <w:rPr>
                <w:b/>
                <w:noProof/>
                <w:sz w:val="22"/>
              </w:rPr>
              <w:t xml:space="preserve">framework </w:t>
            </w:r>
          </w:p>
        </w:tc>
        <w:tc>
          <w:tcPr>
            <w:tcW w:w="1080" w:type="dxa"/>
            <w:vAlign w:val="center"/>
          </w:tcPr>
          <w:p w:rsidR="00DD0A9C" w:rsidRPr="005B03CE" w:rsidRDefault="001D2981" w:rsidP="00F158BD">
            <w:pPr>
              <w:spacing w:before="60" w:after="60"/>
              <w:jc w:val="center"/>
              <w:rPr>
                <w:noProof/>
              </w:rPr>
            </w:pPr>
            <w:r w:rsidRPr="005B03CE">
              <w:rPr>
                <w:noProof/>
                <w:sz w:val="22"/>
              </w:rPr>
              <w:t>1 to 6</w:t>
            </w:r>
          </w:p>
        </w:tc>
        <w:tc>
          <w:tcPr>
            <w:tcW w:w="7817" w:type="dxa"/>
            <w:vAlign w:val="center"/>
          </w:tcPr>
          <w:p w:rsidR="00DD0A9C" w:rsidRPr="005B03CE" w:rsidRDefault="001D2981" w:rsidP="00F158BD">
            <w:pPr>
              <w:spacing w:before="60" w:after="60"/>
              <w:rPr>
                <w:noProof/>
              </w:rPr>
            </w:pPr>
            <w:r w:rsidRPr="005B03CE">
              <w:rPr>
                <w:noProof/>
              </w:rPr>
              <w:t>Headings covering contributions to decentralised agencies and bodies</w:t>
            </w:r>
          </w:p>
        </w:tc>
      </w:tr>
    </w:tbl>
    <w:p w:rsidR="00DD0A9C" w:rsidRPr="005B03CE" w:rsidRDefault="00DD0A9C" w:rsidP="00DD0A9C">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1040"/>
        <w:gridCol w:w="3341"/>
      </w:tblGrid>
      <w:tr w:rsidR="00DD0A9C" w:rsidRPr="005B03CE" w:rsidTr="001D2981">
        <w:tc>
          <w:tcPr>
            <w:tcW w:w="3960" w:type="dxa"/>
            <w:vAlign w:val="center"/>
          </w:tcPr>
          <w:p w:rsidR="00DD0A9C" w:rsidRPr="005B03CE" w:rsidRDefault="00DD0A9C" w:rsidP="001D2981">
            <w:pPr>
              <w:jc w:val="center"/>
              <w:rPr>
                <w:noProof/>
              </w:rPr>
            </w:pPr>
            <w:r w:rsidRPr="005B03CE">
              <w:rPr>
                <w:noProof/>
                <w:sz w:val="22"/>
              </w:rPr>
              <w:t>DG:</w:t>
            </w:r>
            <w:r w:rsidR="001D2981" w:rsidRPr="005B03CE">
              <w:rPr>
                <w:noProof/>
                <w:sz w:val="22"/>
              </w:rPr>
              <w:t xml:space="preserve"> Several</w:t>
            </w:r>
          </w:p>
        </w:tc>
        <w:tc>
          <w:tcPr>
            <w:tcW w:w="1560" w:type="dxa"/>
            <w:gridSpan w:val="2"/>
          </w:tcPr>
          <w:p w:rsidR="00DD0A9C" w:rsidRPr="005B03CE" w:rsidRDefault="00DD0A9C" w:rsidP="00F158BD">
            <w:pPr>
              <w:rPr>
                <w:noProof/>
                <w:sz w:val="20"/>
              </w:rPr>
            </w:pPr>
          </w:p>
        </w:tc>
        <w:tc>
          <w:tcPr>
            <w:tcW w:w="534" w:type="dxa"/>
          </w:tcPr>
          <w:p w:rsidR="00DD0A9C" w:rsidRPr="005B03CE" w:rsidRDefault="00DD0A9C" w:rsidP="00F158BD">
            <w:pPr>
              <w:jc w:val="center"/>
              <w:rPr>
                <w:noProof/>
                <w:sz w:val="20"/>
              </w:rPr>
            </w:pPr>
          </w:p>
        </w:tc>
        <w:tc>
          <w:tcPr>
            <w:tcW w:w="868" w:type="dxa"/>
            <w:vAlign w:val="center"/>
          </w:tcPr>
          <w:p w:rsidR="00DD0A9C" w:rsidRPr="005B03CE" w:rsidRDefault="00DD0A9C" w:rsidP="001D2981">
            <w:pPr>
              <w:jc w:val="center"/>
              <w:rPr>
                <w:noProof/>
                <w:sz w:val="20"/>
              </w:rPr>
            </w:pPr>
            <w:r w:rsidRPr="005B03CE">
              <w:rPr>
                <w:noProof/>
                <w:sz w:val="20"/>
              </w:rPr>
              <w:t>Year</w:t>
            </w:r>
            <w:r w:rsidRPr="005B03CE">
              <w:rPr>
                <w:noProof/>
                <w:sz w:val="22"/>
              </w:rPr>
              <w:br/>
            </w:r>
            <w:r w:rsidR="001D2981" w:rsidRPr="005B03CE">
              <w:rPr>
                <w:b/>
                <w:noProof/>
                <w:sz w:val="20"/>
              </w:rPr>
              <w:t>2023</w:t>
            </w:r>
          </w:p>
        </w:tc>
        <w:tc>
          <w:tcPr>
            <w:tcW w:w="868" w:type="dxa"/>
            <w:vAlign w:val="center"/>
          </w:tcPr>
          <w:p w:rsidR="00DD0A9C" w:rsidRPr="005B03CE" w:rsidRDefault="00DD0A9C" w:rsidP="001D2981">
            <w:pPr>
              <w:jc w:val="center"/>
              <w:rPr>
                <w:noProof/>
                <w:sz w:val="20"/>
              </w:rPr>
            </w:pPr>
            <w:r w:rsidRPr="005B03CE">
              <w:rPr>
                <w:noProof/>
                <w:sz w:val="20"/>
              </w:rPr>
              <w:t>Year</w:t>
            </w:r>
            <w:r w:rsidRPr="005B03CE">
              <w:rPr>
                <w:noProof/>
                <w:sz w:val="22"/>
              </w:rPr>
              <w:br/>
            </w:r>
            <w:r w:rsidR="001D2981" w:rsidRPr="005B03CE">
              <w:rPr>
                <w:b/>
                <w:noProof/>
                <w:sz w:val="20"/>
              </w:rPr>
              <w:t>2024</w:t>
            </w:r>
          </w:p>
        </w:tc>
        <w:tc>
          <w:tcPr>
            <w:tcW w:w="868" w:type="dxa"/>
            <w:vAlign w:val="center"/>
          </w:tcPr>
          <w:p w:rsidR="00DD0A9C" w:rsidRPr="005B03CE" w:rsidRDefault="00DD0A9C" w:rsidP="001D2981">
            <w:pPr>
              <w:jc w:val="center"/>
              <w:rPr>
                <w:noProof/>
                <w:sz w:val="20"/>
              </w:rPr>
            </w:pPr>
            <w:r w:rsidRPr="005B03CE">
              <w:rPr>
                <w:noProof/>
                <w:sz w:val="20"/>
              </w:rPr>
              <w:t>Year</w:t>
            </w:r>
            <w:r w:rsidRPr="005B03CE">
              <w:rPr>
                <w:noProof/>
                <w:sz w:val="22"/>
              </w:rPr>
              <w:br/>
            </w:r>
            <w:r w:rsidR="001D2981" w:rsidRPr="005B03CE">
              <w:rPr>
                <w:b/>
                <w:noProof/>
                <w:sz w:val="20"/>
              </w:rPr>
              <w:t>2025</w:t>
            </w:r>
          </w:p>
        </w:tc>
        <w:tc>
          <w:tcPr>
            <w:tcW w:w="868" w:type="dxa"/>
            <w:vAlign w:val="center"/>
          </w:tcPr>
          <w:p w:rsidR="00DD0A9C" w:rsidRPr="005B03CE" w:rsidRDefault="00DD0A9C" w:rsidP="001D2981">
            <w:pPr>
              <w:jc w:val="center"/>
              <w:rPr>
                <w:noProof/>
                <w:sz w:val="20"/>
              </w:rPr>
            </w:pPr>
            <w:r w:rsidRPr="005B03CE">
              <w:rPr>
                <w:noProof/>
                <w:sz w:val="20"/>
              </w:rPr>
              <w:t>Year</w:t>
            </w:r>
            <w:r w:rsidRPr="005B03CE">
              <w:rPr>
                <w:noProof/>
                <w:sz w:val="22"/>
              </w:rPr>
              <w:br/>
            </w:r>
            <w:r w:rsidR="001D2981" w:rsidRPr="005B03CE">
              <w:rPr>
                <w:b/>
                <w:noProof/>
                <w:sz w:val="20"/>
              </w:rPr>
              <w:t>2026</w:t>
            </w:r>
          </w:p>
        </w:tc>
        <w:tc>
          <w:tcPr>
            <w:tcW w:w="1040" w:type="dxa"/>
            <w:vAlign w:val="center"/>
          </w:tcPr>
          <w:p w:rsidR="00DD0A9C" w:rsidRPr="005B03CE" w:rsidRDefault="001D2981" w:rsidP="00F158BD">
            <w:pPr>
              <w:jc w:val="center"/>
              <w:rPr>
                <w:b/>
                <w:noProof/>
                <w:sz w:val="18"/>
              </w:rPr>
            </w:pPr>
            <w:r w:rsidRPr="005B03CE">
              <w:rPr>
                <w:noProof/>
                <w:sz w:val="20"/>
              </w:rPr>
              <w:t>Year</w:t>
            </w:r>
            <w:r w:rsidRPr="005B03CE">
              <w:rPr>
                <w:noProof/>
                <w:sz w:val="22"/>
              </w:rPr>
              <w:br/>
            </w:r>
            <w:r w:rsidRPr="005B03CE">
              <w:rPr>
                <w:b/>
                <w:noProof/>
                <w:sz w:val="20"/>
              </w:rPr>
              <w:t>2027</w:t>
            </w:r>
          </w:p>
        </w:tc>
        <w:tc>
          <w:tcPr>
            <w:tcW w:w="3341" w:type="dxa"/>
            <w:vAlign w:val="center"/>
          </w:tcPr>
          <w:p w:rsidR="00DD0A9C" w:rsidRPr="005B03CE" w:rsidRDefault="00DD0A9C" w:rsidP="00F158BD">
            <w:pPr>
              <w:jc w:val="center"/>
              <w:rPr>
                <w:b/>
                <w:noProof/>
                <w:sz w:val="20"/>
              </w:rPr>
            </w:pPr>
            <w:r w:rsidRPr="005B03CE">
              <w:rPr>
                <w:b/>
                <w:noProof/>
                <w:sz w:val="20"/>
              </w:rPr>
              <w:t>TOTAL</w:t>
            </w:r>
          </w:p>
        </w:tc>
      </w:tr>
      <w:tr w:rsidR="001D2981" w:rsidRPr="005B03CE" w:rsidTr="001D2981">
        <w:trPr>
          <w:trHeight w:val="213"/>
        </w:trPr>
        <w:tc>
          <w:tcPr>
            <w:tcW w:w="6054" w:type="dxa"/>
            <w:gridSpan w:val="4"/>
            <w:vAlign w:val="center"/>
          </w:tcPr>
          <w:p w:rsidR="001D2981" w:rsidRPr="005B03CE" w:rsidRDefault="00595EBC" w:rsidP="00F158BD">
            <w:pPr>
              <w:spacing w:before="20" w:after="20"/>
              <w:rPr>
                <w:noProof/>
                <w:sz w:val="21"/>
              </w:rPr>
            </w:pPr>
            <w:r w:rsidRPr="005B03CE">
              <w:rPr>
                <w:rFonts w:ascii="Wingdings" w:eastAsia="Wingdings" w:hAnsi="Wingdings" w:cs="Wingdings"/>
                <w:noProof/>
                <w:sz w:val="21"/>
              </w:rPr>
              <w:t>□</w:t>
            </w:r>
            <w:r w:rsidR="001D2981" w:rsidRPr="005B03CE">
              <w:rPr>
                <w:noProof/>
                <w:sz w:val="21"/>
              </w:rPr>
              <w:t xml:space="preserve"> Operational appropriations </w:t>
            </w:r>
          </w:p>
        </w:tc>
        <w:tc>
          <w:tcPr>
            <w:tcW w:w="868" w:type="dxa"/>
            <w:vAlign w:val="center"/>
          </w:tcPr>
          <w:p w:rsidR="001D2981" w:rsidRPr="005B03CE" w:rsidRDefault="001D2981" w:rsidP="00F158BD">
            <w:pPr>
              <w:rPr>
                <w:noProof/>
                <w:sz w:val="20"/>
              </w:rPr>
            </w:pPr>
          </w:p>
        </w:tc>
        <w:tc>
          <w:tcPr>
            <w:tcW w:w="868" w:type="dxa"/>
            <w:vAlign w:val="center"/>
          </w:tcPr>
          <w:p w:rsidR="001D2981" w:rsidRPr="005B03CE" w:rsidRDefault="001D2981" w:rsidP="00F158BD">
            <w:pPr>
              <w:rPr>
                <w:noProof/>
                <w:sz w:val="20"/>
              </w:rPr>
            </w:pPr>
          </w:p>
        </w:tc>
        <w:tc>
          <w:tcPr>
            <w:tcW w:w="868" w:type="dxa"/>
            <w:vAlign w:val="center"/>
          </w:tcPr>
          <w:p w:rsidR="001D2981" w:rsidRPr="005B03CE" w:rsidRDefault="001D2981" w:rsidP="00F158BD">
            <w:pPr>
              <w:rPr>
                <w:noProof/>
                <w:sz w:val="20"/>
              </w:rPr>
            </w:pPr>
          </w:p>
        </w:tc>
        <w:tc>
          <w:tcPr>
            <w:tcW w:w="868" w:type="dxa"/>
            <w:vAlign w:val="center"/>
          </w:tcPr>
          <w:p w:rsidR="001D2981" w:rsidRPr="005B03CE" w:rsidRDefault="001D2981" w:rsidP="00F158BD">
            <w:pPr>
              <w:rPr>
                <w:noProof/>
                <w:sz w:val="20"/>
              </w:rPr>
            </w:pPr>
          </w:p>
        </w:tc>
        <w:tc>
          <w:tcPr>
            <w:tcW w:w="1040" w:type="dxa"/>
            <w:vAlign w:val="center"/>
          </w:tcPr>
          <w:p w:rsidR="001D2981" w:rsidRPr="005B03CE" w:rsidRDefault="001D2981" w:rsidP="00F158BD">
            <w:pPr>
              <w:rPr>
                <w:b/>
                <w:noProof/>
                <w:sz w:val="20"/>
              </w:rPr>
            </w:pPr>
          </w:p>
        </w:tc>
        <w:tc>
          <w:tcPr>
            <w:tcW w:w="3341" w:type="dxa"/>
            <w:vAlign w:val="center"/>
          </w:tcPr>
          <w:p w:rsidR="001D2981" w:rsidRPr="005B03CE" w:rsidRDefault="001D2981" w:rsidP="00F158BD">
            <w:pPr>
              <w:rPr>
                <w:b/>
                <w:noProof/>
                <w:sz w:val="20"/>
              </w:rPr>
            </w:pPr>
          </w:p>
        </w:tc>
      </w:tr>
      <w:tr w:rsidR="001D2981" w:rsidRPr="005B03CE" w:rsidTr="001D2981">
        <w:trPr>
          <w:trHeight w:val="277"/>
        </w:trPr>
        <w:tc>
          <w:tcPr>
            <w:tcW w:w="3960" w:type="dxa"/>
            <w:vMerge w:val="restart"/>
            <w:vAlign w:val="center"/>
          </w:tcPr>
          <w:p w:rsidR="001D2981" w:rsidRPr="005B03CE" w:rsidRDefault="001D2981" w:rsidP="00F158BD">
            <w:pPr>
              <w:rPr>
                <w:noProof/>
              </w:rPr>
            </w:pPr>
            <w:r w:rsidRPr="005B03CE">
              <w:rPr>
                <w:noProof/>
                <w:sz w:val="20"/>
              </w:rPr>
              <w:t>Budget lines covering Union contributions to decentralised agencies (xx 10 xx xx)</w:t>
            </w:r>
            <w:r w:rsidRPr="005B03CE">
              <w:rPr>
                <w:rStyle w:val="FootnoteReference"/>
                <w:noProof/>
                <w:sz w:val="20"/>
              </w:rPr>
              <w:footnoteReference w:id="17"/>
            </w:r>
          </w:p>
        </w:tc>
        <w:tc>
          <w:tcPr>
            <w:tcW w:w="1440" w:type="dxa"/>
            <w:vAlign w:val="center"/>
          </w:tcPr>
          <w:p w:rsidR="001D2981" w:rsidRPr="005B03CE" w:rsidRDefault="001D2981" w:rsidP="00F158BD">
            <w:pPr>
              <w:spacing w:before="20" w:after="20"/>
              <w:rPr>
                <w:noProof/>
                <w:sz w:val="18"/>
              </w:rPr>
            </w:pPr>
            <w:r w:rsidRPr="005B03CE">
              <w:rPr>
                <w:noProof/>
                <w:sz w:val="18"/>
              </w:rPr>
              <w:t>Commitments</w:t>
            </w:r>
          </w:p>
        </w:tc>
        <w:tc>
          <w:tcPr>
            <w:tcW w:w="654" w:type="dxa"/>
            <w:gridSpan w:val="2"/>
            <w:vAlign w:val="center"/>
          </w:tcPr>
          <w:p w:rsidR="001D2981" w:rsidRPr="005B03CE" w:rsidRDefault="001D2981" w:rsidP="00F158BD">
            <w:pPr>
              <w:spacing w:before="20" w:after="20"/>
              <w:jc w:val="center"/>
              <w:rPr>
                <w:noProof/>
                <w:sz w:val="14"/>
              </w:rPr>
            </w:pPr>
            <w:r w:rsidRPr="005B03CE">
              <w:rPr>
                <w:noProof/>
                <w:sz w:val="14"/>
              </w:rPr>
              <w:t>(1a)</w:t>
            </w:r>
          </w:p>
        </w:tc>
        <w:tc>
          <w:tcPr>
            <w:tcW w:w="868" w:type="dxa"/>
            <w:vAlign w:val="center"/>
          </w:tcPr>
          <w:p w:rsidR="001D2981" w:rsidRPr="005B03CE" w:rsidRDefault="0028190D" w:rsidP="00ED126E">
            <w:pPr>
              <w:spacing w:before="20" w:after="20"/>
              <w:jc w:val="right"/>
              <w:rPr>
                <w:noProof/>
                <w:sz w:val="20"/>
              </w:rPr>
            </w:pPr>
            <w:r w:rsidRPr="005B03CE">
              <w:rPr>
                <w:noProof/>
                <w:sz w:val="20"/>
              </w:rPr>
              <w:t>2.45</w:t>
            </w:r>
            <w:r w:rsidR="00ED126E" w:rsidRPr="005B03CE">
              <w:rPr>
                <w:noProof/>
                <w:sz w:val="20"/>
              </w:rPr>
              <w:t>9</w:t>
            </w:r>
          </w:p>
        </w:tc>
        <w:tc>
          <w:tcPr>
            <w:tcW w:w="868" w:type="dxa"/>
            <w:vAlign w:val="center"/>
          </w:tcPr>
          <w:p w:rsidR="001D2981" w:rsidRPr="005B03CE" w:rsidRDefault="0028190D" w:rsidP="00ED126E">
            <w:pPr>
              <w:spacing w:before="20" w:after="20"/>
              <w:jc w:val="right"/>
              <w:rPr>
                <w:noProof/>
                <w:sz w:val="20"/>
              </w:rPr>
            </w:pPr>
            <w:r w:rsidRPr="005B03CE">
              <w:rPr>
                <w:noProof/>
                <w:sz w:val="20"/>
              </w:rPr>
              <w:t>2.45</w:t>
            </w:r>
            <w:r w:rsidR="00ED126E" w:rsidRPr="005B03CE">
              <w:rPr>
                <w:noProof/>
                <w:sz w:val="20"/>
              </w:rPr>
              <w:t>9</w:t>
            </w:r>
          </w:p>
        </w:tc>
        <w:tc>
          <w:tcPr>
            <w:tcW w:w="868" w:type="dxa"/>
            <w:vAlign w:val="center"/>
          </w:tcPr>
          <w:p w:rsidR="001D2981" w:rsidRPr="005B03CE" w:rsidRDefault="00ED126E" w:rsidP="00F158BD">
            <w:pPr>
              <w:spacing w:before="20" w:after="20"/>
              <w:jc w:val="right"/>
              <w:rPr>
                <w:noProof/>
                <w:sz w:val="20"/>
              </w:rPr>
            </w:pPr>
            <w:r w:rsidRPr="005B03CE">
              <w:rPr>
                <w:noProof/>
                <w:sz w:val="20"/>
              </w:rPr>
              <w:t>2.459</w:t>
            </w:r>
          </w:p>
        </w:tc>
        <w:tc>
          <w:tcPr>
            <w:tcW w:w="868" w:type="dxa"/>
            <w:vAlign w:val="center"/>
          </w:tcPr>
          <w:p w:rsidR="001D2981" w:rsidRPr="005B03CE" w:rsidRDefault="00ED126E" w:rsidP="00F158BD">
            <w:pPr>
              <w:spacing w:before="20" w:after="20"/>
              <w:jc w:val="right"/>
              <w:rPr>
                <w:noProof/>
                <w:sz w:val="20"/>
              </w:rPr>
            </w:pPr>
            <w:r w:rsidRPr="005B03CE">
              <w:rPr>
                <w:noProof/>
                <w:sz w:val="20"/>
              </w:rPr>
              <w:t>2.459</w:t>
            </w:r>
          </w:p>
        </w:tc>
        <w:tc>
          <w:tcPr>
            <w:tcW w:w="1040" w:type="dxa"/>
            <w:vAlign w:val="center"/>
          </w:tcPr>
          <w:p w:rsidR="001D2981" w:rsidRPr="005B03CE" w:rsidRDefault="00ED126E" w:rsidP="00F158BD">
            <w:pPr>
              <w:spacing w:before="20" w:after="20"/>
              <w:jc w:val="right"/>
              <w:rPr>
                <w:b/>
                <w:noProof/>
                <w:sz w:val="20"/>
              </w:rPr>
            </w:pPr>
            <w:r w:rsidRPr="005B03CE">
              <w:rPr>
                <w:noProof/>
                <w:sz w:val="20"/>
              </w:rPr>
              <w:t>2.459</w:t>
            </w:r>
          </w:p>
        </w:tc>
        <w:tc>
          <w:tcPr>
            <w:tcW w:w="3341" w:type="dxa"/>
            <w:vAlign w:val="center"/>
          </w:tcPr>
          <w:p w:rsidR="001D2981" w:rsidRPr="005B03CE" w:rsidRDefault="00ED126E" w:rsidP="00ED126E">
            <w:pPr>
              <w:spacing w:before="20" w:after="20"/>
              <w:jc w:val="right"/>
              <w:rPr>
                <w:noProof/>
                <w:sz w:val="20"/>
              </w:rPr>
            </w:pPr>
            <w:r w:rsidRPr="005B03CE">
              <w:rPr>
                <w:noProof/>
                <w:sz w:val="20"/>
              </w:rPr>
              <w:t>12.293</w:t>
            </w:r>
          </w:p>
        </w:tc>
      </w:tr>
      <w:tr w:rsidR="001D2981" w:rsidRPr="005B03CE" w:rsidTr="001D2981">
        <w:tc>
          <w:tcPr>
            <w:tcW w:w="3960" w:type="dxa"/>
            <w:vMerge/>
          </w:tcPr>
          <w:p w:rsidR="001D2981" w:rsidRPr="005B03CE" w:rsidRDefault="001D2981" w:rsidP="00F158BD">
            <w:pPr>
              <w:jc w:val="center"/>
              <w:rPr>
                <w:noProof/>
                <w:sz w:val="20"/>
              </w:rPr>
            </w:pPr>
          </w:p>
        </w:tc>
        <w:tc>
          <w:tcPr>
            <w:tcW w:w="1440" w:type="dxa"/>
            <w:vAlign w:val="center"/>
          </w:tcPr>
          <w:p w:rsidR="001D2981" w:rsidRPr="005B03CE" w:rsidRDefault="001D2981" w:rsidP="00F158BD">
            <w:pPr>
              <w:spacing w:before="20" w:after="20"/>
              <w:rPr>
                <w:noProof/>
                <w:sz w:val="18"/>
              </w:rPr>
            </w:pPr>
            <w:r w:rsidRPr="005B03CE">
              <w:rPr>
                <w:noProof/>
                <w:sz w:val="18"/>
              </w:rPr>
              <w:t>Payments</w:t>
            </w:r>
          </w:p>
        </w:tc>
        <w:tc>
          <w:tcPr>
            <w:tcW w:w="654" w:type="dxa"/>
            <w:gridSpan w:val="2"/>
            <w:vAlign w:val="center"/>
          </w:tcPr>
          <w:p w:rsidR="001D2981" w:rsidRPr="005B03CE" w:rsidRDefault="001D2981" w:rsidP="00F158BD">
            <w:pPr>
              <w:spacing w:before="20" w:after="20"/>
              <w:jc w:val="center"/>
              <w:rPr>
                <w:noProof/>
                <w:sz w:val="14"/>
              </w:rPr>
            </w:pPr>
            <w:r w:rsidRPr="005B03CE">
              <w:rPr>
                <w:noProof/>
                <w:sz w:val="14"/>
              </w:rPr>
              <w:t>(2a)</w:t>
            </w:r>
          </w:p>
        </w:tc>
        <w:tc>
          <w:tcPr>
            <w:tcW w:w="868" w:type="dxa"/>
            <w:vAlign w:val="center"/>
          </w:tcPr>
          <w:p w:rsidR="001D2981" w:rsidRPr="005B03CE" w:rsidRDefault="00ED126E" w:rsidP="00F158BD">
            <w:pPr>
              <w:spacing w:before="20" w:after="20"/>
              <w:jc w:val="right"/>
              <w:rPr>
                <w:noProof/>
                <w:sz w:val="20"/>
              </w:rPr>
            </w:pPr>
            <w:r w:rsidRPr="005B03CE">
              <w:rPr>
                <w:noProof/>
                <w:sz w:val="20"/>
              </w:rPr>
              <w:t>2.459</w:t>
            </w:r>
          </w:p>
        </w:tc>
        <w:tc>
          <w:tcPr>
            <w:tcW w:w="868" w:type="dxa"/>
            <w:vAlign w:val="center"/>
          </w:tcPr>
          <w:p w:rsidR="001D2981" w:rsidRPr="005B03CE" w:rsidRDefault="00ED126E" w:rsidP="00F158BD">
            <w:pPr>
              <w:spacing w:before="20" w:after="20"/>
              <w:jc w:val="right"/>
              <w:rPr>
                <w:noProof/>
                <w:sz w:val="20"/>
              </w:rPr>
            </w:pPr>
            <w:r w:rsidRPr="005B03CE">
              <w:rPr>
                <w:noProof/>
                <w:sz w:val="20"/>
              </w:rPr>
              <w:t>2.459</w:t>
            </w:r>
          </w:p>
        </w:tc>
        <w:tc>
          <w:tcPr>
            <w:tcW w:w="868" w:type="dxa"/>
            <w:vAlign w:val="center"/>
          </w:tcPr>
          <w:p w:rsidR="001D2981" w:rsidRPr="005B03CE" w:rsidRDefault="00ED126E" w:rsidP="00F158BD">
            <w:pPr>
              <w:spacing w:before="20" w:after="20"/>
              <w:jc w:val="right"/>
              <w:rPr>
                <w:noProof/>
                <w:sz w:val="20"/>
              </w:rPr>
            </w:pPr>
            <w:r w:rsidRPr="005B03CE">
              <w:rPr>
                <w:noProof/>
                <w:sz w:val="20"/>
              </w:rPr>
              <w:t>2.459</w:t>
            </w:r>
          </w:p>
        </w:tc>
        <w:tc>
          <w:tcPr>
            <w:tcW w:w="868" w:type="dxa"/>
            <w:vAlign w:val="center"/>
          </w:tcPr>
          <w:p w:rsidR="001D2981" w:rsidRPr="005B03CE" w:rsidRDefault="00ED126E" w:rsidP="00F158BD">
            <w:pPr>
              <w:spacing w:before="20" w:after="20"/>
              <w:jc w:val="right"/>
              <w:rPr>
                <w:noProof/>
                <w:sz w:val="20"/>
              </w:rPr>
            </w:pPr>
            <w:r w:rsidRPr="005B03CE">
              <w:rPr>
                <w:noProof/>
                <w:sz w:val="20"/>
              </w:rPr>
              <w:t>2.459</w:t>
            </w:r>
          </w:p>
        </w:tc>
        <w:tc>
          <w:tcPr>
            <w:tcW w:w="1040" w:type="dxa"/>
            <w:vAlign w:val="center"/>
          </w:tcPr>
          <w:p w:rsidR="001D2981" w:rsidRPr="005B03CE" w:rsidRDefault="00ED126E" w:rsidP="00F158BD">
            <w:pPr>
              <w:spacing w:before="20" w:after="20"/>
              <w:jc w:val="right"/>
              <w:rPr>
                <w:b/>
                <w:noProof/>
                <w:sz w:val="20"/>
              </w:rPr>
            </w:pPr>
            <w:r w:rsidRPr="005B03CE">
              <w:rPr>
                <w:noProof/>
                <w:sz w:val="20"/>
              </w:rPr>
              <w:t>2.459</w:t>
            </w:r>
          </w:p>
        </w:tc>
        <w:tc>
          <w:tcPr>
            <w:tcW w:w="3341" w:type="dxa"/>
            <w:vAlign w:val="center"/>
          </w:tcPr>
          <w:p w:rsidR="001D2981" w:rsidRPr="005B03CE" w:rsidRDefault="0028190D" w:rsidP="00F158BD">
            <w:pPr>
              <w:spacing w:before="20" w:after="20"/>
              <w:jc w:val="right"/>
              <w:rPr>
                <w:b/>
                <w:noProof/>
                <w:sz w:val="20"/>
              </w:rPr>
            </w:pPr>
            <w:r w:rsidRPr="005B03CE">
              <w:rPr>
                <w:noProof/>
                <w:sz w:val="20"/>
              </w:rPr>
              <w:t>12.29</w:t>
            </w:r>
            <w:r w:rsidR="00ED126E" w:rsidRPr="005B03CE">
              <w:rPr>
                <w:noProof/>
                <w:sz w:val="20"/>
              </w:rPr>
              <w:t>3</w:t>
            </w:r>
          </w:p>
        </w:tc>
      </w:tr>
      <w:tr w:rsidR="001D2981" w:rsidRPr="005B03CE" w:rsidTr="001D2981">
        <w:trPr>
          <w:trHeight w:val="231"/>
        </w:trPr>
        <w:tc>
          <w:tcPr>
            <w:tcW w:w="6054" w:type="dxa"/>
            <w:gridSpan w:val="4"/>
            <w:vAlign w:val="center"/>
          </w:tcPr>
          <w:p w:rsidR="001D2981" w:rsidRPr="005B03CE" w:rsidRDefault="001D2981" w:rsidP="00F158BD">
            <w:pPr>
              <w:spacing w:before="20" w:after="20"/>
              <w:rPr>
                <w:noProof/>
              </w:rPr>
            </w:pPr>
            <w:r w:rsidRPr="005B03CE">
              <w:rPr>
                <w:noProof/>
                <w:sz w:val="21"/>
              </w:rPr>
              <w:t>Appropriations of an administrative nature financed from the envelope of specific programmes</w:t>
            </w:r>
            <w:r w:rsidRPr="005B03CE">
              <w:rPr>
                <w:rStyle w:val="FootnoteReference"/>
                <w:noProof/>
                <w:sz w:val="21"/>
              </w:rPr>
              <w:footnoteReference w:id="18"/>
            </w:r>
            <w:r w:rsidRPr="005B03CE">
              <w:rPr>
                <w:noProof/>
                <w:sz w:val="21"/>
              </w:rPr>
              <w:t xml:space="preserve"> </w:t>
            </w:r>
          </w:p>
          <w:p w:rsidR="001D2981" w:rsidRPr="005B03CE" w:rsidRDefault="001D2981" w:rsidP="00F158BD">
            <w:pPr>
              <w:spacing w:before="0" w:after="0"/>
              <w:rPr>
                <w:noProof/>
              </w:rPr>
            </w:pPr>
          </w:p>
        </w:tc>
        <w:tc>
          <w:tcPr>
            <w:tcW w:w="868" w:type="dxa"/>
            <w:vAlign w:val="center"/>
          </w:tcPr>
          <w:p w:rsidR="001D2981" w:rsidRPr="005B03CE" w:rsidRDefault="001D2981" w:rsidP="00F158BD">
            <w:pPr>
              <w:rPr>
                <w:b/>
                <w:noProof/>
                <w:sz w:val="20"/>
              </w:rPr>
            </w:pPr>
          </w:p>
        </w:tc>
        <w:tc>
          <w:tcPr>
            <w:tcW w:w="868" w:type="dxa"/>
            <w:vAlign w:val="center"/>
          </w:tcPr>
          <w:p w:rsidR="001D2981" w:rsidRPr="005B03CE" w:rsidRDefault="001D2981" w:rsidP="00F158BD">
            <w:pPr>
              <w:rPr>
                <w:b/>
                <w:noProof/>
                <w:sz w:val="20"/>
              </w:rPr>
            </w:pPr>
          </w:p>
        </w:tc>
        <w:tc>
          <w:tcPr>
            <w:tcW w:w="868" w:type="dxa"/>
            <w:vAlign w:val="center"/>
          </w:tcPr>
          <w:p w:rsidR="001D2981" w:rsidRPr="005B03CE" w:rsidRDefault="001D2981" w:rsidP="00F158BD">
            <w:pPr>
              <w:rPr>
                <w:b/>
                <w:noProof/>
                <w:sz w:val="20"/>
              </w:rPr>
            </w:pPr>
          </w:p>
        </w:tc>
        <w:tc>
          <w:tcPr>
            <w:tcW w:w="868" w:type="dxa"/>
            <w:vAlign w:val="center"/>
          </w:tcPr>
          <w:p w:rsidR="001D2981" w:rsidRPr="005B03CE" w:rsidRDefault="001D2981" w:rsidP="00F158BD">
            <w:pPr>
              <w:rPr>
                <w:b/>
                <w:noProof/>
                <w:sz w:val="20"/>
              </w:rPr>
            </w:pPr>
          </w:p>
        </w:tc>
        <w:tc>
          <w:tcPr>
            <w:tcW w:w="1040" w:type="dxa"/>
            <w:vAlign w:val="center"/>
          </w:tcPr>
          <w:p w:rsidR="001D2981" w:rsidRPr="005B03CE" w:rsidRDefault="001D2981" w:rsidP="00F158BD">
            <w:pPr>
              <w:rPr>
                <w:b/>
                <w:noProof/>
                <w:sz w:val="20"/>
              </w:rPr>
            </w:pPr>
          </w:p>
        </w:tc>
        <w:tc>
          <w:tcPr>
            <w:tcW w:w="3341" w:type="dxa"/>
            <w:vAlign w:val="center"/>
          </w:tcPr>
          <w:p w:rsidR="001D2981" w:rsidRPr="005B03CE" w:rsidRDefault="001D2981" w:rsidP="00F158BD">
            <w:pPr>
              <w:rPr>
                <w:b/>
                <w:noProof/>
                <w:sz w:val="20"/>
              </w:rPr>
            </w:pPr>
          </w:p>
        </w:tc>
      </w:tr>
      <w:tr w:rsidR="001D2981" w:rsidRPr="005B03CE" w:rsidTr="001D2981">
        <w:trPr>
          <w:trHeight w:val="319"/>
        </w:trPr>
        <w:tc>
          <w:tcPr>
            <w:tcW w:w="3960" w:type="dxa"/>
            <w:vAlign w:val="center"/>
          </w:tcPr>
          <w:p w:rsidR="001D2981" w:rsidRPr="005B03CE" w:rsidRDefault="001D2981" w:rsidP="00F158BD">
            <w:pPr>
              <w:spacing w:before="60" w:after="60"/>
              <w:rPr>
                <w:noProof/>
              </w:rPr>
            </w:pPr>
            <w:r w:rsidRPr="005B03CE">
              <w:rPr>
                <w:noProof/>
                <w:sz w:val="20"/>
              </w:rPr>
              <w:t>Budget line</w:t>
            </w:r>
          </w:p>
        </w:tc>
        <w:tc>
          <w:tcPr>
            <w:tcW w:w="1440" w:type="dxa"/>
            <w:vAlign w:val="center"/>
          </w:tcPr>
          <w:p w:rsidR="001D2981" w:rsidRPr="005B03CE" w:rsidRDefault="001D2981" w:rsidP="00F158BD">
            <w:pPr>
              <w:spacing w:before="40" w:after="40"/>
              <w:jc w:val="right"/>
              <w:rPr>
                <w:noProof/>
                <w:sz w:val="18"/>
              </w:rPr>
            </w:pPr>
          </w:p>
        </w:tc>
        <w:tc>
          <w:tcPr>
            <w:tcW w:w="654" w:type="dxa"/>
            <w:gridSpan w:val="2"/>
            <w:vAlign w:val="center"/>
          </w:tcPr>
          <w:p w:rsidR="001D2981" w:rsidRPr="005B03CE" w:rsidRDefault="001D2981" w:rsidP="00F158BD">
            <w:pPr>
              <w:spacing w:before="40" w:after="40"/>
              <w:jc w:val="center"/>
              <w:rPr>
                <w:noProof/>
                <w:sz w:val="14"/>
              </w:rPr>
            </w:pPr>
            <w:r w:rsidRPr="005B03CE">
              <w:rPr>
                <w:noProof/>
                <w:sz w:val="14"/>
              </w:rPr>
              <w:t>(3)</w:t>
            </w:r>
          </w:p>
        </w:tc>
        <w:tc>
          <w:tcPr>
            <w:tcW w:w="868" w:type="dxa"/>
            <w:vAlign w:val="center"/>
          </w:tcPr>
          <w:p w:rsidR="001D2981" w:rsidRPr="005B03CE" w:rsidRDefault="001D2981" w:rsidP="00F158BD">
            <w:pPr>
              <w:spacing w:before="40" w:after="40"/>
              <w:jc w:val="right"/>
              <w:rPr>
                <w:b/>
                <w:noProof/>
                <w:sz w:val="20"/>
              </w:rPr>
            </w:pPr>
          </w:p>
        </w:tc>
        <w:tc>
          <w:tcPr>
            <w:tcW w:w="868" w:type="dxa"/>
            <w:vAlign w:val="center"/>
          </w:tcPr>
          <w:p w:rsidR="001D2981" w:rsidRPr="005B03CE" w:rsidRDefault="001D2981" w:rsidP="00F158BD">
            <w:pPr>
              <w:spacing w:before="40" w:after="40"/>
              <w:jc w:val="right"/>
              <w:rPr>
                <w:b/>
                <w:noProof/>
                <w:sz w:val="20"/>
              </w:rPr>
            </w:pPr>
          </w:p>
        </w:tc>
        <w:tc>
          <w:tcPr>
            <w:tcW w:w="868" w:type="dxa"/>
            <w:vAlign w:val="center"/>
          </w:tcPr>
          <w:p w:rsidR="001D2981" w:rsidRPr="005B03CE" w:rsidRDefault="001D2981" w:rsidP="00F158BD">
            <w:pPr>
              <w:spacing w:before="40" w:after="40"/>
              <w:jc w:val="right"/>
              <w:rPr>
                <w:b/>
                <w:noProof/>
                <w:sz w:val="20"/>
              </w:rPr>
            </w:pPr>
          </w:p>
        </w:tc>
        <w:tc>
          <w:tcPr>
            <w:tcW w:w="868" w:type="dxa"/>
            <w:vAlign w:val="center"/>
          </w:tcPr>
          <w:p w:rsidR="001D2981" w:rsidRPr="005B03CE" w:rsidRDefault="001D2981" w:rsidP="00F158BD">
            <w:pPr>
              <w:spacing w:before="40" w:after="40"/>
              <w:jc w:val="right"/>
              <w:rPr>
                <w:b/>
                <w:noProof/>
                <w:sz w:val="20"/>
              </w:rPr>
            </w:pPr>
          </w:p>
        </w:tc>
        <w:tc>
          <w:tcPr>
            <w:tcW w:w="1040" w:type="dxa"/>
            <w:vAlign w:val="center"/>
          </w:tcPr>
          <w:p w:rsidR="001D2981" w:rsidRPr="005B03CE" w:rsidRDefault="001D2981" w:rsidP="00F158BD">
            <w:pPr>
              <w:spacing w:before="40" w:after="40"/>
              <w:jc w:val="right"/>
              <w:rPr>
                <w:b/>
                <w:noProof/>
                <w:sz w:val="20"/>
              </w:rPr>
            </w:pPr>
          </w:p>
        </w:tc>
        <w:tc>
          <w:tcPr>
            <w:tcW w:w="3341" w:type="dxa"/>
            <w:vAlign w:val="center"/>
          </w:tcPr>
          <w:p w:rsidR="001D2981" w:rsidRPr="005B03CE" w:rsidRDefault="001D2981" w:rsidP="00F158BD">
            <w:pPr>
              <w:spacing w:before="40" w:after="40"/>
              <w:jc w:val="right"/>
              <w:rPr>
                <w:b/>
                <w:noProof/>
                <w:sz w:val="20"/>
              </w:rPr>
            </w:pPr>
          </w:p>
        </w:tc>
      </w:tr>
      <w:tr w:rsidR="001D2981" w:rsidRPr="005B03CE" w:rsidTr="001D2981">
        <w:tc>
          <w:tcPr>
            <w:tcW w:w="3960" w:type="dxa"/>
            <w:vMerge w:val="restart"/>
            <w:vAlign w:val="center"/>
          </w:tcPr>
          <w:p w:rsidR="001D2981" w:rsidRPr="005B03CE" w:rsidRDefault="001D2981" w:rsidP="00F158BD">
            <w:pPr>
              <w:jc w:val="center"/>
              <w:rPr>
                <w:b/>
                <w:noProof/>
              </w:rPr>
            </w:pPr>
            <w:r w:rsidRPr="005B03CE">
              <w:rPr>
                <w:b/>
                <w:noProof/>
                <w:sz w:val="22"/>
              </w:rPr>
              <w:t>TOTAL appropriations</w:t>
            </w:r>
            <w:r w:rsidRPr="005B03CE">
              <w:rPr>
                <w:noProof/>
                <w:sz w:val="22"/>
              </w:rPr>
              <w:br/>
            </w:r>
            <w:r w:rsidR="001B13B9" w:rsidRPr="005B03CE">
              <w:rPr>
                <w:b/>
                <w:noProof/>
                <w:sz w:val="22"/>
              </w:rPr>
              <w:t>for DG: Several</w:t>
            </w:r>
          </w:p>
        </w:tc>
        <w:tc>
          <w:tcPr>
            <w:tcW w:w="1440" w:type="dxa"/>
            <w:vAlign w:val="center"/>
          </w:tcPr>
          <w:p w:rsidR="001D2981" w:rsidRPr="005B03CE" w:rsidRDefault="001D2981" w:rsidP="00F158BD">
            <w:pPr>
              <w:rPr>
                <w:noProof/>
                <w:sz w:val="18"/>
              </w:rPr>
            </w:pPr>
            <w:r w:rsidRPr="005B03CE">
              <w:rPr>
                <w:noProof/>
                <w:sz w:val="18"/>
              </w:rPr>
              <w:t>Commitments</w:t>
            </w:r>
          </w:p>
        </w:tc>
        <w:tc>
          <w:tcPr>
            <w:tcW w:w="654" w:type="dxa"/>
            <w:gridSpan w:val="2"/>
            <w:vAlign w:val="center"/>
          </w:tcPr>
          <w:p w:rsidR="001D2981" w:rsidRPr="005B03CE" w:rsidRDefault="001D2981" w:rsidP="00F158BD">
            <w:pPr>
              <w:jc w:val="center"/>
              <w:rPr>
                <w:noProof/>
                <w:sz w:val="14"/>
              </w:rPr>
            </w:pPr>
            <w:r w:rsidRPr="005B03CE">
              <w:rPr>
                <w:noProof/>
                <w:sz w:val="14"/>
              </w:rPr>
              <w:t>=1a+1b +3</w:t>
            </w:r>
          </w:p>
        </w:tc>
        <w:tc>
          <w:tcPr>
            <w:tcW w:w="868" w:type="dxa"/>
            <w:vAlign w:val="center"/>
          </w:tcPr>
          <w:p w:rsidR="001D2981" w:rsidRPr="005B03CE" w:rsidRDefault="00ED126E" w:rsidP="00F158BD">
            <w:pPr>
              <w:spacing w:before="20" w:after="20"/>
              <w:jc w:val="right"/>
              <w:rPr>
                <w:noProof/>
                <w:sz w:val="20"/>
              </w:rPr>
            </w:pPr>
            <w:r w:rsidRPr="005B03CE">
              <w:rPr>
                <w:noProof/>
                <w:sz w:val="20"/>
              </w:rPr>
              <w:t>2.459</w:t>
            </w:r>
          </w:p>
        </w:tc>
        <w:tc>
          <w:tcPr>
            <w:tcW w:w="868" w:type="dxa"/>
            <w:vAlign w:val="center"/>
          </w:tcPr>
          <w:p w:rsidR="001D2981" w:rsidRPr="005B03CE" w:rsidRDefault="00ED126E" w:rsidP="00F158BD">
            <w:pPr>
              <w:spacing w:before="20" w:after="20"/>
              <w:jc w:val="right"/>
              <w:rPr>
                <w:noProof/>
                <w:sz w:val="20"/>
              </w:rPr>
            </w:pPr>
            <w:r w:rsidRPr="005B03CE">
              <w:rPr>
                <w:noProof/>
                <w:sz w:val="20"/>
              </w:rPr>
              <w:t>2.459</w:t>
            </w:r>
          </w:p>
        </w:tc>
        <w:tc>
          <w:tcPr>
            <w:tcW w:w="868" w:type="dxa"/>
            <w:vAlign w:val="center"/>
          </w:tcPr>
          <w:p w:rsidR="001D2981" w:rsidRPr="005B03CE" w:rsidRDefault="00ED126E" w:rsidP="00F158BD">
            <w:pPr>
              <w:spacing w:before="20" w:after="20"/>
              <w:jc w:val="right"/>
              <w:rPr>
                <w:noProof/>
                <w:sz w:val="20"/>
              </w:rPr>
            </w:pPr>
            <w:r w:rsidRPr="005B03CE">
              <w:rPr>
                <w:noProof/>
                <w:sz w:val="20"/>
              </w:rPr>
              <w:t>2.459</w:t>
            </w:r>
          </w:p>
        </w:tc>
        <w:tc>
          <w:tcPr>
            <w:tcW w:w="868" w:type="dxa"/>
            <w:vAlign w:val="center"/>
          </w:tcPr>
          <w:p w:rsidR="001D2981" w:rsidRPr="005B03CE" w:rsidRDefault="00ED126E" w:rsidP="00F158BD">
            <w:pPr>
              <w:spacing w:before="20" w:after="20"/>
              <w:jc w:val="right"/>
              <w:rPr>
                <w:noProof/>
                <w:sz w:val="20"/>
              </w:rPr>
            </w:pPr>
            <w:r w:rsidRPr="005B03CE">
              <w:rPr>
                <w:noProof/>
                <w:sz w:val="20"/>
              </w:rPr>
              <w:t>2.459</w:t>
            </w:r>
          </w:p>
        </w:tc>
        <w:tc>
          <w:tcPr>
            <w:tcW w:w="1040" w:type="dxa"/>
            <w:vAlign w:val="center"/>
          </w:tcPr>
          <w:p w:rsidR="001D2981" w:rsidRPr="005B03CE" w:rsidRDefault="00ED126E" w:rsidP="00F158BD">
            <w:pPr>
              <w:spacing w:before="20" w:after="20"/>
              <w:jc w:val="right"/>
              <w:rPr>
                <w:b/>
                <w:noProof/>
                <w:sz w:val="20"/>
              </w:rPr>
            </w:pPr>
            <w:r w:rsidRPr="005B03CE">
              <w:rPr>
                <w:noProof/>
                <w:sz w:val="20"/>
              </w:rPr>
              <w:t>2.459</w:t>
            </w:r>
          </w:p>
        </w:tc>
        <w:tc>
          <w:tcPr>
            <w:tcW w:w="3341" w:type="dxa"/>
            <w:vAlign w:val="center"/>
          </w:tcPr>
          <w:p w:rsidR="001D2981" w:rsidRPr="005B03CE" w:rsidRDefault="0028190D" w:rsidP="00F158BD">
            <w:pPr>
              <w:spacing w:before="20" w:after="20"/>
              <w:jc w:val="right"/>
              <w:rPr>
                <w:b/>
                <w:noProof/>
                <w:sz w:val="20"/>
              </w:rPr>
            </w:pPr>
            <w:r w:rsidRPr="005B03CE">
              <w:rPr>
                <w:noProof/>
                <w:sz w:val="20"/>
              </w:rPr>
              <w:t>12.29</w:t>
            </w:r>
            <w:r w:rsidR="00ED126E" w:rsidRPr="005B03CE">
              <w:rPr>
                <w:noProof/>
                <w:sz w:val="20"/>
              </w:rPr>
              <w:t>3</w:t>
            </w:r>
          </w:p>
        </w:tc>
      </w:tr>
      <w:tr w:rsidR="001D2981" w:rsidRPr="005B03CE" w:rsidTr="001D2981">
        <w:tc>
          <w:tcPr>
            <w:tcW w:w="3960" w:type="dxa"/>
            <w:vMerge/>
          </w:tcPr>
          <w:p w:rsidR="001D2981" w:rsidRPr="005B03CE" w:rsidRDefault="001D2981" w:rsidP="00F158BD">
            <w:pPr>
              <w:rPr>
                <w:noProof/>
                <w:sz w:val="20"/>
              </w:rPr>
            </w:pPr>
          </w:p>
        </w:tc>
        <w:tc>
          <w:tcPr>
            <w:tcW w:w="1440" w:type="dxa"/>
            <w:vAlign w:val="center"/>
          </w:tcPr>
          <w:p w:rsidR="001D2981" w:rsidRPr="005B03CE" w:rsidRDefault="001D2981" w:rsidP="00F158BD">
            <w:pPr>
              <w:rPr>
                <w:noProof/>
                <w:sz w:val="18"/>
              </w:rPr>
            </w:pPr>
            <w:r w:rsidRPr="005B03CE">
              <w:rPr>
                <w:noProof/>
                <w:sz w:val="18"/>
              </w:rPr>
              <w:t>Payments</w:t>
            </w:r>
          </w:p>
        </w:tc>
        <w:tc>
          <w:tcPr>
            <w:tcW w:w="654" w:type="dxa"/>
            <w:gridSpan w:val="2"/>
            <w:vAlign w:val="center"/>
          </w:tcPr>
          <w:p w:rsidR="001D2981" w:rsidRPr="005B03CE" w:rsidRDefault="001D2981" w:rsidP="00F158BD">
            <w:pPr>
              <w:jc w:val="center"/>
              <w:rPr>
                <w:noProof/>
                <w:sz w:val="14"/>
              </w:rPr>
            </w:pPr>
            <w:r w:rsidRPr="005B03CE">
              <w:rPr>
                <w:noProof/>
                <w:sz w:val="14"/>
              </w:rPr>
              <w:t>=2a+2b</w:t>
            </w:r>
          </w:p>
          <w:p w:rsidR="001D2981" w:rsidRPr="005B03CE" w:rsidRDefault="001D2981" w:rsidP="00F158BD">
            <w:pPr>
              <w:jc w:val="center"/>
              <w:rPr>
                <w:noProof/>
                <w:sz w:val="14"/>
              </w:rPr>
            </w:pPr>
            <w:r w:rsidRPr="005B03CE">
              <w:rPr>
                <w:noProof/>
                <w:sz w:val="14"/>
              </w:rPr>
              <w:t>+3</w:t>
            </w:r>
          </w:p>
        </w:tc>
        <w:tc>
          <w:tcPr>
            <w:tcW w:w="868" w:type="dxa"/>
            <w:vAlign w:val="center"/>
          </w:tcPr>
          <w:p w:rsidR="001D2981" w:rsidRPr="005B03CE" w:rsidRDefault="00ED126E" w:rsidP="00F158BD">
            <w:pPr>
              <w:spacing w:before="20" w:after="20"/>
              <w:jc w:val="right"/>
              <w:rPr>
                <w:noProof/>
                <w:sz w:val="20"/>
              </w:rPr>
            </w:pPr>
            <w:r w:rsidRPr="005B03CE">
              <w:rPr>
                <w:noProof/>
                <w:sz w:val="20"/>
              </w:rPr>
              <w:t>2.459</w:t>
            </w:r>
          </w:p>
        </w:tc>
        <w:tc>
          <w:tcPr>
            <w:tcW w:w="868" w:type="dxa"/>
            <w:vAlign w:val="center"/>
          </w:tcPr>
          <w:p w:rsidR="001D2981" w:rsidRPr="005B03CE" w:rsidRDefault="00ED126E" w:rsidP="00F158BD">
            <w:pPr>
              <w:spacing w:before="20" w:after="20"/>
              <w:jc w:val="right"/>
              <w:rPr>
                <w:noProof/>
                <w:sz w:val="20"/>
              </w:rPr>
            </w:pPr>
            <w:r w:rsidRPr="005B03CE">
              <w:rPr>
                <w:noProof/>
                <w:sz w:val="20"/>
              </w:rPr>
              <w:t>2.459</w:t>
            </w:r>
          </w:p>
        </w:tc>
        <w:tc>
          <w:tcPr>
            <w:tcW w:w="868" w:type="dxa"/>
            <w:vAlign w:val="center"/>
          </w:tcPr>
          <w:p w:rsidR="001D2981" w:rsidRPr="005B03CE" w:rsidRDefault="00ED126E" w:rsidP="00F158BD">
            <w:pPr>
              <w:spacing w:before="20" w:after="20"/>
              <w:jc w:val="right"/>
              <w:rPr>
                <w:noProof/>
                <w:sz w:val="20"/>
              </w:rPr>
            </w:pPr>
            <w:r w:rsidRPr="005B03CE">
              <w:rPr>
                <w:noProof/>
                <w:sz w:val="20"/>
              </w:rPr>
              <w:t>2.459</w:t>
            </w:r>
          </w:p>
        </w:tc>
        <w:tc>
          <w:tcPr>
            <w:tcW w:w="868" w:type="dxa"/>
            <w:vAlign w:val="center"/>
          </w:tcPr>
          <w:p w:rsidR="001D2981" w:rsidRPr="005B03CE" w:rsidRDefault="00ED126E" w:rsidP="00F158BD">
            <w:pPr>
              <w:spacing w:before="20" w:after="20"/>
              <w:jc w:val="right"/>
              <w:rPr>
                <w:noProof/>
                <w:sz w:val="20"/>
              </w:rPr>
            </w:pPr>
            <w:r w:rsidRPr="005B03CE">
              <w:rPr>
                <w:noProof/>
                <w:sz w:val="20"/>
              </w:rPr>
              <w:t>2.459</w:t>
            </w:r>
          </w:p>
        </w:tc>
        <w:tc>
          <w:tcPr>
            <w:tcW w:w="1040" w:type="dxa"/>
            <w:vAlign w:val="center"/>
          </w:tcPr>
          <w:p w:rsidR="001D2981" w:rsidRPr="005B03CE" w:rsidRDefault="00ED126E" w:rsidP="00F158BD">
            <w:pPr>
              <w:spacing w:before="20" w:after="20"/>
              <w:jc w:val="right"/>
              <w:rPr>
                <w:b/>
                <w:noProof/>
                <w:sz w:val="20"/>
              </w:rPr>
            </w:pPr>
            <w:r w:rsidRPr="005B03CE">
              <w:rPr>
                <w:noProof/>
                <w:sz w:val="20"/>
              </w:rPr>
              <w:t>2.459</w:t>
            </w:r>
          </w:p>
        </w:tc>
        <w:tc>
          <w:tcPr>
            <w:tcW w:w="3341" w:type="dxa"/>
            <w:vAlign w:val="center"/>
          </w:tcPr>
          <w:p w:rsidR="001D2981" w:rsidRPr="005B03CE" w:rsidRDefault="0028190D" w:rsidP="00F158BD">
            <w:pPr>
              <w:spacing w:before="20" w:after="20"/>
              <w:jc w:val="right"/>
              <w:rPr>
                <w:b/>
                <w:noProof/>
                <w:sz w:val="20"/>
              </w:rPr>
            </w:pPr>
            <w:r w:rsidRPr="005B03CE">
              <w:rPr>
                <w:noProof/>
                <w:sz w:val="20"/>
              </w:rPr>
              <w:t>12.29</w:t>
            </w:r>
            <w:r w:rsidR="00ED126E" w:rsidRPr="005B03CE">
              <w:rPr>
                <w:noProof/>
                <w:sz w:val="20"/>
              </w:rPr>
              <w:t>3</w:t>
            </w:r>
          </w:p>
        </w:tc>
      </w:tr>
    </w:tbl>
    <w:p w:rsidR="00DD0A9C" w:rsidRPr="005B03CE" w:rsidRDefault="00DD0A9C" w:rsidP="00DD0A9C">
      <w:pPr>
        <w:rPr>
          <w:noProof/>
        </w:rPr>
      </w:pPr>
      <w:r w:rsidRPr="005B03CE">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1040"/>
        <w:gridCol w:w="3341"/>
      </w:tblGrid>
      <w:tr w:rsidR="00D71646" w:rsidRPr="005B03CE" w:rsidTr="00D71646">
        <w:trPr>
          <w:trHeight w:val="277"/>
        </w:trPr>
        <w:tc>
          <w:tcPr>
            <w:tcW w:w="3960" w:type="dxa"/>
            <w:vMerge w:val="restart"/>
            <w:vAlign w:val="center"/>
          </w:tcPr>
          <w:p w:rsidR="00D71646" w:rsidRPr="005B03CE" w:rsidRDefault="00D71646" w:rsidP="00F158BD">
            <w:pPr>
              <w:spacing w:before="20" w:after="20"/>
              <w:rPr>
                <w:noProof/>
              </w:rPr>
            </w:pPr>
            <w:r w:rsidRPr="005B03CE">
              <w:rPr>
                <w:noProof/>
                <w:sz w:val="22"/>
              </w:rPr>
              <w:br w:type="page"/>
            </w:r>
            <w:r w:rsidR="00595EBC" w:rsidRPr="005B03CE">
              <w:rPr>
                <w:rFonts w:ascii="Wingdings" w:eastAsia="Wingdings" w:hAnsi="Wingdings" w:cs="Wingdings"/>
                <w:noProof/>
                <w:sz w:val="21"/>
              </w:rPr>
              <w:t>□</w:t>
            </w:r>
            <w:r w:rsidRPr="005B03CE">
              <w:rPr>
                <w:noProof/>
                <w:sz w:val="21"/>
              </w:rPr>
              <w:t xml:space="preserve"> TOTAL operational appropriations </w:t>
            </w:r>
          </w:p>
        </w:tc>
        <w:tc>
          <w:tcPr>
            <w:tcW w:w="1440" w:type="dxa"/>
            <w:vAlign w:val="center"/>
          </w:tcPr>
          <w:p w:rsidR="00D71646" w:rsidRPr="005B03CE" w:rsidRDefault="00D71646" w:rsidP="00F158BD">
            <w:pPr>
              <w:spacing w:beforeLines="20" w:before="48" w:afterLines="20" w:after="48"/>
              <w:rPr>
                <w:noProof/>
                <w:sz w:val="18"/>
              </w:rPr>
            </w:pPr>
            <w:r w:rsidRPr="005B03CE">
              <w:rPr>
                <w:noProof/>
                <w:sz w:val="18"/>
              </w:rPr>
              <w:t>Commitments</w:t>
            </w:r>
          </w:p>
        </w:tc>
        <w:tc>
          <w:tcPr>
            <w:tcW w:w="654" w:type="dxa"/>
            <w:vAlign w:val="center"/>
          </w:tcPr>
          <w:p w:rsidR="00D71646" w:rsidRPr="005B03CE" w:rsidRDefault="00D71646" w:rsidP="00F158BD">
            <w:pPr>
              <w:spacing w:beforeLines="20" w:before="48" w:afterLines="20" w:after="48"/>
              <w:jc w:val="center"/>
              <w:rPr>
                <w:noProof/>
                <w:sz w:val="14"/>
              </w:rPr>
            </w:pPr>
            <w:r w:rsidRPr="005B03CE">
              <w:rPr>
                <w:noProof/>
                <w:sz w:val="14"/>
              </w:rPr>
              <w:t>(4)</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1040" w:type="dxa"/>
            <w:vAlign w:val="center"/>
          </w:tcPr>
          <w:p w:rsidR="00D71646" w:rsidRPr="005B03CE" w:rsidRDefault="00ED126E" w:rsidP="00F158BD">
            <w:pPr>
              <w:spacing w:before="20" w:after="20"/>
              <w:jc w:val="right"/>
              <w:rPr>
                <w:b/>
                <w:noProof/>
                <w:sz w:val="20"/>
              </w:rPr>
            </w:pPr>
            <w:r w:rsidRPr="005B03CE">
              <w:rPr>
                <w:noProof/>
                <w:sz w:val="20"/>
              </w:rPr>
              <w:t>2.459</w:t>
            </w:r>
          </w:p>
        </w:tc>
        <w:tc>
          <w:tcPr>
            <w:tcW w:w="3341" w:type="dxa"/>
            <w:vAlign w:val="center"/>
          </w:tcPr>
          <w:p w:rsidR="00D71646" w:rsidRPr="005B03CE" w:rsidRDefault="0028190D" w:rsidP="00F158BD">
            <w:pPr>
              <w:spacing w:before="20" w:after="20"/>
              <w:jc w:val="right"/>
              <w:rPr>
                <w:b/>
                <w:noProof/>
                <w:sz w:val="20"/>
              </w:rPr>
            </w:pPr>
            <w:r w:rsidRPr="005B03CE">
              <w:rPr>
                <w:noProof/>
                <w:sz w:val="20"/>
              </w:rPr>
              <w:t>12.29</w:t>
            </w:r>
            <w:r w:rsidR="00ED126E" w:rsidRPr="005B03CE">
              <w:rPr>
                <w:noProof/>
                <w:sz w:val="20"/>
              </w:rPr>
              <w:t>3</w:t>
            </w:r>
          </w:p>
        </w:tc>
      </w:tr>
      <w:tr w:rsidR="00D71646" w:rsidRPr="005B03CE" w:rsidTr="00D71646">
        <w:tc>
          <w:tcPr>
            <w:tcW w:w="3960" w:type="dxa"/>
            <w:vMerge/>
          </w:tcPr>
          <w:p w:rsidR="00D71646" w:rsidRPr="005B03CE" w:rsidRDefault="00D71646" w:rsidP="00F158BD">
            <w:pPr>
              <w:jc w:val="center"/>
              <w:rPr>
                <w:noProof/>
                <w:sz w:val="20"/>
              </w:rPr>
            </w:pPr>
          </w:p>
        </w:tc>
        <w:tc>
          <w:tcPr>
            <w:tcW w:w="1440" w:type="dxa"/>
            <w:vAlign w:val="center"/>
          </w:tcPr>
          <w:p w:rsidR="00D71646" w:rsidRPr="005B03CE" w:rsidRDefault="00D71646" w:rsidP="00F158BD">
            <w:pPr>
              <w:spacing w:beforeLines="20" w:before="48" w:afterLines="20" w:after="48"/>
              <w:rPr>
                <w:noProof/>
                <w:sz w:val="18"/>
              </w:rPr>
            </w:pPr>
            <w:r w:rsidRPr="005B03CE">
              <w:rPr>
                <w:noProof/>
                <w:sz w:val="18"/>
              </w:rPr>
              <w:t>Payments</w:t>
            </w:r>
          </w:p>
        </w:tc>
        <w:tc>
          <w:tcPr>
            <w:tcW w:w="654" w:type="dxa"/>
            <w:vAlign w:val="center"/>
          </w:tcPr>
          <w:p w:rsidR="00D71646" w:rsidRPr="005B03CE" w:rsidRDefault="00D71646" w:rsidP="00F158BD">
            <w:pPr>
              <w:spacing w:beforeLines="20" w:before="48" w:afterLines="20" w:after="48"/>
              <w:jc w:val="center"/>
              <w:rPr>
                <w:noProof/>
                <w:sz w:val="14"/>
              </w:rPr>
            </w:pPr>
            <w:r w:rsidRPr="005B03CE">
              <w:rPr>
                <w:noProof/>
                <w:sz w:val="14"/>
              </w:rPr>
              <w:t>(5)</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1040" w:type="dxa"/>
            <w:vAlign w:val="center"/>
          </w:tcPr>
          <w:p w:rsidR="00D71646" w:rsidRPr="005B03CE" w:rsidRDefault="00ED126E" w:rsidP="00F158BD">
            <w:pPr>
              <w:spacing w:before="20" w:after="20"/>
              <w:jc w:val="right"/>
              <w:rPr>
                <w:b/>
                <w:noProof/>
                <w:sz w:val="20"/>
              </w:rPr>
            </w:pPr>
            <w:r w:rsidRPr="005B03CE">
              <w:rPr>
                <w:noProof/>
                <w:sz w:val="20"/>
              </w:rPr>
              <w:t>2.459</w:t>
            </w:r>
          </w:p>
        </w:tc>
        <w:tc>
          <w:tcPr>
            <w:tcW w:w="3341" w:type="dxa"/>
            <w:vAlign w:val="center"/>
          </w:tcPr>
          <w:p w:rsidR="00D71646" w:rsidRPr="005B03CE" w:rsidRDefault="0028190D" w:rsidP="00F158BD">
            <w:pPr>
              <w:spacing w:before="20" w:after="20"/>
              <w:jc w:val="right"/>
              <w:rPr>
                <w:b/>
                <w:noProof/>
                <w:sz w:val="20"/>
              </w:rPr>
            </w:pPr>
            <w:r w:rsidRPr="005B03CE">
              <w:rPr>
                <w:noProof/>
                <w:sz w:val="20"/>
              </w:rPr>
              <w:t>12.29</w:t>
            </w:r>
            <w:r w:rsidR="00ED126E" w:rsidRPr="005B03CE">
              <w:rPr>
                <w:noProof/>
                <w:sz w:val="20"/>
              </w:rPr>
              <w:t>3</w:t>
            </w:r>
          </w:p>
        </w:tc>
      </w:tr>
      <w:tr w:rsidR="00D71646" w:rsidRPr="005B03CE" w:rsidTr="00D71646">
        <w:trPr>
          <w:trHeight w:val="533"/>
        </w:trPr>
        <w:tc>
          <w:tcPr>
            <w:tcW w:w="5400" w:type="dxa"/>
            <w:gridSpan w:val="2"/>
            <w:vAlign w:val="center"/>
          </w:tcPr>
          <w:p w:rsidR="00D71646" w:rsidRPr="005B03CE" w:rsidRDefault="00595EBC" w:rsidP="00F158BD">
            <w:pPr>
              <w:spacing w:beforeLines="20" w:before="48" w:afterLines="20" w:after="48"/>
              <w:rPr>
                <w:noProof/>
              </w:rPr>
            </w:pPr>
            <w:r w:rsidRPr="005B03CE">
              <w:rPr>
                <w:rFonts w:ascii="Wingdings" w:eastAsia="Wingdings" w:hAnsi="Wingdings" w:cs="Wingdings"/>
                <w:noProof/>
                <w:sz w:val="21"/>
              </w:rPr>
              <w:t>□</w:t>
            </w:r>
            <w:r w:rsidR="00D71646" w:rsidRPr="005B03CE">
              <w:rPr>
                <w:noProof/>
                <w:sz w:val="21"/>
              </w:rPr>
              <w:t xml:space="preserve"> TOTAL appropriations of an administrative nature financed from the envelope for specific programmes </w:t>
            </w:r>
          </w:p>
        </w:tc>
        <w:tc>
          <w:tcPr>
            <w:tcW w:w="654" w:type="dxa"/>
            <w:vAlign w:val="center"/>
          </w:tcPr>
          <w:p w:rsidR="00D71646" w:rsidRPr="005B03CE" w:rsidRDefault="00D71646" w:rsidP="00F158BD">
            <w:pPr>
              <w:spacing w:beforeLines="20" w:before="48" w:afterLines="20" w:after="48"/>
              <w:jc w:val="center"/>
              <w:rPr>
                <w:noProof/>
                <w:sz w:val="14"/>
              </w:rPr>
            </w:pPr>
            <w:r w:rsidRPr="005B03CE">
              <w:rPr>
                <w:noProof/>
                <w:sz w:val="14"/>
              </w:rPr>
              <w:t>(6)</w:t>
            </w:r>
          </w:p>
        </w:tc>
        <w:tc>
          <w:tcPr>
            <w:tcW w:w="868" w:type="dxa"/>
            <w:vAlign w:val="center"/>
          </w:tcPr>
          <w:p w:rsidR="00D71646" w:rsidRPr="005B03CE" w:rsidRDefault="00D71646" w:rsidP="00F158BD">
            <w:pPr>
              <w:spacing w:before="20" w:after="20"/>
              <w:jc w:val="right"/>
              <w:rPr>
                <w:b/>
                <w:noProof/>
                <w:sz w:val="20"/>
              </w:rPr>
            </w:pPr>
          </w:p>
        </w:tc>
        <w:tc>
          <w:tcPr>
            <w:tcW w:w="868" w:type="dxa"/>
            <w:vAlign w:val="center"/>
          </w:tcPr>
          <w:p w:rsidR="00D71646" w:rsidRPr="005B03CE" w:rsidRDefault="00D71646" w:rsidP="00F158BD">
            <w:pPr>
              <w:spacing w:before="20" w:after="20"/>
              <w:jc w:val="right"/>
              <w:rPr>
                <w:b/>
                <w:noProof/>
                <w:sz w:val="20"/>
              </w:rPr>
            </w:pPr>
          </w:p>
        </w:tc>
        <w:tc>
          <w:tcPr>
            <w:tcW w:w="868" w:type="dxa"/>
            <w:vAlign w:val="center"/>
          </w:tcPr>
          <w:p w:rsidR="00D71646" w:rsidRPr="005B03CE" w:rsidRDefault="00D71646" w:rsidP="00F158BD">
            <w:pPr>
              <w:spacing w:before="20" w:after="20"/>
              <w:jc w:val="right"/>
              <w:rPr>
                <w:b/>
                <w:noProof/>
                <w:sz w:val="20"/>
              </w:rPr>
            </w:pPr>
          </w:p>
        </w:tc>
        <w:tc>
          <w:tcPr>
            <w:tcW w:w="868" w:type="dxa"/>
            <w:vAlign w:val="center"/>
          </w:tcPr>
          <w:p w:rsidR="00D71646" w:rsidRPr="005B03CE" w:rsidRDefault="00D71646" w:rsidP="00F158BD">
            <w:pPr>
              <w:spacing w:before="20" w:after="20"/>
              <w:jc w:val="right"/>
              <w:rPr>
                <w:b/>
                <w:noProof/>
                <w:sz w:val="20"/>
              </w:rPr>
            </w:pPr>
          </w:p>
        </w:tc>
        <w:tc>
          <w:tcPr>
            <w:tcW w:w="1040" w:type="dxa"/>
            <w:vAlign w:val="center"/>
          </w:tcPr>
          <w:p w:rsidR="00D71646" w:rsidRPr="005B03CE" w:rsidRDefault="00D71646" w:rsidP="00F158BD">
            <w:pPr>
              <w:spacing w:before="20" w:after="20"/>
              <w:jc w:val="right"/>
              <w:rPr>
                <w:b/>
                <w:noProof/>
                <w:sz w:val="20"/>
              </w:rPr>
            </w:pPr>
          </w:p>
        </w:tc>
        <w:tc>
          <w:tcPr>
            <w:tcW w:w="3341" w:type="dxa"/>
            <w:vAlign w:val="center"/>
          </w:tcPr>
          <w:p w:rsidR="00D71646" w:rsidRPr="005B03CE" w:rsidRDefault="00D71646" w:rsidP="00F158BD">
            <w:pPr>
              <w:spacing w:before="20" w:after="20"/>
              <w:jc w:val="right"/>
              <w:rPr>
                <w:b/>
                <w:noProof/>
                <w:sz w:val="20"/>
              </w:rPr>
            </w:pPr>
          </w:p>
        </w:tc>
      </w:tr>
      <w:tr w:rsidR="00D71646" w:rsidRPr="005B03CE" w:rsidTr="00D71646">
        <w:tc>
          <w:tcPr>
            <w:tcW w:w="3960" w:type="dxa"/>
            <w:vMerge w:val="restart"/>
            <w:shd w:val="thinDiagStripe" w:color="C0C0C0" w:fill="auto"/>
            <w:vAlign w:val="center"/>
          </w:tcPr>
          <w:p w:rsidR="00D71646" w:rsidRPr="005B03CE" w:rsidRDefault="00D71646" w:rsidP="00F158BD">
            <w:pPr>
              <w:jc w:val="center"/>
              <w:rPr>
                <w:b/>
                <w:noProof/>
              </w:rPr>
            </w:pPr>
            <w:r w:rsidRPr="005B03CE">
              <w:rPr>
                <w:b/>
                <w:noProof/>
                <w:sz w:val="22"/>
              </w:rPr>
              <w:t xml:space="preserve">TOTAL appropriations </w:t>
            </w:r>
            <w:r w:rsidRPr="005B03CE">
              <w:rPr>
                <w:noProof/>
                <w:sz w:val="22"/>
              </w:rPr>
              <w:br/>
            </w:r>
            <w:r w:rsidRPr="005B03CE">
              <w:rPr>
                <w:b/>
                <w:noProof/>
                <w:sz w:val="22"/>
              </w:rPr>
              <w:t>under HEADINGS 1 to 6</w:t>
            </w:r>
            <w:r w:rsidRPr="005B03CE">
              <w:rPr>
                <w:noProof/>
                <w:sz w:val="22"/>
              </w:rPr>
              <w:br/>
              <w:t>of the multiannual financial framework</w:t>
            </w:r>
          </w:p>
        </w:tc>
        <w:tc>
          <w:tcPr>
            <w:tcW w:w="1440" w:type="dxa"/>
            <w:vAlign w:val="center"/>
          </w:tcPr>
          <w:p w:rsidR="00D71646" w:rsidRPr="005B03CE" w:rsidRDefault="00D71646" w:rsidP="00F158BD">
            <w:pPr>
              <w:rPr>
                <w:noProof/>
                <w:sz w:val="18"/>
              </w:rPr>
            </w:pPr>
            <w:r w:rsidRPr="005B03CE">
              <w:rPr>
                <w:noProof/>
                <w:sz w:val="18"/>
              </w:rPr>
              <w:t>Commitments</w:t>
            </w:r>
          </w:p>
        </w:tc>
        <w:tc>
          <w:tcPr>
            <w:tcW w:w="654" w:type="dxa"/>
            <w:vAlign w:val="center"/>
          </w:tcPr>
          <w:p w:rsidR="00D71646" w:rsidRPr="005B03CE" w:rsidRDefault="00D71646" w:rsidP="00F158BD">
            <w:pPr>
              <w:jc w:val="center"/>
              <w:rPr>
                <w:noProof/>
                <w:sz w:val="14"/>
              </w:rPr>
            </w:pPr>
            <w:r w:rsidRPr="005B03CE">
              <w:rPr>
                <w:noProof/>
                <w:sz w:val="14"/>
              </w:rPr>
              <w:t>=4+ 6</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1040" w:type="dxa"/>
            <w:vAlign w:val="center"/>
          </w:tcPr>
          <w:p w:rsidR="00D71646" w:rsidRPr="005B03CE" w:rsidRDefault="00ED126E" w:rsidP="00F158BD">
            <w:pPr>
              <w:spacing w:before="20" w:after="20"/>
              <w:jc w:val="right"/>
              <w:rPr>
                <w:b/>
                <w:noProof/>
                <w:sz w:val="20"/>
              </w:rPr>
            </w:pPr>
            <w:r w:rsidRPr="005B03CE">
              <w:rPr>
                <w:noProof/>
                <w:sz w:val="20"/>
              </w:rPr>
              <w:t>2.459</w:t>
            </w:r>
          </w:p>
        </w:tc>
        <w:tc>
          <w:tcPr>
            <w:tcW w:w="3341" w:type="dxa"/>
            <w:vAlign w:val="center"/>
          </w:tcPr>
          <w:p w:rsidR="00D71646" w:rsidRPr="005B03CE" w:rsidRDefault="0028190D" w:rsidP="00F158BD">
            <w:pPr>
              <w:spacing w:before="20" w:after="20"/>
              <w:jc w:val="right"/>
              <w:rPr>
                <w:b/>
                <w:noProof/>
                <w:sz w:val="20"/>
              </w:rPr>
            </w:pPr>
            <w:r w:rsidRPr="005B03CE">
              <w:rPr>
                <w:noProof/>
                <w:sz w:val="20"/>
              </w:rPr>
              <w:t>12.29</w:t>
            </w:r>
            <w:r w:rsidR="00ED126E" w:rsidRPr="005B03CE">
              <w:rPr>
                <w:noProof/>
                <w:sz w:val="20"/>
              </w:rPr>
              <w:t>3</w:t>
            </w:r>
          </w:p>
        </w:tc>
      </w:tr>
      <w:tr w:rsidR="00D71646" w:rsidRPr="005B03CE" w:rsidTr="00D71646">
        <w:tc>
          <w:tcPr>
            <w:tcW w:w="3960" w:type="dxa"/>
            <w:vMerge/>
            <w:shd w:val="thinDiagStripe" w:color="C0C0C0" w:fill="auto"/>
          </w:tcPr>
          <w:p w:rsidR="00D71646" w:rsidRPr="005B03CE" w:rsidRDefault="00D71646" w:rsidP="00F158BD">
            <w:pPr>
              <w:rPr>
                <w:noProof/>
                <w:sz w:val="20"/>
              </w:rPr>
            </w:pPr>
          </w:p>
        </w:tc>
        <w:tc>
          <w:tcPr>
            <w:tcW w:w="1440" w:type="dxa"/>
            <w:vAlign w:val="center"/>
          </w:tcPr>
          <w:p w:rsidR="00D71646" w:rsidRPr="005B03CE" w:rsidRDefault="00D71646" w:rsidP="00F158BD">
            <w:pPr>
              <w:rPr>
                <w:noProof/>
                <w:sz w:val="18"/>
              </w:rPr>
            </w:pPr>
            <w:r w:rsidRPr="005B03CE">
              <w:rPr>
                <w:noProof/>
                <w:sz w:val="18"/>
              </w:rPr>
              <w:t>Payments</w:t>
            </w:r>
          </w:p>
        </w:tc>
        <w:tc>
          <w:tcPr>
            <w:tcW w:w="654" w:type="dxa"/>
            <w:vAlign w:val="center"/>
          </w:tcPr>
          <w:p w:rsidR="00D71646" w:rsidRPr="005B03CE" w:rsidRDefault="00D71646" w:rsidP="00F158BD">
            <w:pPr>
              <w:jc w:val="center"/>
              <w:rPr>
                <w:noProof/>
                <w:sz w:val="14"/>
              </w:rPr>
            </w:pPr>
            <w:r w:rsidRPr="005B03CE">
              <w:rPr>
                <w:noProof/>
                <w:sz w:val="14"/>
              </w:rPr>
              <w:t>=5+ 6</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868" w:type="dxa"/>
            <w:vAlign w:val="center"/>
          </w:tcPr>
          <w:p w:rsidR="00D71646" w:rsidRPr="005B03CE" w:rsidRDefault="00ED126E" w:rsidP="00F158BD">
            <w:pPr>
              <w:spacing w:before="20" w:after="20"/>
              <w:jc w:val="right"/>
              <w:rPr>
                <w:noProof/>
                <w:sz w:val="20"/>
              </w:rPr>
            </w:pPr>
            <w:r w:rsidRPr="005B03CE">
              <w:rPr>
                <w:noProof/>
                <w:sz w:val="20"/>
              </w:rPr>
              <w:t>2.459</w:t>
            </w:r>
          </w:p>
        </w:tc>
        <w:tc>
          <w:tcPr>
            <w:tcW w:w="1040" w:type="dxa"/>
            <w:vAlign w:val="center"/>
          </w:tcPr>
          <w:p w:rsidR="00D71646" w:rsidRPr="005B03CE" w:rsidRDefault="00ED126E" w:rsidP="00F158BD">
            <w:pPr>
              <w:spacing w:before="20" w:after="20"/>
              <w:jc w:val="right"/>
              <w:rPr>
                <w:b/>
                <w:noProof/>
                <w:sz w:val="20"/>
              </w:rPr>
            </w:pPr>
            <w:r w:rsidRPr="005B03CE">
              <w:rPr>
                <w:noProof/>
                <w:sz w:val="20"/>
              </w:rPr>
              <w:t>2.459</w:t>
            </w:r>
          </w:p>
        </w:tc>
        <w:tc>
          <w:tcPr>
            <w:tcW w:w="3341" w:type="dxa"/>
            <w:vAlign w:val="center"/>
          </w:tcPr>
          <w:p w:rsidR="00D71646" w:rsidRPr="005B03CE" w:rsidRDefault="0028190D" w:rsidP="00F158BD">
            <w:pPr>
              <w:spacing w:before="20" w:after="20"/>
              <w:jc w:val="right"/>
              <w:rPr>
                <w:b/>
                <w:noProof/>
                <w:sz w:val="20"/>
              </w:rPr>
            </w:pPr>
            <w:r w:rsidRPr="005B03CE">
              <w:rPr>
                <w:noProof/>
                <w:sz w:val="20"/>
              </w:rPr>
              <w:t>12.29</w:t>
            </w:r>
            <w:r w:rsidR="00ED126E" w:rsidRPr="005B03CE">
              <w:rPr>
                <w:noProof/>
                <w:sz w:val="20"/>
              </w:rPr>
              <w:t>3</w:t>
            </w:r>
          </w:p>
        </w:tc>
      </w:tr>
    </w:tbl>
    <w:p w:rsidR="00DD0A9C" w:rsidRPr="005B03CE" w:rsidRDefault="00DD0A9C" w:rsidP="00DD0A9C">
      <w:pPr>
        <w:spacing w:after="40"/>
        <w:rPr>
          <w:b/>
          <w:noProof/>
          <w:sz w:val="22"/>
          <w:u w:val="single"/>
        </w:rPr>
      </w:pPr>
      <w:r w:rsidRPr="005B03CE">
        <w:rPr>
          <w:b/>
          <w:noProof/>
          <w:sz w:val="22"/>
          <w:u w:val="single"/>
        </w:rPr>
        <w:t>If more than one operational heading is affected by the proposal / initiative, repeat the section above: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1040"/>
        <w:gridCol w:w="3341"/>
      </w:tblGrid>
      <w:tr w:rsidR="00D71646" w:rsidRPr="005B03CE" w:rsidTr="00D71646">
        <w:trPr>
          <w:trHeight w:val="277"/>
        </w:trPr>
        <w:tc>
          <w:tcPr>
            <w:tcW w:w="3960" w:type="dxa"/>
            <w:vMerge w:val="restart"/>
            <w:tcBorders>
              <w:top w:val="single" w:sz="4" w:space="0" w:color="auto"/>
              <w:left w:val="single" w:sz="4" w:space="0" w:color="auto"/>
              <w:bottom w:val="single" w:sz="4" w:space="0" w:color="FF0000"/>
            </w:tcBorders>
            <w:vAlign w:val="center"/>
          </w:tcPr>
          <w:p w:rsidR="00D71646" w:rsidRPr="005B03CE" w:rsidRDefault="00595EBC" w:rsidP="00D71646">
            <w:pPr>
              <w:spacing w:before="20" w:after="20"/>
              <w:rPr>
                <w:noProof/>
              </w:rPr>
            </w:pPr>
            <w:r w:rsidRPr="005B03CE">
              <w:rPr>
                <w:rFonts w:ascii="Wingdings" w:eastAsia="Wingdings" w:hAnsi="Wingdings" w:cs="Wingdings"/>
                <w:noProof/>
                <w:sz w:val="21"/>
              </w:rPr>
              <w:t>□</w:t>
            </w:r>
            <w:r w:rsidR="00D71646" w:rsidRPr="005B03CE">
              <w:rPr>
                <w:noProof/>
                <w:sz w:val="21"/>
              </w:rPr>
              <w:t xml:space="preserve"> TOTAL operational appropriations (all operational headings)</w:t>
            </w:r>
          </w:p>
        </w:tc>
        <w:tc>
          <w:tcPr>
            <w:tcW w:w="1440" w:type="dxa"/>
            <w:tcBorders>
              <w:top w:val="single" w:sz="4" w:space="0" w:color="auto"/>
            </w:tcBorders>
            <w:vAlign w:val="center"/>
          </w:tcPr>
          <w:p w:rsidR="00D71646" w:rsidRPr="005B03CE" w:rsidRDefault="00D71646" w:rsidP="00D71646">
            <w:pPr>
              <w:spacing w:beforeLines="20" w:before="48" w:afterLines="20" w:after="48"/>
              <w:rPr>
                <w:noProof/>
                <w:sz w:val="18"/>
              </w:rPr>
            </w:pPr>
            <w:r w:rsidRPr="005B03CE">
              <w:rPr>
                <w:noProof/>
                <w:sz w:val="18"/>
              </w:rPr>
              <w:t>Commitments</w:t>
            </w:r>
          </w:p>
        </w:tc>
        <w:tc>
          <w:tcPr>
            <w:tcW w:w="654" w:type="dxa"/>
            <w:tcBorders>
              <w:top w:val="single" w:sz="4" w:space="0" w:color="auto"/>
            </w:tcBorders>
            <w:vAlign w:val="center"/>
          </w:tcPr>
          <w:p w:rsidR="00D71646" w:rsidRPr="005B03CE" w:rsidRDefault="00D71646" w:rsidP="00D71646">
            <w:pPr>
              <w:spacing w:beforeLines="20" w:before="48" w:afterLines="20" w:after="48"/>
              <w:jc w:val="center"/>
              <w:rPr>
                <w:noProof/>
                <w:sz w:val="14"/>
              </w:rPr>
            </w:pPr>
            <w:r w:rsidRPr="005B03CE">
              <w:rPr>
                <w:noProof/>
                <w:sz w:val="14"/>
              </w:rPr>
              <w:t>(4)</w:t>
            </w:r>
          </w:p>
        </w:tc>
        <w:tc>
          <w:tcPr>
            <w:tcW w:w="868" w:type="dxa"/>
            <w:tcBorders>
              <w:top w:val="single" w:sz="4" w:space="0" w:color="auto"/>
            </w:tcBorders>
            <w:vAlign w:val="center"/>
          </w:tcPr>
          <w:p w:rsidR="00D71646" w:rsidRPr="005B03CE" w:rsidRDefault="00ED126E" w:rsidP="00D71646">
            <w:pPr>
              <w:spacing w:before="20" w:after="20"/>
              <w:jc w:val="right"/>
              <w:rPr>
                <w:noProof/>
                <w:sz w:val="20"/>
              </w:rPr>
            </w:pPr>
            <w:r w:rsidRPr="005B03CE">
              <w:rPr>
                <w:noProof/>
                <w:sz w:val="20"/>
              </w:rPr>
              <w:t>2.459</w:t>
            </w:r>
          </w:p>
        </w:tc>
        <w:tc>
          <w:tcPr>
            <w:tcW w:w="868" w:type="dxa"/>
            <w:tcBorders>
              <w:top w:val="single" w:sz="4" w:space="0" w:color="auto"/>
            </w:tcBorders>
            <w:vAlign w:val="center"/>
          </w:tcPr>
          <w:p w:rsidR="00D71646" w:rsidRPr="005B03CE" w:rsidRDefault="00ED126E" w:rsidP="00D71646">
            <w:pPr>
              <w:spacing w:before="20" w:after="20"/>
              <w:jc w:val="right"/>
              <w:rPr>
                <w:noProof/>
                <w:sz w:val="20"/>
              </w:rPr>
            </w:pPr>
            <w:r w:rsidRPr="005B03CE">
              <w:rPr>
                <w:noProof/>
                <w:sz w:val="20"/>
              </w:rPr>
              <w:t>2.459</w:t>
            </w:r>
          </w:p>
        </w:tc>
        <w:tc>
          <w:tcPr>
            <w:tcW w:w="868" w:type="dxa"/>
            <w:tcBorders>
              <w:top w:val="single" w:sz="4" w:space="0" w:color="auto"/>
            </w:tcBorders>
            <w:vAlign w:val="center"/>
          </w:tcPr>
          <w:p w:rsidR="00D71646" w:rsidRPr="005B03CE" w:rsidRDefault="00ED126E" w:rsidP="00D71646">
            <w:pPr>
              <w:spacing w:before="20" w:after="20"/>
              <w:jc w:val="right"/>
              <w:rPr>
                <w:noProof/>
                <w:sz w:val="20"/>
              </w:rPr>
            </w:pPr>
            <w:r w:rsidRPr="005B03CE">
              <w:rPr>
                <w:noProof/>
                <w:sz w:val="20"/>
              </w:rPr>
              <w:t>2.459</w:t>
            </w:r>
          </w:p>
        </w:tc>
        <w:tc>
          <w:tcPr>
            <w:tcW w:w="868" w:type="dxa"/>
            <w:tcBorders>
              <w:top w:val="single" w:sz="4" w:space="0" w:color="auto"/>
            </w:tcBorders>
            <w:vAlign w:val="center"/>
          </w:tcPr>
          <w:p w:rsidR="00D71646" w:rsidRPr="005B03CE" w:rsidRDefault="00ED126E" w:rsidP="00D71646">
            <w:pPr>
              <w:spacing w:before="20" w:after="20"/>
              <w:jc w:val="right"/>
              <w:rPr>
                <w:noProof/>
                <w:sz w:val="20"/>
              </w:rPr>
            </w:pPr>
            <w:r w:rsidRPr="005B03CE">
              <w:rPr>
                <w:noProof/>
                <w:sz w:val="20"/>
              </w:rPr>
              <w:t>2.459</w:t>
            </w:r>
          </w:p>
        </w:tc>
        <w:tc>
          <w:tcPr>
            <w:tcW w:w="1040" w:type="dxa"/>
            <w:tcBorders>
              <w:top w:val="single" w:sz="4" w:space="0" w:color="auto"/>
            </w:tcBorders>
            <w:vAlign w:val="center"/>
          </w:tcPr>
          <w:p w:rsidR="00D71646" w:rsidRPr="005B03CE" w:rsidRDefault="00ED126E" w:rsidP="00D71646">
            <w:pPr>
              <w:spacing w:before="20" w:after="20"/>
              <w:jc w:val="right"/>
              <w:rPr>
                <w:b/>
                <w:noProof/>
                <w:sz w:val="20"/>
              </w:rPr>
            </w:pPr>
            <w:r w:rsidRPr="005B03CE">
              <w:rPr>
                <w:noProof/>
                <w:sz w:val="20"/>
              </w:rPr>
              <w:t>2.459</w:t>
            </w:r>
          </w:p>
        </w:tc>
        <w:tc>
          <w:tcPr>
            <w:tcW w:w="3341" w:type="dxa"/>
            <w:tcBorders>
              <w:top w:val="single" w:sz="4" w:space="0" w:color="auto"/>
              <w:right w:val="single" w:sz="4" w:space="0" w:color="auto"/>
            </w:tcBorders>
            <w:vAlign w:val="center"/>
          </w:tcPr>
          <w:p w:rsidR="00D71646" w:rsidRPr="005B03CE" w:rsidRDefault="0028190D" w:rsidP="00D71646">
            <w:pPr>
              <w:spacing w:before="20" w:after="20"/>
              <w:jc w:val="right"/>
              <w:rPr>
                <w:b/>
                <w:noProof/>
                <w:sz w:val="20"/>
              </w:rPr>
            </w:pPr>
            <w:r w:rsidRPr="005B03CE">
              <w:rPr>
                <w:noProof/>
                <w:sz w:val="20"/>
              </w:rPr>
              <w:t>12.29</w:t>
            </w:r>
            <w:r w:rsidR="00ED126E" w:rsidRPr="005B03CE">
              <w:rPr>
                <w:noProof/>
                <w:sz w:val="20"/>
              </w:rPr>
              <w:t>3</w:t>
            </w:r>
          </w:p>
        </w:tc>
      </w:tr>
      <w:tr w:rsidR="00D71646" w:rsidRPr="005B03CE" w:rsidTr="00D71646">
        <w:tc>
          <w:tcPr>
            <w:tcW w:w="3960" w:type="dxa"/>
            <w:vMerge/>
            <w:tcBorders>
              <w:top w:val="single" w:sz="4" w:space="0" w:color="FF0000"/>
              <w:left w:val="single" w:sz="4" w:space="0" w:color="auto"/>
              <w:bottom w:val="single" w:sz="4" w:space="0" w:color="FF0000"/>
            </w:tcBorders>
          </w:tcPr>
          <w:p w:rsidR="00D71646" w:rsidRPr="005B03CE" w:rsidRDefault="00D71646" w:rsidP="00D71646">
            <w:pPr>
              <w:jc w:val="center"/>
              <w:rPr>
                <w:noProof/>
                <w:sz w:val="20"/>
              </w:rPr>
            </w:pPr>
          </w:p>
        </w:tc>
        <w:tc>
          <w:tcPr>
            <w:tcW w:w="1440" w:type="dxa"/>
            <w:vAlign w:val="center"/>
          </w:tcPr>
          <w:p w:rsidR="00D71646" w:rsidRPr="005B03CE" w:rsidRDefault="00D71646" w:rsidP="00D71646">
            <w:pPr>
              <w:spacing w:beforeLines="20" w:before="48" w:afterLines="20" w:after="48"/>
              <w:rPr>
                <w:noProof/>
                <w:sz w:val="18"/>
              </w:rPr>
            </w:pPr>
            <w:r w:rsidRPr="005B03CE">
              <w:rPr>
                <w:noProof/>
                <w:sz w:val="18"/>
              </w:rPr>
              <w:t>Payments</w:t>
            </w:r>
          </w:p>
        </w:tc>
        <w:tc>
          <w:tcPr>
            <w:tcW w:w="654" w:type="dxa"/>
            <w:vAlign w:val="center"/>
          </w:tcPr>
          <w:p w:rsidR="00D71646" w:rsidRPr="005B03CE" w:rsidRDefault="00D71646" w:rsidP="00D71646">
            <w:pPr>
              <w:spacing w:beforeLines="20" w:before="48" w:afterLines="20" w:after="48"/>
              <w:jc w:val="center"/>
              <w:rPr>
                <w:noProof/>
                <w:sz w:val="14"/>
              </w:rPr>
            </w:pPr>
            <w:r w:rsidRPr="005B03CE">
              <w:rPr>
                <w:noProof/>
                <w:sz w:val="14"/>
              </w:rPr>
              <w:t>(5)</w:t>
            </w:r>
          </w:p>
        </w:tc>
        <w:tc>
          <w:tcPr>
            <w:tcW w:w="868" w:type="dxa"/>
            <w:vAlign w:val="center"/>
          </w:tcPr>
          <w:p w:rsidR="00D71646" w:rsidRPr="005B03CE" w:rsidRDefault="00ED126E" w:rsidP="00D71646">
            <w:pPr>
              <w:spacing w:before="20" w:after="20"/>
              <w:jc w:val="right"/>
              <w:rPr>
                <w:noProof/>
                <w:sz w:val="20"/>
              </w:rPr>
            </w:pPr>
            <w:r w:rsidRPr="005B03CE">
              <w:rPr>
                <w:noProof/>
                <w:sz w:val="20"/>
              </w:rPr>
              <w:t>2.459</w:t>
            </w:r>
          </w:p>
        </w:tc>
        <w:tc>
          <w:tcPr>
            <w:tcW w:w="868" w:type="dxa"/>
            <w:vAlign w:val="center"/>
          </w:tcPr>
          <w:p w:rsidR="00D71646" w:rsidRPr="005B03CE" w:rsidRDefault="00ED126E" w:rsidP="00D71646">
            <w:pPr>
              <w:spacing w:before="20" w:after="20"/>
              <w:jc w:val="right"/>
              <w:rPr>
                <w:noProof/>
                <w:sz w:val="20"/>
              </w:rPr>
            </w:pPr>
            <w:r w:rsidRPr="005B03CE">
              <w:rPr>
                <w:noProof/>
                <w:sz w:val="20"/>
              </w:rPr>
              <w:t>2.459</w:t>
            </w:r>
          </w:p>
        </w:tc>
        <w:tc>
          <w:tcPr>
            <w:tcW w:w="868" w:type="dxa"/>
            <w:vAlign w:val="center"/>
          </w:tcPr>
          <w:p w:rsidR="00D71646" w:rsidRPr="005B03CE" w:rsidRDefault="00ED126E" w:rsidP="00D71646">
            <w:pPr>
              <w:spacing w:before="20" w:after="20"/>
              <w:jc w:val="right"/>
              <w:rPr>
                <w:noProof/>
                <w:sz w:val="20"/>
              </w:rPr>
            </w:pPr>
            <w:r w:rsidRPr="005B03CE">
              <w:rPr>
                <w:noProof/>
                <w:sz w:val="20"/>
              </w:rPr>
              <w:t>2.459</w:t>
            </w:r>
          </w:p>
        </w:tc>
        <w:tc>
          <w:tcPr>
            <w:tcW w:w="868" w:type="dxa"/>
            <w:vAlign w:val="center"/>
          </w:tcPr>
          <w:p w:rsidR="00D71646" w:rsidRPr="005B03CE" w:rsidRDefault="00ED126E" w:rsidP="00D71646">
            <w:pPr>
              <w:spacing w:before="20" w:after="20"/>
              <w:jc w:val="right"/>
              <w:rPr>
                <w:noProof/>
                <w:sz w:val="20"/>
              </w:rPr>
            </w:pPr>
            <w:r w:rsidRPr="005B03CE">
              <w:rPr>
                <w:noProof/>
                <w:sz w:val="20"/>
              </w:rPr>
              <w:t>2.459</w:t>
            </w:r>
          </w:p>
        </w:tc>
        <w:tc>
          <w:tcPr>
            <w:tcW w:w="1040" w:type="dxa"/>
            <w:vAlign w:val="center"/>
          </w:tcPr>
          <w:p w:rsidR="00D71646" w:rsidRPr="005B03CE" w:rsidRDefault="00ED126E" w:rsidP="00D71646">
            <w:pPr>
              <w:spacing w:before="20" w:after="20"/>
              <w:jc w:val="right"/>
              <w:rPr>
                <w:b/>
                <w:noProof/>
                <w:sz w:val="20"/>
              </w:rPr>
            </w:pPr>
            <w:r w:rsidRPr="005B03CE">
              <w:rPr>
                <w:noProof/>
                <w:sz w:val="20"/>
              </w:rPr>
              <w:t>2.459</w:t>
            </w:r>
          </w:p>
        </w:tc>
        <w:tc>
          <w:tcPr>
            <w:tcW w:w="3341" w:type="dxa"/>
            <w:tcBorders>
              <w:right w:val="single" w:sz="4" w:space="0" w:color="auto"/>
            </w:tcBorders>
            <w:vAlign w:val="center"/>
          </w:tcPr>
          <w:p w:rsidR="00D71646" w:rsidRPr="005B03CE" w:rsidRDefault="0028190D" w:rsidP="00D71646">
            <w:pPr>
              <w:spacing w:before="20" w:after="20"/>
              <w:jc w:val="right"/>
              <w:rPr>
                <w:b/>
                <w:noProof/>
                <w:sz w:val="20"/>
              </w:rPr>
            </w:pPr>
            <w:r w:rsidRPr="005B03CE">
              <w:rPr>
                <w:noProof/>
                <w:sz w:val="20"/>
              </w:rPr>
              <w:t>12.29</w:t>
            </w:r>
            <w:r w:rsidR="00ED126E" w:rsidRPr="005B03CE">
              <w:rPr>
                <w:noProof/>
                <w:sz w:val="20"/>
              </w:rPr>
              <w:t>3</w:t>
            </w:r>
          </w:p>
        </w:tc>
      </w:tr>
      <w:tr w:rsidR="00D71646" w:rsidRPr="005B03CE" w:rsidTr="00D71646">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D71646" w:rsidRPr="005B03CE" w:rsidRDefault="00D71646" w:rsidP="00D71646">
            <w:pPr>
              <w:spacing w:beforeLines="20" w:before="48" w:afterLines="20" w:after="48"/>
              <w:rPr>
                <w:noProof/>
              </w:rPr>
            </w:pPr>
            <w:r w:rsidRPr="005B03CE">
              <w:rPr>
                <w:noProof/>
                <w:sz w:val="21"/>
              </w:rPr>
              <w:t xml:space="preserve"> TOTAL appropriations of an administrative nature financed from the envelope for specific programmes (all operational headings)</w:t>
            </w:r>
          </w:p>
        </w:tc>
        <w:tc>
          <w:tcPr>
            <w:tcW w:w="654" w:type="dxa"/>
            <w:vAlign w:val="center"/>
          </w:tcPr>
          <w:p w:rsidR="00D71646" w:rsidRPr="005B03CE" w:rsidRDefault="00D71646" w:rsidP="00D71646">
            <w:pPr>
              <w:rPr>
                <w:noProof/>
              </w:rPr>
            </w:pPr>
          </w:p>
          <w:p w:rsidR="00D71646" w:rsidRPr="005B03CE" w:rsidRDefault="00D71646" w:rsidP="00D71646">
            <w:pPr>
              <w:spacing w:beforeLines="20" w:before="48" w:afterLines="20" w:after="48"/>
              <w:jc w:val="center"/>
              <w:rPr>
                <w:noProof/>
                <w:sz w:val="14"/>
              </w:rPr>
            </w:pPr>
            <w:r w:rsidRPr="005B03CE">
              <w:rPr>
                <w:noProof/>
                <w:sz w:val="14"/>
              </w:rPr>
              <w:t>(6)</w:t>
            </w:r>
          </w:p>
        </w:tc>
        <w:tc>
          <w:tcPr>
            <w:tcW w:w="868" w:type="dxa"/>
            <w:vAlign w:val="center"/>
          </w:tcPr>
          <w:p w:rsidR="00D71646" w:rsidRPr="005B03CE" w:rsidRDefault="00D71646" w:rsidP="00D71646">
            <w:pPr>
              <w:spacing w:before="20" w:after="20"/>
              <w:jc w:val="right"/>
              <w:rPr>
                <w:b/>
                <w:noProof/>
                <w:sz w:val="20"/>
              </w:rPr>
            </w:pPr>
          </w:p>
        </w:tc>
        <w:tc>
          <w:tcPr>
            <w:tcW w:w="868" w:type="dxa"/>
            <w:vAlign w:val="center"/>
          </w:tcPr>
          <w:p w:rsidR="00D71646" w:rsidRPr="005B03CE" w:rsidRDefault="00D71646" w:rsidP="00D71646">
            <w:pPr>
              <w:spacing w:before="20" w:after="20"/>
              <w:jc w:val="right"/>
              <w:rPr>
                <w:b/>
                <w:noProof/>
                <w:sz w:val="20"/>
              </w:rPr>
            </w:pPr>
          </w:p>
        </w:tc>
        <w:tc>
          <w:tcPr>
            <w:tcW w:w="868" w:type="dxa"/>
            <w:vAlign w:val="center"/>
          </w:tcPr>
          <w:p w:rsidR="00D71646" w:rsidRPr="005B03CE" w:rsidRDefault="00D71646" w:rsidP="00D71646">
            <w:pPr>
              <w:spacing w:before="20" w:after="20"/>
              <w:jc w:val="right"/>
              <w:rPr>
                <w:b/>
                <w:noProof/>
                <w:sz w:val="20"/>
              </w:rPr>
            </w:pPr>
          </w:p>
        </w:tc>
        <w:tc>
          <w:tcPr>
            <w:tcW w:w="868" w:type="dxa"/>
            <w:vAlign w:val="center"/>
          </w:tcPr>
          <w:p w:rsidR="00D71646" w:rsidRPr="005B03CE" w:rsidRDefault="00D71646" w:rsidP="00D71646">
            <w:pPr>
              <w:spacing w:before="20" w:after="20"/>
              <w:jc w:val="right"/>
              <w:rPr>
                <w:b/>
                <w:noProof/>
                <w:sz w:val="20"/>
              </w:rPr>
            </w:pPr>
          </w:p>
        </w:tc>
        <w:tc>
          <w:tcPr>
            <w:tcW w:w="1040" w:type="dxa"/>
            <w:vAlign w:val="center"/>
          </w:tcPr>
          <w:p w:rsidR="00D71646" w:rsidRPr="005B03CE" w:rsidRDefault="00D71646" w:rsidP="00D71646">
            <w:pPr>
              <w:spacing w:before="20" w:after="20"/>
              <w:jc w:val="right"/>
              <w:rPr>
                <w:b/>
                <w:noProof/>
                <w:sz w:val="20"/>
              </w:rPr>
            </w:pPr>
          </w:p>
        </w:tc>
        <w:tc>
          <w:tcPr>
            <w:tcW w:w="3341" w:type="dxa"/>
            <w:vAlign w:val="center"/>
          </w:tcPr>
          <w:p w:rsidR="00D71646" w:rsidRPr="005B03CE" w:rsidRDefault="00D71646" w:rsidP="00D71646">
            <w:pPr>
              <w:spacing w:before="20" w:after="20"/>
              <w:jc w:val="right"/>
              <w:rPr>
                <w:b/>
                <w:noProof/>
                <w:sz w:val="20"/>
              </w:rPr>
            </w:pPr>
          </w:p>
        </w:tc>
      </w:tr>
      <w:tr w:rsidR="00D71646" w:rsidRPr="005B03CE" w:rsidTr="00D71646">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D71646" w:rsidRPr="005B03CE" w:rsidRDefault="00D71646" w:rsidP="00D71646">
            <w:pPr>
              <w:jc w:val="center"/>
              <w:rPr>
                <w:b/>
                <w:noProof/>
              </w:rPr>
            </w:pPr>
            <w:r w:rsidRPr="005B03CE">
              <w:rPr>
                <w:b/>
                <w:noProof/>
                <w:sz w:val="22"/>
              </w:rPr>
              <w:t xml:space="preserve">TOTAL appropriations </w:t>
            </w:r>
            <w:r w:rsidRPr="005B03CE">
              <w:rPr>
                <w:noProof/>
                <w:sz w:val="22"/>
              </w:rPr>
              <w:br/>
            </w:r>
            <w:r w:rsidRPr="005B03CE">
              <w:rPr>
                <w:b/>
                <w:noProof/>
                <w:sz w:val="22"/>
              </w:rPr>
              <w:t>under HEADINGS 1 to 6</w:t>
            </w:r>
            <w:r w:rsidRPr="005B03CE">
              <w:rPr>
                <w:noProof/>
                <w:sz w:val="22"/>
              </w:rPr>
              <w:br/>
              <w:t>of the multiannual financial framework</w:t>
            </w:r>
            <w:r w:rsidRPr="005B03CE">
              <w:rPr>
                <w:noProof/>
                <w:sz w:val="22"/>
              </w:rPr>
              <w:br/>
            </w:r>
            <w:r w:rsidRPr="005B03CE">
              <w:rPr>
                <w:noProof/>
                <w:sz w:val="20"/>
              </w:rPr>
              <w:t>(Reference amount)</w:t>
            </w:r>
          </w:p>
        </w:tc>
        <w:tc>
          <w:tcPr>
            <w:tcW w:w="1440" w:type="dxa"/>
            <w:vAlign w:val="center"/>
          </w:tcPr>
          <w:p w:rsidR="00D71646" w:rsidRPr="005B03CE" w:rsidRDefault="00D71646" w:rsidP="00D71646">
            <w:pPr>
              <w:rPr>
                <w:noProof/>
                <w:sz w:val="18"/>
              </w:rPr>
            </w:pPr>
            <w:r w:rsidRPr="005B03CE">
              <w:rPr>
                <w:noProof/>
                <w:sz w:val="18"/>
              </w:rPr>
              <w:t>Commitments</w:t>
            </w:r>
          </w:p>
        </w:tc>
        <w:tc>
          <w:tcPr>
            <w:tcW w:w="654" w:type="dxa"/>
            <w:vAlign w:val="center"/>
          </w:tcPr>
          <w:p w:rsidR="00D71646" w:rsidRPr="005B03CE" w:rsidRDefault="00D71646" w:rsidP="00D71646">
            <w:pPr>
              <w:jc w:val="center"/>
              <w:rPr>
                <w:noProof/>
                <w:sz w:val="14"/>
              </w:rPr>
            </w:pPr>
            <w:r w:rsidRPr="005B03CE">
              <w:rPr>
                <w:noProof/>
                <w:sz w:val="14"/>
              </w:rPr>
              <w:t>=4+ 6</w:t>
            </w:r>
          </w:p>
        </w:tc>
        <w:tc>
          <w:tcPr>
            <w:tcW w:w="868" w:type="dxa"/>
            <w:vAlign w:val="center"/>
          </w:tcPr>
          <w:p w:rsidR="00D71646" w:rsidRPr="005B03CE" w:rsidRDefault="00ED126E" w:rsidP="00D71646">
            <w:pPr>
              <w:spacing w:before="20" w:after="20"/>
              <w:jc w:val="right"/>
              <w:rPr>
                <w:noProof/>
                <w:sz w:val="20"/>
              </w:rPr>
            </w:pPr>
            <w:r w:rsidRPr="005B03CE">
              <w:rPr>
                <w:noProof/>
                <w:sz w:val="20"/>
              </w:rPr>
              <w:t>2.459</w:t>
            </w:r>
          </w:p>
        </w:tc>
        <w:tc>
          <w:tcPr>
            <w:tcW w:w="868" w:type="dxa"/>
            <w:vAlign w:val="center"/>
          </w:tcPr>
          <w:p w:rsidR="00D71646" w:rsidRPr="005B03CE" w:rsidRDefault="00ED126E" w:rsidP="00D71646">
            <w:pPr>
              <w:spacing w:before="20" w:after="20"/>
              <w:jc w:val="right"/>
              <w:rPr>
                <w:noProof/>
                <w:sz w:val="20"/>
              </w:rPr>
            </w:pPr>
            <w:r w:rsidRPr="005B03CE">
              <w:rPr>
                <w:noProof/>
                <w:sz w:val="20"/>
              </w:rPr>
              <w:t>2.459</w:t>
            </w:r>
          </w:p>
        </w:tc>
        <w:tc>
          <w:tcPr>
            <w:tcW w:w="868" w:type="dxa"/>
            <w:vAlign w:val="center"/>
          </w:tcPr>
          <w:p w:rsidR="00D71646" w:rsidRPr="005B03CE" w:rsidRDefault="00ED126E" w:rsidP="00D71646">
            <w:pPr>
              <w:spacing w:before="20" w:after="20"/>
              <w:jc w:val="right"/>
              <w:rPr>
                <w:noProof/>
                <w:sz w:val="20"/>
              </w:rPr>
            </w:pPr>
            <w:r w:rsidRPr="005B03CE">
              <w:rPr>
                <w:noProof/>
                <w:sz w:val="20"/>
              </w:rPr>
              <w:t>2.459</w:t>
            </w:r>
          </w:p>
        </w:tc>
        <w:tc>
          <w:tcPr>
            <w:tcW w:w="868" w:type="dxa"/>
            <w:vAlign w:val="center"/>
          </w:tcPr>
          <w:p w:rsidR="00D71646" w:rsidRPr="005B03CE" w:rsidRDefault="00ED126E" w:rsidP="00D71646">
            <w:pPr>
              <w:spacing w:before="20" w:after="20"/>
              <w:jc w:val="right"/>
              <w:rPr>
                <w:noProof/>
                <w:sz w:val="20"/>
              </w:rPr>
            </w:pPr>
            <w:r w:rsidRPr="005B03CE">
              <w:rPr>
                <w:noProof/>
                <w:sz w:val="20"/>
              </w:rPr>
              <w:t>2.459</w:t>
            </w:r>
          </w:p>
        </w:tc>
        <w:tc>
          <w:tcPr>
            <w:tcW w:w="1040" w:type="dxa"/>
            <w:vAlign w:val="center"/>
          </w:tcPr>
          <w:p w:rsidR="00D71646" w:rsidRPr="005B03CE" w:rsidRDefault="00ED126E" w:rsidP="00D71646">
            <w:pPr>
              <w:spacing w:before="20" w:after="20"/>
              <w:jc w:val="right"/>
              <w:rPr>
                <w:b/>
                <w:noProof/>
                <w:sz w:val="20"/>
              </w:rPr>
            </w:pPr>
            <w:r w:rsidRPr="005B03CE">
              <w:rPr>
                <w:noProof/>
                <w:sz w:val="20"/>
              </w:rPr>
              <w:t>2.459</w:t>
            </w:r>
          </w:p>
        </w:tc>
        <w:tc>
          <w:tcPr>
            <w:tcW w:w="3341" w:type="dxa"/>
            <w:tcBorders>
              <w:right w:val="single" w:sz="4" w:space="0" w:color="auto"/>
            </w:tcBorders>
            <w:vAlign w:val="center"/>
          </w:tcPr>
          <w:p w:rsidR="00D71646" w:rsidRPr="005B03CE" w:rsidRDefault="0028190D" w:rsidP="00D71646">
            <w:pPr>
              <w:spacing w:before="20" w:after="20"/>
              <w:jc w:val="right"/>
              <w:rPr>
                <w:b/>
                <w:noProof/>
                <w:sz w:val="20"/>
              </w:rPr>
            </w:pPr>
            <w:r w:rsidRPr="005B03CE">
              <w:rPr>
                <w:noProof/>
                <w:sz w:val="20"/>
              </w:rPr>
              <w:t>12.29</w:t>
            </w:r>
            <w:r w:rsidR="00ED126E" w:rsidRPr="005B03CE">
              <w:rPr>
                <w:noProof/>
                <w:sz w:val="20"/>
              </w:rPr>
              <w:t>3</w:t>
            </w:r>
          </w:p>
        </w:tc>
      </w:tr>
      <w:tr w:rsidR="00D71646" w:rsidRPr="005B03CE" w:rsidTr="00D71646">
        <w:tc>
          <w:tcPr>
            <w:tcW w:w="3960" w:type="dxa"/>
            <w:vMerge/>
            <w:tcBorders>
              <w:top w:val="single" w:sz="4" w:space="0" w:color="FF0000"/>
              <w:left w:val="single" w:sz="4" w:space="0" w:color="auto"/>
              <w:bottom w:val="single" w:sz="4" w:space="0" w:color="auto"/>
            </w:tcBorders>
            <w:shd w:val="thinDiagStripe" w:color="C0C0C0" w:fill="auto"/>
          </w:tcPr>
          <w:p w:rsidR="00D71646" w:rsidRPr="005B03CE" w:rsidRDefault="00D71646" w:rsidP="00D71646">
            <w:pPr>
              <w:rPr>
                <w:noProof/>
                <w:sz w:val="20"/>
              </w:rPr>
            </w:pPr>
          </w:p>
        </w:tc>
        <w:tc>
          <w:tcPr>
            <w:tcW w:w="1440" w:type="dxa"/>
            <w:tcBorders>
              <w:bottom w:val="single" w:sz="4" w:space="0" w:color="auto"/>
            </w:tcBorders>
            <w:vAlign w:val="center"/>
          </w:tcPr>
          <w:p w:rsidR="00D71646" w:rsidRPr="005B03CE" w:rsidRDefault="00D71646" w:rsidP="00D71646">
            <w:pPr>
              <w:rPr>
                <w:noProof/>
                <w:sz w:val="18"/>
              </w:rPr>
            </w:pPr>
            <w:r w:rsidRPr="005B03CE">
              <w:rPr>
                <w:noProof/>
                <w:sz w:val="18"/>
              </w:rPr>
              <w:t>Payments</w:t>
            </w:r>
          </w:p>
        </w:tc>
        <w:tc>
          <w:tcPr>
            <w:tcW w:w="654" w:type="dxa"/>
            <w:tcBorders>
              <w:bottom w:val="single" w:sz="4" w:space="0" w:color="auto"/>
            </w:tcBorders>
            <w:vAlign w:val="center"/>
          </w:tcPr>
          <w:p w:rsidR="00D71646" w:rsidRPr="005B03CE" w:rsidRDefault="00D71646" w:rsidP="00D71646">
            <w:pPr>
              <w:jc w:val="center"/>
              <w:rPr>
                <w:noProof/>
                <w:sz w:val="14"/>
              </w:rPr>
            </w:pPr>
            <w:r w:rsidRPr="005B03CE">
              <w:rPr>
                <w:noProof/>
                <w:sz w:val="14"/>
              </w:rPr>
              <w:t>=5+ 6</w:t>
            </w:r>
          </w:p>
        </w:tc>
        <w:tc>
          <w:tcPr>
            <w:tcW w:w="868" w:type="dxa"/>
            <w:tcBorders>
              <w:bottom w:val="single" w:sz="4" w:space="0" w:color="auto"/>
            </w:tcBorders>
            <w:vAlign w:val="center"/>
          </w:tcPr>
          <w:p w:rsidR="00D71646" w:rsidRPr="005B03CE" w:rsidRDefault="00ED126E" w:rsidP="00D71646">
            <w:pPr>
              <w:spacing w:before="20" w:after="20"/>
              <w:jc w:val="right"/>
              <w:rPr>
                <w:noProof/>
                <w:sz w:val="20"/>
              </w:rPr>
            </w:pPr>
            <w:r w:rsidRPr="005B03CE">
              <w:rPr>
                <w:noProof/>
                <w:sz w:val="20"/>
              </w:rPr>
              <w:t>2.459</w:t>
            </w:r>
          </w:p>
        </w:tc>
        <w:tc>
          <w:tcPr>
            <w:tcW w:w="868" w:type="dxa"/>
            <w:tcBorders>
              <w:bottom w:val="single" w:sz="4" w:space="0" w:color="auto"/>
            </w:tcBorders>
            <w:vAlign w:val="center"/>
          </w:tcPr>
          <w:p w:rsidR="00D71646" w:rsidRPr="005B03CE" w:rsidRDefault="00ED126E" w:rsidP="00D71646">
            <w:pPr>
              <w:spacing w:before="20" w:after="20"/>
              <w:jc w:val="right"/>
              <w:rPr>
                <w:noProof/>
                <w:sz w:val="20"/>
              </w:rPr>
            </w:pPr>
            <w:r w:rsidRPr="005B03CE">
              <w:rPr>
                <w:noProof/>
                <w:sz w:val="20"/>
              </w:rPr>
              <w:t>2.459</w:t>
            </w:r>
          </w:p>
        </w:tc>
        <w:tc>
          <w:tcPr>
            <w:tcW w:w="868" w:type="dxa"/>
            <w:tcBorders>
              <w:bottom w:val="single" w:sz="4" w:space="0" w:color="auto"/>
            </w:tcBorders>
            <w:vAlign w:val="center"/>
          </w:tcPr>
          <w:p w:rsidR="00D71646" w:rsidRPr="005B03CE" w:rsidRDefault="00ED126E" w:rsidP="00D71646">
            <w:pPr>
              <w:spacing w:before="20" w:after="20"/>
              <w:jc w:val="right"/>
              <w:rPr>
                <w:noProof/>
                <w:sz w:val="20"/>
              </w:rPr>
            </w:pPr>
            <w:r w:rsidRPr="005B03CE">
              <w:rPr>
                <w:noProof/>
                <w:sz w:val="20"/>
              </w:rPr>
              <w:t>2.459</w:t>
            </w:r>
          </w:p>
        </w:tc>
        <w:tc>
          <w:tcPr>
            <w:tcW w:w="868" w:type="dxa"/>
            <w:tcBorders>
              <w:bottom w:val="single" w:sz="4" w:space="0" w:color="auto"/>
            </w:tcBorders>
            <w:vAlign w:val="center"/>
          </w:tcPr>
          <w:p w:rsidR="00D71646" w:rsidRPr="005B03CE" w:rsidRDefault="00ED126E" w:rsidP="00D71646">
            <w:pPr>
              <w:spacing w:before="20" w:after="20"/>
              <w:jc w:val="right"/>
              <w:rPr>
                <w:noProof/>
                <w:sz w:val="20"/>
              </w:rPr>
            </w:pPr>
            <w:r w:rsidRPr="005B03CE">
              <w:rPr>
                <w:noProof/>
                <w:sz w:val="20"/>
              </w:rPr>
              <w:t>2.459</w:t>
            </w:r>
          </w:p>
        </w:tc>
        <w:tc>
          <w:tcPr>
            <w:tcW w:w="1040" w:type="dxa"/>
            <w:tcBorders>
              <w:bottom w:val="single" w:sz="4" w:space="0" w:color="auto"/>
            </w:tcBorders>
            <w:vAlign w:val="center"/>
          </w:tcPr>
          <w:p w:rsidR="00D71646" w:rsidRPr="005B03CE" w:rsidRDefault="00ED126E" w:rsidP="00D71646">
            <w:pPr>
              <w:spacing w:before="20" w:after="20"/>
              <w:jc w:val="right"/>
              <w:rPr>
                <w:b/>
                <w:noProof/>
                <w:sz w:val="20"/>
              </w:rPr>
            </w:pPr>
            <w:r w:rsidRPr="005B03CE">
              <w:rPr>
                <w:noProof/>
                <w:sz w:val="20"/>
              </w:rPr>
              <w:t>2.459</w:t>
            </w:r>
          </w:p>
        </w:tc>
        <w:tc>
          <w:tcPr>
            <w:tcW w:w="3341" w:type="dxa"/>
            <w:tcBorders>
              <w:bottom w:val="single" w:sz="4" w:space="0" w:color="auto"/>
              <w:right w:val="single" w:sz="4" w:space="0" w:color="auto"/>
            </w:tcBorders>
            <w:vAlign w:val="center"/>
          </w:tcPr>
          <w:p w:rsidR="00D71646" w:rsidRPr="005B03CE" w:rsidRDefault="0028190D" w:rsidP="00D71646">
            <w:pPr>
              <w:spacing w:before="20" w:after="20"/>
              <w:jc w:val="right"/>
              <w:rPr>
                <w:b/>
                <w:noProof/>
                <w:sz w:val="20"/>
              </w:rPr>
            </w:pPr>
            <w:r w:rsidRPr="005B03CE">
              <w:rPr>
                <w:noProof/>
                <w:sz w:val="20"/>
              </w:rPr>
              <w:t>12.29</w:t>
            </w:r>
            <w:r w:rsidR="00ED126E" w:rsidRPr="005B03CE">
              <w:rPr>
                <w:noProof/>
                <w:sz w:val="20"/>
              </w:rPr>
              <w:t>3</w:t>
            </w:r>
          </w:p>
        </w:tc>
      </w:tr>
    </w:tbl>
    <w:p w:rsidR="00DD0A9C" w:rsidRPr="005B03CE" w:rsidRDefault="00DD0A9C" w:rsidP="00DD0A9C">
      <w:pPr>
        <w:rPr>
          <w:noProof/>
        </w:rPr>
      </w:pPr>
    </w:p>
    <w:p w:rsidR="00DD0A9C" w:rsidRPr="005B03CE" w:rsidRDefault="00DD0A9C" w:rsidP="00DD0A9C">
      <w:pPr>
        <w:spacing w:before="0" w:after="0"/>
        <w:jc w:val="left"/>
        <w:rPr>
          <w:noProof/>
        </w:rPr>
      </w:pPr>
      <w:r w:rsidRPr="005B03CE">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D0A9C" w:rsidRPr="005B03CE" w:rsidTr="00F158BD">
        <w:trPr>
          <w:jc w:val="center"/>
        </w:trPr>
        <w:tc>
          <w:tcPr>
            <w:tcW w:w="4744" w:type="dxa"/>
            <w:shd w:val="thinDiagStripe" w:color="C0C0C0" w:fill="auto"/>
            <w:vAlign w:val="center"/>
          </w:tcPr>
          <w:p w:rsidR="00DD0A9C" w:rsidRPr="005B03CE" w:rsidRDefault="00DD0A9C" w:rsidP="00F158BD">
            <w:pPr>
              <w:spacing w:before="60" w:after="60"/>
              <w:jc w:val="center"/>
              <w:rPr>
                <w:b/>
                <w:noProof/>
              </w:rPr>
            </w:pPr>
            <w:r w:rsidRPr="005B03CE">
              <w:rPr>
                <w:noProof/>
                <w:sz w:val="22"/>
              </w:rPr>
              <w:br w:type="page"/>
            </w:r>
            <w:r w:rsidRPr="005B03CE">
              <w:rPr>
                <w:b/>
                <w:noProof/>
                <w:sz w:val="22"/>
              </w:rPr>
              <w:t xml:space="preserve">Heading of multiannual financial </w:t>
            </w:r>
            <w:r w:rsidRPr="005B03CE">
              <w:rPr>
                <w:noProof/>
                <w:sz w:val="22"/>
              </w:rPr>
              <w:br/>
            </w:r>
            <w:r w:rsidRPr="005B03CE">
              <w:rPr>
                <w:b/>
                <w:noProof/>
                <w:sz w:val="22"/>
              </w:rPr>
              <w:t xml:space="preserve">framework </w:t>
            </w:r>
          </w:p>
        </w:tc>
        <w:tc>
          <w:tcPr>
            <w:tcW w:w="1080" w:type="dxa"/>
            <w:shd w:val="thinDiagStripe" w:color="C0C0C0" w:fill="auto"/>
            <w:vAlign w:val="center"/>
          </w:tcPr>
          <w:p w:rsidR="00DD0A9C" w:rsidRPr="005B03CE" w:rsidRDefault="00DD0A9C" w:rsidP="00F158BD">
            <w:pPr>
              <w:spacing w:before="60" w:after="60"/>
              <w:jc w:val="center"/>
              <w:rPr>
                <w:noProof/>
              </w:rPr>
            </w:pPr>
            <w:r w:rsidRPr="005B03CE">
              <w:rPr>
                <w:b/>
                <w:noProof/>
                <w:sz w:val="22"/>
              </w:rPr>
              <w:t>7</w:t>
            </w:r>
          </w:p>
        </w:tc>
        <w:tc>
          <w:tcPr>
            <w:tcW w:w="7817" w:type="dxa"/>
            <w:vAlign w:val="center"/>
          </w:tcPr>
          <w:p w:rsidR="00DD0A9C" w:rsidRPr="005B03CE" w:rsidRDefault="00DD0A9C" w:rsidP="00F158BD">
            <w:pPr>
              <w:spacing w:before="60" w:after="60"/>
              <w:rPr>
                <w:noProof/>
              </w:rPr>
            </w:pPr>
            <w:r w:rsidRPr="005B03CE">
              <w:rPr>
                <w:noProof/>
                <w:sz w:val="22"/>
              </w:rPr>
              <w:t>‘Administrative expenditure’</w:t>
            </w:r>
          </w:p>
        </w:tc>
      </w:tr>
    </w:tbl>
    <w:p w:rsidR="00DD0A9C" w:rsidRPr="005B03CE" w:rsidRDefault="00DD0A9C" w:rsidP="00DD0A9C">
      <w:pPr>
        <w:jc w:val="left"/>
        <w:rPr>
          <w:noProof/>
          <w:sz w:val="20"/>
        </w:rPr>
      </w:pPr>
      <w:r w:rsidRPr="005B03CE">
        <w:rPr>
          <w:noProof/>
        </w:rPr>
        <w:t xml:space="preserve">This section should be filled in using the 'budget data of an administrative nature' to be firstly introduced in the </w:t>
      </w:r>
      <w:hyperlink r:id="rId18" w:history="1">
        <w:r w:rsidRPr="005B03CE">
          <w:rPr>
            <w:rStyle w:val="Hyperlink"/>
            <w:noProof/>
          </w:rPr>
          <w:t>Annex to the Legislative Financial Statement</w:t>
        </w:r>
      </w:hyperlink>
      <w:r w:rsidRPr="005B03CE">
        <w:rPr>
          <w:noProof/>
        </w:rPr>
        <w:t xml:space="preserve"> (Annex V to the internal rules), which is uploaded to DECIDE for interservice consultation purposes.</w:t>
      </w:r>
    </w:p>
    <w:p w:rsidR="00DD0A9C" w:rsidRPr="005B03CE" w:rsidRDefault="00DD0A9C" w:rsidP="00DD0A9C">
      <w:pPr>
        <w:jc w:val="right"/>
        <w:rPr>
          <w:noProof/>
          <w:sz w:val="20"/>
        </w:rPr>
      </w:pPr>
      <w:r w:rsidRPr="005B03CE">
        <w:rPr>
          <w:noProof/>
          <w:sz w:val="20"/>
        </w:rPr>
        <w:t>EUR million (to three decimal places)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31"/>
        <w:gridCol w:w="3482"/>
      </w:tblGrid>
      <w:tr w:rsidR="00DD0A9C" w:rsidRPr="005B03CE" w:rsidTr="00346A11">
        <w:tc>
          <w:tcPr>
            <w:tcW w:w="3960" w:type="dxa"/>
            <w:tcBorders>
              <w:top w:val="nil"/>
              <w:left w:val="nil"/>
              <w:right w:val="nil"/>
            </w:tcBorders>
            <w:vAlign w:val="center"/>
          </w:tcPr>
          <w:p w:rsidR="00DD0A9C" w:rsidRPr="005B03CE" w:rsidRDefault="00DD0A9C" w:rsidP="00F158BD">
            <w:pPr>
              <w:jc w:val="center"/>
              <w:rPr>
                <w:noProof/>
              </w:rPr>
            </w:pPr>
          </w:p>
        </w:tc>
        <w:tc>
          <w:tcPr>
            <w:tcW w:w="1560" w:type="dxa"/>
            <w:tcBorders>
              <w:top w:val="nil"/>
              <w:left w:val="nil"/>
              <w:right w:val="nil"/>
            </w:tcBorders>
          </w:tcPr>
          <w:p w:rsidR="00DD0A9C" w:rsidRPr="005B03CE" w:rsidRDefault="00DD0A9C" w:rsidP="00F158BD">
            <w:pPr>
              <w:rPr>
                <w:noProof/>
                <w:sz w:val="20"/>
              </w:rPr>
            </w:pPr>
          </w:p>
        </w:tc>
        <w:tc>
          <w:tcPr>
            <w:tcW w:w="534" w:type="dxa"/>
            <w:tcBorders>
              <w:top w:val="nil"/>
              <w:left w:val="nil"/>
            </w:tcBorders>
          </w:tcPr>
          <w:p w:rsidR="00DD0A9C" w:rsidRPr="005B03CE" w:rsidRDefault="00DD0A9C" w:rsidP="00F158BD">
            <w:pPr>
              <w:jc w:val="center"/>
              <w:rPr>
                <w:noProof/>
                <w:sz w:val="20"/>
              </w:rPr>
            </w:pPr>
          </w:p>
        </w:tc>
        <w:tc>
          <w:tcPr>
            <w:tcW w:w="868" w:type="dxa"/>
            <w:vAlign w:val="center"/>
          </w:tcPr>
          <w:p w:rsidR="00DD0A9C" w:rsidRPr="005B03CE" w:rsidRDefault="00DD0A9C" w:rsidP="00D5073D">
            <w:pPr>
              <w:jc w:val="center"/>
              <w:rPr>
                <w:noProof/>
                <w:sz w:val="20"/>
              </w:rPr>
            </w:pPr>
            <w:r w:rsidRPr="005B03CE">
              <w:rPr>
                <w:noProof/>
                <w:sz w:val="20"/>
              </w:rPr>
              <w:t>Year</w:t>
            </w:r>
            <w:r w:rsidRPr="005B03CE">
              <w:rPr>
                <w:noProof/>
                <w:sz w:val="22"/>
              </w:rPr>
              <w:br/>
            </w:r>
            <w:r w:rsidRPr="005B03CE">
              <w:rPr>
                <w:b/>
                <w:noProof/>
                <w:sz w:val="20"/>
              </w:rPr>
              <w:t>2023</w:t>
            </w:r>
          </w:p>
        </w:tc>
        <w:tc>
          <w:tcPr>
            <w:tcW w:w="868" w:type="dxa"/>
            <w:vAlign w:val="center"/>
          </w:tcPr>
          <w:p w:rsidR="00DD0A9C" w:rsidRPr="005B03CE" w:rsidRDefault="00DD0A9C" w:rsidP="00F158BD">
            <w:pPr>
              <w:jc w:val="center"/>
              <w:rPr>
                <w:noProof/>
                <w:sz w:val="20"/>
              </w:rPr>
            </w:pPr>
            <w:r w:rsidRPr="005B03CE">
              <w:rPr>
                <w:noProof/>
                <w:sz w:val="20"/>
              </w:rPr>
              <w:t>Year</w:t>
            </w:r>
            <w:r w:rsidRPr="005B03CE">
              <w:rPr>
                <w:noProof/>
                <w:sz w:val="22"/>
              </w:rPr>
              <w:br/>
            </w:r>
            <w:r w:rsidRPr="005B03CE">
              <w:rPr>
                <w:b/>
                <w:noProof/>
                <w:sz w:val="20"/>
              </w:rPr>
              <w:t>2024</w:t>
            </w:r>
          </w:p>
        </w:tc>
        <w:tc>
          <w:tcPr>
            <w:tcW w:w="868" w:type="dxa"/>
            <w:vAlign w:val="center"/>
          </w:tcPr>
          <w:p w:rsidR="00DD0A9C" w:rsidRPr="005B03CE" w:rsidRDefault="00DD0A9C" w:rsidP="00F158BD">
            <w:pPr>
              <w:jc w:val="center"/>
              <w:rPr>
                <w:noProof/>
                <w:sz w:val="20"/>
              </w:rPr>
            </w:pPr>
            <w:r w:rsidRPr="005B03CE">
              <w:rPr>
                <w:noProof/>
                <w:sz w:val="20"/>
              </w:rPr>
              <w:t>Year</w:t>
            </w:r>
            <w:r w:rsidRPr="005B03CE">
              <w:rPr>
                <w:noProof/>
                <w:sz w:val="22"/>
              </w:rPr>
              <w:br/>
            </w:r>
            <w:r w:rsidRPr="005B03CE">
              <w:rPr>
                <w:b/>
                <w:noProof/>
                <w:sz w:val="20"/>
              </w:rPr>
              <w:t>2025</w:t>
            </w:r>
          </w:p>
        </w:tc>
        <w:tc>
          <w:tcPr>
            <w:tcW w:w="868" w:type="dxa"/>
            <w:vAlign w:val="center"/>
          </w:tcPr>
          <w:p w:rsidR="00DD0A9C" w:rsidRPr="005B03CE" w:rsidRDefault="00DD0A9C" w:rsidP="00F158BD">
            <w:pPr>
              <w:jc w:val="center"/>
              <w:rPr>
                <w:noProof/>
                <w:sz w:val="20"/>
              </w:rPr>
            </w:pPr>
            <w:r w:rsidRPr="005B03CE">
              <w:rPr>
                <w:noProof/>
                <w:sz w:val="20"/>
              </w:rPr>
              <w:t>Year</w:t>
            </w:r>
            <w:r w:rsidRPr="005B03CE">
              <w:rPr>
                <w:noProof/>
                <w:sz w:val="22"/>
              </w:rPr>
              <w:br/>
            </w:r>
            <w:r w:rsidRPr="005B03CE">
              <w:rPr>
                <w:b/>
                <w:noProof/>
                <w:sz w:val="20"/>
              </w:rPr>
              <w:t>2026</w:t>
            </w:r>
          </w:p>
        </w:tc>
        <w:tc>
          <w:tcPr>
            <w:tcW w:w="899" w:type="dxa"/>
            <w:gridSpan w:val="2"/>
            <w:vAlign w:val="center"/>
          </w:tcPr>
          <w:p w:rsidR="00DD0A9C" w:rsidRPr="005B03CE" w:rsidRDefault="00DD0A9C" w:rsidP="00F158BD">
            <w:pPr>
              <w:jc w:val="center"/>
              <w:rPr>
                <w:b/>
                <w:noProof/>
                <w:sz w:val="18"/>
              </w:rPr>
            </w:pPr>
            <w:r w:rsidRPr="005B03CE">
              <w:rPr>
                <w:b/>
                <w:noProof/>
                <w:sz w:val="18"/>
              </w:rPr>
              <w:t xml:space="preserve">Year </w:t>
            </w:r>
          </w:p>
          <w:p w:rsidR="00DD0A9C" w:rsidRPr="005B03CE" w:rsidRDefault="00DD0A9C" w:rsidP="00F158BD">
            <w:pPr>
              <w:jc w:val="center"/>
              <w:rPr>
                <w:b/>
                <w:noProof/>
                <w:sz w:val="18"/>
              </w:rPr>
            </w:pPr>
            <w:r w:rsidRPr="005B03CE">
              <w:rPr>
                <w:b/>
                <w:noProof/>
                <w:sz w:val="18"/>
              </w:rPr>
              <w:t>2027</w:t>
            </w:r>
            <w:r w:rsidRPr="005B03CE">
              <w:rPr>
                <w:noProof/>
                <w:sz w:val="18"/>
              </w:rPr>
              <w:t xml:space="preserve"> </w:t>
            </w:r>
          </w:p>
        </w:tc>
        <w:tc>
          <w:tcPr>
            <w:tcW w:w="3482" w:type="dxa"/>
            <w:vAlign w:val="center"/>
          </w:tcPr>
          <w:p w:rsidR="00DD0A9C" w:rsidRPr="005B03CE" w:rsidRDefault="00DD0A9C" w:rsidP="00F158BD">
            <w:pPr>
              <w:jc w:val="center"/>
              <w:rPr>
                <w:b/>
                <w:noProof/>
                <w:sz w:val="20"/>
              </w:rPr>
            </w:pPr>
            <w:r w:rsidRPr="005B03CE">
              <w:rPr>
                <w:b/>
                <w:noProof/>
                <w:sz w:val="20"/>
              </w:rPr>
              <w:t>TOTAL</w:t>
            </w:r>
          </w:p>
        </w:tc>
      </w:tr>
      <w:tr w:rsidR="00DD0A9C" w:rsidRPr="005B03CE" w:rsidTr="00346A11">
        <w:trPr>
          <w:gridAfter w:val="9"/>
          <w:wAfter w:w="9947" w:type="dxa"/>
        </w:trPr>
        <w:tc>
          <w:tcPr>
            <w:tcW w:w="3960" w:type="dxa"/>
            <w:vAlign w:val="center"/>
          </w:tcPr>
          <w:p w:rsidR="00DD0A9C" w:rsidRPr="005B03CE" w:rsidRDefault="00DD0A9C" w:rsidP="00F158BD">
            <w:pPr>
              <w:spacing w:before="60" w:after="60"/>
              <w:jc w:val="center"/>
              <w:rPr>
                <w:noProof/>
              </w:rPr>
            </w:pPr>
            <w:r w:rsidRPr="005B03CE">
              <w:rPr>
                <w:noProof/>
                <w:sz w:val="22"/>
              </w:rPr>
              <w:t>DG: DIGIT (CERT-EU)</w:t>
            </w:r>
          </w:p>
        </w:tc>
      </w:tr>
      <w:tr w:rsidR="00346A11" w:rsidRPr="005B03CE" w:rsidTr="00346A11">
        <w:trPr>
          <w:trHeight w:val="313"/>
        </w:trPr>
        <w:tc>
          <w:tcPr>
            <w:tcW w:w="6054" w:type="dxa"/>
            <w:gridSpan w:val="3"/>
            <w:vAlign w:val="center"/>
          </w:tcPr>
          <w:p w:rsidR="00346A11" w:rsidRPr="005B03CE" w:rsidRDefault="00595EBC" w:rsidP="00346A11">
            <w:pPr>
              <w:spacing w:before="20" w:after="20"/>
              <w:rPr>
                <w:noProof/>
              </w:rPr>
            </w:pPr>
            <w:r w:rsidRPr="005B03CE">
              <w:rPr>
                <w:rFonts w:ascii="Wingdings" w:eastAsia="Wingdings" w:hAnsi="Wingdings" w:cs="Wingdings"/>
                <w:noProof/>
                <w:sz w:val="21"/>
              </w:rPr>
              <w:t>□</w:t>
            </w:r>
            <w:r w:rsidR="00346A11" w:rsidRPr="005B03CE">
              <w:rPr>
                <w:noProof/>
                <w:sz w:val="22"/>
              </w:rPr>
              <w:t xml:space="preserve"> Human resources </w:t>
            </w:r>
          </w:p>
        </w:tc>
        <w:tc>
          <w:tcPr>
            <w:tcW w:w="868" w:type="dxa"/>
            <w:vAlign w:val="center"/>
          </w:tcPr>
          <w:p w:rsidR="00346A11" w:rsidRPr="005B03CE" w:rsidRDefault="00346A11" w:rsidP="00136427">
            <w:pPr>
              <w:spacing w:before="20" w:after="20"/>
              <w:jc w:val="right"/>
              <w:rPr>
                <w:noProof/>
                <w:sz w:val="20"/>
              </w:rPr>
            </w:pPr>
            <w:r w:rsidRPr="005B03CE">
              <w:rPr>
                <w:noProof/>
                <w:color w:val="000000"/>
                <w:sz w:val="20"/>
                <w:szCs w:val="20"/>
              </w:rPr>
              <w:t> 1</w:t>
            </w:r>
            <w:r w:rsidR="00F741D4" w:rsidRPr="005B03CE">
              <w:rPr>
                <w:noProof/>
                <w:color w:val="000000"/>
                <w:sz w:val="20"/>
                <w:szCs w:val="20"/>
              </w:rPr>
              <w:t>.</w:t>
            </w:r>
            <w:r w:rsidR="00136427" w:rsidRPr="005B03CE">
              <w:rPr>
                <w:noProof/>
                <w:color w:val="000000"/>
                <w:sz w:val="20"/>
                <w:szCs w:val="20"/>
              </w:rPr>
              <w:t>184</w:t>
            </w:r>
          </w:p>
        </w:tc>
        <w:tc>
          <w:tcPr>
            <w:tcW w:w="868" w:type="dxa"/>
            <w:vAlign w:val="center"/>
          </w:tcPr>
          <w:p w:rsidR="00346A11" w:rsidRPr="005B03CE" w:rsidRDefault="00346A11" w:rsidP="00136427">
            <w:pPr>
              <w:spacing w:before="20" w:after="20"/>
              <w:jc w:val="right"/>
              <w:rPr>
                <w:noProof/>
                <w:sz w:val="20"/>
              </w:rPr>
            </w:pPr>
            <w:r w:rsidRPr="005B03CE">
              <w:rPr>
                <w:noProof/>
                <w:color w:val="000000"/>
                <w:sz w:val="20"/>
                <w:szCs w:val="20"/>
              </w:rPr>
              <w:t>2</w:t>
            </w:r>
            <w:r w:rsidR="00F741D4" w:rsidRPr="005B03CE">
              <w:rPr>
                <w:noProof/>
                <w:color w:val="000000"/>
                <w:sz w:val="20"/>
                <w:szCs w:val="20"/>
              </w:rPr>
              <w:t>.</w:t>
            </w:r>
            <w:r w:rsidR="00136427" w:rsidRPr="005B03CE">
              <w:rPr>
                <w:noProof/>
                <w:color w:val="000000"/>
                <w:sz w:val="20"/>
                <w:szCs w:val="20"/>
              </w:rPr>
              <w:t>126</w:t>
            </w:r>
          </w:p>
        </w:tc>
        <w:tc>
          <w:tcPr>
            <w:tcW w:w="868" w:type="dxa"/>
            <w:vAlign w:val="center"/>
          </w:tcPr>
          <w:p w:rsidR="00346A11" w:rsidRPr="005B03CE" w:rsidRDefault="00346A11" w:rsidP="00136427">
            <w:pPr>
              <w:spacing w:before="20" w:after="20"/>
              <w:jc w:val="right"/>
              <w:rPr>
                <w:noProof/>
                <w:sz w:val="20"/>
              </w:rPr>
            </w:pPr>
            <w:r w:rsidRPr="005B03CE">
              <w:rPr>
                <w:noProof/>
                <w:color w:val="000000"/>
                <w:sz w:val="20"/>
                <w:szCs w:val="20"/>
              </w:rPr>
              <w:t> 2</w:t>
            </w:r>
            <w:r w:rsidR="00F741D4" w:rsidRPr="005B03CE">
              <w:rPr>
                <w:noProof/>
                <w:color w:val="000000"/>
                <w:sz w:val="20"/>
                <w:szCs w:val="20"/>
              </w:rPr>
              <w:t>.</w:t>
            </w:r>
            <w:r w:rsidR="00136427" w:rsidRPr="005B03CE">
              <w:rPr>
                <w:noProof/>
                <w:color w:val="000000"/>
                <w:sz w:val="20"/>
                <w:szCs w:val="20"/>
              </w:rPr>
              <w:t>754</w:t>
            </w:r>
          </w:p>
        </w:tc>
        <w:tc>
          <w:tcPr>
            <w:tcW w:w="868" w:type="dxa"/>
            <w:vAlign w:val="center"/>
          </w:tcPr>
          <w:p w:rsidR="00346A11" w:rsidRPr="005B03CE" w:rsidRDefault="00346A11" w:rsidP="00136427">
            <w:pPr>
              <w:spacing w:before="20" w:after="20"/>
              <w:jc w:val="right"/>
              <w:rPr>
                <w:noProof/>
                <w:sz w:val="20"/>
              </w:rPr>
            </w:pPr>
            <w:r w:rsidRPr="005B03CE">
              <w:rPr>
                <w:noProof/>
                <w:color w:val="000000"/>
                <w:sz w:val="20"/>
                <w:szCs w:val="20"/>
              </w:rPr>
              <w:t>3</w:t>
            </w:r>
            <w:r w:rsidR="00F741D4" w:rsidRPr="005B03CE">
              <w:rPr>
                <w:noProof/>
                <w:color w:val="000000"/>
                <w:sz w:val="20"/>
                <w:szCs w:val="20"/>
              </w:rPr>
              <w:t>.</w:t>
            </w:r>
            <w:r w:rsidR="00136427" w:rsidRPr="005B03CE">
              <w:rPr>
                <w:noProof/>
                <w:color w:val="000000"/>
                <w:sz w:val="20"/>
                <w:szCs w:val="20"/>
              </w:rPr>
              <w:t>225</w:t>
            </w:r>
          </w:p>
        </w:tc>
        <w:tc>
          <w:tcPr>
            <w:tcW w:w="868" w:type="dxa"/>
            <w:vAlign w:val="center"/>
          </w:tcPr>
          <w:p w:rsidR="00346A11" w:rsidRPr="005B03CE" w:rsidRDefault="00346A11" w:rsidP="00136427">
            <w:pPr>
              <w:spacing w:before="20" w:after="20"/>
              <w:jc w:val="right"/>
              <w:rPr>
                <w:noProof/>
                <w:sz w:val="20"/>
              </w:rPr>
            </w:pPr>
            <w:r w:rsidRPr="005B03CE">
              <w:rPr>
                <w:noProof/>
                <w:color w:val="000000"/>
                <w:sz w:val="20"/>
                <w:szCs w:val="20"/>
              </w:rPr>
              <w:t> 3</w:t>
            </w:r>
            <w:r w:rsidR="00F741D4" w:rsidRPr="005B03CE">
              <w:rPr>
                <w:noProof/>
                <w:color w:val="000000"/>
                <w:sz w:val="20"/>
                <w:szCs w:val="20"/>
              </w:rPr>
              <w:t>.</w:t>
            </w:r>
            <w:r w:rsidR="00136427" w:rsidRPr="005B03CE">
              <w:rPr>
                <w:noProof/>
                <w:color w:val="000000"/>
                <w:sz w:val="20"/>
                <w:szCs w:val="20"/>
              </w:rPr>
              <w:t>225</w:t>
            </w:r>
          </w:p>
        </w:tc>
        <w:tc>
          <w:tcPr>
            <w:tcW w:w="3513" w:type="dxa"/>
            <w:gridSpan w:val="2"/>
            <w:vAlign w:val="center"/>
          </w:tcPr>
          <w:p w:rsidR="00346A11" w:rsidRPr="005B03CE" w:rsidRDefault="00346A11" w:rsidP="00136427">
            <w:pPr>
              <w:spacing w:before="20" w:after="20"/>
              <w:jc w:val="right"/>
              <w:rPr>
                <w:b/>
                <w:noProof/>
                <w:sz w:val="20"/>
              </w:rPr>
            </w:pPr>
            <w:r w:rsidRPr="005B03CE">
              <w:rPr>
                <w:noProof/>
                <w:color w:val="000000"/>
                <w:sz w:val="20"/>
                <w:szCs w:val="20"/>
              </w:rPr>
              <w:t> 12</w:t>
            </w:r>
            <w:r w:rsidR="00F741D4" w:rsidRPr="005B03CE">
              <w:rPr>
                <w:noProof/>
                <w:color w:val="000000"/>
                <w:sz w:val="20"/>
                <w:szCs w:val="20"/>
              </w:rPr>
              <w:t>.</w:t>
            </w:r>
            <w:r w:rsidR="00136427" w:rsidRPr="005B03CE">
              <w:rPr>
                <w:noProof/>
                <w:color w:val="000000"/>
                <w:sz w:val="20"/>
                <w:szCs w:val="20"/>
              </w:rPr>
              <w:t>514</w:t>
            </w:r>
          </w:p>
        </w:tc>
      </w:tr>
      <w:tr w:rsidR="00346A11" w:rsidRPr="005B03CE" w:rsidTr="00346A11">
        <w:trPr>
          <w:trHeight w:val="351"/>
        </w:trPr>
        <w:tc>
          <w:tcPr>
            <w:tcW w:w="6054" w:type="dxa"/>
            <w:gridSpan w:val="3"/>
            <w:vAlign w:val="center"/>
          </w:tcPr>
          <w:p w:rsidR="00346A11" w:rsidRPr="005B03CE" w:rsidRDefault="00595EBC" w:rsidP="00346A11">
            <w:pPr>
              <w:spacing w:before="20" w:after="20"/>
              <w:rPr>
                <w:noProof/>
              </w:rPr>
            </w:pPr>
            <w:r w:rsidRPr="005B03CE">
              <w:rPr>
                <w:rFonts w:ascii="Wingdings" w:eastAsia="Wingdings" w:hAnsi="Wingdings" w:cs="Wingdings"/>
                <w:noProof/>
                <w:sz w:val="21"/>
              </w:rPr>
              <w:t>□</w:t>
            </w:r>
            <w:r w:rsidR="00346A11" w:rsidRPr="005B03CE">
              <w:rPr>
                <w:noProof/>
                <w:sz w:val="22"/>
              </w:rPr>
              <w:t xml:space="preserve"> Other administrative expenditure </w:t>
            </w:r>
          </w:p>
        </w:tc>
        <w:tc>
          <w:tcPr>
            <w:tcW w:w="868" w:type="dxa"/>
            <w:vAlign w:val="center"/>
          </w:tcPr>
          <w:p w:rsidR="00346A11" w:rsidRPr="005B03CE" w:rsidRDefault="001E1E68" w:rsidP="00F741D4">
            <w:pPr>
              <w:spacing w:before="20" w:after="20"/>
              <w:jc w:val="right"/>
              <w:rPr>
                <w:b/>
                <w:noProof/>
                <w:sz w:val="20"/>
              </w:rPr>
            </w:pPr>
            <w:r w:rsidRPr="005B03CE">
              <w:rPr>
                <w:noProof/>
                <w:color w:val="000000"/>
                <w:sz w:val="20"/>
                <w:szCs w:val="20"/>
              </w:rPr>
              <w:t>7</w:t>
            </w:r>
            <w:r w:rsidR="00F741D4" w:rsidRPr="005B03CE">
              <w:rPr>
                <w:noProof/>
                <w:color w:val="000000"/>
                <w:sz w:val="20"/>
                <w:szCs w:val="20"/>
              </w:rPr>
              <w:t>.</w:t>
            </w:r>
            <w:r w:rsidRPr="005B03CE">
              <w:rPr>
                <w:noProof/>
                <w:color w:val="000000"/>
                <w:sz w:val="20"/>
                <w:szCs w:val="20"/>
              </w:rPr>
              <w:t>938</w:t>
            </w:r>
          </w:p>
        </w:tc>
        <w:tc>
          <w:tcPr>
            <w:tcW w:w="868" w:type="dxa"/>
            <w:vAlign w:val="center"/>
          </w:tcPr>
          <w:p w:rsidR="00346A11" w:rsidRPr="005B03CE" w:rsidRDefault="001E1E68" w:rsidP="00F741D4">
            <w:pPr>
              <w:spacing w:before="20" w:after="20"/>
              <w:jc w:val="right"/>
              <w:rPr>
                <w:b/>
                <w:noProof/>
                <w:sz w:val="20"/>
              </w:rPr>
            </w:pPr>
            <w:r w:rsidRPr="005B03CE">
              <w:rPr>
                <w:noProof/>
                <w:color w:val="000000"/>
                <w:sz w:val="20"/>
                <w:szCs w:val="20"/>
              </w:rPr>
              <w:t>8</w:t>
            </w:r>
            <w:r w:rsidR="00F741D4" w:rsidRPr="005B03CE">
              <w:rPr>
                <w:noProof/>
                <w:color w:val="000000"/>
                <w:sz w:val="20"/>
                <w:szCs w:val="20"/>
              </w:rPr>
              <w:t>.</w:t>
            </w:r>
            <w:r w:rsidRPr="005B03CE">
              <w:rPr>
                <w:noProof/>
                <w:color w:val="000000"/>
                <w:sz w:val="20"/>
                <w:szCs w:val="20"/>
              </w:rPr>
              <w:t>921</w:t>
            </w:r>
          </w:p>
        </w:tc>
        <w:tc>
          <w:tcPr>
            <w:tcW w:w="868" w:type="dxa"/>
            <w:vAlign w:val="center"/>
          </w:tcPr>
          <w:p w:rsidR="00346A11" w:rsidRPr="005B03CE" w:rsidRDefault="001E1E68" w:rsidP="00F741D4">
            <w:pPr>
              <w:spacing w:before="20" w:after="20"/>
              <w:jc w:val="right"/>
              <w:rPr>
                <w:b/>
                <w:noProof/>
                <w:sz w:val="20"/>
              </w:rPr>
            </w:pPr>
            <w:r w:rsidRPr="005B03CE">
              <w:rPr>
                <w:noProof/>
                <w:color w:val="000000"/>
                <w:sz w:val="20"/>
                <w:szCs w:val="20"/>
              </w:rPr>
              <w:t>8</w:t>
            </w:r>
            <w:r w:rsidR="00F741D4" w:rsidRPr="005B03CE">
              <w:rPr>
                <w:noProof/>
                <w:color w:val="000000"/>
                <w:sz w:val="20"/>
                <w:szCs w:val="20"/>
              </w:rPr>
              <w:t>.</w:t>
            </w:r>
            <w:r w:rsidRPr="005B03CE">
              <w:rPr>
                <w:noProof/>
                <w:color w:val="000000"/>
                <w:sz w:val="20"/>
                <w:szCs w:val="20"/>
              </w:rPr>
              <w:t>921</w:t>
            </w:r>
          </w:p>
        </w:tc>
        <w:tc>
          <w:tcPr>
            <w:tcW w:w="868" w:type="dxa"/>
            <w:vAlign w:val="center"/>
          </w:tcPr>
          <w:p w:rsidR="00346A11" w:rsidRPr="005B03CE" w:rsidRDefault="001E1E68" w:rsidP="00F741D4">
            <w:pPr>
              <w:spacing w:before="20" w:after="20"/>
              <w:jc w:val="right"/>
              <w:rPr>
                <w:b/>
                <w:noProof/>
                <w:sz w:val="20"/>
              </w:rPr>
            </w:pPr>
            <w:r w:rsidRPr="005B03CE">
              <w:rPr>
                <w:noProof/>
                <w:color w:val="000000"/>
                <w:sz w:val="20"/>
                <w:szCs w:val="20"/>
              </w:rPr>
              <w:t>8</w:t>
            </w:r>
            <w:r w:rsidR="00F741D4" w:rsidRPr="005B03CE">
              <w:rPr>
                <w:noProof/>
                <w:color w:val="000000"/>
                <w:sz w:val="20"/>
                <w:szCs w:val="20"/>
              </w:rPr>
              <w:t>.</w:t>
            </w:r>
            <w:r w:rsidRPr="005B03CE">
              <w:rPr>
                <w:noProof/>
                <w:color w:val="000000"/>
                <w:sz w:val="20"/>
                <w:szCs w:val="20"/>
              </w:rPr>
              <w:t>921</w:t>
            </w:r>
          </w:p>
        </w:tc>
        <w:tc>
          <w:tcPr>
            <w:tcW w:w="868" w:type="dxa"/>
            <w:vAlign w:val="center"/>
          </w:tcPr>
          <w:p w:rsidR="00346A11" w:rsidRPr="005B03CE" w:rsidRDefault="001E1E68" w:rsidP="00F741D4">
            <w:pPr>
              <w:spacing w:before="20" w:after="20"/>
              <w:jc w:val="right"/>
              <w:rPr>
                <w:b/>
                <w:noProof/>
                <w:sz w:val="20"/>
              </w:rPr>
            </w:pPr>
            <w:r w:rsidRPr="005B03CE">
              <w:rPr>
                <w:noProof/>
                <w:color w:val="000000"/>
                <w:sz w:val="20"/>
                <w:szCs w:val="20"/>
              </w:rPr>
              <w:t>8</w:t>
            </w:r>
            <w:r w:rsidR="00F741D4" w:rsidRPr="005B03CE">
              <w:rPr>
                <w:noProof/>
                <w:color w:val="000000"/>
                <w:sz w:val="20"/>
                <w:szCs w:val="20"/>
              </w:rPr>
              <w:t>.</w:t>
            </w:r>
            <w:r w:rsidRPr="005B03CE">
              <w:rPr>
                <w:noProof/>
                <w:color w:val="000000"/>
                <w:sz w:val="20"/>
                <w:szCs w:val="20"/>
              </w:rPr>
              <w:t>921</w:t>
            </w:r>
          </w:p>
        </w:tc>
        <w:tc>
          <w:tcPr>
            <w:tcW w:w="3513" w:type="dxa"/>
            <w:gridSpan w:val="2"/>
            <w:vAlign w:val="center"/>
          </w:tcPr>
          <w:p w:rsidR="00346A11" w:rsidRPr="005B03CE" w:rsidRDefault="001E1E68" w:rsidP="00F741D4">
            <w:pPr>
              <w:spacing w:before="20" w:after="20"/>
              <w:jc w:val="right"/>
              <w:rPr>
                <w:noProof/>
                <w:sz w:val="20"/>
              </w:rPr>
            </w:pPr>
            <w:r w:rsidRPr="005B03CE">
              <w:rPr>
                <w:noProof/>
                <w:color w:val="000000"/>
                <w:sz w:val="20"/>
                <w:szCs w:val="20"/>
              </w:rPr>
              <w:t>43</w:t>
            </w:r>
            <w:r w:rsidR="00F741D4" w:rsidRPr="005B03CE">
              <w:rPr>
                <w:noProof/>
                <w:color w:val="000000"/>
                <w:sz w:val="20"/>
                <w:szCs w:val="20"/>
              </w:rPr>
              <w:t>.</w:t>
            </w:r>
            <w:r w:rsidRPr="005B03CE">
              <w:rPr>
                <w:noProof/>
                <w:color w:val="000000"/>
                <w:sz w:val="20"/>
                <w:szCs w:val="20"/>
              </w:rPr>
              <w:t>622</w:t>
            </w:r>
          </w:p>
        </w:tc>
      </w:tr>
      <w:tr w:rsidR="00DD0A9C" w:rsidRPr="005B03CE" w:rsidTr="00346A11">
        <w:tc>
          <w:tcPr>
            <w:tcW w:w="3960" w:type="dxa"/>
            <w:vAlign w:val="center"/>
          </w:tcPr>
          <w:p w:rsidR="00DD0A9C" w:rsidRPr="00BB701D" w:rsidRDefault="00DD0A9C" w:rsidP="00F158BD">
            <w:pPr>
              <w:jc w:val="center"/>
              <w:rPr>
                <w:b/>
                <w:noProof/>
                <w:lang w:val="fr-BE"/>
              </w:rPr>
            </w:pPr>
            <w:r w:rsidRPr="00BB701D">
              <w:rPr>
                <w:b/>
                <w:noProof/>
                <w:sz w:val="22"/>
                <w:lang w:val="fr-BE"/>
              </w:rPr>
              <w:t>TOTAL DG DIGIT (CERT-EU)</w:t>
            </w:r>
          </w:p>
        </w:tc>
        <w:tc>
          <w:tcPr>
            <w:tcW w:w="2094" w:type="dxa"/>
            <w:gridSpan w:val="2"/>
            <w:vAlign w:val="center"/>
          </w:tcPr>
          <w:p w:rsidR="00DD0A9C" w:rsidRPr="005B03CE" w:rsidRDefault="00DD0A9C" w:rsidP="00F158BD">
            <w:pPr>
              <w:rPr>
                <w:noProof/>
                <w:sz w:val="14"/>
              </w:rPr>
            </w:pPr>
            <w:r w:rsidRPr="005B03CE">
              <w:rPr>
                <w:noProof/>
                <w:sz w:val="18"/>
              </w:rPr>
              <w:t xml:space="preserve">Appropriations </w:t>
            </w:r>
          </w:p>
        </w:tc>
        <w:tc>
          <w:tcPr>
            <w:tcW w:w="868" w:type="dxa"/>
            <w:vAlign w:val="center"/>
          </w:tcPr>
          <w:p w:rsidR="00DD0A9C" w:rsidRPr="005B03CE" w:rsidRDefault="001E1E68" w:rsidP="00136427">
            <w:pPr>
              <w:spacing w:before="60" w:after="60"/>
              <w:jc w:val="right"/>
              <w:rPr>
                <w:noProof/>
                <w:sz w:val="20"/>
              </w:rPr>
            </w:pPr>
            <w:r w:rsidRPr="005B03CE">
              <w:rPr>
                <w:noProof/>
                <w:color w:val="000000"/>
                <w:sz w:val="20"/>
                <w:szCs w:val="20"/>
              </w:rPr>
              <w:t>9</w:t>
            </w:r>
            <w:r w:rsidR="00F741D4" w:rsidRPr="005B03CE">
              <w:rPr>
                <w:noProof/>
                <w:color w:val="000000"/>
                <w:sz w:val="20"/>
                <w:szCs w:val="20"/>
              </w:rPr>
              <w:t>.</w:t>
            </w:r>
            <w:r w:rsidR="00136427" w:rsidRPr="005B03CE">
              <w:rPr>
                <w:noProof/>
                <w:color w:val="000000"/>
                <w:sz w:val="20"/>
                <w:szCs w:val="20"/>
              </w:rPr>
              <w:t>122</w:t>
            </w:r>
          </w:p>
        </w:tc>
        <w:tc>
          <w:tcPr>
            <w:tcW w:w="868" w:type="dxa"/>
            <w:vAlign w:val="center"/>
          </w:tcPr>
          <w:p w:rsidR="00DD0A9C" w:rsidRPr="005B03CE" w:rsidRDefault="00136427" w:rsidP="00136427">
            <w:pPr>
              <w:spacing w:before="20" w:after="20"/>
              <w:jc w:val="right"/>
              <w:rPr>
                <w:noProof/>
                <w:sz w:val="20"/>
              </w:rPr>
            </w:pPr>
            <w:r w:rsidRPr="005B03CE">
              <w:rPr>
                <w:noProof/>
                <w:color w:val="000000"/>
                <w:sz w:val="20"/>
                <w:szCs w:val="20"/>
              </w:rPr>
              <w:t>11</w:t>
            </w:r>
            <w:r w:rsidR="00F741D4" w:rsidRPr="005B03CE">
              <w:rPr>
                <w:noProof/>
                <w:color w:val="000000"/>
                <w:sz w:val="20"/>
                <w:szCs w:val="20"/>
              </w:rPr>
              <w:t>.</w:t>
            </w:r>
            <w:r w:rsidRPr="005B03CE">
              <w:rPr>
                <w:noProof/>
                <w:color w:val="000000"/>
                <w:sz w:val="20"/>
                <w:szCs w:val="20"/>
              </w:rPr>
              <w:t>047</w:t>
            </w:r>
          </w:p>
        </w:tc>
        <w:tc>
          <w:tcPr>
            <w:tcW w:w="868" w:type="dxa"/>
            <w:vAlign w:val="center"/>
          </w:tcPr>
          <w:p w:rsidR="00DD0A9C" w:rsidRPr="005B03CE" w:rsidRDefault="001E1E68" w:rsidP="00136427">
            <w:pPr>
              <w:spacing w:before="20" w:after="20"/>
              <w:jc w:val="right"/>
              <w:rPr>
                <w:noProof/>
                <w:sz w:val="20"/>
              </w:rPr>
            </w:pPr>
            <w:r w:rsidRPr="005B03CE">
              <w:rPr>
                <w:noProof/>
                <w:color w:val="000000"/>
                <w:sz w:val="20"/>
                <w:szCs w:val="20"/>
              </w:rPr>
              <w:t>11</w:t>
            </w:r>
            <w:r w:rsidR="00F741D4" w:rsidRPr="005B03CE">
              <w:rPr>
                <w:noProof/>
                <w:color w:val="000000"/>
                <w:sz w:val="20"/>
                <w:szCs w:val="20"/>
              </w:rPr>
              <w:t>.</w:t>
            </w:r>
            <w:r w:rsidR="00136427" w:rsidRPr="005B03CE">
              <w:rPr>
                <w:noProof/>
                <w:color w:val="000000"/>
                <w:sz w:val="20"/>
                <w:szCs w:val="20"/>
              </w:rPr>
              <w:t>675</w:t>
            </w:r>
          </w:p>
        </w:tc>
        <w:tc>
          <w:tcPr>
            <w:tcW w:w="868" w:type="dxa"/>
            <w:vAlign w:val="center"/>
          </w:tcPr>
          <w:p w:rsidR="00DD0A9C" w:rsidRPr="005B03CE" w:rsidRDefault="001E1E68" w:rsidP="00136427">
            <w:pPr>
              <w:spacing w:before="20" w:after="20"/>
              <w:jc w:val="right"/>
              <w:rPr>
                <w:noProof/>
                <w:sz w:val="20"/>
              </w:rPr>
            </w:pPr>
            <w:r w:rsidRPr="005B03CE">
              <w:rPr>
                <w:noProof/>
                <w:color w:val="000000"/>
                <w:sz w:val="20"/>
                <w:szCs w:val="20"/>
              </w:rPr>
              <w:t>12</w:t>
            </w:r>
            <w:r w:rsidR="00F741D4" w:rsidRPr="005B03CE">
              <w:rPr>
                <w:noProof/>
                <w:color w:val="000000"/>
                <w:sz w:val="20"/>
                <w:szCs w:val="20"/>
              </w:rPr>
              <w:t>.</w:t>
            </w:r>
            <w:r w:rsidR="00136427" w:rsidRPr="005B03CE">
              <w:rPr>
                <w:noProof/>
                <w:color w:val="000000"/>
                <w:sz w:val="20"/>
                <w:szCs w:val="20"/>
              </w:rPr>
              <w:t>146</w:t>
            </w:r>
          </w:p>
        </w:tc>
        <w:tc>
          <w:tcPr>
            <w:tcW w:w="868" w:type="dxa"/>
            <w:vAlign w:val="center"/>
          </w:tcPr>
          <w:p w:rsidR="00DD0A9C" w:rsidRPr="005B03CE" w:rsidRDefault="001E1E68" w:rsidP="00136427">
            <w:pPr>
              <w:spacing w:before="20" w:after="20"/>
              <w:jc w:val="right"/>
              <w:rPr>
                <w:noProof/>
                <w:sz w:val="20"/>
              </w:rPr>
            </w:pPr>
            <w:r w:rsidRPr="005B03CE">
              <w:rPr>
                <w:noProof/>
                <w:color w:val="000000"/>
                <w:sz w:val="20"/>
                <w:szCs w:val="20"/>
              </w:rPr>
              <w:t>12</w:t>
            </w:r>
            <w:r w:rsidR="00F741D4" w:rsidRPr="005B03CE">
              <w:rPr>
                <w:noProof/>
                <w:color w:val="000000"/>
                <w:sz w:val="20"/>
                <w:szCs w:val="20"/>
              </w:rPr>
              <w:t>.</w:t>
            </w:r>
            <w:r w:rsidR="00136427" w:rsidRPr="005B03CE">
              <w:rPr>
                <w:noProof/>
                <w:color w:val="000000"/>
                <w:sz w:val="20"/>
                <w:szCs w:val="20"/>
              </w:rPr>
              <w:t>146</w:t>
            </w:r>
          </w:p>
        </w:tc>
        <w:tc>
          <w:tcPr>
            <w:tcW w:w="3513" w:type="dxa"/>
            <w:gridSpan w:val="2"/>
            <w:vAlign w:val="center"/>
          </w:tcPr>
          <w:p w:rsidR="00DD0A9C" w:rsidRPr="005B03CE" w:rsidRDefault="00136427" w:rsidP="00136427">
            <w:pPr>
              <w:spacing w:before="20" w:after="20"/>
              <w:jc w:val="right"/>
              <w:rPr>
                <w:b/>
                <w:noProof/>
                <w:sz w:val="20"/>
              </w:rPr>
            </w:pPr>
            <w:r w:rsidRPr="005B03CE">
              <w:rPr>
                <w:noProof/>
                <w:color w:val="000000"/>
                <w:sz w:val="20"/>
                <w:szCs w:val="20"/>
              </w:rPr>
              <w:t>56</w:t>
            </w:r>
            <w:r w:rsidR="00F741D4" w:rsidRPr="005B03CE">
              <w:rPr>
                <w:noProof/>
                <w:color w:val="000000"/>
                <w:sz w:val="20"/>
                <w:szCs w:val="20"/>
              </w:rPr>
              <w:t>.</w:t>
            </w:r>
            <w:r w:rsidRPr="005B03CE">
              <w:rPr>
                <w:noProof/>
                <w:color w:val="000000"/>
                <w:sz w:val="20"/>
                <w:szCs w:val="20"/>
              </w:rPr>
              <w:t>136</w:t>
            </w:r>
          </w:p>
        </w:tc>
      </w:tr>
    </w:tbl>
    <w:p w:rsidR="00DD0A9C" w:rsidRPr="005B03CE" w:rsidRDefault="00DD0A9C" w:rsidP="00DD0A9C">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040"/>
        <w:gridCol w:w="3341"/>
      </w:tblGrid>
      <w:tr w:rsidR="00D71646" w:rsidRPr="005B03CE" w:rsidTr="00D71646">
        <w:tc>
          <w:tcPr>
            <w:tcW w:w="3960" w:type="dxa"/>
            <w:shd w:val="thinDiagStripe" w:color="C0C0C0" w:fill="auto"/>
            <w:vAlign w:val="center"/>
          </w:tcPr>
          <w:p w:rsidR="00D71646" w:rsidRPr="005B03CE" w:rsidRDefault="00D71646" w:rsidP="00F158BD">
            <w:pPr>
              <w:jc w:val="center"/>
              <w:rPr>
                <w:b/>
                <w:noProof/>
              </w:rPr>
            </w:pPr>
            <w:r w:rsidRPr="005B03CE">
              <w:rPr>
                <w:b/>
                <w:noProof/>
                <w:sz w:val="22"/>
              </w:rPr>
              <w:t>TOTAL appropriations</w:t>
            </w:r>
            <w:r w:rsidRPr="005B03CE">
              <w:rPr>
                <w:noProof/>
                <w:sz w:val="22"/>
              </w:rPr>
              <w:br/>
            </w:r>
            <w:r w:rsidRPr="005B03CE">
              <w:rPr>
                <w:b/>
                <w:noProof/>
                <w:sz w:val="22"/>
              </w:rPr>
              <w:t>under HEADING 7</w:t>
            </w:r>
            <w:r w:rsidRPr="005B03CE">
              <w:rPr>
                <w:noProof/>
                <w:sz w:val="22"/>
              </w:rPr>
              <w:br/>
              <w:t>of the multiannual financial framework</w:t>
            </w:r>
            <w:r w:rsidRPr="005B03CE">
              <w:rPr>
                <w:b/>
                <w:noProof/>
                <w:sz w:val="22"/>
              </w:rPr>
              <w:t xml:space="preserve"> </w:t>
            </w:r>
          </w:p>
        </w:tc>
        <w:tc>
          <w:tcPr>
            <w:tcW w:w="2094" w:type="dxa"/>
            <w:vAlign w:val="center"/>
          </w:tcPr>
          <w:p w:rsidR="00D71646" w:rsidRPr="005B03CE" w:rsidRDefault="00D71646" w:rsidP="00F158BD">
            <w:pPr>
              <w:spacing w:before="40" w:after="40"/>
              <w:rPr>
                <w:noProof/>
              </w:rPr>
            </w:pPr>
            <w:r w:rsidRPr="005B03CE">
              <w:rPr>
                <w:noProof/>
                <w:sz w:val="18"/>
              </w:rPr>
              <w:t>(Total commitments = Total payments)</w:t>
            </w:r>
          </w:p>
        </w:tc>
        <w:tc>
          <w:tcPr>
            <w:tcW w:w="868" w:type="dxa"/>
            <w:vAlign w:val="center"/>
          </w:tcPr>
          <w:p w:rsidR="00D71646" w:rsidRPr="005B03CE" w:rsidRDefault="00D71646" w:rsidP="00136427">
            <w:pPr>
              <w:spacing w:before="20" w:after="20"/>
              <w:jc w:val="right"/>
              <w:rPr>
                <w:noProof/>
                <w:sz w:val="20"/>
              </w:rPr>
            </w:pPr>
            <w:r w:rsidRPr="005B03CE">
              <w:rPr>
                <w:noProof/>
                <w:sz w:val="20"/>
              </w:rPr>
              <w:t>9</w:t>
            </w:r>
            <w:r w:rsidR="00F741D4" w:rsidRPr="005B03CE">
              <w:rPr>
                <w:noProof/>
                <w:sz w:val="20"/>
              </w:rPr>
              <w:t>.</w:t>
            </w:r>
            <w:r w:rsidR="00136427" w:rsidRPr="005B03CE">
              <w:rPr>
                <w:noProof/>
                <w:sz w:val="20"/>
              </w:rPr>
              <w:t>122</w:t>
            </w:r>
          </w:p>
        </w:tc>
        <w:tc>
          <w:tcPr>
            <w:tcW w:w="868" w:type="dxa"/>
            <w:vAlign w:val="center"/>
          </w:tcPr>
          <w:p w:rsidR="00D71646" w:rsidRPr="005B03CE" w:rsidRDefault="00136427" w:rsidP="00136427">
            <w:pPr>
              <w:spacing w:before="20" w:after="20"/>
              <w:jc w:val="right"/>
              <w:rPr>
                <w:noProof/>
                <w:sz w:val="20"/>
              </w:rPr>
            </w:pPr>
            <w:r w:rsidRPr="005B03CE">
              <w:rPr>
                <w:noProof/>
                <w:sz w:val="20"/>
              </w:rPr>
              <w:t>11</w:t>
            </w:r>
            <w:r w:rsidR="00F741D4" w:rsidRPr="005B03CE">
              <w:rPr>
                <w:noProof/>
                <w:sz w:val="20"/>
              </w:rPr>
              <w:t>.</w:t>
            </w:r>
            <w:r w:rsidRPr="005B03CE">
              <w:rPr>
                <w:noProof/>
                <w:sz w:val="20"/>
              </w:rPr>
              <w:t>047</w:t>
            </w:r>
          </w:p>
        </w:tc>
        <w:tc>
          <w:tcPr>
            <w:tcW w:w="868" w:type="dxa"/>
            <w:vAlign w:val="center"/>
          </w:tcPr>
          <w:p w:rsidR="00D71646" w:rsidRPr="005B03CE" w:rsidRDefault="00D71646" w:rsidP="00136427">
            <w:pPr>
              <w:spacing w:before="20" w:after="20"/>
              <w:jc w:val="right"/>
              <w:rPr>
                <w:noProof/>
                <w:sz w:val="20"/>
              </w:rPr>
            </w:pPr>
            <w:r w:rsidRPr="005B03CE">
              <w:rPr>
                <w:noProof/>
                <w:sz w:val="20"/>
              </w:rPr>
              <w:t>11</w:t>
            </w:r>
            <w:r w:rsidR="00F741D4" w:rsidRPr="005B03CE">
              <w:rPr>
                <w:noProof/>
                <w:sz w:val="20"/>
              </w:rPr>
              <w:t>.</w:t>
            </w:r>
            <w:r w:rsidR="00136427" w:rsidRPr="005B03CE">
              <w:rPr>
                <w:noProof/>
                <w:sz w:val="20"/>
              </w:rPr>
              <w:t>675</w:t>
            </w:r>
          </w:p>
        </w:tc>
        <w:tc>
          <w:tcPr>
            <w:tcW w:w="868" w:type="dxa"/>
            <w:vAlign w:val="center"/>
          </w:tcPr>
          <w:p w:rsidR="00D71646" w:rsidRPr="005B03CE" w:rsidRDefault="00D71646" w:rsidP="00136427">
            <w:pPr>
              <w:spacing w:before="20" w:after="20"/>
              <w:jc w:val="right"/>
              <w:rPr>
                <w:noProof/>
                <w:sz w:val="20"/>
              </w:rPr>
            </w:pPr>
            <w:r w:rsidRPr="005B03CE">
              <w:rPr>
                <w:noProof/>
                <w:sz w:val="20"/>
              </w:rPr>
              <w:t>12</w:t>
            </w:r>
            <w:r w:rsidR="00F741D4" w:rsidRPr="005B03CE">
              <w:rPr>
                <w:noProof/>
                <w:sz w:val="20"/>
              </w:rPr>
              <w:t>.</w:t>
            </w:r>
            <w:r w:rsidR="00136427" w:rsidRPr="005B03CE">
              <w:rPr>
                <w:noProof/>
                <w:sz w:val="20"/>
              </w:rPr>
              <w:t>146</w:t>
            </w:r>
          </w:p>
        </w:tc>
        <w:tc>
          <w:tcPr>
            <w:tcW w:w="1040" w:type="dxa"/>
            <w:vAlign w:val="center"/>
          </w:tcPr>
          <w:p w:rsidR="00D71646" w:rsidRPr="005B03CE" w:rsidRDefault="00D71646" w:rsidP="00136427">
            <w:pPr>
              <w:spacing w:before="20" w:after="20"/>
              <w:jc w:val="right"/>
              <w:rPr>
                <w:b/>
                <w:noProof/>
                <w:sz w:val="20"/>
              </w:rPr>
            </w:pPr>
            <w:r w:rsidRPr="005B03CE">
              <w:rPr>
                <w:noProof/>
                <w:sz w:val="20"/>
              </w:rPr>
              <w:t>12</w:t>
            </w:r>
            <w:r w:rsidR="00F741D4" w:rsidRPr="005B03CE">
              <w:rPr>
                <w:noProof/>
                <w:sz w:val="20"/>
              </w:rPr>
              <w:t>.</w:t>
            </w:r>
            <w:r w:rsidR="00136427" w:rsidRPr="005B03CE">
              <w:rPr>
                <w:noProof/>
                <w:sz w:val="20"/>
              </w:rPr>
              <w:t>146</w:t>
            </w:r>
          </w:p>
        </w:tc>
        <w:tc>
          <w:tcPr>
            <w:tcW w:w="3341" w:type="dxa"/>
            <w:vAlign w:val="center"/>
          </w:tcPr>
          <w:p w:rsidR="00D71646" w:rsidRPr="005B03CE" w:rsidRDefault="00136427" w:rsidP="00136427">
            <w:pPr>
              <w:spacing w:before="20" w:after="20"/>
              <w:jc w:val="right"/>
              <w:rPr>
                <w:b/>
                <w:noProof/>
                <w:sz w:val="20"/>
              </w:rPr>
            </w:pPr>
            <w:r w:rsidRPr="005B03CE">
              <w:rPr>
                <w:b/>
                <w:noProof/>
                <w:sz w:val="20"/>
              </w:rPr>
              <w:t>56</w:t>
            </w:r>
            <w:r w:rsidR="00F741D4" w:rsidRPr="005B03CE">
              <w:rPr>
                <w:b/>
                <w:noProof/>
                <w:sz w:val="20"/>
              </w:rPr>
              <w:t>.</w:t>
            </w:r>
            <w:r w:rsidRPr="005B03CE">
              <w:rPr>
                <w:b/>
                <w:noProof/>
                <w:sz w:val="20"/>
              </w:rPr>
              <w:t>136</w:t>
            </w:r>
          </w:p>
        </w:tc>
      </w:tr>
    </w:tbl>
    <w:p w:rsidR="00DD0A9C" w:rsidRPr="005B03CE" w:rsidRDefault="00DD0A9C" w:rsidP="00DD0A9C">
      <w:pPr>
        <w:jc w:val="right"/>
        <w:rPr>
          <w:noProof/>
          <w:sz w:val="20"/>
        </w:rPr>
      </w:pPr>
      <w:r w:rsidRPr="005B03CE">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040"/>
        <w:gridCol w:w="3341"/>
      </w:tblGrid>
      <w:tr w:rsidR="00D71646" w:rsidRPr="005B03CE" w:rsidTr="00D71646">
        <w:tc>
          <w:tcPr>
            <w:tcW w:w="3960" w:type="dxa"/>
            <w:tcBorders>
              <w:top w:val="nil"/>
              <w:left w:val="nil"/>
              <w:right w:val="nil"/>
            </w:tcBorders>
            <w:vAlign w:val="center"/>
          </w:tcPr>
          <w:p w:rsidR="00D71646" w:rsidRPr="005B03CE" w:rsidRDefault="00D71646" w:rsidP="00D71646">
            <w:pPr>
              <w:jc w:val="center"/>
              <w:rPr>
                <w:noProof/>
              </w:rPr>
            </w:pPr>
          </w:p>
        </w:tc>
        <w:tc>
          <w:tcPr>
            <w:tcW w:w="1560" w:type="dxa"/>
            <w:tcBorders>
              <w:top w:val="nil"/>
              <w:left w:val="nil"/>
              <w:right w:val="nil"/>
            </w:tcBorders>
          </w:tcPr>
          <w:p w:rsidR="00D71646" w:rsidRPr="005B03CE" w:rsidRDefault="00D71646" w:rsidP="00D71646">
            <w:pPr>
              <w:rPr>
                <w:noProof/>
                <w:sz w:val="20"/>
              </w:rPr>
            </w:pPr>
          </w:p>
        </w:tc>
        <w:tc>
          <w:tcPr>
            <w:tcW w:w="534" w:type="dxa"/>
            <w:tcBorders>
              <w:top w:val="nil"/>
              <w:left w:val="nil"/>
            </w:tcBorders>
          </w:tcPr>
          <w:p w:rsidR="00D71646" w:rsidRPr="005B03CE" w:rsidRDefault="00D71646" w:rsidP="00D71646">
            <w:pPr>
              <w:jc w:val="center"/>
              <w:rPr>
                <w:noProof/>
                <w:sz w:val="20"/>
              </w:rPr>
            </w:pPr>
          </w:p>
        </w:tc>
        <w:tc>
          <w:tcPr>
            <w:tcW w:w="868" w:type="dxa"/>
            <w:vAlign w:val="center"/>
          </w:tcPr>
          <w:p w:rsidR="00D71646" w:rsidRPr="005B03CE" w:rsidRDefault="00D71646" w:rsidP="00D71646">
            <w:pPr>
              <w:jc w:val="center"/>
              <w:rPr>
                <w:noProof/>
                <w:sz w:val="20"/>
              </w:rPr>
            </w:pPr>
            <w:r w:rsidRPr="005B03CE">
              <w:rPr>
                <w:noProof/>
                <w:sz w:val="20"/>
              </w:rPr>
              <w:t>Year 2023</w:t>
            </w:r>
          </w:p>
        </w:tc>
        <w:tc>
          <w:tcPr>
            <w:tcW w:w="868" w:type="dxa"/>
            <w:vAlign w:val="center"/>
          </w:tcPr>
          <w:p w:rsidR="00D71646" w:rsidRPr="005B03CE" w:rsidRDefault="00D71646" w:rsidP="00D71646">
            <w:pPr>
              <w:jc w:val="center"/>
              <w:rPr>
                <w:noProof/>
                <w:sz w:val="20"/>
              </w:rPr>
            </w:pPr>
            <w:r w:rsidRPr="005B03CE">
              <w:rPr>
                <w:noProof/>
                <w:sz w:val="20"/>
              </w:rPr>
              <w:t>Year</w:t>
            </w:r>
            <w:r w:rsidRPr="005B03CE">
              <w:rPr>
                <w:noProof/>
                <w:sz w:val="22"/>
              </w:rPr>
              <w:br/>
            </w:r>
            <w:r w:rsidRPr="005B03CE">
              <w:rPr>
                <w:noProof/>
                <w:sz w:val="20"/>
              </w:rPr>
              <w:t>2024</w:t>
            </w:r>
          </w:p>
        </w:tc>
        <w:tc>
          <w:tcPr>
            <w:tcW w:w="868" w:type="dxa"/>
            <w:vAlign w:val="center"/>
          </w:tcPr>
          <w:p w:rsidR="00D71646" w:rsidRPr="005B03CE" w:rsidRDefault="00D71646" w:rsidP="00D71646">
            <w:pPr>
              <w:jc w:val="center"/>
              <w:rPr>
                <w:noProof/>
                <w:sz w:val="20"/>
              </w:rPr>
            </w:pPr>
            <w:r w:rsidRPr="005B03CE">
              <w:rPr>
                <w:noProof/>
                <w:sz w:val="20"/>
              </w:rPr>
              <w:t>Year 2025</w:t>
            </w:r>
          </w:p>
        </w:tc>
        <w:tc>
          <w:tcPr>
            <w:tcW w:w="868" w:type="dxa"/>
            <w:vAlign w:val="center"/>
          </w:tcPr>
          <w:p w:rsidR="00D71646" w:rsidRPr="005B03CE" w:rsidRDefault="00D71646" w:rsidP="00D71646">
            <w:pPr>
              <w:jc w:val="center"/>
              <w:rPr>
                <w:noProof/>
                <w:sz w:val="20"/>
              </w:rPr>
            </w:pPr>
            <w:r w:rsidRPr="005B03CE">
              <w:rPr>
                <w:noProof/>
                <w:sz w:val="20"/>
              </w:rPr>
              <w:t>Year 2026</w:t>
            </w:r>
          </w:p>
        </w:tc>
        <w:tc>
          <w:tcPr>
            <w:tcW w:w="1040" w:type="dxa"/>
            <w:vAlign w:val="center"/>
          </w:tcPr>
          <w:p w:rsidR="00D71646" w:rsidRPr="005B03CE" w:rsidRDefault="00D71646" w:rsidP="00D71646">
            <w:pPr>
              <w:jc w:val="center"/>
              <w:rPr>
                <w:b/>
                <w:noProof/>
                <w:sz w:val="18"/>
              </w:rPr>
            </w:pPr>
            <w:r w:rsidRPr="005B03CE">
              <w:rPr>
                <w:noProof/>
                <w:sz w:val="20"/>
              </w:rPr>
              <w:t>Year 2027</w:t>
            </w:r>
          </w:p>
        </w:tc>
        <w:tc>
          <w:tcPr>
            <w:tcW w:w="3341" w:type="dxa"/>
            <w:vAlign w:val="center"/>
          </w:tcPr>
          <w:p w:rsidR="00D71646" w:rsidRPr="005B03CE" w:rsidRDefault="00D71646" w:rsidP="00D71646">
            <w:pPr>
              <w:jc w:val="center"/>
              <w:rPr>
                <w:b/>
                <w:noProof/>
                <w:sz w:val="20"/>
              </w:rPr>
            </w:pPr>
            <w:r w:rsidRPr="005B03CE">
              <w:rPr>
                <w:b/>
                <w:noProof/>
                <w:sz w:val="20"/>
              </w:rPr>
              <w:t>TOTAL</w:t>
            </w:r>
          </w:p>
        </w:tc>
      </w:tr>
      <w:tr w:rsidR="00D71646" w:rsidRPr="005B03CE" w:rsidTr="00D71646">
        <w:tc>
          <w:tcPr>
            <w:tcW w:w="3960" w:type="dxa"/>
            <w:vMerge w:val="restart"/>
            <w:shd w:val="clear" w:color="auto" w:fill="C0C0C0"/>
            <w:vAlign w:val="center"/>
          </w:tcPr>
          <w:p w:rsidR="00D71646" w:rsidRPr="005B03CE" w:rsidRDefault="00D71646" w:rsidP="00D71646">
            <w:pPr>
              <w:jc w:val="center"/>
              <w:rPr>
                <w:b/>
                <w:noProof/>
              </w:rPr>
            </w:pPr>
            <w:r w:rsidRPr="005B03CE">
              <w:rPr>
                <w:b/>
                <w:noProof/>
                <w:sz w:val="22"/>
              </w:rPr>
              <w:t xml:space="preserve">TOTAL appropriations </w:t>
            </w:r>
            <w:r w:rsidRPr="005B03CE">
              <w:rPr>
                <w:noProof/>
                <w:sz w:val="22"/>
              </w:rPr>
              <w:br/>
            </w:r>
            <w:r w:rsidRPr="005B03CE">
              <w:rPr>
                <w:b/>
                <w:noProof/>
                <w:sz w:val="22"/>
              </w:rPr>
              <w:t>under HEADINGS 1 to 7</w:t>
            </w:r>
            <w:r w:rsidRPr="005B03CE">
              <w:rPr>
                <w:noProof/>
                <w:sz w:val="22"/>
              </w:rPr>
              <w:br/>
              <w:t>of the multiannual financial framework (*)</w:t>
            </w:r>
            <w:r w:rsidRPr="005B03CE">
              <w:rPr>
                <w:b/>
                <w:noProof/>
                <w:sz w:val="22"/>
              </w:rPr>
              <w:t xml:space="preserve"> </w:t>
            </w:r>
          </w:p>
        </w:tc>
        <w:tc>
          <w:tcPr>
            <w:tcW w:w="2094" w:type="dxa"/>
            <w:gridSpan w:val="2"/>
            <w:vAlign w:val="center"/>
          </w:tcPr>
          <w:p w:rsidR="00D71646" w:rsidRPr="005B03CE" w:rsidRDefault="00D71646" w:rsidP="00D71646">
            <w:pPr>
              <w:rPr>
                <w:noProof/>
                <w:sz w:val="14"/>
              </w:rPr>
            </w:pPr>
            <w:r w:rsidRPr="005B03CE">
              <w:rPr>
                <w:noProof/>
                <w:sz w:val="18"/>
              </w:rPr>
              <w:t>Commitments</w:t>
            </w:r>
          </w:p>
        </w:tc>
        <w:tc>
          <w:tcPr>
            <w:tcW w:w="868" w:type="dxa"/>
            <w:vAlign w:val="center"/>
          </w:tcPr>
          <w:p w:rsidR="00D71646" w:rsidRPr="005B03CE" w:rsidRDefault="00D71646" w:rsidP="0028190D">
            <w:pPr>
              <w:spacing w:before="60" w:after="60"/>
              <w:jc w:val="right"/>
              <w:rPr>
                <w:noProof/>
                <w:sz w:val="20"/>
              </w:rPr>
            </w:pPr>
            <w:r w:rsidRPr="005B03CE">
              <w:rPr>
                <w:noProof/>
                <w:sz w:val="20"/>
              </w:rPr>
              <w:t>11.5</w:t>
            </w:r>
            <w:r w:rsidR="00F15FA8" w:rsidRPr="005B03CE">
              <w:rPr>
                <w:noProof/>
                <w:sz w:val="20"/>
              </w:rPr>
              <w:t>8</w:t>
            </w:r>
            <w:r w:rsidR="00ED126E" w:rsidRPr="005B03CE">
              <w:rPr>
                <w:noProof/>
                <w:sz w:val="20"/>
              </w:rPr>
              <w:t>1</w:t>
            </w:r>
          </w:p>
        </w:tc>
        <w:tc>
          <w:tcPr>
            <w:tcW w:w="868" w:type="dxa"/>
            <w:vAlign w:val="center"/>
          </w:tcPr>
          <w:p w:rsidR="00D71646" w:rsidRPr="005B03CE" w:rsidRDefault="00D71646" w:rsidP="00ED126E">
            <w:pPr>
              <w:spacing w:before="60" w:after="60"/>
              <w:jc w:val="right"/>
              <w:rPr>
                <w:noProof/>
                <w:sz w:val="20"/>
              </w:rPr>
            </w:pPr>
            <w:r w:rsidRPr="005B03CE">
              <w:rPr>
                <w:noProof/>
                <w:sz w:val="20"/>
              </w:rPr>
              <w:t>13.</w:t>
            </w:r>
            <w:r w:rsidR="00F15FA8" w:rsidRPr="005B03CE">
              <w:rPr>
                <w:noProof/>
                <w:sz w:val="20"/>
              </w:rPr>
              <w:t>50</w:t>
            </w:r>
            <w:r w:rsidR="00ED126E" w:rsidRPr="005B03CE">
              <w:rPr>
                <w:noProof/>
                <w:sz w:val="20"/>
              </w:rPr>
              <w:t>6</w:t>
            </w:r>
          </w:p>
        </w:tc>
        <w:tc>
          <w:tcPr>
            <w:tcW w:w="868" w:type="dxa"/>
            <w:vAlign w:val="center"/>
          </w:tcPr>
          <w:p w:rsidR="00D71646" w:rsidRPr="005B03CE" w:rsidRDefault="00D71646" w:rsidP="00ED126E">
            <w:pPr>
              <w:spacing w:before="60" w:after="60"/>
              <w:jc w:val="right"/>
              <w:rPr>
                <w:noProof/>
                <w:sz w:val="20"/>
              </w:rPr>
            </w:pPr>
            <w:r w:rsidRPr="005B03CE">
              <w:rPr>
                <w:noProof/>
                <w:sz w:val="20"/>
              </w:rPr>
              <w:t>14.</w:t>
            </w:r>
            <w:r w:rsidR="00F15FA8" w:rsidRPr="005B03CE">
              <w:rPr>
                <w:noProof/>
                <w:sz w:val="20"/>
              </w:rPr>
              <w:t>13</w:t>
            </w:r>
            <w:r w:rsidR="00ED126E" w:rsidRPr="005B03CE">
              <w:rPr>
                <w:noProof/>
                <w:sz w:val="20"/>
              </w:rPr>
              <w:t>4</w:t>
            </w:r>
          </w:p>
        </w:tc>
        <w:tc>
          <w:tcPr>
            <w:tcW w:w="868" w:type="dxa"/>
            <w:vAlign w:val="center"/>
          </w:tcPr>
          <w:p w:rsidR="00D71646" w:rsidRPr="005B03CE" w:rsidRDefault="00D71646" w:rsidP="00ED126E">
            <w:pPr>
              <w:spacing w:before="60" w:after="60"/>
              <w:jc w:val="right"/>
              <w:rPr>
                <w:noProof/>
                <w:sz w:val="20"/>
              </w:rPr>
            </w:pPr>
            <w:r w:rsidRPr="005B03CE">
              <w:rPr>
                <w:noProof/>
                <w:sz w:val="20"/>
              </w:rPr>
              <w:t>14.</w:t>
            </w:r>
            <w:r w:rsidR="00F15FA8" w:rsidRPr="005B03CE">
              <w:rPr>
                <w:noProof/>
                <w:sz w:val="20"/>
              </w:rPr>
              <w:t>60</w:t>
            </w:r>
            <w:r w:rsidR="00ED126E" w:rsidRPr="005B03CE">
              <w:rPr>
                <w:noProof/>
                <w:sz w:val="20"/>
              </w:rPr>
              <w:t>5</w:t>
            </w:r>
          </w:p>
        </w:tc>
        <w:tc>
          <w:tcPr>
            <w:tcW w:w="1040" w:type="dxa"/>
            <w:vAlign w:val="center"/>
          </w:tcPr>
          <w:p w:rsidR="00D71646" w:rsidRPr="005B03CE" w:rsidRDefault="00D71646" w:rsidP="00ED126E">
            <w:pPr>
              <w:spacing w:before="60" w:after="60"/>
              <w:jc w:val="right"/>
              <w:rPr>
                <w:noProof/>
                <w:sz w:val="20"/>
              </w:rPr>
            </w:pPr>
            <w:r w:rsidRPr="005B03CE">
              <w:rPr>
                <w:noProof/>
                <w:sz w:val="20"/>
              </w:rPr>
              <w:t>14.</w:t>
            </w:r>
            <w:r w:rsidR="0028190D" w:rsidRPr="005B03CE">
              <w:rPr>
                <w:noProof/>
                <w:sz w:val="20"/>
              </w:rPr>
              <w:t>60</w:t>
            </w:r>
            <w:r w:rsidR="00ED126E" w:rsidRPr="005B03CE">
              <w:rPr>
                <w:noProof/>
                <w:sz w:val="20"/>
              </w:rPr>
              <w:t>5</w:t>
            </w:r>
          </w:p>
        </w:tc>
        <w:tc>
          <w:tcPr>
            <w:tcW w:w="3341" w:type="dxa"/>
            <w:vAlign w:val="center"/>
          </w:tcPr>
          <w:p w:rsidR="00D71646" w:rsidRPr="005B03CE" w:rsidRDefault="00D71646" w:rsidP="00ED126E">
            <w:pPr>
              <w:spacing w:before="60" w:after="60"/>
              <w:jc w:val="right"/>
              <w:rPr>
                <w:noProof/>
                <w:sz w:val="20"/>
              </w:rPr>
            </w:pPr>
            <w:r w:rsidRPr="005B03CE">
              <w:rPr>
                <w:noProof/>
                <w:sz w:val="20"/>
              </w:rPr>
              <w:t>68.</w:t>
            </w:r>
            <w:r w:rsidR="00F15FA8" w:rsidRPr="005B03CE">
              <w:rPr>
                <w:noProof/>
                <w:sz w:val="20"/>
              </w:rPr>
              <w:t>4</w:t>
            </w:r>
            <w:r w:rsidRPr="005B03CE">
              <w:rPr>
                <w:noProof/>
                <w:sz w:val="20"/>
              </w:rPr>
              <w:t>2</w:t>
            </w:r>
            <w:r w:rsidR="00ED126E" w:rsidRPr="005B03CE">
              <w:rPr>
                <w:noProof/>
                <w:sz w:val="20"/>
              </w:rPr>
              <w:t>9</w:t>
            </w:r>
          </w:p>
        </w:tc>
      </w:tr>
      <w:tr w:rsidR="00D71646" w:rsidRPr="005B03CE" w:rsidTr="00D71646">
        <w:tc>
          <w:tcPr>
            <w:tcW w:w="3960" w:type="dxa"/>
            <w:vMerge/>
            <w:shd w:val="clear" w:color="auto" w:fill="C0C0C0"/>
          </w:tcPr>
          <w:p w:rsidR="00D71646" w:rsidRPr="005B03CE" w:rsidRDefault="00D71646" w:rsidP="00D71646">
            <w:pPr>
              <w:rPr>
                <w:noProof/>
                <w:sz w:val="20"/>
              </w:rPr>
            </w:pPr>
          </w:p>
        </w:tc>
        <w:tc>
          <w:tcPr>
            <w:tcW w:w="2094" w:type="dxa"/>
            <w:gridSpan w:val="2"/>
            <w:vAlign w:val="center"/>
          </w:tcPr>
          <w:p w:rsidR="00D71646" w:rsidRPr="005B03CE" w:rsidRDefault="00D71646" w:rsidP="00D71646">
            <w:pPr>
              <w:rPr>
                <w:noProof/>
                <w:sz w:val="14"/>
              </w:rPr>
            </w:pPr>
            <w:r w:rsidRPr="005B03CE">
              <w:rPr>
                <w:noProof/>
                <w:sz w:val="18"/>
              </w:rPr>
              <w:t>Payments</w:t>
            </w:r>
          </w:p>
        </w:tc>
        <w:tc>
          <w:tcPr>
            <w:tcW w:w="868" w:type="dxa"/>
            <w:vAlign w:val="center"/>
          </w:tcPr>
          <w:p w:rsidR="00D71646" w:rsidRPr="005B03CE" w:rsidRDefault="00D71646" w:rsidP="00F15FA8">
            <w:pPr>
              <w:spacing w:before="60" w:after="60"/>
              <w:jc w:val="right"/>
              <w:rPr>
                <w:noProof/>
                <w:sz w:val="20"/>
              </w:rPr>
            </w:pPr>
            <w:r w:rsidRPr="005B03CE">
              <w:rPr>
                <w:noProof/>
                <w:sz w:val="20"/>
              </w:rPr>
              <w:t>11.5</w:t>
            </w:r>
            <w:r w:rsidR="0028190D" w:rsidRPr="005B03CE">
              <w:rPr>
                <w:noProof/>
                <w:sz w:val="20"/>
              </w:rPr>
              <w:t>8</w:t>
            </w:r>
            <w:r w:rsidR="00ED126E" w:rsidRPr="005B03CE">
              <w:rPr>
                <w:noProof/>
                <w:sz w:val="20"/>
              </w:rPr>
              <w:t>1</w:t>
            </w:r>
          </w:p>
        </w:tc>
        <w:tc>
          <w:tcPr>
            <w:tcW w:w="868" w:type="dxa"/>
            <w:vAlign w:val="center"/>
          </w:tcPr>
          <w:p w:rsidR="00D71646" w:rsidRPr="005B03CE" w:rsidRDefault="00D71646" w:rsidP="00ED126E">
            <w:pPr>
              <w:spacing w:before="60" w:after="60"/>
              <w:jc w:val="right"/>
              <w:rPr>
                <w:noProof/>
                <w:sz w:val="20"/>
              </w:rPr>
            </w:pPr>
            <w:r w:rsidRPr="005B03CE">
              <w:rPr>
                <w:noProof/>
                <w:sz w:val="20"/>
              </w:rPr>
              <w:t>13.</w:t>
            </w:r>
            <w:r w:rsidR="00F15FA8" w:rsidRPr="005B03CE">
              <w:rPr>
                <w:noProof/>
                <w:sz w:val="20"/>
              </w:rPr>
              <w:t>50</w:t>
            </w:r>
            <w:r w:rsidR="00ED126E" w:rsidRPr="005B03CE">
              <w:rPr>
                <w:noProof/>
                <w:sz w:val="20"/>
              </w:rPr>
              <w:t>6</w:t>
            </w:r>
          </w:p>
        </w:tc>
        <w:tc>
          <w:tcPr>
            <w:tcW w:w="868" w:type="dxa"/>
            <w:vAlign w:val="center"/>
          </w:tcPr>
          <w:p w:rsidR="00D71646" w:rsidRPr="005B03CE" w:rsidRDefault="00D71646" w:rsidP="00ED126E">
            <w:pPr>
              <w:spacing w:before="60" w:after="60"/>
              <w:jc w:val="right"/>
              <w:rPr>
                <w:noProof/>
                <w:sz w:val="20"/>
              </w:rPr>
            </w:pPr>
            <w:r w:rsidRPr="005B03CE">
              <w:rPr>
                <w:noProof/>
                <w:sz w:val="20"/>
              </w:rPr>
              <w:t>14.</w:t>
            </w:r>
            <w:r w:rsidR="0028190D" w:rsidRPr="005B03CE">
              <w:rPr>
                <w:noProof/>
                <w:sz w:val="20"/>
              </w:rPr>
              <w:t>13</w:t>
            </w:r>
            <w:r w:rsidR="00ED126E" w:rsidRPr="005B03CE">
              <w:rPr>
                <w:noProof/>
                <w:sz w:val="20"/>
              </w:rPr>
              <w:t>4</w:t>
            </w:r>
          </w:p>
        </w:tc>
        <w:tc>
          <w:tcPr>
            <w:tcW w:w="868" w:type="dxa"/>
            <w:vAlign w:val="center"/>
          </w:tcPr>
          <w:p w:rsidR="00D71646" w:rsidRPr="005B03CE" w:rsidRDefault="00D71646" w:rsidP="00ED126E">
            <w:pPr>
              <w:spacing w:before="60" w:after="60"/>
              <w:jc w:val="right"/>
              <w:rPr>
                <w:noProof/>
                <w:sz w:val="20"/>
              </w:rPr>
            </w:pPr>
            <w:r w:rsidRPr="005B03CE">
              <w:rPr>
                <w:noProof/>
                <w:sz w:val="20"/>
              </w:rPr>
              <w:t>14.</w:t>
            </w:r>
            <w:r w:rsidR="0028190D" w:rsidRPr="005B03CE">
              <w:rPr>
                <w:noProof/>
                <w:sz w:val="20"/>
              </w:rPr>
              <w:t>60</w:t>
            </w:r>
            <w:r w:rsidR="00ED126E" w:rsidRPr="005B03CE">
              <w:rPr>
                <w:noProof/>
                <w:sz w:val="20"/>
              </w:rPr>
              <w:t>5</w:t>
            </w:r>
          </w:p>
        </w:tc>
        <w:tc>
          <w:tcPr>
            <w:tcW w:w="1040" w:type="dxa"/>
            <w:vAlign w:val="center"/>
          </w:tcPr>
          <w:p w:rsidR="00D71646" w:rsidRPr="005B03CE" w:rsidRDefault="00D71646" w:rsidP="00ED126E">
            <w:pPr>
              <w:spacing w:before="60" w:after="60"/>
              <w:jc w:val="right"/>
              <w:rPr>
                <w:b/>
                <w:noProof/>
                <w:sz w:val="20"/>
              </w:rPr>
            </w:pPr>
            <w:r w:rsidRPr="005B03CE">
              <w:rPr>
                <w:noProof/>
                <w:sz w:val="20"/>
              </w:rPr>
              <w:t>14.</w:t>
            </w:r>
            <w:r w:rsidR="00F15FA8" w:rsidRPr="005B03CE">
              <w:rPr>
                <w:noProof/>
                <w:sz w:val="20"/>
              </w:rPr>
              <w:t>60</w:t>
            </w:r>
            <w:r w:rsidR="00ED126E" w:rsidRPr="005B03CE">
              <w:rPr>
                <w:noProof/>
                <w:sz w:val="20"/>
              </w:rPr>
              <w:t>5</w:t>
            </w:r>
          </w:p>
        </w:tc>
        <w:tc>
          <w:tcPr>
            <w:tcW w:w="3341" w:type="dxa"/>
            <w:vAlign w:val="center"/>
          </w:tcPr>
          <w:p w:rsidR="00D71646" w:rsidRPr="005B03CE" w:rsidRDefault="00D71646" w:rsidP="00ED126E">
            <w:pPr>
              <w:spacing w:before="60" w:after="60"/>
              <w:jc w:val="right"/>
              <w:rPr>
                <w:b/>
                <w:noProof/>
                <w:sz w:val="20"/>
              </w:rPr>
            </w:pPr>
            <w:r w:rsidRPr="005B03CE">
              <w:rPr>
                <w:noProof/>
                <w:sz w:val="20"/>
              </w:rPr>
              <w:t>68.</w:t>
            </w:r>
            <w:r w:rsidR="00F15FA8" w:rsidRPr="005B03CE">
              <w:rPr>
                <w:noProof/>
                <w:sz w:val="20"/>
              </w:rPr>
              <w:t>4</w:t>
            </w:r>
            <w:r w:rsidR="0028190D" w:rsidRPr="005B03CE">
              <w:rPr>
                <w:noProof/>
                <w:sz w:val="20"/>
              </w:rPr>
              <w:t>2</w:t>
            </w:r>
            <w:r w:rsidR="00ED126E" w:rsidRPr="005B03CE">
              <w:rPr>
                <w:noProof/>
                <w:sz w:val="20"/>
              </w:rPr>
              <w:t>9</w:t>
            </w:r>
          </w:p>
        </w:tc>
      </w:tr>
    </w:tbl>
    <w:p w:rsidR="00DD0A9C" w:rsidRPr="005B03CE" w:rsidRDefault="00D71646" w:rsidP="00DD0A9C">
      <w:pPr>
        <w:rPr>
          <w:noProof/>
        </w:rPr>
      </w:pPr>
      <w:r w:rsidRPr="005B03CE">
        <w:rPr>
          <w:noProof/>
        </w:rPr>
        <w:t xml:space="preserve">(*) Contributions from self-financed </w:t>
      </w:r>
      <w:r w:rsidR="00B07028" w:rsidRPr="005B03CE">
        <w:rPr>
          <w:noProof/>
        </w:rPr>
        <w:t xml:space="preserve">Union </w:t>
      </w:r>
      <w:r w:rsidR="00DB116F" w:rsidRPr="005B03CE">
        <w:rPr>
          <w:noProof/>
        </w:rPr>
        <w:t>institutions, bodies and agencies</w:t>
      </w:r>
      <w:r w:rsidRPr="005B03CE">
        <w:rPr>
          <w:noProof/>
        </w:rPr>
        <w:t xml:space="preserve"> are estimated at EUR 2.670 m</w:t>
      </w:r>
      <w:r w:rsidR="00240AA7" w:rsidRPr="005B03CE">
        <w:rPr>
          <w:noProof/>
        </w:rPr>
        <w:t>i</w:t>
      </w:r>
      <w:r w:rsidRPr="005B03CE">
        <w:rPr>
          <w:noProof/>
        </w:rPr>
        <w:t>llion per year (total for the five years, EUR 13.350 million). The contributions will constitute assigned revenues for CERT-EU. The tables above only include the estimated total impact on the Union budget and do not include those contributions.</w:t>
      </w:r>
    </w:p>
    <w:p w:rsidR="00DD0A9C" w:rsidRPr="005B03CE" w:rsidRDefault="004A06D6" w:rsidP="004A06D6">
      <w:pPr>
        <w:pStyle w:val="ManualHeading3"/>
        <w:rPr>
          <w:bCs/>
          <w:noProof/>
          <w:szCs w:val="24"/>
        </w:rPr>
      </w:pPr>
      <w:bookmarkStart w:id="61" w:name="_Toc514938054"/>
      <w:bookmarkStart w:id="62" w:name="_Toc520485053"/>
      <w:r w:rsidRPr="004A06D6">
        <w:t>3.2.2.</w:t>
      </w:r>
      <w:r w:rsidRPr="004A06D6">
        <w:tab/>
      </w:r>
      <w:r w:rsidR="00DD0A9C" w:rsidRPr="005B03CE">
        <w:rPr>
          <w:noProof/>
        </w:rPr>
        <w:t>Estimated output funded with operational appropriations</w:t>
      </w:r>
      <w:bookmarkEnd w:id="61"/>
      <w:bookmarkEnd w:id="62"/>
      <w:r w:rsidR="00DD0A9C" w:rsidRPr="005B03CE">
        <w:rPr>
          <w:noProof/>
        </w:rPr>
        <w:t xml:space="preserve"> </w:t>
      </w:r>
    </w:p>
    <w:p w:rsidR="00DD0A9C" w:rsidRPr="005B03CE" w:rsidRDefault="00DD0A9C" w:rsidP="00DD0A9C">
      <w:pPr>
        <w:jc w:val="right"/>
        <w:rPr>
          <w:noProof/>
          <w:sz w:val="20"/>
        </w:rPr>
      </w:pPr>
      <w:r w:rsidRPr="005B03CE">
        <w:rPr>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DD0A9C" w:rsidRPr="005B03CE" w:rsidTr="00F158BD">
        <w:trPr>
          <w:jc w:val="center"/>
        </w:trPr>
        <w:tc>
          <w:tcPr>
            <w:tcW w:w="1423" w:type="dxa"/>
            <w:vMerge w:val="restart"/>
            <w:vAlign w:val="center"/>
          </w:tcPr>
          <w:p w:rsidR="00DD0A9C" w:rsidRPr="005B03CE" w:rsidRDefault="00DD0A9C" w:rsidP="00F158BD">
            <w:pPr>
              <w:ind w:right="-29"/>
              <w:jc w:val="center"/>
              <w:rPr>
                <w:b/>
                <w:noProof/>
                <w:sz w:val="18"/>
                <w:szCs w:val="18"/>
              </w:rPr>
            </w:pPr>
            <w:r w:rsidRPr="005B03CE">
              <w:rPr>
                <w:b/>
                <w:noProof/>
                <w:sz w:val="18"/>
              </w:rPr>
              <w:t xml:space="preserve">Indicate objectives and outputs </w:t>
            </w:r>
          </w:p>
          <w:p w:rsidR="00DD0A9C" w:rsidRPr="005B03CE" w:rsidRDefault="00DD0A9C" w:rsidP="00F158BD">
            <w:pPr>
              <w:ind w:right="-29"/>
              <w:jc w:val="center"/>
              <w:rPr>
                <w:b/>
                <w:noProof/>
                <w:sz w:val="18"/>
                <w:szCs w:val="18"/>
              </w:rPr>
            </w:pPr>
          </w:p>
          <w:p w:rsidR="00DD0A9C" w:rsidRPr="005B03CE" w:rsidRDefault="00595EBC" w:rsidP="00F158BD">
            <w:pPr>
              <w:ind w:right="-29"/>
              <w:jc w:val="center"/>
              <w:rPr>
                <w:noProof/>
                <w:sz w:val="18"/>
                <w:szCs w:val="18"/>
              </w:rPr>
            </w:pPr>
            <w:r w:rsidRPr="005B03CE">
              <w:rPr>
                <w:rFonts w:ascii="Wingdings" w:eastAsia="Wingdings" w:hAnsi="Wingdings" w:cs="Wingdings"/>
                <w:noProof/>
                <w:sz w:val="18"/>
              </w:rPr>
              <w:t></w:t>
            </w:r>
          </w:p>
        </w:tc>
        <w:tc>
          <w:tcPr>
            <w:tcW w:w="720" w:type="dxa"/>
            <w:vAlign w:val="center"/>
          </w:tcPr>
          <w:p w:rsidR="00DD0A9C" w:rsidRPr="005B03CE" w:rsidRDefault="00DD0A9C" w:rsidP="00F158BD">
            <w:pPr>
              <w:ind w:right="-29"/>
              <w:jc w:val="center"/>
              <w:rPr>
                <w:noProof/>
                <w:sz w:val="18"/>
                <w:szCs w:val="18"/>
              </w:rPr>
            </w:pPr>
          </w:p>
        </w:tc>
        <w:tc>
          <w:tcPr>
            <w:tcW w:w="701" w:type="dxa"/>
            <w:vAlign w:val="center"/>
          </w:tcPr>
          <w:p w:rsidR="00DD0A9C" w:rsidRPr="005B03CE" w:rsidRDefault="00DD0A9C" w:rsidP="00F158BD">
            <w:pPr>
              <w:ind w:right="-29"/>
              <w:jc w:val="center"/>
              <w:rPr>
                <w:noProof/>
                <w:sz w:val="18"/>
                <w:szCs w:val="18"/>
              </w:rPr>
            </w:pPr>
          </w:p>
        </w:tc>
        <w:tc>
          <w:tcPr>
            <w:tcW w:w="1224" w:type="dxa"/>
            <w:gridSpan w:val="2"/>
            <w:tcBorders>
              <w:left w:val="nil"/>
            </w:tcBorders>
            <w:vAlign w:val="center"/>
          </w:tcPr>
          <w:p w:rsidR="00DD0A9C" w:rsidRPr="005B03CE" w:rsidRDefault="00DD0A9C" w:rsidP="00F158BD">
            <w:pPr>
              <w:ind w:right="-29"/>
              <w:jc w:val="center"/>
              <w:rPr>
                <w:noProof/>
                <w:sz w:val="18"/>
                <w:szCs w:val="18"/>
              </w:rPr>
            </w:pPr>
            <w:r w:rsidRPr="005B03CE">
              <w:rPr>
                <w:noProof/>
                <w:sz w:val="18"/>
              </w:rPr>
              <w:t>Year</w:t>
            </w:r>
            <w:r w:rsidRPr="005B03CE">
              <w:rPr>
                <w:noProof/>
                <w:sz w:val="22"/>
              </w:rPr>
              <w:br/>
            </w:r>
            <w:r w:rsidRPr="005B03CE">
              <w:rPr>
                <w:b/>
                <w:noProof/>
                <w:sz w:val="18"/>
              </w:rPr>
              <w:t>N</w:t>
            </w:r>
          </w:p>
        </w:tc>
        <w:tc>
          <w:tcPr>
            <w:tcW w:w="1260" w:type="dxa"/>
            <w:gridSpan w:val="2"/>
            <w:vAlign w:val="center"/>
          </w:tcPr>
          <w:p w:rsidR="00DD0A9C" w:rsidRPr="005B03CE" w:rsidRDefault="00DD0A9C" w:rsidP="00F158BD">
            <w:pPr>
              <w:ind w:right="-29"/>
              <w:jc w:val="center"/>
              <w:rPr>
                <w:noProof/>
                <w:sz w:val="18"/>
                <w:szCs w:val="18"/>
              </w:rPr>
            </w:pPr>
            <w:r w:rsidRPr="005B03CE">
              <w:rPr>
                <w:noProof/>
                <w:sz w:val="18"/>
              </w:rPr>
              <w:t>Year</w:t>
            </w:r>
            <w:r w:rsidRPr="005B03CE">
              <w:rPr>
                <w:noProof/>
                <w:sz w:val="22"/>
              </w:rPr>
              <w:br/>
            </w:r>
            <w:r w:rsidRPr="005B03CE">
              <w:rPr>
                <w:b/>
                <w:noProof/>
                <w:sz w:val="18"/>
              </w:rPr>
              <w:t>N+1</w:t>
            </w:r>
          </w:p>
        </w:tc>
        <w:tc>
          <w:tcPr>
            <w:tcW w:w="1440" w:type="dxa"/>
            <w:gridSpan w:val="2"/>
            <w:vAlign w:val="center"/>
          </w:tcPr>
          <w:p w:rsidR="00DD0A9C" w:rsidRPr="005B03CE" w:rsidRDefault="00DD0A9C" w:rsidP="00F158BD">
            <w:pPr>
              <w:ind w:right="-29"/>
              <w:jc w:val="center"/>
              <w:rPr>
                <w:noProof/>
                <w:sz w:val="18"/>
                <w:szCs w:val="18"/>
              </w:rPr>
            </w:pPr>
            <w:r w:rsidRPr="005B03CE">
              <w:rPr>
                <w:noProof/>
                <w:sz w:val="18"/>
              </w:rPr>
              <w:t>Year</w:t>
            </w:r>
            <w:r w:rsidRPr="005B03CE">
              <w:rPr>
                <w:noProof/>
                <w:sz w:val="22"/>
              </w:rPr>
              <w:br/>
            </w:r>
            <w:r w:rsidRPr="005B03CE">
              <w:rPr>
                <w:b/>
                <w:noProof/>
                <w:sz w:val="18"/>
              </w:rPr>
              <w:t>N+2</w:t>
            </w:r>
          </w:p>
        </w:tc>
        <w:tc>
          <w:tcPr>
            <w:tcW w:w="1620" w:type="dxa"/>
            <w:gridSpan w:val="3"/>
            <w:vAlign w:val="center"/>
          </w:tcPr>
          <w:p w:rsidR="00DD0A9C" w:rsidRPr="005B03CE" w:rsidRDefault="00DD0A9C" w:rsidP="00F158BD">
            <w:pPr>
              <w:ind w:right="-29"/>
              <w:jc w:val="center"/>
              <w:rPr>
                <w:noProof/>
                <w:sz w:val="18"/>
                <w:szCs w:val="18"/>
              </w:rPr>
            </w:pPr>
            <w:r w:rsidRPr="005B03CE">
              <w:rPr>
                <w:noProof/>
                <w:sz w:val="18"/>
              </w:rPr>
              <w:t>Year</w:t>
            </w:r>
            <w:r w:rsidRPr="005B03CE">
              <w:rPr>
                <w:noProof/>
                <w:sz w:val="22"/>
              </w:rPr>
              <w:br/>
            </w:r>
            <w:r w:rsidRPr="005B03CE">
              <w:rPr>
                <w:b/>
                <w:noProof/>
                <w:sz w:val="18"/>
              </w:rPr>
              <w:t>N+3</w:t>
            </w:r>
          </w:p>
        </w:tc>
        <w:tc>
          <w:tcPr>
            <w:tcW w:w="3600" w:type="dxa"/>
            <w:gridSpan w:val="6"/>
            <w:vAlign w:val="center"/>
          </w:tcPr>
          <w:p w:rsidR="00DD0A9C" w:rsidRPr="005B03CE" w:rsidRDefault="00DD0A9C" w:rsidP="00F158BD">
            <w:pPr>
              <w:jc w:val="center"/>
              <w:rPr>
                <w:noProof/>
                <w:sz w:val="18"/>
                <w:szCs w:val="18"/>
              </w:rPr>
            </w:pPr>
            <w:r w:rsidRPr="005B03CE">
              <w:rPr>
                <w:noProof/>
                <w:sz w:val="18"/>
              </w:rPr>
              <w:t>Enter as many years as necessary to show the duration of the impact (see point 1.6)</w:t>
            </w:r>
          </w:p>
        </w:tc>
        <w:tc>
          <w:tcPr>
            <w:tcW w:w="1620" w:type="dxa"/>
            <w:gridSpan w:val="2"/>
            <w:tcBorders>
              <w:left w:val="nil"/>
              <w:bottom w:val="nil"/>
            </w:tcBorders>
            <w:vAlign w:val="center"/>
          </w:tcPr>
          <w:p w:rsidR="00DD0A9C" w:rsidRPr="005B03CE" w:rsidRDefault="00DD0A9C" w:rsidP="00F158BD">
            <w:pPr>
              <w:ind w:right="-29"/>
              <w:jc w:val="center"/>
              <w:rPr>
                <w:noProof/>
                <w:sz w:val="18"/>
                <w:szCs w:val="18"/>
              </w:rPr>
            </w:pPr>
            <w:r w:rsidRPr="005B03CE">
              <w:rPr>
                <w:b/>
                <w:noProof/>
                <w:sz w:val="18"/>
              </w:rPr>
              <w:t>TOTAL</w:t>
            </w:r>
          </w:p>
        </w:tc>
      </w:tr>
      <w:tr w:rsidR="00DD0A9C" w:rsidRPr="005B03CE" w:rsidTr="00F158BD">
        <w:trPr>
          <w:jc w:val="center"/>
        </w:trPr>
        <w:tc>
          <w:tcPr>
            <w:tcW w:w="1423" w:type="dxa"/>
            <w:vMerge/>
            <w:vAlign w:val="center"/>
          </w:tcPr>
          <w:p w:rsidR="00DD0A9C" w:rsidRPr="005B03CE" w:rsidRDefault="00DD0A9C" w:rsidP="00F158BD">
            <w:pPr>
              <w:ind w:right="-29"/>
              <w:jc w:val="center"/>
              <w:rPr>
                <w:noProof/>
                <w:sz w:val="18"/>
                <w:szCs w:val="18"/>
              </w:rPr>
            </w:pPr>
          </w:p>
        </w:tc>
        <w:tc>
          <w:tcPr>
            <w:tcW w:w="12185" w:type="dxa"/>
            <w:gridSpan w:val="19"/>
            <w:vAlign w:val="center"/>
          </w:tcPr>
          <w:p w:rsidR="00DD0A9C" w:rsidRPr="005B03CE" w:rsidRDefault="00DD0A9C" w:rsidP="00F158BD">
            <w:pPr>
              <w:spacing w:before="60" w:after="60"/>
              <w:ind w:right="-29"/>
              <w:jc w:val="center"/>
              <w:rPr>
                <w:noProof/>
                <w:sz w:val="18"/>
                <w:szCs w:val="18"/>
              </w:rPr>
            </w:pPr>
            <w:r w:rsidRPr="005B03CE">
              <w:rPr>
                <w:b/>
                <w:noProof/>
                <w:sz w:val="18"/>
              </w:rPr>
              <w:t>OUTPUTS</w:t>
            </w:r>
          </w:p>
        </w:tc>
      </w:tr>
      <w:tr w:rsidR="00DD0A9C" w:rsidRPr="005B03CE" w:rsidTr="00F158BD">
        <w:trPr>
          <w:cantSplit/>
          <w:trHeight w:val="1134"/>
          <w:jc w:val="center"/>
        </w:trPr>
        <w:tc>
          <w:tcPr>
            <w:tcW w:w="1423" w:type="dxa"/>
            <w:vMerge/>
            <w:vAlign w:val="center"/>
          </w:tcPr>
          <w:p w:rsidR="00DD0A9C" w:rsidRPr="005B03CE" w:rsidRDefault="00DD0A9C" w:rsidP="00F158BD">
            <w:pPr>
              <w:rPr>
                <w:noProof/>
                <w:sz w:val="18"/>
                <w:szCs w:val="18"/>
              </w:rPr>
            </w:pPr>
          </w:p>
        </w:tc>
        <w:tc>
          <w:tcPr>
            <w:tcW w:w="720" w:type="dxa"/>
            <w:vAlign w:val="center"/>
          </w:tcPr>
          <w:p w:rsidR="00DD0A9C" w:rsidRPr="005B03CE" w:rsidRDefault="00DD0A9C" w:rsidP="00F158BD">
            <w:pPr>
              <w:jc w:val="center"/>
              <w:rPr>
                <w:noProof/>
                <w:sz w:val="18"/>
                <w:szCs w:val="18"/>
              </w:rPr>
            </w:pPr>
            <w:r w:rsidRPr="005B03CE">
              <w:rPr>
                <w:noProof/>
                <w:sz w:val="18"/>
              </w:rPr>
              <w:t>Type</w:t>
            </w:r>
            <w:r w:rsidRPr="005B03CE">
              <w:rPr>
                <w:rStyle w:val="FootnoteReference"/>
                <w:noProof/>
                <w:sz w:val="18"/>
              </w:rPr>
              <w:footnoteReference w:id="19"/>
            </w:r>
          </w:p>
          <w:p w:rsidR="00DD0A9C" w:rsidRPr="005B03CE" w:rsidRDefault="00DD0A9C" w:rsidP="00F158BD">
            <w:pPr>
              <w:spacing w:before="0" w:after="0"/>
              <w:jc w:val="center"/>
              <w:rPr>
                <w:noProof/>
                <w:sz w:val="18"/>
                <w:szCs w:val="18"/>
              </w:rPr>
            </w:pPr>
          </w:p>
        </w:tc>
        <w:tc>
          <w:tcPr>
            <w:tcW w:w="701" w:type="dxa"/>
            <w:vAlign w:val="center"/>
          </w:tcPr>
          <w:p w:rsidR="00DD0A9C" w:rsidRPr="005B03CE" w:rsidRDefault="00DD0A9C" w:rsidP="00F158BD">
            <w:pPr>
              <w:jc w:val="center"/>
              <w:rPr>
                <w:noProof/>
                <w:sz w:val="18"/>
                <w:szCs w:val="18"/>
              </w:rPr>
            </w:pPr>
            <w:r w:rsidRPr="005B03CE">
              <w:rPr>
                <w:noProof/>
                <w:sz w:val="18"/>
              </w:rPr>
              <w:t>Average cost</w:t>
            </w:r>
          </w:p>
        </w:tc>
        <w:tc>
          <w:tcPr>
            <w:tcW w:w="504" w:type="dxa"/>
            <w:tcBorders>
              <w:left w:val="nil"/>
              <w:right w:val="dashSmallGap" w:sz="4" w:space="0" w:color="auto"/>
            </w:tcBorders>
            <w:shd w:val="pct10" w:color="auto" w:fill="auto"/>
            <w:textDirection w:val="btLr"/>
            <w:vAlign w:val="center"/>
          </w:tcPr>
          <w:p w:rsidR="00DD0A9C" w:rsidRPr="005B03CE" w:rsidRDefault="00DD0A9C" w:rsidP="00F158BD">
            <w:pPr>
              <w:ind w:left="113" w:right="113"/>
              <w:jc w:val="center"/>
              <w:rPr>
                <w:noProof/>
                <w:sz w:val="18"/>
                <w:szCs w:val="18"/>
              </w:rPr>
            </w:pPr>
            <w:r w:rsidRPr="005B03CE">
              <w:rPr>
                <w:noProof/>
                <w:sz w:val="18"/>
              </w:rPr>
              <w:t>No</w:t>
            </w:r>
          </w:p>
        </w:tc>
        <w:tc>
          <w:tcPr>
            <w:tcW w:w="720" w:type="dxa"/>
            <w:tcBorders>
              <w:left w:val="dashSmallGap" w:sz="4" w:space="0" w:color="auto"/>
            </w:tcBorders>
            <w:shd w:val="pct10" w:color="auto" w:fill="auto"/>
            <w:vAlign w:val="center"/>
          </w:tcPr>
          <w:p w:rsidR="00DD0A9C" w:rsidRPr="005B03CE" w:rsidRDefault="00DD0A9C" w:rsidP="00F158BD">
            <w:pPr>
              <w:jc w:val="center"/>
              <w:rPr>
                <w:noProof/>
                <w:sz w:val="18"/>
                <w:szCs w:val="18"/>
              </w:rPr>
            </w:pPr>
            <w:r w:rsidRPr="005B03CE">
              <w:rPr>
                <w:noProof/>
                <w:sz w:val="18"/>
              </w:rPr>
              <w:t>Cost</w:t>
            </w:r>
          </w:p>
        </w:tc>
        <w:tc>
          <w:tcPr>
            <w:tcW w:w="540" w:type="dxa"/>
            <w:tcBorders>
              <w:right w:val="dashSmallGap" w:sz="4" w:space="0" w:color="auto"/>
            </w:tcBorders>
            <w:shd w:val="pct10" w:color="auto" w:fill="auto"/>
            <w:textDirection w:val="btLr"/>
            <w:vAlign w:val="center"/>
          </w:tcPr>
          <w:p w:rsidR="00DD0A9C" w:rsidRPr="005B03CE" w:rsidRDefault="00DD0A9C" w:rsidP="00F158BD">
            <w:pPr>
              <w:ind w:left="113" w:right="113"/>
              <w:jc w:val="center"/>
              <w:rPr>
                <w:noProof/>
                <w:sz w:val="18"/>
                <w:szCs w:val="18"/>
              </w:rPr>
            </w:pPr>
            <w:r w:rsidRPr="005B03CE">
              <w:rPr>
                <w:noProof/>
                <w:sz w:val="18"/>
              </w:rPr>
              <w:t>No</w:t>
            </w:r>
          </w:p>
        </w:tc>
        <w:tc>
          <w:tcPr>
            <w:tcW w:w="720" w:type="dxa"/>
            <w:tcBorders>
              <w:left w:val="dashSmallGap" w:sz="4" w:space="0" w:color="auto"/>
            </w:tcBorders>
            <w:shd w:val="pct10" w:color="auto" w:fill="auto"/>
            <w:vAlign w:val="center"/>
          </w:tcPr>
          <w:p w:rsidR="00DD0A9C" w:rsidRPr="005B03CE" w:rsidRDefault="00DD0A9C" w:rsidP="00F158BD">
            <w:pPr>
              <w:jc w:val="center"/>
              <w:rPr>
                <w:noProof/>
                <w:sz w:val="18"/>
                <w:szCs w:val="18"/>
              </w:rPr>
            </w:pPr>
            <w:r w:rsidRPr="005B03CE">
              <w:rPr>
                <w:noProof/>
                <w:sz w:val="18"/>
              </w:rPr>
              <w:t>Cost</w:t>
            </w:r>
          </w:p>
        </w:tc>
        <w:tc>
          <w:tcPr>
            <w:tcW w:w="720" w:type="dxa"/>
            <w:tcBorders>
              <w:right w:val="dashSmallGap" w:sz="4" w:space="0" w:color="auto"/>
            </w:tcBorders>
            <w:shd w:val="pct10" w:color="auto" w:fill="auto"/>
            <w:textDirection w:val="btLr"/>
            <w:vAlign w:val="center"/>
          </w:tcPr>
          <w:p w:rsidR="00DD0A9C" w:rsidRPr="005B03CE" w:rsidRDefault="00DD0A9C" w:rsidP="00F158BD">
            <w:pPr>
              <w:ind w:left="113" w:right="113"/>
              <w:jc w:val="center"/>
              <w:rPr>
                <w:noProof/>
                <w:sz w:val="18"/>
                <w:szCs w:val="18"/>
              </w:rPr>
            </w:pPr>
            <w:r w:rsidRPr="005B03CE">
              <w:rPr>
                <w:noProof/>
                <w:sz w:val="18"/>
              </w:rPr>
              <w:t>No</w:t>
            </w:r>
          </w:p>
        </w:tc>
        <w:tc>
          <w:tcPr>
            <w:tcW w:w="720" w:type="dxa"/>
            <w:tcBorders>
              <w:left w:val="dashSmallGap" w:sz="4" w:space="0" w:color="auto"/>
            </w:tcBorders>
            <w:shd w:val="pct10" w:color="auto" w:fill="auto"/>
            <w:vAlign w:val="center"/>
          </w:tcPr>
          <w:p w:rsidR="00DD0A9C" w:rsidRPr="005B03CE" w:rsidRDefault="00DD0A9C" w:rsidP="00F158BD">
            <w:pPr>
              <w:jc w:val="center"/>
              <w:rPr>
                <w:noProof/>
                <w:sz w:val="18"/>
                <w:szCs w:val="18"/>
              </w:rPr>
            </w:pPr>
            <w:r w:rsidRPr="005B03CE">
              <w:rPr>
                <w:noProof/>
                <w:sz w:val="18"/>
              </w:rPr>
              <w:t>Cost</w:t>
            </w:r>
          </w:p>
        </w:tc>
        <w:tc>
          <w:tcPr>
            <w:tcW w:w="900" w:type="dxa"/>
            <w:tcBorders>
              <w:right w:val="dashSmallGap" w:sz="4" w:space="0" w:color="auto"/>
            </w:tcBorders>
            <w:shd w:val="pct10" w:color="auto" w:fill="auto"/>
            <w:textDirection w:val="btLr"/>
            <w:vAlign w:val="center"/>
          </w:tcPr>
          <w:p w:rsidR="00DD0A9C" w:rsidRPr="005B03CE" w:rsidRDefault="00DD0A9C" w:rsidP="00F158BD">
            <w:pPr>
              <w:ind w:left="113" w:right="113"/>
              <w:jc w:val="center"/>
              <w:rPr>
                <w:noProof/>
                <w:sz w:val="18"/>
                <w:szCs w:val="18"/>
              </w:rPr>
            </w:pPr>
            <w:r w:rsidRPr="005B03CE">
              <w:rPr>
                <w:noProof/>
                <w:sz w:val="18"/>
              </w:rPr>
              <w:t>No</w:t>
            </w:r>
          </w:p>
        </w:tc>
        <w:tc>
          <w:tcPr>
            <w:tcW w:w="720" w:type="dxa"/>
            <w:gridSpan w:val="2"/>
            <w:tcBorders>
              <w:left w:val="dashSmallGap" w:sz="4" w:space="0" w:color="auto"/>
            </w:tcBorders>
            <w:shd w:val="pct10" w:color="auto" w:fill="auto"/>
            <w:vAlign w:val="center"/>
          </w:tcPr>
          <w:p w:rsidR="00DD0A9C" w:rsidRPr="005B03CE" w:rsidRDefault="00DD0A9C" w:rsidP="00F158BD">
            <w:pPr>
              <w:jc w:val="center"/>
              <w:rPr>
                <w:noProof/>
                <w:sz w:val="18"/>
                <w:szCs w:val="18"/>
              </w:rPr>
            </w:pPr>
            <w:r w:rsidRPr="005B03CE">
              <w:rPr>
                <w:noProof/>
                <w:sz w:val="18"/>
              </w:rPr>
              <w:t>Cost</w:t>
            </w:r>
          </w:p>
        </w:tc>
        <w:tc>
          <w:tcPr>
            <w:tcW w:w="540" w:type="dxa"/>
            <w:tcBorders>
              <w:right w:val="dashSmallGap" w:sz="4" w:space="0" w:color="auto"/>
            </w:tcBorders>
            <w:shd w:val="pct10" w:color="auto" w:fill="auto"/>
            <w:textDirection w:val="btLr"/>
            <w:vAlign w:val="center"/>
          </w:tcPr>
          <w:p w:rsidR="00DD0A9C" w:rsidRPr="005B03CE" w:rsidRDefault="00DD0A9C" w:rsidP="00F158BD">
            <w:pPr>
              <w:ind w:left="113" w:right="113"/>
              <w:jc w:val="center"/>
              <w:rPr>
                <w:noProof/>
                <w:sz w:val="18"/>
                <w:szCs w:val="18"/>
              </w:rPr>
            </w:pPr>
            <w:r w:rsidRPr="005B03CE">
              <w:rPr>
                <w:noProof/>
                <w:sz w:val="18"/>
              </w:rPr>
              <w:t>No</w:t>
            </w:r>
          </w:p>
        </w:tc>
        <w:tc>
          <w:tcPr>
            <w:tcW w:w="648" w:type="dxa"/>
            <w:tcBorders>
              <w:left w:val="dashSmallGap" w:sz="4" w:space="0" w:color="auto"/>
            </w:tcBorders>
            <w:shd w:val="pct10" w:color="auto" w:fill="auto"/>
            <w:vAlign w:val="center"/>
          </w:tcPr>
          <w:p w:rsidR="00DD0A9C" w:rsidRPr="005B03CE" w:rsidRDefault="00DD0A9C" w:rsidP="00F158BD">
            <w:pPr>
              <w:jc w:val="center"/>
              <w:rPr>
                <w:noProof/>
                <w:sz w:val="18"/>
                <w:szCs w:val="18"/>
              </w:rPr>
            </w:pPr>
            <w:r w:rsidRPr="005B03CE">
              <w:rPr>
                <w:noProof/>
                <w:sz w:val="18"/>
              </w:rPr>
              <w:t>Cost</w:t>
            </w:r>
          </w:p>
        </w:tc>
        <w:tc>
          <w:tcPr>
            <w:tcW w:w="432" w:type="dxa"/>
            <w:tcBorders>
              <w:right w:val="dashSmallGap" w:sz="4" w:space="0" w:color="auto"/>
            </w:tcBorders>
            <w:shd w:val="pct10" w:color="auto" w:fill="auto"/>
            <w:textDirection w:val="btLr"/>
            <w:vAlign w:val="center"/>
          </w:tcPr>
          <w:p w:rsidR="00DD0A9C" w:rsidRPr="005B03CE" w:rsidRDefault="00DD0A9C" w:rsidP="00F158BD">
            <w:pPr>
              <w:ind w:left="113" w:right="113"/>
              <w:jc w:val="center"/>
              <w:rPr>
                <w:noProof/>
                <w:sz w:val="18"/>
                <w:szCs w:val="18"/>
              </w:rPr>
            </w:pPr>
            <w:r w:rsidRPr="005B03CE">
              <w:rPr>
                <w:noProof/>
                <w:sz w:val="18"/>
              </w:rPr>
              <w:t>No</w:t>
            </w:r>
          </w:p>
        </w:tc>
        <w:tc>
          <w:tcPr>
            <w:tcW w:w="720" w:type="dxa"/>
            <w:tcBorders>
              <w:left w:val="dashSmallGap" w:sz="4" w:space="0" w:color="auto"/>
            </w:tcBorders>
            <w:shd w:val="pct10" w:color="auto" w:fill="auto"/>
            <w:vAlign w:val="center"/>
          </w:tcPr>
          <w:p w:rsidR="00DD0A9C" w:rsidRPr="005B03CE" w:rsidRDefault="00DD0A9C" w:rsidP="00F158BD">
            <w:pPr>
              <w:jc w:val="center"/>
              <w:rPr>
                <w:noProof/>
                <w:sz w:val="18"/>
                <w:szCs w:val="18"/>
              </w:rPr>
            </w:pPr>
            <w:r w:rsidRPr="005B03CE">
              <w:rPr>
                <w:noProof/>
                <w:sz w:val="18"/>
              </w:rPr>
              <w:t>Cost</w:t>
            </w:r>
          </w:p>
        </w:tc>
        <w:tc>
          <w:tcPr>
            <w:tcW w:w="540" w:type="dxa"/>
            <w:tcBorders>
              <w:right w:val="dashSmallGap" w:sz="4" w:space="0" w:color="auto"/>
            </w:tcBorders>
            <w:shd w:val="pct10" w:color="auto" w:fill="auto"/>
            <w:textDirection w:val="btLr"/>
            <w:vAlign w:val="center"/>
          </w:tcPr>
          <w:p w:rsidR="00DD0A9C" w:rsidRPr="005B03CE" w:rsidRDefault="00DD0A9C" w:rsidP="00F158BD">
            <w:pPr>
              <w:ind w:left="113" w:right="113"/>
              <w:jc w:val="center"/>
              <w:rPr>
                <w:noProof/>
                <w:sz w:val="18"/>
                <w:szCs w:val="18"/>
              </w:rPr>
            </w:pPr>
            <w:r w:rsidRPr="005B03CE">
              <w:rPr>
                <w:noProof/>
                <w:sz w:val="18"/>
              </w:rPr>
              <w:t>No</w:t>
            </w:r>
          </w:p>
        </w:tc>
        <w:tc>
          <w:tcPr>
            <w:tcW w:w="720" w:type="dxa"/>
            <w:tcBorders>
              <w:left w:val="dashSmallGap" w:sz="4" w:space="0" w:color="auto"/>
            </w:tcBorders>
            <w:shd w:val="pct10" w:color="auto" w:fill="auto"/>
            <w:vAlign w:val="center"/>
          </w:tcPr>
          <w:p w:rsidR="00DD0A9C" w:rsidRPr="005B03CE" w:rsidRDefault="00DD0A9C" w:rsidP="00F158BD">
            <w:pPr>
              <w:jc w:val="center"/>
              <w:rPr>
                <w:noProof/>
                <w:sz w:val="18"/>
                <w:szCs w:val="18"/>
              </w:rPr>
            </w:pPr>
            <w:r w:rsidRPr="005B03CE">
              <w:rPr>
                <w:noProof/>
                <w:sz w:val="18"/>
              </w:rPr>
              <w:t>Cost</w:t>
            </w:r>
          </w:p>
        </w:tc>
        <w:tc>
          <w:tcPr>
            <w:tcW w:w="720" w:type="dxa"/>
            <w:tcBorders>
              <w:right w:val="dashSmallGap" w:sz="4" w:space="0" w:color="auto"/>
            </w:tcBorders>
            <w:shd w:val="pct10" w:color="auto" w:fill="auto"/>
            <w:vAlign w:val="center"/>
          </w:tcPr>
          <w:p w:rsidR="00DD0A9C" w:rsidRPr="005B03CE" w:rsidRDefault="00DD0A9C" w:rsidP="00F158BD">
            <w:pPr>
              <w:jc w:val="center"/>
              <w:rPr>
                <w:noProof/>
                <w:sz w:val="18"/>
                <w:szCs w:val="18"/>
              </w:rPr>
            </w:pPr>
            <w:r w:rsidRPr="005B03CE">
              <w:rPr>
                <w:noProof/>
                <w:sz w:val="18"/>
              </w:rPr>
              <w:t>Total No</w:t>
            </w:r>
          </w:p>
        </w:tc>
        <w:tc>
          <w:tcPr>
            <w:tcW w:w="900" w:type="dxa"/>
            <w:tcBorders>
              <w:left w:val="dashSmallGap" w:sz="4" w:space="0" w:color="auto"/>
            </w:tcBorders>
            <w:shd w:val="pct10" w:color="auto" w:fill="auto"/>
            <w:vAlign w:val="center"/>
          </w:tcPr>
          <w:p w:rsidR="00DD0A9C" w:rsidRPr="005B03CE" w:rsidRDefault="00DD0A9C" w:rsidP="00F158BD">
            <w:pPr>
              <w:jc w:val="center"/>
              <w:rPr>
                <w:noProof/>
                <w:sz w:val="18"/>
                <w:szCs w:val="18"/>
              </w:rPr>
            </w:pPr>
            <w:r w:rsidRPr="005B03CE">
              <w:rPr>
                <w:noProof/>
                <w:sz w:val="18"/>
              </w:rPr>
              <w:t>Total cost</w:t>
            </w:r>
          </w:p>
        </w:tc>
      </w:tr>
      <w:tr w:rsidR="00DD0A9C" w:rsidRPr="005B03CE" w:rsidTr="00F158BD">
        <w:trPr>
          <w:jc w:val="center"/>
        </w:trPr>
        <w:tc>
          <w:tcPr>
            <w:tcW w:w="2844" w:type="dxa"/>
            <w:gridSpan w:val="3"/>
            <w:vAlign w:val="center"/>
          </w:tcPr>
          <w:p w:rsidR="00DD0A9C" w:rsidRPr="005B03CE" w:rsidRDefault="00DD0A9C" w:rsidP="00F158BD">
            <w:pPr>
              <w:spacing w:before="60" w:after="60"/>
              <w:ind w:right="-29"/>
              <w:jc w:val="center"/>
              <w:rPr>
                <w:noProof/>
                <w:sz w:val="18"/>
                <w:szCs w:val="18"/>
              </w:rPr>
            </w:pPr>
            <w:r w:rsidRPr="005B03CE">
              <w:rPr>
                <w:noProof/>
                <w:sz w:val="18"/>
              </w:rPr>
              <w:t>SPECIFIC OBJECTIVE No 1</w:t>
            </w:r>
            <w:r w:rsidRPr="005B03CE">
              <w:rPr>
                <w:rStyle w:val="FootnoteReference"/>
                <w:noProof/>
                <w:sz w:val="18"/>
              </w:rPr>
              <w:footnoteReference w:id="20"/>
            </w:r>
            <w:r w:rsidRPr="005B03CE">
              <w:rPr>
                <w:noProof/>
                <w:sz w:val="18"/>
              </w:rPr>
              <w:t>…</w:t>
            </w:r>
          </w:p>
        </w:tc>
        <w:tc>
          <w:tcPr>
            <w:tcW w:w="504"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54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90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gridSpan w:val="2"/>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54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648"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432"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54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90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r>
      <w:tr w:rsidR="00DD0A9C" w:rsidRPr="005B03CE" w:rsidTr="00F158BD">
        <w:trPr>
          <w:trHeight w:hRule="exact" w:val="369"/>
          <w:jc w:val="center"/>
        </w:trPr>
        <w:tc>
          <w:tcPr>
            <w:tcW w:w="1423" w:type="dxa"/>
          </w:tcPr>
          <w:p w:rsidR="00DD0A9C" w:rsidRPr="005B03CE" w:rsidRDefault="00DD0A9C" w:rsidP="00F158BD">
            <w:pPr>
              <w:ind w:right="-29"/>
              <w:jc w:val="center"/>
              <w:rPr>
                <w:noProof/>
                <w:sz w:val="18"/>
                <w:szCs w:val="18"/>
              </w:rPr>
            </w:pPr>
            <w:r w:rsidRPr="005B03CE">
              <w:rPr>
                <w:noProof/>
                <w:sz w:val="18"/>
              </w:rPr>
              <w:t>- Output</w:t>
            </w:r>
          </w:p>
        </w:tc>
        <w:tc>
          <w:tcPr>
            <w:tcW w:w="720" w:type="dxa"/>
          </w:tcPr>
          <w:p w:rsidR="00DD0A9C" w:rsidRPr="005B03CE" w:rsidRDefault="00DD0A9C" w:rsidP="00F158BD">
            <w:pPr>
              <w:ind w:right="-29"/>
              <w:jc w:val="center"/>
              <w:rPr>
                <w:noProof/>
                <w:sz w:val="18"/>
                <w:szCs w:val="18"/>
              </w:rPr>
            </w:pPr>
          </w:p>
        </w:tc>
        <w:tc>
          <w:tcPr>
            <w:tcW w:w="701" w:type="dxa"/>
          </w:tcPr>
          <w:p w:rsidR="00DD0A9C" w:rsidRPr="005B03CE" w:rsidRDefault="00DD0A9C" w:rsidP="00F158BD">
            <w:pPr>
              <w:ind w:right="-29"/>
              <w:jc w:val="center"/>
              <w:rPr>
                <w:noProof/>
                <w:sz w:val="18"/>
                <w:szCs w:val="18"/>
              </w:rPr>
            </w:pPr>
          </w:p>
        </w:tc>
        <w:tc>
          <w:tcPr>
            <w:tcW w:w="504" w:type="dxa"/>
            <w:tcBorders>
              <w:right w:val="dashSmallGap" w:sz="4" w:space="0" w:color="auto"/>
            </w:tcBorders>
          </w:tcPr>
          <w:p w:rsidR="00DD0A9C" w:rsidRPr="005B03CE" w:rsidRDefault="00DD0A9C" w:rsidP="00F158BD">
            <w:pPr>
              <w:ind w:right="-29"/>
              <w:jc w:val="center"/>
              <w:rPr>
                <w:noProof/>
                <w:sz w:val="18"/>
                <w:szCs w:val="18"/>
              </w:rPr>
            </w:pPr>
          </w:p>
        </w:tc>
        <w:tc>
          <w:tcPr>
            <w:tcW w:w="720" w:type="dxa"/>
            <w:tcBorders>
              <w:left w:val="dashSmallGap" w:sz="4" w:space="0" w:color="auto"/>
            </w:tcBorders>
          </w:tcPr>
          <w:p w:rsidR="00DD0A9C" w:rsidRPr="005B03CE" w:rsidRDefault="00DD0A9C" w:rsidP="00F158BD">
            <w:pPr>
              <w:ind w:right="-29"/>
              <w:jc w:val="center"/>
              <w:rPr>
                <w:noProof/>
                <w:sz w:val="18"/>
                <w:szCs w:val="18"/>
              </w:rPr>
            </w:pPr>
          </w:p>
        </w:tc>
        <w:tc>
          <w:tcPr>
            <w:tcW w:w="540" w:type="dxa"/>
            <w:tcBorders>
              <w:right w:val="dashSmallGap" w:sz="4" w:space="0" w:color="auto"/>
            </w:tcBorders>
          </w:tcPr>
          <w:p w:rsidR="00DD0A9C" w:rsidRPr="005B03CE" w:rsidRDefault="00DD0A9C" w:rsidP="00F158BD">
            <w:pPr>
              <w:ind w:right="-29"/>
              <w:jc w:val="center"/>
              <w:rPr>
                <w:noProof/>
                <w:sz w:val="18"/>
                <w:szCs w:val="18"/>
              </w:rPr>
            </w:pPr>
          </w:p>
        </w:tc>
        <w:tc>
          <w:tcPr>
            <w:tcW w:w="720" w:type="dxa"/>
            <w:tcBorders>
              <w:left w:val="dashSmallGap" w:sz="4" w:space="0" w:color="auto"/>
            </w:tcBorders>
          </w:tcPr>
          <w:p w:rsidR="00DD0A9C" w:rsidRPr="005B03CE" w:rsidRDefault="00DD0A9C" w:rsidP="00F158BD">
            <w:pPr>
              <w:ind w:right="-29"/>
              <w:jc w:val="center"/>
              <w:rPr>
                <w:noProof/>
                <w:sz w:val="18"/>
                <w:szCs w:val="18"/>
              </w:rPr>
            </w:pPr>
          </w:p>
        </w:tc>
        <w:tc>
          <w:tcPr>
            <w:tcW w:w="720" w:type="dxa"/>
            <w:tcBorders>
              <w:right w:val="dashSmallGap" w:sz="4" w:space="0" w:color="auto"/>
            </w:tcBorders>
          </w:tcPr>
          <w:p w:rsidR="00DD0A9C" w:rsidRPr="005B03CE" w:rsidRDefault="00DD0A9C" w:rsidP="00F158BD">
            <w:pPr>
              <w:ind w:right="-29"/>
              <w:jc w:val="center"/>
              <w:rPr>
                <w:noProof/>
                <w:sz w:val="18"/>
                <w:szCs w:val="18"/>
              </w:rPr>
            </w:pPr>
          </w:p>
        </w:tc>
        <w:tc>
          <w:tcPr>
            <w:tcW w:w="720" w:type="dxa"/>
            <w:tcBorders>
              <w:left w:val="dashSmallGap" w:sz="4" w:space="0" w:color="auto"/>
            </w:tcBorders>
          </w:tcPr>
          <w:p w:rsidR="00DD0A9C" w:rsidRPr="005B03CE" w:rsidRDefault="00DD0A9C" w:rsidP="00F158BD">
            <w:pPr>
              <w:ind w:right="-29"/>
              <w:jc w:val="center"/>
              <w:rPr>
                <w:noProof/>
                <w:sz w:val="18"/>
                <w:szCs w:val="18"/>
              </w:rPr>
            </w:pPr>
          </w:p>
        </w:tc>
        <w:tc>
          <w:tcPr>
            <w:tcW w:w="900" w:type="dxa"/>
            <w:tcBorders>
              <w:right w:val="dashSmallGap" w:sz="4" w:space="0" w:color="auto"/>
            </w:tcBorders>
          </w:tcPr>
          <w:p w:rsidR="00DD0A9C" w:rsidRPr="005B03CE" w:rsidRDefault="00DD0A9C" w:rsidP="00F158BD">
            <w:pPr>
              <w:ind w:right="-29"/>
              <w:jc w:val="center"/>
              <w:rPr>
                <w:noProof/>
                <w:sz w:val="18"/>
                <w:szCs w:val="18"/>
              </w:rPr>
            </w:pPr>
          </w:p>
        </w:tc>
        <w:tc>
          <w:tcPr>
            <w:tcW w:w="720" w:type="dxa"/>
            <w:gridSpan w:val="2"/>
            <w:tcBorders>
              <w:left w:val="dashSmallGap" w:sz="4" w:space="0" w:color="auto"/>
            </w:tcBorders>
          </w:tcPr>
          <w:p w:rsidR="00DD0A9C" w:rsidRPr="005B03CE" w:rsidRDefault="00DD0A9C" w:rsidP="00F158BD">
            <w:pPr>
              <w:ind w:right="-29"/>
              <w:jc w:val="center"/>
              <w:rPr>
                <w:noProof/>
                <w:sz w:val="18"/>
                <w:szCs w:val="18"/>
              </w:rPr>
            </w:pPr>
          </w:p>
        </w:tc>
        <w:tc>
          <w:tcPr>
            <w:tcW w:w="540" w:type="dxa"/>
            <w:tcBorders>
              <w:right w:val="dashSmallGap" w:sz="4" w:space="0" w:color="auto"/>
            </w:tcBorders>
          </w:tcPr>
          <w:p w:rsidR="00DD0A9C" w:rsidRPr="005B03CE" w:rsidRDefault="00DD0A9C" w:rsidP="00F158BD">
            <w:pPr>
              <w:ind w:right="-29"/>
              <w:jc w:val="center"/>
              <w:rPr>
                <w:noProof/>
                <w:sz w:val="18"/>
                <w:szCs w:val="18"/>
              </w:rPr>
            </w:pPr>
          </w:p>
        </w:tc>
        <w:tc>
          <w:tcPr>
            <w:tcW w:w="648" w:type="dxa"/>
            <w:tcBorders>
              <w:left w:val="dashSmallGap" w:sz="4" w:space="0" w:color="auto"/>
            </w:tcBorders>
          </w:tcPr>
          <w:p w:rsidR="00DD0A9C" w:rsidRPr="005B03CE" w:rsidRDefault="00DD0A9C" w:rsidP="00F158BD">
            <w:pPr>
              <w:ind w:right="-29"/>
              <w:jc w:val="center"/>
              <w:rPr>
                <w:noProof/>
                <w:sz w:val="18"/>
                <w:szCs w:val="18"/>
              </w:rPr>
            </w:pPr>
          </w:p>
        </w:tc>
        <w:tc>
          <w:tcPr>
            <w:tcW w:w="432" w:type="dxa"/>
            <w:tcBorders>
              <w:right w:val="dashSmallGap" w:sz="4" w:space="0" w:color="auto"/>
            </w:tcBorders>
          </w:tcPr>
          <w:p w:rsidR="00DD0A9C" w:rsidRPr="005B03CE" w:rsidRDefault="00DD0A9C" w:rsidP="00F158BD">
            <w:pPr>
              <w:ind w:right="-29"/>
              <w:jc w:val="center"/>
              <w:rPr>
                <w:noProof/>
                <w:sz w:val="18"/>
                <w:szCs w:val="18"/>
              </w:rPr>
            </w:pPr>
          </w:p>
        </w:tc>
        <w:tc>
          <w:tcPr>
            <w:tcW w:w="720" w:type="dxa"/>
            <w:tcBorders>
              <w:left w:val="dashSmallGap" w:sz="4" w:space="0" w:color="auto"/>
            </w:tcBorders>
          </w:tcPr>
          <w:p w:rsidR="00DD0A9C" w:rsidRPr="005B03CE" w:rsidRDefault="00DD0A9C" w:rsidP="00F158BD">
            <w:pPr>
              <w:ind w:right="-29"/>
              <w:jc w:val="center"/>
              <w:rPr>
                <w:noProof/>
                <w:sz w:val="18"/>
                <w:szCs w:val="18"/>
              </w:rPr>
            </w:pPr>
          </w:p>
        </w:tc>
        <w:tc>
          <w:tcPr>
            <w:tcW w:w="540" w:type="dxa"/>
            <w:tcBorders>
              <w:right w:val="dashSmallGap" w:sz="4" w:space="0" w:color="auto"/>
            </w:tcBorders>
          </w:tcPr>
          <w:p w:rsidR="00DD0A9C" w:rsidRPr="005B03CE" w:rsidRDefault="00DD0A9C" w:rsidP="00F158BD">
            <w:pPr>
              <w:ind w:right="-29"/>
              <w:jc w:val="center"/>
              <w:rPr>
                <w:noProof/>
                <w:sz w:val="18"/>
                <w:szCs w:val="18"/>
              </w:rPr>
            </w:pPr>
          </w:p>
        </w:tc>
        <w:tc>
          <w:tcPr>
            <w:tcW w:w="720" w:type="dxa"/>
            <w:tcBorders>
              <w:left w:val="dashSmallGap" w:sz="4" w:space="0" w:color="auto"/>
            </w:tcBorders>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900" w:type="dxa"/>
          </w:tcPr>
          <w:p w:rsidR="00DD0A9C" w:rsidRPr="005B03CE" w:rsidRDefault="00DD0A9C" w:rsidP="00F158BD">
            <w:pPr>
              <w:ind w:right="-29"/>
              <w:jc w:val="center"/>
              <w:rPr>
                <w:noProof/>
                <w:sz w:val="18"/>
                <w:szCs w:val="18"/>
              </w:rPr>
            </w:pPr>
          </w:p>
        </w:tc>
      </w:tr>
      <w:tr w:rsidR="00DD0A9C" w:rsidRPr="005B03CE" w:rsidTr="00F158BD">
        <w:trPr>
          <w:trHeight w:hRule="exact" w:val="369"/>
          <w:jc w:val="center"/>
        </w:trPr>
        <w:tc>
          <w:tcPr>
            <w:tcW w:w="1423" w:type="dxa"/>
          </w:tcPr>
          <w:p w:rsidR="00DD0A9C" w:rsidRPr="005B03CE" w:rsidRDefault="00DD0A9C" w:rsidP="00F158BD">
            <w:pPr>
              <w:ind w:right="-29"/>
              <w:jc w:val="center"/>
              <w:rPr>
                <w:noProof/>
                <w:sz w:val="18"/>
                <w:szCs w:val="18"/>
              </w:rPr>
            </w:pPr>
            <w:r w:rsidRPr="005B03CE">
              <w:rPr>
                <w:noProof/>
                <w:sz w:val="18"/>
              </w:rPr>
              <w:t>- Output</w:t>
            </w:r>
          </w:p>
        </w:tc>
        <w:tc>
          <w:tcPr>
            <w:tcW w:w="720" w:type="dxa"/>
          </w:tcPr>
          <w:p w:rsidR="00DD0A9C" w:rsidRPr="005B03CE" w:rsidRDefault="00DD0A9C" w:rsidP="00F158BD">
            <w:pPr>
              <w:ind w:right="-29"/>
              <w:jc w:val="center"/>
              <w:rPr>
                <w:noProof/>
                <w:sz w:val="18"/>
                <w:szCs w:val="18"/>
              </w:rPr>
            </w:pPr>
          </w:p>
        </w:tc>
        <w:tc>
          <w:tcPr>
            <w:tcW w:w="701" w:type="dxa"/>
          </w:tcPr>
          <w:p w:rsidR="00DD0A9C" w:rsidRPr="005B03CE" w:rsidRDefault="00DD0A9C" w:rsidP="00F158BD">
            <w:pPr>
              <w:ind w:right="-29"/>
              <w:jc w:val="center"/>
              <w:rPr>
                <w:noProof/>
                <w:sz w:val="18"/>
                <w:szCs w:val="18"/>
              </w:rPr>
            </w:pPr>
          </w:p>
        </w:tc>
        <w:tc>
          <w:tcPr>
            <w:tcW w:w="504" w:type="dxa"/>
            <w:tcBorders>
              <w:right w:val="dashSmallGap" w:sz="4" w:space="0" w:color="auto"/>
            </w:tcBorders>
          </w:tcPr>
          <w:p w:rsidR="00DD0A9C" w:rsidRPr="005B03CE" w:rsidRDefault="00DD0A9C" w:rsidP="00F158BD">
            <w:pPr>
              <w:ind w:right="-29"/>
              <w:jc w:val="center"/>
              <w:rPr>
                <w:noProof/>
                <w:sz w:val="18"/>
                <w:szCs w:val="18"/>
              </w:rPr>
            </w:pPr>
          </w:p>
        </w:tc>
        <w:tc>
          <w:tcPr>
            <w:tcW w:w="720" w:type="dxa"/>
            <w:tcBorders>
              <w:left w:val="dashSmallGap" w:sz="4" w:space="0" w:color="auto"/>
            </w:tcBorders>
          </w:tcPr>
          <w:p w:rsidR="00DD0A9C" w:rsidRPr="005B03CE" w:rsidRDefault="00DD0A9C" w:rsidP="00F158BD">
            <w:pPr>
              <w:ind w:right="-29"/>
              <w:jc w:val="center"/>
              <w:rPr>
                <w:noProof/>
                <w:sz w:val="18"/>
                <w:szCs w:val="18"/>
              </w:rPr>
            </w:pPr>
          </w:p>
        </w:tc>
        <w:tc>
          <w:tcPr>
            <w:tcW w:w="540" w:type="dxa"/>
            <w:tcBorders>
              <w:right w:val="dashSmallGap" w:sz="4" w:space="0" w:color="auto"/>
            </w:tcBorders>
          </w:tcPr>
          <w:p w:rsidR="00DD0A9C" w:rsidRPr="005B03CE" w:rsidRDefault="00DD0A9C" w:rsidP="00F158BD">
            <w:pPr>
              <w:ind w:right="-29"/>
              <w:jc w:val="center"/>
              <w:rPr>
                <w:noProof/>
                <w:sz w:val="18"/>
                <w:szCs w:val="18"/>
              </w:rPr>
            </w:pPr>
          </w:p>
        </w:tc>
        <w:tc>
          <w:tcPr>
            <w:tcW w:w="720" w:type="dxa"/>
            <w:tcBorders>
              <w:left w:val="dashSmallGap" w:sz="4" w:space="0" w:color="auto"/>
            </w:tcBorders>
          </w:tcPr>
          <w:p w:rsidR="00DD0A9C" w:rsidRPr="005B03CE" w:rsidRDefault="00DD0A9C" w:rsidP="00F158BD">
            <w:pPr>
              <w:ind w:right="-29"/>
              <w:jc w:val="center"/>
              <w:rPr>
                <w:noProof/>
                <w:sz w:val="18"/>
                <w:szCs w:val="18"/>
              </w:rPr>
            </w:pPr>
          </w:p>
        </w:tc>
        <w:tc>
          <w:tcPr>
            <w:tcW w:w="720" w:type="dxa"/>
            <w:tcBorders>
              <w:right w:val="dashSmallGap" w:sz="4" w:space="0" w:color="auto"/>
            </w:tcBorders>
          </w:tcPr>
          <w:p w:rsidR="00DD0A9C" w:rsidRPr="005B03CE" w:rsidRDefault="00DD0A9C" w:rsidP="00F158BD">
            <w:pPr>
              <w:ind w:right="-29"/>
              <w:jc w:val="center"/>
              <w:rPr>
                <w:noProof/>
                <w:sz w:val="18"/>
                <w:szCs w:val="18"/>
              </w:rPr>
            </w:pPr>
          </w:p>
        </w:tc>
        <w:tc>
          <w:tcPr>
            <w:tcW w:w="720" w:type="dxa"/>
            <w:tcBorders>
              <w:left w:val="dashSmallGap" w:sz="4" w:space="0" w:color="auto"/>
            </w:tcBorders>
          </w:tcPr>
          <w:p w:rsidR="00DD0A9C" w:rsidRPr="005B03CE" w:rsidRDefault="00DD0A9C" w:rsidP="00F158BD">
            <w:pPr>
              <w:ind w:right="-29"/>
              <w:jc w:val="center"/>
              <w:rPr>
                <w:noProof/>
                <w:sz w:val="18"/>
                <w:szCs w:val="18"/>
              </w:rPr>
            </w:pPr>
          </w:p>
        </w:tc>
        <w:tc>
          <w:tcPr>
            <w:tcW w:w="900" w:type="dxa"/>
            <w:tcBorders>
              <w:right w:val="dashSmallGap" w:sz="4" w:space="0" w:color="auto"/>
            </w:tcBorders>
          </w:tcPr>
          <w:p w:rsidR="00DD0A9C" w:rsidRPr="005B03CE" w:rsidRDefault="00DD0A9C" w:rsidP="00F158BD">
            <w:pPr>
              <w:ind w:right="-29"/>
              <w:jc w:val="center"/>
              <w:rPr>
                <w:noProof/>
                <w:sz w:val="18"/>
                <w:szCs w:val="18"/>
              </w:rPr>
            </w:pPr>
          </w:p>
        </w:tc>
        <w:tc>
          <w:tcPr>
            <w:tcW w:w="720" w:type="dxa"/>
            <w:gridSpan w:val="2"/>
            <w:tcBorders>
              <w:left w:val="dashSmallGap" w:sz="4" w:space="0" w:color="auto"/>
            </w:tcBorders>
          </w:tcPr>
          <w:p w:rsidR="00DD0A9C" w:rsidRPr="005B03CE" w:rsidRDefault="00DD0A9C" w:rsidP="00F158BD">
            <w:pPr>
              <w:ind w:right="-29"/>
              <w:jc w:val="center"/>
              <w:rPr>
                <w:noProof/>
                <w:sz w:val="18"/>
                <w:szCs w:val="18"/>
              </w:rPr>
            </w:pPr>
          </w:p>
        </w:tc>
        <w:tc>
          <w:tcPr>
            <w:tcW w:w="540" w:type="dxa"/>
            <w:tcBorders>
              <w:right w:val="dashSmallGap" w:sz="4" w:space="0" w:color="auto"/>
            </w:tcBorders>
          </w:tcPr>
          <w:p w:rsidR="00DD0A9C" w:rsidRPr="005B03CE" w:rsidRDefault="00DD0A9C" w:rsidP="00F158BD">
            <w:pPr>
              <w:ind w:right="-29"/>
              <w:jc w:val="center"/>
              <w:rPr>
                <w:noProof/>
                <w:sz w:val="18"/>
                <w:szCs w:val="18"/>
              </w:rPr>
            </w:pPr>
          </w:p>
        </w:tc>
        <w:tc>
          <w:tcPr>
            <w:tcW w:w="648" w:type="dxa"/>
            <w:tcBorders>
              <w:left w:val="dashSmallGap" w:sz="4" w:space="0" w:color="auto"/>
            </w:tcBorders>
          </w:tcPr>
          <w:p w:rsidR="00DD0A9C" w:rsidRPr="005B03CE" w:rsidRDefault="00DD0A9C" w:rsidP="00F158BD">
            <w:pPr>
              <w:ind w:right="-29"/>
              <w:jc w:val="center"/>
              <w:rPr>
                <w:noProof/>
                <w:sz w:val="18"/>
                <w:szCs w:val="18"/>
              </w:rPr>
            </w:pPr>
          </w:p>
        </w:tc>
        <w:tc>
          <w:tcPr>
            <w:tcW w:w="432" w:type="dxa"/>
            <w:tcBorders>
              <w:right w:val="dashSmallGap" w:sz="4" w:space="0" w:color="auto"/>
            </w:tcBorders>
          </w:tcPr>
          <w:p w:rsidR="00DD0A9C" w:rsidRPr="005B03CE" w:rsidRDefault="00DD0A9C" w:rsidP="00F158BD">
            <w:pPr>
              <w:ind w:right="-29"/>
              <w:jc w:val="center"/>
              <w:rPr>
                <w:noProof/>
                <w:sz w:val="18"/>
                <w:szCs w:val="18"/>
              </w:rPr>
            </w:pPr>
          </w:p>
        </w:tc>
        <w:tc>
          <w:tcPr>
            <w:tcW w:w="720" w:type="dxa"/>
            <w:tcBorders>
              <w:left w:val="dashSmallGap" w:sz="4" w:space="0" w:color="auto"/>
            </w:tcBorders>
          </w:tcPr>
          <w:p w:rsidR="00DD0A9C" w:rsidRPr="005B03CE" w:rsidRDefault="00DD0A9C" w:rsidP="00F158BD">
            <w:pPr>
              <w:ind w:right="-29"/>
              <w:jc w:val="center"/>
              <w:rPr>
                <w:noProof/>
                <w:sz w:val="18"/>
                <w:szCs w:val="18"/>
              </w:rPr>
            </w:pPr>
          </w:p>
        </w:tc>
        <w:tc>
          <w:tcPr>
            <w:tcW w:w="540" w:type="dxa"/>
            <w:tcBorders>
              <w:right w:val="dashSmallGap" w:sz="4" w:space="0" w:color="auto"/>
            </w:tcBorders>
          </w:tcPr>
          <w:p w:rsidR="00DD0A9C" w:rsidRPr="005B03CE" w:rsidRDefault="00DD0A9C" w:rsidP="00F158BD">
            <w:pPr>
              <w:ind w:right="-29"/>
              <w:jc w:val="center"/>
              <w:rPr>
                <w:noProof/>
                <w:sz w:val="18"/>
                <w:szCs w:val="18"/>
              </w:rPr>
            </w:pPr>
          </w:p>
        </w:tc>
        <w:tc>
          <w:tcPr>
            <w:tcW w:w="720" w:type="dxa"/>
            <w:tcBorders>
              <w:left w:val="dashSmallGap" w:sz="4" w:space="0" w:color="auto"/>
            </w:tcBorders>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900" w:type="dxa"/>
          </w:tcPr>
          <w:p w:rsidR="00DD0A9C" w:rsidRPr="005B03CE" w:rsidRDefault="00DD0A9C" w:rsidP="00F158BD">
            <w:pPr>
              <w:ind w:right="-29"/>
              <w:jc w:val="center"/>
              <w:rPr>
                <w:noProof/>
                <w:sz w:val="18"/>
                <w:szCs w:val="18"/>
              </w:rPr>
            </w:pPr>
          </w:p>
        </w:tc>
      </w:tr>
      <w:tr w:rsidR="00DD0A9C" w:rsidRPr="005B03CE" w:rsidTr="00F158BD">
        <w:trPr>
          <w:trHeight w:hRule="exact" w:val="369"/>
          <w:jc w:val="center"/>
        </w:trPr>
        <w:tc>
          <w:tcPr>
            <w:tcW w:w="1423" w:type="dxa"/>
          </w:tcPr>
          <w:p w:rsidR="00DD0A9C" w:rsidRPr="005B03CE" w:rsidRDefault="00DD0A9C" w:rsidP="00F158BD">
            <w:pPr>
              <w:ind w:right="-29"/>
              <w:jc w:val="center"/>
              <w:rPr>
                <w:noProof/>
                <w:sz w:val="18"/>
                <w:szCs w:val="18"/>
              </w:rPr>
            </w:pPr>
            <w:r w:rsidRPr="005B03CE">
              <w:rPr>
                <w:noProof/>
                <w:sz w:val="18"/>
              </w:rPr>
              <w:t>- Output</w:t>
            </w:r>
          </w:p>
        </w:tc>
        <w:tc>
          <w:tcPr>
            <w:tcW w:w="720" w:type="dxa"/>
          </w:tcPr>
          <w:p w:rsidR="00DD0A9C" w:rsidRPr="005B03CE" w:rsidRDefault="00DD0A9C" w:rsidP="00F158BD">
            <w:pPr>
              <w:ind w:right="-29"/>
              <w:jc w:val="center"/>
              <w:rPr>
                <w:noProof/>
                <w:sz w:val="18"/>
                <w:szCs w:val="18"/>
              </w:rPr>
            </w:pPr>
          </w:p>
        </w:tc>
        <w:tc>
          <w:tcPr>
            <w:tcW w:w="701" w:type="dxa"/>
          </w:tcPr>
          <w:p w:rsidR="00DD0A9C" w:rsidRPr="005B03CE" w:rsidRDefault="00DD0A9C" w:rsidP="00F158BD">
            <w:pPr>
              <w:ind w:right="-29"/>
              <w:jc w:val="center"/>
              <w:rPr>
                <w:noProof/>
                <w:sz w:val="18"/>
                <w:szCs w:val="18"/>
              </w:rPr>
            </w:pPr>
          </w:p>
        </w:tc>
        <w:tc>
          <w:tcPr>
            <w:tcW w:w="504" w:type="dxa"/>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540" w:type="dxa"/>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900" w:type="dxa"/>
          </w:tcPr>
          <w:p w:rsidR="00DD0A9C" w:rsidRPr="005B03CE" w:rsidRDefault="00DD0A9C" w:rsidP="00F158BD">
            <w:pPr>
              <w:ind w:right="-29"/>
              <w:jc w:val="center"/>
              <w:rPr>
                <w:noProof/>
                <w:sz w:val="18"/>
                <w:szCs w:val="18"/>
              </w:rPr>
            </w:pPr>
          </w:p>
        </w:tc>
        <w:tc>
          <w:tcPr>
            <w:tcW w:w="720" w:type="dxa"/>
            <w:gridSpan w:val="2"/>
          </w:tcPr>
          <w:p w:rsidR="00DD0A9C" w:rsidRPr="005B03CE" w:rsidRDefault="00DD0A9C" w:rsidP="00F158BD">
            <w:pPr>
              <w:ind w:right="-29"/>
              <w:jc w:val="center"/>
              <w:rPr>
                <w:noProof/>
                <w:sz w:val="18"/>
                <w:szCs w:val="18"/>
              </w:rPr>
            </w:pPr>
          </w:p>
        </w:tc>
        <w:tc>
          <w:tcPr>
            <w:tcW w:w="540" w:type="dxa"/>
          </w:tcPr>
          <w:p w:rsidR="00DD0A9C" w:rsidRPr="005B03CE" w:rsidRDefault="00DD0A9C" w:rsidP="00F158BD">
            <w:pPr>
              <w:ind w:right="-29"/>
              <w:jc w:val="center"/>
              <w:rPr>
                <w:noProof/>
                <w:sz w:val="18"/>
                <w:szCs w:val="18"/>
              </w:rPr>
            </w:pPr>
          </w:p>
        </w:tc>
        <w:tc>
          <w:tcPr>
            <w:tcW w:w="648" w:type="dxa"/>
          </w:tcPr>
          <w:p w:rsidR="00DD0A9C" w:rsidRPr="005B03CE" w:rsidRDefault="00DD0A9C" w:rsidP="00F158BD">
            <w:pPr>
              <w:ind w:right="-29"/>
              <w:jc w:val="center"/>
              <w:rPr>
                <w:noProof/>
                <w:sz w:val="18"/>
                <w:szCs w:val="18"/>
              </w:rPr>
            </w:pPr>
          </w:p>
        </w:tc>
        <w:tc>
          <w:tcPr>
            <w:tcW w:w="432" w:type="dxa"/>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540" w:type="dxa"/>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900" w:type="dxa"/>
          </w:tcPr>
          <w:p w:rsidR="00DD0A9C" w:rsidRPr="005B03CE" w:rsidRDefault="00DD0A9C" w:rsidP="00F158BD">
            <w:pPr>
              <w:ind w:right="-29"/>
              <w:jc w:val="center"/>
              <w:rPr>
                <w:noProof/>
                <w:sz w:val="18"/>
                <w:szCs w:val="18"/>
              </w:rPr>
            </w:pPr>
          </w:p>
        </w:tc>
      </w:tr>
      <w:tr w:rsidR="00DD0A9C" w:rsidRPr="005B03CE" w:rsidTr="00F158BD">
        <w:trPr>
          <w:trHeight w:val="77"/>
          <w:jc w:val="center"/>
        </w:trPr>
        <w:tc>
          <w:tcPr>
            <w:tcW w:w="2844" w:type="dxa"/>
            <w:gridSpan w:val="3"/>
            <w:tcBorders>
              <w:bottom w:val="single" w:sz="12" w:space="0" w:color="auto"/>
            </w:tcBorders>
            <w:vAlign w:val="center"/>
          </w:tcPr>
          <w:p w:rsidR="00DD0A9C" w:rsidRPr="005B03CE" w:rsidRDefault="00DD0A9C" w:rsidP="00F158BD">
            <w:pPr>
              <w:ind w:right="-29"/>
              <w:jc w:val="center"/>
              <w:rPr>
                <w:noProof/>
                <w:sz w:val="18"/>
                <w:szCs w:val="18"/>
              </w:rPr>
            </w:pPr>
            <w:r w:rsidRPr="005B03CE">
              <w:rPr>
                <w:noProof/>
                <w:sz w:val="18"/>
              </w:rPr>
              <w:t>Subtotal for specific objective No 1</w:t>
            </w:r>
          </w:p>
        </w:tc>
        <w:tc>
          <w:tcPr>
            <w:tcW w:w="504" w:type="dxa"/>
            <w:tcBorders>
              <w:bottom w:val="single" w:sz="12" w:space="0" w:color="auto"/>
            </w:tcBorders>
          </w:tcPr>
          <w:p w:rsidR="00DD0A9C" w:rsidRPr="005B03CE" w:rsidRDefault="00DD0A9C" w:rsidP="00F158BD">
            <w:pPr>
              <w:ind w:right="-29"/>
              <w:jc w:val="center"/>
              <w:rPr>
                <w:noProof/>
                <w:sz w:val="18"/>
                <w:szCs w:val="18"/>
              </w:rPr>
            </w:pPr>
          </w:p>
        </w:tc>
        <w:tc>
          <w:tcPr>
            <w:tcW w:w="720" w:type="dxa"/>
            <w:tcBorders>
              <w:bottom w:val="single" w:sz="12" w:space="0" w:color="auto"/>
            </w:tcBorders>
          </w:tcPr>
          <w:p w:rsidR="00DD0A9C" w:rsidRPr="005B03CE" w:rsidRDefault="00DD0A9C" w:rsidP="00F158BD">
            <w:pPr>
              <w:ind w:right="-29"/>
              <w:jc w:val="center"/>
              <w:rPr>
                <w:noProof/>
                <w:sz w:val="18"/>
                <w:szCs w:val="18"/>
              </w:rPr>
            </w:pPr>
          </w:p>
        </w:tc>
        <w:tc>
          <w:tcPr>
            <w:tcW w:w="540" w:type="dxa"/>
            <w:tcBorders>
              <w:bottom w:val="single" w:sz="12" w:space="0" w:color="auto"/>
            </w:tcBorders>
          </w:tcPr>
          <w:p w:rsidR="00DD0A9C" w:rsidRPr="005B03CE" w:rsidRDefault="00DD0A9C" w:rsidP="00F158BD">
            <w:pPr>
              <w:ind w:right="-29"/>
              <w:jc w:val="center"/>
              <w:rPr>
                <w:noProof/>
                <w:sz w:val="18"/>
                <w:szCs w:val="18"/>
              </w:rPr>
            </w:pPr>
          </w:p>
        </w:tc>
        <w:tc>
          <w:tcPr>
            <w:tcW w:w="720" w:type="dxa"/>
            <w:tcBorders>
              <w:bottom w:val="single" w:sz="12" w:space="0" w:color="auto"/>
            </w:tcBorders>
          </w:tcPr>
          <w:p w:rsidR="00DD0A9C" w:rsidRPr="005B03CE" w:rsidRDefault="00DD0A9C" w:rsidP="00F158BD">
            <w:pPr>
              <w:ind w:right="-29"/>
              <w:jc w:val="center"/>
              <w:rPr>
                <w:noProof/>
                <w:sz w:val="18"/>
                <w:szCs w:val="18"/>
              </w:rPr>
            </w:pPr>
          </w:p>
        </w:tc>
        <w:tc>
          <w:tcPr>
            <w:tcW w:w="720" w:type="dxa"/>
            <w:tcBorders>
              <w:bottom w:val="single" w:sz="12" w:space="0" w:color="auto"/>
            </w:tcBorders>
          </w:tcPr>
          <w:p w:rsidR="00DD0A9C" w:rsidRPr="005B03CE" w:rsidRDefault="00DD0A9C" w:rsidP="00F158BD">
            <w:pPr>
              <w:ind w:right="-29"/>
              <w:jc w:val="center"/>
              <w:rPr>
                <w:noProof/>
                <w:sz w:val="18"/>
                <w:szCs w:val="18"/>
              </w:rPr>
            </w:pPr>
          </w:p>
        </w:tc>
        <w:tc>
          <w:tcPr>
            <w:tcW w:w="720" w:type="dxa"/>
            <w:tcBorders>
              <w:bottom w:val="single" w:sz="12" w:space="0" w:color="auto"/>
            </w:tcBorders>
          </w:tcPr>
          <w:p w:rsidR="00DD0A9C" w:rsidRPr="005B03CE" w:rsidRDefault="00DD0A9C" w:rsidP="00F158BD">
            <w:pPr>
              <w:ind w:right="-29"/>
              <w:jc w:val="center"/>
              <w:rPr>
                <w:noProof/>
                <w:sz w:val="18"/>
                <w:szCs w:val="18"/>
              </w:rPr>
            </w:pPr>
          </w:p>
        </w:tc>
        <w:tc>
          <w:tcPr>
            <w:tcW w:w="900" w:type="dxa"/>
            <w:tcBorders>
              <w:bottom w:val="single" w:sz="12" w:space="0" w:color="auto"/>
            </w:tcBorders>
          </w:tcPr>
          <w:p w:rsidR="00DD0A9C" w:rsidRPr="005B03CE" w:rsidRDefault="00DD0A9C" w:rsidP="00F158BD">
            <w:pPr>
              <w:ind w:right="-29"/>
              <w:jc w:val="center"/>
              <w:rPr>
                <w:noProof/>
                <w:sz w:val="18"/>
                <w:szCs w:val="18"/>
              </w:rPr>
            </w:pPr>
          </w:p>
        </w:tc>
        <w:tc>
          <w:tcPr>
            <w:tcW w:w="720" w:type="dxa"/>
            <w:gridSpan w:val="2"/>
            <w:tcBorders>
              <w:bottom w:val="single" w:sz="12" w:space="0" w:color="auto"/>
            </w:tcBorders>
          </w:tcPr>
          <w:p w:rsidR="00DD0A9C" w:rsidRPr="005B03CE" w:rsidRDefault="00DD0A9C" w:rsidP="00F158BD">
            <w:pPr>
              <w:ind w:right="-29"/>
              <w:jc w:val="center"/>
              <w:rPr>
                <w:noProof/>
                <w:sz w:val="18"/>
                <w:szCs w:val="18"/>
              </w:rPr>
            </w:pPr>
          </w:p>
        </w:tc>
        <w:tc>
          <w:tcPr>
            <w:tcW w:w="540" w:type="dxa"/>
            <w:tcBorders>
              <w:bottom w:val="single" w:sz="12" w:space="0" w:color="auto"/>
            </w:tcBorders>
          </w:tcPr>
          <w:p w:rsidR="00DD0A9C" w:rsidRPr="005B03CE" w:rsidRDefault="00DD0A9C" w:rsidP="00F158BD">
            <w:pPr>
              <w:ind w:right="-29"/>
              <w:jc w:val="center"/>
              <w:rPr>
                <w:noProof/>
                <w:sz w:val="18"/>
                <w:szCs w:val="18"/>
              </w:rPr>
            </w:pPr>
          </w:p>
        </w:tc>
        <w:tc>
          <w:tcPr>
            <w:tcW w:w="648" w:type="dxa"/>
            <w:tcBorders>
              <w:bottom w:val="single" w:sz="12" w:space="0" w:color="auto"/>
            </w:tcBorders>
          </w:tcPr>
          <w:p w:rsidR="00DD0A9C" w:rsidRPr="005B03CE" w:rsidRDefault="00DD0A9C" w:rsidP="00F158BD">
            <w:pPr>
              <w:ind w:right="-29"/>
              <w:jc w:val="center"/>
              <w:rPr>
                <w:noProof/>
                <w:sz w:val="18"/>
                <w:szCs w:val="18"/>
              </w:rPr>
            </w:pPr>
          </w:p>
        </w:tc>
        <w:tc>
          <w:tcPr>
            <w:tcW w:w="432" w:type="dxa"/>
            <w:tcBorders>
              <w:bottom w:val="single" w:sz="12" w:space="0" w:color="auto"/>
            </w:tcBorders>
          </w:tcPr>
          <w:p w:rsidR="00DD0A9C" w:rsidRPr="005B03CE" w:rsidRDefault="00DD0A9C" w:rsidP="00F158BD">
            <w:pPr>
              <w:ind w:right="-29"/>
              <w:jc w:val="center"/>
              <w:rPr>
                <w:noProof/>
                <w:sz w:val="18"/>
                <w:szCs w:val="18"/>
              </w:rPr>
            </w:pPr>
          </w:p>
        </w:tc>
        <w:tc>
          <w:tcPr>
            <w:tcW w:w="720" w:type="dxa"/>
            <w:tcBorders>
              <w:bottom w:val="single" w:sz="12" w:space="0" w:color="auto"/>
            </w:tcBorders>
          </w:tcPr>
          <w:p w:rsidR="00DD0A9C" w:rsidRPr="005B03CE" w:rsidRDefault="00DD0A9C" w:rsidP="00F158BD">
            <w:pPr>
              <w:ind w:right="-29"/>
              <w:jc w:val="center"/>
              <w:rPr>
                <w:noProof/>
                <w:sz w:val="18"/>
                <w:szCs w:val="18"/>
              </w:rPr>
            </w:pPr>
          </w:p>
        </w:tc>
        <w:tc>
          <w:tcPr>
            <w:tcW w:w="540" w:type="dxa"/>
            <w:tcBorders>
              <w:bottom w:val="single" w:sz="12" w:space="0" w:color="auto"/>
            </w:tcBorders>
          </w:tcPr>
          <w:p w:rsidR="00DD0A9C" w:rsidRPr="005B03CE" w:rsidRDefault="00DD0A9C" w:rsidP="00F158BD">
            <w:pPr>
              <w:ind w:right="-29"/>
              <w:jc w:val="center"/>
              <w:rPr>
                <w:noProof/>
                <w:sz w:val="18"/>
                <w:szCs w:val="18"/>
              </w:rPr>
            </w:pPr>
          </w:p>
        </w:tc>
        <w:tc>
          <w:tcPr>
            <w:tcW w:w="720" w:type="dxa"/>
            <w:tcBorders>
              <w:bottom w:val="single" w:sz="12" w:space="0" w:color="auto"/>
            </w:tcBorders>
          </w:tcPr>
          <w:p w:rsidR="00DD0A9C" w:rsidRPr="005B03CE" w:rsidRDefault="00DD0A9C" w:rsidP="00F158BD">
            <w:pPr>
              <w:ind w:right="-29"/>
              <w:jc w:val="center"/>
              <w:rPr>
                <w:noProof/>
                <w:sz w:val="18"/>
                <w:szCs w:val="18"/>
              </w:rPr>
            </w:pPr>
          </w:p>
        </w:tc>
        <w:tc>
          <w:tcPr>
            <w:tcW w:w="720" w:type="dxa"/>
            <w:tcBorders>
              <w:bottom w:val="single" w:sz="12" w:space="0" w:color="auto"/>
            </w:tcBorders>
          </w:tcPr>
          <w:p w:rsidR="00DD0A9C" w:rsidRPr="005B03CE" w:rsidRDefault="00DD0A9C" w:rsidP="00F158BD">
            <w:pPr>
              <w:ind w:right="-29"/>
              <w:jc w:val="center"/>
              <w:rPr>
                <w:noProof/>
                <w:sz w:val="18"/>
                <w:szCs w:val="18"/>
              </w:rPr>
            </w:pPr>
          </w:p>
        </w:tc>
        <w:tc>
          <w:tcPr>
            <w:tcW w:w="900" w:type="dxa"/>
            <w:tcBorders>
              <w:bottom w:val="single" w:sz="12" w:space="0" w:color="auto"/>
            </w:tcBorders>
          </w:tcPr>
          <w:p w:rsidR="00DD0A9C" w:rsidRPr="005B03CE" w:rsidRDefault="00DD0A9C" w:rsidP="00F158BD">
            <w:pPr>
              <w:ind w:right="-29"/>
              <w:jc w:val="center"/>
              <w:rPr>
                <w:noProof/>
                <w:sz w:val="18"/>
                <w:szCs w:val="18"/>
              </w:rPr>
            </w:pPr>
          </w:p>
        </w:tc>
      </w:tr>
      <w:tr w:rsidR="00DD0A9C" w:rsidRPr="005B03CE" w:rsidTr="00F158BD">
        <w:trPr>
          <w:jc w:val="center"/>
        </w:trPr>
        <w:tc>
          <w:tcPr>
            <w:tcW w:w="2844" w:type="dxa"/>
            <w:gridSpan w:val="3"/>
            <w:vAlign w:val="center"/>
          </w:tcPr>
          <w:p w:rsidR="00DD0A9C" w:rsidRPr="005B03CE" w:rsidRDefault="00DD0A9C" w:rsidP="00F158BD">
            <w:pPr>
              <w:spacing w:before="60" w:after="60"/>
              <w:ind w:right="-29"/>
              <w:jc w:val="center"/>
              <w:rPr>
                <w:noProof/>
                <w:sz w:val="18"/>
                <w:szCs w:val="18"/>
              </w:rPr>
            </w:pPr>
            <w:r w:rsidRPr="005B03CE">
              <w:rPr>
                <w:noProof/>
                <w:sz w:val="18"/>
              </w:rPr>
              <w:t>SPECIFIC OBJECTIVE No 2 ...</w:t>
            </w:r>
          </w:p>
        </w:tc>
        <w:tc>
          <w:tcPr>
            <w:tcW w:w="504"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54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90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gridSpan w:val="2"/>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54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648"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432"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54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72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c>
          <w:tcPr>
            <w:tcW w:w="900" w:type="dxa"/>
            <w:tcBorders>
              <w:top w:val="nil"/>
              <w:left w:val="nil"/>
              <w:bottom w:val="nil"/>
              <w:right w:val="nil"/>
            </w:tcBorders>
          </w:tcPr>
          <w:p w:rsidR="00DD0A9C" w:rsidRPr="005B03CE" w:rsidRDefault="00DD0A9C" w:rsidP="00F158BD">
            <w:pPr>
              <w:spacing w:before="60" w:after="60"/>
              <w:ind w:right="-29"/>
              <w:jc w:val="center"/>
              <w:rPr>
                <w:noProof/>
                <w:sz w:val="18"/>
                <w:szCs w:val="18"/>
              </w:rPr>
            </w:pPr>
          </w:p>
        </w:tc>
      </w:tr>
      <w:tr w:rsidR="00DD0A9C" w:rsidRPr="005B03CE" w:rsidTr="00F158BD">
        <w:trPr>
          <w:trHeight w:hRule="exact" w:val="369"/>
          <w:jc w:val="center"/>
        </w:trPr>
        <w:tc>
          <w:tcPr>
            <w:tcW w:w="1423" w:type="dxa"/>
          </w:tcPr>
          <w:p w:rsidR="00DD0A9C" w:rsidRPr="005B03CE" w:rsidRDefault="00DD0A9C" w:rsidP="00F158BD">
            <w:pPr>
              <w:ind w:right="-29"/>
              <w:jc w:val="center"/>
              <w:rPr>
                <w:noProof/>
                <w:sz w:val="18"/>
                <w:szCs w:val="18"/>
              </w:rPr>
            </w:pPr>
            <w:r w:rsidRPr="005B03CE">
              <w:rPr>
                <w:noProof/>
                <w:sz w:val="18"/>
              </w:rPr>
              <w:t>- Output</w:t>
            </w:r>
          </w:p>
        </w:tc>
        <w:tc>
          <w:tcPr>
            <w:tcW w:w="720" w:type="dxa"/>
          </w:tcPr>
          <w:p w:rsidR="00DD0A9C" w:rsidRPr="005B03CE" w:rsidRDefault="00DD0A9C" w:rsidP="00F158BD">
            <w:pPr>
              <w:ind w:right="-29"/>
              <w:jc w:val="center"/>
              <w:rPr>
                <w:noProof/>
                <w:sz w:val="18"/>
                <w:szCs w:val="18"/>
              </w:rPr>
            </w:pPr>
          </w:p>
        </w:tc>
        <w:tc>
          <w:tcPr>
            <w:tcW w:w="701" w:type="dxa"/>
          </w:tcPr>
          <w:p w:rsidR="00DD0A9C" w:rsidRPr="005B03CE" w:rsidRDefault="00DD0A9C" w:rsidP="00F158BD">
            <w:pPr>
              <w:ind w:right="-29"/>
              <w:jc w:val="center"/>
              <w:rPr>
                <w:noProof/>
                <w:sz w:val="18"/>
                <w:szCs w:val="18"/>
              </w:rPr>
            </w:pPr>
          </w:p>
        </w:tc>
        <w:tc>
          <w:tcPr>
            <w:tcW w:w="504" w:type="dxa"/>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540" w:type="dxa"/>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900" w:type="dxa"/>
          </w:tcPr>
          <w:p w:rsidR="00DD0A9C" w:rsidRPr="005B03CE" w:rsidRDefault="00DD0A9C" w:rsidP="00F158BD">
            <w:pPr>
              <w:ind w:right="-29"/>
              <w:jc w:val="center"/>
              <w:rPr>
                <w:noProof/>
                <w:sz w:val="18"/>
                <w:szCs w:val="18"/>
              </w:rPr>
            </w:pPr>
          </w:p>
        </w:tc>
        <w:tc>
          <w:tcPr>
            <w:tcW w:w="720" w:type="dxa"/>
            <w:gridSpan w:val="2"/>
          </w:tcPr>
          <w:p w:rsidR="00DD0A9C" w:rsidRPr="005B03CE" w:rsidRDefault="00DD0A9C" w:rsidP="00F158BD">
            <w:pPr>
              <w:ind w:right="-29"/>
              <w:jc w:val="center"/>
              <w:rPr>
                <w:noProof/>
                <w:sz w:val="18"/>
                <w:szCs w:val="18"/>
              </w:rPr>
            </w:pPr>
          </w:p>
        </w:tc>
        <w:tc>
          <w:tcPr>
            <w:tcW w:w="540" w:type="dxa"/>
          </w:tcPr>
          <w:p w:rsidR="00DD0A9C" w:rsidRPr="005B03CE" w:rsidRDefault="00DD0A9C" w:rsidP="00F158BD">
            <w:pPr>
              <w:ind w:right="-29"/>
              <w:jc w:val="center"/>
              <w:rPr>
                <w:noProof/>
                <w:sz w:val="18"/>
                <w:szCs w:val="18"/>
              </w:rPr>
            </w:pPr>
          </w:p>
        </w:tc>
        <w:tc>
          <w:tcPr>
            <w:tcW w:w="648" w:type="dxa"/>
          </w:tcPr>
          <w:p w:rsidR="00DD0A9C" w:rsidRPr="005B03CE" w:rsidRDefault="00DD0A9C" w:rsidP="00F158BD">
            <w:pPr>
              <w:ind w:right="-29"/>
              <w:jc w:val="center"/>
              <w:rPr>
                <w:noProof/>
                <w:sz w:val="18"/>
                <w:szCs w:val="18"/>
              </w:rPr>
            </w:pPr>
          </w:p>
        </w:tc>
        <w:tc>
          <w:tcPr>
            <w:tcW w:w="432" w:type="dxa"/>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540" w:type="dxa"/>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720" w:type="dxa"/>
          </w:tcPr>
          <w:p w:rsidR="00DD0A9C" w:rsidRPr="005B03CE" w:rsidRDefault="00DD0A9C" w:rsidP="00F158BD">
            <w:pPr>
              <w:ind w:right="-29"/>
              <w:jc w:val="center"/>
              <w:rPr>
                <w:noProof/>
                <w:sz w:val="18"/>
                <w:szCs w:val="18"/>
              </w:rPr>
            </w:pPr>
          </w:p>
        </w:tc>
        <w:tc>
          <w:tcPr>
            <w:tcW w:w="900" w:type="dxa"/>
          </w:tcPr>
          <w:p w:rsidR="00DD0A9C" w:rsidRPr="005B03CE" w:rsidRDefault="00DD0A9C" w:rsidP="00F158BD">
            <w:pPr>
              <w:ind w:right="-29"/>
              <w:jc w:val="center"/>
              <w:rPr>
                <w:noProof/>
                <w:sz w:val="18"/>
                <w:szCs w:val="18"/>
              </w:rPr>
            </w:pPr>
          </w:p>
        </w:tc>
      </w:tr>
      <w:tr w:rsidR="00DD0A9C" w:rsidRPr="005B03CE" w:rsidTr="00F158BD">
        <w:trPr>
          <w:jc w:val="center"/>
        </w:trPr>
        <w:tc>
          <w:tcPr>
            <w:tcW w:w="2844" w:type="dxa"/>
            <w:gridSpan w:val="3"/>
            <w:tcBorders>
              <w:bottom w:val="single" w:sz="12" w:space="0" w:color="auto"/>
            </w:tcBorders>
            <w:vAlign w:val="center"/>
          </w:tcPr>
          <w:p w:rsidR="00DD0A9C" w:rsidRPr="005B03CE" w:rsidRDefault="00DD0A9C" w:rsidP="00F158BD">
            <w:pPr>
              <w:jc w:val="center"/>
              <w:rPr>
                <w:noProof/>
                <w:sz w:val="18"/>
                <w:szCs w:val="18"/>
              </w:rPr>
            </w:pPr>
            <w:r w:rsidRPr="005B03CE">
              <w:rPr>
                <w:noProof/>
                <w:sz w:val="18"/>
              </w:rPr>
              <w:t>Subtotal for specific objective No 2</w:t>
            </w:r>
          </w:p>
        </w:tc>
        <w:tc>
          <w:tcPr>
            <w:tcW w:w="504" w:type="dxa"/>
            <w:tcBorders>
              <w:bottom w:val="single" w:sz="12" w:space="0" w:color="auto"/>
            </w:tcBorders>
          </w:tcPr>
          <w:p w:rsidR="00DD0A9C" w:rsidRPr="005B03CE" w:rsidRDefault="00DD0A9C" w:rsidP="00F158BD">
            <w:pPr>
              <w:ind w:right="-29"/>
              <w:jc w:val="center"/>
              <w:rPr>
                <w:noProof/>
                <w:sz w:val="18"/>
                <w:szCs w:val="18"/>
              </w:rPr>
            </w:pPr>
          </w:p>
        </w:tc>
        <w:tc>
          <w:tcPr>
            <w:tcW w:w="720" w:type="dxa"/>
            <w:tcBorders>
              <w:bottom w:val="single" w:sz="12" w:space="0" w:color="auto"/>
            </w:tcBorders>
          </w:tcPr>
          <w:p w:rsidR="00DD0A9C" w:rsidRPr="005B03CE" w:rsidRDefault="00DD0A9C" w:rsidP="00F158BD">
            <w:pPr>
              <w:ind w:right="-29"/>
              <w:jc w:val="center"/>
              <w:rPr>
                <w:noProof/>
                <w:sz w:val="18"/>
                <w:szCs w:val="18"/>
              </w:rPr>
            </w:pPr>
          </w:p>
        </w:tc>
        <w:tc>
          <w:tcPr>
            <w:tcW w:w="540" w:type="dxa"/>
            <w:tcBorders>
              <w:bottom w:val="single" w:sz="12" w:space="0" w:color="auto"/>
            </w:tcBorders>
          </w:tcPr>
          <w:p w:rsidR="00DD0A9C" w:rsidRPr="005B03CE" w:rsidRDefault="00DD0A9C" w:rsidP="00F158BD">
            <w:pPr>
              <w:ind w:right="-29"/>
              <w:jc w:val="center"/>
              <w:rPr>
                <w:noProof/>
                <w:sz w:val="18"/>
                <w:szCs w:val="18"/>
              </w:rPr>
            </w:pPr>
          </w:p>
        </w:tc>
        <w:tc>
          <w:tcPr>
            <w:tcW w:w="720" w:type="dxa"/>
            <w:tcBorders>
              <w:bottom w:val="single" w:sz="12" w:space="0" w:color="auto"/>
            </w:tcBorders>
          </w:tcPr>
          <w:p w:rsidR="00DD0A9C" w:rsidRPr="005B03CE" w:rsidRDefault="00DD0A9C" w:rsidP="00F158BD">
            <w:pPr>
              <w:ind w:right="-29"/>
              <w:jc w:val="center"/>
              <w:rPr>
                <w:noProof/>
                <w:sz w:val="18"/>
                <w:szCs w:val="18"/>
              </w:rPr>
            </w:pPr>
          </w:p>
        </w:tc>
        <w:tc>
          <w:tcPr>
            <w:tcW w:w="720" w:type="dxa"/>
            <w:tcBorders>
              <w:bottom w:val="single" w:sz="12" w:space="0" w:color="auto"/>
            </w:tcBorders>
          </w:tcPr>
          <w:p w:rsidR="00DD0A9C" w:rsidRPr="005B03CE" w:rsidRDefault="00DD0A9C" w:rsidP="00F158BD">
            <w:pPr>
              <w:ind w:right="-29"/>
              <w:jc w:val="center"/>
              <w:rPr>
                <w:noProof/>
                <w:sz w:val="18"/>
                <w:szCs w:val="18"/>
              </w:rPr>
            </w:pPr>
          </w:p>
        </w:tc>
        <w:tc>
          <w:tcPr>
            <w:tcW w:w="720" w:type="dxa"/>
            <w:tcBorders>
              <w:bottom w:val="single" w:sz="12" w:space="0" w:color="auto"/>
            </w:tcBorders>
          </w:tcPr>
          <w:p w:rsidR="00DD0A9C" w:rsidRPr="005B03CE" w:rsidRDefault="00DD0A9C" w:rsidP="00F158BD">
            <w:pPr>
              <w:ind w:right="-29"/>
              <w:jc w:val="center"/>
              <w:rPr>
                <w:noProof/>
                <w:sz w:val="18"/>
                <w:szCs w:val="18"/>
              </w:rPr>
            </w:pPr>
          </w:p>
        </w:tc>
        <w:tc>
          <w:tcPr>
            <w:tcW w:w="951" w:type="dxa"/>
            <w:gridSpan w:val="2"/>
            <w:tcBorders>
              <w:bottom w:val="single" w:sz="12" w:space="0" w:color="auto"/>
            </w:tcBorders>
          </w:tcPr>
          <w:p w:rsidR="00DD0A9C" w:rsidRPr="005B03CE" w:rsidRDefault="00DD0A9C" w:rsidP="00F158BD">
            <w:pPr>
              <w:ind w:right="-29"/>
              <w:jc w:val="center"/>
              <w:rPr>
                <w:noProof/>
                <w:sz w:val="18"/>
                <w:szCs w:val="18"/>
              </w:rPr>
            </w:pPr>
          </w:p>
        </w:tc>
        <w:tc>
          <w:tcPr>
            <w:tcW w:w="669" w:type="dxa"/>
            <w:tcBorders>
              <w:bottom w:val="single" w:sz="12" w:space="0" w:color="auto"/>
            </w:tcBorders>
          </w:tcPr>
          <w:p w:rsidR="00DD0A9C" w:rsidRPr="005B03CE" w:rsidRDefault="00DD0A9C" w:rsidP="00F158BD">
            <w:pPr>
              <w:ind w:right="-29"/>
              <w:jc w:val="center"/>
              <w:rPr>
                <w:noProof/>
                <w:sz w:val="18"/>
                <w:szCs w:val="18"/>
              </w:rPr>
            </w:pPr>
          </w:p>
        </w:tc>
        <w:tc>
          <w:tcPr>
            <w:tcW w:w="540" w:type="dxa"/>
            <w:tcBorders>
              <w:bottom w:val="single" w:sz="12" w:space="0" w:color="auto"/>
            </w:tcBorders>
          </w:tcPr>
          <w:p w:rsidR="00DD0A9C" w:rsidRPr="005B03CE" w:rsidRDefault="00DD0A9C" w:rsidP="00F158BD">
            <w:pPr>
              <w:ind w:right="-29"/>
              <w:jc w:val="center"/>
              <w:rPr>
                <w:noProof/>
                <w:sz w:val="18"/>
                <w:szCs w:val="18"/>
              </w:rPr>
            </w:pPr>
          </w:p>
        </w:tc>
        <w:tc>
          <w:tcPr>
            <w:tcW w:w="648" w:type="dxa"/>
            <w:tcBorders>
              <w:bottom w:val="single" w:sz="12" w:space="0" w:color="auto"/>
            </w:tcBorders>
          </w:tcPr>
          <w:p w:rsidR="00DD0A9C" w:rsidRPr="005B03CE" w:rsidRDefault="00DD0A9C" w:rsidP="00F158BD">
            <w:pPr>
              <w:ind w:right="-29"/>
              <w:jc w:val="center"/>
              <w:rPr>
                <w:noProof/>
                <w:sz w:val="18"/>
                <w:szCs w:val="18"/>
              </w:rPr>
            </w:pPr>
          </w:p>
        </w:tc>
        <w:tc>
          <w:tcPr>
            <w:tcW w:w="432" w:type="dxa"/>
            <w:tcBorders>
              <w:bottom w:val="single" w:sz="12" w:space="0" w:color="auto"/>
            </w:tcBorders>
          </w:tcPr>
          <w:p w:rsidR="00DD0A9C" w:rsidRPr="005B03CE" w:rsidRDefault="00DD0A9C" w:rsidP="00F158BD">
            <w:pPr>
              <w:ind w:right="-29"/>
              <w:jc w:val="center"/>
              <w:rPr>
                <w:noProof/>
                <w:sz w:val="18"/>
                <w:szCs w:val="18"/>
              </w:rPr>
            </w:pPr>
          </w:p>
        </w:tc>
        <w:tc>
          <w:tcPr>
            <w:tcW w:w="720" w:type="dxa"/>
            <w:tcBorders>
              <w:bottom w:val="single" w:sz="12" w:space="0" w:color="auto"/>
            </w:tcBorders>
          </w:tcPr>
          <w:p w:rsidR="00DD0A9C" w:rsidRPr="005B03CE" w:rsidRDefault="00DD0A9C" w:rsidP="00F158BD">
            <w:pPr>
              <w:ind w:right="-29"/>
              <w:jc w:val="center"/>
              <w:rPr>
                <w:noProof/>
                <w:sz w:val="18"/>
                <w:szCs w:val="18"/>
              </w:rPr>
            </w:pPr>
          </w:p>
        </w:tc>
        <w:tc>
          <w:tcPr>
            <w:tcW w:w="540" w:type="dxa"/>
            <w:tcBorders>
              <w:bottom w:val="single" w:sz="12" w:space="0" w:color="auto"/>
            </w:tcBorders>
          </w:tcPr>
          <w:p w:rsidR="00DD0A9C" w:rsidRPr="005B03CE" w:rsidRDefault="00DD0A9C" w:rsidP="00F158BD">
            <w:pPr>
              <w:ind w:right="-29"/>
              <w:jc w:val="center"/>
              <w:rPr>
                <w:noProof/>
                <w:sz w:val="18"/>
                <w:szCs w:val="18"/>
              </w:rPr>
            </w:pPr>
          </w:p>
        </w:tc>
        <w:tc>
          <w:tcPr>
            <w:tcW w:w="720" w:type="dxa"/>
            <w:tcBorders>
              <w:bottom w:val="single" w:sz="12" w:space="0" w:color="auto"/>
            </w:tcBorders>
          </w:tcPr>
          <w:p w:rsidR="00DD0A9C" w:rsidRPr="005B03CE" w:rsidRDefault="00DD0A9C" w:rsidP="00F158BD">
            <w:pPr>
              <w:ind w:right="-29"/>
              <w:jc w:val="center"/>
              <w:rPr>
                <w:noProof/>
                <w:sz w:val="18"/>
                <w:szCs w:val="18"/>
              </w:rPr>
            </w:pPr>
          </w:p>
        </w:tc>
        <w:tc>
          <w:tcPr>
            <w:tcW w:w="720" w:type="dxa"/>
            <w:tcBorders>
              <w:bottom w:val="single" w:sz="12" w:space="0" w:color="auto"/>
            </w:tcBorders>
          </w:tcPr>
          <w:p w:rsidR="00DD0A9C" w:rsidRPr="005B03CE" w:rsidRDefault="00DD0A9C" w:rsidP="00F158BD">
            <w:pPr>
              <w:ind w:right="-29"/>
              <w:jc w:val="center"/>
              <w:rPr>
                <w:noProof/>
                <w:sz w:val="18"/>
                <w:szCs w:val="18"/>
              </w:rPr>
            </w:pPr>
          </w:p>
        </w:tc>
        <w:tc>
          <w:tcPr>
            <w:tcW w:w="900" w:type="dxa"/>
            <w:tcBorders>
              <w:bottom w:val="single" w:sz="12" w:space="0" w:color="auto"/>
            </w:tcBorders>
          </w:tcPr>
          <w:p w:rsidR="00DD0A9C" w:rsidRPr="005B03CE" w:rsidRDefault="00DD0A9C" w:rsidP="00F158BD">
            <w:pPr>
              <w:ind w:right="-29"/>
              <w:jc w:val="center"/>
              <w:rPr>
                <w:noProof/>
                <w:sz w:val="18"/>
                <w:szCs w:val="18"/>
              </w:rPr>
            </w:pPr>
          </w:p>
        </w:tc>
      </w:tr>
      <w:tr w:rsidR="00DD0A9C" w:rsidRPr="005B03CE" w:rsidTr="00F158BD">
        <w:trPr>
          <w:jc w:val="center"/>
        </w:trPr>
        <w:tc>
          <w:tcPr>
            <w:tcW w:w="2844" w:type="dxa"/>
            <w:gridSpan w:val="3"/>
            <w:tcBorders>
              <w:top w:val="single" w:sz="12" w:space="0" w:color="auto"/>
              <w:left w:val="single" w:sz="12" w:space="0" w:color="auto"/>
              <w:bottom w:val="single" w:sz="12" w:space="0" w:color="auto"/>
            </w:tcBorders>
            <w:vAlign w:val="center"/>
          </w:tcPr>
          <w:p w:rsidR="00DD0A9C" w:rsidRPr="005B03CE" w:rsidRDefault="00DD0A9C" w:rsidP="00F158BD">
            <w:pPr>
              <w:ind w:right="-29"/>
              <w:jc w:val="center"/>
              <w:rPr>
                <w:noProof/>
                <w:sz w:val="18"/>
                <w:szCs w:val="18"/>
              </w:rPr>
            </w:pPr>
            <w:r w:rsidRPr="005B03CE">
              <w:rPr>
                <w:b/>
                <w:noProof/>
                <w:sz w:val="18"/>
              </w:rPr>
              <w:t>TOTALS</w:t>
            </w:r>
          </w:p>
        </w:tc>
        <w:tc>
          <w:tcPr>
            <w:tcW w:w="504" w:type="dxa"/>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720" w:type="dxa"/>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540" w:type="dxa"/>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720" w:type="dxa"/>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720" w:type="dxa"/>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720" w:type="dxa"/>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900" w:type="dxa"/>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540" w:type="dxa"/>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648" w:type="dxa"/>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432" w:type="dxa"/>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720" w:type="dxa"/>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540" w:type="dxa"/>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720" w:type="dxa"/>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720" w:type="dxa"/>
            <w:tcBorders>
              <w:top w:val="single" w:sz="12" w:space="0" w:color="auto"/>
              <w:bottom w:val="single" w:sz="12" w:space="0" w:color="auto"/>
            </w:tcBorders>
          </w:tcPr>
          <w:p w:rsidR="00DD0A9C" w:rsidRPr="005B03CE" w:rsidRDefault="00DD0A9C" w:rsidP="00F158BD">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DD0A9C" w:rsidRPr="005B03CE" w:rsidRDefault="00DD0A9C" w:rsidP="00F158BD">
            <w:pPr>
              <w:spacing w:before="180" w:after="180"/>
              <w:ind w:right="-29"/>
              <w:jc w:val="center"/>
              <w:rPr>
                <w:noProof/>
                <w:sz w:val="18"/>
                <w:szCs w:val="18"/>
              </w:rPr>
            </w:pPr>
          </w:p>
        </w:tc>
      </w:tr>
    </w:tbl>
    <w:p w:rsidR="00DD0A9C" w:rsidRPr="005B03CE" w:rsidRDefault="00DD0A9C" w:rsidP="00DD0A9C">
      <w:pPr>
        <w:rPr>
          <w:noProof/>
        </w:rPr>
        <w:sectPr w:rsidR="00DD0A9C" w:rsidRPr="005B03CE" w:rsidSect="00427BA8">
          <w:headerReference w:type="default" r:id="rId19"/>
          <w:footerReference w:type="default" r:id="rId20"/>
          <w:headerReference w:type="first" r:id="rId21"/>
          <w:footerReference w:type="first" r:id="rId22"/>
          <w:pgSz w:w="16840" w:h="11907" w:orient="landscape" w:code="9"/>
          <w:pgMar w:top="1134" w:right="1418" w:bottom="567" w:left="1418" w:header="709" w:footer="709" w:gutter="0"/>
          <w:cols w:space="708"/>
          <w:docGrid w:linePitch="360"/>
        </w:sectPr>
      </w:pPr>
    </w:p>
    <w:p w:rsidR="00DD0A9C" w:rsidRPr="005B03CE" w:rsidRDefault="004A06D6" w:rsidP="004A06D6">
      <w:pPr>
        <w:pStyle w:val="ManualHeading3"/>
        <w:rPr>
          <w:bCs/>
          <w:noProof/>
          <w:szCs w:val="24"/>
        </w:rPr>
      </w:pPr>
      <w:bookmarkStart w:id="63" w:name="_Toc514938055"/>
      <w:bookmarkStart w:id="64" w:name="_Toc520485054"/>
      <w:r w:rsidRPr="004A06D6">
        <w:t>3.2.3.</w:t>
      </w:r>
      <w:r w:rsidRPr="004A06D6">
        <w:tab/>
      </w:r>
      <w:r w:rsidR="00DD0A9C" w:rsidRPr="005B03CE">
        <w:rPr>
          <w:noProof/>
        </w:rPr>
        <w:t>Summary of estimated impact on administrative appropriations</w:t>
      </w:r>
      <w:bookmarkEnd w:id="63"/>
      <w:bookmarkEnd w:id="64"/>
      <w:r w:rsidR="00DD0A9C" w:rsidRPr="005B03CE">
        <w:rPr>
          <w:noProof/>
        </w:rPr>
        <w:t xml:space="preserve"> </w:t>
      </w:r>
    </w:p>
    <w:p w:rsidR="00E62491" w:rsidRPr="005B03CE" w:rsidRDefault="00E62491" w:rsidP="00E62491">
      <w:pPr>
        <w:pStyle w:val="ListDash1"/>
        <w:rPr>
          <w:noProof/>
        </w:rPr>
      </w:pPr>
      <w:r w:rsidRPr="005B03CE">
        <w:rPr>
          <w:rFonts w:ascii="Wingdings" w:eastAsia="Wingdings" w:hAnsi="Wingdings" w:cs="Wingdings"/>
          <w:noProof/>
        </w:rPr>
        <w:t></w:t>
      </w:r>
      <w:r w:rsidRPr="005B03CE">
        <w:rPr>
          <w:noProof/>
        </w:rPr>
        <w:tab/>
        <w:t xml:space="preserve">The proposal/initiative does not require the use of appropriations of an administrative nature </w:t>
      </w:r>
    </w:p>
    <w:p w:rsidR="00E62491" w:rsidRPr="005B03CE" w:rsidRDefault="00E62491" w:rsidP="00E62491">
      <w:pPr>
        <w:pStyle w:val="ListDash1"/>
        <w:rPr>
          <w:noProof/>
        </w:rPr>
      </w:pPr>
      <w:r w:rsidRPr="005B03CE">
        <w:rPr>
          <w:rFonts w:ascii="Wingdings" w:eastAsia="Wingdings" w:hAnsi="Wingdings" w:cs="Wingdings"/>
          <w:noProof/>
        </w:rPr>
        <w:t></w:t>
      </w:r>
      <w:r w:rsidRPr="005B03CE">
        <w:rPr>
          <w:noProof/>
        </w:rPr>
        <w:tab/>
        <w:t>The proposal/initiative requires the use of appropriations of an administrative nature, as explained below:</w:t>
      </w:r>
    </w:p>
    <w:p w:rsidR="00DD0A9C" w:rsidRPr="005B03CE" w:rsidRDefault="00DD0A9C" w:rsidP="00DD0A9C">
      <w:pPr>
        <w:jc w:val="right"/>
        <w:rPr>
          <w:noProof/>
          <w:sz w:val="20"/>
        </w:rPr>
      </w:pPr>
      <w:r w:rsidRPr="005B03CE">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224"/>
        <w:gridCol w:w="3096"/>
      </w:tblGrid>
      <w:tr w:rsidR="00DD0A9C" w:rsidRPr="005B03CE" w:rsidTr="00FF21B9">
        <w:trPr>
          <w:trHeight w:val="585"/>
        </w:trPr>
        <w:tc>
          <w:tcPr>
            <w:tcW w:w="1980" w:type="dxa"/>
          </w:tcPr>
          <w:p w:rsidR="00DD0A9C" w:rsidRPr="005B03CE" w:rsidRDefault="00DD0A9C" w:rsidP="00F158BD">
            <w:pPr>
              <w:spacing w:before="60" w:after="60" w:line="200" w:lineRule="exact"/>
              <w:rPr>
                <w:noProof/>
                <w:sz w:val="16"/>
                <w:szCs w:val="16"/>
              </w:rPr>
            </w:pPr>
          </w:p>
        </w:tc>
        <w:tc>
          <w:tcPr>
            <w:tcW w:w="1080" w:type="dxa"/>
            <w:vAlign w:val="center"/>
          </w:tcPr>
          <w:p w:rsidR="00DD0A9C" w:rsidRPr="005B03CE" w:rsidRDefault="00DD0A9C" w:rsidP="00F158BD">
            <w:pPr>
              <w:spacing w:before="60" w:after="60" w:line="200" w:lineRule="exact"/>
              <w:jc w:val="center"/>
              <w:rPr>
                <w:noProof/>
                <w:sz w:val="16"/>
              </w:rPr>
            </w:pPr>
            <w:r w:rsidRPr="005B03CE">
              <w:rPr>
                <w:noProof/>
                <w:sz w:val="16"/>
              </w:rPr>
              <w:t>Year</w:t>
            </w:r>
            <w:r w:rsidR="00FF21B9" w:rsidRPr="005B03CE">
              <w:rPr>
                <w:noProof/>
                <w:sz w:val="16"/>
              </w:rPr>
              <w:t xml:space="preserve"> </w:t>
            </w:r>
          </w:p>
          <w:p w:rsidR="00DD0A9C" w:rsidRPr="005B03CE" w:rsidRDefault="00DD0A9C" w:rsidP="00F158BD">
            <w:pPr>
              <w:spacing w:before="60" w:after="60" w:line="200" w:lineRule="exact"/>
              <w:jc w:val="center"/>
              <w:rPr>
                <w:noProof/>
                <w:sz w:val="16"/>
                <w:szCs w:val="16"/>
              </w:rPr>
            </w:pPr>
            <w:r w:rsidRPr="005B03CE">
              <w:rPr>
                <w:noProof/>
                <w:sz w:val="16"/>
              </w:rPr>
              <w:t>2023</w:t>
            </w:r>
          </w:p>
        </w:tc>
        <w:tc>
          <w:tcPr>
            <w:tcW w:w="1080" w:type="dxa"/>
            <w:vAlign w:val="center"/>
          </w:tcPr>
          <w:p w:rsidR="00DD0A9C" w:rsidRPr="005B03CE" w:rsidRDefault="00DD0A9C" w:rsidP="00F158BD">
            <w:pPr>
              <w:spacing w:before="60" w:after="60" w:line="200" w:lineRule="exact"/>
              <w:jc w:val="center"/>
              <w:rPr>
                <w:noProof/>
                <w:sz w:val="16"/>
              </w:rPr>
            </w:pPr>
            <w:r w:rsidRPr="005B03CE">
              <w:rPr>
                <w:noProof/>
                <w:sz w:val="16"/>
              </w:rPr>
              <w:t>Year</w:t>
            </w:r>
          </w:p>
          <w:p w:rsidR="00DD0A9C" w:rsidRPr="005B03CE" w:rsidRDefault="00DD0A9C" w:rsidP="00F158BD">
            <w:pPr>
              <w:spacing w:before="60" w:after="60" w:line="200" w:lineRule="exact"/>
              <w:jc w:val="center"/>
              <w:rPr>
                <w:noProof/>
                <w:sz w:val="16"/>
                <w:szCs w:val="16"/>
              </w:rPr>
            </w:pPr>
            <w:r w:rsidRPr="005B03CE">
              <w:rPr>
                <w:noProof/>
                <w:sz w:val="16"/>
              </w:rPr>
              <w:t>2024</w:t>
            </w:r>
          </w:p>
        </w:tc>
        <w:tc>
          <w:tcPr>
            <w:tcW w:w="1080" w:type="dxa"/>
            <w:vAlign w:val="center"/>
          </w:tcPr>
          <w:p w:rsidR="00DD0A9C" w:rsidRPr="005B03CE" w:rsidRDefault="00DD0A9C" w:rsidP="00F158BD">
            <w:pPr>
              <w:spacing w:before="60" w:after="60" w:line="200" w:lineRule="exact"/>
              <w:jc w:val="center"/>
              <w:rPr>
                <w:noProof/>
                <w:sz w:val="16"/>
              </w:rPr>
            </w:pPr>
            <w:r w:rsidRPr="005B03CE">
              <w:rPr>
                <w:noProof/>
                <w:sz w:val="16"/>
              </w:rPr>
              <w:t>Year</w:t>
            </w:r>
          </w:p>
          <w:p w:rsidR="00DD0A9C" w:rsidRPr="005B03CE" w:rsidRDefault="00DD0A9C" w:rsidP="00F158BD">
            <w:pPr>
              <w:spacing w:before="60" w:after="60" w:line="200" w:lineRule="exact"/>
              <w:jc w:val="center"/>
              <w:rPr>
                <w:noProof/>
                <w:sz w:val="16"/>
                <w:szCs w:val="16"/>
              </w:rPr>
            </w:pPr>
            <w:r w:rsidRPr="005B03CE">
              <w:rPr>
                <w:noProof/>
                <w:sz w:val="16"/>
              </w:rPr>
              <w:t>2025</w:t>
            </w:r>
          </w:p>
        </w:tc>
        <w:tc>
          <w:tcPr>
            <w:tcW w:w="1080" w:type="dxa"/>
            <w:vAlign w:val="center"/>
          </w:tcPr>
          <w:p w:rsidR="00DD0A9C" w:rsidRPr="005B03CE" w:rsidRDefault="00DD0A9C" w:rsidP="00F158BD">
            <w:pPr>
              <w:spacing w:before="60" w:after="60" w:line="200" w:lineRule="exact"/>
              <w:jc w:val="center"/>
              <w:rPr>
                <w:noProof/>
                <w:sz w:val="16"/>
              </w:rPr>
            </w:pPr>
            <w:r w:rsidRPr="005B03CE">
              <w:rPr>
                <w:noProof/>
                <w:sz w:val="16"/>
              </w:rPr>
              <w:t>Year</w:t>
            </w:r>
          </w:p>
          <w:p w:rsidR="00DD0A9C" w:rsidRPr="005B03CE" w:rsidRDefault="00DD0A9C" w:rsidP="00F158BD">
            <w:pPr>
              <w:spacing w:before="60" w:after="60" w:line="200" w:lineRule="exact"/>
              <w:jc w:val="center"/>
              <w:rPr>
                <w:noProof/>
                <w:sz w:val="16"/>
                <w:szCs w:val="16"/>
              </w:rPr>
            </w:pPr>
            <w:r w:rsidRPr="005B03CE">
              <w:rPr>
                <w:noProof/>
                <w:sz w:val="16"/>
              </w:rPr>
              <w:t>2026</w:t>
            </w:r>
          </w:p>
        </w:tc>
        <w:tc>
          <w:tcPr>
            <w:tcW w:w="1224" w:type="dxa"/>
            <w:vAlign w:val="center"/>
          </w:tcPr>
          <w:p w:rsidR="00DD0A9C" w:rsidRPr="005B03CE" w:rsidRDefault="00FF21B9" w:rsidP="00FF21B9">
            <w:pPr>
              <w:spacing w:line="200" w:lineRule="exact"/>
              <w:jc w:val="center"/>
              <w:rPr>
                <w:noProof/>
                <w:sz w:val="16"/>
                <w:szCs w:val="16"/>
              </w:rPr>
            </w:pPr>
            <w:r w:rsidRPr="005B03CE">
              <w:rPr>
                <w:noProof/>
                <w:sz w:val="16"/>
              </w:rPr>
              <w:t xml:space="preserve">Year </w:t>
            </w:r>
            <w:r w:rsidR="00C863B7" w:rsidRPr="005B03CE">
              <w:rPr>
                <w:noProof/>
                <w:sz w:val="16"/>
              </w:rPr>
              <w:t xml:space="preserve">                                                       </w:t>
            </w:r>
            <w:r w:rsidR="00DD0A9C" w:rsidRPr="005B03CE">
              <w:rPr>
                <w:noProof/>
                <w:sz w:val="16"/>
              </w:rPr>
              <w:t xml:space="preserve">2027                   </w:t>
            </w:r>
          </w:p>
        </w:tc>
        <w:tc>
          <w:tcPr>
            <w:tcW w:w="3096" w:type="dxa"/>
            <w:vAlign w:val="center"/>
          </w:tcPr>
          <w:p w:rsidR="00DD0A9C" w:rsidRPr="005B03CE" w:rsidRDefault="00DD0A9C" w:rsidP="00F158BD">
            <w:pPr>
              <w:spacing w:before="60" w:after="60" w:line="200" w:lineRule="exact"/>
              <w:jc w:val="center"/>
              <w:rPr>
                <w:b/>
                <w:noProof/>
                <w:sz w:val="16"/>
                <w:szCs w:val="16"/>
              </w:rPr>
            </w:pPr>
            <w:r w:rsidRPr="005B03CE">
              <w:rPr>
                <w:b/>
                <w:noProof/>
                <w:sz w:val="16"/>
              </w:rPr>
              <w:t>TOTAL</w:t>
            </w:r>
          </w:p>
        </w:tc>
      </w:tr>
    </w:tbl>
    <w:p w:rsidR="00DD0A9C" w:rsidRPr="005B03CE" w:rsidRDefault="00DD0A9C" w:rsidP="00DD0A9C">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224"/>
        <w:gridCol w:w="3096"/>
      </w:tblGrid>
      <w:tr w:rsidR="00FF21B9" w:rsidRPr="005B03CE" w:rsidTr="00FF21B9">
        <w:trPr>
          <w:trHeight w:val="585"/>
        </w:trPr>
        <w:tc>
          <w:tcPr>
            <w:tcW w:w="1980" w:type="dxa"/>
            <w:shd w:val="clear" w:color="auto" w:fill="CCCCCC"/>
            <w:vAlign w:val="center"/>
          </w:tcPr>
          <w:p w:rsidR="00FF21B9" w:rsidRPr="005B03CE" w:rsidRDefault="00FF21B9" w:rsidP="00F158BD">
            <w:pPr>
              <w:spacing w:before="60" w:after="60" w:line="200" w:lineRule="exact"/>
              <w:jc w:val="center"/>
              <w:rPr>
                <w:b/>
                <w:noProof/>
                <w:sz w:val="16"/>
                <w:szCs w:val="16"/>
              </w:rPr>
            </w:pPr>
            <w:r w:rsidRPr="005B03CE">
              <w:rPr>
                <w:b/>
                <w:noProof/>
                <w:sz w:val="16"/>
              </w:rPr>
              <w:t>HEADING 7</w:t>
            </w:r>
            <w:r w:rsidRPr="005B03CE">
              <w:rPr>
                <w:noProof/>
                <w:sz w:val="22"/>
              </w:rPr>
              <w:br/>
            </w:r>
            <w:r w:rsidRPr="005B03CE">
              <w:rPr>
                <w:b/>
                <w:noProof/>
                <w:sz w:val="16"/>
              </w:rPr>
              <w:t>of the multiannual financial framework</w:t>
            </w:r>
          </w:p>
        </w:tc>
        <w:tc>
          <w:tcPr>
            <w:tcW w:w="1080" w:type="dxa"/>
            <w:vAlign w:val="center"/>
          </w:tcPr>
          <w:p w:rsidR="00FF21B9" w:rsidRPr="005B03CE" w:rsidRDefault="00FF21B9" w:rsidP="00F158BD">
            <w:pPr>
              <w:spacing w:before="60" w:after="60" w:line="200" w:lineRule="exact"/>
              <w:jc w:val="right"/>
              <w:rPr>
                <w:noProof/>
                <w:sz w:val="16"/>
                <w:szCs w:val="16"/>
              </w:rPr>
            </w:pPr>
          </w:p>
        </w:tc>
        <w:tc>
          <w:tcPr>
            <w:tcW w:w="1080" w:type="dxa"/>
            <w:vAlign w:val="center"/>
          </w:tcPr>
          <w:p w:rsidR="00FF21B9" w:rsidRPr="005B03CE" w:rsidRDefault="00FF21B9" w:rsidP="00F158BD">
            <w:pPr>
              <w:spacing w:before="60" w:after="60" w:line="200" w:lineRule="exact"/>
              <w:jc w:val="right"/>
              <w:rPr>
                <w:noProof/>
                <w:sz w:val="16"/>
                <w:szCs w:val="16"/>
              </w:rPr>
            </w:pPr>
          </w:p>
        </w:tc>
        <w:tc>
          <w:tcPr>
            <w:tcW w:w="1080" w:type="dxa"/>
            <w:vAlign w:val="center"/>
          </w:tcPr>
          <w:p w:rsidR="00FF21B9" w:rsidRPr="005B03CE" w:rsidRDefault="00FF21B9" w:rsidP="00F158BD">
            <w:pPr>
              <w:spacing w:before="60" w:after="60" w:line="200" w:lineRule="exact"/>
              <w:jc w:val="right"/>
              <w:rPr>
                <w:noProof/>
                <w:sz w:val="16"/>
                <w:szCs w:val="16"/>
              </w:rPr>
            </w:pPr>
          </w:p>
        </w:tc>
        <w:tc>
          <w:tcPr>
            <w:tcW w:w="1080" w:type="dxa"/>
            <w:vAlign w:val="center"/>
          </w:tcPr>
          <w:p w:rsidR="00FF21B9" w:rsidRPr="005B03CE" w:rsidRDefault="00FF21B9" w:rsidP="00F158BD">
            <w:pPr>
              <w:spacing w:before="60" w:after="60" w:line="200" w:lineRule="exact"/>
              <w:jc w:val="right"/>
              <w:rPr>
                <w:noProof/>
                <w:sz w:val="16"/>
                <w:szCs w:val="16"/>
              </w:rPr>
            </w:pPr>
          </w:p>
        </w:tc>
        <w:tc>
          <w:tcPr>
            <w:tcW w:w="1224" w:type="dxa"/>
            <w:vAlign w:val="center"/>
          </w:tcPr>
          <w:p w:rsidR="00FF21B9" w:rsidRPr="005B03CE" w:rsidRDefault="00FF21B9" w:rsidP="00F158BD">
            <w:pPr>
              <w:spacing w:before="60" w:after="60" w:line="200" w:lineRule="exact"/>
              <w:jc w:val="right"/>
              <w:rPr>
                <w:b/>
                <w:noProof/>
                <w:sz w:val="16"/>
                <w:szCs w:val="16"/>
              </w:rPr>
            </w:pPr>
          </w:p>
        </w:tc>
        <w:tc>
          <w:tcPr>
            <w:tcW w:w="3096" w:type="dxa"/>
            <w:vAlign w:val="center"/>
          </w:tcPr>
          <w:p w:rsidR="00FF21B9" w:rsidRPr="005B03CE" w:rsidRDefault="00FF21B9" w:rsidP="00F158BD">
            <w:pPr>
              <w:spacing w:before="60" w:after="60" w:line="200" w:lineRule="exact"/>
              <w:jc w:val="right"/>
              <w:rPr>
                <w:b/>
                <w:noProof/>
                <w:sz w:val="16"/>
                <w:szCs w:val="16"/>
              </w:rPr>
            </w:pPr>
          </w:p>
        </w:tc>
      </w:tr>
      <w:tr w:rsidR="00FF21B9" w:rsidRPr="005B03CE" w:rsidTr="00FF21B9">
        <w:trPr>
          <w:trHeight w:val="585"/>
        </w:trPr>
        <w:tc>
          <w:tcPr>
            <w:tcW w:w="1980" w:type="dxa"/>
            <w:vAlign w:val="center"/>
          </w:tcPr>
          <w:p w:rsidR="00FF21B9" w:rsidRPr="005B03CE" w:rsidRDefault="00FF21B9" w:rsidP="00F158BD">
            <w:pPr>
              <w:spacing w:before="60" w:after="60" w:line="200" w:lineRule="exact"/>
              <w:ind w:left="72"/>
              <w:jc w:val="left"/>
              <w:rPr>
                <w:noProof/>
                <w:sz w:val="16"/>
                <w:szCs w:val="16"/>
              </w:rPr>
            </w:pPr>
            <w:r w:rsidRPr="005B03CE">
              <w:rPr>
                <w:noProof/>
                <w:sz w:val="16"/>
              </w:rPr>
              <w:t xml:space="preserve">Human resources </w:t>
            </w:r>
          </w:p>
        </w:tc>
        <w:tc>
          <w:tcPr>
            <w:tcW w:w="1080" w:type="dxa"/>
            <w:vAlign w:val="center"/>
          </w:tcPr>
          <w:p w:rsidR="00FF21B9" w:rsidRPr="005B03CE" w:rsidRDefault="00FF21B9" w:rsidP="00F158BD">
            <w:pPr>
              <w:spacing w:before="60" w:after="60" w:line="200" w:lineRule="exact"/>
              <w:jc w:val="right"/>
              <w:rPr>
                <w:noProof/>
                <w:sz w:val="16"/>
                <w:szCs w:val="16"/>
              </w:rPr>
            </w:pPr>
          </w:p>
        </w:tc>
        <w:tc>
          <w:tcPr>
            <w:tcW w:w="1080" w:type="dxa"/>
            <w:vAlign w:val="center"/>
          </w:tcPr>
          <w:p w:rsidR="00FF21B9" w:rsidRPr="005B03CE" w:rsidRDefault="00FF21B9" w:rsidP="00F158BD">
            <w:pPr>
              <w:spacing w:before="60" w:after="60" w:line="200" w:lineRule="exact"/>
              <w:jc w:val="right"/>
              <w:rPr>
                <w:noProof/>
                <w:sz w:val="16"/>
                <w:szCs w:val="16"/>
              </w:rPr>
            </w:pPr>
          </w:p>
        </w:tc>
        <w:tc>
          <w:tcPr>
            <w:tcW w:w="1080" w:type="dxa"/>
            <w:vAlign w:val="center"/>
          </w:tcPr>
          <w:p w:rsidR="00FF21B9" w:rsidRPr="005B03CE" w:rsidRDefault="00FF21B9" w:rsidP="00F158BD">
            <w:pPr>
              <w:spacing w:before="60" w:after="60" w:line="200" w:lineRule="exact"/>
              <w:jc w:val="right"/>
              <w:rPr>
                <w:noProof/>
                <w:sz w:val="16"/>
                <w:szCs w:val="16"/>
              </w:rPr>
            </w:pPr>
          </w:p>
        </w:tc>
        <w:tc>
          <w:tcPr>
            <w:tcW w:w="1080" w:type="dxa"/>
            <w:vAlign w:val="center"/>
          </w:tcPr>
          <w:p w:rsidR="00FF21B9" w:rsidRPr="005B03CE" w:rsidRDefault="00FF21B9" w:rsidP="00F158BD">
            <w:pPr>
              <w:spacing w:before="60" w:after="60" w:line="200" w:lineRule="exact"/>
              <w:jc w:val="right"/>
              <w:rPr>
                <w:noProof/>
                <w:sz w:val="16"/>
                <w:szCs w:val="16"/>
              </w:rPr>
            </w:pPr>
          </w:p>
        </w:tc>
        <w:tc>
          <w:tcPr>
            <w:tcW w:w="1224" w:type="dxa"/>
            <w:vAlign w:val="center"/>
          </w:tcPr>
          <w:p w:rsidR="00FF21B9" w:rsidRPr="005B03CE" w:rsidRDefault="00FF21B9" w:rsidP="00F158BD">
            <w:pPr>
              <w:spacing w:before="60" w:after="60" w:line="200" w:lineRule="exact"/>
              <w:jc w:val="right"/>
              <w:rPr>
                <w:b/>
                <w:noProof/>
                <w:sz w:val="16"/>
                <w:szCs w:val="16"/>
              </w:rPr>
            </w:pPr>
          </w:p>
        </w:tc>
        <w:tc>
          <w:tcPr>
            <w:tcW w:w="3096" w:type="dxa"/>
            <w:vAlign w:val="center"/>
          </w:tcPr>
          <w:p w:rsidR="00FF21B9" w:rsidRPr="005B03CE" w:rsidRDefault="00FF21B9" w:rsidP="00F158BD">
            <w:pPr>
              <w:spacing w:before="60" w:after="60" w:line="200" w:lineRule="exact"/>
              <w:jc w:val="right"/>
              <w:rPr>
                <w:b/>
                <w:noProof/>
                <w:sz w:val="16"/>
                <w:szCs w:val="16"/>
              </w:rPr>
            </w:pPr>
          </w:p>
        </w:tc>
      </w:tr>
      <w:tr w:rsidR="00DD0A9C" w:rsidRPr="005B03CE" w:rsidTr="00FF21B9">
        <w:trPr>
          <w:trHeight w:val="585"/>
        </w:trPr>
        <w:tc>
          <w:tcPr>
            <w:tcW w:w="1980" w:type="dxa"/>
            <w:vAlign w:val="center"/>
          </w:tcPr>
          <w:p w:rsidR="00DD0A9C" w:rsidRPr="005B03CE" w:rsidRDefault="00DD0A9C" w:rsidP="00F158BD">
            <w:pPr>
              <w:spacing w:before="60" w:after="60" w:line="200" w:lineRule="exact"/>
              <w:ind w:left="72"/>
              <w:jc w:val="left"/>
              <w:rPr>
                <w:noProof/>
                <w:sz w:val="16"/>
              </w:rPr>
            </w:pPr>
            <w:r w:rsidRPr="005B03CE">
              <w:rPr>
                <w:noProof/>
                <w:sz w:val="16"/>
              </w:rPr>
              <w:t>Permanent staff (AD Grades)</w:t>
            </w:r>
          </w:p>
        </w:tc>
        <w:tc>
          <w:tcPr>
            <w:tcW w:w="1080" w:type="dxa"/>
            <w:vAlign w:val="center"/>
          </w:tcPr>
          <w:p w:rsidR="00DD0A9C" w:rsidRPr="005B03CE" w:rsidRDefault="00FF21B9" w:rsidP="00136427">
            <w:pPr>
              <w:spacing w:before="60" w:after="60" w:line="200" w:lineRule="exact"/>
              <w:jc w:val="right"/>
              <w:rPr>
                <w:noProof/>
                <w:sz w:val="16"/>
                <w:szCs w:val="16"/>
              </w:rPr>
            </w:pPr>
            <w:r w:rsidRPr="005B03CE">
              <w:rPr>
                <w:noProof/>
                <w:sz w:val="16"/>
                <w:szCs w:val="16"/>
              </w:rPr>
              <w:t>1.</w:t>
            </w:r>
            <w:r w:rsidR="00136427" w:rsidRPr="005B03CE">
              <w:rPr>
                <w:noProof/>
                <w:sz w:val="16"/>
                <w:szCs w:val="16"/>
              </w:rPr>
              <w:t>099</w:t>
            </w:r>
          </w:p>
        </w:tc>
        <w:tc>
          <w:tcPr>
            <w:tcW w:w="1080" w:type="dxa"/>
            <w:vAlign w:val="center"/>
          </w:tcPr>
          <w:p w:rsidR="00DD0A9C" w:rsidRPr="005B03CE" w:rsidRDefault="00136427" w:rsidP="00136427">
            <w:pPr>
              <w:spacing w:before="60" w:after="60" w:line="200" w:lineRule="exact"/>
              <w:jc w:val="right"/>
              <w:rPr>
                <w:noProof/>
                <w:sz w:val="16"/>
                <w:szCs w:val="16"/>
              </w:rPr>
            </w:pPr>
            <w:r w:rsidRPr="005B03CE">
              <w:rPr>
                <w:noProof/>
                <w:sz w:val="16"/>
                <w:szCs w:val="16"/>
              </w:rPr>
              <w:t>2</w:t>
            </w:r>
            <w:r w:rsidR="00FF21B9" w:rsidRPr="005B03CE">
              <w:rPr>
                <w:noProof/>
                <w:sz w:val="16"/>
                <w:szCs w:val="16"/>
              </w:rPr>
              <w:t>.</w:t>
            </w:r>
            <w:r w:rsidRPr="005B03CE">
              <w:rPr>
                <w:noProof/>
                <w:sz w:val="16"/>
                <w:szCs w:val="16"/>
              </w:rPr>
              <w:t>041</w:t>
            </w:r>
          </w:p>
        </w:tc>
        <w:tc>
          <w:tcPr>
            <w:tcW w:w="1080" w:type="dxa"/>
            <w:vAlign w:val="center"/>
          </w:tcPr>
          <w:p w:rsidR="00DD0A9C" w:rsidRPr="005B03CE" w:rsidRDefault="00FF21B9" w:rsidP="00136427">
            <w:pPr>
              <w:spacing w:before="60" w:after="60" w:line="200" w:lineRule="exact"/>
              <w:jc w:val="right"/>
              <w:rPr>
                <w:noProof/>
                <w:sz w:val="16"/>
                <w:szCs w:val="16"/>
              </w:rPr>
            </w:pPr>
            <w:r w:rsidRPr="005B03CE">
              <w:rPr>
                <w:noProof/>
                <w:sz w:val="16"/>
                <w:szCs w:val="16"/>
              </w:rPr>
              <w:t>2.</w:t>
            </w:r>
            <w:r w:rsidR="00136427" w:rsidRPr="005B03CE">
              <w:rPr>
                <w:noProof/>
                <w:sz w:val="16"/>
                <w:szCs w:val="16"/>
              </w:rPr>
              <w:t>669</w:t>
            </w:r>
          </w:p>
        </w:tc>
        <w:tc>
          <w:tcPr>
            <w:tcW w:w="1080" w:type="dxa"/>
            <w:vAlign w:val="center"/>
          </w:tcPr>
          <w:p w:rsidR="00DD0A9C" w:rsidRPr="005B03CE" w:rsidRDefault="00FF21B9" w:rsidP="00136427">
            <w:pPr>
              <w:spacing w:before="60" w:after="60" w:line="200" w:lineRule="exact"/>
              <w:jc w:val="right"/>
              <w:rPr>
                <w:noProof/>
                <w:sz w:val="16"/>
                <w:szCs w:val="16"/>
              </w:rPr>
            </w:pPr>
            <w:r w:rsidRPr="005B03CE">
              <w:rPr>
                <w:noProof/>
                <w:sz w:val="16"/>
                <w:szCs w:val="16"/>
              </w:rPr>
              <w:t>3.</w:t>
            </w:r>
            <w:r w:rsidR="00136427" w:rsidRPr="005B03CE">
              <w:rPr>
                <w:noProof/>
                <w:sz w:val="16"/>
                <w:szCs w:val="16"/>
              </w:rPr>
              <w:t>14</w:t>
            </w:r>
          </w:p>
        </w:tc>
        <w:tc>
          <w:tcPr>
            <w:tcW w:w="1224" w:type="dxa"/>
            <w:vAlign w:val="center"/>
          </w:tcPr>
          <w:p w:rsidR="00DD0A9C" w:rsidRPr="005B03CE" w:rsidRDefault="00FF21B9" w:rsidP="00136427">
            <w:pPr>
              <w:spacing w:before="60" w:after="60" w:line="200" w:lineRule="exact"/>
              <w:jc w:val="right"/>
              <w:rPr>
                <w:noProof/>
                <w:sz w:val="16"/>
                <w:szCs w:val="16"/>
              </w:rPr>
            </w:pPr>
            <w:r w:rsidRPr="005B03CE">
              <w:rPr>
                <w:noProof/>
                <w:sz w:val="16"/>
                <w:szCs w:val="16"/>
              </w:rPr>
              <w:t>3.</w:t>
            </w:r>
            <w:r w:rsidR="00136427" w:rsidRPr="005B03CE">
              <w:rPr>
                <w:noProof/>
                <w:sz w:val="16"/>
                <w:szCs w:val="16"/>
              </w:rPr>
              <w:t>14</w:t>
            </w:r>
          </w:p>
        </w:tc>
        <w:tc>
          <w:tcPr>
            <w:tcW w:w="3096" w:type="dxa"/>
            <w:vAlign w:val="center"/>
          </w:tcPr>
          <w:p w:rsidR="00DD0A9C" w:rsidRPr="005B03CE" w:rsidRDefault="00136427" w:rsidP="00136427">
            <w:pPr>
              <w:spacing w:before="60" w:after="60" w:line="200" w:lineRule="exact"/>
              <w:jc w:val="right"/>
              <w:rPr>
                <w:noProof/>
                <w:sz w:val="16"/>
                <w:szCs w:val="16"/>
              </w:rPr>
            </w:pPr>
            <w:r w:rsidRPr="005B03CE">
              <w:rPr>
                <w:noProof/>
                <w:sz w:val="16"/>
                <w:szCs w:val="16"/>
              </w:rPr>
              <w:t>12</w:t>
            </w:r>
            <w:r w:rsidR="00FF21B9" w:rsidRPr="005B03CE">
              <w:rPr>
                <w:noProof/>
                <w:sz w:val="16"/>
                <w:szCs w:val="16"/>
              </w:rPr>
              <w:t>.</w:t>
            </w:r>
            <w:r w:rsidRPr="005B03CE">
              <w:rPr>
                <w:noProof/>
                <w:sz w:val="16"/>
                <w:szCs w:val="16"/>
              </w:rPr>
              <w:t>089</w:t>
            </w:r>
          </w:p>
        </w:tc>
      </w:tr>
      <w:tr w:rsidR="00DD0A9C" w:rsidRPr="005B03CE" w:rsidTr="00FF21B9">
        <w:trPr>
          <w:trHeight w:val="585"/>
        </w:trPr>
        <w:tc>
          <w:tcPr>
            <w:tcW w:w="1980" w:type="dxa"/>
            <w:vAlign w:val="center"/>
          </w:tcPr>
          <w:p w:rsidR="00DD0A9C" w:rsidRPr="005B03CE" w:rsidRDefault="00DD0A9C" w:rsidP="00D5073D">
            <w:pPr>
              <w:spacing w:before="60" w:after="60" w:line="200" w:lineRule="exact"/>
              <w:ind w:left="72"/>
              <w:jc w:val="left"/>
              <w:rPr>
                <w:noProof/>
                <w:sz w:val="16"/>
              </w:rPr>
            </w:pPr>
            <w:r w:rsidRPr="005B03CE">
              <w:rPr>
                <w:noProof/>
                <w:sz w:val="16"/>
              </w:rPr>
              <w:t>Contract staff</w:t>
            </w:r>
          </w:p>
        </w:tc>
        <w:tc>
          <w:tcPr>
            <w:tcW w:w="1080" w:type="dxa"/>
            <w:vAlign w:val="center"/>
          </w:tcPr>
          <w:p w:rsidR="00DD0A9C" w:rsidRPr="005B03CE" w:rsidRDefault="00FF21B9" w:rsidP="00136427">
            <w:pPr>
              <w:spacing w:before="60" w:after="60" w:line="200" w:lineRule="exact"/>
              <w:jc w:val="right"/>
              <w:rPr>
                <w:noProof/>
                <w:sz w:val="16"/>
                <w:szCs w:val="16"/>
              </w:rPr>
            </w:pPr>
            <w:r w:rsidRPr="005B03CE">
              <w:rPr>
                <w:noProof/>
                <w:sz w:val="16"/>
                <w:szCs w:val="16"/>
              </w:rPr>
              <w:t>0.</w:t>
            </w:r>
            <w:r w:rsidR="00136427" w:rsidRPr="005B03CE">
              <w:rPr>
                <w:noProof/>
                <w:sz w:val="16"/>
                <w:szCs w:val="16"/>
              </w:rPr>
              <w:t>085</w:t>
            </w:r>
          </w:p>
        </w:tc>
        <w:tc>
          <w:tcPr>
            <w:tcW w:w="1080" w:type="dxa"/>
            <w:vAlign w:val="center"/>
          </w:tcPr>
          <w:p w:rsidR="00DD0A9C" w:rsidRPr="005B03CE" w:rsidRDefault="00FF21B9" w:rsidP="00136427">
            <w:pPr>
              <w:spacing w:before="60" w:after="60" w:line="200" w:lineRule="exact"/>
              <w:jc w:val="right"/>
              <w:rPr>
                <w:noProof/>
                <w:sz w:val="16"/>
                <w:szCs w:val="16"/>
              </w:rPr>
            </w:pPr>
            <w:r w:rsidRPr="005B03CE">
              <w:rPr>
                <w:noProof/>
                <w:sz w:val="16"/>
                <w:szCs w:val="16"/>
              </w:rPr>
              <w:t>0.</w:t>
            </w:r>
            <w:r w:rsidR="00136427" w:rsidRPr="005B03CE">
              <w:rPr>
                <w:noProof/>
                <w:sz w:val="16"/>
                <w:szCs w:val="16"/>
              </w:rPr>
              <w:t>085</w:t>
            </w:r>
          </w:p>
        </w:tc>
        <w:tc>
          <w:tcPr>
            <w:tcW w:w="1080" w:type="dxa"/>
            <w:vAlign w:val="center"/>
          </w:tcPr>
          <w:p w:rsidR="00DD0A9C" w:rsidRPr="005B03CE" w:rsidRDefault="00FF21B9" w:rsidP="00136427">
            <w:pPr>
              <w:spacing w:before="60" w:after="60" w:line="200" w:lineRule="exact"/>
              <w:jc w:val="right"/>
              <w:rPr>
                <w:noProof/>
                <w:sz w:val="16"/>
                <w:szCs w:val="16"/>
              </w:rPr>
            </w:pPr>
            <w:r w:rsidRPr="005B03CE">
              <w:rPr>
                <w:noProof/>
                <w:sz w:val="16"/>
                <w:szCs w:val="16"/>
              </w:rPr>
              <w:t>0.</w:t>
            </w:r>
            <w:r w:rsidR="00136427" w:rsidRPr="005B03CE">
              <w:rPr>
                <w:noProof/>
                <w:sz w:val="16"/>
                <w:szCs w:val="16"/>
              </w:rPr>
              <w:t>085</w:t>
            </w:r>
          </w:p>
        </w:tc>
        <w:tc>
          <w:tcPr>
            <w:tcW w:w="1080" w:type="dxa"/>
            <w:vAlign w:val="center"/>
          </w:tcPr>
          <w:p w:rsidR="00DD0A9C" w:rsidRPr="005B03CE" w:rsidRDefault="00FF21B9" w:rsidP="00136427">
            <w:pPr>
              <w:spacing w:before="60" w:after="60" w:line="200" w:lineRule="exact"/>
              <w:jc w:val="right"/>
              <w:rPr>
                <w:noProof/>
                <w:sz w:val="16"/>
                <w:szCs w:val="16"/>
              </w:rPr>
            </w:pPr>
            <w:r w:rsidRPr="005B03CE">
              <w:rPr>
                <w:noProof/>
                <w:sz w:val="16"/>
                <w:szCs w:val="16"/>
              </w:rPr>
              <w:t>0.</w:t>
            </w:r>
            <w:r w:rsidR="00136427" w:rsidRPr="005B03CE">
              <w:rPr>
                <w:noProof/>
                <w:sz w:val="16"/>
                <w:szCs w:val="16"/>
              </w:rPr>
              <w:t>085</w:t>
            </w:r>
          </w:p>
        </w:tc>
        <w:tc>
          <w:tcPr>
            <w:tcW w:w="1224" w:type="dxa"/>
            <w:vAlign w:val="center"/>
          </w:tcPr>
          <w:p w:rsidR="00DD0A9C" w:rsidRPr="005B03CE" w:rsidRDefault="00FF21B9" w:rsidP="00136427">
            <w:pPr>
              <w:spacing w:before="60" w:after="60" w:line="200" w:lineRule="exact"/>
              <w:jc w:val="right"/>
              <w:rPr>
                <w:noProof/>
                <w:sz w:val="16"/>
                <w:szCs w:val="16"/>
              </w:rPr>
            </w:pPr>
            <w:r w:rsidRPr="005B03CE">
              <w:rPr>
                <w:noProof/>
                <w:sz w:val="16"/>
                <w:szCs w:val="16"/>
              </w:rPr>
              <w:t>0.</w:t>
            </w:r>
            <w:r w:rsidR="00136427" w:rsidRPr="005B03CE">
              <w:rPr>
                <w:noProof/>
                <w:sz w:val="16"/>
                <w:szCs w:val="16"/>
              </w:rPr>
              <w:t>085</w:t>
            </w:r>
          </w:p>
        </w:tc>
        <w:tc>
          <w:tcPr>
            <w:tcW w:w="3096" w:type="dxa"/>
            <w:vAlign w:val="center"/>
          </w:tcPr>
          <w:p w:rsidR="00DD0A9C" w:rsidRPr="005B03CE" w:rsidRDefault="00FF21B9" w:rsidP="00136427">
            <w:pPr>
              <w:spacing w:before="60" w:after="60" w:line="200" w:lineRule="exact"/>
              <w:jc w:val="right"/>
              <w:rPr>
                <w:noProof/>
                <w:sz w:val="16"/>
                <w:szCs w:val="16"/>
              </w:rPr>
            </w:pPr>
            <w:r w:rsidRPr="005B03CE">
              <w:rPr>
                <w:noProof/>
                <w:sz w:val="16"/>
                <w:szCs w:val="16"/>
              </w:rPr>
              <w:t>0.</w:t>
            </w:r>
            <w:r w:rsidR="00136427" w:rsidRPr="005B03CE">
              <w:rPr>
                <w:noProof/>
                <w:sz w:val="16"/>
                <w:szCs w:val="16"/>
              </w:rPr>
              <w:t>425</w:t>
            </w:r>
          </w:p>
        </w:tc>
      </w:tr>
      <w:tr w:rsidR="00FF21B9" w:rsidRPr="005B03CE" w:rsidTr="00FF21B9">
        <w:trPr>
          <w:trHeight w:val="585"/>
        </w:trPr>
        <w:tc>
          <w:tcPr>
            <w:tcW w:w="1980" w:type="dxa"/>
            <w:vAlign w:val="center"/>
          </w:tcPr>
          <w:p w:rsidR="00FF21B9" w:rsidRPr="005B03CE" w:rsidRDefault="00FF21B9" w:rsidP="00FF21B9">
            <w:pPr>
              <w:spacing w:before="60" w:after="60" w:line="200" w:lineRule="exact"/>
              <w:ind w:left="72"/>
              <w:jc w:val="left"/>
              <w:rPr>
                <w:noProof/>
                <w:sz w:val="16"/>
                <w:szCs w:val="16"/>
              </w:rPr>
            </w:pPr>
            <w:r w:rsidRPr="005B03CE">
              <w:rPr>
                <w:noProof/>
                <w:sz w:val="16"/>
              </w:rPr>
              <w:t xml:space="preserve">Other administrative expenditure </w:t>
            </w:r>
          </w:p>
        </w:tc>
        <w:tc>
          <w:tcPr>
            <w:tcW w:w="1080" w:type="dxa"/>
            <w:vAlign w:val="center"/>
          </w:tcPr>
          <w:p w:rsidR="00FF21B9" w:rsidRPr="005B03CE" w:rsidRDefault="00FF21B9" w:rsidP="00FF21B9">
            <w:pPr>
              <w:spacing w:before="60" w:after="60" w:line="200" w:lineRule="exact"/>
              <w:jc w:val="right"/>
              <w:rPr>
                <w:noProof/>
                <w:sz w:val="16"/>
                <w:szCs w:val="16"/>
              </w:rPr>
            </w:pPr>
            <w:r w:rsidRPr="005B03CE">
              <w:rPr>
                <w:noProof/>
                <w:sz w:val="16"/>
                <w:szCs w:val="16"/>
              </w:rPr>
              <w:t>7.938</w:t>
            </w:r>
          </w:p>
        </w:tc>
        <w:tc>
          <w:tcPr>
            <w:tcW w:w="1080" w:type="dxa"/>
            <w:vAlign w:val="center"/>
          </w:tcPr>
          <w:p w:rsidR="00FF21B9" w:rsidRPr="005B03CE" w:rsidRDefault="00FF21B9" w:rsidP="00FF21B9">
            <w:pPr>
              <w:spacing w:before="60" w:after="60" w:line="200" w:lineRule="exact"/>
              <w:jc w:val="right"/>
              <w:rPr>
                <w:noProof/>
                <w:sz w:val="16"/>
                <w:szCs w:val="16"/>
              </w:rPr>
            </w:pPr>
            <w:r w:rsidRPr="005B03CE">
              <w:rPr>
                <w:noProof/>
                <w:sz w:val="16"/>
                <w:szCs w:val="16"/>
              </w:rPr>
              <w:t>8.921</w:t>
            </w:r>
          </w:p>
        </w:tc>
        <w:tc>
          <w:tcPr>
            <w:tcW w:w="1080" w:type="dxa"/>
            <w:vAlign w:val="center"/>
          </w:tcPr>
          <w:p w:rsidR="00FF21B9" w:rsidRPr="005B03CE" w:rsidRDefault="00FF21B9" w:rsidP="00FF21B9">
            <w:pPr>
              <w:spacing w:before="60" w:after="60" w:line="200" w:lineRule="exact"/>
              <w:jc w:val="right"/>
              <w:rPr>
                <w:noProof/>
                <w:sz w:val="16"/>
                <w:szCs w:val="16"/>
              </w:rPr>
            </w:pPr>
            <w:r w:rsidRPr="005B03CE">
              <w:rPr>
                <w:noProof/>
                <w:sz w:val="16"/>
                <w:szCs w:val="16"/>
              </w:rPr>
              <w:t>8.921</w:t>
            </w:r>
          </w:p>
        </w:tc>
        <w:tc>
          <w:tcPr>
            <w:tcW w:w="1080" w:type="dxa"/>
            <w:vAlign w:val="center"/>
          </w:tcPr>
          <w:p w:rsidR="00FF21B9" w:rsidRPr="005B03CE" w:rsidRDefault="00FF21B9" w:rsidP="00FF21B9">
            <w:pPr>
              <w:spacing w:before="60" w:after="60" w:line="200" w:lineRule="exact"/>
              <w:jc w:val="right"/>
              <w:rPr>
                <w:noProof/>
                <w:sz w:val="16"/>
                <w:szCs w:val="16"/>
              </w:rPr>
            </w:pPr>
            <w:r w:rsidRPr="005B03CE">
              <w:rPr>
                <w:noProof/>
                <w:sz w:val="16"/>
                <w:szCs w:val="16"/>
              </w:rPr>
              <w:t>8.921</w:t>
            </w:r>
          </w:p>
        </w:tc>
        <w:tc>
          <w:tcPr>
            <w:tcW w:w="1224" w:type="dxa"/>
            <w:vAlign w:val="center"/>
          </w:tcPr>
          <w:p w:rsidR="00FF21B9" w:rsidRPr="005B03CE" w:rsidRDefault="00FF21B9" w:rsidP="00FF21B9">
            <w:pPr>
              <w:spacing w:before="60" w:after="60" w:line="200" w:lineRule="exact"/>
              <w:jc w:val="right"/>
              <w:rPr>
                <w:noProof/>
                <w:sz w:val="16"/>
                <w:szCs w:val="16"/>
              </w:rPr>
            </w:pPr>
            <w:r w:rsidRPr="005B03CE">
              <w:rPr>
                <w:noProof/>
                <w:sz w:val="16"/>
                <w:szCs w:val="16"/>
              </w:rPr>
              <w:t>8.921</w:t>
            </w:r>
          </w:p>
        </w:tc>
        <w:tc>
          <w:tcPr>
            <w:tcW w:w="3096" w:type="dxa"/>
            <w:vAlign w:val="center"/>
          </w:tcPr>
          <w:p w:rsidR="00FF21B9" w:rsidRPr="005B03CE" w:rsidRDefault="00FF21B9" w:rsidP="00FF21B9">
            <w:pPr>
              <w:spacing w:before="60" w:after="60" w:line="200" w:lineRule="exact"/>
              <w:jc w:val="right"/>
              <w:rPr>
                <w:noProof/>
                <w:sz w:val="16"/>
                <w:szCs w:val="16"/>
              </w:rPr>
            </w:pPr>
            <w:r w:rsidRPr="005B03CE">
              <w:rPr>
                <w:noProof/>
                <w:sz w:val="16"/>
                <w:szCs w:val="16"/>
              </w:rPr>
              <w:t>43.622</w:t>
            </w:r>
          </w:p>
        </w:tc>
      </w:tr>
      <w:tr w:rsidR="00FF21B9" w:rsidRPr="005B03CE" w:rsidTr="00FF21B9">
        <w:trPr>
          <w:trHeight w:val="585"/>
        </w:trPr>
        <w:tc>
          <w:tcPr>
            <w:tcW w:w="1980" w:type="dxa"/>
            <w:shd w:val="clear" w:color="auto" w:fill="CCCCCC"/>
            <w:vAlign w:val="center"/>
          </w:tcPr>
          <w:p w:rsidR="00FF21B9" w:rsidRPr="005B03CE" w:rsidRDefault="00FF21B9" w:rsidP="00FF21B9">
            <w:pPr>
              <w:spacing w:before="60" w:after="60" w:line="200" w:lineRule="exact"/>
              <w:jc w:val="center"/>
              <w:rPr>
                <w:b/>
                <w:noProof/>
                <w:sz w:val="16"/>
                <w:szCs w:val="16"/>
              </w:rPr>
            </w:pPr>
            <w:r w:rsidRPr="005B03CE">
              <w:rPr>
                <w:b/>
                <w:noProof/>
                <w:sz w:val="16"/>
              </w:rPr>
              <w:t>Subtotal HEADING 7</w:t>
            </w:r>
            <w:r w:rsidRPr="005B03CE">
              <w:rPr>
                <w:noProof/>
                <w:sz w:val="22"/>
              </w:rPr>
              <w:br/>
            </w:r>
            <w:r w:rsidRPr="005B03CE">
              <w:rPr>
                <w:b/>
                <w:noProof/>
                <w:sz w:val="16"/>
              </w:rPr>
              <w:t xml:space="preserve">of the multiannual financial framework </w:t>
            </w:r>
          </w:p>
        </w:tc>
        <w:tc>
          <w:tcPr>
            <w:tcW w:w="1080" w:type="dxa"/>
            <w:vAlign w:val="center"/>
          </w:tcPr>
          <w:p w:rsidR="00FF21B9" w:rsidRPr="005B03CE" w:rsidRDefault="00FF21B9" w:rsidP="00136427">
            <w:pPr>
              <w:spacing w:before="60" w:after="60" w:line="200" w:lineRule="exact"/>
              <w:jc w:val="right"/>
              <w:rPr>
                <w:noProof/>
                <w:sz w:val="16"/>
                <w:szCs w:val="16"/>
              </w:rPr>
            </w:pPr>
            <w:r w:rsidRPr="005B03CE">
              <w:rPr>
                <w:noProof/>
                <w:sz w:val="16"/>
                <w:szCs w:val="16"/>
              </w:rPr>
              <w:t>9.</w:t>
            </w:r>
            <w:r w:rsidR="00136427" w:rsidRPr="005B03CE">
              <w:rPr>
                <w:noProof/>
                <w:sz w:val="16"/>
                <w:szCs w:val="16"/>
              </w:rPr>
              <w:t>122</w:t>
            </w:r>
          </w:p>
        </w:tc>
        <w:tc>
          <w:tcPr>
            <w:tcW w:w="1080" w:type="dxa"/>
            <w:vAlign w:val="center"/>
          </w:tcPr>
          <w:p w:rsidR="00FF21B9" w:rsidRPr="005B03CE" w:rsidRDefault="00136427" w:rsidP="00136427">
            <w:pPr>
              <w:spacing w:before="60" w:after="60" w:line="200" w:lineRule="exact"/>
              <w:jc w:val="right"/>
              <w:rPr>
                <w:noProof/>
                <w:sz w:val="16"/>
                <w:szCs w:val="16"/>
              </w:rPr>
            </w:pPr>
            <w:r w:rsidRPr="005B03CE">
              <w:rPr>
                <w:noProof/>
                <w:sz w:val="16"/>
                <w:szCs w:val="16"/>
              </w:rPr>
              <w:t>11</w:t>
            </w:r>
            <w:r w:rsidR="00FF21B9" w:rsidRPr="005B03CE">
              <w:rPr>
                <w:noProof/>
                <w:sz w:val="16"/>
                <w:szCs w:val="16"/>
              </w:rPr>
              <w:t>.</w:t>
            </w:r>
            <w:r w:rsidRPr="005B03CE">
              <w:rPr>
                <w:noProof/>
                <w:sz w:val="16"/>
                <w:szCs w:val="16"/>
              </w:rPr>
              <w:t>047</w:t>
            </w:r>
          </w:p>
        </w:tc>
        <w:tc>
          <w:tcPr>
            <w:tcW w:w="1080" w:type="dxa"/>
            <w:vAlign w:val="center"/>
          </w:tcPr>
          <w:p w:rsidR="00FF21B9" w:rsidRPr="005B03CE" w:rsidRDefault="00FF21B9" w:rsidP="00136427">
            <w:pPr>
              <w:spacing w:before="60" w:after="60" w:line="200" w:lineRule="exact"/>
              <w:jc w:val="right"/>
              <w:rPr>
                <w:noProof/>
                <w:sz w:val="16"/>
                <w:szCs w:val="16"/>
              </w:rPr>
            </w:pPr>
            <w:r w:rsidRPr="005B03CE">
              <w:rPr>
                <w:noProof/>
                <w:sz w:val="16"/>
                <w:szCs w:val="16"/>
              </w:rPr>
              <w:t>11.</w:t>
            </w:r>
            <w:r w:rsidR="00136427" w:rsidRPr="005B03CE">
              <w:rPr>
                <w:noProof/>
                <w:sz w:val="16"/>
                <w:szCs w:val="16"/>
              </w:rPr>
              <w:t>675</w:t>
            </w:r>
          </w:p>
        </w:tc>
        <w:tc>
          <w:tcPr>
            <w:tcW w:w="1080" w:type="dxa"/>
            <w:vAlign w:val="center"/>
          </w:tcPr>
          <w:p w:rsidR="00FF21B9" w:rsidRPr="005B03CE" w:rsidRDefault="00FF21B9" w:rsidP="00136427">
            <w:pPr>
              <w:spacing w:before="60" w:after="60" w:line="200" w:lineRule="exact"/>
              <w:jc w:val="right"/>
              <w:rPr>
                <w:noProof/>
                <w:sz w:val="16"/>
                <w:szCs w:val="16"/>
              </w:rPr>
            </w:pPr>
            <w:r w:rsidRPr="005B03CE">
              <w:rPr>
                <w:noProof/>
                <w:sz w:val="16"/>
                <w:szCs w:val="16"/>
              </w:rPr>
              <w:t>12.</w:t>
            </w:r>
            <w:r w:rsidR="00136427" w:rsidRPr="005B03CE">
              <w:rPr>
                <w:noProof/>
                <w:sz w:val="16"/>
                <w:szCs w:val="16"/>
              </w:rPr>
              <w:t>146</w:t>
            </w:r>
          </w:p>
        </w:tc>
        <w:tc>
          <w:tcPr>
            <w:tcW w:w="1224" w:type="dxa"/>
            <w:vAlign w:val="center"/>
          </w:tcPr>
          <w:p w:rsidR="00FF21B9" w:rsidRPr="005B03CE" w:rsidRDefault="00FF21B9" w:rsidP="00136427">
            <w:pPr>
              <w:spacing w:before="60" w:after="60" w:line="200" w:lineRule="exact"/>
              <w:jc w:val="right"/>
              <w:rPr>
                <w:noProof/>
                <w:sz w:val="16"/>
                <w:szCs w:val="16"/>
              </w:rPr>
            </w:pPr>
            <w:r w:rsidRPr="005B03CE">
              <w:rPr>
                <w:noProof/>
                <w:sz w:val="16"/>
                <w:szCs w:val="16"/>
              </w:rPr>
              <w:t>12.</w:t>
            </w:r>
            <w:r w:rsidR="00136427" w:rsidRPr="005B03CE">
              <w:rPr>
                <w:noProof/>
                <w:sz w:val="16"/>
                <w:szCs w:val="16"/>
              </w:rPr>
              <w:t>146</w:t>
            </w:r>
          </w:p>
        </w:tc>
        <w:tc>
          <w:tcPr>
            <w:tcW w:w="3096" w:type="dxa"/>
            <w:vAlign w:val="center"/>
          </w:tcPr>
          <w:p w:rsidR="00FF21B9" w:rsidRPr="005B03CE" w:rsidRDefault="00136427" w:rsidP="00136427">
            <w:pPr>
              <w:spacing w:before="60" w:after="60" w:line="200" w:lineRule="exact"/>
              <w:jc w:val="right"/>
              <w:rPr>
                <w:noProof/>
                <w:sz w:val="16"/>
                <w:szCs w:val="16"/>
              </w:rPr>
            </w:pPr>
            <w:r w:rsidRPr="005B03CE">
              <w:rPr>
                <w:noProof/>
                <w:sz w:val="16"/>
                <w:szCs w:val="16"/>
              </w:rPr>
              <w:t>56</w:t>
            </w:r>
            <w:r w:rsidR="00FF21B9" w:rsidRPr="005B03CE">
              <w:rPr>
                <w:noProof/>
                <w:sz w:val="16"/>
                <w:szCs w:val="16"/>
              </w:rPr>
              <w:t>.</w:t>
            </w:r>
            <w:r w:rsidRPr="005B03CE">
              <w:rPr>
                <w:noProof/>
                <w:sz w:val="16"/>
                <w:szCs w:val="16"/>
              </w:rPr>
              <w:t>136</w:t>
            </w:r>
          </w:p>
        </w:tc>
      </w:tr>
    </w:tbl>
    <w:p w:rsidR="00DD0A9C" w:rsidRPr="005B03CE" w:rsidRDefault="00DD0A9C" w:rsidP="00DD0A9C">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224"/>
        <w:gridCol w:w="3096"/>
      </w:tblGrid>
      <w:tr w:rsidR="00481BA7" w:rsidRPr="005B03CE" w:rsidTr="00481BA7">
        <w:trPr>
          <w:trHeight w:val="585"/>
        </w:trPr>
        <w:tc>
          <w:tcPr>
            <w:tcW w:w="1980" w:type="dxa"/>
            <w:shd w:val="clear" w:color="auto" w:fill="CCCCCC"/>
            <w:vAlign w:val="center"/>
          </w:tcPr>
          <w:p w:rsidR="00481BA7" w:rsidRPr="005B03CE" w:rsidRDefault="00481BA7" w:rsidP="00F158BD">
            <w:pPr>
              <w:spacing w:before="60" w:after="60" w:line="200" w:lineRule="exact"/>
              <w:jc w:val="center"/>
              <w:rPr>
                <w:noProof/>
                <w:sz w:val="16"/>
                <w:szCs w:val="16"/>
              </w:rPr>
            </w:pPr>
            <w:r w:rsidRPr="005B03CE">
              <w:rPr>
                <w:b/>
                <w:noProof/>
                <w:sz w:val="16"/>
              </w:rPr>
              <w:t>Outside HEADING 7</w:t>
            </w:r>
            <w:r w:rsidRPr="005B03CE">
              <w:rPr>
                <w:rStyle w:val="FootnoteReference"/>
                <w:b/>
                <w:noProof/>
                <w:sz w:val="16"/>
              </w:rPr>
              <w:footnoteReference w:id="21"/>
            </w:r>
            <w:r w:rsidRPr="005B03CE">
              <w:rPr>
                <w:noProof/>
                <w:sz w:val="22"/>
              </w:rPr>
              <w:br/>
            </w:r>
            <w:r w:rsidRPr="005B03CE">
              <w:rPr>
                <w:b/>
                <w:noProof/>
                <w:sz w:val="16"/>
              </w:rPr>
              <w:t xml:space="preserve">of the multiannual financial framework </w:t>
            </w:r>
          </w:p>
          <w:p w:rsidR="00481BA7" w:rsidRPr="005B03CE" w:rsidRDefault="00481BA7" w:rsidP="00F158BD">
            <w:pPr>
              <w:spacing w:before="0" w:after="0" w:line="200" w:lineRule="exact"/>
              <w:jc w:val="center"/>
              <w:rPr>
                <w:b/>
                <w:noProof/>
                <w:sz w:val="16"/>
                <w:szCs w:val="16"/>
              </w:rPr>
            </w:pP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224" w:type="dxa"/>
            <w:vAlign w:val="center"/>
          </w:tcPr>
          <w:p w:rsidR="00481BA7" w:rsidRPr="005B03CE" w:rsidRDefault="00481BA7" w:rsidP="00F158BD">
            <w:pPr>
              <w:spacing w:before="60" w:after="60" w:line="200" w:lineRule="exact"/>
              <w:jc w:val="right"/>
              <w:rPr>
                <w:b/>
                <w:noProof/>
                <w:sz w:val="16"/>
                <w:szCs w:val="16"/>
              </w:rPr>
            </w:pPr>
          </w:p>
        </w:tc>
        <w:tc>
          <w:tcPr>
            <w:tcW w:w="3096" w:type="dxa"/>
            <w:vAlign w:val="center"/>
          </w:tcPr>
          <w:p w:rsidR="00481BA7" w:rsidRPr="005B03CE" w:rsidRDefault="00481BA7" w:rsidP="00F158BD">
            <w:pPr>
              <w:spacing w:before="60" w:after="60" w:line="200" w:lineRule="exact"/>
              <w:jc w:val="right"/>
              <w:rPr>
                <w:b/>
                <w:noProof/>
                <w:sz w:val="16"/>
                <w:szCs w:val="16"/>
              </w:rPr>
            </w:pPr>
          </w:p>
        </w:tc>
      </w:tr>
      <w:tr w:rsidR="00481BA7" w:rsidRPr="005B03CE" w:rsidTr="00481BA7">
        <w:trPr>
          <w:trHeight w:val="585"/>
        </w:trPr>
        <w:tc>
          <w:tcPr>
            <w:tcW w:w="1980" w:type="dxa"/>
            <w:vAlign w:val="center"/>
          </w:tcPr>
          <w:p w:rsidR="00481BA7" w:rsidRPr="005B03CE" w:rsidRDefault="00481BA7" w:rsidP="00F158BD">
            <w:pPr>
              <w:spacing w:before="60" w:after="60" w:line="200" w:lineRule="exact"/>
              <w:ind w:left="72"/>
              <w:jc w:val="left"/>
              <w:rPr>
                <w:noProof/>
                <w:sz w:val="16"/>
                <w:szCs w:val="16"/>
              </w:rPr>
            </w:pPr>
            <w:r w:rsidRPr="005B03CE">
              <w:rPr>
                <w:noProof/>
                <w:sz w:val="16"/>
              </w:rPr>
              <w:t xml:space="preserve">Human resources </w:t>
            </w: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224" w:type="dxa"/>
            <w:vAlign w:val="center"/>
          </w:tcPr>
          <w:p w:rsidR="00481BA7" w:rsidRPr="005B03CE" w:rsidRDefault="00481BA7" w:rsidP="00F158BD">
            <w:pPr>
              <w:spacing w:before="60" w:after="60" w:line="200" w:lineRule="exact"/>
              <w:jc w:val="right"/>
              <w:rPr>
                <w:b/>
                <w:noProof/>
                <w:sz w:val="16"/>
                <w:szCs w:val="16"/>
              </w:rPr>
            </w:pPr>
          </w:p>
        </w:tc>
        <w:tc>
          <w:tcPr>
            <w:tcW w:w="3096" w:type="dxa"/>
            <w:vAlign w:val="center"/>
          </w:tcPr>
          <w:p w:rsidR="00481BA7" w:rsidRPr="005B03CE" w:rsidRDefault="00481BA7" w:rsidP="00F158BD">
            <w:pPr>
              <w:spacing w:before="60" w:after="60" w:line="200" w:lineRule="exact"/>
              <w:jc w:val="right"/>
              <w:rPr>
                <w:b/>
                <w:noProof/>
                <w:sz w:val="16"/>
                <w:szCs w:val="16"/>
              </w:rPr>
            </w:pPr>
          </w:p>
        </w:tc>
      </w:tr>
      <w:tr w:rsidR="00481BA7" w:rsidRPr="005B03CE" w:rsidTr="00481BA7">
        <w:trPr>
          <w:trHeight w:val="585"/>
        </w:trPr>
        <w:tc>
          <w:tcPr>
            <w:tcW w:w="1980" w:type="dxa"/>
            <w:vAlign w:val="center"/>
          </w:tcPr>
          <w:p w:rsidR="00481BA7" w:rsidRPr="005B03CE" w:rsidRDefault="00481BA7" w:rsidP="00F158BD">
            <w:pPr>
              <w:spacing w:before="60" w:after="60" w:line="200" w:lineRule="exact"/>
              <w:ind w:left="72"/>
              <w:jc w:val="left"/>
              <w:rPr>
                <w:noProof/>
                <w:sz w:val="16"/>
                <w:szCs w:val="16"/>
              </w:rPr>
            </w:pPr>
            <w:r w:rsidRPr="005B03CE">
              <w:rPr>
                <w:noProof/>
                <w:sz w:val="16"/>
              </w:rPr>
              <w:t xml:space="preserve">Other expenditure </w:t>
            </w:r>
            <w:r w:rsidRPr="005B03CE">
              <w:rPr>
                <w:noProof/>
                <w:sz w:val="22"/>
              </w:rPr>
              <w:br/>
            </w:r>
            <w:r w:rsidRPr="005B03CE">
              <w:rPr>
                <w:noProof/>
                <w:sz w:val="16"/>
              </w:rPr>
              <w:t>of an administrative nature</w:t>
            </w: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224" w:type="dxa"/>
            <w:vAlign w:val="center"/>
          </w:tcPr>
          <w:p w:rsidR="00481BA7" w:rsidRPr="005B03CE" w:rsidRDefault="00481BA7" w:rsidP="00F158BD">
            <w:pPr>
              <w:spacing w:before="60" w:after="60" w:line="200" w:lineRule="exact"/>
              <w:jc w:val="right"/>
              <w:rPr>
                <w:b/>
                <w:noProof/>
                <w:sz w:val="16"/>
                <w:szCs w:val="16"/>
              </w:rPr>
            </w:pPr>
          </w:p>
        </w:tc>
        <w:tc>
          <w:tcPr>
            <w:tcW w:w="3096" w:type="dxa"/>
            <w:vAlign w:val="center"/>
          </w:tcPr>
          <w:p w:rsidR="00481BA7" w:rsidRPr="005B03CE" w:rsidRDefault="00481BA7" w:rsidP="00F158BD">
            <w:pPr>
              <w:spacing w:before="60" w:after="60" w:line="200" w:lineRule="exact"/>
              <w:jc w:val="right"/>
              <w:rPr>
                <w:b/>
                <w:noProof/>
                <w:sz w:val="16"/>
                <w:szCs w:val="16"/>
              </w:rPr>
            </w:pPr>
          </w:p>
        </w:tc>
      </w:tr>
      <w:tr w:rsidR="00481BA7" w:rsidRPr="005B03CE" w:rsidTr="00481BA7">
        <w:trPr>
          <w:trHeight w:val="585"/>
        </w:trPr>
        <w:tc>
          <w:tcPr>
            <w:tcW w:w="1980" w:type="dxa"/>
            <w:shd w:val="clear" w:color="auto" w:fill="CCCCCC"/>
            <w:vAlign w:val="center"/>
          </w:tcPr>
          <w:p w:rsidR="00481BA7" w:rsidRPr="005B03CE" w:rsidRDefault="00481BA7" w:rsidP="00F158BD">
            <w:pPr>
              <w:spacing w:before="60" w:after="60" w:line="200" w:lineRule="exact"/>
              <w:jc w:val="center"/>
              <w:rPr>
                <w:b/>
                <w:noProof/>
                <w:sz w:val="16"/>
                <w:szCs w:val="16"/>
              </w:rPr>
            </w:pPr>
            <w:r w:rsidRPr="005B03CE">
              <w:rPr>
                <w:b/>
                <w:noProof/>
                <w:sz w:val="16"/>
              </w:rPr>
              <w:t xml:space="preserve">Subtotal </w:t>
            </w:r>
            <w:r w:rsidRPr="005B03CE">
              <w:rPr>
                <w:noProof/>
                <w:sz w:val="22"/>
              </w:rPr>
              <w:br/>
            </w:r>
            <w:r w:rsidRPr="005B03CE">
              <w:rPr>
                <w:b/>
                <w:noProof/>
                <w:sz w:val="16"/>
              </w:rPr>
              <w:t>outside HEADING 7</w:t>
            </w:r>
            <w:r w:rsidRPr="005B03CE">
              <w:rPr>
                <w:noProof/>
                <w:sz w:val="22"/>
              </w:rPr>
              <w:br/>
            </w:r>
            <w:r w:rsidRPr="005B03CE">
              <w:rPr>
                <w:b/>
                <w:noProof/>
                <w:sz w:val="16"/>
              </w:rPr>
              <w:t xml:space="preserve">of the multiannual financial framework </w:t>
            </w: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080" w:type="dxa"/>
            <w:vAlign w:val="center"/>
          </w:tcPr>
          <w:p w:rsidR="00481BA7" w:rsidRPr="005B03CE" w:rsidRDefault="00481BA7" w:rsidP="00F158BD">
            <w:pPr>
              <w:spacing w:before="60" w:after="60" w:line="200" w:lineRule="exact"/>
              <w:jc w:val="right"/>
              <w:rPr>
                <w:noProof/>
                <w:sz w:val="16"/>
                <w:szCs w:val="16"/>
              </w:rPr>
            </w:pPr>
          </w:p>
        </w:tc>
        <w:tc>
          <w:tcPr>
            <w:tcW w:w="1224" w:type="dxa"/>
            <w:vAlign w:val="center"/>
          </w:tcPr>
          <w:p w:rsidR="00481BA7" w:rsidRPr="005B03CE" w:rsidRDefault="00481BA7" w:rsidP="00F158BD">
            <w:pPr>
              <w:spacing w:before="60" w:after="60" w:line="200" w:lineRule="exact"/>
              <w:jc w:val="right"/>
              <w:rPr>
                <w:b/>
                <w:noProof/>
                <w:sz w:val="16"/>
                <w:szCs w:val="16"/>
              </w:rPr>
            </w:pPr>
          </w:p>
        </w:tc>
        <w:tc>
          <w:tcPr>
            <w:tcW w:w="3096" w:type="dxa"/>
            <w:vAlign w:val="center"/>
          </w:tcPr>
          <w:p w:rsidR="00481BA7" w:rsidRPr="005B03CE" w:rsidRDefault="00481BA7" w:rsidP="00F158BD">
            <w:pPr>
              <w:spacing w:before="60" w:after="60" w:line="200" w:lineRule="exact"/>
              <w:jc w:val="right"/>
              <w:rPr>
                <w:b/>
                <w:noProof/>
                <w:sz w:val="16"/>
                <w:szCs w:val="16"/>
              </w:rPr>
            </w:pPr>
          </w:p>
        </w:tc>
      </w:tr>
    </w:tbl>
    <w:p w:rsidR="00DD0A9C" w:rsidRPr="005B03CE" w:rsidRDefault="00DD0A9C" w:rsidP="00DD0A9C">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224"/>
        <w:gridCol w:w="3096"/>
      </w:tblGrid>
      <w:tr w:rsidR="00481BA7" w:rsidRPr="005B03CE" w:rsidTr="00481BA7">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481BA7" w:rsidRPr="005B03CE" w:rsidRDefault="00481BA7" w:rsidP="00F158BD">
            <w:pPr>
              <w:spacing w:before="60" w:after="60" w:line="200" w:lineRule="exact"/>
              <w:jc w:val="center"/>
              <w:rPr>
                <w:noProof/>
                <w:sz w:val="16"/>
                <w:szCs w:val="16"/>
              </w:rPr>
            </w:pPr>
            <w:r w:rsidRPr="005B03CE">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481BA7" w:rsidRPr="005B03CE" w:rsidRDefault="00481BA7" w:rsidP="00BC0EC0">
            <w:pPr>
              <w:spacing w:before="60" w:after="60" w:line="200" w:lineRule="exact"/>
              <w:jc w:val="right"/>
              <w:rPr>
                <w:noProof/>
                <w:sz w:val="16"/>
                <w:szCs w:val="16"/>
              </w:rPr>
            </w:pPr>
            <w:r w:rsidRPr="005B03CE">
              <w:rPr>
                <w:noProof/>
                <w:sz w:val="16"/>
                <w:szCs w:val="16"/>
              </w:rPr>
              <w:t>9.</w:t>
            </w:r>
            <w:r w:rsidR="00BC0EC0" w:rsidRPr="005B03CE">
              <w:rPr>
                <w:noProof/>
                <w:sz w:val="16"/>
                <w:szCs w:val="16"/>
              </w:rPr>
              <w:t>122</w:t>
            </w:r>
          </w:p>
        </w:tc>
        <w:tc>
          <w:tcPr>
            <w:tcW w:w="1080" w:type="dxa"/>
            <w:tcBorders>
              <w:top w:val="single" w:sz="12" w:space="0" w:color="auto"/>
              <w:left w:val="single" w:sz="2" w:space="0" w:color="auto"/>
              <w:bottom w:val="single" w:sz="12" w:space="0" w:color="auto"/>
              <w:right w:val="single" w:sz="2" w:space="0" w:color="auto"/>
            </w:tcBorders>
            <w:vAlign w:val="center"/>
          </w:tcPr>
          <w:p w:rsidR="00481BA7" w:rsidRPr="005B03CE" w:rsidRDefault="00BC0EC0" w:rsidP="00BC0EC0">
            <w:pPr>
              <w:spacing w:before="60" w:after="60" w:line="200" w:lineRule="exact"/>
              <w:jc w:val="right"/>
              <w:rPr>
                <w:noProof/>
                <w:sz w:val="16"/>
                <w:szCs w:val="16"/>
              </w:rPr>
            </w:pPr>
            <w:r w:rsidRPr="005B03CE">
              <w:rPr>
                <w:noProof/>
                <w:sz w:val="16"/>
                <w:szCs w:val="16"/>
              </w:rPr>
              <w:t>11</w:t>
            </w:r>
            <w:r w:rsidR="00481BA7" w:rsidRPr="005B03CE">
              <w:rPr>
                <w:noProof/>
                <w:sz w:val="16"/>
                <w:szCs w:val="16"/>
              </w:rPr>
              <w:t>.</w:t>
            </w:r>
            <w:r w:rsidRPr="005B03CE">
              <w:rPr>
                <w:noProof/>
                <w:sz w:val="16"/>
                <w:szCs w:val="16"/>
              </w:rPr>
              <w:t>047</w:t>
            </w:r>
          </w:p>
        </w:tc>
        <w:tc>
          <w:tcPr>
            <w:tcW w:w="1080" w:type="dxa"/>
            <w:tcBorders>
              <w:top w:val="single" w:sz="12" w:space="0" w:color="auto"/>
              <w:left w:val="single" w:sz="2" w:space="0" w:color="auto"/>
              <w:bottom w:val="single" w:sz="12" w:space="0" w:color="auto"/>
              <w:right w:val="single" w:sz="2" w:space="0" w:color="auto"/>
            </w:tcBorders>
            <w:vAlign w:val="center"/>
          </w:tcPr>
          <w:p w:rsidR="00481BA7" w:rsidRPr="005B03CE" w:rsidRDefault="00481BA7" w:rsidP="00BC0EC0">
            <w:pPr>
              <w:spacing w:before="60" w:after="60" w:line="200" w:lineRule="exact"/>
              <w:jc w:val="right"/>
              <w:rPr>
                <w:noProof/>
                <w:sz w:val="16"/>
                <w:szCs w:val="16"/>
              </w:rPr>
            </w:pPr>
            <w:r w:rsidRPr="005B03CE">
              <w:rPr>
                <w:noProof/>
                <w:sz w:val="16"/>
                <w:szCs w:val="16"/>
              </w:rPr>
              <w:t>11.</w:t>
            </w:r>
            <w:r w:rsidR="00BC0EC0" w:rsidRPr="005B03CE">
              <w:rPr>
                <w:noProof/>
                <w:sz w:val="16"/>
                <w:szCs w:val="16"/>
              </w:rPr>
              <w:t>675</w:t>
            </w:r>
          </w:p>
        </w:tc>
        <w:tc>
          <w:tcPr>
            <w:tcW w:w="1080" w:type="dxa"/>
            <w:tcBorders>
              <w:top w:val="single" w:sz="12" w:space="0" w:color="auto"/>
              <w:left w:val="single" w:sz="2" w:space="0" w:color="auto"/>
              <w:bottom w:val="single" w:sz="12" w:space="0" w:color="auto"/>
              <w:right w:val="single" w:sz="2" w:space="0" w:color="auto"/>
            </w:tcBorders>
            <w:vAlign w:val="center"/>
          </w:tcPr>
          <w:p w:rsidR="00481BA7" w:rsidRPr="005B03CE" w:rsidRDefault="00481BA7" w:rsidP="00BC0EC0">
            <w:pPr>
              <w:spacing w:before="60" w:after="60" w:line="200" w:lineRule="exact"/>
              <w:jc w:val="right"/>
              <w:rPr>
                <w:noProof/>
                <w:sz w:val="16"/>
                <w:szCs w:val="16"/>
              </w:rPr>
            </w:pPr>
            <w:r w:rsidRPr="005B03CE">
              <w:rPr>
                <w:noProof/>
                <w:sz w:val="16"/>
                <w:szCs w:val="16"/>
              </w:rPr>
              <w:t>12.</w:t>
            </w:r>
            <w:r w:rsidR="00BC0EC0" w:rsidRPr="005B03CE">
              <w:rPr>
                <w:noProof/>
                <w:sz w:val="16"/>
                <w:szCs w:val="16"/>
              </w:rPr>
              <w:t>146</w:t>
            </w:r>
          </w:p>
        </w:tc>
        <w:tc>
          <w:tcPr>
            <w:tcW w:w="1224" w:type="dxa"/>
            <w:tcBorders>
              <w:top w:val="single" w:sz="12" w:space="0" w:color="auto"/>
              <w:left w:val="single" w:sz="2" w:space="0" w:color="auto"/>
              <w:bottom w:val="single" w:sz="12" w:space="0" w:color="auto"/>
              <w:right w:val="single" w:sz="2" w:space="0" w:color="auto"/>
            </w:tcBorders>
            <w:vAlign w:val="center"/>
          </w:tcPr>
          <w:p w:rsidR="00481BA7" w:rsidRPr="005B03CE" w:rsidRDefault="00481BA7" w:rsidP="00BC0EC0">
            <w:pPr>
              <w:spacing w:before="60" w:after="60" w:line="200" w:lineRule="exact"/>
              <w:jc w:val="right"/>
              <w:rPr>
                <w:noProof/>
                <w:sz w:val="16"/>
                <w:szCs w:val="16"/>
              </w:rPr>
            </w:pPr>
            <w:r w:rsidRPr="005B03CE">
              <w:rPr>
                <w:noProof/>
                <w:sz w:val="16"/>
                <w:szCs w:val="16"/>
              </w:rPr>
              <w:t>12.</w:t>
            </w:r>
            <w:r w:rsidR="00BC0EC0" w:rsidRPr="005B03CE">
              <w:rPr>
                <w:noProof/>
                <w:sz w:val="16"/>
                <w:szCs w:val="16"/>
              </w:rPr>
              <w:t>146</w:t>
            </w:r>
          </w:p>
        </w:tc>
        <w:tc>
          <w:tcPr>
            <w:tcW w:w="3096" w:type="dxa"/>
            <w:tcBorders>
              <w:top w:val="single" w:sz="12" w:space="0" w:color="auto"/>
              <w:left w:val="single" w:sz="2" w:space="0" w:color="auto"/>
              <w:bottom w:val="single" w:sz="12" w:space="0" w:color="auto"/>
              <w:right w:val="single" w:sz="12" w:space="0" w:color="auto"/>
            </w:tcBorders>
            <w:vAlign w:val="center"/>
          </w:tcPr>
          <w:p w:rsidR="00481BA7" w:rsidRPr="005B03CE" w:rsidRDefault="00BC0EC0" w:rsidP="00BC0EC0">
            <w:pPr>
              <w:spacing w:before="60" w:after="60" w:line="200" w:lineRule="exact"/>
              <w:jc w:val="right"/>
              <w:rPr>
                <w:noProof/>
                <w:sz w:val="16"/>
                <w:szCs w:val="16"/>
              </w:rPr>
            </w:pPr>
            <w:r w:rsidRPr="005B03CE">
              <w:rPr>
                <w:noProof/>
                <w:sz w:val="16"/>
                <w:szCs w:val="16"/>
              </w:rPr>
              <w:t>56</w:t>
            </w:r>
            <w:r w:rsidR="00481BA7" w:rsidRPr="005B03CE">
              <w:rPr>
                <w:noProof/>
                <w:sz w:val="16"/>
                <w:szCs w:val="16"/>
              </w:rPr>
              <w:t>.</w:t>
            </w:r>
            <w:r w:rsidRPr="005B03CE">
              <w:rPr>
                <w:noProof/>
                <w:sz w:val="16"/>
                <w:szCs w:val="16"/>
              </w:rPr>
              <w:t>136</w:t>
            </w:r>
          </w:p>
        </w:tc>
      </w:tr>
    </w:tbl>
    <w:p w:rsidR="00DD0A9C" w:rsidRPr="005B03CE" w:rsidRDefault="00DD0A9C" w:rsidP="00DD0A9C">
      <w:pPr>
        <w:rPr>
          <w:noProof/>
          <w:sz w:val="18"/>
        </w:rPr>
      </w:pPr>
      <w:r w:rsidRPr="005B03CE">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DD0A9C" w:rsidRPr="005B03CE" w:rsidRDefault="00DD0A9C" w:rsidP="00DD0A9C">
      <w:pPr>
        <w:rPr>
          <w:noProof/>
          <w:sz w:val="18"/>
        </w:rPr>
        <w:sectPr w:rsidR="00DD0A9C" w:rsidRPr="005B03CE" w:rsidSect="00427BA8">
          <w:headerReference w:type="default" r:id="rId23"/>
          <w:footerReference w:type="default" r:id="rId24"/>
          <w:headerReference w:type="first" r:id="rId25"/>
          <w:footerReference w:type="first" r:id="rId26"/>
          <w:pgSz w:w="11907" w:h="16840"/>
          <w:pgMar w:top="1134" w:right="1418" w:bottom="1134" w:left="1418" w:header="709" w:footer="709" w:gutter="0"/>
          <w:cols w:space="708"/>
          <w:docGrid w:linePitch="360"/>
        </w:sectPr>
      </w:pPr>
    </w:p>
    <w:p w:rsidR="00DD0A9C" w:rsidRPr="005B03CE" w:rsidRDefault="004A06D6" w:rsidP="004A06D6">
      <w:pPr>
        <w:pStyle w:val="ManualHeading4"/>
        <w:rPr>
          <w:bCs/>
          <w:noProof/>
          <w:szCs w:val="24"/>
        </w:rPr>
      </w:pPr>
      <w:r w:rsidRPr="004A06D6">
        <w:t>3.2.3.1.</w:t>
      </w:r>
      <w:r w:rsidRPr="004A06D6">
        <w:tab/>
      </w:r>
      <w:r w:rsidR="00DD0A9C" w:rsidRPr="005B03CE">
        <w:rPr>
          <w:noProof/>
        </w:rPr>
        <w:t xml:space="preserve">Estimated requirements of human resources </w:t>
      </w:r>
    </w:p>
    <w:p w:rsidR="00F741D4" w:rsidRPr="005B03CE" w:rsidRDefault="00F741D4" w:rsidP="00F741D4">
      <w:pPr>
        <w:pStyle w:val="ListDash1"/>
        <w:rPr>
          <w:noProof/>
        </w:rPr>
      </w:pPr>
      <w:r w:rsidRPr="005B03CE">
        <w:rPr>
          <w:rFonts w:ascii="Wingdings" w:eastAsia="Wingdings" w:hAnsi="Wingdings" w:cs="Wingdings"/>
          <w:noProof/>
        </w:rPr>
        <w:t></w:t>
      </w:r>
      <w:r w:rsidRPr="005B03CE">
        <w:rPr>
          <w:noProof/>
        </w:rPr>
        <w:tab/>
        <w:t xml:space="preserve">The proposal/initiative does not require the use of human resources. </w:t>
      </w:r>
    </w:p>
    <w:p w:rsidR="00F741D4" w:rsidRPr="005B03CE" w:rsidRDefault="00F741D4" w:rsidP="00F741D4">
      <w:pPr>
        <w:pStyle w:val="ListDash1"/>
        <w:rPr>
          <w:noProof/>
        </w:rPr>
      </w:pPr>
      <w:r w:rsidRPr="005B03CE">
        <w:rPr>
          <w:rFonts w:ascii="Wingdings" w:eastAsia="Wingdings" w:hAnsi="Wingdings" w:cs="Wingdings"/>
          <w:noProof/>
        </w:rPr>
        <w:t></w:t>
      </w:r>
      <w:r w:rsidRPr="005B03CE">
        <w:rPr>
          <w:noProof/>
        </w:rPr>
        <w:tab/>
        <w:t>The proposal/initiative requires the use of human resources, as explained below:</w:t>
      </w:r>
    </w:p>
    <w:p w:rsidR="00DD0A9C" w:rsidRPr="005B03CE" w:rsidRDefault="00DD0A9C" w:rsidP="00DD0A9C">
      <w:pPr>
        <w:spacing w:after="60"/>
        <w:jc w:val="right"/>
        <w:rPr>
          <w:i/>
          <w:noProof/>
          <w:sz w:val="20"/>
        </w:rPr>
      </w:pPr>
      <w:r w:rsidRPr="005B03CE">
        <w:rPr>
          <w:i/>
          <w:noProof/>
          <w:sz w:val="20"/>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DD0A9C" w:rsidRPr="005B03CE" w:rsidTr="00F158BD">
        <w:trPr>
          <w:gridBefore w:val="1"/>
          <w:wBefore w:w="15" w:type="dxa"/>
          <w:trHeight w:val="289"/>
          <w:jc w:val="center"/>
        </w:trPr>
        <w:tc>
          <w:tcPr>
            <w:tcW w:w="4754" w:type="dxa"/>
            <w:gridSpan w:val="2"/>
            <w:shd w:val="clear" w:color="auto" w:fill="auto"/>
          </w:tcPr>
          <w:p w:rsidR="00DD0A9C" w:rsidRPr="005B03CE" w:rsidRDefault="00DD0A9C" w:rsidP="00F158BD">
            <w:pPr>
              <w:pStyle w:val="Text1"/>
              <w:spacing w:before="40" w:after="40"/>
              <w:ind w:left="0"/>
              <w:jc w:val="center"/>
              <w:rPr>
                <w:i/>
                <w:noProof/>
                <w:sz w:val="16"/>
                <w:szCs w:val="16"/>
              </w:rPr>
            </w:pPr>
          </w:p>
        </w:tc>
        <w:tc>
          <w:tcPr>
            <w:tcW w:w="731" w:type="dxa"/>
            <w:shd w:val="clear" w:color="auto" w:fill="auto"/>
            <w:vAlign w:val="center"/>
          </w:tcPr>
          <w:p w:rsidR="00DD0A9C" w:rsidRPr="005B03CE" w:rsidRDefault="00DD0A9C" w:rsidP="00F158BD">
            <w:pPr>
              <w:spacing w:before="20" w:after="20"/>
              <w:jc w:val="center"/>
              <w:rPr>
                <w:noProof/>
                <w:sz w:val="16"/>
              </w:rPr>
            </w:pPr>
            <w:r w:rsidRPr="005B03CE">
              <w:rPr>
                <w:noProof/>
                <w:sz w:val="16"/>
              </w:rPr>
              <w:t>Year</w:t>
            </w:r>
          </w:p>
          <w:p w:rsidR="00DD0A9C" w:rsidRPr="005B03CE" w:rsidRDefault="00DD0A9C" w:rsidP="00F158BD">
            <w:pPr>
              <w:spacing w:before="20" w:after="20"/>
              <w:jc w:val="center"/>
              <w:rPr>
                <w:noProof/>
                <w:sz w:val="16"/>
                <w:szCs w:val="16"/>
              </w:rPr>
            </w:pPr>
            <w:r w:rsidRPr="005B03CE">
              <w:rPr>
                <w:noProof/>
                <w:sz w:val="16"/>
              </w:rPr>
              <w:t>2023</w:t>
            </w:r>
          </w:p>
        </w:tc>
        <w:tc>
          <w:tcPr>
            <w:tcW w:w="731" w:type="dxa"/>
            <w:shd w:val="clear" w:color="auto" w:fill="auto"/>
            <w:vAlign w:val="center"/>
          </w:tcPr>
          <w:p w:rsidR="00DD0A9C" w:rsidRPr="005B03CE" w:rsidRDefault="00DD0A9C" w:rsidP="00F158BD">
            <w:pPr>
              <w:spacing w:before="20" w:after="20"/>
              <w:jc w:val="center"/>
              <w:rPr>
                <w:noProof/>
                <w:sz w:val="16"/>
              </w:rPr>
            </w:pPr>
            <w:r w:rsidRPr="005B03CE">
              <w:rPr>
                <w:noProof/>
                <w:sz w:val="16"/>
              </w:rPr>
              <w:t>Year</w:t>
            </w:r>
          </w:p>
          <w:p w:rsidR="00DD0A9C" w:rsidRPr="005B03CE" w:rsidRDefault="00DD0A9C" w:rsidP="00F158BD">
            <w:pPr>
              <w:spacing w:before="20" w:after="20"/>
              <w:jc w:val="center"/>
              <w:rPr>
                <w:noProof/>
                <w:sz w:val="16"/>
                <w:szCs w:val="16"/>
              </w:rPr>
            </w:pPr>
            <w:r w:rsidRPr="005B03CE">
              <w:rPr>
                <w:noProof/>
                <w:sz w:val="16"/>
              </w:rPr>
              <w:t>2024</w:t>
            </w:r>
          </w:p>
        </w:tc>
        <w:tc>
          <w:tcPr>
            <w:tcW w:w="731" w:type="dxa"/>
            <w:shd w:val="clear" w:color="auto" w:fill="auto"/>
            <w:vAlign w:val="center"/>
          </w:tcPr>
          <w:p w:rsidR="00DD0A9C" w:rsidRPr="005B03CE" w:rsidRDefault="00481BA7" w:rsidP="00F158BD">
            <w:pPr>
              <w:spacing w:before="20" w:after="20"/>
              <w:jc w:val="center"/>
              <w:rPr>
                <w:noProof/>
                <w:sz w:val="16"/>
                <w:szCs w:val="16"/>
              </w:rPr>
            </w:pPr>
            <w:r w:rsidRPr="005B03CE">
              <w:rPr>
                <w:noProof/>
                <w:sz w:val="16"/>
                <w:szCs w:val="16"/>
              </w:rPr>
              <w:t>Year</w:t>
            </w:r>
          </w:p>
          <w:p w:rsidR="00DD0A9C" w:rsidRPr="005B03CE" w:rsidRDefault="00DD0A9C" w:rsidP="00F158BD">
            <w:pPr>
              <w:spacing w:before="20" w:after="20"/>
              <w:jc w:val="center"/>
              <w:rPr>
                <w:noProof/>
                <w:sz w:val="16"/>
                <w:szCs w:val="16"/>
              </w:rPr>
            </w:pPr>
            <w:r w:rsidRPr="005B03CE">
              <w:rPr>
                <w:noProof/>
                <w:sz w:val="16"/>
                <w:szCs w:val="16"/>
              </w:rPr>
              <w:t>2025</w:t>
            </w:r>
          </w:p>
        </w:tc>
        <w:tc>
          <w:tcPr>
            <w:tcW w:w="731" w:type="dxa"/>
            <w:shd w:val="clear" w:color="auto" w:fill="auto"/>
            <w:vAlign w:val="center"/>
          </w:tcPr>
          <w:p w:rsidR="00DD0A9C" w:rsidRPr="005B03CE" w:rsidRDefault="00481BA7" w:rsidP="00F158BD">
            <w:pPr>
              <w:spacing w:before="20" w:after="20"/>
              <w:jc w:val="center"/>
              <w:rPr>
                <w:noProof/>
                <w:sz w:val="16"/>
                <w:szCs w:val="16"/>
              </w:rPr>
            </w:pPr>
            <w:r w:rsidRPr="005B03CE">
              <w:rPr>
                <w:noProof/>
                <w:sz w:val="16"/>
                <w:szCs w:val="16"/>
              </w:rPr>
              <w:t>Year</w:t>
            </w:r>
          </w:p>
          <w:p w:rsidR="00DD0A9C" w:rsidRPr="005B03CE" w:rsidRDefault="00DD0A9C" w:rsidP="00F158BD">
            <w:pPr>
              <w:spacing w:before="20" w:after="20"/>
              <w:jc w:val="center"/>
              <w:rPr>
                <w:noProof/>
                <w:sz w:val="16"/>
                <w:szCs w:val="16"/>
              </w:rPr>
            </w:pPr>
            <w:r w:rsidRPr="005B03CE">
              <w:rPr>
                <w:noProof/>
                <w:sz w:val="16"/>
                <w:szCs w:val="16"/>
              </w:rPr>
              <w:t>2026</w:t>
            </w:r>
          </w:p>
        </w:tc>
        <w:tc>
          <w:tcPr>
            <w:tcW w:w="2193" w:type="dxa"/>
            <w:gridSpan w:val="3"/>
            <w:shd w:val="clear" w:color="auto" w:fill="auto"/>
            <w:vAlign w:val="center"/>
          </w:tcPr>
          <w:p w:rsidR="00DD0A9C" w:rsidRPr="005B03CE" w:rsidRDefault="00481BA7" w:rsidP="00481BA7">
            <w:pPr>
              <w:jc w:val="center"/>
              <w:rPr>
                <w:b/>
                <w:noProof/>
                <w:sz w:val="16"/>
                <w:szCs w:val="16"/>
              </w:rPr>
            </w:pPr>
            <w:r w:rsidRPr="005B03CE">
              <w:rPr>
                <w:noProof/>
                <w:sz w:val="16"/>
              </w:rPr>
              <w:t xml:space="preserve">Year </w:t>
            </w:r>
            <w:r w:rsidR="00DD0A9C" w:rsidRPr="005B03CE">
              <w:rPr>
                <w:noProof/>
                <w:sz w:val="16"/>
              </w:rPr>
              <w:t xml:space="preserve">2027       </w:t>
            </w:r>
          </w:p>
        </w:tc>
      </w:tr>
      <w:tr w:rsidR="00DD0A9C" w:rsidRPr="005B03CE" w:rsidTr="00F158BD">
        <w:trPr>
          <w:gridBefore w:val="1"/>
          <w:wBefore w:w="15" w:type="dxa"/>
          <w:trHeight w:val="289"/>
          <w:jc w:val="center"/>
        </w:trPr>
        <w:tc>
          <w:tcPr>
            <w:tcW w:w="9871" w:type="dxa"/>
            <w:gridSpan w:val="9"/>
            <w:shd w:val="clear" w:color="auto" w:fill="auto"/>
          </w:tcPr>
          <w:p w:rsidR="00DD0A9C" w:rsidRPr="005B03CE" w:rsidRDefault="00844976" w:rsidP="00F158BD">
            <w:pPr>
              <w:jc w:val="left"/>
              <w:rPr>
                <w:noProof/>
                <w:sz w:val="16"/>
                <w:szCs w:val="16"/>
              </w:rPr>
            </w:pPr>
            <w:r w:rsidRPr="005B03CE">
              <w:rPr>
                <w:rFonts w:ascii="Wingdings" w:eastAsia="Wingdings" w:hAnsi="Wingdings" w:cs="Wingdings"/>
                <w:b/>
                <w:noProof/>
                <w:sz w:val="16"/>
              </w:rPr>
              <w:t>□</w:t>
            </w:r>
            <w:r w:rsidR="00DD0A9C" w:rsidRPr="005B03CE">
              <w:rPr>
                <w:b/>
                <w:noProof/>
                <w:sz w:val="16"/>
              </w:rPr>
              <w:t xml:space="preserve"> Establishment plan posts (officials and temporary staff)</w:t>
            </w:r>
          </w:p>
        </w:tc>
      </w:tr>
      <w:tr w:rsidR="00DD0A9C" w:rsidRPr="005B03CE" w:rsidTr="00F158BD">
        <w:trPr>
          <w:gridBefore w:val="1"/>
          <w:wBefore w:w="15" w:type="dxa"/>
          <w:trHeight w:val="289"/>
          <w:jc w:val="center"/>
        </w:trPr>
        <w:tc>
          <w:tcPr>
            <w:tcW w:w="4754" w:type="dxa"/>
            <w:gridSpan w:val="2"/>
            <w:shd w:val="clear" w:color="auto" w:fill="auto"/>
            <w:vAlign w:val="center"/>
          </w:tcPr>
          <w:p w:rsidR="00DD0A9C" w:rsidRPr="005B03CE" w:rsidRDefault="00DD0A9C" w:rsidP="00F158BD">
            <w:pPr>
              <w:pStyle w:val="Text1"/>
              <w:spacing w:beforeLines="20" w:before="48" w:afterLines="20" w:after="48"/>
              <w:ind w:left="134"/>
              <w:jc w:val="left"/>
              <w:rPr>
                <w:b/>
                <w:noProof/>
                <w:sz w:val="16"/>
                <w:szCs w:val="16"/>
              </w:rPr>
            </w:pPr>
            <w:r w:rsidRPr="005B03CE">
              <w:rPr>
                <w:noProof/>
                <w:sz w:val="16"/>
              </w:rPr>
              <w:t>20 01 02 01</w:t>
            </w:r>
            <w:r w:rsidRPr="005B03CE">
              <w:rPr>
                <w:noProof/>
                <w:color w:val="000000"/>
                <w:sz w:val="20"/>
                <w:szCs w:val="20"/>
              </w:rPr>
              <w:t xml:space="preserve"> </w:t>
            </w:r>
            <w:r w:rsidRPr="005B03CE">
              <w:rPr>
                <w:noProof/>
                <w:sz w:val="16"/>
              </w:rPr>
              <w:t>(Headquarters and Commission’s Representation Offices)</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r w:rsidRPr="005B03CE">
              <w:rPr>
                <w:noProof/>
                <w:sz w:val="16"/>
                <w:szCs w:val="16"/>
              </w:rPr>
              <w:t>7</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r w:rsidRPr="005B03CE">
              <w:rPr>
                <w:noProof/>
                <w:sz w:val="16"/>
                <w:szCs w:val="16"/>
              </w:rPr>
              <w:t>13</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r w:rsidRPr="005B03CE">
              <w:rPr>
                <w:noProof/>
                <w:sz w:val="16"/>
                <w:szCs w:val="16"/>
              </w:rPr>
              <w:t>17</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r w:rsidRPr="005B03CE">
              <w:rPr>
                <w:noProof/>
                <w:sz w:val="16"/>
                <w:szCs w:val="16"/>
              </w:rPr>
              <w:t>20</w:t>
            </w:r>
          </w:p>
        </w:tc>
        <w:tc>
          <w:tcPr>
            <w:tcW w:w="2193" w:type="dxa"/>
            <w:gridSpan w:val="3"/>
            <w:shd w:val="clear" w:color="auto" w:fill="auto"/>
            <w:vAlign w:val="center"/>
          </w:tcPr>
          <w:p w:rsidR="00DD0A9C" w:rsidRPr="005B03CE" w:rsidRDefault="00DD0A9C" w:rsidP="00F158BD">
            <w:pPr>
              <w:spacing w:beforeLines="20" w:before="48" w:afterLines="20" w:after="48"/>
              <w:jc w:val="center"/>
              <w:rPr>
                <w:noProof/>
                <w:sz w:val="16"/>
                <w:szCs w:val="16"/>
              </w:rPr>
            </w:pPr>
            <w:r w:rsidRPr="005B03CE">
              <w:rPr>
                <w:noProof/>
                <w:sz w:val="16"/>
                <w:szCs w:val="16"/>
              </w:rPr>
              <w:t>20</w:t>
            </w:r>
          </w:p>
        </w:tc>
      </w:tr>
      <w:tr w:rsidR="00DD0A9C" w:rsidRPr="005B03CE" w:rsidTr="00F158BD">
        <w:trPr>
          <w:gridBefore w:val="1"/>
          <w:wBefore w:w="15" w:type="dxa"/>
          <w:trHeight w:val="289"/>
          <w:jc w:val="center"/>
        </w:trPr>
        <w:tc>
          <w:tcPr>
            <w:tcW w:w="4754" w:type="dxa"/>
            <w:gridSpan w:val="2"/>
            <w:shd w:val="clear" w:color="auto" w:fill="auto"/>
            <w:vAlign w:val="center"/>
          </w:tcPr>
          <w:p w:rsidR="00DD0A9C" w:rsidRPr="005B03CE" w:rsidRDefault="00DD0A9C" w:rsidP="00F158BD">
            <w:pPr>
              <w:pStyle w:val="Text1"/>
              <w:spacing w:beforeLines="20" w:before="48" w:afterLines="20" w:after="48"/>
              <w:ind w:left="134"/>
              <w:jc w:val="left"/>
              <w:rPr>
                <w:noProof/>
                <w:sz w:val="16"/>
              </w:rPr>
            </w:pPr>
            <w:r w:rsidRPr="005B03CE">
              <w:rPr>
                <w:noProof/>
                <w:sz w:val="16"/>
              </w:rPr>
              <w:t>20 01 02 03 (Delegations)</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2193" w:type="dxa"/>
            <w:gridSpan w:val="3"/>
            <w:shd w:val="clear" w:color="auto" w:fill="auto"/>
            <w:vAlign w:val="center"/>
          </w:tcPr>
          <w:p w:rsidR="00DD0A9C" w:rsidRPr="005B03CE" w:rsidRDefault="00DD0A9C" w:rsidP="00F158BD">
            <w:pPr>
              <w:spacing w:beforeLines="20" w:before="48" w:afterLines="20" w:after="48"/>
              <w:jc w:val="center"/>
              <w:rPr>
                <w:noProof/>
                <w:sz w:val="16"/>
                <w:szCs w:val="16"/>
              </w:rPr>
            </w:pPr>
          </w:p>
        </w:tc>
      </w:tr>
      <w:tr w:rsidR="00DD0A9C" w:rsidRPr="005B03CE" w:rsidTr="00F158BD">
        <w:trPr>
          <w:gridBefore w:val="1"/>
          <w:wBefore w:w="15" w:type="dxa"/>
          <w:trHeight w:val="289"/>
          <w:jc w:val="center"/>
        </w:trPr>
        <w:tc>
          <w:tcPr>
            <w:tcW w:w="4754" w:type="dxa"/>
            <w:gridSpan w:val="2"/>
            <w:shd w:val="clear" w:color="auto" w:fill="auto"/>
            <w:vAlign w:val="center"/>
          </w:tcPr>
          <w:p w:rsidR="00DD0A9C" w:rsidRPr="005B03CE" w:rsidRDefault="00DD0A9C" w:rsidP="00F158BD">
            <w:pPr>
              <w:pStyle w:val="Text1"/>
              <w:spacing w:beforeLines="20" w:before="48" w:afterLines="20" w:after="48"/>
              <w:ind w:left="134"/>
              <w:jc w:val="left"/>
              <w:rPr>
                <w:noProof/>
                <w:sz w:val="16"/>
                <w:szCs w:val="16"/>
              </w:rPr>
            </w:pPr>
            <w:r w:rsidRPr="005B03CE">
              <w:rPr>
                <w:noProof/>
                <w:sz w:val="16"/>
              </w:rPr>
              <w:t>01 01 01 01</w:t>
            </w:r>
            <w:r w:rsidRPr="005B03CE">
              <w:rPr>
                <w:noProof/>
                <w:color w:val="000000"/>
                <w:sz w:val="20"/>
                <w:szCs w:val="20"/>
              </w:rPr>
              <w:t xml:space="preserve"> </w:t>
            </w:r>
            <w:r w:rsidRPr="005B03CE">
              <w:rPr>
                <w:noProof/>
                <w:sz w:val="16"/>
              </w:rPr>
              <w:t xml:space="preserve"> (Indirect research)</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2193" w:type="dxa"/>
            <w:gridSpan w:val="3"/>
            <w:shd w:val="clear" w:color="auto" w:fill="auto"/>
            <w:vAlign w:val="center"/>
          </w:tcPr>
          <w:p w:rsidR="00DD0A9C" w:rsidRPr="005B03CE" w:rsidRDefault="00DD0A9C" w:rsidP="00F158BD">
            <w:pPr>
              <w:spacing w:beforeLines="20" w:before="48" w:afterLines="20" w:after="48"/>
              <w:jc w:val="center"/>
              <w:rPr>
                <w:noProof/>
                <w:sz w:val="16"/>
                <w:szCs w:val="16"/>
              </w:rPr>
            </w:pPr>
          </w:p>
        </w:tc>
      </w:tr>
      <w:tr w:rsidR="00DD0A9C" w:rsidRPr="005B03CE" w:rsidTr="00F158BD">
        <w:trPr>
          <w:gridBefore w:val="1"/>
          <w:wBefore w:w="15" w:type="dxa"/>
          <w:trHeight w:val="289"/>
          <w:jc w:val="center"/>
        </w:trPr>
        <w:tc>
          <w:tcPr>
            <w:tcW w:w="4754" w:type="dxa"/>
            <w:gridSpan w:val="2"/>
            <w:shd w:val="clear" w:color="auto" w:fill="auto"/>
            <w:vAlign w:val="center"/>
          </w:tcPr>
          <w:p w:rsidR="00DD0A9C" w:rsidRPr="005B03CE" w:rsidRDefault="00DD0A9C" w:rsidP="00F158BD">
            <w:pPr>
              <w:pStyle w:val="Text1"/>
              <w:spacing w:beforeLines="20" w:before="48" w:afterLines="20" w:after="48"/>
              <w:ind w:left="134"/>
              <w:jc w:val="left"/>
              <w:rPr>
                <w:noProof/>
                <w:sz w:val="16"/>
                <w:szCs w:val="16"/>
              </w:rPr>
            </w:pPr>
            <w:r w:rsidRPr="005B03CE">
              <w:rPr>
                <w:noProof/>
                <w:sz w:val="16"/>
              </w:rPr>
              <w:t xml:space="preserve"> 01 01 01 11 (Direct research)</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2193" w:type="dxa"/>
            <w:gridSpan w:val="3"/>
            <w:shd w:val="clear" w:color="auto" w:fill="auto"/>
            <w:vAlign w:val="center"/>
          </w:tcPr>
          <w:p w:rsidR="00DD0A9C" w:rsidRPr="005B03CE" w:rsidRDefault="00DD0A9C" w:rsidP="00F158BD">
            <w:pPr>
              <w:spacing w:beforeLines="20" w:before="48" w:afterLines="20" w:after="48"/>
              <w:jc w:val="center"/>
              <w:rPr>
                <w:noProof/>
                <w:sz w:val="16"/>
                <w:szCs w:val="16"/>
              </w:rPr>
            </w:pPr>
          </w:p>
        </w:tc>
      </w:tr>
      <w:tr w:rsidR="00DD0A9C" w:rsidRPr="005B03CE" w:rsidTr="00F158BD">
        <w:trPr>
          <w:gridBefore w:val="1"/>
          <w:wBefore w:w="15" w:type="dxa"/>
          <w:trHeight w:val="289"/>
          <w:jc w:val="center"/>
        </w:trPr>
        <w:tc>
          <w:tcPr>
            <w:tcW w:w="4754" w:type="dxa"/>
            <w:gridSpan w:val="2"/>
            <w:shd w:val="clear" w:color="auto" w:fill="auto"/>
            <w:vAlign w:val="center"/>
          </w:tcPr>
          <w:p w:rsidR="00DD0A9C" w:rsidRPr="005B03CE" w:rsidRDefault="00DD0A9C" w:rsidP="00F158BD">
            <w:pPr>
              <w:pStyle w:val="Text1"/>
              <w:spacing w:beforeLines="20" w:before="48" w:afterLines="20" w:after="48"/>
              <w:ind w:left="134"/>
              <w:jc w:val="left"/>
              <w:rPr>
                <w:noProof/>
                <w:sz w:val="16"/>
              </w:rPr>
            </w:pPr>
            <w:r w:rsidRPr="005B03CE">
              <w:rPr>
                <w:noProof/>
                <w:sz w:val="16"/>
              </w:rPr>
              <w:t>Other budget lines (specify)</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2193" w:type="dxa"/>
            <w:gridSpan w:val="3"/>
            <w:shd w:val="clear" w:color="auto" w:fill="auto"/>
            <w:vAlign w:val="center"/>
          </w:tcPr>
          <w:p w:rsidR="00DD0A9C" w:rsidRPr="005B03CE" w:rsidRDefault="00DD0A9C" w:rsidP="00F158BD">
            <w:pPr>
              <w:spacing w:beforeLines="20" w:before="48" w:afterLines="20" w:after="48"/>
              <w:jc w:val="center"/>
              <w:rPr>
                <w:noProof/>
                <w:sz w:val="16"/>
                <w:szCs w:val="16"/>
              </w:rPr>
            </w:pPr>
          </w:p>
        </w:tc>
      </w:tr>
      <w:tr w:rsidR="00DD0A9C" w:rsidRPr="005B03CE" w:rsidTr="00F158BD">
        <w:trPr>
          <w:trHeight w:val="248"/>
          <w:jc w:val="center"/>
        </w:trPr>
        <w:tc>
          <w:tcPr>
            <w:tcW w:w="9886" w:type="dxa"/>
            <w:gridSpan w:val="10"/>
            <w:shd w:val="clear" w:color="auto" w:fill="auto"/>
            <w:vAlign w:val="center"/>
          </w:tcPr>
          <w:p w:rsidR="00DD0A9C" w:rsidRPr="005B03CE" w:rsidRDefault="00844976" w:rsidP="00F158BD">
            <w:pPr>
              <w:pStyle w:val="Text1"/>
              <w:spacing w:before="60" w:after="60"/>
              <w:ind w:left="0"/>
              <w:jc w:val="left"/>
              <w:rPr>
                <w:b/>
                <w:noProof/>
                <w:sz w:val="16"/>
                <w:szCs w:val="16"/>
              </w:rPr>
            </w:pPr>
            <w:r w:rsidRPr="005B03CE">
              <w:rPr>
                <w:rFonts w:ascii="Wingdings" w:eastAsia="Wingdings" w:hAnsi="Wingdings" w:cs="Wingdings"/>
                <w:b/>
                <w:noProof/>
                <w:sz w:val="16"/>
              </w:rPr>
              <w:t>□</w:t>
            </w:r>
            <w:r w:rsidR="00DD0A9C" w:rsidRPr="005B03CE">
              <w:rPr>
                <w:b/>
                <w:noProof/>
                <w:sz w:val="16"/>
              </w:rPr>
              <w:t xml:space="preserve"> External staff (in Full Time Equivalent unit: FTE)</w:t>
            </w:r>
            <w:r w:rsidR="00DD0A9C" w:rsidRPr="005B03CE">
              <w:rPr>
                <w:rStyle w:val="FootnoteReference"/>
                <w:b/>
                <w:noProof/>
                <w:sz w:val="16"/>
              </w:rPr>
              <w:footnoteReference w:id="22"/>
            </w:r>
          </w:p>
          <w:p w:rsidR="00DD0A9C" w:rsidRPr="005B03CE" w:rsidRDefault="00DD0A9C" w:rsidP="00F158BD">
            <w:pPr>
              <w:pStyle w:val="Text1"/>
              <w:spacing w:before="0" w:after="0"/>
              <w:ind w:left="0"/>
              <w:jc w:val="left"/>
              <w:rPr>
                <w:noProof/>
                <w:sz w:val="16"/>
                <w:szCs w:val="16"/>
              </w:rPr>
            </w:pPr>
          </w:p>
        </w:tc>
      </w:tr>
      <w:tr w:rsidR="00DD0A9C" w:rsidRPr="005B03CE" w:rsidTr="00F158BD">
        <w:trPr>
          <w:gridBefore w:val="1"/>
          <w:wBefore w:w="15" w:type="dxa"/>
          <w:trHeight w:val="289"/>
          <w:jc w:val="center"/>
        </w:trPr>
        <w:tc>
          <w:tcPr>
            <w:tcW w:w="4754" w:type="dxa"/>
            <w:gridSpan w:val="2"/>
            <w:shd w:val="clear" w:color="auto" w:fill="auto"/>
            <w:vAlign w:val="center"/>
          </w:tcPr>
          <w:p w:rsidR="00DD0A9C" w:rsidRPr="005B03CE" w:rsidRDefault="00DD0A9C" w:rsidP="00F158BD">
            <w:pPr>
              <w:pStyle w:val="Text1"/>
              <w:spacing w:beforeLines="20" w:before="48" w:afterLines="20" w:after="48"/>
              <w:ind w:left="136"/>
              <w:jc w:val="left"/>
              <w:rPr>
                <w:b/>
                <w:noProof/>
                <w:sz w:val="16"/>
                <w:szCs w:val="16"/>
              </w:rPr>
            </w:pPr>
            <w:r w:rsidRPr="005B03CE">
              <w:rPr>
                <w:noProof/>
                <w:sz w:val="16"/>
              </w:rPr>
              <w:t>20 02 01</w:t>
            </w:r>
            <w:r w:rsidRPr="005B03CE">
              <w:rPr>
                <w:noProof/>
                <w:color w:val="000000"/>
                <w:sz w:val="20"/>
                <w:szCs w:val="20"/>
              </w:rPr>
              <w:t xml:space="preserve"> </w:t>
            </w:r>
            <w:r w:rsidRPr="005B03CE">
              <w:rPr>
                <w:noProof/>
                <w:sz w:val="16"/>
              </w:rPr>
              <w:t>(AC, END, INT from the ‘global envelope’)</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r w:rsidRPr="005B03CE">
              <w:rPr>
                <w:noProof/>
                <w:sz w:val="16"/>
                <w:szCs w:val="16"/>
              </w:rPr>
              <w:t>1</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r w:rsidRPr="005B03CE">
              <w:rPr>
                <w:noProof/>
                <w:sz w:val="16"/>
                <w:szCs w:val="16"/>
              </w:rPr>
              <w:t>1</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r w:rsidRPr="005B03CE">
              <w:rPr>
                <w:noProof/>
                <w:sz w:val="16"/>
                <w:szCs w:val="16"/>
              </w:rPr>
              <w:t>1</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r w:rsidRPr="005B03CE">
              <w:rPr>
                <w:noProof/>
                <w:sz w:val="16"/>
                <w:szCs w:val="16"/>
              </w:rPr>
              <w:t>1</w:t>
            </w:r>
          </w:p>
        </w:tc>
        <w:tc>
          <w:tcPr>
            <w:tcW w:w="2193" w:type="dxa"/>
            <w:gridSpan w:val="3"/>
            <w:shd w:val="clear" w:color="auto" w:fill="auto"/>
            <w:vAlign w:val="center"/>
          </w:tcPr>
          <w:p w:rsidR="00DD0A9C" w:rsidRPr="005B03CE" w:rsidRDefault="00DD0A9C" w:rsidP="00F158BD">
            <w:pPr>
              <w:spacing w:beforeLines="20" w:before="48" w:afterLines="20" w:after="48"/>
              <w:jc w:val="center"/>
              <w:rPr>
                <w:noProof/>
                <w:sz w:val="16"/>
                <w:szCs w:val="16"/>
              </w:rPr>
            </w:pPr>
            <w:r w:rsidRPr="005B03CE">
              <w:rPr>
                <w:noProof/>
                <w:sz w:val="16"/>
                <w:szCs w:val="16"/>
              </w:rPr>
              <w:t>1</w:t>
            </w:r>
          </w:p>
        </w:tc>
      </w:tr>
      <w:tr w:rsidR="00DD0A9C" w:rsidRPr="005B03CE" w:rsidTr="00F158BD">
        <w:trPr>
          <w:gridBefore w:val="1"/>
          <w:wBefore w:w="15" w:type="dxa"/>
          <w:trHeight w:val="289"/>
          <w:jc w:val="center"/>
        </w:trPr>
        <w:tc>
          <w:tcPr>
            <w:tcW w:w="4754" w:type="dxa"/>
            <w:gridSpan w:val="2"/>
            <w:shd w:val="clear" w:color="auto" w:fill="auto"/>
            <w:vAlign w:val="center"/>
          </w:tcPr>
          <w:p w:rsidR="00DD0A9C" w:rsidRPr="005B03CE" w:rsidRDefault="00DD0A9C" w:rsidP="00F158BD">
            <w:pPr>
              <w:pStyle w:val="Text1"/>
              <w:spacing w:beforeLines="20" w:before="48" w:afterLines="20" w:after="48"/>
              <w:ind w:left="136"/>
              <w:jc w:val="left"/>
              <w:rPr>
                <w:noProof/>
                <w:sz w:val="16"/>
              </w:rPr>
            </w:pPr>
            <w:r w:rsidRPr="005B03CE">
              <w:rPr>
                <w:noProof/>
                <w:sz w:val="16"/>
              </w:rPr>
              <w:t>20 02 03 (AC, AL, END, INT and JPD in the delegations)</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r>
      <w:tr w:rsidR="00DD0A9C" w:rsidRPr="005B03CE" w:rsidTr="00F158BD">
        <w:trPr>
          <w:gridBefore w:val="1"/>
          <w:wBefore w:w="15" w:type="dxa"/>
          <w:trHeight w:val="289"/>
          <w:jc w:val="center"/>
        </w:trPr>
        <w:tc>
          <w:tcPr>
            <w:tcW w:w="2376" w:type="dxa"/>
            <w:vMerge w:val="restart"/>
            <w:shd w:val="clear" w:color="auto" w:fill="auto"/>
            <w:vAlign w:val="center"/>
          </w:tcPr>
          <w:p w:rsidR="00DD0A9C" w:rsidRPr="005B03CE" w:rsidRDefault="00DD0A9C" w:rsidP="00F158BD">
            <w:pPr>
              <w:pStyle w:val="Text1"/>
              <w:spacing w:beforeLines="20" w:before="48" w:afterLines="20" w:after="48"/>
              <w:ind w:left="136"/>
              <w:jc w:val="left"/>
              <w:rPr>
                <w:b/>
                <w:noProof/>
                <w:sz w:val="16"/>
                <w:szCs w:val="16"/>
              </w:rPr>
            </w:pPr>
            <w:r w:rsidRPr="005B03CE">
              <w:rPr>
                <w:b/>
                <w:noProof/>
                <w:sz w:val="16"/>
                <w:szCs w:val="16"/>
              </w:rPr>
              <w:t>XX</w:t>
            </w:r>
            <w:r w:rsidRPr="005B03CE">
              <w:rPr>
                <w:noProof/>
                <w:sz w:val="16"/>
                <w:szCs w:val="16"/>
              </w:rPr>
              <w:t xml:space="preserve"> 01  xx </w:t>
            </w:r>
            <w:r w:rsidRPr="005B03CE">
              <w:rPr>
                <w:b/>
                <w:noProof/>
                <w:sz w:val="16"/>
                <w:szCs w:val="16"/>
              </w:rPr>
              <w:t xml:space="preserve">yy zz </w:t>
            </w:r>
            <w:r w:rsidRPr="005B03CE">
              <w:rPr>
                <w:b/>
                <w:i/>
                <w:noProof/>
                <w:sz w:val="16"/>
              </w:rPr>
              <w:t xml:space="preserve"> </w:t>
            </w:r>
            <w:r w:rsidRPr="005B03CE">
              <w:rPr>
                <w:rStyle w:val="FootnoteReference"/>
                <w:b/>
                <w:i/>
                <w:noProof/>
                <w:sz w:val="16"/>
              </w:rPr>
              <w:footnoteReference w:id="23"/>
            </w:r>
          </w:p>
          <w:p w:rsidR="00DD0A9C" w:rsidRPr="005B03CE" w:rsidRDefault="00DD0A9C" w:rsidP="00F158BD">
            <w:pPr>
              <w:pStyle w:val="Text1"/>
              <w:spacing w:beforeLines="20" w:before="48" w:afterLines="20" w:after="48"/>
              <w:ind w:left="136"/>
              <w:jc w:val="left"/>
              <w:rPr>
                <w:b/>
                <w:noProof/>
                <w:sz w:val="16"/>
                <w:szCs w:val="16"/>
              </w:rPr>
            </w:pPr>
          </w:p>
        </w:tc>
        <w:tc>
          <w:tcPr>
            <w:tcW w:w="2378" w:type="dxa"/>
            <w:shd w:val="clear" w:color="auto" w:fill="auto"/>
            <w:vAlign w:val="center"/>
          </w:tcPr>
          <w:p w:rsidR="00DD0A9C" w:rsidRPr="005B03CE" w:rsidRDefault="00DD0A9C" w:rsidP="00F158BD">
            <w:pPr>
              <w:pStyle w:val="Text1"/>
              <w:spacing w:beforeLines="20" w:before="48" w:afterLines="20" w:after="48"/>
              <w:ind w:left="136"/>
              <w:jc w:val="left"/>
              <w:rPr>
                <w:b/>
                <w:noProof/>
                <w:sz w:val="16"/>
                <w:szCs w:val="16"/>
              </w:rPr>
            </w:pPr>
            <w:r w:rsidRPr="005B03CE">
              <w:rPr>
                <w:noProof/>
                <w:sz w:val="16"/>
              </w:rPr>
              <w:t>- at Headquarters</w:t>
            </w:r>
          </w:p>
          <w:p w:rsidR="00DD0A9C" w:rsidRPr="005B03CE" w:rsidRDefault="00DD0A9C" w:rsidP="00F158BD">
            <w:pPr>
              <w:pStyle w:val="Text1"/>
              <w:spacing w:beforeLines="20" w:before="48" w:afterLines="20" w:after="48"/>
              <w:ind w:left="136"/>
              <w:jc w:val="left"/>
              <w:rPr>
                <w:b/>
                <w:noProof/>
                <w:sz w:val="16"/>
                <w:szCs w:val="16"/>
              </w:rPr>
            </w:pPr>
          </w:p>
        </w:tc>
        <w:tc>
          <w:tcPr>
            <w:tcW w:w="731" w:type="dxa"/>
            <w:shd w:val="clear" w:color="auto" w:fill="auto"/>
            <w:vAlign w:val="center"/>
          </w:tcPr>
          <w:p w:rsidR="00DD0A9C" w:rsidRPr="005B03CE" w:rsidRDefault="00DD0A9C" w:rsidP="00F158BD">
            <w:pPr>
              <w:pStyle w:val="Text1"/>
              <w:spacing w:beforeLines="20" w:before="48" w:afterLines="20" w:after="48"/>
              <w:ind w:left="0"/>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r>
      <w:tr w:rsidR="00DD0A9C" w:rsidRPr="005B03CE" w:rsidTr="00F158BD">
        <w:trPr>
          <w:gridBefore w:val="1"/>
          <w:wBefore w:w="15" w:type="dxa"/>
          <w:trHeight w:val="289"/>
          <w:jc w:val="center"/>
        </w:trPr>
        <w:tc>
          <w:tcPr>
            <w:tcW w:w="2376" w:type="dxa"/>
            <w:vMerge/>
            <w:shd w:val="clear" w:color="auto" w:fill="auto"/>
            <w:vAlign w:val="center"/>
          </w:tcPr>
          <w:p w:rsidR="00DD0A9C" w:rsidRPr="005B03CE" w:rsidRDefault="00DD0A9C" w:rsidP="00F158BD">
            <w:pPr>
              <w:pStyle w:val="Text1"/>
              <w:spacing w:beforeLines="20" w:before="48" w:afterLines="20" w:after="48"/>
              <w:ind w:left="136"/>
              <w:jc w:val="left"/>
              <w:rPr>
                <w:b/>
                <w:noProof/>
                <w:sz w:val="16"/>
                <w:szCs w:val="16"/>
              </w:rPr>
            </w:pPr>
          </w:p>
        </w:tc>
        <w:tc>
          <w:tcPr>
            <w:tcW w:w="2378" w:type="dxa"/>
            <w:shd w:val="clear" w:color="auto" w:fill="auto"/>
            <w:vAlign w:val="center"/>
          </w:tcPr>
          <w:p w:rsidR="00DD0A9C" w:rsidRPr="005B03CE" w:rsidRDefault="00DD0A9C" w:rsidP="00F158BD">
            <w:pPr>
              <w:pStyle w:val="Text1"/>
              <w:spacing w:beforeLines="20" w:before="48" w:afterLines="20" w:after="48"/>
              <w:ind w:left="136"/>
              <w:jc w:val="left"/>
              <w:rPr>
                <w:b/>
                <w:noProof/>
                <w:sz w:val="16"/>
                <w:szCs w:val="16"/>
              </w:rPr>
            </w:pPr>
            <w:r w:rsidRPr="005B03CE">
              <w:rPr>
                <w:noProof/>
                <w:sz w:val="16"/>
              </w:rPr>
              <w:t xml:space="preserve">- in Delegations </w:t>
            </w:r>
          </w:p>
        </w:tc>
        <w:tc>
          <w:tcPr>
            <w:tcW w:w="731" w:type="dxa"/>
            <w:shd w:val="clear" w:color="auto" w:fill="auto"/>
            <w:vAlign w:val="center"/>
          </w:tcPr>
          <w:p w:rsidR="00DD0A9C" w:rsidRPr="005B03CE" w:rsidRDefault="00DD0A9C" w:rsidP="00F158BD">
            <w:pPr>
              <w:pStyle w:val="Text1"/>
              <w:spacing w:beforeLines="20" w:before="48" w:afterLines="20" w:after="48"/>
              <w:ind w:left="0"/>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r>
      <w:tr w:rsidR="00DD0A9C" w:rsidRPr="005B03CE" w:rsidTr="00F158BD">
        <w:trPr>
          <w:gridBefore w:val="1"/>
          <w:wBefore w:w="15" w:type="dxa"/>
          <w:trHeight w:val="289"/>
          <w:jc w:val="center"/>
        </w:trPr>
        <w:tc>
          <w:tcPr>
            <w:tcW w:w="4754" w:type="dxa"/>
            <w:gridSpan w:val="2"/>
            <w:shd w:val="clear" w:color="auto" w:fill="auto"/>
            <w:vAlign w:val="center"/>
          </w:tcPr>
          <w:p w:rsidR="00DD0A9C" w:rsidRPr="005B03CE" w:rsidRDefault="00DD0A9C" w:rsidP="00F158BD">
            <w:pPr>
              <w:pStyle w:val="Text1"/>
              <w:spacing w:beforeLines="20" w:before="48" w:afterLines="20" w:after="48"/>
              <w:ind w:left="136"/>
              <w:jc w:val="left"/>
              <w:rPr>
                <w:noProof/>
                <w:sz w:val="16"/>
                <w:szCs w:val="16"/>
              </w:rPr>
            </w:pPr>
            <w:r w:rsidRPr="005B03CE">
              <w:rPr>
                <w:noProof/>
                <w:sz w:val="16"/>
              </w:rPr>
              <w:t>01 01 01 02</w:t>
            </w:r>
            <w:r w:rsidRPr="005B03CE">
              <w:rPr>
                <w:noProof/>
                <w:color w:val="000000"/>
                <w:sz w:val="20"/>
                <w:szCs w:val="20"/>
              </w:rPr>
              <w:t xml:space="preserve"> </w:t>
            </w:r>
            <w:r w:rsidRPr="005B03CE">
              <w:rPr>
                <w:noProof/>
                <w:sz w:val="16"/>
                <w:szCs w:val="16"/>
              </w:rPr>
              <w:t>(AC, END, INT - Indirect research)</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r>
      <w:tr w:rsidR="00DD0A9C" w:rsidRPr="005B03CE" w:rsidTr="00F158BD">
        <w:trPr>
          <w:gridBefore w:val="1"/>
          <w:wBefore w:w="15" w:type="dxa"/>
          <w:trHeight w:val="289"/>
          <w:jc w:val="center"/>
        </w:trPr>
        <w:tc>
          <w:tcPr>
            <w:tcW w:w="4754" w:type="dxa"/>
            <w:gridSpan w:val="2"/>
            <w:shd w:val="clear" w:color="auto" w:fill="auto"/>
            <w:vAlign w:val="center"/>
          </w:tcPr>
          <w:p w:rsidR="00DD0A9C" w:rsidRPr="005B03CE" w:rsidRDefault="00DD0A9C" w:rsidP="00F158BD">
            <w:pPr>
              <w:pStyle w:val="Text1"/>
              <w:spacing w:beforeLines="20" w:before="48" w:afterLines="20" w:after="48"/>
              <w:ind w:left="136"/>
              <w:jc w:val="left"/>
              <w:rPr>
                <w:noProof/>
                <w:color w:val="FF0000"/>
                <w:sz w:val="16"/>
                <w:szCs w:val="16"/>
              </w:rPr>
            </w:pPr>
            <w:r w:rsidRPr="005B03CE">
              <w:rPr>
                <w:noProof/>
                <w:sz w:val="16"/>
              </w:rPr>
              <w:t xml:space="preserve"> 01 01 01 12 (AC, END, INT - Direct research)</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r>
      <w:tr w:rsidR="00DD0A9C" w:rsidRPr="005B03CE" w:rsidTr="00F158BD">
        <w:trPr>
          <w:gridBefore w:val="1"/>
          <w:wBefore w:w="15" w:type="dxa"/>
          <w:trHeight w:val="289"/>
          <w:jc w:val="center"/>
        </w:trPr>
        <w:tc>
          <w:tcPr>
            <w:tcW w:w="4754" w:type="dxa"/>
            <w:gridSpan w:val="2"/>
            <w:shd w:val="clear" w:color="auto" w:fill="auto"/>
            <w:vAlign w:val="center"/>
          </w:tcPr>
          <w:p w:rsidR="00DD0A9C" w:rsidRPr="005B03CE" w:rsidRDefault="00DD0A9C" w:rsidP="00F158BD">
            <w:pPr>
              <w:pStyle w:val="Text1"/>
              <w:spacing w:beforeLines="20" w:before="48" w:afterLines="20" w:after="48"/>
              <w:ind w:left="136"/>
              <w:jc w:val="left"/>
              <w:rPr>
                <w:noProof/>
                <w:sz w:val="16"/>
              </w:rPr>
            </w:pPr>
            <w:r w:rsidRPr="005B03CE">
              <w:rPr>
                <w:noProof/>
                <w:sz w:val="16"/>
              </w:rPr>
              <w:t>Other budget lines (specify)</w:t>
            </w: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c>
          <w:tcPr>
            <w:tcW w:w="731" w:type="dxa"/>
            <w:shd w:val="clear" w:color="auto" w:fill="auto"/>
            <w:vAlign w:val="center"/>
          </w:tcPr>
          <w:p w:rsidR="00DD0A9C" w:rsidRPr="005B03CE" w:rsidRDefault="00DD0A9C" w:rsidP="00F158BD">
            <w:pPr>
              <w:spacing w:beforeLines="20" w:before="48" w:afterLines="20" w:after="48"/>
              <w:jc w:val="center"/>
              <w:rPr>
                <w:noProof/>
                <w:sz w:val="16"/>
                <w:szCs w:val="16"/>
              </w:rPr>
            </w:pPr>
          </w:p>
        </w:tc>
      </w:tr>
      <w:tr w:rsidR="00DD0A9C" w:rsidRPr="005B03CE" w:rsidTr="00F158BD">
        <w:trPr>
          <w:gridBefore w:val="1"/>
          <w:wBefore w:w="15" w:type="dxa"/>
          <w:trHeight w:val="289"/>
          <w:jc w:val="center"/>
        </w:trPr>
        <w:tc>
          <w:tcPr>
            <w:tcW w:w="4754" w:type="dxa"/>
            <w:gridSpan w:val="2"/>
            <w:tcBorders>
              <w:top w:val="double" w:sz="4" w:space="0" w:color="auto"/>
            </w:tcBorders>
            <w:shd w:val="clear" w:color="auto" w:fill="auto"/>
            <w:vAlign w:val="center"/>
          </w:tcPr>
          <w:p w:rsidR="00DD0A9C" w:rsidRPr="005B03CE" w:rsidRDefault="00DD0A9C" w:rsidP="00F158BD">
            <w:pPr>
              <w:pStyle w:val="Text1"/>
              <w:spacing w:beforeLines="20" w:before="48" w:afterLines="20" w:after="48"/>
              <w:ind w:left="136"/>
              <w:jc w:val="left"/>
              <w:rPr>
                <w:noProof/>
                <w:sz w:val="16"/>
                <w:szCs w:val="16"/>
              </w:rPr>
            </w:pPr>
            <w:r w:rsidRPr="005B03CE">
              <w:rPr>
                <w:b/>
                <w:noProof/>
                <w:sz w:val="16"/>
              </w:rPr>
              <w:t>TOTAL</w:t>
            </w:r>
          </w:p>
        </w:tc>
        <w:tc>
          <w:tcPr>
            <w:tcW w:w="731" w:type="dxa"/>
            <w:tcBorders>
              <w:top w:val="double" w:sz="4" w:space="0" w:color="auto"/>
            </w:tcBorders>
            <w:shd w:val="clear" w:color="auto" w:fill="auto"/>
            <w:vAlign w:val="center"/>
          </w:tcPr>
          <w:p w:rsidR="00DD0A9C" w:rsidRPr="005B03CE" w:rsidRDefault="00DD0A9C" w:rsidP="00F158BD">
            <w:pPr>
              <w:spacing w:beforeLines="20" w:before="48" w:afterLines="20" w:after="48"/>
              <w:jc w:val="center"/>
              <w:rPr>
                <w:b/>
                <w:noProof/>
                <w:sz w:val="16"/>
                <w:szCs w:val="16"/>
              </w:rPr>
            </w:pPr>
            <w:r w:rsidRPr="005B03CE">
              <w:rPr>
                <w:b/>
                <w:noProof/>
                <w:sz w:val="16"/>
                <w:szCs w:val="16"/>
              </w:rPr>
              <w:t>8</w:t>
            </w:r>
          </w:p>
        </w:tc>
        <w:tc>
          <w:tcPr>
            <w:tcW w:w="731" w:type="dxa"/>
            <w:tcBorders>
              <w:top w:val="double" w:sz="4" w:space="0" w:color="auto"/>
            </w:tcBorders>
            <w:shd w:val="clear" w:color="auto" w:fill="auto"/>
            <w:vAlign w:val="center"/>
          </w:tcPr>
          <w:p w:rsidR="00DD0A9C" w:rsidRPr="005B03CE" w:rsidRDefault="00DD0A9C" w:rsidP="00F158BD">
            <w:pPr>
              <w:spacing w:beforeLines="20" w:before="48" w:afterLines="20" w:after="48"/>
              <w:jc w:val="center"/>
              <w:rPr>
                <w:b/>
                <w:noProof/>
                <w:sz w:val="16"/>
                <w:szCs w:val="16"/>
              </w:rPr>
            </w:pPr>
            <w:r w:rsidRPr="005B03CE">
              <w:rPr>
                <w:b/>
                <w:noProof/>
                <w:sz w:val="16"/>
                <w:szCs w:val="16"/>
              </w:rPr>
              <w:t>14</w:t>
            </w:r>
          </w:p>
        </w:tc>
        <w:tc>
          <w:tcPr>
            <w:tcW w:w="731" w:type="dxa"/>
            <w:tcBorders>
              <w:top w:val="double" w:sz="4" w:space="0" w:color="auto"/>
            </w:tcBorders>
            <w:shd w:val="clear" w:color="auto" w:fill="auto"/>
            <w:vAlign w:val="center"/>
          </w:tcPr>
          <w:p w:rsidR="00DD0A9C" w:rsidRPr="005B03CE" w:rsidRDefault="00DD0A9C" w:rsidP="00F158BD">
            <w:pPr>
              <w:spacing w:beforeLines="20" w:before="48" w:afterLines="20" w:after="48"/>
              <w:jc w:val="center"/>
              <w:rPr>
                <w:b/>
                <w:noProof/>
                <w:sz w:val="16"/>
                <w:szCs w:val="16"/>
              </w:rPr>
            </w:pPr>
            <w:r w:rsidRPr="005B03CE">
              <w:rPr>
                <w:b/>
                <w:noProof/>
                <w:sz w:val="16"/>
                <w:szCs w:val="16"/>
              </w:rPr>
              <w:t>18</w:t>
            </w:r>
          </w:p>
        </w:tc>
        <w:tc>
          <w:tcPr>
            <w:tcW w:w="731" w:type="dxa"/>
            <w:tcBorders>
              <w:top w:val="double" w:sz="4" w:space="0" w:color="auto"/>
            </w:tcBorders>
            <w:shd w:val="clear" w:color="auto" w:fill="auto"/>
            <w:vAlign w:val="center"/>
          </w:tcPr>
          <w:p w:rsidR="00DD0A9C" w:rsidRPr="005B03CE" w:rsidRDefault="00DD0A9C" w:rsidP="00F158BD">
            <w:pPr>
              <w:spacing w:beforeLines="20" w:before="48" w:afterLines="20" w:after="48"/>
              <w:jc w:val="center"/>
              <w:rPr>
                <w:b/>
                <w:noProof/>
                <w:sz w:val="16"/>
                <w:szCs w:val="16"/>
              </w:rPr>
            </w:pPr>
            <w:r w:rsidRPr="005B03CE">
              <w:rPr>
                <w:b/>
                <w:noProof/>
                <w:sz w:val="16"/>
                <w:szCs w:val="16"/>
              </w:rPr>
              <w:t>21</w:t>
            </w:r>
          </w:p>
        </w:tc>
        <w:tc>
          <w:tcPr>
            <w:tcW w:w="2193" w:type="dxa"/>
            <w:gridSpan w:val="3"/>
            <w:tcBorders>
              <w:top w:val="double" w:sz="4" w:space="0" w:color="auto"/>
            </w:tcBorders>
            <w:shd w:val="clear" w:color="auto" w:fill="auto"/>
            <w:vAlign w:val="center"/>
          </w:tcPr>
          <w:p w:rsidR="00DD0A9C" w:rsidRPr="005B03CE" w:rsidRDefault="00DD0A9C" w:rsidP="00F158BD">
            <w:pPr>
              <w:spacing w:beforeLines="20" w:before="48" w:afterLines="20" w:after="48"/>
              <w:jc w:val="center"/>
              <w:rPr>
                <w:b/>
                <w:noProof/>
                <w:sz w:val="16"/>
                <w:szCs w:val="16"/>
              </w:rPr>
            </w:pPr>
            <w:r w:rsidRPr="005B03CE">
              <w:rPr>
                <w:b/>
                <w:noProof/>
                <w:sz w:val="16"/>
                <w:szCs w:val="16"/>
              </w:rPr>
              <w:t>21</w:t>
            </w:r>
          </w:p>
        </w:tc>
      </w:tr>
    </w:tbl>
    <w:p w:rsidR="00DD0A9C" w:rsidRPr="005B03CE" w:rsidRDefault="00DD0A9C" w:rsidP="00DD0A9C">
      <w:pPr>
        <w:pStyle w:val="Text1"/>
        <w:spacing w:before="60" w:after="60"/>
        <w:ind w:left="851"/>
        <w:rPr>
          <w:noProof/>
          <w:sz w:val="18"/>
          <w:szCs w:val="18"/>
        </w:rPr>
      </w:pPr>
      <w:r w:rsidRPr="005B03CE">
        <w:rPr>
          <w:b/>
          <w:noProof/>
          <w:sz w:val="18"/>
          <w:szCs w:val="18"/>
        </w:rPr>
        <w:t>XX</w:t>
      </w:r>
      <w:r w:rsidRPr="005B03CE">
        <w:rPr>
          <w:noProof/>
          <w:sz w:val="18"/>
          <w:szCs w:val="18"/>
        </w:rPr>
        <w:t xml:space="preserve"> is the policy area or budget title concerned.</w:t>
      </w:r>
    </w:p>
    <w:p w:rsidR="00DD0A9C" w:rsidRPr="005B03CE" w:rsidRDefault="00DD0A9C" w:rsidP="00DD0A9C">
      <w:pPr>
        <w:pStyle w:val="Text1"/>
        <w:rPr>
          <w:noProof/>
          <w:sz w:val="18"/>
          <w:szCs w:val="18"/>
        </w:rPr>
      </w:pPr>
      <w:r w:rsidRPr="005B03CE">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DD0A9C" w:rsidRPr="005B03CE" w:rsidRDefault="00DD0A9C" w:rsidP="00DD0A9C">
      <w:pPr>
        <w:rPr>
          <w:noProof/>
          <w:sz w:val="20"/>
        </w:rPr>
      </w:pPr>
      <w:r w:rsidRPr="005B03CE">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DD0A9C" w:rsidRPr="005B03CE" w:rsidTr="00F158BD">
        <w:tc>
          <w:tcPr>
            <w:tcW w:w="3240" w:type="dxa"/>
          </w:tcPr>
          <w:p w:rsidR="00DD0A9C" w:rsidRPr="005B03CE" w:rsidRDefault="00DD0A9C" w:rsidP="00F158BD">
            <w:pPr>
              <w:rPr>
                <w:noProof/>
                <w:sz w:val="20"/>
              </w:rPr>
            </w:pPr>
            <w:r w:rsidRPr="005B03CE">
              <w:rPr>
                <w:noProof/>
                <w:sz w:val="20"/>
              </w:rPr>
              <w:t>Officials and temporary staff</w:t>
            </w:r>
          </w:p>
        </w:tc>
        <w:tc>
          <w:tcPr>
            <w:tcW w:w="7200" w:type="dxa"/>
          </w:tcPr>
          <w:p w:rsidR="00DD0A9C" w:rsidRPr="005B03CE" w:rsidRDefault="00481BA7" w:rsidP="00EF3A3D">
            <w:pPr>
              <w:jc w:val="left"/>
              <w:rPr>
                <w:noProof/>
                <w:sz w:val="20"/>
              </w:rPr>
            </w:pPr>
            <w:r w:rsidRPr="005B03CE">
              <w:rPr>
                <w:noProof/>
                <w:sz w:val="20"/>
              </w:rPr>
              <w:t>Officials will implement the tasks and activities of CERT-EU as per the Regulation, in particular Chapters IV and V.</w:t>
            </w:r>
          </w:p>
        </w:tc>
      </w:tr>
      <w:tr w:rsidR="00DD0A9C" w:rsidRPr="005B03CE" w:rsidTr="00F158BD">
        <w:tc>
          <w:tcPr>
            <w:tcW w:w="3240" w:type="dxa"/>
          </w:tcPr>
          <w:p w:rsidR="00DD0A9C" w:rsidRPr="005B03CE" w:rsidRDefault="00DD0A9C" w:rsidP="00F158BD">
            <w:pPr>
              <w:spacing w:before="60" w:after="60"/>
              <w:rPr>
                <w:noProof/>
                <w:sz w:val="20"/>
              </w:rPr>
            </w:pPr>
            <w:r w:rsidRPr="005B03CE">
              <w:rPr>
                <w:noProof/>
                <w:sz w:val="20"/>
              </w:rPr>
              <w:t>External staff</w:t>
            </w:r>
          </w:p>
        </w:tc>
        <w:tc>
          <w:tcPr>
            <w:tcW w:w="7200" w:type="dxa"/>
          </w:tcPr>
          <w:p w:rsidR="00DD0A9C" w:rsidRPr="005B03CE" w:rsidRDefault="00481BA7" w:rsidP="00481BA7">
            <w:pPr>
              <w:rPr>
                <w:noProof/>
                <w:sz w:val="20"/>
              </w:rPr>
            </w:pPr>
            <w:r w:rsidRPr="005B03CE">
              <w:rPr>
                <w:noProof/>
                <w:sz w:val="20"/>
              </w:rPr>
              <w:t>The Contractual Agent will assist the secretarial functions of the Interinstitutional Cybersecurity Board.</w:t>
            </w:r>
          </w:p>
        </w:tc>
      </w:tr>
    </w:tbl>
    <w:p w:rsidR="00DD0A9C" w:rsidRPr="005B03CE" w:rsidRDefault="00DD0A9C" w:rsidP="00DD0A9C">
      <w:pPr>
        <w:rPr>
          <w:noProof/>
        </w:rPr>
        <w:sectPr w:rsidR="00DD0A9C" w:rsidRPr="005B03CE" w:rsidSect="00427BA8">
          <w:pgSz w:w="11907" w:h="16840"/>
          <w:pgMar w:top="1134" w:right="1418" w:bottom="1134" w:left="1418" w:header="709" w:footer="709" w:gutter="0"/>
          <w:cols w:space="708"/>
          <w:docGrid w:linePitch="360"/>
        </w:sectPr>
      </w:pPr>
    </w:p>
    <w:p w:rsidR="00DD0A9C" w:rsidRPr="005B03CE" w:rsidRDefault="004A06D6" w:rsidP="004A06D6">
      <w:pPr>
        <w:pStyle w:val="ManualHeading3"/>
        <w:rPr>
          <w:noProof/>
        </w:rPr>
      </w:pPr>
      <w:bookmarkStart w:id="65" w:name="_Toc514938056"/>
      <w:bookmarkStart w:id="66" w:name="_Toc520485055"/>
      <w:r w:rsidRPr="004A06D6">
        <w:t>3.2.4.</w:t>
      </w:r>
      <w:r w:rsidRPr="004A06D6">
        <w:tab/>
      </w:r>
      <w:r w:rsidR="00DD0A9C" w:rsidRPr="005B03CE">
        <w:rPr>
          <w:noProof/>
        </w:rPr>
        <w:t>Compatibility with the current multiannual financial framework</w:t>
      </w:r>
      <w:bookmarkEnd w:id="65"/>
      <w:bookmarkEnd w:id="66"/>
      <w:r w:rsidR="00DD0A9C" w:rsidRPr="005B03CE">
        <w:rPr>
          <w:noProof/>
        </w:rPr>
        <w:t xml:space="preserve"> </w:t>
      </w:r>
    </w:p>
    <w:p w:rsidR="00DD0A9C" w:rsidRPr="005B03CE" w:rsidRDefault="00DD0A9C" w:rsidP="00DD0A9C">
      <w:pPr>
        <w:pStyle w:val="Text1"/>
        <w:rPr>
          <w:noProof/>
        </w:rPr>
      </w:pPr>
      <w:r w:rsidRPr="005B03CE">
        <w:rPr>
          <w:noProof/>
        </w:rPr>
        <w:t>The proposal/initiative:</w:t>
      </w:r>
    </w:p>
    <w:p w:rsidR="00F741D4" w:rsidRPr="005B03CE" w:rsidRDefault="00F741D4" w:rsidP="00F741D4">
      <w:pPr>
        <w:pStyle w:val="ListDash1"/>
        <w:rPr>
          <w:noProof/>
        </w:rPr>
      </w:pPr>
      <w:r w:rsidRPr="005B03CE">
        <w:rPr>
          <w:rFonts w:ascii="Wingdings" w:eastAsia="Wingdings" w:hAnsi="Wingdings" w:cs="Wingdings"/>
          <w:noProof/>
        </w:rPr>
        <w:t></w:t>
      </w:r>
      <w:r w:rsidRPr="005B03CE">
        <w:rPr>
          <w:noProof/>
        </w:rPr>
        <w:tab/>
        <w:t>can be fully financed through redeployment within the relevant heading of the Multiannual Financial Framework (MFF).</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sz w:val="20"/>
        </w:rPr>
      </w:pPr>
      <w:r w:rsidRPr="005B03CE">
        <w:rPr>
          <w:noProof/>
          <w:sz w:val="20"/>
        </w:rPr>
        <w:t>Explain what reprogramming is required, specifying the budget lines concerned and the corresponding amounts.</w:t>
      </w:r>
      <w:r w:rsidRPr="005B03CE">
        <w:rPr>
          <w:noProof/>
        </w:rPr>
        <w:t xml:space="preserve"> </w:t>
      </w:r>
      <w:r w:rsidRPr="005B03CE">
        <w:rPr>
          <w:noProof/>
          <w:sz w:val="20"/>
        </w:rPr>
        <w:t>Please provide an excel table in the case of major reprogramming.</w:t>
      </w:r>
    </w:p>
    <w:p w:rsidR="00F741D4" w:rsidRPr="005B03CE" w:rsidRDefault="00F741D4" w:rsidP="00F741D4">
      <w:pPr>
        <w:pStyle w:val="ListDash1"/>
        <w:rPr>
          <w:noProof/>
        </w:rPr>
      </w:pPr>
      <w:r w:rsidRPr="005B03CE">
        <w:rPr>
          <w:rFonts w:ascii="Wingdings" w:eastAsia="Wingdings" w:hAnsi="Wingdings" w:cs="Wingdings"/>
          <w:noProof/>
        </w:rPr>
        <w:t></w:t>
      </w:r>
      <w:r w:rsidRPr="005B03CE">
        <w:rPr>
          <w:noProof/>
        </w:rPr>
        <w:tab/>
        <w:t>requires use of the unallocated margin under the relevant heading of the MFF and/or use of the special instruments as defined in the MFF Regulation.</w:t>
      </w:r>
    </w:p>
    <w:p w:rsidR="00F741D4" w:rsidRPr="005B03CE" w:rsidRDefault="00F741D4" w:rsidP="00F741D4">
      <w:pPr>
        <w:pStyle w:val="Text1"/>
        <w:pBdr>
          <w:top w:val="single" w:sz="4" w:space="1" w:color="auto"/>
          <w:left w:val="single" w:sz="4" w:space="4" w:color="auto"/>
          <w:bottom w:val="single" w:sz="4" w:space="1" w:color="auto"/>
          <w:right w:val="single" w:sz="4" w:space="4" w:color="auto"/>
        </w:pBdr>
        <w:rPr>
          <w:noProof/>
          <w:sz w:val="20"/>
        </w:rPr>
      </w:pPr>
      <w:r w:rsidRPr="005B03CE">
        <w:rPr>
          <w:noProof/>
          <w:sz w:val="20"/>
        </w:rPr>
        <w:t>Explain what is required, specifying the headings and budget lines concerned, the corresponding amounts, and the instruments proposed to be used.</w:t>
      </w:r>
    </w:p>
    <w:p w:rsidR="00F741D4" w:rsidRPr="005B03CE" w:rsidRDefault="00F741D4" w:rsidP="00F741D4">
      <w:pPr>
        <w:pStyle w:val="ListDash1"/>
        <w:rPr>
          <w:noProof/>
        </w:rPr>
      </w:pPr>
      <w:r w:rsidRPr="005B03CE">
        <w:rPr>
          <w:rFonts w:ascii="Wingdings" w:eastAsia="Wingdings" w:hAnsi="Wingdings" w:cs="Wingdings"/>
          <w:noProof/>
        </w:rPr>
        <w:t></w:t>
      </w:r>
      <w:r w:rsidRPr="005B03CE">
        <w:rPr>
          <w:noProof/>
        </w:rPr>
        <w:tab/>
        <w:t>requires a revision of the MFF.</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sz w:val="20"/>
        </w:rPr>
      </w:pPr>
      <w:r w:rsidRPr="005B03CE">
        <w:rPr>
          <w:noProof/>
          <w:sz w:val="20"/>
        </w:rPr>
        <w:t>Explain what is required, specifying the headings and budget lines concerned and the corresponding amounts.</w:t>
      </w:r>
    </w:p>
    <w:p w:rsidR="00DD0A9C" w:rsidRPr="005B03CE" w:rsidRDefault="004A06D6" w:rsidP="004A06D6">
      <w:pPr>
        <w:pStyle w:val="ManualHeading3"/>
        <w:rPr>
          <w:bCs/>
          <w:noProof/>
          <w:szCs w:val="24"/>
        </w:rPr>
      </w:pPr>
      <w:bookmarkStart w:id="67" w:name="_Toc514938058"/>
      <w:bookmarkStart w:id="68" w:name="_Toc520485056"/>
      <w:r w:rsidRPr="004A06D6">
        <w:t>3.2.5.</w:t>
      </w:r>
      <w:r w:rsidRPr="004A06D6">
        <w:tab/>
      </w:r>
      <w:r w:rsidR="00DD0A9C" w:rsidRPr="005B03CE">
        <w:rPr>
          <w:noProof/>
        </w:rPr>
        <w:t>Third-party contributions</w:t>
      </w:r>
      <w:bookmarkEnd w:id="67"/>
      <w:bookmarkEnd w:id="68"/>
      <w:r w:rsidR="00DD0A9C" w:rsidRPr="005B03CE">
        <w:rPr>
          <w:noProof/>
        </w:rPr>
        <w:t xml:space="preserve"> </w:t>
      </w:r>
    </w:p>
    <w:p w:rsidR="00DD0A9C" w:rsidRPr="005B03CE" w:rsidRDefault="00DD0A9C" w:rsidP="00DD0A9C">
      <w:pPr>
        <w:pStyle w:val="Text1"/>
        <w:rPr>
          <w:noProof/>
        </w:rPr>
      </w:pPr>
      <w:r w:rsidRPr="005B03CE">
        <w:rPr>
          <w:noProof/>
        </w:rPr>
        <w:t>The proposal/initiative:</w:t>
      </w:r>
    </w:p>
    <w:p w:rsidR="00F741D4" w:rsidRPr="005B03CE" w:rsidRDefault="00F741D4" w:rsidP="00F741D4">
      <w:pPr>
        <w:pStyle w:val="ListDash1"/>
        <w:rPr>
          <w:noProof/>
        </w:rPr>
      </w:pPr>
      <w:r w:rsidRPr="005B03CE">
        <w:rPr>
          <w:rFonts w:ascii="Wingdings" w:eastAsia="Wingdings" w:hAnsi="Wingdings" w:cs="Wingdings"/>
          <w:noProof/>
        </w:rPr>
        <w:t></w:t>
      </w:r>
      <w:r w:rsidRPr="005B03CE">
        <w:rPr>
          <w:noProof/>
        </w:rPr>
        <w:tab/>
        <w:t>does not provide for co-financing by third parties</w:t>
      </w:r>
      <w:r w:rsidRPr="005B03CE">
        <w:rPr>
          <w:rStyle w:val="FootnoteReference"/>
          <w:noProof/>
        </w:rPr>
        <w:footnoteReference w:id="24"/>
      </w:r>
    </w:p>
    <w:p w:rsidR="00F741D4" w:rsidRPr="005B03CE" w:rsidRDefault="00F741D4" w:rsidP="00F741D4">
      <w:pPr>
        <w:pStyle w:val="ListDash1"/>
        <w:rPr>
          <w:noProof/>
        </w:rPr>
      </w:pPr>
      <w:r w:rsidRPr="005B03CE">
        <w:rPr>
          <w:rFonts w:ascii="Wingdings" w:eastAsia="Wingdings" w:hAnsi="Wingdings" w:cs="Wingdings"/>
          <w:noProof/>
        </w:rPr>
        <w:t></w:t>
      </w:r>
      <w:r w:rsidRPr="005B03CE">
        <w:rPr>
          <w:noProof/>
        </w:rPr>
        <w:tab/>
        <w:t>provides for the co-financing by third parties estimated below:</w:t>
      </w:r>
    </w:p>
    <w:p w:rsidR="00DD0A9C" w:rsidRPr="005B03CE" w:rsidRDefault="00DD0A9C" w:rsidP="00DD0A9C">
      <w:pPr>
        <w:jc w:val="right"/>
        <w:rPr>
          <w:noProof/>
          <w:sz w:val="20"/>
        </w:rPr>
      </w:pPr>
      <w:r w:rsidRPr="005B03CE">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DD0A9C" w:rsidRPr="005B03CE" w:rsidTr="00F158BD">
        <w:trPr>
          <w:cantSplit/>
        </w:trPr>
        <w:tc>
          <w:tcPr>
            <w:tcW w:w="2340" w:type="dxa"/>
          </w:tcPr>
          <w:p w:rsidR="00DD0A9C" w:rsidRPr="005B03CE" w:rsidRDefault="00DD0A9C" w:rsidP="00F158BD">
            <w:pPr>
              <w:spacing w:before="60" w:after="60"/>
              <w:rPr>
                <w:noProof/>
                <w:sz w:val="20"/>
              </w:rPr>
            </w:pPr>
          </w:p>
        </w:tc>
        <w:tc>
          <w:tcPr>
            <w:tcW w:w="964" w:type="dxa"/>
            <w:vAlign w:val="center"/>
          </w:tcPr>
          <w:p w:rsidR="00DD0A9C" w:rsidRPr="005B03CE" w:rsidRDefault="00DD0A9C" w:rsidP="00F158BD">
            <w:pPr>
              <w:jc w:val="center"/>
              <w:rPr>
                <w:noProof/>
                <w:sz w:val="20"/>
              </w:rPr>
            </w:pPr>
            <w:r w:rsidRPr="005B03CE">
              <w:rPr>
                <w:noProof/>
                <w:sz w:val="20"/>
              </w:rPr>
              <w:t>Year</w:t>
            </w:r>
            <w:r w:rsidRPr="005B03CE">
              <w:rPr>
                <w:noProof/>
                <w:sz w:val="22"/>
              </w:rPr>
              <w:br/>
            </w:r>
            <w:r w:rsidRPr="005B03CE">
              <w:rPr>
                <w:b/>
                <w:noProof/>
                <w:sz w:val="20"/>
              </w:rPr>
              <w:t>N</w:t>
            </w:r>
            <w:r w:rsidRPr="005B03CE">
              <w:rPr>
                <w:rStyle w:val="FootnoteReference"/>
                <w:b/>
                <w:noProof/>
                <w:sz w:val="20"/>
              </w:rPr>
              <w:footnoteReference w:id="25"/>
            </w:r>
          </w:p>
        </w:tc>
        <w:tc>
          <w:tcPr>
            <w:tcW w:w="964" w:type="dxa"/>
            <w:vAlign w:val="center"/>
          </w:tcPr>
          <w:p w:rsidR="00DD0A9C" w:rsidRPr="005B03CE" w:rsidRDefault="00DD0A9C" w:rsidP="00F158BD">
            <w:pPr>
              <w:jc w:val="center"/>
              <w:rPr>
                <w:noProof/>
                <w:sz w:val="20"/>
              </w:rPr>
            </w:pPr>
            <w:r w:rsidRPr="005B03CE">
              <w:rPr>
                <w:noProof/>
                <w:sz w:val="20"/>
              </w:rPr>
              <w:t>Year</w:t>
            </w:r>
            <w:r w:rsidRPr="005B03CE">
              <w:rPr>
                <w:noProof/>
                <w:sz w:val="22"/>
              </w:rPr>
              <w:br/>
            </w:r>
            <w:r w:rsidRPr="005B03CE">
              <w:rPr>
                <w:b/>
                <w:noProof/>
                <w:sz w:val="20"/>
              </w:rPr>
              <w:t>N+1</w:t>
            </w:r>
          </w:p>
        </w:tc>
        <w:tc>
          <w:tcPr>
            <w:tcW w:w="964" w:type="dxa"/>
            <w:vAlign w:val="center"/>
          </w:tcPr>
          <w:p w:rsidR="00DD0A9C" w:rsidRPr="005B03CE" w:rsidRDefault="00DD0A9C" w:rsidP="00F158BD">
            <w:pPr>
              <w:jc w:val="center"/>
              <w:rPr>
                <w:noProof/>
                <w:sz w:val="20"/>
              </w:rPr>
            </w:pPr>
            <w:r w:rsidRPr="005B03CE">
              <w:rPr>
                <w:noProof/>
                <w:sz w:val="20"/>
              </w:rPr>
              <w:t>Year</w:t>
            </w:r>
            <w:r w:rsidRPr="005B03CE">
              <w:rPr>
                <w:noProof/>
                <w:sz w:val="22"/>
              </w:rPr>
              <w:br/>
            </w:r>
            <w:r w:rsidRPr="005B03CE">
              <w:rPr>
                <w:b/>
                <w:noProof/>
                <w:sz w:val="20"/>
              </w:rPr>
              <w:t>N+2</w:t>
            </w:r>
          </w:p>
        </w:tc>
        <w:tc>
          <w:tcPr>
            <w:tcW w:w="964" w:type="dxa"/>
            <w:vAlign w:val="center"/>
          </w:tcPr>
          <w:p w:rsidR="00DD0A9C" w:rsidRPr="005B03CE" w:rsidRDefault="00DD0A9C" w:rsidP="00F158BD">
            <w:pPr>
              <w:jc w:val="center"/>
              <w:rPr>
                <w:noProof/>
                <w:sz w:val="20"/>
              </w:rPr>
            </w:pPr>
            <w:r w:rsidRPr="005B03CE">
              <w:rPr>
                <w:noProof/>
                <w:sz w:val="20"/>
              </w:rPr>
              <w:t>Year</w:t>
            </w:r>
            <w:r w:rsidRPr="005B03CE">
              <w:rPr>
                <w:noProof/>
                <w:sz w:val="22"/>
              </w:rPr>
              <w:br/>
            </w:r>
            <w:r w:rsidRPr="005B03CE">
              <w:rPr>
                <w:b/>
                <w:noProof/>
                <w:sz w:val="20"/>
              </w:rPr>
              <w:t>N+3</w:t>
            </w:r>
          </w:p>
        </w:tc>
        <w:tc>
          <w:tcPr>
            <w:tcW w:w="2892" w:type="dxa"/>
            <w:gridSpan w:val="3"/>
            <w:vAlign w:val="center"/>
          </w:tcPr>
          <w:p w:rsidR="00DD0A9C" w:rsidRPr="005B03CE" w:rsidRDefault="00DD0A9C" w:rsidP="00F158BD">
            <w:pPr>
              <w:jc w:val="center"/>
              <w:rPr>
                <w:b/>
                <w:noProof/>
                <w:sz w:val="20"/>
              </w:rPr>
            </w:pPr>
            <w:r w:rsidRPr="005B03CE">
              <w:rPr>
                <w:noProof/>
                <w:sz w:val="20"/>
              </w:rPr>
              <w:t>Enter as many years as necessary to show the duration of the impact (see point 1.6)</w:t>
            </w:r>
          </w:p>
        </w:tc>
        <w:tc>
          <w:tcPr>
            <w:tcW w:w="1158" w:type="dxa"/>
            <w:vAlign w:val="center"/>
          </w:tcPr>
          <w:p w:rsidR="00DD0A9C" w:rsidRPr="005B03CE" w:rsidRDefault="00DD0A9C" w:rsidP="00F158BD">
            <w:pPr>
              <w:spacing w:before="60" w:after="60"/>
              <w:jc w:val="center"/>
              <w:rPr>
                <w:noProof/>
                <w:sz w:val="20"/>
              </w:rPr>
            </w:pPr>
            <w:r w:rsidRPr="005B03CE">
              <w:rPr>
                <w:noProof/>
                <w:sz w:val="20"/>
              </w:rPr>
              <w:t>Total</w:t>
            </w:r>
          </w:p>
        </w:tc>
      </w:tr>
      <w:tr w:rsidR="00DD0A9C" w:rsidRPr="005B03CE" w:rsidTr="00F158BD">
        <w:trPr>
          <w:cantSplit/>
        </w:trPr>
        <w:tc>
          <w:tcPr>
            <w:tcW w:w="2340" w:type="dxa"/>
          </w:tcPr>
          <w:p w:rsidR="00DD0A9C" w:rsidRPr="005B03CE" w:rsidRDefault="00DD0A9C" w:rsidP="00F158BD">
            <w:pPr>
              <w:rPr>
                <w:noProof/>
              </w:rPr>
            </w:pPr>
            <w:r w:rsidRPr="005B03CE">
              <w:rPr>
                <w:noProof/>
                <w:sz w:val="20"/>
              </w:rPr>
              <w:t>Specify the co-financing body</w:t>
            </w:r>
            <w:r w:rsidRPr="005B03CE">
              <w:rPr>
                <w:i/>
                <w:noProof/>
                <w:sz w:val="20"/>
              </w:rPr>
              <w:t xml:space="preserve"> </w:t>
            </w:r>
          </w:p>
        </w:tc>
        <w:tc>
          <w:tcPr>
            <w:tcW w:w="964" w:type="dxa"/>
            <w:vAlign w:val="center"/>
          </w:tcPr>
          <w:p w:rsidR="00DD0A9C" w:rsidRPr="005B03CE" w:rsidRDefault="00DD0A9C" w:rsidP="00F158BD">
            <w:pPr>
              <w:spacing w:before="60" w:after="60"/>
              <w:jc w:val="center"/>
              <w:rPr>
                <w:noProof/>
                <w:sz w:val="20"/>
              </w:rPr>
            </w:pPr>
          </w:p>
        </w:tc>
        <w:tc>
          <w:tcPr>
            <w:tcW w:w="964" w:type="dxa"/>
            <w:vAlign w:val="center"/>
          </w:tcPr>
          <w:p w:rsidR="00DD0A9C" w:rsidRPr="005B03CE" w:rsidRDefault="00DD0A9C" w:rsidP="00F158BD">
            <w:pPr>
              <w:spacing w:before="60" w:after="60"/>
              <w:jc w:val="center"/>
              <w:rPr>
                <w:noProof/>
                <w:sz w:val="20"/>
              </w:rPr>
            </w:pPr>
          </w:p>
        </w:tc>
        <w:tc>
          <w:tcPr>
            <w:tcW w:w="964" w:type="dxa"/>
            <w:vAlign w:val="center"/>
          </w:tcPr>
          <w:p w:rsidR="00DD0A9C" w:rsidRPr="005B03CE" w:rsidRDefault="00DD0A9C" w:rsidP="00F158BD">
            <w:pPr>
              <w:spacing w:before="60" w:after="60"/>
              <w:jc w:val="center"/>
              <w:rPr>
                <w:noProof/>
                <w:sz w:val="20"/>
              </w:rPr>
            </w:pPr>
          </w:p>
        </w:tc>
        <w:tc>
          <w:tcPr>
            <w:tcW w:w="964" w:type="dxa"/>
            <w:vAlign w:val="center"/>
          </w:tcPr>
          <w:p w:rsidR="00DD0A9C" w:rsidRPr="005B03CE" w:rsidRDefault="00DD0A9C" w:rsidP="00F158BD">
            <w:pPr>
              <w:spacing w:before="60" w:after="60"/>
              <w:jc w:val="center"/>
              <w:rPr>
                <w:noProof/>
                <w:sz w:val="20"/>
              </w:rPr>
            </w:pPr>
          </w:p>
        </w:tc>
        <w:tc>
          <w:tcPr>
            <w:tcW w:w="964" w:type="dxa"/>
            <w:vAlign w:val="center"/>
          </w:tcPr>
          <w:p w:rsidR="00DD0A9C" w:rsidRPr="005B03CE" w:rsidRDefault="00DD0A9C" w:rsidP="00F158BD">
            <w:pPr>
              <w:spacing w:before="60" w:after="60"/>
              <w:jc w:val="center"/>
              <w:rPr>
                <w:noProof/>
                <w:sz w:val="20"/>
              </w:rPr>
            </w:pPr>
          </w:p>
        </w:tc>
        <w:tc>
          <w:tcPr>
            <w:tcW w:w="964" w:type="dxa"/>
            <w:vAlign w:val="center"/>
          </w:tcPr>
          <w:p w:rsidR="00DD0A9C" w:rsidRPr="005B03CE" w:rsidRDefault="00DD0A9C" w:rsidP="00F158BD">
            <w:pPr>
              <w:spacing w:before="60" w:after="60"/>
              <w:jc w:val="center"/>
              <w:rPr>
                <w:noProof/>
                <w:sz w:val="20"/>
              </w:rPr>
            </w:pPr>
          </w:p>
        </w:tc>
        <w:tc>
          <w:tcPr>
            <w:tcW w:w="964" w:type="dxa"/>
            <w:vAlign w:val="center"/>
          </w:tcPr>
          <w:p w:rsidR="00DD0A9C" w:rsidRPr="005B03CE" w:rsidRDefault="00DD0A9C" w:rsidP="00F158BD">
            <w:pPr>
              <w:spacing w:before="60" w:after="60"/>
              <w:jc w:val="center"/>
              <w:rPr>
                <w:noProof/>
                <w:sz w:val="20"/>
              </w:rPr>
            </w:pPr>
          </w:p>
        </w:tc>
        <w:tc>
          <w:tcPr>
            <w:tcW w:w="1158" w:type="dxa"/>
            <w:vAlign w:val="center"/>
          </w:tcPr>
          <w:p w:rsidR="00DD0A9C" w:rsidRPr="005B03CE" w:rsidRDefault="00DD0A9C" w:rsidP="00F158BD">
            <w:pPr>
              <w:spacing w:before="60" w:after="60"/>
              <w:jc w:val="center"/>
              <w:rPr>
                <w:noProof/>
                <w:sz w:val="20"/>
              </w:rPr>
            </w:pPr>
          </w:p>
        </w:tc>
      </w:tr>
      <w:tr w:rsidR="00DD0A9C" w:rsidRPr="005B03CE" w:rsidTr="00F158BD">
        <w:trPr>
          <w:cantSplit/>
        </w:trPr>
        <w:tc>
          <w:tcPr>
            <w:tcW w:w="2340" w:type="dxa"/>
          </w:tcPr>
          <w:p w:rsidR="00DD0A9C" w:rsidRPr="005B03CE" w:rsidRDefault="00DD0A9C" w:rsidP="00F158BD">
            <w:pPr>
              <w:spacing w:before="60" w:after="60"/>
              <w:jc w:val="left"/>
              <w:rPr>
                <w:noProof/>
                <w:sz w:val="20"/>
              </w:rPr>
            </w:pPr>
            <w:r w:rsidRPr="005B03CE">
              <w:rPr>
                <w:noProof/>
                <w:sz w:val="20"/>
              </w:rPr>
              <w:t xml:space="preserve">TOTAL appropriations co-financed </w:t>
            </w:r>
          </w:p>
        </w:tc>
        <w:tc>
          <w:tcPr>
            <w:tcW w:w="964" w:type="dxa"/>
            <w:vAlign w:val="center"/>
          </w:tcPr>
          <w:p w:rsidR="00DD0A9C" w:rsidRPr="005B03CE" w:rsidRDefault="00DD0A9C" w:rsidP="00F158BD">
            <w:pPr>
              <w:spacing w:before="60" w:after="60"/>
              <w:jc w:val="center"/>
              <w:rPr>
                <w:noProof/>
                <w:sz w:val="20"/>
              </w:rPr>
            </w:pPr>
          </w:p>
        </w:tc>
        <w:tc>
          <w:tcPr>
            <w:tcW w:w="964" w:type="dxa"/>
            <w:vAlign w:val="center"/>
          </w:tcPr>
          <w:p w:rsidR="00DD0A9C" w:rsidRPr="005B03CE" w:rsidRDefault="00DD0A9C" w:rsidP="00F158BD">
            <w:pPr>
              <w:spacing w:before="60" w:after="60"/>
              <w:jc w:val="center"/>
              <w:rPr>
                <w:noProof/>
                <w:sz w:val="20"/>
              </w:rPr>
            </w:pPr>
          </w:p>
        </w:tc>
        <w:tc>
          <w:tcPr>
            <w:tcW w:w="964" w:type="dxa"/>
            <w:vAlign w:val="center"/>
          </w:tcPr>
          <w:p w:rsidR="00DD0A9C" w:rsidRPr="005B03CE" w:rsidRDefault="00DD0A9C" w:rsidP="00F158BD">
            <w:pPr>
              <w:spacing w:before="60" w:after="60"/>
              <w:jc w:val="center"/>
              <w:rPr>
                <w:noProof/>
                <w:sz w:val="20"/>
              </w:rPr>
            </w:pPr>
          </w:p>
        </w:tc>
        <w:tc>
          <w:tcPr>
            <w:tcW w:w="964" w:type="dxa"/>
            <w:vAlign w:val="center"/>
          </w:tcPr>
          <w:p w:rsidR="00DD0A9C" w:rsidRPr="005B03CE" w:rsidRDefault="00DD0A9C" w:rsidP="00F158BD">
            <w:pPr>
              <w:spacing w:before="60" w:after="60"/>
              <w:jc w:val="center"/>
              <w:rPr>
                <w:noProof/>
                <w:sz w:val="20"/>
              </w:rPr>
            </w:pPr>
          </w:p>
        </w:tc>
        <w:tc>
          <w:tcPr>
            <w:tcW w:w="964" w:type="dxa"/>
            <w:vAlign w:val="center"/>
          </w:tcPr>
          <w:p w:rsidR="00DD0A9C" w:rsidRPr="005B03CE" w:rsidRDefault="00DD0A9C" w:rsidP="00F158BD">
            <w:pPr>
              <w:spacing w:before="60" w:after="60"/>
              <w:jc w:val="center"/>
              <w:rPr>
                <w:noProof/>
                <w:sz w:val="20"/>
              </w:rPr>
            </w:pPr>
          </w:p>
        </w:tc>
        <w:tc>
          <w:tcPr>
            <w:tcW w:w="964" w:type="dxa"/>
            <w:vAlign w:val="center"/>
          </w:tcPr>
          <w:p w:rsidR="00DD0A9C" w:rsidRPr="005B03CE" w:rsidRDefault="00DD0A9C" w:rsidP="00F158BD">
            <w:pPr>
              <w:spacing w:before="60" w:after="60"/>
              <w:jc w:val="center"/>
              <w:rPr>
                <w:noProof/>
                <w:sz w:val="20"/>
              </w:rPr>
            </w:pPr>
          </w:p>
        </w:tc>
        <w:tc>
          <w:tcPr>
            <w:tcW w:w="964" w:type="dxa"/>
            <w:vAlign w:val="center"/>
          </w:tcPr>
          <w:p w:rsidR="00DD0A9C" w:rsidRPr="005B03CE" w:rsidRDefault="00DD0A9C" w:rsidP="00F158BD">
            <w:pPr>
              <w:spacing w:before="60" w:after="60"/>
              <w:jc w:val="center"/>
              <w:rPr>
                <w:noProof/>
                <w:sz w:val="20"/>
              </w:rPr>
            </w:pPr>
          </w:p>
        </w:tc>
        <w:tc>
          <w:tcPr>
            <w:tcW w:w="1158" w:type="dxa"/>
            <w:vAlign w:val="center"/>
          </w:tcPr>
          <w:p w:rsidR="00DD0A9C" w:rsidRPr="005B03CE" w:rsidRDefault="00DD0A9C" w:rsidP="00F158BD">
            <w:pPr>
              <w:spacing w:before="60" w:after="60"/>
              <w:jc w:val="center"/>
              <w:rPr>
                <w:noProof/>
                <w:sz w:val="20"/>
              </w:rPr>
            </w:pPr>
          </w:p>
        </w:tc>
      </w:tr>
    </w:tbl>
    <w:p w:rsidR="00DD0A9C" w:rsidRPr="005B03CE" w:rsidRDefault="00DD0A9C" w:rsidP="00DD0A9C">
      <w:pPr>
        <w:rPr>
          <w:noProof/>
        </w:rPr>
      </w:pPr>
      <w:r w:rsidRPr="005B03CE">
        <w:rPr>
          <w:noProof/>
        </w:rPr>
        <w:br/>
      </w:r>
    </w:p>
    <w:p w:rsidR="00DD0A9C" w:rsidRPr="005B03CE" w:rsidRDefault="00DD0A9C" w:rsidP="004A06D6">
      <w:pPr>
        <w:pStyle w:val="ManualHeading2"/>
        <w:rPr>
          <w:bCs/>
          <w:noProof/>
          <w:szCs w:val="24"/>
        </w:rPr>
      </w:pPr>
      <w:r w:rsidRPr="005B03CE">
        <w:rPr>
          <w:noProof/>
        </w:rPr>
        <w:br w:type="page"/>
      </w:r>
      <w:bookmarkStart w:id="69" w:name="_Toc514938059"/>
      <w:bookmarkStart w:id="70" w:name="_Toc520485057"/>
      <w:r w:rsidR="004A06D6" w:rsidRPr="004A06D6">
        <w:t>3.3.</w:t>
      </w:r>
      <w:r w:rsidR="004A06D6" w:rsidRPr="004A06D6">
        <w:tab/>
      </w:r>
      <w:r w:rsidRPr="005B03CE">
        <w:rPr>
          <w:noProof/>
        </w:rPr>
        <w:t>Estimated impact on revenue</w:t>
      </w:r>
      <w:bookmarkEnd w:id="69"/>
      <w:bookmarkEnd w:id="70"/>
      <w:r w:rsidRPr="005B03CE">
        <w:rPr>
          <w:noProof/>
        </w:rPr>
        <w:t xml:space="preserve"> </w:t>
      </w:r>
    </w:p>
    <w:p w:rsidR="00F741D4" w:rsidRPr="005B03CE" w:rsidRDefault="00F741D4" w:rsidP="00F741D4">
      <w:pPr>
        <w:pStyle w:val="ListDash1"/>
        <w:rPr>
          <w:noProof/>
        </w:rPr>
      </w:pPr>
      <w:r w:rsidRPr="005B03CE">
        <w:rPr>
          <w:rFonts w:ascii="Wingdings" w:eastAsia="Wingdings" w:hAnsi="Wingdings" w:cs="Wingdings"/>
          <w:noProof/>
        </w:rPr>
        <w:t></w:t>
      </w:r>
      <w:r w:rsidRPr="005B03CE">
        <w:rPr>
          <w:noProof/>
        </w:rPr>
        <w:tab/>
        <w:t>The proposal/initiative has no financial impact on revenue.</w:t>
      </w:r>
    </w:p>
    <w:p w:rsidR="00F741D4" w:rsidRPr="005B03CE" w:rsidRDefault="00F741D4" w:rsidP="00F741D4">
      <w:pPr>
        <w:pStyle w:val="ListDash1"/>
        <w:rPr>
          <w:noProof/>
        </w:rPr>
      </w:pPr>
      <w:r w:rsidRPr="005B03CE">
        <w:rPr>
          <w:rFonts w:ascii="Wingdings" w:eastAsia="Wingdings" w:hAnsi="Wingdings" w:cs="Wingdings"/>
          <w:noProof/>
        </w:rPr>
        <w:t></w:t>
      </w:r>
      <w:r w:rsidRPr="005B03CE">
        <w:rPr>
          <w:noProof/>
        </w:rPr>
        <w:tab/>
        <w:t>The proposal/initiative has the following financial impact:</w:t>
      </w:r>
    </w:p>
    <w:p w:rsidR="00F741D4" w:rsidRPr="005B03CE" w:rsidRDefault="00F741D4" w:rsidP="00F741D4">
      <w:pPr>
        <w:pStyle w:val="ListDash3"/>
      </w:pPr>
      <w:r w:rsidRPr="005B03CE">
        <w:rPr>
          <w:rFonts w:ascii="Wingdings" w:eastAsia="Wingdings" w:hAnsi="Wingdings" w:cs="Wingdings"/>
        </w:rPr>
        <w:t></w:t>
      </w:r>
      <w:r w:rsidRPr="005B03CE">
        <w:tab/>
        <w:t xml:space="preserve">on own resources </w:t>
      </w:r>
    </w:p>
    <w:p w:rsidR="00F741D4" w:rsidRPr="005B03CE" w:rsidRDefault="00F741D4" w:rsidP="00F741D4">
      <w:pPr>
        <w:pStyle w:val="ListDash3"/>
      </w:pPr>
      <w:r w:rsidRPr="005B03CE">
        <w:rPr>
          <w:rFonts w:ascii="Wingdings" w:eastAsia="Wingdings" w:hAnsi="Wingdings" w:cs="Wingdings"/>
        </w:rPr>
        <w:t></w:t>
      </w:r>
      <w:r w:rsidRPr="005B03CE">
        <w:tab/>
        <w:t>on other revenue</w:t>
      </w:r>
    </w:p>
    <w:p w:rsidR="00F741D4" w:rsidRPr="005B03CE" w:rsidRDefault="00F741D4" w:rsidP="00F741D4">
      <w:pPr>
        <w:pStyle w:val="ListDash3"/>
      </w:pPr>
      <w:r w:rsidRPr="005B03CE">
        <w:t xml:space="preserve">please indicate, if the revenue is assigned to expenditure lines </w:t>
      </w:r>
      <w:r w:rsidRPr="005B03CE">
        <w:rPr>
          <w:rFonts w:ascii="Wingdings" w:eastAsia="Wingdings" w:hAnsi="Wingdings" w:cs="Wingdings"/>
        </w:rPr>
        <w:t></w:t>
      </w:r>
      <w:r w:rsidRPr="005B03CE">
        <w:tab/>
      </w:r>
    </w:p>
    <w:p w:rsidR="00DD0A9C" w:rsidRPr="005B03CE" w:rsidRDefault="00DD0A9C" w:rsidP="00DD0A9C">
      <w:pPr>
        <w:ind w:left="4320"/>
        <w:rPr>
          <w:i/>
          <w:noProof/>
          <w:sz w:val="20"/>
        </w:rPr>
      </w:pPr>
      <w:r w:rsidRPr="005B03CE">
        <w:rPr>
          <w:noProof/>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DD0A9C" w:rsidRPr="005B03CE" w:rsidTr="00F158BD">
        <w:trPr>
          <w:trHeight w:val="388"/>
        </w:trPr>
        <w:tc>
          <w:tcPr>
            <w:tcW w:w="2144" w:type="dxa"/>
            <w:vMerge w:val="restart"/>
            <w:vAlign w:val="center"/>
          </w:tcPr>
          <w:p w:rsidR="00DD0A9C" w:rsidRPr="005B03CE" w:rsidRDefault="00DD0A9C" w:rsidP="00F158BD">
            <w:pPr>
              <w:spacing w:before="40" w:after="40"/>
              <w:rPr>
                <w:noProof/>
                <w:sz w:val="18"/>
              </w:rPr>
            </w:pPr>
            <w:r w:rsidRPr="005B03CE">
              <w:rPr>
                <w:noProof/>
                <w:sz w:val="18"/>
              </w:rPr>
              <w:t>Budget revenue line:</w:t>
            </w:r>
          </w:p>
        </w:tc>
        <w:tc>
          <w:tcPr>
            <w:tcW w:w="1325" w:type="dxa"/>
            <w:vMerge w:val="restart"/>
            <w:vAlign w:val="center"/>
          </w:tcPr>
          <w:p w:rsidR="00DD0A9C" w:rsidRPr="005B03CE" w:rsidRDefault="00DD0A9C" w:rsidP="00F158BD">
            <w:pPr>
              <w:jc w:val="center"/>
              <w:rPr>
                <w:noProof/>
                <w:sz w:val="18"/>
              </w:rPr>
            </w:pPr>
            <w:r w:rsidRPr="005B03CE">
              <w:rPr>
                <w:noProof/>
                <w:sz w:val="18"/>
              </w:rPr>
              <w:t>Appropriations available for the current financial year</w:t>
            </w:r>
          </w:p>
        </w:tc>
        <w:tc>
          <w:tcPr>
            <w:tcW w:w="7151" w:type="dxa"/>
            <w:gridSpan w:val="7"/>
            <w:vAlign w:val="center"/>
          </w:tcPr>
          <w:p w:rsidR="00DD0A9C" w:rsidRPr="005B03CE" w:rsidRDefault="00DD0A9C" w:rsidP="00F158BD">
            <w:pPr>
              <w:jc w:val="center"/>
              <w:rPr>
                <w:noProof/>
                <w:sz w:val="18"/>
              </w:rPr>
            </w:pPr>
            <w:r w:rsidRPr="005B03CE">
              <w:rPr>
                <w:noProof/>
                <w:sz w:val="18"/>
              </w:rPr>
              <w:t>Impact of the proposal/initiative</w:t>
            </w:r>
            <w:r w:rsidRPr="005B03CE">
              <w:rPr>
                <w:rStyle w:val="FootnoteReference"/>
                <w:noProof/>
                <w:sz w:val="18"/>
              </w:rPr>
              <w:footnoteReference w:id="26"/>
            </w:r>
          </w:p>
        </w:tc>
      </w:tr>
      <w:tr w:rsidR="00DD0A9C" w:rsidRPr="005B03CE" w:rsidTr="00F158BD">
        <w:trPr>
          <w:trHeight w:val="388"/>
        </w:trPr>
        <w:tc>
          <w:tcPr>
            <w:tcW w:w="2144" w:type="dxa"/>
            <w:vMerge/>
          </w:tcPr>
          <w:p w:rsidR="00DD0A9C" w:rsidRPr="005B03CE" w:rsidRDefault="00DD0A9C" w:rsidP="00F158BD">
            <w:pPr>
              <w:spacing w:before="40" w:after="40"/>
              <w:rPr>
                <w:noProof/>
                <w:sz w:val="18"/>
              </w:rPr>
            </w:pPr>
          </w:p>
        </w:tc>
        <w:tc>
          <w:tcPr>
            <w:tcW w:w="1325" w:type="dxa"/>
            <w:vMerge/>
          </w:tcPr>
          <w:p w:rsidR="00DD0A9C" w:rsidRPr="005B03CE" w:rsidRDefault="00DD0A9C" w:rsidP="00F158BD">
            <w:pPr>
              <w:spacing w:beforeLines="40" w:before="96" w:afterLines="40" w:after="96"/>
              <w:rPr>
                <w:i/>
                <w:noProof/>
                <w:sz w:val="18"/>
              </w:rPr>
            </w:pPr>
          </w:p>
        </w:tc>
        <w:tc>
          <w:tcPr>
            <w:tcW w:w="1031" w:type="dxa"/>
            <w:vAlign w:val="center"/>
          </w:tcPr>
          <w:p w:rsidR="00DD0A9C" w:rsidRPr="005B03CE" w:rsidRDefault="00DD0A9C" w:rsidP="00F158BD">
            <w:pPr>
              <w:jc w:val="center"/>
              <w:rPr>
                <w:noProof/>
                <w:sz w:val="18"/>
              </w:rPr>
            </w:pPr>
            <w:r w:rsidRPr="005B03CE">
              <w:rPr>
                <w:noProof/>
                <w:sz w:val="18"/>
              </w:rPr>
              <w:t>Year</w:t>
            </w:r>
            <w:r w:rsidRPr="005B03CE">
              <w:rPr>
                <w:noProof/>
                <w:sz w:val="22"/>
              </w:rPr>
              <w:br/>
            </w:r>
            <w:r w:rsidRPr="005B03CE">
              <w:rPr>
                <w:b/>
                <w:noProof/>
                <w:sz w:val="18"/>
              </w:rPr>
              <w:t>N</w:t>
            </w:r>
          </w:p>
        </w:tc>
        <w:tc>
          <w:tcPr>
            <w:tcW w:w="900" w:type="dxa"/>
            <w:vAlign w:val="center"/>
          </w:tcPr>
          <w:p w:rsidR="00DD0A9C" w:rsidRPr="005B03CE" w:rsidRDefault="00DD0A9C" w:rsidP="00F158BD">
            <w:pPr>
              <w:jc w:val="center"/>
              <w:rPr>
                <w:noProof/>
                <w:sz w:val="18"/>
              </w:rPr>
            </w:pPr>
            <w:r w:rsidRPr="005B03CE">
              <w:rPr>
                <w:noProof/>
                <w:sz w:val="18"/>
              </w:rPr>
              <w:t>Year</w:t>
            </w:r>
            <w:r w:rsidRPr="005B03CE">
              <w:rPr>
                <w:noProof/>
                <w:sz w:val="22"/>
              </w:rPr>
              <w:br/>
            </w:r>
            <w:r w:rsidRPr="005B03CE">
              <w:rPr>
                <w:b/>
                <w:noProof/>
                <w:sz w:val="18"/>
              </w:rPr>
              <w:t>N+1</w:t>
            </w:r>
          </w:p>
        </w:tc>
        <w:tc>
          <w:tcPr>
            <w:tcW w:w="900" w:type="dxa"/>
            <w:vAlign w:val="center"/>
          </w:tcPr>
          <w:p w:rsidR="00DD0A9C" w:rsidRPr="005B03CE" w:rsidRDefault="00DD0A9C" w:rsidP="00F158BD">
            <w:pPr>
              <w:jc w:val="center"/>
              <w:rPr>
                <w:noProof/>
                <w:sz w:val="18"/>
              </w:rPr>
            </w:pPr>
            <w:r w:rsidRPr="005B03CE">
              <w:rPr>
                <w:noProof/>
                <w:sz w:val="18"/>
              </w:rPr>
              <w:t>Year</w:t>
            </w:r>
            <w:r w:rsidRPr="005B03CE">
              <w:rPr>
                <w:noProof/>
                <w:sz w:val="22"/>
              </w:rPr>
              <w:br/>
            </w:r>
            <w:r w:rsidRPr="005B03CE">
              <w:rPr>
                <w:b/>
                <w:noProof/>
                <w:sz w:val="18"/>
              </w:rPr>
              <w:t>N+2</w:t>
            </w:r>
          </w:p>
        </w:tc>
        <w:tc>
          <w:tcPr>
            <w:tcW w:w="1080" w:type="dxa"/>
            <w:vAlign w:val="center"/>
          </w:tcPr>
          <w:p w:rsidR="00DD0A9C" w:rsidRPr="005B03CE" w:rsidRDefault="00DD0A9C" w:rsidP="00F158BD">
            <w:pPr>
              <w:jc w:val="center"/>
              <w:rPr>
                <w:noProof/>
                <w:sz w:val="18"/>
              </w:rPr>
            </w:pPr>
            <w:r w:rsidRPr="005B03CE">
              <w:rPr>
                <w:noProof/>
                <w:sz w:val="18"/>
              </w:rPr>
              <w:t>Year</w:t>
            </w:r>
            <w:r w:rsidRPr="005B03CE">
              <w:rPr>
                <w:noProof/>
                <w:sz w:val="22"/>
              </w:rPr>
              <w:br/>
            </w:r>
            <w:r w:rsidRPr="005B03CE">
              <w:rPr>
                <w:b/>
                <w:noProof/>
                <w:sz w:val="18"/>
              </w:rPr>
              <w:t>N+3</w:t>
            </w:r>
          </w:p>
        </w:tc>
        <w:tc>
          <w:tcPr>
            <w:tcW w:w="3240" w:type="dxa"/>
            <w:gridSpan w:val="3"/>
            <w:vAlign w:val="center"/>
          </w:tcPr>
          <w:p w:rsidR="00DD0A9C" w:rsidRPr="005B03CE" w:rsidRDefault="00DD0A9C" w:rsidP="00F158BD">
            <w:pPr>
              <w:jc w:val="center"/>
              <w:rPr>
                <w:b/>
                <w:noProof/>
                <w:sz w:val="18"/>
              </w:rPr>
            </w:pPr>
            <w:r w:rsidRPr="005B03CE">
              <w:rPr>
                <w:noProof/>
                <w:sz w:val="18"/>
              </w:rPr>
              <w:t>Enter as many years as necessary to show the duration of the impact (see point 1.6)</w:t>
            </w:r>
          </w:p>
        </w:tc>
      </w:tr>
      <w:tr w:rsidR="00DD0A9C" w:rsidRPr="005B03CE" w:rsidTr="00F158BD">
        <w:trPr>
          <w:trHeight w:val="388"/>
        </w:trPr>
        <w:tc>
          <w:tcPr>
            <w:tcW w:w="2144" w:type="dxa"/>
            <w:vAlign w:val="center"/>
          </w:tcPr>
          <w:p w:rsidR="00DD0A9C" w:rsidRPr="005B03CE" w:rsidRDefault="00DD0A9C" w:rsidP="00F158BD">
            <w:pPr>
              <w:spacing w:before="40" w:after="40"/>
              <w:rPr>
                <w:noProof/>
                <w:sz w:val="18"/>
              </w:rPr>
            </w:pPr>
            <w:r w:rsidRPr="005B03CE">
              <w:rPr>
                <w:noProof/>
                <w:sz w:val="18"/>
              </w:rPr>
              <w:t>Article ………….</w:t>
            </w:r>
          </w:p>
        </w:tc>
        <w:tc>
          <w:tcPr>
            <w:tcW w:w="1325" w:type="dxa"/>
          </w:tcPr>
          <w:p w:rsidR="00DD0A9C" w:rsidRPr="005B03CE" w:rsidRDefault="00DD0A9C" w:rsidP="00F158BD">
            <w:pPr>
              <w:spacing w:beforeLines="40" w:before="96" w:afterLines="40" w:after="96"/>
              <w:jc w:val="center"/>
              <w:rPr>
                <w:i/>
                <w:noProof/>
                <w:sz w:val="18"/>
              </w:rPr>
            </w:pPr>
          </w:p>
        </w:tc>
        <w:tc>
          <w:tcPr>
            <w:tcW w:w="1031" w:type="dxa"/>
          </w:tcPr>
          <w:p w:rsidR="00DD0A9C" w:rsidRPr="005B03CE" w:rsidRDefault="00DD0A9C" w:rsidP="00F158BD">
            <w:pPr>
              <w:spacing w:beforeLines="40" w:before="96" w:afterLines="40" w:after="96"/>
              <w:jc w:val="center"/>
              <w:rPr>
                <w:noProof/>
                <w:sz w:val="18"/>
              </w:rPr>
            </w:pPr>
          </w:p>
        </w:tc>
        <w:tc>
          <w:tcPr>
            <w:tcW w:w="900" w:type="dxa"/>
          </w:tcPr>
          <w:p w:rsidR="00DD0A9C" w:rsidRPr="005B03CE" w:rsidRDefault="00DD0A9C" w:rsidP="00F158BD">
            <w:pPr>
              <w:spacing w:beforeLines="40" w:before="96" w:afterLines="40" w:after="96"/>
              <w:jc w:val="center"/>
              <w:rPr>
                <w:noProof/>
                <w:sz w:val="18"/>
              </w:rPr>
            </w:pPr>
          </w:p>
        </w:tc>
        <w:tc>
          <w:tcPr>
            <w:tcW w:w="900" w:type="dxa"/>
          </w:tcPr>
          <w:p w:rsidR="00DD0A9C" w:rsidRPr="005B03CE" w:rsidRDefault="00DD0A9C" w:rsidP="00F158BD">
            <w:pPr>
              <w:spacing w:beforeLines="40" w:before="96" w:afterLines="40" w:after="96"/>
              <w:jc w:val="center"/>
              <w:rPr>
                <w:noProof/>
                <w:sz w:val="18"/>
              </w:rPr>
            </w:pPr>
          </w:p>
        </w:tc>
        <w:tc>
          <w:tcPr>
            <w:tcW w:w="1080" w:type="dxa"/>
          </w:tcPr>
          <w:p w:rsidR="00DD0A9C" w:rsidRPr="005B03CE" w:rsidRDefault="00DD0A9C" w:rsidP="00F158BD">
            <w:pPr>
              <w:spacing w:beforeLines="40" w:before="96" w:afterLines="40" w:after="96"/>
              <w:jc w:val="center"/>
              <w:rPr>
                <w:noProof/>
                <w:sz w:val="18"/>
              </w:rPr>
            </w:pPr>
          </w:p>
        </w:tc>
        <w:tc>
          <w:tcPr>
            <w:tcW w:w="1080" w:type="dxa"/>
          </w:tcPr>
          <w:p w:rsidR="00DD0A9C" w:rsidRPr="005B03CE" w:rsidRDefault="00DD0A9C" w:rsidP="00F158BD">
            <w:pPr>
              <w:spacing w:beforeLines="40" w:before="96" w:afterLines="40" w:after="96"/>
              <w:jc w:val="center"/>
              <w:rPr>
                <w:noProof/>
                <w:sz w:val="18"/>
              </w:rPr>
            </w:pPr>
          </w:p>
        </w:tc>
        <w:tc>
          <w:tcPr>
            <w:tcW w:w="1080" w:type="dxa"/>
          </w:tcPr>
          <w:p w:rsidR="00DD0A9C" w:rsidRPr="005B03CE" w:rsidRDefault="00DD0A9C" w:rsidP="00F158BD">
            <w:pPr>
              <w:spacing w:beforeLines="40" w:before="96" w:afterLines="40" w:after="96"/>
              <w:jc w:val="center"/>
              <w:rPr>
                <w:noProof/>
                <w:sz w:val="18"/>
              </w:rPr>
            </w:pPr>
          </w:p>
        </w:tc>
        <w:tc>
          <w:tcPr>
            <w:tcW w:w="1080" w:type="dxa"/>
          </w:tcPr>
          <w:p w:rsidR="00DD0A9C" w:rsidRPr="005B03CE" w:rsidRDefault="00DD0A9C" w:rsidP="00F158BD">
            <w:pPr>
              <w:spacing w:beforeLines="40" w:before="96" w:afterLines="40" w:after="96"/>
              <w:jc w:val="center"/>
              <w:rPr>
                <w:noProof/>
                <w:sz w:val="18"/>
              </w:rPr>
            </w:pPr>
          </w:p>
        </w:tc>
      </w:tr>
    </w:tbl>
    <w:p w:rsidR="00DD0A9C" w:rsidRPr="005B03CE" w:rsidRDefault="00DD0A9C" w:rsidP="00DD0A9C">
      <w:pPr>
        <w:pStyle w:val="Text1"/>
        <w:rPr>
          <w:noProof/>
          <w:sz w:val="20"/>
        </w:rPr>
      </w:pPr>
      <w:r w:rsidRPr="005B03CE">
        <w:rPr>
          <w:noProof/>
          <w:sz w:val="20"/>
        </w:rPr>
        <w:t>For assigned revenue, specify the budget expenditure line(s) affected.</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p>
    <w:p w:rsidR="00DD0A9C" w:rsidRPr="005B03CE" w:rsidRDefault="00DD0A9C" w:rsidP="00DD0A9C">
      <w:pPr>
        <w:pStyle w:val="Text1"/>
        <w:rPr>
          <w:noProof/>
          <w:sz w:val="20"/>
        </w:rPr>
      </w:pPr>
      <w:r w:rsidRPr="005B03CE">
        <w:rPr>
          <w:noProof/>
          <w:sz w:val="20"/>
        </w:rPr>
        <w:t>Other remarks (e.g. method/formula used for calculating the impact on revenue or any other information).</w:t>
      </w:r>
    </w:p>
    <w:p w:rsidR="00DD0A9C" w:rsidRPr="005B03CE" w:rsidRDefault="00DD0A9C" w:rsidP="00DD0A9C">
      <w:pPr>
        <w:pStyle w:val="Text1"/>
        <w:pBdr>
          <w:top w:val="single" w:sz="4" w:space="1" w:color="auto"/>
          <w:left w:val="single" w:sz="4" w:space="4" w:color="auto"/>
          <w:bottom w:val="single" w:sz="4" w:space="1" w:color="auto"/>
          <w:right w:val="single" w:sz="4" w:space="4" w:color="auto"/>
        </w:pBdr>
        <w:rPr>
          <w:noProof/>
        </w:rPr>
      </w:pPr>
    </w:p>
    <w:sectPr w:rsidR="00DD0A9C" w:rsidRPr="005B03CE" w:rsidSect="00427BA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88C" w:rsidRDefault="00EB388C" w:rsidP="002E56D2">
      <w:pPr>
        <w:spacing w:before="0" w:after="0"/>
      </w:pPr>
      <w:r>
        <w:separator/>
      </w:r>
    </w:p>
  </w:endnote>
  <w:endnote w:type="continuationSeparator" w:id="0">
    <w:p w:rsidR="00EB388C" w:rsidRDefault="00EB388C" w:rsidP="002E56D2">
      <w:pPr>
        <w:spacing w:before="0" w:after="0"/>
      </w:pPr>
      <w:r>
        <w:continuationSeparator/>
      </w:r>
    </w:p>
  </w:endnote>
  <w:endnote w:type="continuationNotice" w:id="1">
    <w:p w:rsidR="00EB388C" w:rsidRDefault="00EB38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88C" w:rsidRPr="00427BA8" w:rsidRDefault="00427BA8" w:rsidP="00427BA8">
    <w:pPr>
      <w:pStyle w:val="Footer"/>
      <w:rPr>
        <w:rFonts w:ascii="Arial" w:hAnsi="Arial" w:cs="Arial"/>
        <w:b/>
        <w:sz w:val="48"/>
      </w:rPr>
    </w:pPr>
    <w:r w:rsidRPr="00427BA8">
      <w:rPr>
        <w:rFonts w:ascii="Arial" w:hAnsi="Arial" w:cs="Arial"/>
        <w:b/>
        <w:sz w:val="48"/>
      </w:rPr>
      <w:t>EN</w:t>
    </w:r>
    <w:r w:rsidRPr="00427BA8">
      <w:rPr>
        <w:rFonts w:ascii="Arial" w:hAnsi="Arial" w:cs="Arial"/>
        <w:b/>
        <w:sz w:val="48"/>
      </w:rPr>
      <w:tab/>
    </w:r>
    <w:r w:rsidRPr="00427BA8">
      <w:rPr>
        <w:rFonts w:ascii="Arial" w:hAnsi="Arial" w:cs="Arial"/>
        <w:b/>
        <w:sz w:val="48"/>
      </w:rPr>
      <w:tab/>
    </w:r>
    <w:r w:rsidRPr="00427BA8">
      <w:tab/>
    </w:r>
    <w:r w:rsidRPr="00427BA8">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A8" w:rsidRPr="00427BA8" w:rsidRDefault="00427BA8" w:rsidP="00427BA8">
    <w:pPr>
      <w:pStyle w:val="Footer"/>
      <w:rPr>
        <w:rFonts w:ascii="Arial" w:hAnsi="Arial" w:cs="Arial"/>
        <w:b/>
        <w:sz w:val="48"/>
      </w:rPr>
    </w:pPr>
    <w:r w:rsidRPr="00427BA8">
      <w:rPr>
        <w:rFonts w:ascii="Arial" w:hAnsi="Arial" w:cs="Arial"/>
        <w:b/>
        <w:sz w:val="48"/>
      </w:rPr>
      <w:t>EN</w:t>
    </w:r>
    <w:r w:rsidRPr="00427BA8">
      <w:rPr>
        <w:rFonts w:ascii="Arial" w:hAnsi="Arial" w:cs="Arial"/>
        <w:b/>
        <w:sz w:val="48"/>
      </w:rPr>
      <w:tab/>
    </w:r>
    <w:r>
      <w:fldChar w:fldCharType="begin"/>
    </w:r>
    <w:r>
      <w:instrText xml:space="preserve"> PAGE  \* MERGEFORMAT </w:instrText>
    </w:r>
    <w:r>
      <w:fldChar w:fldCharType="separate"/>
    </w:r>
    <w:r w:rsidR="00E66E73">
      <w:rPr>
        <w:noProof/>
      </w:rPr>
      <w:t>23</w:t>
    </w:r>
    <w:r>
      <w:fldChar w:fldCharType="end"/>
    </w:r>
    <w:r>
      <w:tab/>
    </w:r>
    <w:r w:rsidRPr="00427BA8">
      <w:tab/>
    </w:r>
    <w:r w:rsidRPr="00427BA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A8" w:rsidRPr="00427BA8" w:rsidRDefault="00427BA8" w:rsidP="00427B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A8" w:rsidRPr="00427BA8" w:rsidRDefault="00427BA8" w:rsidP="00427BA8">
    <w:pPr>
      <w:pStyle w:val="FooterLandscape"/>
      <w:rPr>
        <w:rFonts w:ascii="Arial" w:hAnsi="Arial" w:cs="Arial"/>
        <w:b/>
        <w:sz w:val="48"/>
      </w:rPr>
    </w:pPr>
    <w:r w:rsidRPr="00427BA8">
      <w:rPr>
        <w:rFonts w:ascii="Arial" w:hAnsi="Arial" w:cs="Arial"/>
        <w:b/>
        <w:sz w:val="48"/>
      </w:rPr>
      <w:t>EN</w:t>
    </w:r>
    <w:r w:rsidRPr="00427BA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27BA8">
      <w:tab/>
    </w:r>
    <w:r w:rsidRPr="00427BA8">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A8" w:rsidRPr="00427BA8" w:rsidRDefault="00427BA8" w:rsidP="00427BA8">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88C" w:rsidRPr="00427BA8" w:rsidRDefault="00427BA8" w:rsidP="00427BA8">
    <w:pPr>
      <w:pStyle w:val="Footer"/>
      <w:rPr>
        <w:rFonts w:ascii="Arial" w:hAnsi="Arial" w:cs="Arial"/>
        <w:b/>
        <w:sz w:val="48"/>
      </w:rPr>
    </w:pPr>
    <w:r w:rsidRPr="00427BA8">
      <w:rPr>
        <w:rFonts w:ascii="Arial" w:hAnsi="Arial" w:cs="Arial"/>
        <w:b/>
        <w:sz w:val="48"/>
      </w:rPr>
      <w:t>EN</w:t>
    </w:r>
    <w:r w:rsidRPr="00427BA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27BA8">
      <w:tab/>
    </w:r>
    <w:r w:rsidRPr="00427BA8">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A8" w:rsidRPr="00427BA8" w:rsidRDefault="00427BA8" w:rsidP="00427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88C" w:rsidRDefault="00EB388C" w:rsidP="002E56D2">
      <w:pPr>
        <w:spacing w:before="0" w:after="0"/>
      </w:pPr>
      <w:r>
        <w:separator/>
      </w:r>
    </w:p>
  </w:footnote>
  <w:footnote w:type="continuationSeparator" w:id="0">
    <w:p w:rsidR="00EB388C" w:rsidRDefault="00EB388C" w:rsidP="002E56D2">
      <w:pPr>
        <w:spacing w:before="0" w:after="0"/>
      </w:pPr>
      <w:r>
        <w:continuationSeparator/>
      </w:r>
    </w:p>
  </w:footnote>
  <w:footnote w:type="continuationNotice" w:id="1">
    <w:p w:rsidR="00EB388C" w:rsidRDefault="00EB388C">
      <w:pPr>
        <w:spacing w:before="0" w:after="0"/>
      </w:pPr>
    </w:p>
  </w:footnote>
  <w:footnote w:id="2">
    <w:p w:rsidR="00EB388C" w:rsidRPr="00C43A76" w:rsidRDefault="00EB388C" w:rsidP="00A22F24">
      <w:pPr>
        <w:pStyle w:val="FootnoteText"/>
        <w:ind w:left="360" w:hanging="360"/>
      </w:pPr>
      <w:r w:rsidRPr="00C43A76">
        <w:rPr>
          <w:rStyle w:val="FootnoteReference"/>
        </w:rPr>
        <w:footnoteRef/>
      </w:r>
      <w:r w:rsidRPr="00C43A76">
        <w:tab/>
        <w:t>‘Significant incident’ means any incident unless it has limited impact and is likely to be already well understood in terms of method or technology.</w:t>
      </w:r>
    </w:p>
  </w:footnote>
  <w:footnote w:id="3">
    <w:p w:rsidR="00EB388C" w:rsidRPr="00C43A76" w:rsidRDefault="00EB388C" w:rsidP="00A22F24">
      <w:pPr>
        <w:pStyle w:val="FootnoteText"/>
        <w:ind w:left="360" w:hanging="360"/>
      </w:pPr>
      <w:r w:rsidRPr="00C43A76">
        <w:rPr>
          <w:rStyle w:val="FootnoteReference"/>
        </w:rPr>
        <w:footnoteRef/>
      </w:r>
      <w:r w:rsidRPr="00C43A76">
        <w:tab/>
        <w:t>Source: Gartner, ‘Identifying the Real Information Security Budget’ (2016). This is in addition to indirect spending IT security such as on network security such as firewalls, antivirus and system owner responsibilities such as risk assessment and the implementation of security controls.</w:t>
      </w:r>
      <w:r>
        <w:t xml:space="preserve"> </w:t>
      </w:r>
      <w:r w:rsidRPr="00C43A76">
        <w:t xml:space="preserve">A 2020 paper puts cybersecurity spending at financial institutions at 10-11% of IT spending, source: </w:t>
      </w:r>
      <w:hyperlink r:id="rId1" w:history="1">
        <w:r w:rsidRPr="00C43A76">
          <w:rPr>
            <w:rStyle w:val="Hyperlink"/>
          </w:rPr>
          <w:t>DI_2020-FS-ISAC-Cybersecurity.pdf (deloitte.com)</w:t>
        </w:r>
      </w:hyperlink>
      <w:r w:rsidRPr="00C43A76">
        <w:t>.</w:t>
      </w:r>
    </w:p>
  </w:footnote>
  <w:footnote w:id="4">
    <w:p w:rsidR="00EB388C" w:rsidRPr="00C43A76" w:rsidRDefault="00EB388C">
      <w:pPr>
        <w:pStyle w:val="FootnoteText"/>
      </w:pPr>
      <w:r w:rsidRPr="00F45E54">
        <w:rPr>
          <w:rStyle w:val="FootnoteReference"/>
        </w:rPr>
        <w:footnoteRef/>
      </w:r>
      <w:r>
        <w:tab/>
      </w:r>
      <w:r w:rsidRPr="00C43A76">
        <w:t>OJ C 12, 13.1.2018, p. 1–11.</w:t>
      </w:r>
    </w:p>
  </w:footnote>
  <w:footnote w:id="5">
    <w:p w:rsidR="00EB388C" w:rsidRPr="00C43A76" w:rsidRDefault="00EB388C" w:rsidP="005133DB">
      <w:pPr>
        <w:pStyle w:val="FootnoteText"/>
      </w:pPr>
      <w:r w:rsidRPr="00F45E54">
        <w:rPr>
          <w:rStyle w:val="FootnoteReference"/>
        </w:rPr>
        <w:footnoteRef/>
      </w:r>
      <w:r>
        <w:tab/>
      </w:r>
      <w:r w:rsidRPr="00C43A76">
        <w:t>Commission Recommendation (EU) 2017/1584 of 13 September 2017 on coordinated response to large-scale cybersecurity incidents and crises (</w:t>
      </w:r>
      <w:r w:rsidRPr="00C43A76">
        <w:rPr>
          <w:iCs/>
        </w:rPr>
        <w:t>OJ L 239, 19.9.2017, p. 36).</w:t>
      </w:r>
    </w:p>
  </w:footnote>
  <w:footnote w:id="6">
    <w:p w:rsidR="00EB388C" w:rsidRPr="00C43A76" w:rsidRDefault="00EB388C" w:rsidP="00D21C98">
      <w:pPr>
        <w:pStyle w:val="FootnoteText"/>
      </w:pPr>
      <w:r w:rsidRPr="00F45E54">
        <w:rPr>
          <w:rStyle w:val="FootnoteReference"/>
        </w:rPr>
        <w:footnoteRef/>
      </w:r>
      <w:r>
        <w:tab/>
      </w:r>
      <w:r w:rsidRPr="00C43A76">
        <w:t>Regulation (EU) 2019/881 of the European Parliament and of the Council of 17 April 2019 on ENISA (the European Union Agency for Cybersecurity) and on information and communications technology cybersecurity certification and repealing Regulation (EU) No 526/2013 (Cybersecurity Act) (</w:t>
      </w:r>
      <w:r w:rsidRPr="00C43A76">
        <w:rPr>
          <w:iCs/>
        </w:rPr>
        <w:t>OJ L 151, 7.6.2019, p. 15).</w:t>
      </w:r>
    </w:p>
  </w:footnote>
  <w:footnote w:id="7">
    <w:p w:rsidR="00EB388C" w:rsidRPr="00C43A76" w:rsidRDefault="00EB388C">
      <w:pPr>
        <w:pStyle w:val="FootnoteText"/>
      </w:pPr>
      <w:r w:rsidRPr="00F45E54">
        <w:rPr>
          <w:rStyle w:val="FootnoteReference"/>
        </w:rPr>
        <w:footnoteRef/>
      </w:r>
      <w:r>
        <w:tab/>
      </w:r>
      <w:r w:rsidRPr="00C43A76">
        <w:t>Commission Recommendation C(2021) 4520 of 23.6.2021 on building a Joint Cyber Unit.</w:t>
      </w:r>
    </w:p>
  </w:footnote>
  <w:footnote w:id="8">
    <w:p w:rsidR="00EB388C" w:rsidRPr="00C43A76" w:rsidRDefault="00EB388C" w:rsidP="003D4C20">
      <w:pPr>
        <w:pStyle w:val="FootnoteText"/>
      </w:pPr>
      <w:r w:rsidRPr="00F45E54">
        <w:rPr>
          <w:rStyle w:val="FootnoteReference"/>
        </w:rPr>
        <w:footnoteRef/>
      </w:r>
      <w:r>
        <w:tab/>
      </w:r>
      <w:r w:rsidRPr="00C43A76">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sidRPr="00C43A76">
        <w:rPr>
          <w:iCs/>
        </w:rPr>
        <w:t>OJ L 295, 21.11.2018, p. 39).</w:t>
      </w:r>
    </w:p>
  </w:footnote>
  <w:footnote w:id="9">
    <w:p w:rsidR="00EB388C" w:rsidRPr="00C43A76" w:rsidRDefault="00EB388C" w:rsidP="00B92251">
      <w:pPr>
        <w:pStyle w:val="FootnoteText"/>
      </w:pPr>
      <w:r w:rsidRPr="00F45E54">
        <w:rPr>
          <w:rStyle w:val="FootnoteReference"/>
        </w:rPr>
        <w:footnoteRef/>
      </w:r>
      <w:r>
        <w:tab/>
      </w:r>
      <w:r w:rsidRPr="00C43A76">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w:t>
      </w:r>
      <w:r w:rsidRPr="00C43A76">
        <w:rPr>
          <w:iCs/>
        </w:rPr>
        <w:t>OJ L 193, 30.7.2018, p. 1).</w:t>
      </w:r>
    </w:p>
  </w:footnote>
  <w:footnote w:id="10">
    <w:p w:rsidR="00EB388C" w:rsidRPr="00C43A76" w:rsidRDefault="00EB388C" w:rsidP="007B3179">
      <w:pPr>
        <w:pStyle w:val="FootnoteText"/>
      </w:pPr>
      <w:r w:rsidRPr="00F45E54">
        <w:rPr>
          <w:rStyle w:val="FootnoteReference"/>
        </w:rPr>
        <w:footnoteRef/>
      </w:r>
      <w:r>
        <w:tab/>
      </w:r>
      <w:r w:rsidRPr="00C43A76">
        <w:t>Regulation (EC) No 1049/2001 of the European Parliament and of the Council of 30 May 2001 regarding public access to European Parliament, Council and Commission documents (OJ L 145, 31.5.2001, p. 43).</w:t>
      </w:r>
    </w:p>
  </w:footnote>
  <w:footnote w:id="11">
    <w:p w:rsidR="00EB388C" w:rsidRPr="00C43A76" w:rsidRDefault="00EB388C" w:rsidP="001414A1">
      <w:pPr>
        <w:pStyle w:val="FootnoteText"/>
        <w:ind w:left="360" w:hanging="360"/>
      </w:pPr>
      <w:r w:rsidRPr="00C43A76">
        <w:rPr>
          <w:rStyle w:val="FootnoteReference"/>
        </w:rPr>
        <w:footnoteRef/>
      </w:r>
      <w:r w:rsidRPr="00C43A76">
        <w:tab/>
        <w:t>As referred to in Article 58(2)(a) or (b) of the Financial Regulation.</w:t>
      </w:r>
    </w:p>
  </w:footnote>
  <w:footnote w:id="12">
    <w:p w:rsidR="00EB388C" w:rsidRPr="00C43A76" w:rsidRDefault="00EB388C">
      <w:pPr>
        <w:pStyle w:val="FootnoteText"/>
      </w:pPr>
      <w:r w:rsidRPr="00F45E54">
        <w:rPr>
          <w:rStyle w:val="FootnoteReference"/>
        </w:rPr>
        <w:footnoteRef/>
      </w:r>
      <w:r>
        <w:tab/>
      </w:r>
      <w:r w:rsidRPr="00C43A76">
        <w:t xml:space="preserve">Reference: [ECA </w:t>
      </w:r>
      <w:r>
        <w:t xml:space="preserve">Special </w:t>
      </w:r>
      <w:r w:rsidRPr="00C43A76">
        <w:t>Report on cybersecurity at the Union institutions, bodies and agencies].</w:t>
      </w:r>
    </w:p>
  </w:footnote>
  <w:footnote w:id="13">
    <w:p w:rsidR="00EB388C" w:rsidRPr="00C43A76" w:rsidRDefault="00EB388C" w:rsidP="00A22F24">
      <w:pPr>
        <w:pStyle w:val="FootnoteText"/>
        <w:ind w:left="360" w:hanging="360"/>
      </w:pPr>
      <w:r w:rsidRPr="00C43A76">
        <w:rPr>
          <w:rStyle w:val="FootnoteReference"/>
        </w:rPr>
        <w:footnoteRef/>
      </w:r>
      <w:r w:rsidRPr="00C43A76">
        <w:tab/>
        <w:t xml:space="preserve">Details of management modes and references to the Financial Regulation may be found on the BudgWeb site: </w:t>
      </w:r>
      <w:hyperlink r:id="rId2" w:history="1">
        <w:r w:rsidRPr="00C43A76">
          <w:rPr>
            <w:rStyle w:val="Hyperlink"/>
          </w:rPr>
          <w:t>https://myintracomm.ec.europa.eu/budgweb/EN/man/budgmanag/Pages/budgmanag.aspx</w:t>
        </w:r>
      </w:hyperlink>
      <w:r w:rsidRPr="00C43A76">
        <w:t xml:space="preserve"> </w:t>
      </w:r>
    </w:p>
  </w:footnote>
  <w:footnote w:id="14">
    <w:p w:rsidR="00EB388C" w:rsidRPr="00C43A76" w:rsidRDefault="00EB388C" w:rsidP="00A22F24">
      <w:pPr>
        <w:pStyle w:val="FootnoteText"/>
        <w:ind w:left="360" w:hanging="360"/>
      </w:pPr>
      <w:r w:rsidRPr="00C43A76">
        <w:rPr>
          <w:rStyle w:val="FootnoteReference"/>
        </w:rPr>
        <w:footnoteRef/>
      </w:r>
      <w:r w:rsidRPr="00C43A76">
        <w:tab/>
        <w:t>Diff. = Differentiated appropriations / Non-diff. = Non-differentiated appropriations.</w:t>
      </w:r>
    </w:p>
  </w:footnote>
  <w:footnote w:id="15">
    <w:p w:rsidR="00EB388C" w:rsidRPr="00C43A76" w:rsidRDefault="00EB388C" w:rsidP="00A22F24">
      <w:pPr>
        <w:pStyle w:val="FootnoteText"/>
        <w:ind w:left="360" w:hanging="360"/>
      </w:pPr>
      <w:r w:rsidRPr="00C43A76">
        <w:rPr>
          <w:rStyle w:val="FootnoteReference"/>
        </w:rPr>
        <w:footnoteRef/>
      </w:r>
      <w:r w:rsidRPr="00C43A76">
        <w:tab/>
        <w:t xml:space="preserve">EFTA: European Free Trade Association. </w:t>
      </w:r>
    </w:p>
  </w:footnote>
  <w:footnote w:id="16">
    <w:p w:rsidR="00EB388C" w:rsidRPr="00C43A76" w:rsidRDefault="00EB388C" w:rsidP="00A22F24">
      <w:pPr>
        <w:pStyle w:val="FootnoteText"/>
        <w:ind w:left="360" w:hanging="360"/>
      </w:pPr>
      <w:r w:rsidRPr="00C43A76">
        <w:rPr>
          <w:rStyle w:val="FootnoteReference"/>
        </w:rPr>
        <w:footnoteRef/>
      </w:r>
      <w:r w:rsidRPr="00C43A76">
        <w:tab/>
        <w:t>Candidate countries and, where applicable, potential candidates from the Western Balkans.</w:t>
      </w:r>
    </w:p>
  </w:footnote>
  <w:footnote w:id="17">
    <w:p w:rsidR="00EB388C" w:rsidRPr="00C43A76" w:rsidRDefault="00EB388C" w:rsidP="00A22F24">
      <w:pPr>
        <w:pStyle w:val="FootnoteText"/>
        <w:ind w:left="360" w:hanging="360"/>
      </w:pPr>
      <w:r w:rsidRPr="00C43A76">
        <w:rPr>
          <w:rStyle w:val="FootnoteReference"/>
        </w:rPr>
        <w:footnoteRef/>
      </w:r>
      <w:r w:rsidRPr="00C43A76">
        <w:tab/>
        <w:t>According to the official budget nomenclature.</w:t>
      </w:r>
    </w:p>
  </w:footnote>
  <w:footnote w:id="18">
    <w:p w:rsidR="00EB388C" w:rsidRPr="00C43A76" w:rsidRDefault="00EB388C" w:rsidP="00A22F24">
      <w:pPr>
        <w:pStyle w:val="FootnoteText"/>
        <w:ind w:left="360" w:hanging="360"/>
      </w:pPr>
      <w:r w:rsidRPr="00C43A76">
        <w:rPr>
          <w:rStyle w:val="FootnoteReference"/>
        </w:rPr>
        <w:footnoteRef/>
      </w:r>
      <w:r w:rsidRPr="00C43A76">
        <w:tab/>
        <w:t>Technical and/or administrative assistance and expenditure in support of the implementation of EU programmes and/or actions (former ‘BA’ lines), indirect research, direct research.</w:t>
      </w:r>
    </w:p>
  </w:footnote>
  <w:footnote w:id="19">
    <w:p w:rsidR="00EB388C" w:rsidRPr="00C43A76" w:rsidRDefault="00EB388C" w:rsidP="00A22F24">
      <w:pPr>
        <w:pStyle w:val="FootnoteText"/>
        <w:ind w:left="360" w:hanging="360"/>
      </w:pPr>
      <w:r w:rsidRPr="00C43A76">
        <w:rPr>
          <w:rStyle w:val="FootnoteReference"/>
        </w:rPr>
        <w:footnoteRef/>
      </w:r>
      <w:r w:rsidRPr="00C43A76">
        <w:tab/>
        <w:t>Outputs are products and services to be supplied (e.g.: number of student exchanges financed, number of km of roads built, etc.).</w:t>
      </w:r>
    </w:p>
  </w:footnote>
  <w:footnote w:id="20">
    <w:p w:rsidR="00EB388C" w:rsidRPr="00C43A76" w:rsidRDefault="00EB388C" w:rsidP="00A22F24">
      <w:pPr>
        <w:pStyle w:val="FootnoteText"/>
        <w:ind w:left="360" w:hanging="360"/>
      </w:pPr>
      <w:r w:rsidRPr="00C43A76">
        <w:rPr>
          <w:rStyle w:val="FootnoteReference"/>
        </w:rPr>
        <w:footnoteRef/>
      </w:r>
      <w:r w:rsidRPr="00C43A76">
        <w:tab/>
        <w:t xml:space="preserve">As described in point 1.4.2. ‘Specific objective(s)…’ </w:t>
      </w:r>
    </w:p>
  </w:footnote>
  <w:footnote w:id="21">
    <w:p w:rsidR="00EB388C" w:rsidRPr="00C43A76" w:rsidRDefault="00EB388C" w:rsidP="00A22F24">
      <w:pPr>
        <w:pStyle w:val="FootnoteText"/>
        <w:ind w:left="360" w:hanging="360"/>
      </w:pPr>
      <w:r w:rsidRPr="00C43A76">
        <w:rPr>
          <w:rStyle w:val="FootnoteReference"/>
        </w:rPr>
        <w:footnoteRef/>
      </w:r>
      <w:r w:rsidRPr="00C43A76">
        <w:tab/>
        <w:t>Technical and/or administrative assistance and expenditure in support of the implementation of EU programmes and/or actions (former ‘BA’ lines), indirect research, direct research.</w:t>
      </w:r>
    </w:p>
  </w:footnote>
  <w:footnote w:id="22">
    <w:p w:rsidR="00EB388C" w:rsidRPr="00C43A76" w:rsidRDefault="00EB388C" w:rsidP="00A22F24">
      <w:pPr>
        <w:pStyle w:val="FootnoteText"/>
        <w:ind w:left="360" w:hanging="360"/>
      </w:pPr>
      <w:r w:rsidRPr="00C43A76">
        <w:rPr>
          <w:rStyle w:val="FootnoteReference"/>
        </w:rPr>
        <w:footnoteRef/>
      </w:r>
      <w:r w:rsidRPr="00C43A76">
        <w:tab/>
        <w:t xml:space="preserve">AC= Contract Staff; AL = Local Staff; END= Seconded National Expert; INT = agency staff; JPD= Junior Professionals in Delegations. </w:t>
      </w:r>
    </w:p>
  </w:footnote>
  <w:footnote w:id="23">
    <w:p w:rsidR="00EB388C" w:rsidRPr="00C43A76" w:rsidRDefault="00EB388C" w:rsidP="00A22F24">
      <w:pPr>
        <w:pStyle w:val="FootnoteText"/>
        <w:ind w:left="360" w:hanging="360"/>
      </w:pPr>
      <w:r w:rsidRPr="00C43A76">
        <w:rPr>
          <w:rStyle w:val="FootnoteReference"/>
        </w:rPr>
        <w:footnoteRef/>
      </w:r>
      <w:r w:rsidRPr="00C43A76">
        <w:tab/>
        <w:t>Sub-ceiling for external staff covered by operational appropriations (former ‘BA’ lines).</w:t>
      </w:r>
    </w:p>
  </w:footnote>
  <w:footnote w:id="24">
    <w:p w:rsidR="00EB388C" w:rsidRPr="00C43A76" w:rsidRDefault="00EB388C" w:rsidP="00F741D4">
      <w:pPr>
        <w:pStyle w:val="FootnoteText"/>
        <w:ind w:left="360" w:hanging="360"/>
      </w:pPr>
      <w:r w:rsidRPr="00C43A76">
        <w:rPr>
          <w:rStyle w:val="FootnoteReference"/>
        </w:rPr>
        <w:footnoteRef/>
      </w:r>
      <w:r w:rsidRPr="00C43A76">
        <w:tab/>
        <w:t>The assigned revenues steaming from the sporadic provision of services to non-constituent organisations foreseen in Article 12.5(c) have not been estimated because should be marginal.</w:t>
      </w:r>
    </w:p>
  </w:footnote>
  <w:footnote w:id="25">
    <w:p w:rsidR="00EB388C" w:rsidRPr="00C43A76" w:rsidRDefault="00EB388C" w:rsidP="00A22F24">
      <w:pPr>
        <w:pStyle w:val="FootnoteText"/>
        <w:ind w:left="360" w:hanging="360"/>
      </w:pPr>
      <w:r w:rsidRPr="00C43A76">
        <w:rPr>
          <w:rStyle w:val="FootnoteReference"/>
        </w:rPr>
        <w:footnoteRef/>
      </w:r>
      <w:r w:rsidRPr="00C43A76">
        <w:tab/>
        <w:t>Year N is the year in which implementation of the proposal/initiative starts. Please replace ‘N’ by the expected first year of implementation (for instance: 2021). The same for the following years.</w:t>
      </w:r>
    </w:p>
  </w:footnote>
  <w:footnote w:id="26">
    <w:p w:rsidR="00EB388C" w:rsidRPr="00C43A76" w:rsidRDefault="00EB388C" w:rsidP="00A22F24">
      <w:pPr>
        <w:pStyle w:val="FootnoteText"/>
        <w:ind w:left="360" w:hanging="360"/>
      </w:pPr>
      <w:r w:rsidRPr="00C43A76">
        <w:rPr>
          <w:rStyle w:val="FootnoteReference"/>
        </w:rPr>
        <w:footnoteRef/>
      </w:r>
      <w:r w:rsidRPr="00C43A76">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A8" w:rsidRPr="00427BA8" w:rsidRDefault="00427BA8" w:rsidP="00427BA8">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A8" w:rsidRPr="00427BA8" w:rsidRDefault="00427BA8" w:rsidP="00427BA8">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88C" w:rsidRPr="007024CD" w:rsidRDefault="00EB388C" w:rsidP="00427B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A8" w:rsidRPr="00427BA8" w:rsidRDefault="00427BA8" w:rsidP="00427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D30F32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5FE56E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16CCD0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71EEDD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B68134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832826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F8C73E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F68AC2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0"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192E6632"/>
    <w:name w:val="0,3405529"/>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pStyle w:val="ListDash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num>
  <w:num w:numId="8">
    <w:abstractNumId w:val="6"/>
  </w:num>
  <w:num w:numId="9">
    <w:abstractNumId w:val="2"/>
  </w:num>
  <w:num w:numId="10">
    <w:abstractNumId w:val="1"/>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4"/>
  </w:num>
  <w:num w:numId="35">
    <w:abstractNumId w:val="20"/>
  </w:num>
  <w:num w:numId="36">
    <w:abstractNumId w:val="19"/>
  </w:num>
  <w:num w:numId="37">
    <w:abstractNumId w:val="27"/>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num>
  <w:num w:numId="43">
    <w:abstractNumId w:val="13"/>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15"/>
  </w:num>
  <w:num w:numId="54">
    <w:abstractNumId w:val="26"/>
  </w:num>
  <w:num w:numId="55">
    <w:abstractNumId w:val="12"/>
  </w:num>
  <w:num w:numId="56">
    <w:abstractNumId w:val="16"/>
  </w:num>
  <w:num w:numId="57">
    <w:abstractNumId w:val="10"/>
  </w:num>
  <w:num w:numId="58">
    <w:abstractNumId w:val="25"/>
  </w:num>
  <w:num w:numId="59">
    <w:abstractNumId w:val="9"/>
  </w:num>
  <w:num w:numId="60">
    <w:abstractNumId w:val="18"/>
  </w:num>
  <w:num w:numId="61">
    <w:abstractNumId w:val="22"/>
  </w:num>
  <w:num w:numId="62">
    <w:abstractNumId w:val="23"/>
  </w:num>
  <w:num w:numId="63">
    <w:abstractNumId w:val="11"/>
  </w:num>
  <w:num w:numId="64">
    <w:abstractNumId w:val="21"/>
  </w:num>
  <w:num w:numId="65">
    <w:abstractNumId w:val="28"/>
  </w:num>
  <w:num w:numId="66">
    <w:abstractNumId w:val="25"/>
  </w:num>
  <w:num w:numId="67">
    <w:abstractNumId w:val="25"/>
  </w:num>
  <w:num w:numId="68">
    <w:abstractNumId w:val="25"/>
  </w:num>
  <w:num w:numId="69">
    <w:abstractNumId w:val="17"/>
  </w:num>
  <w:num w:numId="70">
    <w:abstractNumId w:val="10"/>
  </w:num>
  <w:num w:numId="71">
    <w:abstractNumId w:val="10"/>
  </w:num>
  <w:num w:numId="72">
    <w:abstractNumId w:val="1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fr-BE" w:vendorID="64" w:dllVersion="131078" w:nlCheck="1" w:checkStyle="0"/>
  <w:attachedTemplate r:id="rId1"/>
  <w:revisionView w:markup="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2-03-22 11:04:13"/>
    <w:docVar w:name="DQCNUMB_1" w:val="123"/>
    <w:docVar w:name="DQCNUMB_10" w:val="132"/>
    <w:docVar w:name="DQCNUMB_11" w:val="133"/>
    <w:docVar w:name="DQCNUMB_12" w:val="134"/>
    <w:docVar w:name="DQCNUMB_13" w:val="135"/>
    <w:docVar w:name="DQCNUMB_14" w:val="136"/>
    <w:docVar w:name="DQCNUMB_15" w:val="137"/>
    <w:docVar w:name="DQCNUMB_16" w:val="138"/>
    <w:docVar w:name="DQCNUMB_2" w:val="124"/>
    <w:docVar w:name="DQCNUMB_3" w:val="125"/>
    <w:docVar w:name="DQCNUMB_4" w:val="126"/>
    <w:docVar w:name="DQCNUMB_5" w:val="127"/>
    <w:docVar w:name="DQCNUMB_6" w:val="128"/>
    <w:docVar w:name="DQCNUMB_7" w:val="129"/>
    <w:docVar w:name="DQCNUMB_8" w:val="130"/>
    <w:docVar w:name="DQCNUMB_9" w:val="13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8"/>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BF01DDA-A92C-4B53-B4B3-BBA4AFF2CF9D"/>
    <w:docVar w:name="LW_COVERPAGE_TYPE" w:val="1"/>
    <w:docVar w:name="LW_CROSSREFERENCE" w:val="{SWD(2022) 67 final} - {SWD(2022) 68 final}"/>
    <w:docVar w:name="LW_DocType" w:val="COM"/>
    <w:docVar w:name="LW_EMISSION" w:val="22.3.2022"/>
    <w:docVar w:name="LW_EMISSION_ISODATE" w:val="2022-03-22"/>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85"/>
    <w:docVar w:name="LW_REF.II.NEW.CP_YEAR" w:val="2022"/>
    <w:docVar w:name="LW_REF.INST.NEW" w:val="COM"/>
    <w:docVar w:name="LW_REF.INST.NEW_ADOPTED" w:val="final"/>
    <w:docVar w:name="LW_REF.INST.NEW_TEXT" w:val="(2022) 1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laying down measures for a high common level of cybersecurity at the institutions, bodies, offices and agencies of the Union"/>
    <w:docVar w:name="LW_TYPE.DOC.CP" w:val="REGULATION OF THE EUROPEAN PARLIAMENT AND OF THE COUNCIL"/>
    <w:docVar w:name="LwApiVersions" w:val="LW4CoDe 1.23.2.0; LW 8.0, Build 20211117"/>
  </w:docVars>
  <w:rsids>
    <w:rsidRoot w:val="002E56D2"/>
    <w:rsid w:val="000023AF"/>
    <w:rsid w:val="00003115"/>
    <w:rsid w:val="00003987"/>
    <w:rsid w:val="00003CBB"/>
    <w:rsid w:val="00005ADF"/>
    <w:rsid w:val="00010C19"/>
    <w:rsid w:val="000166D1"/>
    <w:rsid w:val="0002018B"/>
    <w:rsid w:val="00024B57"/>
    <w:rsid w:val="00030528"/>
    <w:rsid w:val="000307D6"/>
    <w:rsid w:val="00036E89"/>
    <w:rsid w:val="000407D4"/>
    <w:rsid w:val="00046946"/>
    <w:rsid w:val="00046EB9"/>
    <w:rsid w:val="0005358C"/>
    <w:rsid w:val="00054648"/>
    <w:rsid w:val="00054956"/>
    <w:rsid w:val="00060BBD"/>
    <w:rsid w:val="000645AB"/>
    <w:rsid w:val="00072F56"/>
    <w:rsid w:val="00073F82"/>
    <w:rsid w:val="00077144"/>
    <w:rsid w:val="00081631"/>
    <w:rsid w:val="000819FE"/>
    <w:rsid w:val="00082A4A"/>
    <w:rsid w:val="000912BF"/>
    <w:rsid w:val="00091C96"/>
    <w:rsid w:val="00094BC7"/>
    <w:rsid w:val="00097025"/>
    <w:rsid w:val="000A302D"/>
    <w:rsid w:val="000A5701"/>
    <w:rsid w:val="000A6BF6"/>
    <w:rsid w:val="000A7517"/>
    <w:rsid w:val="000B42E2"/>
    <w:rsid w:val="000C0223"/>
    <w:rsid w:val="000C1F71"/>
    <w:rsid w:val="000C691A"/>
    <w:rsid w:val="000C6D00"/>
    <w:rsid w:val="000D142B"/>
    <w:rsid w:val="000D1A32"/>
    <w:rsid w:val="000D2770"/>
    <w:rsid w:val="000D4B40"/>
    <w:rsid w:val="000D5E58"/>
    <w:rsid w:val="000D79A8"/>
    <w:rsid w:val="000E073D"/>
    <w:rsid w:val="000E198E"/>
    <w:rsid w:val="000E3D03"/>
    <w:rsid w:val="000E722A"/>
    <w:rsid w:val="000E76E9"/>
    <w:rsid w:val="000F28DD"/>
    <w:rsid w:val="000F5125"/>
    <w:rsid w:val="000F6BF0"/>
    <w:rsid w:val="000F6C72"/>
    <w:rsid w:val="001040F8"/>
    <w:rsid w:val="00110458"/>
    <w:rsid w:val="00111BCF"/>
    <w:rsid w:val="00111DEB"/>
    <w:rsid w:val="001124CD"/>
    <w:rsid w:val="00112670"/>
    <w:rsid w:val="00115A32"/>
    <w:rsid w:val="001202B2"/>
    <w:rsid w:val="00120B47"/>
    <w:rsid w:val="00123A0D"/>
    <w:rsid w:val="00123F58"/>
    <w:rsid w:val="0013134F"/>
    <w:rsid w:val="00132E00"/>
    <w:rsid w:val="00133F14"/>
    <w:rsid w:val="001363CB"/>
    <w:rsid w:val="00136427"/>
    <w:rsid w:val="00140736"/>
    <w:rsid w:val="00140D31"/>
    <w:rsid w:val="001414A1"/>
    <w:rsid w:val="00144158"/>
    <w:rsid w:val="0014430B"/>
    <w:rsid w:val="001448F1"/>
    <w:rsid w:val="00144F5E"/>
    <w:rsid w:val="00147D66"/>
    <w:rsid w:val="001501C3"/>
    <w:rsid w:val="00151768"/>
    <w:rsid w:val="0015482B"/>
    <w:rsid w:val="001558CA"/>
    <w:rsid w:val="001559D7"/>
    <w:rsid w:val="00157AE3"/>
    <w:rsid w:val="0016520F"/>
    <w:rsid w:val="00167436"/>
    <w:rsid w:val="00172579"/>
    <w:rsid w:val="00172B07"/>
    <w:rsid w:val="001744F5"/>
    <w:rsid w:val="00175715"/>
    <w:rsid w:val="0018045E"/>
    <w:rsid w:val="00182217"/>
    <w:rsid w:val="00184232"/>
    <w:rsid w:val="00184604"/>
    <w:rsid w:val="00187153"/>
    <w:rsid w:val="00192E64"/>
    <w:rsid w:val="00193C00"/>
    <w:rsid w:val="001A2DEB"/>
    <w:rsid w:val="001A30FF"/>
    <w:rsid w:val="001A57FD"/>
    <w:rsid w:val="001A7BD0"/>
    <w:rsid w:val="001B0524"/>
    <w:rsid w:val="001B13B9"/>
    <w:rsid w:val="001B1E28"/>
    <w:rsid w:val="001B514E"/>
    <w:rsid w:val="001B5BBC"/>
    <w:rsid w:val="001B7A27"/>
    <w:rsid w:val="001C2816"/>
    <w:rsid w:val="001C2F15"/>
    <w:rsid w:val="001C486C"/>
    <w:rsid w:val="001D0687"/>
    <w:rsid w:val="001D0A44"/>
    <w:rsid w:val="001D0CE1"/>
    <w:rsid w:val="001D1558"/>
    <w:rsid w:val="001D2981"/>
    <w:rsid w:val="001E1E68"/>
    <w:rsid w:val="001E38DE"/>
    <w:rsid w:val="001E39D1"/>
    <w:rsid w:val="001F1509"/>
    <w:rsid w:val="001F1D40"/>
    <w:rsid w:val="001F2351"/>
    <w:rsid w:val="001F255A"/>
    <w:rsid w:val="001F2C30"/>
    <w:rsid w:val="001F49B4"/>
    <w:rsid w:val="001F75FF"/>
    <w:rsid w:val="001F7AB3"/>
    <w:rsid w:val="00200F54"/>
    <w:rsid w:val="00206C4B"/>
    <w:rsid w:val="00207449"/>
    <w:rsid w:val="0020788D"/>
    <w:rsid w:val="00212AE6"/>
    <w:rsid w:val="002152C5"/>
    <w:rsid w:val="00223581"/>
    <w:rsid w:val="00223B35"/>
    <w:rsid w:val="00226451"/>
    <w:rsid w:val="00232E98"/>
    <w:rsid w:val="00233D58"/>
    <w:rsid w:val="00234C3E"/>
    <w:rsid w:val="002375C2"/>
    <w:rsid w:val="00240AA7"/>
    <w:rsid w:val="00241773"/>
    <w:rsid w:val="002501C5"/>
    <w:rsid w:val="00250808"/>
    <w:rsid w:val="00253D36"/>
    <w:rsid w:val="002628C5"/>
    <w:rsid w:val="002630A9"/>
    <w:rsid w:val="002633BE"/>
    <w:rsid w:val="0027024F"/>
    <w:rsid w:val="0027133D"/>
    <w:rsid w:val="00271A9F"/>
    <w:rsid w:val="002721B8"/>
    <w:rsid w:val="00273D55"/>
    <w:rsid w:val="00274C5E"/>
    <w:rsid w:val="002770F1"/>
    <w:rsid w:val="0028190D"/>
    <w:rsid w:val="00282DB4"/>
    <w:rsid w:val="00283677"/>
    <w:rsid w:val="00292650"/>
    <w:rsid w:val="002928D2"/>
    <w:rsid w:val="002949FB"/>
    <w:rsid w:val="0029749C"/>
    <w:rsid w:val="002A60D1"/>
    <w:rsid w:val="002A61BC"/>
    <w:rsid w:val="002B0D69"/>
    <w:rsid w:val="002B288B"/>
    <w:rsid w:val="002B3A38"/>
    <w:rsid w:val="002B5C66"/>
    <w:rsid w:val="002B6F2C"/>
    <w:rsid w:val="002C3B54"/>
    <w:rsid w:val="002C436A"/>
    <w:rsid w:val="002C6677"/>
    <w:rsid w:val="002D30A9"/>
    <w:rsid w:val="002D48F7"/>
    <w:rsid w:val="002E07FE"/>
    <w:rsid w:val="002E4542"/>
    <w:rsid w:val="002E54BE"/>
    <w:rsid w:val="002E56D2"/>
    <w:rsid w:val="002E6BB0"/>
    <w:rsid w:val="002E716A"/>
    <w:rsid w:val="002F0605"/>
    <w:rsid w:val="002F2FCD"/>
    <w:rsid w:val="002F4ACF"/>
    <w:rsid w:val="002F6C06"/>
    <w:rsid w:val="0030305E"/>
    <w:rsid w:val="00304312"/>
    <w:rsid w:val="00304C0C"/>
    <w:rsid w:val="00305616"/>
    <w:rsid w:val="00306A0D"/>
    <w:rsid w:val="00307F4B"/>
    <w:rsid w:val="00310CD3"/>
    <w:rsid w:val="00312440"/>
    <w:rsid w:val="00313C95"/>
    <w:rsid w:val="00314C47"/>
    <w:rsid w:val="0031747D"/>
    <w:rsid w:val="00317649"/>
    <w:rsid w:val="00320F7A"/>
    <w:rsid w:val="003220DD"/>
    <w:rsid w:val="003230BD"/>
    <w:rsid w:val="00323761"/>
    <w:rsid w:val="00323C9D"/>
    <w:rsid w:val="00323F55"/>
    <w:rsid w:val="003276A0"/>
    <w:rsid w:val="00330EDC"/>
    <w:rsid w:val="00332ACA"/>
    <w:rsid w:val="0034043F"/>
    <w:rsid w:val="00343EB7"/>
    <w:rsid w:val="00344007"/>
    <w:rsid w:val="00344EFB"/>
    <w:rsid w:val="00345578"/>
    <w:rsid w:val="00346A11"/>
    <w:rsid w:val="003478AB"/>
    <w:rsid w:val="00357138"/>
    <w:rsid w:val="003604E7"/>
    <w:rsid w:val="0036158B"/>
    <w:rsid w:val="00366125"/>
    <w:rsid w:val="003665F5"/>
    <w:rsid w:val="003671E8"/>
    <w:rsid w:val="0037023B"/>
    <w:rsid w:val="003704A3"/>
    <w:rsid w:val="003729B8"/>
    <w:rsid w:val="00375A0A"/>
    <w:rsid w:val="00387901"/>
    <w:rsid w:val="00387AEA"/>
    <w:rsid w:val="0039401C"/>
    <w:rsid w:val="0039533E"/>
    <w:rsid w:val="003978F2"/>
    <w:rsid w:val="003A03B5"/>
    <w:rsid w:val="003A165E"/>
    <w:rsid w:val="003A3BF4"/>
    <w:rsid w:val="003A4A11"/>
    <w:rsid w:val="003A5C9A"/>
    <w:rsid w:val="003A7F98"/>
    <w:rsid w:val="003B3255"/>
    <w:rsid w:val="003B58DA"/>
    <w:rsid w:val="003B6B72"/>
    <w:rsid w:val="003C08F2"/>
    <w:rsid w:val="003C0D88"/>
    <w:rsid w:val="003D1ACD"/>
    <w:rsid w:val="003D2193"/>
    <w:rsid w:val="003D4C20"/>
    <w:rsid w:val="003E00E1"/>
    <w:rsid w:val="003E32A6"/>
    <w:rsid w:val="003E43BD"/>
    <w:rsid w:val="003E46F0"/>
    <w:rsid w:val="003F6889"/>
    <w:rsid w:val="004005D7"/>
    <w:rsid w:val="00400B13"/>
    <w:rsid w:val="00402133"/>
    <w:rsid w:val="00402181"/>
    <w:rsid w:val="00402417"/>
    <w:rsid w:val="00404367"/>
    <w:rsid w:val="00404DD8"/>
    <w:rsid w:val="004059F8"/>
    <w:rsid w:val="004067E6"/>
    <w:rsid w:val="00411FB4"/>
    <w:rsid w:val="0041291F"/>
    <w:rsid w:val="00412AA3"/>
    <w:rsid w:val="00415169"/>
    <w:rsid w:val="00420479"/>
    <w:rsid w:val="004208EB"/>
    <w:rsid w:val="004226BC"/>
    <w:rsid w:val="00423D02"/>
    <w:rsid w:val="0042596D"/>
    <w:rsid w:val="00427878"/>
    <w:rsid w:val="00427BA8"/>
    <w:rsid w:val="004300C3"/>
    <w:rsid w:val="00430D0E"/>
    <w:rsid w:val="00431A31"/>
    <w:rsid w:val="00434912"/>
    <w:rsid w:val="00435E17"/>
    <w:rsid w:val="00437315"/>
    <w:rsid w:val="00441E1F"/>
    <w:rsid w:val="00441F74"/>
    <w:rsid w:val="00442959"/>
    <w:rsid w:val="004437CD"/>
    <w:rsid w:val="004441CB"/>
    <w:rsid w:val="00446A80"/>
    <w:rsid w:val="00451A78"/>
    <w:rsid w:val="00452B6B"/>
    <w:rsid w:val="00453581"/>
    <w:rsid w:val="00456219"/>
    <w:rsid w:val="004565E3"/>
    <w:rsid w:val="00456A42"/>
    <w:rsid w:val="004579EF"/>
    <w:rsid w:val="00460574"/>
    <w:rsid w:val="00460D49"/>
    <w:rsid w:val="00463846"/>
    <w:rsid w:val="00464461"/>
    <w:rsid w:val="00470C4E"/>
    <w:rsid w:val="004733E6"/>
    <w:rsid w:val="0047397F"/>
    <w:rsid w:val="00473FA5"/>
    <w:rsid w:val="004740E4"/>
    <w:rsid w:val="00475B4E"/>
    <w:rsid w:val="004769A6"/>
    <w:rsid w:val="00480511"/>
    <w:rsid w:val="0048066A"/>
    <w:rsid w:val="00481BA7"/>
    <w:rsid w:val="004834FE"/>
    <w:rsid w:val="0049001A"/>
    <w:rsid w:val="00491881"/>
    <w:rsid w:val="00491CFF"/>
    <w:rsid w:val="004964D3"/>
    <w:rsid w:val="004A014D"/>
    <w:rsid w:val="004A06D6"/>
    <w:rsid w:val="004A1703"/>
    <w:rsid w:val="004A1C76"/>
    <w:rsid w:val="004A20EC"/>
    <w:rsid w:val="004A3D64"/>
    <w:rsid w:val="004A4738"/>
    <w:rsid w:val="004A48A5"/>
    <w:rsid w:val="004B4646"/>
    <w:rsid w:val="004B485A"/>
    <w:rsid w:val="004B5732"/>
    <w:rsid w:val="004B577F"/>
    <w:rsid w:val="004B62DF"/>
    <w:rsid w:val="004C062C"/>
    <w:rsid w:val="004C2861"/>
    <w:rsid w:val="004C358B"/>
    <w:rsid w:val="004D061E"/>
    <w:rsid w:val="004D0C90"/>
    <w:rsid w:val="004D3B28"/>
    <w:rsid w:val="004E35C1"/>
    <w:rsid w:val="004E37C7"/>
    <w:rsid w:val="00502BDA"/>
    <w:rsid w:val="00510176"/>
    <w:rsid w:val="00510532"/>
    <w:rsid w:val="0051183E"/>
    <w:rsid w:val="00511B5D"/>
    <w:rsid w:val="005132AB"/>
    <w:rsid w:val="005133DB"/>
    <w:rsid w:val="00515988"/>
    <w:rsid w:val="005223AF"/>
    <w:rsid w:val="00524407"/>
    <w:rsid w:val="0052661D"/>
    <w:rsid w:val="005274F7"/>
    <w:rsid w:val="00531387"/>
    <w:rsid w:val="005356D5"/>
    <w:rsid w:val="00537920"/>
    <w:rsid w:val="00540370"/>
    <w:rsid w:val="00540D4C"/>
    <w:rsid w:val="00540F8A"/>
    <w:rsid w:val="00542C80"/>
    <w:rsid w:val="005437CD"/>
    <w:rsid w:val="00544AC9"/>
    <w:rsid w:val="00545733"/>
    <w:rsid w:val="00552B11"/>
    <w:rsid w:val="005554FE"/>
    <w:rsid w:val="00556850"/>
    <w:rsid w:val="0055748E"/>
    <w:rsid w:val="00560AFF"/>
    <w:rsid w:val="00560DD7"/>
    <w:rsid w:val="00562573"/>
    <w:rsid w:val="00562FCA"/>
    <w:rsid w:val="00564334"/>
    <w:rsid w:val="00565D92"/>
    <w:rsid w:val="005672A7"/>
    <w:rsid w:val="0056737C"/>
    <w:rsid w:val="00571931"/>
    <w:rsid w:val="00580384"/>
    <w:rsid w:val="00580A49"/>
    <w:rsid w:val="00585035"/>
    <w:rsid w:val="005876C0"/>
    <w:rsid w:val="00587770"/>
    <w:rsid w:val="00592B49"/>
    <w:rsid w:val="0059376D"/>
    <w:rsid w:val="0059507F"/>
    <w:rsid w:val="00595EBC"/>
    <w:rsid w:val="00597004"/>
    <w:rsid w:val="005A0862"/>
    <w:rsid w:val="005A1DCF"/>
    <w:rsid w:val="005A3A80"/>
    <w:rsid w:val="005A471E"/>
    <w:rsid w:val="005B03CE"/>
    <w:rsid w:val="005B5733"/>
    <w:rsid w:val="005C04EA"/>
    <w:rsid w:val="005C57C0"/>
    <w:rsid w:val="005C6EF4"/>
    <w:rsid w:val="005C743E"/>
    <w:rsid w:val="005D1C5F"/>
    <w:rsid w:val="005D45D4"/>
    <w:rsid w:val="005D6F65"/>
    <w:rsid w:val="005E2C63"/>
    <w:rsid w:val="005E51D0"/>
    <w:rsid w:val="005E73B5"/>
    <w:rsid w:val="005F351D"/>
    <w:rsid w:val="005F5671"/>
    <w:rsid w:val="00601078"/>
    <w:rsid w:val="0060121E"/>
    <w:rsid w:val="006019D8"/>
    <w:rsid w:val="00602598"/>
    <w:rsid w:val="00607057"/>
    <w:rsid w:val="00611C0C"/>
    <w:rsid w:val="00614F9D"/>
    <w:rsid w:val="006153AA"/>
    <w:rsid w:val="006166C4"/>
    <w:rsid w:val="00617FD6"/>
    <w:rsid w:val="00620C09"/>
    <w:rsid w:val="00624476"/>
    <w:rsid w:val="00625859"/>
    <w:rsid w:val="00626831"/>
    <w:rsid w:val="006276AE"/>
    <w:rsid w:val="00627C2B"/>
    <w:rsid w:val="00640747"/>
    <w:rsid w:val="00645C25"/>
    <w:rsid w:val="00650433"/>
    <w:rsid w:val="00650F5A"/>
    <w:rsid w:val="00652226"/>
    <w:rsid w:val="0065252F"/>
    <w:rsid w:val="00653C2D"/>
    <w:rsid w:val="00670E3F"/>
    <w:rsid w:val="00674BE6"/>
    <w:rsid w:val="00677436"/>
    <w:rsid w:val="006777FC"/>
    <w:rsid w:val="00677E95"/>
    <w:rsid w:val="00683B46"/>
    <w:rsid w:val="00693DF3"/>
    <w:rsid w:val="00694875"/>
    <w:rsid w:val="00696A16"/>
    <w:rsid w:val="006A0A40"/>
    <w:rsid w:val="006A10CF"/>
    <w:rsid w:val="006A2829"/>
    <w:rsid w:val="006A5A51"/>
    <w:rsid w:val="006B044A"/>
    <w:rsid w:val="006B0BE4"/>
    <w:rsid w:val="006B0F5D"/>
    <w:rsid w:val="006B297E"/>
    <w:rsid w:val="006B51C9"/>
    <w:rsid w:val="006B601F"/>
    <w:rsid w:val="006B7E78"/>
    <w:rsid w:val="006D34CA"/>
    <w:rsid w:val="006D5754"/>
    <w:rsid w:val="006D5959"/>
    <w:rsid w:val="006D61FF"/>
    <w:rsid w:val="006D6AC7"/>
    <w:rsid w:val="006D768E"/>
    <w:rsid w:val="006E2068"/>
    <w:rsid w:val="006E279A"/>
    <w:rsid w:val="006E3211"/>
    <w:rsid w:val="006E71AC"/>
    <w:rsid w:val="006E79F3"/>
    <w:rsid w:val="006E7F11"/>
    <w:rsid w:val="006F0894"/>
    <w:rsid w:val="006F19FC"/>
    <w:rsid w:val="006F204A"/>
    <w:rsid w:val="006F21C2"/>
    <w:rsid w:val="006F3CD1"/>
    <w:rsid w:val="006F5CB4"/>
    <w:rsid w:val="0070128F"/>
    <w:rsid w:val="007024CD"/>
    <w:rsid w:val="007037E3"/>
    <w:rsid w:val="00703ECC"/>
    <w:rsid w:val="007050B9"/>
    <w:rsid w:val="00706165"/>
    <w:rsid w:val="00706B78"/>
    <w:rsid w:val="00712689"/>
    <w:rsid w:val="00714851"/>
    <w:rsid w:val="00715100"/>
    <w:rsid w:val="00716926"/>
    <w:rsid w:val="00716A7B"/>
    <w:rsid w:val="007175FC"/>
    <w:rsid w:val="00717A16"/>
    <w:rsid w:val="00720392"/>
    <w:rsid w:val="00723C62"/>
    <w:rsid w:val="00724264"/>
    <w:rsid w:val="007263EE"/>
    <w:rsid w:val="00726729"/>
    <w:rsid w:val="007300E0"/>
    <w:rsid w:val="00730A5B"/>
    <w:rsid w:val="00734226"/>
    <w:rsid w:val="00737A07"/>
    <w:rsid w:val="00740369"/>
    <w:rsid w:val="007467AE"/>
    <w:rsid w:val="00746843"/>
    <w:rsid w:val="00750C9A"/>
    <w:rsid w:val="0075176D"/>
    <w:rsid w:val="0075510B"/>
    <w:rsid w:val="00755868"/>
    <w:rsid w:val="00756F05"/>
    <w:rsid w:val="0075738A"/>
    <w:rsid w:val="00760279"/>
    <w:rsid w:val="00760717"/>
    <w:rsid w:val="00763A24"/>
    <w:rsid w:val="00771E50"/>
    <w:rsid w:val="00780624"/>
    <w:rsid w:val="00781FDA"/>
    <w:rsid w:val="00783200"/>
    <w:rsid w:val="0078720E"/>
    <w:rsid w:val="007878AB"/>
    <w:rsid w:val="00794990"/>
    <w:rsid w:val="007A33DA"/>
    <w:rsid w:val="007A3AF8"/>
    <w:rsid w:val="007A57C1"/>
    <w:rsid w:val="007A6BA0"/>
    <w:rsid w:val="007B3179"/>
    <w:rsid w:val="007B4A17"/>
    <w:rsid w:val="007C06F6"/>
    <w:rsid w:val="007C6A56"/>
    <w:rsid w:val="007D0DFB"/>
    <w:rsid w:val="007D1755"/>
    <w:rsid w:val="007D1ABF"/>
    <w:rsid w:val="007D1B26"/>
    <w:rsid w:val="007D33B7"/>
    <w:rsid w:val="007D3609"/>
    <w:rsid w:val="007D366D"/>
    <w:rsid w:val="007D3906"/>
    <w:rsid w:val="007E1338"/>
    <w:rsid w:val="007E18EC"/>
    <w:rsid w:val="007E1B84"/>
    <w:rsid w:val="007E2937"/>
    <w:rsid w:val="007E3543"/>
    <w:rsid w:val="007E3830"/>
    <w:rsid w:val="007E3F53"/>
    <w:rsid w:val="007E4530"/>
    <w:rsid w:val="007E49F9"/>
    <w:rsid w:val="007E4DEB"/>
    <w:rsid w:val="007F1E9D"/>
    <w:rsid w:val="007F2359"/>
    <w:rsid w:val="007F3046"/>
    <w:rsid w:val="007F373E"/>
    <w:rsid w:val="008001BF"/>
    <w:rsid w:val="00800E67"/>
    <w:rsid w:val="00801D17"/>
    <w:rsid w:val="00803313"/>
    <w:rsid w:val="0080597D"/>
    <w:rsid w:val="008079C1"/>
    <w:rsid w:val="00810313"/>
    <w:rsid w:val="0081173E"/>
    <w:rsid w:val="00813D0C"/>
    <w:rsid w:val="0081676A"/>
    <w:rsid w:val="00830778"/>
    <w:rsid w:val="00830F24"/>
    <w:rsid w:val="0083524D"/>
    <w:rsid w:val="00837637"/>
    <w:rsid w:val="00842884"/>
    <w:rsid w:val="00842CF0"/>
    <w:rsid w:val="00843137"/>
    <w:rsid w:val="00843719"/>
    <w:rsid w:val="00844976"/>
    <w:rsid w:val="008474F4"/>
    <w:rsid w:val="008522D3"/>
    <w:rsid w:val="00853238"/>
    <w:rsid w:val="00857704"/>
    <w:rsid w:val="008608FF"/>
    <w:rsid w:val="008610BF"/>
    <w:rsid w:val="00861CD9"/>
    <w:rsid w:val="00866419"/>
    <w:rsid w:val="0087632F"/>
    <w:rsid w:val="008802A2"/>
    <w:rsid w:val="0088157B"/>
    <w:rsid w:val="00881913"/>
    <w:rsid w:val="0088751B"/>
    <w:rsid w:val="00890784"/>
    <w:rsid w:val="00895E85"/>
    <w:rsid w:val="008960C8"/>
    <w:rsid w:val="00896832"/>
    <w:rsid w:val="008977F7"/>
    <w:rsid w:val="008A1452"/>
    <w:rsid w:val="008A3024"/>
    <w:rsid w:val="008A67FD"/>
    <w:rsid w:val="008A79D9"/>
    <w:rsid w:val="008A7D49"/>
    <w:rsid w:val="008B0013"/>
    <w:rsid w:val="008B5F3C"/>
    <w:rsid w:val="008C0363"/>
    <w:rsid w:val="008C3744"/>
    <w:rsid w:val="008C5F50"/>
    <w:rsid w:val="008D54A7"/>
    <w:rsid w:val="008D6579"/>
    <w:rsid w:val="008D7D7D"/>
    <w:rsid w:val="008E18FF"/>
    <w:rsid w:val="008E39AD"/>
    <w:rsid w:val="008F1D03"/>
    <w:rsid w:val="008F253D"/>
    <w:rsid w:val="008F298B"/>
    <w:rsid w:val="008F38E6"/>
    <w:rsid w:val="008F3EEE"/>
    <w:rsid w:val="008F6134"/>
    <w:rsid w:val="0090285E"/>
    <w:rsid w:val="0090324C"/>
    <w:rsid w:val="009036B2"/>
    <w:rsid w:val="009047C3"/>
    <w:rsid w:val="00910FB9"/>
    <w:rsid w:val="009113D1"/>
    <w:rsid w:val="00912C5C"/>
    <w:rsid w:val="0091465B"/>
    <w:rsid w:val="00917EB2"/>
    <w:rsid w:val="00925BD1"/>
    <w:rsid w:val="00927809"/>
    <w:rsid w:val="00942A18"/>
    <w:rsid w:val="009445CF"/>
    <w:rsid w:val="00955327"/>
    <w:rsid w:val="00957202"/>
    <w:rsid w:val="00960207"/>
    <w:rsid w:val="00960A7D"/>
    <w:rsid w:val="00961AC7"/>
    <w:rsid w:val="00962D0F"/>
    <w:rsid w:val="0096783A"/>
    <w:rsid w:val="00975E9D"/>
    <w:rsid w:val="00977920"/>
    <w:rsid w:val="00977C68"/>
    <w:rsid w:val="00981EC2"/>
    <w:rsid w:val="00986B33"/>
    <w:rsid w:val="00987AD5"/>
    <w:rsid w:val="009977DF"/>
    <w:rsid w:val="009A04FD"/>
    <w:rsid w:val="009A2526"/>
    <w:rsid w:val="009A5748"/>
    <w:rsid w:val="009A7CE6"/>
    <w:rsid w:val="009B1049"/>
    <w:rsid w:val="009B10C3"/>
    <w:rsid w:val="009B299F"/>
    <w:rsid w:val="009B2B10"/>
    <w:rsid w:val="009B4AC7"/>
    <w:rsid w:val="009B6EEA"/>
    <w:rsid w:val="009B7138"/>
    <w:rsid w:val="009B7270"/>
    <w:rsid w:val="009B7907"/>
    <w:rsid w:val="009C30AB"/>
    <w:rsid w:val="009C693C"/>
    <w:rsid w:val="009C6A61"/>
    <w:rsid w:val="009C7CFE"/>
    <w:rsid w:val="009D1EA6"/>
    <w:rsid w:val="009D372B"/>
    <w:rsid w:val="009D5DC6"/>
    <w:rsid w:val="009E44EB"/>
    <w:rsid w:val="009F00E4"/>
    <w:rsid w:val="009F0536"/>
    <w:rsid w:val="009F7F44"/>
    <w:rsid w:val="00A07418"/>
    <w:rsid w:val="00A10692"/>
    <w:rsid w:val="00A13125"/>
    <w:rsid w:val="00A14E82"/>
    <w:rsid w:val="00A1537A"/>
    <w:rsid w:val="00A1642E"/>
    <w:rsid w:val="00A172D3"/>
    <w:rsid w:val="00A20800"/>
    <w:rsid w:val="00A22F24"/>
    <w:rsid w:val="00A25B64"/>
    <w:rsid w:val="00A311F0"/>
    <w:rsid w:val="00A31C54"/>
    <w:rsid w:val="00A4287E"/>
    <w:rsid w:val="00A4291C"/>
    <w:rsid w:val="00A439A2"/>
    <w:rsid w:val="00A449C4"/>
    <w:rsid w:val="00A53007"/>
    <w:rsid w:val="00A60DFA"/>
    <w:rsid w:val="00A630C6"/>
    <w:rsid w:val="00A64CCB"/>
    <w:rsid w:val="00A67F85"/>
    <w:rsid w:val="00A70449"/>
    <w:rsid w:val="00A727BE"/>
    <w:rsid w:val="00A72C5F"/>
    <w:rsid w:val="00A81B11"/>
    <w:rsid w:val="00A81E2A"/>
    <w:rsid w:val="00AA1554"/>
    <w:rsid w:val="00AA4F4E"/>
    <w:rsid w:val="00AB15EE"/>
    <w:rsid w:val="00AB59DF"/>
    <w:rsid w:val="00AB7503"/>
    <w:rsid w:val="00AC3C1C"/>
    <w:rsid w:val="00AC57CB"/>
    <w:rsid w:val="00AC6D83"/>
    <w:rsid w:val="00AD0EE5"/>
    <w:rsid w:val="00AD73D2"/>
    <w:rsid w:val="00AD7699"/>
    <w:rsid w:val="00AE06A3"/>
    <w:rsid w:val="00AE0EBC"/>
    <w:rsid w:val="00AE31D2"/>
    <w:rsid w:val="00AE493D"/>
    <w:rsid w:val="00AE59A2"/>
    <w:rsid w:val="00AE679B"/>
    <w:rsid w:val="00AF241D"/>
    <w:rsid w:val="00AF48B5"/>
    <w:rsid w:val="00AF6176"/>
    <w:rsid w:val="00AF6D8F"/>
    <w:rsid w:val="00B0393F"/>
    <w:rsid w:val="00B03998"/>
    <w:rsid w:val="00B07028"/>
    <w:rsid w:val="00B13727"/>
    <w:rsid w:val="00B139C0"/>
    <w:rsid w:val="00B1688D"/>
    <w:rsid w:val="00B200F3"/>
    <w:rsid w:val="00B21C2C"/>
    <w:rsid w:val="00B23F6E"/>
    <w:rsid w:val="00B23FC9"/>
    <w:rsid w:val="00B2488D"/>
    <w:rsid w:val="00B330D0"/>
    <w:rsid w:val="00B44AED"/>
    <w:rsid w:val="00B44BC8"/>
    <w:rsid w:val="00B50925"/>
    <w:rsid w:val="00B53BE9"/>
    <w:rsid w:val="00B5505E"/>
    <w:rsid w:val="00B56EA9"/>
    <w:rsid w:val="00B61230"/>
    <w:rsid w:val="00B61828"/>
    <w:rsid w:val="00B62343"/>
    <w:rsid w:val="00B6522F"/>
    <w:rsid w:val="00B67C63"/>
    <w:rsid w:val="00B72F47"/>
    <w:rsid w:val="00B77BCD"/>
    <w:rsid w:val="00B852FF"/>
    <w:rsid w:val="00B86913"/>
    <w:rsid w:val="00B915D7"/>
    <w:rsid w:val="00B91DAB"/>
    <w:rsid w:val="00B92251"/>
    <w:rsid w:val="00B941D6"/>
    <w:rsid w:val="00B94C23"/>
    <w:rsid w:val="00B9500B"/>
    <w:rsid w:val="00B955A7"/>
    <w:rsid w:val="00BA0021"/>
    <w:rsid w:val="00BA3677"/>
    <w:rsid w:val="00BA4974"/>
    <w:rsid w:val="00BA65F8"/>
    <w:rsid w:val="00BA69CB"/>
    <w:rsid w:val="00BA7BCF"/>
    <w:rsid w:val="00BB00D7"/>
    <w:rsid w:val="00BB2DD1"/>
    <w:rsid w:val="00BB4B6C"/>
    <w:rsid w:val="00BB6FFA"/>
    <w:rsid w:val="00BB701D"/>
    <w:rsid w:val="00BC0EC0"/>
    <w:rsid w:val="00BC2243"/>
    <w:rsid w:val="00BC42E4"/>
    <w:rsid w:val="00BC4734"/>
    <w:rsid w:val="00BC4BC3"/>
    <w:rsid w:val="00BC5394"/>
    <w:rsid w:val="00BD2147"/>
    <w:rsid w:val="00BD48DC"/>
    <w:rsid w:val="00BD597D"/>
    <w:rsid w:val="00BD6894"/>
    <w:rsid w:val="00BD725F"/>
    <w:rsid w:val="00BD7B2C"/>
    <w:rsid w:val="00BE246D"/>
    <w:rsid w:val="00BE25F3"/>
    <w:rsid w:val="00BE2C25"/>
    <w:rsid w:val="00BE5BAD"/>
    <w:rsid w:val="00BE7AE3"/>
    <w:rsid w:val="00BF0263"/>
    <w:rsid w:val="00BF1546"/>
    <w:rsid w:val="00BF17AA"/>
    <w:rsid w:val="00BF2202"/>
    <w:rsid w:val="00BF28DD"/>
    <w:rsid w:val="00BF2F41"/>
    <w:rsid w:val="00BF5619"/>
    <w:rsid w:val="00C012D8"/>
    <w:rsid w:val="00C02F17"/>
    <w:rsid w:val="00C06094"/>
    <w:rsid w:val="00C069BF"/>
    <w:rsid w:val="00C16FE8"/>
    <w:rsid w:val="00C21538"/>
    <w:rsid w:val="00C2166C"/>
    <w:rsid w:val="00C22E83"/>
    <w:rsid w:val="00C238AC"/>
    <w:rsid w:val="00C24556"/>
    <w:rsid w:val="00C25B84"/>
    <w:rsid w:val="00C277B4"/>
    <w:rsid w:val="00C35E24"/>
    <w:rsid w:val="00C402D1"/>
    <w:rsid w:val="00C43A76"/>
    <w:rsid w:val="00C445D6"/>
    <w:rsid w:val="00C509FD"/>
    <w:rsid w:val="00C526BD"/>
    <w:rsid w:val="00C54150"/>
    <w:rsid w:val="00C55072"/>
    <w:rsid w:val="00C5714C"/>
    <w:rsid w:val="00C60133"/>
    <w:rsid w:val="00C61D48"/>
    <w:rsid w:val="00C629DD"/>
    <w:rsid w:val="00C639F9"/>
    <w:rsid w:val="00C6506C"/>
    <w:rsid w:val="00C679A0"/>
    <w:rsid w:val="00C67A11"/>
    <w:rsid w:val="00C70EB7"/>
    <w:rsid w:val="00C7279C"/>
    <w:rsid w:val="00C758C8"/>
    <w:rsid w:val="00C77667"/>
    <w:rsid w:val="00C8510D"/>
    <w:rsid w:val="00C863B7"/>
    <w:rsid w:val="00C86A9D"/>
    <w:rsid w:val="00C87088"/>
    <w:rsid w:val="00C90CA7"/>
    <w:rsid w:val="00C92D15"/>
    <w:rsid w:val="00C94E7C"/>
    <w:rsid w:val="00C951F0"/>
    <w:rsid w:val="00CA50D1"/>
    <w:rsid w:val="00CB1276"/>
    <w:rsid w:val="00CB15C6"/>
    <w:rsid w:val="00CB30CE"/>
    <w:rsid w:val="00CB624D"/>
    <w:rsid w:val="00CB6FFD"/>
    <w:rsid w:val="00CB729D"/>
    <w:rsid w:val="00CC2B4A"/>
    <w:rsid w:val="00CC2EFA"/>
    <w:rsid w:val="00CC304F"/>
    <w:rsid w:val="00CC4136"/>
    <w:rsid w:val="00CC4FF0"/>
    <w:rsid w:val="00CC7636"/>
    <w:rsid w:val="00CC764A"/>
    <w:rsid w:val="00CC7818"/>
    <w:rsid w:val="00CC7FEC"/>
    <w:rsid w:val="00CD003C"/>
    <w:rsid w:val="00CD1A1F"/>
    <w:rsid w:val="00CD2494"/>
    <w:rsid w:val="00CD5412"/>
    <w:rsid w:val="00CD7053"/>
    <w:rsid w:val="00CD7C0A"/>
    <w:rsid w:val="00CE0497"/>
    <w:rsid w:val="00CE0E77"/>
    <w:rsid w:val="00CE13E0"/>
    <w:rsid w:val="00CE2106"/>
    <w:rsid w:val="00CE3378"/>
    <w:rsid w:val="00CE36B2"/>
    <w:rsid w:val="00CE3C16"/>
    <w:rsid w:val="00CE7B8C"/>
    <w:rsid w:val="00CF3F50"/>
    <w:rsid w:val="00CF723A"/>
    <w:rsid w:val="00D0092B"/>
    <w:rsid w:val="00D051FC"/>
    <w:rsid w:val="00D06E25"/>
    <w:rsid w:val="00D10DC8"/>
    <w:rsid w:val="00D162BF"/>
    <w:rsid w:val="00D16C70"/>
    <w:rsid w:val="00D21C98"/>
    <w:rsid w:val="00D261BA"/>
    <w:rsid w:val="00D300DC"/>
    <w:rsid w:val="00D30ECF"/>
    <w:rsid w:val="00D327AF"/>
    <w:rsid w:val="00D34155"/>
    <w:rsid w:val="00D37338"/>
    <w:rsid w:val="00D40946"/>
    <w:rsid w:val="00D40EE7"/>
    <w:rsid w:val="00D41BF8"/>
    <w:rsid w:val="00D43497"/>
    <w:rsid w:val="00D435BD"/>
    <w:rsid w:val="00D465D6"/>
    <w:rsid w:val="00D5073D"/>
    <w:rsid w:val="00D52630"/>
    <w:rsid w:val="00D54883"/>
    <w:rsid w:val="00D54B86"/>
    <w:rsid w:val="00D56182"/>
    <w:rsid w:val="00D64EDF"/>
    <w:rsid w:val="00D66E8E"/>
    <w:rsid w:val="00D71646"/>
    <w:rsid w:val="00D76DBC"/>
    <w:rsid w:val="00D77BFE"/>
    <w:rsid w:val="00D80CDC"/>
    <w:rsid w:val="00D812E1"/>
    <w:rsid w:val="00D81962"/>
    <w:rsid w:val="00D83702"/>
    <w:rsid w:val="00D83C00"/>
    <w:rsid w:val="00D86165"/>
    <w:rsid w:val="00D92585"/>
    <w:rsid w:val="00D93B02"/>
    <w:rsid w:val="00D93C07"/>
    <w:rsid w:val="00DA09F3"/>
    <w:rsid w:val="00DA1EC9"/>
    <w:rsid w:val="00DA28F2"/>
    <w:rsid w:val="00DA5E76"/>
    <w:rsid w:val="00DA639F"/>
    <w:rsid w:val="00DA67B8"/>
    <w:rsid w:val="00DB116F"/>
    <w:rsid w:val="00DB376C"/>
    <w:rsid w:val="00DB45BC"/>
    <w:rsid w:val="00DB614F"/>
    <w:rsid w:val="00DC0F8B"/>
    <w:rsid w:val="00DC1EBC"/>
    <w:rsid w:val="00DC2273"/>
    <w:rsid w:val="00DC4ECD"/>
    <w:rsid w:val="00DC7506"/>
    <w:rsid w:val="00DD0A9C"/>
    <w:rsid w:val="00DD2056"/>
    <w:rsid w:val="00DD5BC8"/>
    <w:rsid w:val="00DE3D7A"/>
    <w:rsid w:val="00DE5814"/>
    <w:rsid w:val="00DE7677"/>
    <w:rsid w:val="00DE7DC4"/>
    <w:rsid w:val="00DF3E6D"/>
    <w:rsid w:val="00E029C2"/>
    <w:rsid w:val="00E02C80"/>
    <w:rsid w:val="00E04BBF"/>
    <w:rsid w:val="00E064CF"/>
    <w:rsid w:val="00E07349"/>
    <w:rsid w:val="00E07514"/>
    <w:rsid w:val="00E10E21"/>
    <w:rsid w:val="00E12ADF"/>
    <w:rsid w:val="00E149A1"/>
    <w:rsid w:val="00E1737C"/>
    <w:rsid w:val="00E239C0"/>
    <w:rsid w:val="00E23FB2"/>
    <w:rsid w:val="00E24F95"/>
    <w:rsid w:val="00E33D22"/>
    <w:rsid w:val="00E3423C"/>
    <w:rsid w:val="00E425E0"/>
    <w:rsid w:val="00E43A2C"/>
    <w:rsid w:val="00E44DB5"/>
    <w:rsid w:val="00E45067"/>
    <w:rsid w:val="00E46940"/>
    <w:rsid w:val="00E46991"/>
    <w:rsid w:val="00E4735C"/>
    <w:rsid w:val="00E62491"/>
    <w:rsid w:val="00E64B02"/>
    <w:rsid w:val="00E64CD7"/>
    <w:rsid w:val="00E65267"/>
    <w:rsid w:val="00E66E73"/>
    <w:rsid w:val="00E66F6A"/>
    <w:rsid w:val="00E7077B"/>
    <w:rsid w:val="00E70FB3"/>
    <w:rsid w:val="00E71A90"/>
    <w:rsid w:val="00E76D9F"/>
    <w:rsid w:val="00E77945"/>
    <w:rsid w:val="00E8063E"/>
    <w:rsid w:val="00E827D0"/>
    <w:rsid w:val="00E84B97"/>
    <w:rsid w:val="00E84EDF"/>
    <w:rsid w:val="00E928DD"/>
    <w:rsid w:val="00EA7A08"/>
    <w:rsid w:val="00EA7A22"/>
    <w:rsid w:val="00EB0FD8"/>
    <w:rsid w:val="00EB388C"/>
    <w:rsid w:val="00EB45B9"/>
    <w:rsid w:val="00EB639D"/>
    <w:rsid w:val="00EC0C8E"/>
    <w:rsid w:val="00EC21C7"/>
    <w:rsid w:val="00EC29E5"/>
    <w:rsid w:val="00EC641E"/>
    <w:rsid w:val="00EC659C"/>
    <w:rsid w:val="00EC6E5F"/>
    <w:rsid w:val="00ED07C0"/>
    <w:rsid w:val="00ED126E"/>
    <w:rsid w:val="00ED2960"/>
    <w:rsid w:val="00ED7069"/>
    <w:rsid w:val="00EE01FB"/>
    <w:rsid w:val="00EE228E"/>
    <w:rsid w:val="00EE2838"/>
    <w:rsid w:val="00EE38E7"/>
    <w:rsid w:val="00EE472C"/>
    <w:rsid w:val="00EE6A7D"/>
    <w:rsid w:val="00EF17A5"/>
    <w:rsid w:val="00EF3A3D"/>
    <w:rsid w:val="00EF462E"/>
    <w:rsid w:val="00F02E25"/>
    <w:rsid w:val="00F03078"/>
    <w:rsid w:val="00F03292"/>
    <w:rsid w:val="00F0648B"/>
    <w:rsid w:val="00F076CD"/>
    <w:rsid w:val="00F11A3E"/>
    <w:rsid w:val="00F1392C"/>
    <w:rsid w:val="00F145DA"/>
    <w:rsid w:val="00F158BD"/>
    <w:rsid w:val="00F1590E"/>
    <w:rsid w:val="00F15F34"/>
    <w:rsid w:val="00F15FA8"/>
    <w:rsid w:val="00F20062"/>
    <w:rsid w:val="00F21782"/>
    <w:rsid w:val="00F266C4"/>
    <w:rsid w:val="00F322E0"/>
    <w:rsid w:val="00F32D51"/>
    <w:rsid w:val="00F37120"/>
    <w:rsid w:val="00F44921"/>
    <w:rsid w:val="00F45E54"/>
    <w:rsid w:val="00F4652D"/>
    <w:rsid w:val="00F52B7C"/>
    <w:rsid w:val="00F533F8"/>
    <w:rsid w:val="00F6014B"/>
    <w:rsid w:val="00F610B2"/>
    <w:rsid w:val="00F61C1D"/>
    <w:rsid w:val="00F6694F"/>
    <w:rsid w:val="00F70533"/>
    <w:rsid w:val="00F71219"/>
    <w:rsid w:val="00F72FE9"/>
    <w:rsid w:val="00F741D4"/>
    <w:rsid w:val="00F7627F"/>
    <w:rsid w:val="00F76DD7"/>
    <w:rsid w:val="00F77853"/>
    <w:rsid w:val="00F806C8"/>
    <w:rsid w:val="00F806E6"/>
    <w:rsid w:val="00F80F86"/>
    <w:rsid w:val="00F82897"/>
    <w:rsid w:val="00F8521E"/>
    <w:rsid w:val="00F902BD"/>
    <w:rsid w:val="00F90D74"/>
    <w:rsid w:val="00F93665"/>
    <w:rsid w:val="00F93F77"/>
    <w:rsid w:val="00F953B9"/>
    <w:rsid w:val="00F969ED"/>
    <w:rsid w:val="00F96FE0"/>
    <w:rsid w:val="00FB1AAE"/>
    <w:rsid w:val="00FB2B94"/>
    <w:rsid w:val="00FB3FD5"/>
    <w:rsid w:val="00FC20DC"/>
    <w:rsid w:val="00FC7ADD"/>
    <w:rsid w:val="00FD063D"/>
    <w:rsid w:val="00FD17C3"/>
    <w:rsid w:val="00FD2B02"/>
    <w:rsid w:val="00FD468B"/>
    <w:rsid w:val="00FD641A"/>
    <w:rsid w:val="00FD6F05"/>
    <w:rsid w:val="00FD7655"/>
    <w:rsid w:val="00FD799B"/>
    <w:rsid w:val="00FE749F"/>
    <w:rsid w:val="00FF0014"/>
    <w:rsid w:val="00FF21B9"/>
    <w:rsid w:val="00FF45F6"/>
    <w:rsid w:val="00FF5A9C"/>
    <w:rsid w:val="00FF7BDC"/>
    <w:rsid w:val="07B36305"/>
    <w:rsid w:val="0C4A2F66"/>
    <w:rsid w:val="1DBC3302"/>
    <w:rsid w:val="3927594B"/>
    <w:rsid w:val="44A8B96D"/>
    <w:rsid w:val="5CD30D56"/>
    <w:rsid w:val="627B65FE"/>
    <w:rsid w:val="66A669F5"/>
    <w:rsid w:val="6BB9A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6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6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68"/>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6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A4287E"/>
    <w:pPr>
      <w:keepNext/>
      <w:numPr>
        <w:ilvl w:val="4"/>
        <w:numId w:val="68"/>
      </w:numPr>
      <w:outlineLvl w:val="4"/>
    </w:pPr>
    <w:rPr>
      <w:rFonts w:eastAsiaTheme="majorEastAsia"/>
    </w:rPr>
  </w:style>
  <w:style w:type="paragraph" w:styleId="Heading6">
    <w:name w:val="heading 6"/>
    <w:basedOn w:val="Normal"/>
    <w:next w:val="Text2"/>
    <w:link w:val="Heading6Char"/>
    <w:uiPriority w:val="9"/>
    <w:semiHidden/>
    <w:unhideWhenUsed/>
    <w:qFormat/>
    <w:rsid w:val="00A4287E"/>
    <w:pPr>
      <w:keepNext/>
      <w:numPr>
        <w:ilvl w:val="5"/>
        <w:numId w:val="68"/>
      </w:numPr>
      <w:outlineLvl w:val="5"/>
    </w:pPr>
    <w:rPr>
      <w:rFonts w:eastAsiaTheme="majorEastAsia"/>
      <w:iCs/>
    </w:rPr>
  </w:style>
  <w:style w:type="paragraph" w:styleId="Heading7">
    <w:name w:val="heading 7"/>
    <w:basedOn w:val="Normal"/>
    <w:next w:val="Text2"/>
    <w:link w:val="Heading7Char"/>
    <w:uiPriority w:val="9"/>
    <w:semiHidden/>
    <w:unhideWhenUsed/>
    <w:qFormat/>
    <w:rsid w:val="00A4287E"/>
    <w:pPr>
      <w:keepNext/>
      <w:numPr>
        <w:ilvl w:val="6"/>
        <w:numId w:val="6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571931"/>
    <w:pPr>
      <w:numPr>
        <w:numId w:val="1"/>
      </w:numPr>
      <w:contextualSpacing/>
    </w:pPr>
  </w:style>
  <w:style w:type="paragraph" w:styleId="ListBullet2">
    <w:name w:val="List Bullet 2"/>
    <w:basedOn w:val="Normal"/>
    <w:unhideWhenUsed/>
    <w:rsid w:val="00571931"/>
    <w:pPr>
      <w:numPr>
        <w:numId w:val="2"/>
      </w:numPr>
      <w:contextualSpacing/>
    </w:pPr>
  </w:style>
  <w:style w:type="paragraph" w:styleId="ListBullet3">
    <w:name w:val="List Bullet 3"/>
    <w:basedOn w:val="Normal"/>
    <w:unhideWhenUsed/>
    <w:rsid w:val="00571931"/>
    <w:pPr>
      <w:numPr>
        <w:numId w:val="3"/>
      </w:numPr>
      <w:contextualSpacing/>
    </w:pPr>
  </w:style>
  <w:style w:type="paragraph" w:styleId="ListBullet4">
    <w:name w:val="List Bullet 4"/>
    <w:basedOn w:val="Normal"/>
    <w:unhideWhenUsed/>
    <w:rsid w:val="00571931"/>
    <w:pPr>
      <w:numPr>
        <w:numId w:val="4"/>
      </w:numPr>
      <w:contextualSpacing/>
    </w:pPr>
  </w:style>
  <w:style w:type="paragraph" w:styleId="ListParagraph">
    <w:name w:val="List Paragraph"/>
    <w:basedOn w:val="Normal"/>
    <w:uiPriority w:val="34"/>
    <w:qFormat/>
    <w:rsid w:val="009B6EEA"/>
    <w:pPr>
      <w:ind w:left="720"/>
      <w:contextualSpacing/>
    </w:pPr>
  </w:style>
  <w:style w:type="paragraph" w:customStyle="1" w:styleId="Titre">
    <w:name w:val="Titre"/>
    <w:basedOn w:val="Titrearticle"/>
    <w:rsid w:val="008A7D49"/>
  </w:style>
  <w:style w:type="paragraph" w:styleId="Caption">
    <w:name w:val="caption"/>
    <w:basedOn w:val="Normal"/>
    <w:next w:val="Normal"/>
    <w:unhideWhenUsed/>
    <w:qFormat/>
    <w:rsid w:val="00E84EDF"/>
    <w:pPr>
      <w:spacing w:before="0" w:after="200"/>
    </w:pPr>
    <w:rPr>
      <w:i/>
      <w:iCs/>
      <w:color w:val="1F497D" w:themeColor="text2"/>
      <w:sz w:val="18"/>
      <w:szCs w:val="18"/>
    </w:rPr>
  </w:style>
  <w:style w:type="paragraph" w:styleId="TableofFigures">
    <w:name w:val="table of figures"/>
    <w:basedOn w:val="Normal"/>
    <w:next w:val="Normal"/>
    <w:unhideWhenUsed/>
    <w:rsid w:val="00E84EDF"/>
    <w:pPr>
      <w:spacing w:after="0"/>
    </w:pPr>
  </w:style>
  <w:style w:type="paragraph" w:styleId="ListNumber">
    <w:name w:val="List Number"/>
    <w:basedOn w:val="Normal"/>
    <w:unhideWhenUsed/>
    <w:rsid w:val="00E84EDF"/>
    <w:pPr>
      <w:numPr>
        <w:numId w:val="8"/>
      </w:numPr>
      <w:contextualSpacing/>
    </w:pPr>
  </w:style>
  <w:style w:type="paragraph" w:styleId="ListNumber2">
    <w:name w:val="List Number 2"/>
    <w:basedOn w:val="Normal"/>
    <w:unhideWhenUsed/>
    <w:rsid w:val="00E84EDF"/>
    <w:pPr>
      <w:numPr>
        <w:numId w:val="9"/>
      </w:numPr>
      <w:contextualSpacing/>
    </w:pPr>
  </w:style>
  <w:style w:type="paragraph" w:styleId="ListNumber3">
    <w:name w:val="List Number 3"/>
    <w:basedOn w:val="Normal"/>
    <w:unhideWhenUsed/>
    <w:rsid w:val="00E84EDF"/>
    <w:pPr>
      <w:numPr>
        <w:numId w:val="10"/>
      </w:numPr>
      <w:contextualSpacing/>
    </w:pPr>
  </w:style>
  <w:style w:type="paragraph" w:styleId="ListNumber4">
    <w:name w:val="List Number 4"/>
    <w:basedOn w:val="Normal"/>
    <w:unhideWhenUsed/>
    <w:rsid w:val="00E84EDF"/>
    <w:pPr>
      <w:numPr>
        <w:numId w:val="11"/>
      </w:numPr>
      <w:contextualSpacing/>
    </w:pPr>
  </w:style>
  <w:style w:type="character" w:styleId="CommentReference">
    <w:name w:val="annotation reference"/>
    <w:basedOn w:val="DefaultParagraphFont"/>
    <w:unhideWhenUsed/>
    <w:rsid w:val="00366125"/>
    <w:rPr>
      <w:sz w:val="16"/>
      <w:szCs w:val="16"/>
    </w:rPr>
  </w:style>
  <w:style w:type="paragraph" w:styleId="CommentText">
    <w:name w:val="annotation text"/>
    <w:basedOn w:val="Normal"/>
    <w:link w:val="CommentTextChar"/>
    <w:unhideWhenUsed/>
    <w:rsid w:val="00366125"/>
    <w:rPr>
      <w:sz w:val="20"/>
      <w:szCs w:val="20"/>
    </w:rPr>
  </w:style>
  <w:style w:type="character" w:customStyle="1" w:styleId="CommentTextChar">
    <w:name w:val="Comment Text Char"/>
    <w:basedOn w:val="DefaultParagraphFont"/>
    <w:link w:val="CommentText"/>
    <w:rsid w:val="00366125"/>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366125"/>
    <w:rPr>
      <w:b/>
      <w:bCs/>
    </w:rPr>
  </w:style>
  <w:style w:type="character" w:customStyle="1" w:styleId="CommentSubjectChar">
    <w:name w:val="Comment Subject Char"/>
    <w:basedOn w:val="CommentTextChar"/>
    <w:link w:val="CommentSubject"/>
    <w:rsid w:val="00366125"/>
    <w:rPr>
      <w:rFonts w:ascii="Times New Roman" w:hAnsi="Times New Roman" w:cs="Times New Roman"/>
      <w:b/>
      <w:bCs/>
      <w:sz w:val="20"/>
      <w:szCs w:val="20"/>
      <w:lang w:val="en-GB"/>
    </w:rPr>
  </w:style>
  <w:style w:type="paragraph" w:styleId="BalloonText">
    <w:name w:val="Balloon Text"/>
    <w:basedOn w:val="Normal"/>
    <w:link w:val="BalloonTextChar"/>
    <w:unhideWhenUsed/>
    <w:rsid w:val="0036612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366125"/>
    <w:rPr>
      <w:rFonts w:ascii="Segoe UI" w:hAnsi="Segoe UI" w:cs="Segoe UI"/>
      <w:sz w:val="18"/>
      <w:szCs w:val="18"/>
      <w:lang w:val="en-GB"/>
    </w:rPr>
  </w:style>
  <w:style w:type="character" w:styleId="Hyperlink">
    <w:name w:val="Hyperlink"/>
    <w:basedOn w:val="DefaultParagraphFont"/>
    <w:uiPriority w:val="99"/>
    <w:unhideWhenUsed/>
    <w:rsid w:val="00366125"/>
    <w:rPr>
      <w:color w:val="0000FF" w:themeColor="hyperlink"/>
      <w:u w:val="single"/>
    </w:rPr>
  </w:style>
  <w:style w:type="character" w:customStyle="1" w:styleId="normaltextrun">
    <w:name w:val="normaltextrun"/>
    <w:basedOn w:val="DefaultParagraphFont"/>
    <w:rsid w:val="00431A31"/>
  </w:style>
  <w:style w:type="paragraph" w:styleId="Revision">
    <w:name w:val="Revision"/>
    <w:hidden/>
    <w:uiPriority w:val="99"/>
    <w:semiHidden/>
    <w:rsid w:val="00431A31"/>
    <w:pPr>
      <w:spacing w:after="0" w:line="240" w:lineRule="auto"/>
    </w:pPr>
    <w:rPr>
      <w:rFonts w:ascii="Times New Roman" w:hAnsi="Times New Roman" w:cs="Times New Roman"/>
      <w:sz w:val="24"/>
      <w:lang w:val="en-GB"/>
    </w:rPr>
  </w:style>
  <w:style w:type="paragraph" w:customStyle="1" w:styleId="paragraph">
    <w:name w:val="paragraph"/>
    <w:basedOn w:val="Normal"/>
    <w:rsid w:val="00540D4C"/>
    <w:pPr>
      <w:spacing w:before="100" w:beforeAutospacing="1" w:after="100" w:afterAutospacing="1"/>
      <w:jc w:val="left"/>
    </w:pPr>
    <w:rPr>
      <w:rFonts w:eastAsia="Times New Roman"/>
      <w:szCs w:val="24"/>
      <w:lang w:val="en-US"/>
    </w:rPr>
  </w:style>
  <w:style w:type="character" w:customStyle="1" w:styleId="eop">
    <w:name w:val="eop"/>
    <w:basedOn w:val="DefaultParagraphFont"/>
    <w:rsid w:val="00540D4C"/>
  </w:style>
  <w:style w:type="paragraph" w:customStyle="1" w:styleId="ListBullet1">
    <w:name w:val="List Bullet 1"/>
    <w:basedOn w:val="Normal"/>
    <w:rsid w:val="00DD0A9C"/>
    <w:pPr>
      <w:numPr>
        <w:numId w:val="33"/>
      </w:numPr>
    </w:pPr>
    <w:rPr>
      <w:lang w:eastAsia="en-GB"/>
    </w:rPr>
  </w:style>
  <w:style w:type="paragraph" w:customStyle="1" w:styleId="ListDash">
    <w:name w:val="List Dash"/>
    <w:basedOn w:val="Normal"/>
    <w:rsid w:val="00DD0A9C"/>
    <w:pPr>
      <w:numPr>
        <w:numId w:val="34"/>
      </w:numPr>
    </w:pPr>
    <w:rPr>
      <w:lang w:eastAsia="en-GB"/>
    </w:rPr>
  </w:style>
  <w:style w:type="paragraph" w:customStyle="1" w:styleId="ListDash1">
    <w:name w:val="List Dash 1"/>
    <w:basedOn w:val="Normal"/>
    <w:rsid w:val="00DD0A9C"/>
    <w:pPr>
      <w:numPr>
        <w:numId w:val="35"/>
      </w:numPr>
    </w:pPr>
    <w:rPr>
      <w:lang w:eastAsia="en-GB"/>
    </w:rPr>
  </w:style>
  <w:style w:type="paragraph" w:customStyle="1" w:styleId="ListDash2">
    <w:name w:val="List Dash 2"/>
    <w:basedOn w:val="Normal"/>
    <w:rsid w:val="00DD0A9C"/>
    <w:pPr>
      <w:numPr>
        <w:numId w:val="36"/>
      </w:numPr>
    </w:pPr>
    <w:rPr>
      <w:lang w:eastAsia="en-GB"/>
    </w:rPr>
  </w:style>
  <w:style w:type="paragraph" w:customStyle="1" w:styleId="ListNumberLevel2">
    <w:name w:val="List Number (Level 2)"/>
    <w:basedOn w:val="Normal"/>
    <w:rsid w:val="00DD0A9C"/>
    <w:pPr>
      <w:tabs>
        <w:tab w:val="num" w:pos="1417"/>
      </w:tabs>
      <w:ind w:left="1417" w:hanging="708"/>
    </w:pPr>
    <w:rPr>
      <w:lang w:eastAsia="en-GB"/>
    </w:rPr>
  </w:style>
  <w:style w:type="paragraph" w:customStyle="1" w:styleId="ListNumberLevel3">
    <w:name w:val="List Number (Level 3)"/>
    <w:basedOn w:val="Normal"/>
    <w:rsid w:val="00DD0A9C"/>
    <w:pPr>
      <w:tabs>
        <w:tab w:val="num" w:pos="2126"/>
      </w:tabs>
      <w:ind w:left="2126" w:hanging="709"/>
    </w:pPr>
    <w:rPr>
      <w:lang w:eastAsia="en-GB"/>
    </w:rPr>
  </w:style>
  <w:style w:type="paragraph" w:customStyle="1" w:styleId="ListNumberLevel4">
    <w:name w:val="List Number (Level 4)"/>
    <w:basedOn w:val="Normal"/>
    <w:rsid w:val="00DD0A9C"/>
    <w:pPr>
      <w:tabs>
        <w:tab w:val="num" w:pos="2835"/>
      </w:tabs>
      <w:ind w:left="2835" w:hanging="709"/>
    </w:pPr>
    <w:rPr>
      <w:lang w:eastAsia="en-GB"/>
    </w:rPr>
  </w:style>
  <w:style w:type="paragraph" w:customStyle="1" w:styleId="Sous-titreobjet">
    <w:name w:val="Sous-titre objet"/>
    <w:basedOn w:val="Normal"/>
    <w:rsid w:val="00DD0A9C"/>
    <w:pPr>
      <w:spacing w:before="0" w:after="0"/>
      <w:jc w:val="center"/>
    </w:pPr>
    <w:rPr>
      <w:b/>
      <w:lang w:eastAsia="en-GB"/>
    </w:rPr>
  </w:style>
  <w:style w:type="paragraph" w:customStyle="1" w:styleId="Sous-titreobjetPagedecouverture">
    <w:name w:val="Sous-titre objet (Page de couverture)"/>
    <w:basedOn w:val="Sous-titreobjet"/>
    <w:rsid w:val="00DD0A9C"/>
  </w:style>
  <w:style w:type="character" w:styleId="FollowedHyperlink">
    <w:name w:val="FollowedHyperlink"/>
    <w:rsid w:val="00DD0A9C"/>
    <w:rPr>
      <w:color w:val="800080"/>
      <w:u w:val="single"/>
    </w:rPr>
  </w:style>
  <w:style w:type="paragraph" w:customStyle="1" w:styleId="FooterCoverPage">
    <w:name w:val="Footer Cover Page"/>
    <w:basedOn w:val="Normal"/>
    <w:link w:val="FooterCoverPageChar"/>
    <w:rsid w:val="00DD0A9C"/>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DD0A9C"/>
    <w:rPr>
      <w:rFonts w:ascii="Times New Roman" w:hAnsi="Times New Roman" w:cs="Times New Roman"/>
      <w:b/>
      <w:sz w:val="28"/>
      <w:lang w:val="en-GB"/>
    </w:rPr>
  </w:style>
  <w:style w:type="character" w:customStyle="1" w:styleId="FooterCoverPageChar">
    <w:name w:val="Footer Cover Page Char"/>
    <w:basedOn w:val="TOCHeadingChar"/>
    <w:link w:val="FooterCoverPage"/>
    <w:rsid w:val="00DD0A9C"/>
    <w:rPr>
      <w:rFonts w:ascii="Times New Roman" w:hAnsi="Times New Roman" w:cs="Times New Roman"/>
      <w:b w:val="0"/>
      <w:sz w:val="24"/>
      <w:lang w:val="en-GB"/>
    </w:rPr>
  </w:style>
  <w:style w:type="paragraph" w:customStyle="1" w:styleId="HeaderCoverPage">
    <w:name w:val="Header Cover Page"/>
    <w:basedOn w:val="Normal"/>
    <w:link w:val="HeaderCoverPageChar"/>
    <w:rsid w:val="00DD0A9C"/>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DD0A9C"/>
    <w:rPr>
      <w:rFonts w:ascii="Times New Roman" w:hAnsi="Times New Roman" w:cs="Times New Roman"/>
      <w:b w:val="0"/>
      <w:sz w:val="24"/>
      <w:lang w:val="en-GB" w:eastAsia="en-GB"/>
    </w:rPr>
  </w:style>
  <w:style w:type="paragraph" w:customStyle="1" w:styleId="ListDash3">
    <w:name w:val="List Dash 3"/>
    <w:basedOn w:val="ListNumberLevel3"/>
    <w:rsid w:val="006F5CB4"/>
    <w:pPr>
      <w:numPr>
        <w:ilvl w:val="2"/>
        <w:numId w:val="37"/>
      </w:numPr>
      <w:tabs>
        <w:tab w:val="clear" w:pos="2126"/>
      </w:tabs>
    </w:pPr>
    <w:rPr>
      <w:noProof/>
    </w:rPr>
  </w:style>
  <w:style w:type="character" w:customStyle="1" w:styleId="s1">
    <w:name w:val="s1"/>
    <w:basedOn w:val="DefaultParagraphFont"/>
    <w:rsid w:val="00E64B02"/>
  </w:style>
  <w:style w:type="paragraph" w:customStyle="1" w:styleId="LegalNumPar">
    <w:name w:val="LegalNumPar"/>
    <w:basedOn w:val="Normal"/>
    <w:rsid w:val="00B13727"/>
    <w:pPr>
      <w:numPr>
        <w:numId w:val="43"/>
      </w:numPr>
      <w:spacing w:line="360" w:lineRule="auto"/>
    </w:pPr>
  </w:style>
  <w:style w:type="paragraph" w:customStyle="1" w:styleId="LegalNumPar2">
    <w:name w:val="LegalNumPar2"/>
    <w:basedOn w:val="Normal"/>
    <w:rsid w:val="00B13727"/>
    <w:pPr>
      <w:numPr>
        <w:ilvl w:val="1"/>
        <w:numId w:val="43"/>
      </w:numPr>
      <w:spacing w:line="360" w:lineRule="auto"/>
    </w:pPr>
  </w:style>
  <w:style w:type="paragraph" w:customStyle="1" w:styleId="LegalNumPar3">
    <w:name w:val="LegalNumPar3"/>
    <w:basedOn w:val="Normal"/>
    <w:rsid w:val="00B13727"/>
    <w:pPr>
      <w:numPr>
        <w:ilvl w:val="2"/>
        <w:numId w:val="43"/>
      </w:numPr>
      <w:spacing w:line="360" w:lineRule="auto"/>
    </w:pPr>
  </w:style>
  <w:style w:type="paragraph" w:styleId="Header">
    <w:name w:val="header"/>
    <w:basedOn w:val="Normal"/>
    <w:link w:val="HeaderChar"/>
    <w:uiPriority w:val="99"/>
    <w:unhideWhenUsed/>
    <w:rsid w:val="00427BA8"/>
    <w:pPr>
      <w:tabs>
        <w:tab w:val="center" w:pos="4535"/>
        <w:tab w:val="right" w:pos="9071"/>
      </w:tabs>
      <w:spacing w:before="0"/>
    </w:pPr>
  </w:style>
  <w:style w:type="character" w:customStyle="1" w:styleId="HeaderChar">
    <w:name w:val="Header Char"/>
    <w:basedOn w:val="DefaultParagraphFont"/>
    <w:link w:val="Header"/>
    <w:uiPriority w:val="99"/>
    <w:rsid w:val="00427BA8"/>
    <w:rPr>
      <w:rFonts w:ascii="Times New Roman" w:hAnsi="Times New Roman" w:cs="Times New Roman"/>
      <w:sz w:val="24"/>
      <w:lang w:val="en-GB"/>
    </w:rPr>
  </w:style>
  <w:style w:type="paragraph" w:styleId="Footer">
    <w:name w:val="footer"/>
    <w:basedOn w:val="Normal"/>
    <w:link w:val="FooterChar"/>
    <w:uiPriority w:val="99"/>
    <w:unhideWhenUsed/>
    <w:rsid w:val="00427BA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27BA8"/>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427BA8"/>
    <w:pPr>
      <w:tabs>
        <w:tab w:val="center" w:pos="7285"/>
        <w:tab w:val="right" w:pos="14003"/>
      </w:tabs>
      <w:spacing w:before="0"/>
    </w:pPr>
  </w:style>
  <w:style w:type="paragraph" w:customStyle="1" w:styleId="FooterLandscape">
    <w:name w:val="FooterLandscape"/>
    <w:basedOn w:val="Normal"/>
    <w:rsid w:val="00427BA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427BA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27BA8"/>
    <w:pPr>
      <w:spacing w:before="0"/>
      <w:jc w:val="right"/>
    </w:pPr>
    <w:rPr>
      <w:sz w:val="28"/>
    </w:rPr>
  </w:style>
  <w:style w:type="paragraph" w:customStyle="1" w:styleId="FooterSensitivity">
    <w:name w:val="Footer Sensitivity"/>
    <w:basedOn w:val="Normal"/>
    <w:rsid w:val="00427BA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52"/>
      </w:numPr>
    </w:pPr>
  </w:style>
  <w:style w:type="paragraph" w:customStyle="1" w:styleId="Tiret1">
    <w:name w:val="Tiret 1"/>
    <w:basedOn w:val="Point1"/>
    <w:rsid w:val="009B7138"/>
    <w:pPr>
      <w:numPr>
        <w:numId w:val="53"/>
      </w:numPr>
    </w:pPr>
  </w:style>
  <w:style w:type="paragraph" w:customStyle="1" w:styleId="Tiret2">
    <w:name w:val="Tiret 2"/>
    <w:basedOn w:val="Point2"/>
    <w:rsid w:val="009B7138"/>
    <w:pPr>
      <w:numPr>
        <w:numId w:val="54"/>
      </w:numPr>
    </w:pPr>
  </w:style>
  <w:style w:type="paragraph" w:customStyle="1" w:styleId="Tiret3">
    <w:name w:val="Tiret 3"/>
    <w:basedOn w:val="Point3"/>
    <w:rsid w:val="009B7138"/>
    <w:pPr>
      <w:numPr>
        <w:numId w:val="55"/>
      </w:numPr>
    </w:pPr>
  </w:style>
  <w:style w:type="paragraph" w:customStyle="1" w:styleId="Tiret4">
    <w:name w:val="Tiret 4"/>
    <w:basedOn w:val="Point4"/>
    <w:rsid w:val="009B7138"/>
    <w:pPr>
      <w:numPr>
        <w:numId w:val="56"/>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72"/>
      </w:numPr>
    </w:pPr>
  </w:style>
  <w:style w:type="paragraph" w:customStyle="1" w:styleId="NumPar2">
    <w:name w:val="NumPar 2"/>
    <w:basedOn w:val="Normal"/>
    <w:next w:val="Text1"/>
    <w:rsid w:val="009B7138"/>
    <w:pPr>
      <w:numPr>
        <w:ilvl w:val="1"/>
        <w:numId w:val="72"/>
      </w:numPr>
    </w:pPr>
  </w:style>
  <w:style w:type="paragraph" w:customStyle="1" w:styleId="NumPar3">
    <w:name w:val="NumPar 3"/>
    <w:basedOn w:val="Normal"/>
    <w:next w:val="Text1"/>
    <w:rsid w:val="009B7138"/>
    <w:pPr>
      <w:numPr>
        <w:ilvl w:val="2"/>
        <w:numId w:val="72"/>
      </w:numPr>
    </w:pPr>
  </w:style>
  <w:style w:type="paragraph" w:customStyle="1" w:styleId="NumPar4">
    <w:name w:val="NumPar 4"/>
    <w:basedOn w:val="Normal"/>
    <w:next w:val="Text1"/>
    <w:rsid w:val="009B7138"/>
    <w:pPr>
      <w:numPr>
        <w:ilvl w:val="3"/>
        <w:numId w:val="72"/>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59"/>
      </w:numPr>
    </w:pPr>
  </w:style>
  <w:style w:type="paragraph" w:customStyle="1" w:styleId="Point1number">
    <w:name w:val="Point 1 (number)"/>
    <w:basedOn w:val="Normal"/>
    <w:rsid w:val="009B7138"/>
    <w:pPr>
      <w:numPr>
        <w:ilvl w:val="2"/>
        <w:numId w:val="59"/>
      </w:numPr>
    </w:pPr>
  </w:style>
  <w:style w:type="paragraph" w:customStyle="1" w:styleId="Point2number">
    <w:name w:val="Point 2 (number)"/>
    <w:basedOn w:val="Normal"/>
    <w:rsid w:val="009B7138"/>
    <w:pPr>
      <w:numPr>
        <w:ilvl w:val="4"/>
        <w:numId w:val="59"/>
      </w:numPr>
    </w:pPr>
  </w:style>
  <w:style w:type="paragraph" w:customStyle="1" w:styleId="Point3number">
    <w:name w:val="Point 3 (number)"/>
    <w:basedOn w:val="Normal"/>
    <w:rsid w:val="009B7138"/>
    <w:pPr>
      <w:numPr>
        <w:ilvl w:val="6"/>
        <w:numId w:val="59"/>
      </w:numPr>
    </w:pPr>
  </w:style>
  <w:style w:type="paragraph" w:customStyle="1" w:styleId="Point0letter">
    <w:name w:val="Point 0 (letter)"/>
    <w:basedOn w:val="Normal"/>
    <w:rsid w:val="009B7138"/>
    <w:pPr>
      <w:numPr>
        <w:ilvl w:val="1"/>
        <w:numId w:val="59"/>
      </w:numPr>
    </w:pPr>
  </w:style>
  <w:style w:type="paragraph" w:customStyle="1" w:styleId="Point1letter">
    <w:name w:val="Point 1 (letter)"/>
    <w:basedOn w:val="Normal"/>
    <w:rsid w:val="009B7138"/>
    <w:pPr>
      <w:numPr>
        <w:ilvl w:val="3"/>
        <w:numId w:val="59"/>
      </w:numPr>
    </w:pPr>
  </w:style>
  <w:style w:type="paragraph" w:customStyle="1" w:styleId="Point2letter">
    <w:name w:val="Point 2 (letter)"/>
    <w:basedOn w:val="Normal"/>
    <w:rsid w:val="009B7138"/>
    <w:pPr>
      <w:numPr>
        <w:ilvl w:val="5"/>
        <w:numId w:val="59"/>
      </w:numPr>
    </w:pPr>
  </w:style>
  <w:style w:type="paragraph" w:customStyle="1" w:styleId="Point3letter">
    <w:name w:val="Point 3 (letter)"/>
    <w:basedOn w:val="Normal"/>
    <w:rsid w:val="009B7138"/>
    <w:pPr>
      <w:numPr>
        <w:ilvl w:val="7"/>
        <w:numId w:val="59"/>
      </w:numPr>
    </w:pPr>
  </w:style>
  <w:style w:type="paragraph" w:customStyle="1" w:styleId="Point4letter">
    <w:name w:val="Point 4 (letter)"/>
    <w:basedOn w:val="Normal"/>
    <w:rsid w:val="009B7138"/>
    <w:pPr>
      <w:numPr>
        <w:ilvl w:val="8"/>
        <w:numId w:val="59"/>
      </w:numPr>
    </w:pPr>
  </w:style>
  <w:style w:type="paragraph" w:customStyle="1" w:styleId="Bullet0">
    <w:name w:val="Bullet 0"/>
    <w:basedOn w:val="Normal"/>
    <w:rsid w:val="009B7138"/>
    <w:pPr>
      <w:numPr>
        <w:numId w:val="60"/>
      </w:numPr>
    </w:pPr>
  </w:style>
  <w:style w:type="paragraph" w:customStyle="1" w:styleId="Bullet1">
    <w:name w:val="Bullet 1"/>
    <w:basedOn w:val="Normal"/>
    <w:rsid w:val="009B7138"/>
    <w:pPr>
      <w:numPr>
        <w:numId w:val="61"/>
      </w:numPr>
    </w:pPr>
  </w:style>
  <w:style w:type="paragraph" w:customStyle="1" w:styleId="Bullet2">
    <w:name w:val="Bullet 2"/>
    <w:basedOn w:val="Normal"/>
    <w:rsid w:val="009B7138"/>
    <w:pPr>
      <w:numPr>
        <w:numId w:val="62"/>
      </w:numPr>
    </w:pPr>
  </w:style>
  <w:style w:type="paragraph" w:customStyle="1" w:styleId="Bullet3">
    <w:name w:val="Bullet 3"/>
    <w:basedOn w:val="Normal"/>
    <w:rsid w:val="009B7138"/>
    <w:pPr>
      <w:numPr>
        <w:numId w:val="63"/>
      </w:numPr>
    </w:pPr>
  </w:style>
  <w:style w:type="paragraph" w:customStyle="1" w:styleId="Bullet4">
    <w:name w:val="Bullet 4"/>
    <w:basedOn w:val="Normal"/>
    <w:rsid w:val="009B7138"/>
    <w:pPr>
      <w:numPr>
        <w:numId w:val="64"/>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65"/>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A4287E"/>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A4287E"/>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A4287E"/>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A4287E"/>
    <w:pPr>
      <w:keepNext/>
      <w:tabs>
        <w:tab w:val="left" w:pos="1417"/>
      </w:tabs>
      <w:ind w:left="1417" w:hanging="1417"/>
      <w:outlineLvl w:val="4"/>
    </w:pPr>
  </w:style>
  <w:style w:type="paragraph" w:customStyle="1" w:styleId="ManualHeading6">
    <w:name w:val="Manual Heading 6"/>
    <w:basedOn w:val="Normal"/>
    <w:next w:val="Text2"/>
    <w:rsid w:val="00A4287E"/>
    <w:pPr>
      <w:keepNext/>
      <w:tabs>
        <w:tab w:val="left" w:pos="1417"/>
      </w:tabs>
      <w:ind w:left="1417" w:hanging="1417"/>
      <w:outlineLvl w:val="5"/>
    </w:pPr>
  </w:style>
  <w:style w:type="paragraph" w:customStyle="1" w:styleId="ManualHeading7">
    <w:name w:val="Manual Heading 7"/>
    <w:basedOn w:val="Normal"/>
    <w:next w:val="Text2"/>
    <w:rsid w:val="00A4287E"/>
    <w:pPr>
      <w:keepNext/>
      <w:tabs>
        <w:tab w:val="left" w:pos="1417"/>
      </w:tabs>
      <w:ind w:left="1417" w:hanging="1417"/>
      <w:outlineLvl w:val="6"/>
    </w:pPr>
  </w:style>
  <w:style w:type="paragraph" w:customStyle="1" w:styleId="Text5">
    <w:name w:val="Text 5"/>
    <w:basedOn w:val="Normal"/>
    <w:rsid w:val="00A4287E"/>
    <w:pPr>
      <w:ind w:left="3118"/>
    </w:pPr>
  </w:style>
  <w:style w:type="paragraph" w:customStyle="1" w:styleId="Text6">
    <w:name w:val="Text 6"/>
    <w:basedOn w:val="Normal"/>
    <w:rsid w:val="00A4287E"/>
    <w:pPr>
      <w:ind w:left="3685"/>
    </w:pPr>
  </w:style>
  <w:style w:type="paragraph" w:customStyle="1" w:styleId="Point5">
    <w:name w:val="Point 5"/>
    <w:basedOn w:val="Normal"/>
    <w:rsid w:val="00A4287E"/>
    <w:pPr>
      <w:ind w:left="3685" w:hanging="567"/>
    </w:pPr>
  </w:style>
  <w:style w:type="paragraph" w:customStyle="1" w:styleId="Tiret5">
    <w:name w:val="Tiret 5"/>
    <w:basedOn w:val="Point5"/>
    <w:rsid w:val="00A4287E"/>
    <w:pPr>
      <w:numPr>
        <w:numId w:val="69"/>
      </w:numPr>
    </w:pPr>
  </w:style>
  <w:style w:type="paragraph" w:customStyle="1" w:styleId="NumPar5">
    <w:name w:val="NumPar 5"/>
    <w:basedOn w:val="Normal"/>
    <w:next w:val="Text2"/>
    <w:rsid w:val="00A4287E"/>
    <w:pPr>
      <w:numPr>
        <w:ilvl w:val="4"/>
        <w:numId w:val="72"/>
      </w:numPr>
    </w:pPr>
  </w:style>
  <w:style w:type="paragraph" w:customStyle="1" w:styleId="NumPar6">
    <w:name w:val="NumPar 6"/>
    <w:basedOn w:val="Normal"/>
    <w:next w:val="Text2"/>
    <w:rsid w:val="00A4287E"/>
    <w:pPr>
      <w:numPr>
        <w:ilvl w:val="5"/>
        <w:numId w:val="72"/>
      </w:numPr>
    </w:pPr>
  </w:style>
  <w:style w:type="paragraph" w:customStyle="1" w:styleId="NumPar7">
    <w:name w:val="NumPar 7"/>
    <w:basedOn w:val="Normal"/>
    <w:next w:val="Text2"/>
    <w:rsid w:val="00A4287E"/>
    <w:pPr>
      <w:numPr>
        <w:ilvl w:val="6"/>
        <w:numId w:val="72"/>
      </w:numPr>
    </w:pPr>
  </w:style>
  <w:style w:type="paragraph" w:customStyle="1" w:styleId="ManualNumPar5">
    <w:name w:val="Manual NumPar 5"/>
    <w:basedOn w:val="Normal"/>
    <w:next w:val="Text2"/>
    <w:rsid w:val="00A4287E"/>
    <w:pPr>
      <w:ind w:left="1417" w:hanging="1417"/>
    </w:pPr>
  </w:style>
  <w:style w:type="paragraph" w:customStyle="1" w:styleId="ManualNumPar6">
    <w:name w:val="Manual NumPar 6"/>
    <w:basedOn w:val="Normal"/>
    <w:next w:val="Text2"/>
    <w:rsid w:val="00A4287E"/>
    <w:pPr>
      <w:ind w:left="1417" w:hanging="1417"/>
    </w:pPr>
  </w:style>
  <w:style w:type="paragraph" w:customStyle="1" w:styleId="ManualNumPar7">
    <w:name w:val="Manual NumPar 7"/>
    <w:basedOn w:val="Normal"/>
    <w:next w:val="Text2"/>
    <w:rsid w:val="00A4287E"/>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59">
      <w:bodyDiv w:val="1"/>
      <w:marLeft w:val="0"/>
      <w:marRight w:val="0"/>
      <w:marTop w:val="0"/>
      <w:marBottom w:val="0"/>
      <w:divBdr>
        <w:top w:val="none" w:sz="0" w:space="0" w:color="auto"/>
        <w:left w:val="none" w:sz="0" w:space="0" w:color="auto"/>
        <w:bottom w:val="none" w:sz="0" w:space="0" w:color="auto"/>
        <w:right w:val="none" w:sz="0" w:space="0" w:color="auto"/>
      </w:divBdr>
    </w:div>
    <w:div w:id="197478278">
      <w:bodyDiv w:val="1"/>
      <w:marLeft w:val="0"/>
      <w:marRight w:val="0"/>
      <w:marTop w:val="0"/>
      <w:marBottom w:val="0"/>
      <w:divBdr>
        <w:top w:val="none" w:sz="0" w:space="0" w:color="auto"/>
        <w:left w:val="none" w:sz="0" w:space="0" w:color="auto"/>
        <w:bottom w:val="none" w:sz="0" w:space="0" w:color="auto"/>
        <w:right w:val="none" w:sz="0" w:space="0" w:color="auto"/>
      </w:divBdr>
    </w:div>
    <w:div w:id="462315434">
      <w:bodyDiv w:val="1"/>
      <w:marLeft w:val="0"/>
      <w:marRight w:val="0"/>
      <w:marTop w:val="0"/>
      <w:marBottom w:val="0"/>
      <w:divBdr>
        <w:top w:val="none" w:sz="0" w:space="0" w:color="auto"/>
        <w:left w:val="none" w:sz="0" w:space="0" w:color="auto"/>
        <w:bottom w:val="none" w:sz="0" w:space="0" w:color="auto"/>
        <w:right w:val="none" w:sz="0" w:space="0" w:color="auto"/>
      </w:divBdr>
      <w:divsChild>
        <w:div w:id="85006570">
          <w:marLeft w:val="0"/>
          <w:marRight w:val="0"/>
          <w:marTop w:val="0"/>
          <w:marBottom w:val="0"/>
          <w:divBdr>
            <w:top w:val="none" w:sz="0" w:space="0" w:color="auto"/>
            <w:left w:val="none" w:sz="0" w:space="0" w:color="auto"/>
            <w:bottom w:val="none" w:sz="0" w:space="0" w:color="auto"/>
            <w:right w:val="none" w:sz="0" w:space="0" w:color="auto"/>
          </w:divBdr>
        </w:div>
        <w:div w:id="646281258">
          <w:marLeft w:val="0"/>
          <w:marRight w:val="0"/>
          <w:marTop w:val="0"/>
          <w:marBottom w:val="0"/>
          <w:divBdr>
            <w:top w:val="none" w:sz="0" w:space="0" w:color="auto"/>
            <w:left w:val="none" w:sz="0" w:space="0" w:color="auto"/>
            <w:bottom w:val="none" w:sz="0" w:space="0" w:color="auto"/>
            <w:right w:val="none" w:sz="0" w:space="0" w:color="auto"/>
          </w:divBdr>
          <w:divsChild>
            <w:div w:id="1111048287">
              <w:marLeft w:val="0"/>
              <w:marRight w:val="0"/>
              <w:marTop w:val="0"/>
              <w:marBottom w:val="0"/>
              <w:divBdr>
                <w:top w:val="none" w:sz="0" w:space="0" w:color="auto"/>
                <w:left w:val="none" w:sz="0" w:space="0" w:color="auto"/>
                <w:bottom w:val="none" w:sz="0" w:space="0" w:color="auto"/>
                <w:right w:val="none" w:sz="0" w:space="0" w:color="auto"/>
              </w:divBdr>
            </w:div>
          </w:divsChild>
        </w:div>
        <w:div w:id="732386635">
          <w:marLeft w:val="0"/>
          <w:marRight w:val="0"/>
          <w:marTop w:val="0"/>
          <w:marBottom w:val="0"/>
          <w:divBdr>
            <w:top w:val="none" w:sz="0" w:space="0" w:color="auto"/>
            <w:left w:val="none" w:sz="0" w:space="0" w:color="auto"/>
            <w:bottom w:val="none" w:sz="0" w:space="0" w:color="auto"/>
            <w:right w:val="none" w:sz="0" w:space="0" w:color="auto"/>
          </w:divBdr>
        </w:div>
        <w:div w:id="866409959">
          <w:marLeft w:val="0"/>
          <w:marRight w:val="0"/>
          <w:marTop w:val="0"/>
          <w:marBottom w:val="0"/>
          <w:divBdr>
            <w:top w:val="none" w:sz="0" w:space="0" w:color="auto"/>
            <w:left w:val="none" w:sz="0" w:space="0" w:color="auto"/>
            <w:bottom w:val="none" w:sz="0" w:space="0" w:color="auto"/>
            <w:right w:val="none" w:sz="0" w:space="0" w:color="auto"/>
          </w:divBdr>
        </w:div>
        <w:div w:id="1547332450">
          <w:marLeft w:val="0"/>
          <w:marRight w:val="0"/>
          <w:marTop w:val="0"/>
          <w:marBottom w:val="0"/>
          <w:divBdr>
            <w:top w:val="none" w:sz="0" w:space="0" w:color="auto"/>
            <w:left w:val="none" w:sz="0" w:space="0" w:color="auto"/>
            <w:bottom w:val="none" w:sz="0" w:space="0" w:color="auto"/>
            <w:right w:val="none" w:sz="0" w:space="0" w:color="auto"/>
          </w:divBdr>
        </w:div>
      </w:divsChild>
    </w:div>
    <w:div w:id="686759702">
      <w:bodyDiv w:val="1"/>
      <w:marLeft w:val="0"/>
      <w:marRight w:val="0"/>
      <w:marTop w:val="0"/>
      <w:marBottom w:val="0"/>
      <w:divBdr>
        <w:top w:val="none" w:sz="0" w:space="0" w:color="auto"/>
        <w:left w:val="none" w:sz="0" w:space="0" w:color="auto"/>
        <w:bottom w:val="none" w:sz="0" w:space="0" w:color="auto"/>
        <w:right w:val="none" w:sz="0" w:space="0" w:color="auto"/>
      </w:divBdr>
      <w:divsChild>
        <w:div w:id="5979722">
          <w:marLeft w:val="0"/>
          <w:marRight w:val="0"/>
          <w:marTop w:val="0"/>
          <w:marBottom w:val="0"/>
          <w:divBdr>
            <w:top w:val="none" w:sz="0" w:space="0" w:color="auto"/>
            <w:left w:val="none" w:sz="0" w:space="0" w:color="auto"/>
            <w:bottom w:val="none" w:sz="0" w:space="0" w:color="auto"/>
            <w:right w:val="none" w:sz="0" w:space="0" w:color="auto"/>
          </w:divBdr>
        </w:div>
        <w:div w:id="746612327">
          <w:marLeft w:val="0"/>
          <w:marRight w:val="0"/>
          <w:marTop w:val="0"/>
          <w:marBottom w:val="0"/>
          <w:divBdr>
            <w:top w:val="none" w:sz="0" w:space="0" w:color="auto"/>
            <w:left w:val="none" w:sz="0" w:space="0" w:color="auto"/>
            <w:bottom w:val="none" w:sz="0" w:space="0" w:color="auto"/>
            <w:right w:val="none" w:sz="0" w:space="0" w:color="auto"/>
          </w:divBdr>
        </w:div>
        <w:div w:id="1766994306">
          <w:marLeft w:val="0"/>
          <w:marRight w:val="0"/>
          <w:marTop w:val="0"/>
          <w:marBottom w:val="0"/>
          <w:divBdr>
            <w:top w:val="none" w:sz="0" w:space="0" w:color="auto"/>
            <w:left w:val="none" w:sz="0" w:space="0" w:color="auto"/>
            <w:bottom w:val="none" w:sz="0" w:space="0" w:color="auto"/>
            <w:right w:val="none" w:sz="0" w:space="0" w:color="auto"/>
          </w:divBdr>
        </w:div>
        <w:div w:id="1947349751">
          <w:marLeft w:val="0"/>
          <w:marRight w:val="0"/>
          <w:marTop w:val="0"/>
          <w:marBottom w:val="0"/>
          <w:divBdr>
            <w:top w:val="none" w:sz="0" w:space="0" w:color="auto"/>
            <w:left w:val="none" w:sz="0" w:space="0" w:color="auto"/>
            <w:bottom w:val="none" w:sz="0" w:space="0" w:color="auto"/>
            <w:right w:val="none" w:sz="0" w:space="0" w:color="auto"/>
          </w:divBdr>
        </w:div>
        <w:div w:id="1957592793">
          <w:marLeft w:val="0"/>
          <w:marRight w:val="0"/>
          <w:marTop w:val="0"/>
          <w:marBottom w:val="0"/>
          <w:divBdr>
            <w:top w:val="none" w:sz="0" w:space="0" w:color="auto"/>
            <w:left w:val="none" w:sz="0" w:space="0" w:color="auto"/>
            <w:bottom w:val="none" w:sz="0" w:space="0" w:color="auto"/>
            <w:right w:val="none" w:sz="0" w:space="0" w:color="auto"/>
          </w:divBdr>
        </w:div>
        <w:div w:id="2027559966">
          <w:marLeft w:val="0"/>
          <w:marRight w:val="0"/>
          <w:marTop w:val="0"/>
          <w:marBottom w:val="0"/>
          <w:divBdr>
            <w:top w:val="none" w:sz="0" w:space="0" w:color="auto"/>
            <w:left w:val="none" w:sz="0" w:space="0" w:color="auto"/>
            <w:bottom w:val="none" w:sz="0" w:space="0" w:color="auto"/>
            <w:right w:val="none" w:sz="0" w:space="0" w:color="auto"/>
          </w:divBdr>
        </w:div>
      </w:divsChild>
    </w:div>
    <w:div w:id="894464140">
      <w:bodyDiv w:val="1"/>
      <w:marLeft w:val="0"/>
      <w:marRight w:val="0"/>
      <w:marTop w:val="0"/>
      <w:marBottom w:val="0"/>
      <w:divBdr>
        <w:top w:val="none" w:sz="0" w:space="0" w:color="auto"/>
        <w:left w:val="none" w:sz="0" w:space="0" w:color="auto"/>
        <w:bottom w:val="none" w:sz="0" w:space="0" w:color="auto"/>
        <w:right w:val="none" w:sz="0" w:space="0" w:color="auto"/>
      </w:divBdr>
    </w:div>
    <w:div w:id="1037507721">
      <w:bodyDiv w:val="1"/>
      <w:marLeft w:val="0"/>
      <w:marRight w:val="0"/>
      <w:marTop w:val="0"/>
      <w:marBottom w:val="0"/>
      <w:divBdr>
        <w:top w:val="none" w:sz="0" w:space="0" w:color="auto"/>
        <w:left w:val="none" w:sz="0" w:space="0" w:color="auto"/>
        <w:bottom w:val="none" w:sz="0" w:space="0" w:color="auto"/>
        <w:right w:val="none" w:sz="0" w:space="0" w:color="auto"/>
      </w:divBdr>
      <w:divsChild>
        <w:div w:id="406615830">
          <w:marLeft w:val="0"/>
          <w:marRight w:val="0"/>
          <w:marTop w:val="0"/>
          <w:marBottom w:val="0"/>
          <w:divBdr>
            <w:top w:val="none" w:sz="0" w:space="0" w:color="auto"/>
            <w:left w:val="none" w:sz="0" w:space="0" w:color="auto"/>
            <w:bottom w:val="none" w:sz="0" w:space="0" w:color="auto"/>
            <w:right w:val="none" w:sz="0" w:space="0" w:color="auto"/>
          </w:divBdr>
        </w:div>
        <w:div w:id="1624269062">
          <w:marLeft w:val="0"/>
          <w:marRight w:val="0"/>
          <w:marTop w:val="0"/>
          <w:marBottom w:val="0"/>
          <w:divBdr>
            <w:top w:val="none" w:sz="0" w:space="0" w:color="auto"/>
            <w:left w:val="none" w:sz="0" w:space="0" w:color="auto"/>
            <w:bottom w:val="none" w:sz="0" w:space="0" w:color="auto"/>
            <w:right w:val="none" w:sz="0" w:space="0" w:color="auto"/>
          </w:divBdr>
        </w:div>
        <w:div w:id="1971745784">
          <w:marLeft w:val="0"/>
          <w:marRight w:val="0"/>
          <w:marTop w:val="0"/>
          <w:marBottom w:val="0"/>
          <w:divBdr>
            <w:top w:val="none" w:sz="0" w:space="0" w:color="auto"/>
            <w:left w:val="none" w:sz="0" w:space="0" w:color="auto"/>
            <w:bottom w:val="none" w:sz="0" w:space="0" w:color="auto"/>
            <w:right w:val="none" w:sz="0" w:space="0" w:color="auto"/>
          </w:divBdr>
        </w:div>
      </w:divsChild>
    </w:div>
    <w:div w:id="1039479646">
      <w:bodyDiv w:val="1"/>
      <w:marLeft w:val="0"/>
      <w:marRight w:val="0"/>
      <w:marTop w:val="0"/>
      <w:marBottom w:val="0"/>
      <w:divBdr>
        <w:top w:val="none" w:sz="0" w:space="0" w:color="auto"/>
        <w:left w:val="none" w:sz="0" w:space="0" w:color="auto"/>
        <w:bottom w:val="none" w:sz="0" w:space="0" w:color="auto"/>
        <w:right w:val="none" w:sz="0" w:space="0" w:color="auto"/>
      </w:divBdr>
      <w:divsChild>
        <w:div w:id="92168036">
          <w:marLeft w:val="0"/>
          <w:marRight w:val="0"/>
          <w:marTop w:val="0"/>
          <w:marBottom w:val="0"/>
          <w:divBdr>
            <w:top w:val="none" w:sz="0" w:space="0" w:color="auto"/>
            <w:left w:val="none" w:sz="0" w:space="0" w:color="auto"/>
            <w:bottom w:val="none" w:sz="0" w:space="0" w:color="auto"/>
            <w:right w:val="none" w:sz="0" w:space="0" w:color="auto"/>
          </w:divBdr>
        </w:div>
        <w:div w:id="476534902">
          <w:marLeft w:val="0"/>
          <w:marRight w:val="0"/>
          <w:marTop w:val="0"/>
          <w:marBottom w:val="0"/>
          <w:divBdr>
            <w:top w:val="none" w:sz="0" w:space="0" w:color="auto"/>
            <w:left w:val="none" w:sz="0" w:space="0" w:color="auto"/>
            <w:bottom w:val="none" w:sz="0" w:space="0" w:color="auto"/>
            <w:right w:val="none" w:sz="0" w:space="0" w:color="auto"/>
          </w:divBdr>
        </w:div>
        <w:div w:id="638072354">
          <w:marLeft w:val="0"/>
          <w:marRight w:val="0"/>
          <w:marTop w:val="0"/>
          <w:marBottom w:val="0"/>
          <w:divBdr>
            <w:top w:val="none" w:sz="0" w:space="0" w:color="auto"/>
            <w:left w:val="none" w:sz="0" w:space="0" w:color="auto"/>
            <w:bottom w:val="none" w:sz="0" w:space="0" w:color="auto"/>
            <w:right w:val="none" w:sz="0" w:space="0" w:color="auto"/>
          </w:divBdr>
        </w:div>
      </w:divsChild>
    </w:div>
    <w:div w:id="1239829171">
      <w:bodyDiv w:val="1"/>
      <w:marLeft w:val="0"/>
      <w:marRight w:val="0"/>
      <w:marTop w:val="0"/>
      <w:marBottom w:val="0"/>
      <w:divBdr>
        <w:top w:val="none" w:sz="0" w:space="0" w:color="auto"/>
        <w:left w:val="none" w:sz="0" w:space="0" w:color="auto"/>
        <w:bottom w:val="none" w:sz="0" w:space="0" w:color="auto"/>
        <w:right w:val="none" w:sz="0" w:space="0" w:color="auto"/>
      </w:divBdr>
      <w:divsChild>
        <w:div w:id="10229861">
          <w:marLeft w:val="0"/>
          <w:marRight w:val="0"/>
          <w:marTop w:val="0"/>
          <w:marBottom w:val="0"/>
          <w:divBdr>
            <w:top w:val="none" w:sz="0" w:space="0" w:color="auto"/>
            <w:left w:val="none" w:sz="0" w:space="0" w:color="auto"/>
            <w:bottom w:val="none" w:sz="0" w:space="0" w:color="auto"/>
            <w:right w:val="none" w:sz="0" w:space="0" w:color="auto"/>
          </w:divBdr>
        </w:div>
        <w:div w:id="1822574539">
          <w:marLeft w:val="0"/>
          <w:marRight w:val="0"/>
          <w:marTop w:val="0"/>
          <w:marBottom w:val="0"/>
          <w:divBdr>
            <w:top w:val="none" w:sz="0" w:space="0" w:color="auto"/>
            <w:left w:val="none" w:sz="0" w:space="0" w:color="auto"/>
            <w:bottom w:val="none" w:sz="0" w:space="0" w:color="auto"/>
            <w:right w:val="none" w:sz="0" w:space="0" w:color="auto"/>
          </w:divBdr>
        </w:div>
      </w:divsChild>
    </w:div>
    <w:div w:id="1266621590">
      <w:bodyDiv w:val="1"/>
      <w:marLeft w:val="0"/>
      <w:marRight w:val="0"/>
      <w:marTop w:val="0"/>
      <w:marBottom w:val="0"/>
      <w:divBdr>
        <w:top w:val="none" w:sz="0" w:space="0" w:color="auto"/>
        <w:left w:val="none" w:sz="0" w:space="0" w:color="auto"/>
        <w:bottom w:val="none" w:sz="0" w:space="0" w:color="auto"/>
        <w:right w:val="none" w:sz="0" w:space="0" w:color="auto"/>
      </w:divBdr>
    </w:div>
    <w:div w:id="1376194759">
      <w:bodyDiv w:val="1"/>
      <w:marLeft w:val="0"/>
      <w:marRight w:val="0"/>
      <w:marTop w:val="0"/>
      <w:marBottom w:val="0"/>
      <w:divBdr>
        <w:top w:val="none" w:sz="0" w:space="0" w:color="auto"/>
        <w:left w:val="none" w:sz="0" w:space="0" w:color="auto"/>
        <w:bottom w:val="none" w:sz="0" w:space="0" w:color="auto"/>
        <w:right w:val="none" w:sz="0" w:space="0" w:color="auto"/>
      </w:divBdr>
    </w:div>
    <w:div w:id="1559779459">
      <w:bodyDiv w:val="1"/>
      <w:marLeft w:val="0"/>
      <w:marRight w:val="0"/>
      <w:marTop w:val="0"/>
      <w:marBottom w:val="0"/>
      <w:divBdr>
        <w:top w:val="none" w:sz="0" w:space="0" w:color="auto"/>
        <w:left w:val="none" w:sz="0" w:space="0" w:color="auto"/>
        <w:bottom w:val="none" w:sz="0" w:space="0" w:color="auto"/>
        <w:right w:val="none" w:sz="0" w:space="0" w:color="auto"/>
      </w:divBdr>
      <w:divsChild>
        <w:div w:id="265423978">
          <w:marLeft w:val="0"/>
          <w:marRight w:val="0"/>
          <w:marTop w:val="0"/>
          <w:marBottom w:val="0"/>
          <w:divBdr>
            <w:top w:val="none" w:sz="0" w:space="0" w:color="auto"/>
            <w:left w:val="none" w:sz="0" w:space="0" w:color="auto"/>
            <w:bottom w:val="none" w:sz="0" w:space="0" w:color="auto"/>
            <w:right w:val="none" w:sz="0" w:space="0" w:color="auto"/>
          </w:divBdr>
        </w:div>
        <w:div w:id="295138326">
          <w:marLeft w:val="0"/>
          <w:marRight w:val="0"/>
          <w:marTop w:val="0"/>
          <w:marBottom w:val="0"/>
          <w:divBdr>
            <w:top w:val="none" w:sz="0" w:space="0" w:color="auto"/>
            <w:left w:val="none" w:sz="0" w:space="0" w:color="auto"/>
            <w:bottom w:val="none" w:sz="0" w:space="0" w:color="auto"/>
            <w:right w:val="none" w:sz="0" w:space="0" w:color="auto"/>
          </w:divBdr>
        </w:div>
        <w:div w:id="751779723">
          <w:marLeft w:val="0"/>
          <w:marRight w:val="0"/>
          <w:marTop w:val="0"/>
          <w:marBottom w:val="0"/>
          <w:divBdr>
            <w:top w:val="none" w:sz="0" w:space="0" w:color="auto"/>
            <w:left w:val="none" w:sz="0" w:space="0" w:color="auto"/>
            <w:bottom w:val="none" w:sz="0" w:space="0" w:color="auto"/>
            <w:right w:val="none" w:sz="0" w:space="0" w:color="auto"/>
          </w:divBdr>
        </w:div>
        <w:div w:id="954679868">
          <w:marLeft w:val="0"/>
          <w:marRight w:val="0"/>
          <w:marTop w:val="0"/>
          <w:marBottom w:val="0"/>
          <w:divBdr>
            <w:top w:val="none" w:sz="0" w:space="0" w:color="auto"/>
            <w:left w:val="none" w:sz="0" w:space="0" w:color="auto"/>
            <w:bottom w:val="none" w:sz="0" w:space="0" w:color="auto"/>
            <w:right w:val="none" w:sz="0" w:space="0" w:color="auto"/>
          </w:divBdr>
        </w:div>
        <w:div w:id="1963921569">
          <w:marLeft w:val="0"/>
          <w:marRight w:val="0"/>
          <w:marTop w:val="0"/>
          <w:marBottom w:val="0"/>
          <w:divBdr>
            <w:top w:val="none" w:sz="0" w:space="0" w:color="auto"/>
            <w:left w:val="none" w:sz="0" w:space="0" w:color="auto"/>
            <w:bottom w:val="none" w:sz="0" w:space="0" w:color="auto"/>
            <w:right w:val="none" w:sz="0" w:space="0" w:color="auto"/>
          </w:divBdr>
          <w:divsChild>
            <w:div w:id="7683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7178">
      <w:bodyDiv w:val="1"/>
      <w:marLeft w:val="0"/>
      <w:marRight w:val="0"/>
      <w:marTop w:val="0"/>
      <w:marBottom w:val="0"/>
      <w:divBdr>
        <w:top w:val="none" w:sz="0" w:space="0" w:color="auto"/>
        <w:left w:val="none" w:sz="0" w:space="0" w:color="auto"/>
        <w:bottom w:val="none" w:sz="0" w:space="0" w:color="auto"/>
        <w:right w:val="none" w:sz="0" w:space="0" w:color="auto"/>
      </w:divBdr>
    </w:div>
    <w:div w:id="1704674288">
      <w:bodyDiv w:val="1"/>
      <w:marLeft w:val="0"/>
      <w:marRight w:val="0"/>
      <w:marTop w:val="0"/>
      <w:marBottom w:val="0"/>
      <w:divBdr>
        <w:top w:val="none" w:sz="0" w:space="0" w:color="auto"/>
        <w:left w:val="none" w:sz="0" w:space="0" w:color="auto"/>
        <w:bottom w:val="none" w:sz="0" w:space="0" w:color="auto"/>
        <w:right w:val="none" w:sz="0" w:space="0" w:color="auto"/>
      </w:divBdr>
    </w:div>
    <w:div w:id="1745058322">
      <w:bodyDiv w:val="1"/>
      <w:marLeft w:val="0"/>
      <w:marRight w:val="0"/>
      <w:marTop w:val="0"/>
      <w:marBottom w:val="0"/>
      <w:divBdr>
        <w:top w:val="none" w:sz="0" w:space="0" w:color="auto"/>
        <w:left w:val="none" w:sz="0" w:space="0" w:color="auto"/>
        <w:bottom w:val="none" w:sz="0" w:space="0" w:color="auto"/>
        <w:right w:val="none" w:sz="0" w:space="0" w:color="auto"/>
      </w:divBdr>
      <w:divsChild>
        <w:div w:id="415981578">
          <w:marLeft w:val="0"/>
          <w:marRight w:val="0"/>
          <w:marTop w:val="0"/>
          <w:marBottom w:val="0"/>
          <w:divBdr>
            <w:top w:val="none" w:sz="0" w:space="0" w:color="auto"/>
            <w:left w:val="none" w:sz="0" w:space="0" w:color="auto"/>
            <w:bottom w:val="none" w:sz="0" w:space="0" w:color="auto"/>
            <w:right w:val="none" w:sz="0" w:space="0" w:color="auto"/>
          </w:divBdr>
        </w:div>
        <w:div w:id="583953525">
          <w:marLeft w:val="0"/>
          <w:marRight w:val="0"/>
          <w:marTop w:val="0"/>
          <w:marBottom w:val="0"/>
          <w:divBdr>
            <w:top w:val="none" w:sz="0" w:space="0" w:color="auto"/>
            <w:left w:val="none" w:sz="0" w:space="0" w:color="auto"/>
            <w:bottom w:val="none" w:sz="0" w:space="0" w:color="auto"/>
            <w:right w:val="none" w:sz="0" w:space="0" w:color="auto"/>
          </w:divBdr>
        </w:div>
        <w:div w:id="868444814">
          <w:marLeft w:val="0"/>
          <w:marRight w:val="0"/>
          <w:marTop w:val="0"/>
          <w:marBottom w:val="0"/>
          <w:divBdr>
            <w:top w:val="none" w:sz="0" w:space="0" w:color="auto"/>
            <w:left w:val="none" w:sz="0" w:space="0" w:color="auto"/>
            <w:bottom w:val="none" w:sz="0" w:space="0" w:color="auto"/>
            <w:right w:val="none" w:sz="0" w:space="0" w:color="auto"/>
          </w:divBdr>
        </w:div>
      </w:divsChild>
    </w:div>
    <w:div w:id="1834297752">
      <w:bodyDiv w:val="1"/>
      <w:marLeft w:val="0"/>
      <w:marRight w:val="0"/>
      <w:marTop w:val="0"/>
      <w:marBottom w:val="0"/>
      <w:divBdr>
        <w:top w:val="none" w:sz="0" w:space="0" w:color="auto"/>
        <w:left w:val="none" w:sz="0" w:space="0" w:color="auto"/>
        <w:bottom w:val="none" w:sz="0" w:space="0" w:color="auto"/>
        <w:right w:val="none" w:sz="0" w:space="0" w:color="auto"/>
      </w:divBdr>
    </w:div>
    <w:div w:id="1838037835">
      <w:bodyDiv w:val="1"/>
      <w:marLeft w:val="0"/>
      <w:marRight w:val="0"/>
      <w:marTop w:val="0"/>
      <w:marBottom w:val="0"/>
      <w:divBdr>
        <w:top w:val="none" w:sz="0" w:space="0" w:color="auto"/>
        <w:left w:val="none" w:sz="0" w:space="0" w:color="auto"/>
        <w:bottom w:val="none" w:sz="0" w:space="0" w:color="auto"/>
        <w:right w:val="none" w:sz="0" w:space="0" w:color="auto"/>
      </w:divBdr>
    </w:div>
    <w:div w:id="1863132545">
      <w:bodyDiv w:val="1"/>
      <w:marLeft w:val="0"/>
      <w:marRight w:val="0"/>
      <w:marTop w:val="0"/>
      <w:marBottom w:val="0"/>
      <w:divBdr>
        <w:top w:val="none" w:sz="0" w:space="0" w:color="auto"/>
        <w:left w:val="none" w:sz="0" w:space="0" w:color="auto"/>
        <w:bottom w:val="none" w:sz="0" w:space="0" w:color="auto"/>
        <w:right w:val="none" w:sz="0" w:space="0" w:color="auto"/>
      </w:divBdr>
      <w:divsChild>
        <w:div w:id="534075416">
          <w:marLeft w:val="0"/>
          <w:marRight w:val="0"/>
          <w:marTop w:val="0"/>
          <w:marBottom w:val="0"/>
          <w:divBdr>
            <w:top w:val="none" w:sz="0" w:space="0" w:color="auto"/>
            <w:left w:val="none" w:sz="0" w:space="0" w:color="auto"/>
            <w:bottom w:val="none" w:sz="0" w:space="0" w:color="auto"/>
            <w:right w:val="none" w:sz="0" w:space="0" w:color="auto"/>
          </w:divBdr>
        </w:div>
        <w:div w:id="1499803825">
          <w:marLeft w:val="0"/>
          <w:marRight w:val="0"/>
          <w:marTop w:val="0"/>
          <w:marBottom w:val="0"/>
          <w:divBdr>
            <w:top w:val="none" w:sz="0" w:space="0" w:color="auto"/>
            <w:left w:val="none" w:sz="0" w:space="0" w:color="auto"/>
            <w:bottom w:val="none" w:sz="0" w:space="0" w:color="auto"/>
            <w:right w:val="none" w:sz="0" w:space="0" w:color="auto"/>
          </w:divBdr>
        </w:div>
        <w:div w:id="459343325">
          <w:marLeft w:val="0"/>
          <w:marRight w:val="0"/>
          <w:marTop w:val="0"/>
          <w:marBottom w:val="0"/>
          <w:divBdr>
            <w:top w:val="none" w:sz="0" w:space="0" w:color="auto"/>
            <w:left w:val="none" w:sz="0" w:space="0" w:color="auto"/>
            <w:bottom w:val="none" w:sz="0" w:space="0" w:color="auto"/>
            <w:right w:val="none" w:sz="0" w:space="0" w:color="auto"/>
          </w:divBdr>
        </w:div>
        <w:div w:id="697387985">
          <w:marLeft w:val="0"/>
          <w:marRight w:val="0"/>
          <w:marTop w:val="0"/>
          <w:marBottom w:val="0"/>
          <w:divBdr>
            <w:top w:val="none" w:sz="0" w:space="0" w:color="auto"/>
            <w:left w:val="none" w:sz="0" w:space="0" w:color="auto"/>
            <w:bottom w:val="none" w:sz="0" w:space="0" w:color="auto"/>
            <w:right w:val="none" w:sz="0" w:space="0" w:color="auto"/>
          </w:divBdr>
        </w:div>
        <w:div w:id="543368059">
          <w:marLeft w:val="0"/>
          <w:marRight w:val="0"/>
          <w:marTop w:val="0"/>
          <w:marBottom w:val="0"/>
          <w:divBdr>
            <w:top w:val="none" w:sz="0" w:space="0" w:color="auto"/>
            <w:left w:val="none" w:sz="0" w:space="0" w:color="auto"/>
            <w:bottom w:val="none" w:sz="0" w:space="0" w:color="auto"/>
            <w:right w:val="none" w:sz="0" w:space="0" w:color="auto"/>
          </w:divBdr>
        </w:div>
        <w:div w:id="358093083">
          <w:marLeft w:val="0"/>
          <w:marRight w:val="0"/>
          <w:marTop w:val="0"/>
          <w:marBottom w:val="0"/>
          <w:divBdr>
            <w:top w:val="none" w:sz="0" w:space="0" w:color="auto"/>
            <w:left w:val="none" w:sz="0" w:space="0" w:color="auto"/>
            <w:bottom w:val="none" w:sz="0" w:space="0" w:color="auto"/>
            <w:right w:val="none" w:sz="0" w:space="0" w:color="auto"/>
          </w:divBdr>
        </w:div>
        <w:div w:id="466974131">
          <w:marLeft w:val="0"/>
          <w:marRight w:val="0"/>
          <w:marTop w:val="0"/>
          <w:marBottom w:val="0"/>
          <w:divBdr>
            <w:top w:val="none" w:sz="0" w:space="0" w:color="auto"/>
            <w:left w:val="none" w:sz="0" w:space="0" w:color="auto"/>
            <w:bottom w:val="none" w:sz="0" w:space="0" w:color="auto"/>
            <w:right w:val="none" w:sz="0" w:space="0" w:color="auto"/>
          </w:divBdr>
        </w:div>
      </w:divsChild>
    </w:div>
    <w:div w:id="1892233551">
      <w:bodyDiv w:val="1"/>
      <w:marLeft w:val="0"/>
      <w:marRight w:val="0"/>
      <w:marTop w:val="0"/>
      <w:marBottom w:val="0"/>
      <w:divBdr>
        <w:top w:val="none" w:sz="0" w:space="0" w:color="auto"/>
        <w:left w:val="none" w:sz="0" w:space="0" w:color="auto"/>
        <w:bottom w:val="none" w:sz="0" w:space="0" w:color="auto"/>
        <w:right w:val="none" w:sz="0" w:space="0" w:color="auto"/>
      </w:divBdr>
      <w:divsChild>
        <w:div w:id="300230945">
          <w:marLeft w:val="0"/>
          <w:marRight w:val="0"/>
          <w:marTop w:val="0"/>
          <w:marBottom w:val="0"/>
          <w:divBdr>
            <w:top w:val="none" w:sz="0" w:space="0" w:color="auto"/>
            <w:left w:val="none" w:sz="0" w:space="0" w:color="auto"/>
            <w:bottom w:val="none" w:sz="0" w:space="0" w:color="auto"/>
            <w:right w:val="none" w:sz="0" w:space="0" w:color="auto"/>
          </w:divBdr>
        </w:div>
        <w:div w:id="1503425864">
          <w:marLeft w:val="0"/>
          <w:marRight w:val="0"/>
          <w:marTop w:val="0"/>
          <w:marBottom w:val="0"/>
          <w:divBdr>
            <w:top w:val="none" w:sz="0" w:space="0" w:color="auto"/>
            <w:left w:val="none" w:sz="0" w:space="0" w:color="auto"/>
            <w:bottom w:val="none" w:sz="0" w:space="0" w:color="auto"/>
            <w:right w:val="none" w:sz="0" w:space="0" w:color="auto"/>
          </w:divBdr>
        </w:div>
        <w:div w:id="1720664388">
          <w:marLeft w:val="0"/>
          <w:marRight w:val="0"/>
          <w:marTop w:val="0"/>
          <w:marBottom w:val="0"/>
          <w:divBdr>
            <w:top w:val="none" w:sz="0" w:space="0" w:color="auto"/>
            <w:left w:val="none" w:sz="0" w:space="0" w:color="auto"/>
            <w:bottom w:val="none" w:sz="0" w:space="0" w:color="auto"/>
            <w:right w:val="none" w:sz="0" w:space="0" w:color="auto"/>
          </w:divBdr>
        </w:div>
      </w:divsChild>
    </w:div>
    <w:div w:id="1919055168">
      <w:bodyDiv w:val="1"/>
      <w:marLeft w:val="0"/>
      <w:marRight w:val="0"/>
      <w:marTop w:val="0"/>
      <w:marBottom w:val="0"/>
      <w:divBdr>
        <w:top w:val="none" w:sz="0" w:space="0" w:color="auto"/>
        <w:left w:val="none" w:sz="0" w:space="0" w:color="auto"/>
        <w:bottom w:val="none" w:sz="0" w:space="0" w:color="auto"/>
        <w:right w:val="none" w:sz="0" w:space="0" w:color="auto"/>
      </w:divBdr>
      <w:divsChild>
        <w:div w:id="135463298">
          <w:marLeft w:val="0"/>
          <w:marRight w:val="0"/>
          <w:marTop w:val="0"/>
          <w:marBottom w:val="0"/>
          <w:divBdr>
            <w:top w:val="none" w:sz="0" w:space="0" w:color="auto"/>
            <w:left w:val="none" w:sz="0" w:space="0" w:color="auto"/>
            <w:bottom w:val="none" w:sz="0" w:space="0" w:color="auto"/>
            <w:right w:val="none" w:sz="0" w:space="0" w:color="auto"/>
          </w:divBdr>
        </w:div>
        <w:div w:id="321933203">
          <w:marLeft w:val="0"/>
          <w:marRight w:val="0"/>
          <w:marTop w:val="0"/>
          <w:marBottom w:val="0"/>
          <w:divBdr>
            <w:top w:val="none" w:sz="0" w:space="0" w:color="auto"/>
            <w:left w:val="none" w:sz="0" w:space="0" w:color="auto"/>
            <w:bottom w:val="none" w:sz="0" w:space="0" w:color="auto"/>
            <w:right w:val="none" w:sz="0" w:space="0" w:color="auto"/>
          </w:divBdr>
        </w:div>
        <w:div w:id="520582249">
          <w:marLeft w:val="0"/>
          <w:marRight w:val="0"/>
          <w:marTop w:val="0"/>
          <w:marBottom w:val="0"/>
          <w:divBdr>
            <w:top w:val="none" w:sz="0" w:space="0" w:color="auto"/>
            <w:left w:val="none" w:sz="0" w:space="0" w:color="auto"/>
            <w:bottom w:val="none" w:sz="0" w:space="0" w:color="auto"/>
            <w:right w:val="none" w:sz="0" w:space="0" w:color="auto"/>
          </w:divBdr>
        </w:div>
        <w:div w:id="1457019343">
          <w:marLeft w:val="0"/>
          <w:marRight w:val="0"/>
          <w:marTop w:val="0"/>
          <w:marBottom w:val="0"/>
          <w:divBdr>
            <w:top w:val="none" w:sz="0" w:space="0" w:color="auto"/>
            <w:left w:val="none" w:sz="0" w:space="0" w:color="auto"/>
            <w:bottom w:val="none" w:sz="0" w:space="0" w:color="auto"/>
            <w:right w:val="none" w:sz="0" w:space="0" w:color="auto"/>
          </w:divBdr>
        </w:div>
        <w:div w:id="1799296736">
          <w:marLeft w:val="0"/>
          <w:marRight w:val="0"/>
          <w:marTop w:val="0"/>
          <w:marBottom w:val="0"/>
          <w:divBdr>
            <w:top w:val="none" w:sz="0" w:space="0" w:color="auto"/>
            <w:left w:val="none" w:sz="0" w:space="0" w:color="auto"/>
            <w:bottom w:val="none" w:sz="0" w:space="0" w:color="auto"/>
            <w:right w:val="none" w:sz="0" w:space="0" w:color="auto"/>
          </w:divBdr>
          <w:divsChild>
            <w:div w:id="939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14">
      <w:bodyDiv w:val="1"/>
      <w:marLeft w:val="0"/>
      <w:marRight w:val="0"/>
      <w:marTop w:val="0"/>
      <w:marBottom w:val="0"/>
      <w:divBdr>
        <w:top w:val="none" w:sz="0" w:space="0" w:color="auto"/>
        <w:left w:val="none" w:sz="0" w:space="0" w:color="auto"/>
        <w:bottom w:val="none" w:sz="0" w:space="0" w:color="auto"/>
        <w:right w:val="none" w:sz="0" w:space="0" w:color="auto"/>
      </w:divBdr>
    </w:div>
    <w:div w:id="2128617289">
      <w:bodyDiv w:val="1"/>
      <w:marLeft w:val="0"/>
      <w:marRight w:val="0"/>
      <w:marTop w:val="0"/>
      <w:marBottom w:val="0"/>
      <w:divBdr>
        <w:top w:val="none" w:sz="0" w:space="0" w:color="auto"/>
        <w:left w:val="none" w:sz="0" w:space="0" w:color="auto"/>
        <w:bottom w:val="none" w:sz="0" w:space="0" w:color="auto"/>
        <w:right w:val="none" w:sz="0" w:space="0" w:color="auto"/>
      </w:divBdr>
    </w:div>
    <w:div w:id="2141461347">
      <w:bodyDiv w:val="1"/>
      <w:marLeft w:val="0"/>
      <w:marRight w:val="0"/>
      <w:marTop w:val="0"/>
      <w:marBottom w:val="0"/>
      <w:divBdr>
        <w:top w:val="none" w:sz="0" w:space="0" w:color="auto"/>
        <w:left w:val="none" w:sz="0" w:space="0" w:color="auto"/>
        <w:bottom w:val="none" w:sz="0" w:space="0" w:color="auto"/>
        <w:right w:val="none" w:sz="0" w:space="0" w:color="auto"/>
      </w:divBdr>
      <w:divsChild>
        <w:div w:id="82385756">
          <w:marLeft w:val="0"/>
          <w:marRight w:val="0"/>
          <w:marTop w:val="0"/>
          <w:marBottom w:val="0"/>
          <w:divBdr>
            <w:top w:val="none" w:sz="0" w:space="0" w:color="auto"/>
            <w:left w:val="none" w:sz="0" w:space="0" w:color="auto"/>
            <w:bottom w:val="none" w:sz="0" w:space="0" w:color="auto"/>
            <w:right w:val="none" w:sz="0" w:space="0" w:color="auto"/>
          </w:divBdr>
        </w:div>
        <w:div w:id="1069497548">
          <w:marLeft w:val="0"/>
          <w:marRight w:val="0"/>
          <w:marTop w:val="0"/>
          <w:marBottom w:val="0"/>
          <w:divBdr>
            <w:top w:val="none" w:sz="0" w:space="0" w:color="auto"/>
            <w:left w:val="none" w:sz="0" w:space="0" w:color="auto"/>
            <w:bottom w:val="none" w:sz="0" w:space="0" w:color="auto"/>
            <w:right w:val="none" w:sz="0" w:space="0" w:color="auto"/>
          </w:divBdr>
        </w:div>
        <w:div w:id="146515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myintracomm.ec.europa.eu/budgweb/EN/leg/internal/Documents/2016-5-legislative-financial-statement-ann-en.docx"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EN/man/budgmanag/Pages/budgmanag.aspx" TargetMode="External"/><Relationship Id="rId1" Type="http://schemas.openxmlformats.org/officeDocument/2006/relationships/hyperlink" Target="https://www2.deloitte.com/content/dam/insights/us/articles/6507_Cybersecurity-FS-ISAC/DI_2020-FS-ISAC-Cybersecurit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DA9313B1FD4EB4E136E9B93EC6EB" ma:contentTypeVersion="6" ma:contentTypeDescription="Create a new document." ma:contentTypeScope="" ma:versionID="781e5011cf906964be7d8189fde8c23f">
  <xsd:schema xmlns:xsd="http://www.w3.org/2001/XMLSchema" xmlns:xs="http://www.w3.org/2001/XMLSchema" xmlns:p="http://schemas.microsoft.com/office/2006/metadata/properties" xmlns:ns2="1172c1e8-1a1e-43f1-ab3b-d134b3755889" xmlns:ns3="0cb777b6-10cc-463b-b285-1f240af06f9f" targetNamespace="http://schemas.microsoft.com/office/2006/metadata/properties" ma:root="true" ma:fieldsID="663dc70de7500908842551d21104481b" ns2:_="" ns3:_="">
    <xsd:import namespace="1172c1e8-1a1e-43f1-ab3b-d134b3755889"/>
    <xsd:import namespace="0cb777b6-10cc-463b-b285-1f240af06f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2c1e8-1a1e-43f1-ab3b-d134b3755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777b6-10cc-463b-b285-1f240af06f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2CADA9313B1FD4EB4E136E9B93EC6EB" ma:contentTypeVersion="6" ma:contentTypeDescription="Create a new document." ma:contentTypeScope="" ma:versionID="781e5011cf906964be7d8189fde8c23f">
  <xsd:schema xmlns:xsd="http://www.w3.org/2001/XMLSchema" xmlns:xs="http://www.w3.org/2001/XMLSchema" xmlns:p="http://schemas.microsoft.com/office/2006/metadata/properties" xmlns:ns2="1172c1e8-1a1e-43f1-ab3b-d134b3755889" xmlns:ns3="0cb777b6-10cc-463b-b285-1f240af06f9f" targetNamespace="http://schemas.microsoft.com/office/2006/metadata/properties" ma:root="true" ma:fieldsID="663dc70de7500908842551d21104481b" ns2:_="" ns3:_="">
    <xsd:import namespace="1172c1e8-1a1e-43f1-ab3b-d134b3755889"/>
    <xsd:import namespace="0cb777b6-10cc-463b-b285-1f240af06f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2c1e8-1a1e-43f1-ab3b-d134b3755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777b6-10cc-463b-b285-1f240af06f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A6F81-6965-4556-9A9C-FC6671B1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2c1e8-1a1e-43f1-ab3b-d134b3755889"/>
    <ds:schemaRef ds:uri="0cb777b6-10cc-463b-b285-1f240af06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85B5C-25C6-4792-9F34-4CEA4F23EC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3BE29D-C222-44B7-92B0-898AE096AF33}">
  <ds:schemaRefs>
    <ds:schemaRef ds:uri="http://schemas.microsoft.com/sharepoint/v3/contenttype/forms"/>
  </ds:schemaRefs>
</ds:datastoreItem>
</file>

<file path=customXml/itemProps4.xml><?xml version="1.0" encoding="utf-8"?>
<ds:datastoreItem xmlns:ds="http://schemas.openxmlformats.org/officeDocument/2006/customXml" ds:itemID="{38D9C1A9-8C3A-469B-91D8-F2E41C8B0C5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CB09743-96D9-4486-93FF-A78B1CA3A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2c1e8-1a1e-43f1-ab3b-d134b3755889"/>
    <ds:schemaRef ds:uri="0cb777b6-10cc-463b-b285-1f240af06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67B791-8508-488D-88B7-D912C7856D42}">
  <ds:schemaRefs>
    <ds:schemaRef ds:uri="http://schemas.microsoft.com/sharepoint/v3/contenttype/forms"/>
  </ds:schemaRefs>
</ds:datastoreItem>
</file>

<file path=customXml/itemProps7.xml><?xml version="1.0" encoding="utf-8"?>
<ds:datastoreItem xmlns:ds="http://schemas.openxmlformats.org/officeDocument/2006/customXml" ds:itemID="{22021ABA-1065-4DCF-BFE9-1816FC84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42</Pages>
  <Words>13487</Words>
  <Characters>77825</Characters>
  <Application>Microsoft Office Word</Application>
  <DocSecurity>0</DocSecurity>
  <Lines>2161</Lines>
  <Paragraphs>1037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2022-03-11T10:29:00Z</dcterms:created>
  <dcterms:modified xsi:type="dcterms:W3CDTF">2022-03-22T10:04:00Z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ContentTypeId">
    <vt:lpwstr>0x010100D2CADA9313B1FD4EB4E136E9B93EC6EB</vt:lpwstr>
  </property>
  <property fmtid="{D5CDD505-2E9C-101B-9397-08002B2CF9AE}" pid="6" name="MSIP_Label_6bd9ddd1-4d20-43f6-abfa-fc3c07406f94_Enabled">
    <vt:lpwstr>true</vt:lpwstr>
  </property>
  <property fmtid="{D5CDD505-2E9C-101B-9397-08002B2CF9AE}" pid="7" name="MSIP_Label_6bd9ddd1-4d20-43f6-abfa-fc3c07406f94_SetDate">
    <vt:lpwstr>2022-02-25T09:54:57Z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8e62b683-90ca-4c35-b8e6-0917d46c813e</vt:lpwstr>
  </property>
  <property fmtid="{D5CDD505-2E9C-101B-9397-08002B2CF9AE}" pid="12" name="MSIP_Label_6bd9ddd1-4d20-43f6-abfa-fc3c07406f94_ContentBits">
    <vt:lpwstr>0</vt:lpwstr>
  </property>
  <property fmtid="{D5CDD505-2E9C-101B-9397-08002B2CF9AE}" pid="13" name="Version">
    <vt:lpwstr>7.0.9.0</vt:lpwstr>
  </property>
  <property fmtid="{D5CDD505-2E9C-101B-9397-08002B2CF9AE}" pid="14" name="Created using">
    <vt:lpwstr>LW 7.0.1, Build 20190916</vt:lpwstr>
  </property>
  <property fmtid="{D5CDD505-2E9C-101B-9397-08002B2CF9AE}" pid="15" name="Part">
    <vt:lpwstr>1</vt:lpwstr>
  </property>
  <property fmtid="{D5CDD505-2E9C-101B-9397-08002B2CF9AE}" pid="16" name="Total parts">
    <vt:lpwstr>1</vt:lpwstr>
  </property>
  <property fmtid="{D5CDD505-2E9C-101B-9397-08002B2CF9AE}" pid="17" name="LWTemplateID">
    <vt:lpwstr>SJ-023</vt:lpwstr>
  </property>
  <property fmtid="{D5CDD505-2E9C-101B-9397-08002B2CF9AE}" pid="18" name="DQCStatus">
    <vt:lpwstr>Green (DQC version 03)</vt:lpwstr>
  </property>
</Properties>
</file>