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85" w:rsidRDefault="00F50DC2" w:rsidP="00F50DC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D5D08AD-5B99-47DC-8EEE-8B185B3DE968" style="width:455.25pt;height:438.75pt">
            <v:imagedata r:id="rId8" o:title=""/>
          </v:shape>
        </w:pict>
      </w:r>
    </w:p>
    <w:bookmarkEnd w:id="0"/>
    <w:p w:rsidR="00D82885" w:rsidRDefault="00D82885">
      <w:pPr>
        <w:rPr>
          <w:noProof/>
        </w:rPr>
        <w:sectPr w:rsidR="00D82885" w:rsidSect="00F50DC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82885" w:rsidRDefault="00E37F5A">
      <w:pPr>
        <w:autoSpaceDE w:val="0"/>
        <w:autoSpaceDN w:val="0"/>
        <w:adjustRightInd w:val="0"/>
        <w:spacing w:after="120" w:line="360" w:lineRule="auto"/>
        <w:jc w:val="center"/>
        <w:outlineLvl w:val="0"/>
        <w:rPr>
          <w:b/>
          <w:noProof/>
          <w:u w:val="single"/>
        </w:rPr>
      </w:pPr>
      <w:bookmarkStart w:id="1" w:name="_GoBack"/>
      <w:bookmarkEnd w:id="1"/>
      <w:r>
        <w:rPr>
          <w:b/>
          <w:noProof/>
          <w:u w:val="single"/>
        </w:rPr>
        <w:lastRenderedPageBreak/>
        <w:t>ANHANG</w:t>
      </w:r>
    </w:p>
    <w:p w:rsidR="00E37F5A" w:rsidRPr="00817DCA" w:rsidRDefault="00E37F5A" w:rsidP="00E37F5A">
      <w:pPr>
        <w:jc w:val="center"/>
        <w:rPr>
          <w:b/>
          <w:noProof/>
        </w:rPr>
      </w:pPr>
      <w:r>
        <w:rPr>
          <w:b/>
          <w:noProof/>
        </w:rPr>
        <w:t>Liste der Exportkreditagenturen in der EU, die 2020 Tätigkeiten im Sinne der Verordnung (EU) Nr. 1233/2011 gemeldet haben</w:t>
      </w:r>
    </w:p>
    <w:p w:rsidR="00E37F5A" w:rsidRPr="001812CE" w:rsidRDefault="00E37F5A" w:rsidP="00E37F5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E37F5A" w:rsidRPr="001812CE" w:rsidTr="00FC7886">
        <w:trPr>
          <w:trHeight w:val="397"/>
        </w:trPr>
        <w:tc>
          <w:tcPr>
            <w:tcW w:w="9180" w:type="dxa"/>
            <w:gridSpan w:val="2"/>
            <w:shd w:val="clear" w:color="auto" w:fill="44546A"/>
            <w:vAlign w:val="center"/>
          </w:tcPr>
          <w:p w:rsidR="00E37F5A" w:rsidRPr="001812CE" w:rsidRDefault="00E37F5A" w:rsidP="00FC7886">
            <w:pPr>
              <w:jc w:val="center"/>
              <w:rPr>
                <w:b/>
                <w:noProof/>
                <w:color w:val="FFFFFF"/>
              </w:rPr>
            </w:pPr>
            <w:r>
              <w:rPr>
                <w:b/>
                <w:noProof/>
                <w:color w:val="FFFFFF"/>
              </w:rPr>
              <w:t>Tabelle: 2020 in der EU tätige ECA</w:t>
            </w:r>
          </w:p>
        </w:tc>
      </w:tr>
      <w:tr w:rsidR="00E37F5A" w:rsidRPr="001812CE" w:rsidTr="00FC7886">
        <w:trPr>
          <w:trHeight w:val="397"/>
        </w:trPr>
        <w:tc>
          <w:tcPr>
            <w:tcW w:w="2376" w:type="dxa"/>
            <w:shd w:val="clear" w:color="auto" w:fill="D5DCE4"/>
            <w:vAlign w:val="center"/>
          </w:tcPr>
          <w:p w:rsidR="00E37F5A" w:rsidRPr="001A161F" w:rsidRDefault="00E37F5A" w:rsidP="00FC7886">
            <w:pPr>
              <w:jc w:val="center"/>
              <w:rPr>
                <w:i/>
                <w:noProof/>
              </w:rPr>
            </w:pPr>
            <w:r>
              <w:rPr>
                <w:i/>
                <w:noProof/>
              </w:rPr>
              <w:t>Land</w:t>
            </w:r>
          </w:p>
        </w:tc>
        <w:tc>
          <w:tcPr>
            <w:tcW w:w="6804" w:type="dxa"/>
            <w:shd w:val="clear" w:color="auto" w:fill="D5DCE4"/>
            <w:vAlign w:val="center"/>
          </w:tcPr>
          <w:p w:rsidR="00E37F5A" w:rsidRPr="001A161F" w:rsidRDefault="00E37F5A" w:rsidP="00FC7886">
            <w:pPr>
              <w:jc w:val="center"/>
              <w:rPr>
                <w:i/>
                <w:noProof/>
              </w:rPr>
            </w:pPr>
            <w:r>
              <w:rPr>
                <w:i/>
                <w:noProof/>
              </w:rPr>
              <w:t>Name und Status der ECA</w:t>
            </w:r>
          </w:p>
        </w:tc>
      </w:tr>
      <w:tr w:rsidR="00E37F5A" w:rsidRPr="001812CE" w:rsidTr="00FC7886">
        <w:tc>
          <w:tcPr>
            <w:tcW w:w="2376" w:type="dxa"/>
            <w:shd w:val="clear" w:color="auto" w:fill="auto"/>
          </w:tcPr>
          <w:p w:rsidR="00E37F5A" w:rsidRPr="001812CE" w:rsidRDefault="00E37F5A" w:rsidP="00FC7886">
            <w:pPr>
              <w:rPr>
                <w:noProof/>
              </w:rPr>
            </w:pPr>
            <w:r>
              <w:rPr>
                <w:noProof/>
              </w:rPr>
              <w:t>Österreich</w:t>
            </w:r>
          </w:p>
        </w:tc>
        <w:tc>
          <w:tcPr>
            <w:tcW w:w="6804" w:type="dxa"/>
            <w:shd w:val="clear" w:color="auto" w:fill="auto"/>
          </w:tcPr>
          <w:p w:rsidR="00E37F5A" w:rsidRPr="001812CE" w:rsidRDefault="00E37F5A" w:rsidP="00FC7886">
            <w:pPr>
              <w:rPr>
                <w:noProof/>
              </w:rPr>
            </w:pPr>
            <w:r>
              <w:rPr>
                <w:noProof/>
              </w:rPr>
              <w:t>Gemäß dem Ausfuhrförderungsgesetz handelt die Oesterreichische Kontrollbank AG (OeKB) als ECA im Auftrag von und für Rechnung der Republik Österreich.</w:t>
            </w:r>
          </w:p>
        </w:tc>
      </w:tr>
      <w:tr w:rsidR="00E37F5A" w:rsidRPr="001812CE" w:rsidTr="00FC7886">
        <w:tc>
          <w:tcPr>
            <w:tcW w:w="2376" w:type="dxa"/>
            <w:shd w:val="clear" w:color="auto" w:fill="auto"/>
          </w:tcPr>
          <w:p w:rsidR="00E37F5A" w:rsidRPr="001812CE" w:rsidRDefault="00E37F5A" w:rsidP="00FC7886">
            <w:pPr>
              <w:rPr>
                <w:noProof/>
              </w:rPr>
            </w:pPr>
            <w:r>
              <w:rPr>
                <w:noProof/>
              </w:rPr>
              <w:t>Belgien</w:t>
            </w:r>
          </w:p>
        </w:tc>
        <w:tc>
          <w:tcPr>
            <w:tcW w:w="6804" w:type="dxa"/>
            <w:shd w:val="clear" w:color="auto" w:fill="auto"/>
          </w:tcPr>
          <w:p w:rsidR="00E37F5A" w:rsidRPr="001812CE" w:rsidRDefault="00E37F5A" w:rsidP="00FC7886">
            <w:pPr>
              <w:rPr>
                <w:noProof/>
              </w:rPr>
            </w:pPr>
            <w:r>
              <w:rPr>
                <w:noProof/>
              </w:rPr>
              <w:t>Die ECA Credendo ist ein eigenständiges, öffentliches Finanzinstitut mit Rechtspersönlichkeit, für das der belgische Staat eine Garantie übernommen hat.</w:t>
            </w:r>
          </w:p>
        </w:tc>
      </w:tr>
      <w:tr w:rsidR="00E37F5A" w:rsidRPr="001812CE" w:rsidTr="00FC7886">
        <w:tc>
          <w:tcPr>
            <w:tcW w:w="2376" w:type="dxa"/>
            <w:shd w:val="clear" w:color="auto" w:fill="auto"/>
          </w:tcPr>
          <w:p w:rsidR="00E37F5A" w:rsidRPr="001812CE" w:rsidRDefault="00E37F5A" w:rsidP="00FC7886">
            <w:pPr>
              <w:rPr>
                <w:noProof/>
              </w:rPr>
            </w:pPr>
            <w:r>
              <w:rPr>
                <w:noProof/>
              </w:rPr>
              <w:t>Kroatien</w:t>
            </w:r>
          </w:p>
        </w:tc>
        <w:tc>
          <w:tcPr>
            <w:tcW w:w="6804" w:type="dxa"/>
            <w:shd w:val="clear" w:color="auto" w:fill="auto"/>
          </w:tcPr>
          <w:p w:rsidR="00E37F5A" w:rsidRPr="001812CE" w:rsidRDefault="00E37F5A" w:rsidP="00FC7886">
            <w:pPr>
              <w:rPr>
                <w:noProof/>
              </w:rPr>
            </w:pPr>
            <w:r>
              <w:rPr>
                <w:noProof/>
              </w:rPr>
              <w:t>Die Kroatische Bank für Wiederaufbau und Entwicklung (HBOR) fungiert als nationale ECA und bietet im Auftrag von und für Rechnung der Republik Kroatien Exportkreditversicherungen an.</w:t>
            </w:r>
          </w:p>
        </w:tc>
      </w:tr>
      <w:tr w:rsidR="00E37F5A" w:rsidRPr="001812CE" w:rsidTr="00FC7886">
        <w:tc>
          <w:tcPr>
            <w:tcW w:w="2376" w:type="dxa"/>
            <w:shd w:val="clear" w:color="auto" w:fill="auto"/>
          </w:tcPr>
          <w:p w:rsidR="00E37F5A" w:rsidRPr="001812CE" w:rsidRDefault="00E37F5A" w:rsidP="00FC7886">
            <w:pPr>
              <w:rPr>
                <w:noProof/>
              </w:rPr>
            </w:pPr>
            <w:r>
              <w:rPr>
                <w:noProof/>
              </w:rPr>
              <w:t>Tschechien</w:t>
            </w:r>
          </w:p>
        </w:tc>
        <w:tc>
          <w:tcPr>
            <w:tcW w:w="6804" w:type="dxa"/>
            <w:shd w:val="clear" w:color="auto" w:fill="auto"/>
          </w:tcPr>
          <w:p w:rsidR="00E37F5A" w:rsidRPr="001812CE" w:rsidRDefault="00E37F5A" w:rsidP="00FC7886">
            <w:pPr>
              <w:rPr>
                <w:noProof/>
              </w:rPr>
            </w:pPr>
            <w:r>
              <w:rPr>
                <w:noProof/>
              </w:rPr>
              <w:t>Die Exportgarantie- und -versicherungsgesellschaft (EGAP), ein spezialisiertes staatliches Kreditversicherungsunternehmen, und die Tschechische Exportbank (ČEB), eine Spezialbank, bei der es sich um eine dem tschechischen Staat gehörende Aktiengesellschaft handelt, fungieren beide als ECA und bieten verschiedene Programme (Bank- und Versicherungsprodukte) an.</w:t>
            </w:r>
          </w:p>
        </w:tc>
      </w:tr>
      <w:tr w:rsidR="00E37F5A" w:rsidRPr="001812CE" w:rsidTr="00FC7886">
        <w:tc>
          <w:tcPr>
            <w:tcW w:w="2376" w:type="dxa"/>
            <w:shd w:val="clear" w:color="auto" w:fill="auto"/>
          </w:tcPr>
          <w:p w:rsidR="00E37F5A" w:rsidRPr="001812CE" w:rsidRDefault="00E37F5A" w:rsidP="00FC7886">
            <w:pPr>
              <w:rPr>
                <w:noProof/>
              </w:rPr>
            </w:pPr>
            <w:r>
              <w:rPr>
                <w:noProof/>
              </w:rPr>
              <w:t>Dänemark</w:t>
            </w:r>
          </w:p>
        </w:tc>
        <w:tc>
          <w:tcPr>
            <w:tcW w:w="6804" w:type="dxa"/>
            <w:shd w:val="clear" w:color="auto" w:fill="auto"/>
          </w:tcPr>
          <w:p w:rsidR="00E37F5A" w:rsidRPr="001812CE" w:rsidRDefault="00E37F5A" w:rsidP="00FC7886">
            <w:pPr>
              <w:rPr>
                <w:noProof/>
              </w:rPr>
            </w:pPr>
            <w:r>
              <w:rPr>
                <w:noProof/>
              </w:rPr>
              <w:t>Die dänische ECA Eksport Kredit Fonden (EKF) ist ein eigenständiges öffentliches Unternehmen, das sich im Eigentum des dänischen Staates befindet und für das dieser eine Garantie übernommen hat.</w:t>
            </w:r>
          </w:p>
        </w:tc>
      </w:tr>
      <w:tr w:rsidR="00E37F5A" w:rsidRPr="001812CE" w:rsidTr="00FC7886">
        <w:tc>
          <w:tcPr>
            <w:tcW w:w="2376" w:type="dxa"/>
            <w:shd w:val="clear" w:color="auto" w:fill="auto"/>
          </w:tcPr>
          <w:p w:rsidR="00E37F5A" w:rsidRPr="001812CE" w:rsidRDefault="00E37F5A" w:rsidP="00FC7886">
            <w:pPr>
              <w:rPr>
                <w:noProof/>
              </w:rPr>
            </w:pPr>
            <w:r>
              <w:rPr>
                <w:noProof/>
              </w:rPr>
              <w:t>Estland</w:t>
            </w:r>
          </w:p>
        </w:tc>
        <w:tc>
          <w:tcPr>
            <w:tcW w:w="6804" w:type="dxa"/>
            <w:shd w:val="clear" w:color="auto" w:fill="auto"/>
          </w:tcPr>
          <w:p w:rsidR="00E37F5A" w:rsidRPr="001812CE" w:rsidRDefault="00E37F5A" w:rsidP="00FC7886">
            <w:pPr>
              <w:rPr>
                <w:noProof/>
              </w:rPr>
            </w:pPr>
            <w:r>
              <w:rPr>
                <w:noProof/>
              </w:rPr>
              <w:t>Die Versicherungsgesellschaft Aktsiaselts KredEx Krediidikindlustus handelt auf der Grundlage des Gesetzes über staatliche Exportgarantien als ECA im Auftrag der Republik Estland und als ihre Bevollmächtigte für ihre Rechnung.</w:t>
            </w:r>
          </w:p>
        </w:tc>
      </w:tr>
      <w:tr w:rsidR="00E37F5A" w:rsidRPr="001812CE" w:rsidTr="00FC7886">
        <w:tc>
          <w:tcPr>
            <w:tcW w:w="2376" w:type="dxa"/>
            <w:shd w:val="clear" w:color="auto" w:fill="auto"/>
          </w:tcPr>
          <w:p w:rsidR="00E37F5A" w:rsidRPr="001812CE" w:rsidRDefault="00E37F5A" w:rsidP="00FC7886">
            <w:pPr>
              <w:rPr>
                <w:noProof/>
              </w:rPr>
            </w:pPr>
            <w:r>
              <w:rPr>
                <w:noProof/>
              </w:rPr>
              <w:t>Finnland</w:t>
            </w:r>
          </w:p>
        </w:tc>
        <w:tc>
          <w:tcPr>
            <w:tcW w:w="6804" w:type="dxa"/>
            <w:shd w:val="clear" w:color="auto" w:fill="auto"/>
          </w:tcPr>
          <w:p w:rsidR="00E37F5A" w:rsidRPr="001812CE" w:rsidRDefault="00E37F5A" w:rsidP="00FC7886">
            <w:pPr>
              <w:rPr>
                <w:noProof/>
              </w:rPr>
            </w:pPr>
            <w:r>
              <w:rPr>
                <w:noProof/>
              </w:rPr>
              <w:t>Die nationale ECA ist Finnvera Plc, eine spezialisierte Finanzierungsgesellschaft im Eigentum des finnischen Staates.</w:t>
            </w:r>
          </w:p>
        </w:tc>
      </w:tr>
      <w:tr w:rsidR="00E37F5A" w:rsidRPr="001812CE" w:rsidTr="00FC7886">
        <w:tc>
          <w:tcPr>
            <w:tcW w:w="2376" w:type="dxa"/>
            <w:shd w:val="clear" w:color="auto" w:fill="auto"/>
          </w:tcPr>
          <w:p w:rsidR="00E37F5A" w:rsidRPr="001812CE" w:rsidRDefault="00E37F5A" w:rsidP="00FC7886">
            <w:pPr>
              <w:rPr>
                <w:noProof/>
              </w:rPr>
            </w:pPr>
            <w:r>
              <w:rPr>
                <w:noProof/>
              </w:rPr>
              <w:t>Frankreich</w:t>
            </w:r>
          </w:p>
        </w:tc>
        <w:tc>
          <w:tcPr>
            <w:tcW w:w="6804" w:type="dxa"/>
            <w:shd w:val="clear" w:color="auto" w:fill="auto"/>
          </w:tcPr>
          <w:p w:rsidR="00E37F5A" w:rsidRDefault="00E37F5A" w:rsidP="00FC7886">
            <w:pPr>
              <w:rPr>
                <w:noProof/>
              </w:rPr>
            </w:pPr>
            <w:r>
              <w:rPr>
                <w:noProof/>
              </w:rPr>
              <w:t>Die Bpifrance Assurance Export, eine Tochtergesellschaft der öffentlichen Investitionsbank Bpifrance SA, wickelt im Namen, im Auftrag und unter Kontrolle des französischen Staates staatliche Garantien ab.</w:t>
            </w:r>
          </w:p>
          <w:p w:rsidR="00E37F5A" w:rsidRPr="001812CE" w:rsidRDefault="00E37F5A" w:rsidP="00FC7886">
            <w:pPr>
              <w:rPr>
                <w:noProof/>
              </w:rPr>
            </w:pPr>
            <w:r>
              <w:rPr>
                <w:noProof/>
              </w:rPr>
              <w:t>Natixis, ein Privatunternehmen, verwaltet im Namen des französischen Staates im Rahmen eines Gesetzes und einer Vereinbarung zwischen dem französischen Staat und Natixis Zinsausgleichsregelungen.</w:t>
            </w:r>
          </w:p>
        </w:tc>
      </w:tr>
      <w:tr w:rsidR="00E37F5A" w:rsidRPr="001812CE" w:rsidTr="00FC7886">
        <w:tc>
          <w:tcPr>
            <w:tcW w:w="2376" w:type="dxa"/>
            <w:shd w:val="clear" w:color="auto" w:fill="auto"/>
          </w:tcPr>
          <w:p w:rsidR="00E37F5A" w:rsidRPr="001812CE" w:rsidRDefault="00E37F5A" w:rsidP="00FC7886">
            <w:pPr>
              <w:rPr>
                <w:noProof/>
              </w:rPr>
            </w:pPr>
            <w:r>
              <w:rPr>
                <w:noProof/>
              </w:rPr>
              <w:t>Deutschland</w:t>
            </w:r>
          </w:p>
        </w:tc>
        <w:tc>
          <w:tcPr>
            <w:tcW w:w="6804" w:type="dxa"/>
            <w:shd w:val="clear" w:color="auto" w:fill="auto"/>
          </w:tcPr>
          <w:p w:rsidR="00E37F5A" w:rsidRPr="001812CE" w:rsidRDefault="00E37F5A" w:rsidP="00FC7886">
            <w:pPr>
              <w:rPr>
                <w:noProof/>
              </w:rPr>
            </w:pPr>
            <w:r>
              <w:rPr>
                <w:noProof/>
              </w:rPr>
              <w:t>Die Bundesregierung trägt die haushaltsrechtliche Verantwortung für die Exportkreditgarantien. Sie werden im Auftrag der Bundesrepublik Deutschland von der Euler Hermes Aktiengesellschaft (einer Versicherungsgesellschaft) als Mandatar des Bundes bearbeitet.</w:t>
            </w:r>
          </w:p>
        </w:tc>
      </w:tr>
      <w:tr w:rsidR="00E37F5A" w:rsidRPr="001812CE" w:rsidTr="00FC7886">
        <w:tc>
          <w:tcPr>
            <w:tcW w:w="2376" w:type="dxa"/>
            <w:shd w:val="clear" w:color="auto" w:fill="auto"/>
          </w:tcPr>
          <w:p w:rsidR="00E37F5A" w:rsidRPr="001812CE" w:rsidRDefault="00E37F5A" w:rsidP="00FC7886">
            <w:pPr>
              <w:rPr>
                <w:noProof/>
              </w:rPr>
            </w:pPr>
            <w:r>
              <w:rPr>
                <w:noProof/>
              </w:rPr>
              <w:t>Ungarn</w:t>
            </w:r>
          </w:p>
        </w:tc>
        <w:tc>
          <w:tcPr>
            <w:tcW w:w="6804" w:type="dxa"/>
            <w:shd w:val="clear" w:color="auto" w:fill="auto"/>
          </w:tcPr>
          <w:p w:rsidR="00E37F5A" w:rsidRPr="001812CE" w:rsidRDefault="00E37F5A" w:rsidP="00FC7886">
            <w:pPr>
              <w:rPr>
                <w:noProof/>
              </w:rPr>
            </w:pPr>
            <w:r>
              <w:rPr>
                <w:noProof/>
              </w:rPr>
              <w:t>Die Hungarian Export-Import Bank Plc. (Eximbank) ist eine im Staatseigentum befindliche Spezialbank. Die Hungarian Export Credit Insurance Plc. (MEHIB) ist ein spezialisiertes staatliches Kreditversicherungsunternehmen. Die Bank und die Versicherungsgesellschaft sind in einem integrierten Rahmen tätig und fungieren mit einander ergänzenden Programmen als ECA.</w:t>
            </w:r>
          </w:p>
        </w:tc>
      </w:tr>
      <w:tr w:rsidR="00E37F5A" w:rsidRPr="001812CE" w:rsidTr="00FC7886">
        <w:tc>
          <w:tcPr>
            <w:tcW w:w="2376" w:type="dxa"/>
            <w:shd w:val="clear" w:color="auto" w:fill="auto"/>
          </w:tcPr>
          <w:p w:rsidR="00E37F5A" w:rsidRPr="001812CE" w:rsidRDefault="00E37F5A" w:rsidP="00FC7886">
            <w:pPr>
              <w:rPr>
                <w:noProof/>
              </w:rPr>
            </w:pPr>
            <w:r>
              <w:rPr>
                <w:noProof/>
              </w:rPr>
              <w:t>Italien</w:t>
            </w:r>
          </w:p>
        </w:tc>
        <w:tc>
          <w:tcPr>
            <w:tcW w:w="6804" w:type="dxa"/>
            <w:shd w:val="clear" w:color="auto" w:fill="auto"/>
          </w:tcPr>
          <w:p w:rsidR="00E37F5A" w:rsidRPr="001812CE" w:rsidRDefault="00E37F5A" w:rsidP="00FC7886">
            <w:pPr>
              <w:rPr>
                <w:noProof/>
              </w:rPr>
            </w:pPr>
            <w:r>
              <w:rPr>
                <w:noProof/>
              </w:rPr>
              <w:t>SACE, eine Aktiengesellschaft im staatlichen Eigentum (zu 100 % im Besitz der Cassa Depositi e Prestiti), und SIMEST, eine über SACE von der Cassa Depositi e Prestiti kontrollierte Aktiengesellschaft, fungieren beide als ECA. Im Rahmen öffentlich unterstützter Exportkreditprogramme bietet SACE hauptsächlich Garantien bzw. Versicherungen und SIMEST Käufer- und Lieferantenkredite an. Die beiden Unternehmen bieten auch eine Reihe von Produkten außerhalb des Bereichs der Exportkredite an.</w:t>
            </w:r>
          </w:p>
        </w:tc>
      </w:tr>
      <w:tr w:rsidR="00E37F5A" w:rsidRPr="001812CE" w:rsidTr="00FC7886">
        <w:tc>
          <w:tcPr>
            <w:tcW w:w="2376" w:type="dxa"/>
            <w:shd w:val="clear" w:color="auto" w:fill="auto"/>
          </w:tcPr>
          <w:p w:rsidR="00E37F5A" w:rsidRPr="001812CE" w:rsidRDefault="00E37F5A" w:rsidP="00FC7886">
            <w:pPr>
              <w:rPr>
                <w:noProof/>
              </w:rPr>
            </w:pPr>
            <w:r>
              <w:rPr>
                <w:noProof/>
              </w:rPr>
              <w:t>Luxemburg</w:t>
            </w:r>
          </w:p>
        </w:tc>
        <w:tc>
          <w:tcPr>
            <w:tcW w:w="6804" w:type="dxa"/>
            <w:shd w:val="clear" w:color="auto" w:fill="auto"/>
          </w:tcPr>
          <w:p w:rsidR="00E37F5A" w:rsidRPr="001812CE" w:rsidRDefault="00E37F5A" w:rsidP="00FC7886">
            <w:pPr>
              <w:rPr>
                <w:noProof/>
              </w:rPr>
            </w:pPr>
            <w:r>
              <w:rPr>
                <w:noProof/>
              </w:rPr>
              <w:t>Die ECA ist das Office du Ducroire (ODL), eine öffentliche Einrichtung mit staatlicher Garantie.</w:t>
            </w:r>
          </w:p>
        </w:tc>
      </w:tr>
      <w:tr w:rsidR="00E37F5A" w:rsidRPr="001812CE" w:rsidTr="00FC7886">
        <w:tc>
          <w:tcPr>
            <w:tcW w:w="2376" w:type="dxa"/>
            <w:shd w:val="clear" w:color="auto" w:fill="auto"/>
          </w:tcPr>
          <w:p w:rsidR="00E37F5A" w:rsidRPr="001812CE" w:rsidRDefault="00E37F5A" w:rsidP="00FC7886">
            <w:pPr>
              <w:rPr>
                <w:noProof/>
              </w:rPr>
            </w:pPr>
            <w:r>
              <w:rPr>
                <w:noProof/>
              </w:rPr>
              <w:t>Niederlande</w:t>
            </w:r>
          </w:p>
        </w:tc>
        <w:tc>
          <w:tcPr>
            <w:tcW w:w="6804" w:type="dxa"/>
            <w:shd w:val="clear" w:color="auto" w:fill="auto"/>
          </w:tcPr>
          <w:p w:rsidR="00E37F5A" w:rsidRPr="001812CE" w:rsidRDefault="00E37F5A" w:rsidP="00FC7886">
            <w:pPr>
              <w:rPr>
                <w:noProof/>
              </w:rPr>
            </w:pPr>
            <w:r>
              <w:rPr>
                <w:noProof/>
              </w:rPr>
              <w:t>Die ECA der niederländischen Regierung ist Atradius Dutch State Business. Das Unternehmen wickelt Exportkreditversicherungsvereinbarungen und -garantien ab, die der Finanzminister als Vertreter des niederländischen Staates abschließt/gewährt.</w:t>
            </w:r>
          </w:p>
        </w:tc>
      </w:tr>
      <w:tr w:rsidR="00E37F5A" w:rsidRPr="001812CE" w:rsidTr="00FC7886">
        <w:tc>
          <w:tcPr>
            <w:tcW w:w="2376" w:type="dxa"/>
            <w:shd w:val="clear" w:color="auto" w:fill="auto"/>
          </w:tcPr>
          <w:p w:rsidR="00E37F5A" w:rsidRPr="001812CE" w:rsidRDefault="00E37F5A" w:rsidP="00FC7886">
            <w:pPr>
              <w:rPr>
                <w:noProof/>
              </w:rPr>
            </w:pPr>
            <w:r>
              <w:rPr>
                <w:noProof/>
              </w:rPr>
              <w:t>Polen</w:t>
            </w:r>
          </w:p>
        </w:tc>
        <w:tc>
          <w:tcPr>
            <w:tcW w:w="6804" w:type="dxa"/>
            <w:shd w:val="clear" w:color="auto" w:fill="auto"/>
          </w:tcPr>
          <w:p w:rsidR="00E37F5A" w:rsidRPr="001812CE" w:rsidRDefault="00E37F5A" w:rsidP="00FC7886">
            <w:pPr>
              <w:rPr>
                <w:noProof/>
              </w:rPr>
            </w:pPr>
            <w:r>
              <w:rPr>
                <w:noProof/>
              </w:rPr>
              <w:t>KUKE ist eine Aktiengesellschaft, deren Anteile mehrheitlich im Besitz des Staates sind. Sie wurde durch das Gesetz vom 7. Juli 1994 mit der Verwaltung der „Pure-Cover“-Exportkreditprogramme beauftragt.</w:t>
            </w:r>
          </w:p>
        </w:tc>
      </w:tr>
      <w:tr w:rsidR="00E37F5A" w:rsidRPr="001812CE" w:rsidTr="00FC7886">
        <w:tc>
          <w:tcPr>
            <w:tcW w:w="2376" w:type="dxa"/>
            <w:shd w:val="clear" w:color="auto" w:fill="auto"/>
          </w:tcPr>
          <w:p w:rsidR="00E37F5A" w:rsidRPr="001812CE" w:rsidRDefault="00E37F5A" w:rsidP="00FC7886">
            <w:pPr>
              <w:rPr>
                <w:noProof/>
              </w:rPr>
            </w:pPr>
            <w:r>
              <w:rPr>
                <w:noProof/>
              </w:rPr>
              <w:t>Portugal</w:t>
            </w:r>
          </w:p>
        </w:tc>
        <w:tc>
          <w:tcPr>
            <w:tcW w:w="6804" w:type="dxa"/>
            <w:shd w:val="clear" w:color="auto" w:fill="auto"/>
          </w:tcPr>
          <w:p w:rsidR="00E37F5A" w:rsidRPr="001812CE" w:rsidRDefault="00E37F5A" w:rsidP="00FC7886">
            <w:pPr>
              <w:rPr>
                <w:noProof/>
              </w:rPr>
            </w:pPr>
            <w:r>
              <w:rPr>
                <w:noProof/>
              </w:rPr>
              <w:t>COSEC (Companhia de Seguro de Créditosis) ist eine private Versicherungsgesellschaft, die im Namen des portugiesischen Staates in Abstimmung mit der Generaldirektion Schatzamt und Finanzen als ECA handelt.</w:t>
            </w:r>
          </w:p>
        </w:tc>
      </w:tr>
      <w:tr w:rsidR="00E37F5A" w:rsidRPr="001812CE" w:rsidTr="00FC7886">
        <w:tc>
          <w:tcPr>
            <w:tcW w:w="2376" w:type="dxa"/>
            <w:shd w:val="clear" w:color="auto" w:fill="auto"/>
          </w:tcPr>
          <w:p w:rsidR="00E37F5A" w:rsidRPr="001812CE" w:rsidRDefault="00E37F5A" w:rsidP="00FC7886">
            <w:pPr>
              <w:rPr>
                <w:noProof/>
              </w:rPr>
            </w:pPr>
            <w:r>
              <w:rPr>
                <w:noProof/>
              </w:rPr>
              <w:t>Rumänien</w:t>
            </w:r>
          </w:p>
        </w:tc>
        <w:tc>
          <w:tcPr>
            <w:tcW w:w="6804" w:type="dxa"/>
            <w:shd w:val="clear" w:color="auto" w:fill="auto"/>
          </w:tcPr>
          <w:p w:rsidR="00E37F5A" w:rsidRPr="001812CE" w:rsidRDefault="00E37F5A" w:rsidP="00FC7886">
            <w:pPr>
              <w:rPr>
                <w:noProof/>
              </w:rPr>
            </w:pPr>
            <w:r>
              <w:rPr>
                <w:noProof/>
              </w:rPr>
              <w:t>Bei der Banca de Export-Import a Romaniei – Eximbank SA (EximBank), der nationalen ECA, handelt es sich um eine Aktiengesellschaft, deren Hauptaktionär der rumänische Staat ist.</w:t>
            </w:r>
          </w:p>
        </w:tc>
      </w:tr>
      <w:tr w:rsidR="00E37F5A" w:rsidRPr="001812CE" w:rsidTr="00FC7886">
        <w:tc>
          <w:tcPr>
            <w:tcW w:w="2376" w:type="dxa"/>
            <w:shd w:val="clear" w:color="auto" w:fill="auto"/>
          </w:tcPr>
          <w:p w:rsidR="00E37F5A" w:rsidRPr="001812CE" w:rsidRDefault="00E37F5A" w:rsidP="00FC7886">
            <w:pPr>
              <w:rPr>
                <w:noProof/>
              </w:rPr>
            </w:pPr>
            <w:r>
              <w:rPr>
                <w:noProof/>
              </w:rPr>
              <w:t>Slowenien</w:t>
            </w:r>
          </w:p>
        </w:tc>
        <w:tc>
          <w:tcPr>
            <w:tcW w:w="6804" w:type="dxa"/>
            <w:shd w:val="clear" w:color="auto" w:fill="auto"/>
          </w:tcPr>
          <w:p w:rsidR="00E37F5A" w:rsidRPr="001812CE" w:rsidRDefault="00E37F5A" w:rsidP="00FC7886">
            <w:pPr>
              <w:rPr>
                <w:noProof/>
              </w:rPr>
            </w:pPr>
            <w:r>
              <w:rPr>
                <w:noProof/>
              </w:rPr>
              <w:t xml:space="preserve">Die </w:t>
            </w:r>
            <w:r>
              <w:rPr>
                <w:noProof/>
                <w:shd w:val="clear" w:color="auto" w:fill="FFFFFF"/>
              </w:rPr>
              <w:t>SID Bank Inc.</w:t>
            </w:r>
            <w:r>
              <w:rPr>
                <w:noProof/>
              </w:rPr>
              <w:t xml:space="preserve"> ist das vom Staat zugelassene Institut für die Erbringung von ECA-Dienstleistungen. Es handelt </w:t>
            </w:r>
            <w:r>
              <w:rPr>
                <w:noProof/>
                <w:shd w:val="clear" w:color="auto" w:fill="FFFFFF"/>
              </w:rPr>
              <w:t>im Namen und für Rechnung der Republik Slowenien als deren Vertreter.</w:t>
            </w:r>
          </w:p>
        </w:tc>
      </w:tr>
      <w:tr w:rsidR="00E37F5A" w:rsidRPr="001812CE" w:rsidTr="00FC7886">
        <w:tc>
          <w:tcPr>
            <w:tcW w:w="2376" w:type="dxa"/>
            <w:shd w:val="clear" w:color="auto" w:fill="auto"/>
          </w:tcPr>
          <w:p w:rsidR="00E37F5A" w:rsidRPr="001812CE" w:rsidRDefault="00E37F5A" w:rsidP="00FC7886">
            <w:pPr>
              <w:rPr>
                <w:noProof/>
              </w:rPr>
            </w:pPr>
            <w:r>
              <w:rPr>
                <w:noProof/>
              </w:rPr>
              <w:t>Slowakei</w:t>
            </w:r>
          </w:p>
        </w:tc>
        <w:tc>
          <w:tcPr>
            <w:tcW w:w="6804" w:type="dxa"/>
            <w:shd w:val="clear" w:color="auto" w:fill="auto"/>
          </w:tcPr>
          <w:p w:rsidR="00E37F5A" w:rsidRPr="001812CE" w:rsidRDefault="00E37F5A" w:rsidP="00FC7886">
            <w:pPr>
              <w:rPr>
                <w:noProof/>
              </w:rPr>
            </w:pPr>
            <w:r>
              <w:rPr>
                <w:noProof/>
              </w:rPr>
              <w:t>EXIMBANKA SR ist die offizielle ECA der Slowakischen Republik, ein auf der Grundlage eines speziellen Gesetzes geschaffener Rechtsträger.</w:t>
            </w:r>
          </w:p>
        </w:tc>
      </w:tr>
      <w:tr w:rsidR="00E37F5A" w:rsidRPr="001812CE" w:rsidTr="00FC7886">
        <w:tc>
          <w:tcPr>
            <w:tcW w:w="2376" w:type="dxa"/>
            <w:shd w:val="clear" w:color="auto" w:fill="auto"/>
          </w:tcPr>
          <w:p w:rsidR="00E37F5A" w:rsidRPr="001812CE" w:rsidRDefault="00E37F5A" w:rsidP="00FC7886">
            <w:pPr>
              <w:rPr>
                <w:noProof/>
              </w:rPr>
            </w:pPr>
            <w:r>
              <w:rPr>
                <w:noProof/>
              </w:rPr>
              <w:t>Spanien</w:t>
            </w:r>
          </w:p>
        </w:tc>
        <w:tc>
          <w:tcPr>
            <w:tcW w:w="6804" w:type="dxa"/>
            <w:shd w:val="clear" w:color="auto" w:fill="auto"/>
          </w:tcPr>
          <w:p w:rsidR="00E37F5A" w:rsidRPr="001812CE" w:rsidRDefault="00E37F5A" w:rsidP="00FC7886">
            <w:pPr>
              <w:rPr>
                <w:noProof/>
              </w:rPr>
            </w:pPr>
            <w:r>
              <w:rPr>
                <w:noProof/>
              </w:rPr>
              <w:t xml:space="preserve">Die Compañía Española de Seguros de Crédito a la Exportación (CESCE) ist eine gemischtwirtschaftliche Kapitalgesellschaft, an der der Staat die Mehrheitsbeteiligung hält; die Gesellschaft ist mit der Verwaltung von Exportkreditversicherungen im Namen des spanischen Staates beauftragt. Das Instituto de Credito Oficial (ICO) ist an der finanziellen Regelung der Transaktionen im Namen des Fonds für die Internationalisierung von Unternehmen im Zusammenhang mit Direktfinanzierungen und Zinsausgleichsregelungen beteiligt, für die das Ministerium </w:t>
            </w:r>
            <w:r>
              <w:rPr>
                <w:noProof/>
                <w:shd w:val="clear" w:color="auto" w:fill="FFFFFF"/>
              </w:rPr>
              <w:t>für</w:t>
            </w:r>
            <w:r>
              <w:rPr>
                <w:noProof/>
              </w:rPr>
              <w:t xml:space="preserve"> Industrie, Handel und Tourismus zuständig ist.</w:t>
            </w:r>
          </w:p>
        </w:tc>
      </w:tr>
      <w:tr w:rsidR="00E37F5A" w:rsidRPr="001812CE" w:rsidTr="00FC7886">
        <w:tc>
          <w:tcPr>
            <w:tcW w:w="2376" w:type="dxa"/>
            <w:shd w:val="clear" w:color="auto" w:fill="auto"/>
          </w:tcPr>
          <w:p w:rsidR="00E37F5A" w:rsidRPr="001812CE" w:rsidRDefault="00E37F5A" w:rsidP="00FC7886">
            <w:pPr>
              <w:rPr>
                <w:noProof/>
              </w:rPr>
            </w:pPr>
            <w:r>
              <w:rPr>
                <w:noProof/>
              </w:rPr>
              <w:t>Schweden</w:t>
            </w:r>
          </w:p>
        </w:tc>
        <w:tc>
          <w:tcPr>
            <w:tcW w:w="6804" w:type="dxa"/>
            <w:shd w:val="clear" w:color="auto" w:fill="auto"/>
          </w:tcPr>
          <w:p w:rsidR="00E37F5A" w:rsidRPr="001812CE" w:rsidRDefault="00E37F5A" w:rsidP="00FC7886">
            <w:pPr>
              <w:rPr>
                <w:noProof/>
              </w:rPr>
            </w:pPr>
            <w:r>
              <w:rPr>
                <w:noProof/>
              </w:rPr>
              <w:t>Die schwedische Behörde für Exportkreditgarantien (EKN) und die schwedische Exportkreditgesellschaft (SEK) haben ähnliche Mandate, unterscheiden sich jedoch in der Organisationsstruktur und den angebotenen Dienstleistungen. EKN versichert Kreditrisiken und SEK stellt Refinanzierungen bereit. EKN ist eine staatliche Behörde. SEK ist eine zu 100 % in staatlichem Eigentum befindliche Kapitalgesellschaft.</w:t>
            </w:r>
          </w:p>
        </w:tc>
      </w:tr>
    </w:tbl>
    <w:p w:rsidR="00E37F5A" w:rsidRDefault="00E37F5A" w:rsidP="00E37F5A">
      <w:pPr>
        <w:rPr>
          <w:noProof/>
        </w:rPr>
      </w:pPr>
    </w:p>
    <w:p w:rsidR="00D82885" w:rsidRDefault="00D82885" w:rsidP="00E37F5A">
      <w:pPr>
        <w:jc w:val="center"/>
        <w:rPr>
          <w:b/>
          <w:noProof/>
          <w:u w:val="single"/>
        </w:rPr>
      </w:pPr>
    </w:p>
    <w:sectPr w:rsidR="00D8288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85" w:rsidRDefault="00E37F5A">
      <w:r>
        <w:separator/>
      </w:r>
    </w:p>
  </w:endnote>
  <w:endnote w:type="continuationSeparator" w:id="0">
    <w:p w:rsidR="00D82885" w:rsidRDefault="00E37F5A">
      <w:r>
        <w:continuationSeparator/>
      </w:r>
    </w:p>
  </w:endnote>
  <w:endnote w:type="continuationNotice" w:id="1">
    <w:p w:rsidR="00D82885" w:rsidRDefault="00D8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2" w:rsidRPr="00F50DC2" w:rsidRDefault="00F50DC2" w:rsidP="00F5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2E" w:rsidRPr="00F50DC2" w:rsidRDefault="00F50DC2" w:rsidP="00F50DC2">
    <w:pPr>
      <w:pStyle w:val="FooterCoverPage"/>
      <w:rPr>
        <w:rFonts w:ascii="Arial" w:hAnsi="Arial" w:cs="Arial"/>
        <w:b/>
        <w:sz w:val="48"/>
      </w:rPr>
    </w:pPr>
    <w:r w:rsidRPr="00F50DC2">
      <w:rPr>
        <w:rFonts w:ascii="Arial" w:hAnsi="Arial" w:cs="Arial"/>
        <w:b/>
        <w:sz w:val="48"/>
      </w:rPr>
      <w:t>DE</w:t>
    </w:r>
    <w:r w:rsidRPr="00F50DC2">
      <w:rPr>
        <w:rFonts w:ascii="Arial" w:hAnsi="Arial" w:cs="Arial"/>
        <w:b/>
        <w:sz w:val="48"/>
      </w:rPr>
      <w:tab/>
    </w:r>
    <w:r w:rsidRPr="00F50DC2">
      <w:rPr>
        <w:rFonts w:ascii="Arial" w:hAnsi="Arial" w:cs="Arial"/>
        <w:b/>
        <w:sz w:val="48"/>
      </w:rPr>
      <w:tab/>
    </w:r>
    <w:r w:rsidRPr="00F50DC2">
      <w:tab/>
    </w:r>
    <w:r w:rsidRPr="00F50DC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2" w:rsidRPr="00F50DC2" w:rsidRDefault="00F50DC2" w:rsidP="00F50DC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224102"/>
      <w:docPartObj>
        <w:docPartGallery w:val="Page Numbers (Bottom of Page)"/>
        <w:docPartUnique/>
      </w:docPartObj>
    </w:sdtPr>
    <w:sdtEndPr>
      <w:rPr>
        <w:noProof/>
      </w:rPr>
    </w:sdtEndPr>
    <w:sdtContent>
      <w:p w:rsidR="00D82885" w:rsidRDefault="00E37F5A">
        <w:pPr>
          <w:pStyle w:val="Footer"/>
          <w:jc w:val="center"/>
        </w:pPr>
        <w:r>
          <w:fldChar w:fldCharType="begin"/>
        </w:r>
        <w:r>
          <w:instrText xml:space="preserve"> PAGE   \* MERGEFORMAT </w:instrText>
        </w:r>
        <w:r>
          <w:fldChar w:fldCharType="separate"/>
        </w:r>
        <w:r w:rsidR="00F50DC2">
          <w:rPr>
            <w:noProof/>
          </w:rPr>
          <w:t>1</w:t>
        </w:r>
        <w:r>
          <w:fldChar w:fldCharType="end"/>
        </w:r>
      </w:p>
    </w:sdtContent>
  </w:sdt>
  <w:p w:rsidR="00D82885" w:rsidRDefault="00D828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85" w:rsidRDefault="00E37F5A">
      <w:r>
        <w:separator/>
      </w:r>
    </w:p>
  </w:footnote>
  <w:footnote w:type="continuationSeparator" w:id="0">
    <w:p w:rsidR="00D82885" w:rsidRDefault="00E37F5A">
      <w:r>
        <w:continuationSeparator/>
      </w:r>
    </w:p>
  </w:footnote>
  <w:footnote w:type="continuationNotice" w:id="1">
    <w:p w:rsidR="00D82885" w:rsidRDefault="00D828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2" w:rsidRPr="00F50DC2" w:rsidRDefault="00F50DC2" w:rsidP="00F5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2" w:rsidRPr="00F50DC2" w:rsidRDefault="00F50DC2" w:rsidP="00F50DC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2" w:rsidRPr="00F50DC2" w:rsidRDefault="00F50DC2" w:rsidP="00F50DC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85" w:rsidRDefault="00D8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6A8"/>
    <w:multiLevelType w:val="multilevel"/>
    <w:tmpl w:val="2F9A87F6"/>
    <w:lvl w:ilvl="0">
      <w:start w:val="6"/>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571227"/>
    <w:multiLevelType w:val="hybridMultilevel"/>
    <w:tmpl w:val="DA68710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900A7A"/>
    <w:multiLevelType w:val="hybridMultilevel"/>
    <w:tmpl w:val="5A46A58E"/>
    <w:lvl w:ilvl="0" w:tplc="C79432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56CA3"/>
    <w:multiLevelType w:val="hybridMultilevel"/>
    <w:tmpl w:val="06460FC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9660DD7"/>
    <w:multiLevelType w:val="hybridMultilevel"/>
    <w:tmpl w:val="4D0AC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D5A47"/>
    <w:multiLevelType w:val="hybridMultilevel"/>
    <w:tmpl w:val="D1B82C0E"/>
    <w:lvl w:ilvl="0" w:tplc="8FF04DD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1457E66"/>
    <w:multiLevelType w:val="hybridMultilevel"/>
    <w:tmpl w:val="21AAC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220893"/>
    <w:multiLevelType w:val="multilevel"/>
    <w:tmpl w:val="1BA03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EE34EE"/>
    <w:multiLevelType w:val="hybridMultilevel"/>
    <w:tmpl w:val="C596BB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B66DD6"/>
    <w:multiLevelType w:val="multilevel"/>
    <w:tmpl w:val="4636FDE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BD0BEC"/>
    <w:multiLevelType w:val="singleLevel"/>
    <w:tmpl w:val="72D6F376"/>
    <w:lvl w:ilvl="0">
      <w:start w:val="1"/>
      <w:numFmt w:val="bullet"/>
      <w:pStyle w:val="ListBullet"/>
      <w:lvlText w:val=""/>
      <w:lvlJc w:val="left"/>
      <w:pPr>
        <w:tabs>
          <w:tab w:val="num" w:pos="850"/>
        </w:tabs>
        <w:ind w:left="850" w:hanging="283"/>
      </w:pPr>
      <w:rPr>
        <w:rFonts w:ascii="Symbol" w:hAnsi="Symbol"/>
      </w:rPr>
    </w:lvl>
  </w:abstractNum>
  <w:abstractNum w:abstractNumId="11" w15:restartNumberingAfterBreak="0">
    <w:nsid w:val="5BAA456E"/>
    <w:multiLevelType w:val="hybridMultilevel"/>
    <w:tmpl w:val="B77C9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5673FD"/>
    <w:multiLevelType w:val="hybridMultilevel"/>
    <w:tmpl w:val="AD0E6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FAE4037"/>
    <w:multiLevelType w:val="multilevel"/>
    <w:tmpl w:val="A44EBFAE"/>
    <w:lvl w:ilvl="0">
      <w:start w:val="4"/>
      <w:numFmt w:val="decimal"/>
      <w:lvlText w:val="%1"/>
      <w:lvlJc w:val="left"/>
      <w:pPr>
        <w:ind w:left="360" w:hanging="360"/>
      </w:pPr>
      <w:rPr>
        <w:rFonts w:eastAsia="Times New Roman" w:hint="default"/>
        <w:i/>
        <w:color w:val="auto"/>
      </w:rPr>
    </w:lvl>
    <w:lvl w:ilvl="1">
      <w:start w:val="1"/>
      <w:numFmt w:val="decimal"/>
      <w:lvlText w:val="%1.%2"/>
      <w:lvlJc w:val="left"/>
      <w:pPr>
        <w:ind w:left="360" w:hanging="360"/>
      </w:pPr>
      <w:rPr>
        <w:rFonts w:eastAsia="Times New Roman" w:hint="default"/>
        <w:i/>
        <w:color w:val="auto"/>
      </w:rPr>
    </w:lvl>
    <w:lvl w:ilvl="2">
      <w:start w:val="1"/>
      <w:numFmt w:val="decimal"/>
      <w:lvlText w:val="%1.%2.%3"/>
      <w:lvlJc w:val="left"/>
      <w:pPr>
        <w:ind w:left="720" w:hanging="72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15:restartNumberingAfterBreak="0">
    <w:nsid w:val="76206909"/>
    <w:multiLevelType w:val="hybridMultilevel"/>
    <w:tmpl w:val="8238071A"/>
    <w:lvl w:ilvl="0" w:tplc="869A4E90">
      <w:start w:val="1"/>
      <w:numFmt w:val="decimal"/>
      <w:lvlText w:val="%1."/>
      <w:lvlJc w:val="left"/>
      <w:pPr>
        <w:ind w:left="720" w:hanging="72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13"/>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r"/>
    <w:docVar w:name="LW_ANNEX_NBR_FIRST" w:val="1"/>
    <w:docVar w:name="LW_ANNEX_NBR_LAST" w:val="1"/>
    <w:docVar w:name="LW_ANNEX_UNIQUE" w:val="1"/>
    <w:docVar w:name="LW_CORRIGENDUM" w:val="&lt;UNUSED&gt;"/>
    <w:docVar w:name="LW_COVERPAGE_EXISTS" w:val="True"/>
    <w:docVar w:name="LW_COVERPAGE_GUID" w:val="8D5D08AD-5B99-47DC-8EEE-8B185B3DE968"/>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über die jährlichen Tätigkeitsberichte der Mitgliedstaaten über Exportkredite im Sinne der Verordnung (EU) Nr. 1233/2011_x000d__x000d__x000b__x000d__x000d__x000d__x000b__x000d__x000d__x000d__x000d__x000d__x000d__x000d__x000d__x000d__x000b__x000d__x000d__x000d__x000d__x000d__x000d__x000d__x000d__x000d__x000b_"/>
    <w:docVar w:name="LW_PART_NBR" w:val="1"/>
    <w:docVar w:name="LW_PART_NBR_TOTAL" w:val="1"/>
    <w:docVar w:name="LW_REF.INST.NEW" w:val="COM"/>
    <w:docVar w:name="LW_REF.INST.NEW_ADOPTED" w:val="final"/>
    <w:docVar w:name="LW_REF.INST.NEW_TEXT" w:val="(2022)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Jahresübersicht der Kommission"/>
    <w:docVar w:name="LwApiVersions" w:val="LW4CoDe 1.23.2.0; LW 8.0, Build 20211117"/>
  </w:docVars>
  <w:rsids>
    <w:rsidRoot w:val="00D82885"/>
    <w:rsid w:val="001319C2"/>
    <w:rsid w:val="001D217A"/>
    <w:rsid w:val="005E06E7"/>
    <w:rsid w:val="0083372E"/>
    <w:rsid w:val="00C03A75"/>
    <w:rsid w:val="00C57943"/>
    <w:rsid w:val="00D82885"/>
    <w:rsid w:val="00D93E8D"/>
    <w:rsid w:val="00E37F5A"/>
    <w:rsid w:val="00F5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D5065D5-6AB5-437E-98D3-C1DE9E86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de-D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de-D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basedOn w:val="Normal"/>
    <w:uiPriority w:val="34"/>
    <w:qFormat/>
    <w:pPr>
      <w:spacing w:after="240"/>
      <w:ind w:left="708"/>
      <w:jc w:val="both"/>
    </w:pPr>
    <w:rPr>
      <w:rFonts w:eastAsia="Times New Roman"/>
      <w:szCs w:val="20"/>
    </w:rPr>
  </w:style>
  <w:style w:type="character" w:customStyle="1" w:styleId="FootnoteTextChar">
    <w:name w:val="Footnote Text Char"/>
    <w:aliases w:val="Footnote TextCSR Char"/>
    <w:basedOn w:val="DefaultParagraphFont"/>
    <w:link w:val="FootnoteText"/>
    <w:uiPriority w:val="99"/>
    <w:locked/>
  </w:style>
  <w:style w:type="paragraph" w:styleId="FootnoteText">
    <w:name w:val="footnote text"/>
    <w:aliases w:val="Footnote TextCSR"/>
    <w:basedOn w:val="Normal"/>
    <w:link w:val="FootnoteTextChar"/>
    <w:uiPriority w:val="99"/>
    <w:unhideWhenUsed/>
    <w:rPr>
      <w:sz w:val="20"/>
      <w:szCs w:val="20"/>
    </w:rPr>
  </w:style>
  <w:style w:type="character" w:customStyle="1" w:styleId="FootnoteTextChar1">
    <w:name w:val="Footnote Text Char1"/>
    <w:basedOn w:val="DefaultParagraphFont"/>
    <w:uiPriority w:val="99"/>
    <w:semiHidden/>
    <w:rPr>
      <w:lang w:val="de-DE"/>
    </w:rPr>
  </w:style>
  <w:style w:type="character" w:styleId="FootnoteReference">
    <w:name w:val="footnote reference"/>
    <w:aliases w:val="SUPERS,BVI fnr,Footnote call"/>
    <w:basedOn w:val="DefaultParagraphFont"/>
    <w:uiPriority w:val="99"/>
    <w:semiHidden/>
    <w:unhideWhenUsed/>
    <w:rPr>
      <w:vertAlign w:val="superscript"/>
    </w:rPr>
  </w:style>
  <w:style w:type="paragraph" w:styleId="CommentText">
    <w:name w:val="annotation text"/>
    <w:basedOn w:val="Normal"/>
    <w:link w:val="CommentTextChar"/>
    <w:semiHidden/>
    <w:unhideWhenUsed/>
    <w:pPr>
      <w:spacing w:after="240"/>
      <w:jc w:val="both"/>
    </w:pPr>
    <w:rPr>
      <w:rFonts w:eastAsia="Times New Roman"/>
      <w:sz w:val="20"/>
      <w:szCs w:val="20"/>
      <w:lang w:eastAsia="en-GB"/>
    </w:rPr>
  </w:style>
  <w:style w:type="character" w:customStyle="1" w:styleId="CommentTextChar">
    <w:name w:val="Comment Text Char"/>
    <w:basedOn w:val="DefaultParagraphFont"/>
    <w:link w:val="CommentText"/>
    <w:semiHidden/>
    <w:rPr>
      <w:rFonts w:eastAsia="Times New Roman"/>
      <w:lang w:val="de-DE" w:eastAsia="en-GB"/>
    </w:rPr>
  </w:style>
  <w:style w:type="paragraph" w:customStyle="1" w:styleId="Body">
    <w:name w:val="Body"/>
    <w:pPr>
      <w:spacing w:after="160" w:line="256" w:lineRule="auto"/>
    </w:pPr>
    <w:rPr>
      <w:rFonts w:ascii="Calibri" w:eastAsia="Calibri" w:hAnsi="Calibri" w:cs="Calibri"/>
      <w:color w:val="000000"/>
      <w:sz w:val="22"/>
      <w:szCs w:val="22"/>
      <w:u w:color="000000"/>
      <w:lang w:eastAsia="en-GB"/>
    </w:rPr>
  </w:style>
  <w:style w:type="character" w:styleId="CommentReference">
    <w:name w:val="annotation reference"/>
    <w:basedOn w:val="DefaultParagraphFont"/>
    <w:uiPriority w:val="99"/>
    <w:semiHidden/>
    <w:unhideWhenUsed/>
    <w:rPr>
      <w:sz w:val="16"/>
      <w:szCs w:val="16"/>
    </w:rPr>
  </w:style>
  <w:style w:type="character" w:customStyle="1" w:styleId="Fuentedeprrafopredeter">
    <w:name w:val="Fuente de párrafo predeter."/>
  </w:style>
  <w:style w:type="paragraph" w:styleId="BalloonText">
    <w:name w:val="Balloon Text"/>
    <w:basedOn w:val="Normal"/>
    <w:link w:val="BalloonTextChar"/>
    <w:uiPriority w:val="99"/>
    <w:semiHidden/>
    <w:unhideWhenUsed/>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en-GB"/>
    </w:rPr>
  </w:style>
  <w:style w:type="paragraph" w:styleId="NormalWeb">
    <w:name w:val="Normal (Web)"/>
    <w:basedOn w:val="Normal"/>
    <w:uiPriority w:val="99"/>
    <w:semiHidden/>
    <w:unhideWhenUsed/>
    <w:pPr>
      <w:spacing w:before="100" w:beforeAutospacing="1" w:after="100" w:afterAutospacing="1"/>
    </w:pPr>
    <w:rPr>
      <w:rFonts w:eastAsia="Times New Roman"/>
      <w:lang w:eastAsia="en-GB"/>
    </w:rPr>
  </w:style>
  <w:style w:type="paragraph" w:styleId="ListBullet">
    <w:name w:val="List Bullet"/>
    <w:basedOn w:val="Normal"/>
    <w:semiHidden/>
    <w:unhideWhenUsed/>
    <w:pPr>
      <w:numPr>
        <w:numId w:val="10"/>
      </w:numPr>
      <w:spacing w:after="240"/>
      <w:jc w:val="both"/>
    </w:pPr>
    <w:rPr>
      <w:rFonts w:eastAsia="Times New Roman"/>
      <w:szCs w:val="20"/>
    </w:r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character" w:customStyle="1" w:styleId="CommentSubjectChar">
    <w:name w:val="Comment Subject Char"/>
    <w:basedOn w:val="CommentTextChar"/>
    <w:link w:val="CommentSubject"/>
    <w:uiPriority w:val="99"/>
    <w:semiHidden/>
    <w:rPr>
      <w:rFonts w:eastAsia="Times New Roman"/>
      <w:b/>
      <w:bCs/>
      <w:lang w:val="de-DE" w:eastAsia="en-GB"/>
    </w:rPr>
  </w:style>
  <w:style w:type="paragraph" w:styleId="Revision">
    <w:name w:val="Revision"/>
    <w:hidden/>
    <w:uiPriority w:val="99"/>
    <w:semiHidden/>
    <w:rPr>
      <w:rFonts w:eastAsia="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val="de-DE"/>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5F9D-A093-4816-B7CA-28B6E514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EC CoDe</cp:lastModifiedBy>
  <cp:revision>14</cp:revision>
  <dcterms:created xsi:type="dcterms:W3CDTF">2022-03-10T10:51:00Z</dcterms:created>
  <dcterms:modified xsi:type="dcterms:W3CDTF">2022-03-17T08:55:00Z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 Build 20190717</vt:lpwstr>
  </property>
</Properties>
</file>