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885" w:rsidRDefault="00EE02D0" w:rsidP="00EE02D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C40532D-3D6F-4C91-B0A2-ADAB791C957B" style="width:455.25pt;height:438.75pt">
            <v:imagedata r:id="rId8" o:title=""/>
          </v:shape>
        </w:pict>
      </w:r>
    </w:p>
    <w:bookmarkEnd w:id="0"/>
    <w:p w:rsidR="00D82885" w:rsidRDefault="00D82885">
      <w:pPr>
        <w:rPr>
          <w:noProof/>
        </w:rPr>
        <w:sectPr w:rsidR="00D82885" w:rsidSect="00EE02D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D82885" w:rsidRDefault="00E37F5A">
      <w:pPr>
        <w:autoSpaceDE w:val="0"/>
        <w:autoSpaceDN w:val="0"/>
        <w:adjustRightInd w:val="0"/>
        <w:spacing w:after="120" w:line="360" w:lineRule="auto"/>
        <w:jc w:val="center"/>
        <w:outlineLvl w:val="0"/>
        <w:rPr>
          <w:b/>
          <w:noProof/>
          <w:u w:val="single"/>
        </w:rPr>
      </w:pPr>
      <w:bookmarkStart w:id="1" w:name="_GoBack"/>
      <w:bookmarkEnd w:id="1"/>
      <w:r>
        <w:rPr>
          <w:b/>
          <w:noProof/>
          <w:u w:val="single"/>
        </w:rPr>
        <w:lastRenderedPageBreak/>
        <w:t>ANEXO</w:t>
      </w:r>
    </w:p>
    <w:p w:rsidR="00E37F5A" w:rsidRPr="00817DCA" w:rsidRDefault="00E37F5A" w:rsidP="00E37F5A">
      <w:pPr>
        <w:jc w:val="center"/>
        <w:rPr>
          <w:b/>
          <w:noProof/>
        </w:rPr>
      </w:pPr>
      <w:r>
        <w:rPr>
          <w:b/>
          <w:noProof/>
        </w:rPr>
        <w:t xml:space="preserve">Lista de agencias de crédito a la exportación de la UE que informaron sobre actividades en 2020 </w:t>
      </w:r>
      <w:r w:rsidR="009A64A4">
        <w:rPr>
          <w:b/>
          <w:noProof/>
        </w:rPr>
        <w:t>a tenor</w:t>
      </w:r>
      <w:r>
        <w:rPr>
          <w:b/>
          <w:noProof/>
        </w:rPr>
        <w:t xml:space="preserve"> del Reglamento (UE) n.º 1233/2011</w:t>
      </w:r>
    </w:p>
    <w:p w:rsidR="00E37F5A" w:rsidRPr="001812CE" w:rsidRDefault="00E37F5A" w:rsidP="00E37F5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E37F5A" w:rsidRPr="001812CE" w:rsidTr="00FC7886">
        <w:trPr>
          <w:trHeight w:val="397"/>
        </w:trPr>
        <w:tc>
          <w:tcPr>
            <w:tcW w:w="9180" w:type="dxa"/>
            <w:gridSpan w:val="2"/>
            <w:shd w:val="clear" w:color="auto" w:fill="44546A"/>
            <w:vAlign w:val="center"/>
          </w:tcPr>
          <w:p w:rsidR="00E37F5A" w:rsidRPr="001812CE" w:rsidRDefault="00E37F5A" w:rsidP="00FC7886">
            <w:pPr>
              <w:jc w:val="center"/>
              <w:rPr>
                <w:b/>
                <w:noProof/>
                <w:color w:val="FFFFFF"/>
              </w:rPr>
            </w:pPr>
            <w:r>
              <w:rPr>
                <w:b/>
                <w:noProof/>
                <w:color w:val="FFFFFF"/>
              </w:rPr>
              <w:t>Cuadro. ACE de la UE activas en 2020</w:t>
            </w:r>
          </w:p>
        </w:tc>
      </w:tr>
      <w:tr w:rsidR="00E37F5A" w:rsidRPr="001812CE" w:rsidTr="00FC7886">
        <w:trPr>
          <w:trHeight w:val="397"/>
        </w:trPr>
        <w:tc>
          <w:tcPr>
            <w:tcW w:w="2376" w:type="dxa"/>
            <w:shd w:val="clear" w:color="auto" w:fill="D5DCE4"/>
            <w:vAlign w:val="center"/>
          </w:tcPr>
          <w:p w:rsidR="00E37F5A" w:rsidRPr="001A161F" w:rsidRDefault="00E37F5A" w:rsidP="00FC7886">
            <w:pPr>
              <w:jc w:val="center"/>
              <w:rPr>
                <w:i/>
                <w:noProof/>
              </w:rPr>
            </w:pPr>
            <w:r>
              <w:rPr>
                <w:i/>
                <w:noProof/>
              </w:rPr>
              <w:t>País</w:t>
            </w:r>
          </w:p>
        </w:tc>
        <w:tc>
          <w:tcPr>
            <w:tcW w:w="6804" w:type="dxa"/>
            <w:shd w:val="clear" w:color="auto" w:fill="D5DCE4"/>
            <w:vAlign w:val="center"/>
          </w:tcPr>
          <w:p w:rsidR="00E37F5A" w:rsidRPr="001A161F" w:rsidRDefault="00E37F5A" w:rsidP="00FC7886">
            <w:pPr>
              <w:jc w:val="center"/>
              <w:rPr>
                <w:i/>
                <w:noProof/>
              </w:rPr>
            </w:pPr>
            <w:r>
              <w:rPr>
                <w:i/>
                <w:noProof/>
              </w:rPr>
              <w:t>Nombre y estado de la ACE</w:t>
            </w:r>
          </w:p>
        </w:tc>
      </w:tr>
      <w:tr w:rsidR="00E37F5A" w:rsidRPr="001812CE" w:rsidTr="00FC7886">
        <w:tc>
          <w:tcPr>
            <w:tcW w:w="2376" w:type="dxa"/>
            <w:shd w:val="clear" w:color="auto" w:fill="auto"/>
          </w:tcPr>
          <w:p w:rsidR="00E37F5A" w:rsidRPr="001812CE" w:rsidRDefault="00E37F5A" w:rsidP="00FC7886">
            <w:pPr>
              <w:rPr>
                <w:noProof/>
              </w:rPr>
            </w:pPr>
            <w:r>
              <w:rPr>
                <w:noProof/>
              </w:rPr>
              <w:t>Austria</w:t>
            </w:r>
          </w:p>
        </w:tc>
        <w:tc>
          <w:tcPr>
            <w:tcW w:w="6804" w:type="dxa"/>
            <w:shd w:val="clear" w:color="auto" w:fill="auto"/>
          </w:tcPr>
          <w:p w:rsidR="00E37F5A" w:rsidRPr="001812CE" w:rsidRDefault="00E37F5A" w:rsidP="00FC7886">
            <w:pPr>
              <w:rPr>
                <w:noProof/>
              </w:rPr>
            </w:pPr>
            <w:r>
              <w:rPr>
                <w:noProof/>
              </w:rPr>
              <w:t>Oesterreichische Kontrollbank AG (OeKB) actúa como ACE en representación y por cuenta de la República de Austria al amparo de la Ley de Garantías de Exportación.</w:t>
            </w:r>
          </w:p>
        </w:tc>
      </w:tr>
      <w:tr w:rsidR="00E37F5A" w:rsidRPr="001812CE" w:rsidTr="00FC7886">
        <w:tc>
          <w:tcPr>
            <w:tcW w:w="2376" w:type="dxa"/>
            <w:shd w:val="clear" w:color="auto" w:fill="auto"/>
          </w:tcPr>
          <w:p w:rsidR="00E37F5A" w:rsidRPr="001812CE" w:rsidRDefault="00E37F5A" w:rsidP="00FC7886">
            <w:pPr>
              <w:rPr>
                <w:noProof/>
              </w:rPr>
            </w:pPr>
            <w:r>
              <w:rPr>
                <w:noProof/>
              </w:rPr>
              <w:t>Bélgica</w:t>
            </w:r>
          </w:p>
        </w:tc>
        <w:tc>
          <w:tcPr>
            <w:tcW w:w="6804" w:type="dxa"/>
            <w:shd w:val="clear" w:color="auto" w:fill="auto"/>
          </w:tcPr>
          <w:p w:rsidR="00E37F5A" w:rsidRPr="001812CE" w:rsidRDefault="00E37F5A" w:rsidP="00FC7886">
            <w:pPr>
              <w:rPr>
                <w:noProof/>
              </w:rPr>
            </w:pPr>
            <w:r>
              <w:rPr>
                <w:noProof/>
              </w:rPr>
              <w:t>Credendo, la ACE, es una institución financiera pública autónoma con personalidad jurídica y garantizada por el Estado belga.</w:t>
            </w:r>
          </w:p>
        </w:tc>
      </w:tr>
      <w:tr w:rsidR="00E37F5A" w:rsidRPr="001812CE" w:rsidTr="00FC7886">
        <w:tc>
          <w:tcPr>
            <w:tcW w:w="2376" w:type="dxa"/>
            <w:shd w:val="clear" w:color="auto" w:fill="auto"/>
          </w:tcPr>
          <w:p w:rsidR="00E37F5A" w:rsidRPr="001812CE" w:rsidRDefault="00E37F5A" w:rsidP="00FC7886">
            <w:pPr>
              <w:rPr>
                <w:noProof/>
              </w:rPr>
            </w:pPr>
            <w:r>
              <w:rPr>
                <w:noProof/>
              </w:rPr>
              <w:t>Croacia</w:t>
            </w:r>
          </w:p>
        </w:tc>
        <w:tc>
          <w:tcPr>
            <w:tcW w:w="6804" w:type="dxa"/>
            <w:shd w:val="clear" w:color="auto" w:fill="auto"/>
          </w:tcPr>
          <w:p w:rsidR="00E37F5A" w:rsidRPr="001812CE" w:rsidRDefault="00E37F5A" w:rsidP="00FC7886">
            <w:pPr>
              <w:rPr>
                <w:noProof/>
              </w:rPr>
            </w:pPr>
            <w:r>
              <w:rPr>
                <w:noProof/>
              </w:rPr>
              <w:t>El Banco croata para la Reconstrucción y el Desarrollo (HBOR) actúa como ACE nacional y ofrece seguros de crédito a la exportación por cuenta y en representación de la República de Croacia.</w:t>
            </w:r>
          </w:p>
        </w:tc>
      </w:tr>
      <w:tr w:rsidR="00E37F5A" w:rsidRPr="001812CE" w:rsidTr="00FC7886">
        <w:tc>
          <w:tcPr>
            <w:tcW w:w="2376" w:type="dxa"/>
            <w:shd w:val="clear" w:color="auto" w:fill="auto"/>
          </w:tcPr>
          <w:p w:rsidR="00E37F5A" w:rsidRPr="001812CE" w:rsidRDefault="00E37F5A" w:rsidP="00FC7886">
            <w:pPr>
              <w:rPr>
                <w:noProof/>
              </w:rPr>
            </w:pPr>
            <w:r>
              <w:rPr>
                <w:noProof/>
              </w:rPr>
              <w:t>Chequia</w:t>
            </w:r>
          </w:p>
        </w:tc>
        <w:tc>
          <w:tcPr>
            <w:tcW w:w="6804" w:type="dxa"/>
            <w:shd w:val="clear" w:color="auto" w:fill="auto"/>
          </w:tcPr>
          <w:p w:rsidR="00E37F5A" w:rsidRPr="001812CE" w:rsidRDefault="00E37F5A" w:rsidP="00FC7886">
            <w:pPr>
              <w:rPr>
                <w:noProof/>
              </w:rPr>
            </w:pPr>
            <w:r>
              <w:rPr>
                <w:noProof/>
              </w:rPr>
              <w:t>Tanto la Corporación de Garantías y Seguros de Exportación (EGAP), compañía de seguros de crédito especializada propiedad del Gobierno, como el Banco de Exportaciones Checo (CEB), banco especializado que es una sociedad por acciones propiedad del Estado checo, actúan en calidad de ACE y ofrecen distintos programas (productos bancarios y de seguros).</w:t>
            </w:r>
          </w:p>
        </w:tc>
      </w:tr>
      <w:tr w:rsidR="00E37F5A" w:rsidRPr="001812CE" w:rsidTr="00FC7886">
        <w:tc>
          <w:tcPr>
            <w:tcW w:w="2376" w:type="dxa"/>
            <w:shd w:val="clear" w:color="auto" w:fill="auto"/>
          </w:tcPr>
          <w:p w:rsidR="00E37F5A" w:rsidRPr="001812CE" w:rsidRDefault="00E37F5A" w:rsidP="00FC7886">
            <w:pPr>
              <w:rPr>
                <w:noProof/>
              </w:rPr>
            </w:pPr>
            <w:r>
              <w:rPr>
                <w:noProof/>
              </w:rPr>
              <w:t>Dinamarca</w:t>
            </w:r>
          </w:p>
        </w:tc>
        <w:tc>
          <w:tcPr>
            <w:tcW w:w="6804" w:type="dxa"/>
            <w:shd w:val="clear" w:color="auto" w:fill="auto"/>
          </w:tcPr>
          <w:p w:rsidR="00E37F5A" w:rsidRPr="001812CE" w:rsidRDefault="00E37F5A" w:rsidP="00FC7886">
            <w:pPr>
              <w:rPr>
                <w:noProof/>
              </w:rPr>
            </w:pPr>
            <w:r>
              <w:rPr>
                <w:noProof/>
              </w:rPr>
              <w:t>Eksport Kredit Fonden (EKF), la ACE de Dinamarca, es una empresa pública independiente que es propiedad del Estado danés y está garantizada por este.</w:t>
            </w:r>
          </w:p>
        </w:tc>
      </w:tr>
      <w:tr w:rsidR="00E37F5A" w:rsidRPr="001812CE" w:rsidTr="00FC7886">
        <w:tc>
          <w:tcPr>
            <w:tcW w:w="2376" w:type="dxa"/>
            <w:shd w:val="clear" w:color="auto" w:fill="auto"/>
          </w:tcPr>
          <w:p w:rsidR="00E37F5A" w:rsidRPr="001812CE" w:rsidRDefault="00E37F5A" w:rsidP="00FC7886">
            <w:pPr>
              <w:rPr>
                <w:noProof/>
              </w:rPr>
            </w:pPr>
            <w:r>
              <w:rPr>
                <w:noProof/>
              </w:rPr>
              <w:t>Estonia</w:t>
            </w:r>
          </w:p>
        </w:tc>
        <w:tc>
          <w:tcPr>
            <w:tcW w:w="6804" w:type="dxa"/>
            <w:shd w:val="clear" w:color="auto" w:fill="auto"/>
          </w:tcPr>
          <w:p w:rsidR="00E37F5A" w:rsidRPr="001812CE" w:rsidRDefault="00E37F5A" w:rsidP="00FC7886">
            <w:pPr>
              <w:rPr>
                <w:noProof/>
              </w:rPr>
            </w:pPr>
            <w:r>
              <w:rPr>
                <w:noProof/>
              </w:rPr>
              <w:t>Aktsiaselts KredEx Krediidikindlustus es una compañía de seguros que actúa como ACE en representación de la República de Estonia y por cuenta de esta en calidad de agente sobre la base de la Ley de Garantías para Exportaciones Estatales.</w:t>
            </w:r>
          </w:p>
        </w:tc>
      </w:tr>
      <w:tr w:rsidR="00E37F5A" w:rsidRPr="001812CE" w:rsidTr="00FC7886">
        <w:tc>
          <w:tcPr>
            <w:tcW w:w="2376" w:type="dxa"/>
            <w:shd w:val="clear" w:color="auto" w:fill="auto"/>
          </w:tcPr>
          <w:p w:rsidR="00E37F5A" w:rsidRPr="001812CE" w:rsidRDefault="00E37F5A" w:rsidP="00FC7886">
            <w:pPr>
              <w:rPr>
                <w:noProof/>
              </w:rPr>
            </w:pPr>
            <w:r>
              <w:rPr>
                <w:noProof/>
              </w:rPr>
              <w:t>Finlandia</w:t>
            </w:r>
          </w:p>
        </w:tc>
        <w:tc>
          <w:tcPr>
            <w:tcW w:w="6804" w:type="dxa"/>
            <w:shd w:val="clear" w:color="auto" w:fill="auto"/>
          </w:tcPr>
          <w:p w:rsidR="00E37F5A" w:rsidRPr="001812CE" w:rsidRDefault="00E37F5A" w:rsidP="00FC7886">
            <w:pPr>
              <w:rPr>
                <w:noProof/>
              </w:rPr>
            </w:pPr>
            <w:r>
              <w:rPr>
                <w:noProof/>
              </w:rPr>
              <w:t>Finnvera Plc es la ACE nacional, una empresa de financiación especializada propiedad del Estado de Finlandia.</w:t>
            </w:r>
          </w:p>
        </w:tc>
      </w:tr>
      <w:tr w:rsidR="00E37F5A" w:rsidRPr="001812CE" w:rsidTr="00FC7886">
        <w:tc>
          <w:tcPr>
            <w:tcW w:w="2376" w:type="dxa"/>
            <w:shd w:val="clear" w:color="auto" w:fill="auto"/>
          </w:tcPr>
          <w:p w:rsidR="00E37F5A" w:rsidRPr="001812CE" w:rsidRDefault="00E37F5A" w:rsidP="00FC7886">
            <w:pPr>
              <w:rPr>
                <w:noProof/>
              </w:rPr>
            </w:pPr>
            <w:r>
              <w:rPr>
                <w:noProof/>
              </w:rPr>
              <w:t>Francia</w:t>
            </w:r>
          </w:p>
        </w:tc>
        <w:tc>
          <w:tcPr>
            <w:tcW w:w="6804" w:type="dxa"/>
            <w:shd w:val="clear" w:color="auto" w:fill="auto"/>
          </w:tcPr>
          <w:p w:rsidR="00E37F5A" w:rsidRDefault="00E37F5A" w:rsidP="00FC7886">
            <w:pPr>
              <w:rPr>
                <w:noProof/>
              </w:rPr>
            </w:pPr>
            <w:r>
              <w:rPr>
                <w:noProof/>
              </w:rPr>
              <w:t>Bpifrance Assurance Export es una sucursal de un banco de inversión público (Bpifrance SA) y gestiona las garantías públicas en nombre, en representación y bajo el control del Estado francés.</w:t>
            </w:r>
          </w:p>
          <w:p w:rsidR="00E37F5A" w:rsidRPr="001812CE" w:rsidRDefault="00E37F5A" w:rsidP="00FC7886">
            <w:pPr>
              <w:rPr>
                <w:noProof/>
              </w:rPr>
            </w:pPr>
            <w:r>
              <w:rPr>
                <w:noProof/>
              </w:rPr>
              <w:t>Natixis, sociedad privada, gestiona en nombre del Estado francés los sistemas de ajuste recíproco de intereses en el marco de una ley y de un acuerdo entre el Estado francés y Natixis.</w:t>
            </w:r>
          </w:p>
        </w:tc>
      </w:tr>
      <w:tr w:rsidR="00E37F5A" w:rsidRPr="001812CE" w:rsidTr="00FC7886">
        <w:tc>
          <w:tcPr>
            <w:tcW w:w="2376" w:type="dxa"/>
            <w:shd w:val="clear" w:color="auto" w:fill="auto"/>
          </w:tcPr>
          <w:p w:rsidR="00E37F5A" w:rsidRPr="001812CE" w:rsidRDefault="00E37F5A" w:rsidP="00FC7886">
            <w:pPr>
              <w:rPr>
                <w:noProof/>
              </w:rPr>
            </w:pPr>
            <w:r>
              <w:rPr>
                <w:noProof/>
              </w:rPr>
              <w:t>Alemania</w:t>
            </w:r>
          </w:p>
        </w:tc>
        <w:tc>
          <w:tcPr>
            <w:tcW w:w="6804" w:type="dxa"/>
            <w:shd w:val="clear" w:color="auto" w:fill="auto"/>
          </w:tcPr>
          <w:p w:rsidR="00E37F5A" w:rsidRPr="001812CE" w:rsidRDefault="00E37F5A" w:rsidP="00FC7886">
            <w:pPr>
              <w:rPr>
                <w:noProof/>
              </w:rPr>
            </w:pPr>
            <w:r>
              <w:rPr>
                <w:noProof/>
              </w:rPr>
              <w:t>El Gobierno federal asume la responsabilidad presupuestaria del sistema de garantías de crédito a la exportación. Lo gestiona la compañía de seguros Euler Hermes Aktiengesellschaft en representación de la República Federal de Alemania como mandatario del Gobierno federal.</w:t>
            </w:r>
          </w:p>
        </w:tc>
      </w:tr>
      <w:tr w:rsidR="00E37F5A" w:rsidRPr="001812CE" w:rsidTr="00FC7886">
        <w:tc>
          <w:tcPr>
            <w:tcW w:w="2376" w:type="dxa"/>
            <w:shd w:val="clear" w:color="auto" w:fill="auto"/>
          </w:tcPr>
          <w:p w:rsidR="00E37F5A" w:rsidRPr="001812CE" w:rsidRDefault="00E37F5A" w:rsidP="00FC7886">
            <w:pPr>
              <w:rPr>
                <w:noProof/>
              </w:rPr>
            </w:pPr>
            <w:r>
              <w:rPr>
                <w:noProof/>
              </w:rPr>
              <w:t>Hungría</w:t>
            </w:r>
          </w:p>
        </w:tc>
        <w:tc>
          <w:tcPr>
            <w:tcW w:w="6804" w:type="dxa"/>
            <w:shd w:val="clear" w:color="auto" w:fill="auto"/>
          </w:tcPr>
          <w:p w:rsidR="00E37F5A" w:rsidRPr="001812CE" w:rsidRDefault="00E37F5A" w:rsidP="00FC7886">
            <w:pPr>
              <w:rPr>
                <w:noProof/>
              </w:rPr>
            </w:pPr>
            <w:r w:rsidRPr="009A64A4">
              <w:rPr>
                <w:noProof/>
                <w:lang w:val="en-US"/>
              </w:rPr>
              <w:t xml:space="preserve">Hungarian Export-Import Bank Plc. </w:t>
            </w:r>
            <w:r>
              <w:rPr>
                <w:noProof/>
              </w:rPr>
              <w:t>(Eximbank) es un banco especializado de propiedad estatal. Hungarian Export Credit Insurance Plc. (MEHIB) es una compañía de seguros de crédito especializada de propiedad estatal. El banco y la aseguradora desarrollan sus actividades dentro de un marco integrado y actúan en calidad de ACE mediante programas complementarios.</w:t>
            </w:r>
          </w:p>
        </w:tc>
      </w:tr>
      <w:tr w:rsidR="00E37F5A" w:rsidRPr="001812CE" w:rsidTr="00FC7886">
        <w:tc>
          <w:tcPr>
            <w:tcW w:w="2376" w:type="dxa"/>
            <w:shd w:val="clear" w:color="auto" w:fill="auto"/>
          </w:tcPr>
          <w:p w:rsidR="00E37F5A" w:rsidRPr="001812CE" w:rsidRDefault="00E37F5A" w:rsidP="00FC7886">
            <w:pPr>
              <w:rPr>
                <w:noProof/>
              </w:rPr>
            </w:pPr>
            <w:r>
              <w:rPr>
                <w:noProof/>
              </w:rPr>
              <w:t>Italia</w:t>
            </w:r>
          </w:p>
        </w:tc>
        <w:tc>
          <w:tcPr>
            <w:tcW w:w="6804" w:type="dxa"/>
            <w:shd w:val="clear" w:color="auto" w:fill="auto"/>
          </w:tcPr>
          <w:p w:rsidR="00E37F5A" w:rsidRPr="001812CE" w:rsidRDefault="00E37F5A" w:rsidP="00FC7886">
            <w:pPr>
              <w:rPr>
                <w:noProof/>
              </w:rPr>
            </w:pPr>
            <w:r>
              <w:rPr>
                <w:noProof/>
              </w:rPr>
              <w:t>Tanto SACE, sociedad por acciones de propiedad estatal (100 % propiedad de Cassa Depositi e Prestiti), como SIMEST, sociedad por acciones controlada por Cassa Depositi e Prestiti mediante SACE, actúan en calidad de ACE. Al amparo de programas de crédito a la exportación con apoyo oficial, SACE ofrece principalmente garantías y seguros; y SIMEST, créditos a compradores y proveedores. También proporcionan una gama de productos de crédito no relacionados con la exportación.</w:t>
            </w:r>
          </w:p>
        </w:tc>
      </w:tr>
      <w:tr w:rsidR="00E37F5A" w:rsidRPr="001812CE" w:rsidTr="00FC7886">
        <w:tc>
          <w:tcPr>
            <w:tcW w:w="2376" w:type="dxa"/>
            <w:shd w:val="clear" w:color="auto" w:fill="auto"/>
          </w:tcPr>
          <w:p w:rsidR="00E37F5A" w:rsidRPr="001812CE" w:rsidRDefault="00E37F5A" w:rsidP="00FC7886">
            <w:pPr>
              <w:rPr>
                <w:noProof/>
              </w:rPr>
            </w:pPr>
            <w:r>
              <w:rPr>
                <w:noProof/>
              </w:rPr>
              <w:t>Luxemburgo</w:t>
            </w:r>
          </w:p>
        </w:tc>
        <w:tc>
          <w:tcPr>
            <w:tcW w:w="6804" w:type="dxa"/>
            <w:shd w:val="clear" w:color="auto" w:fill="auto"/>
          </w:tcPr>
          <w:p w:rsidR="00E37F5A" w:rsidRPr="001812CE" w:rsidRDefault="00E37F5A" w:rsidP="00FC7886">
            <w:pPr>
              <w:rPr>
                <w:noProof/>
              </w:rPr>
            </w:pPr>
            <w:r>
              <w:rPr>
                <w:noProof/>
              </w:rPr>
              <w:t>Office du Ducroire (ODL) es la ACE, institución pública que opera con la garantía del Estado.</w:t>
            </w:r>
          </w:p>
        </w:tc>
      </w:tr>
      <w:tr w:rsidR="00E37F5A" w:rsidRPr="001812CE" w:rsidTr="00FC7886">
        <w:tc>
          <w:tcPr>
            <w:tcW w:w="2376" w:type="dxa"/>
            <w:shd w:val="clear" w:color="auto" w:fill="auto"/>
          </w:tcPr>
          <w:p w:rsidR="00E37F5A" w:rsidRPr="001812CE" w:rsidRDefault="00E37F5A" w:rsidP="00FC7886">
            <w:pPr>
              <w:rPr>
                <w:noProof/>
              </w:rPr>
            </w:pPr>
            <w:r>
              <w:rPr>
                <w:noProof/>
              </w:rPr>
              <w:t>Países Bajos</w:t>
            </w:r>
          </w:p>
        </w:tc>
        <w:tc>
          <w:tcPr>
            <w:tcW w:w="6804" w:type="dxa"/>
            <w:shd w:val="clear" w:color="auto" w:fill="auto"/>
          </w:tcPr>
          <w:p w:rsidR="00E37F5A" w:rsidRPr="001812CE" w:rsidRDefault="00E37F5A" w:rsidP="00FC7886">
            <w:pPr>
              <w:rPr>
                <w:noProof/>
              </w:rPr>
            </w:pPr>
            <w:r>
              <w:rPr>
                <w:noProof/>
              </w:rPr>
              <w:t>Atradius Dutch State Business es la ACE del Gobierno neerlandés. Celebra contratos de seguro de crédito a la exportación y garantiza que el Ministerio de Hacienda forme parte de ellos o los expida, en representación del Estado neerlandés.</w:t>
            </w:r>
          </w:p>
        </w:tc>
      </w:tr>
      <w:tr w:rsidR="00E37F5A" w:rsidRPr="001812CE" w:rsidTr="00FC7886">
        <w:tc>
          <w:tcPr>
            <w:tcW w:w="2376" w:type="dxa"/>
            <w:shd w:val="clear" w:color="auto" w:fill="auto"/>
          </w:tcPr>
          <w:p w:rsidR="00E37F5A" w:rsidRPr="001812CE" w:rsidRDefault="00E37F5A" w:rsidP="00FC7886">
            <w:pPr>
              <w:rPr>
                <w:noProof/>
              </w:rPr>
            </w:pPr>
            <w:r>
              <w:rPr>
                <w:noProof/>
              </w:rPr>
              <w:t>Polonia</w:t>
            </w:r>
          </w:p>
        </w:tc>
        <w:tc>
          <w:tcPr>
            <w:tcW w:w="6804" w:type="dxa"/>
            <w:shd w:val="clear" w:color="auto" w:fill="auto"/>
          </w:tcPr>
          <w:p w:rsidR="00E37F5A" w:rsidRPr="001812CE" w:rsidRDefault="00E37F5A" w:rsidP="00FC7886">
            <w:pPr>
              <w:rPr>
                <w:noProof/>
              </w:rPr>
            </w:pPr>
            <w:r>
              <w:rPr>
                <w:noProof/>
              </w:rPr>
              <w:t>KUKE es una sociedad por acciones con participación dominante del Tesoro del Estado. De conformidad con la Ley de 7 de julio de 1994, KUKE debe administrar un sistema de cobertura pura de créditos a la exportación.</w:t>
            </w:r>
          </w:p>
        </w:tc>
      </w:tr>
      <w:tr w:rsidR="00E37F5A" w:rsidRPr="001812CE" w:rsidTr="00FC7886">
        <w:tc>
          <w:tcPr>
            <w:tcW w:w="2376" w:type="dxa"/>
            <w:shd w:val="clear" w:color="auto" w:fill="auto"/>
          </w:tcPr>
          <w:p w:rsidR="00E37F5A" w:rsidRPr="001812CE" w:rsidRDefault="00E37F5A" w:rsidP="00FC7886">
            <w:pPr>
              <w:rPr>
                <w:noProof/>
              </w:rPr>
            </w:pPr>
            <w:r>
              <w:rPr>
                <w:noProof/>
              </w:rPr>
              <w:t>Portugal</w:t>
            </w:r>
          </w:p>
        </w:tc>
        <w:tc>
          <w:tcPr>
            <w:tcW w:w="6804" w:type="dxa"/>
            <w:shd w:val="clear" w:color="auto" w:fill="auto"/>
          </w:tcPr>
          <w:p w:rsidR="00E37F5A" w:rsidRPr="001812CE" w:rsidRDefault="00E37F5A" w:rsidP="00FC7886">
            <w:pPr>
              <w:rPr>
                <w:noProof/>
              </w:rPr>
            </w:pPr>
            <w:r>
              <w:rPr>
                <w:noProof/>
              </w:rPr>
              <w:t>COSEC (Companhia de Seguro de Créditos) es una aseguradora privada que actúa en nombre del Estado portugués, en colaboración con la Agencia de Gestión de la Tesorería y la Deuda Pública, en calidad de ACE.</w:t>
            </w:r>
          </w:p>
        </w:tc>
      </w:tr>
      <w:tr w:rsidR="00E37F5A" w:rsidRPr="001812CE" w:rsidTr="00FC7886">
        <w:tc>
          <w:tcPr>
            <w:tcW w:w="2376" w:type="dxa"/>
            <w:shd w:val="clear" w:color="auto" w:fill="auto"/>
          </w:tcPr>
          <w:p w:rsidR="00E37F5A" w:rsidRPr="001812CE" w:rsidRDefault="00E37F5A" w:rsidP="00FC7886">
            <w:pPr>
              <w:rPr>
                <w:noProof/>
              </w:rPr>
            </w:pPr>
            <w:r>
              <w:rPr>
                <w:noProof/>
              </w:rPr>
              <w:t>Rumanía</w:t>
            </w:r>
          </w:p>
        </w:tc>
        <w:tc>
          <w:tcPr>
            <w:tcW w:w="6804" w:type="dxa"/>
            <w:shd w:val="clear" w:color="auto" w:fill="auto"/>
          </w:tcPr>
          <w:p w:rsidR="00E37F5A" w:rsidRPr="001812CE" w:rsidRDefault="00E37F5A" w:rsidP="00FC7886">
            <w:pPr>
              <w:rPr>
                <w:noProof/>
              </w:rPr>
            </w:pPr>
            <w:r>
              <w:rPr>
                <w:noProof/>
              </w:rPr>
              <w:t>Banca de Export-Import a Romaniei – Eximbank SA (EximBank), la ACE nacional, es una sociedad por acciones cuyo accionista principal es el Estado rumano.</w:t>
            </w:r>
          </w:p>
        </w:tc>
      </w:tr>
      <w:tr w:rsidR="00E37F5A" w:rsidRPr="001812CE" w:rsidTr="00FC7886">
        <w:tc>
          <w:tcPr>
            <w:tcW w:w="2376" w:type="dxa"/>
            <w:shd w:val="clear" w:color="auto" w:fill="auto"/>
          </w:tcPr>
          <w:p w:rsidR="00E37F5A" w:rsidRPr="001812CE" w:rsidRDefault="00E37F5A" w:rsidP="00FC7886">
            <w:pPr>
              <w:rPr>
                <w:noProof/>
              </w:rPr>
            </w:pPr>
            <w:r>
              <w:rPr>
                <w:noProof/>
              </w:rPr>
              <w:t>Eslovenia</w:t>
            </w:r>
          </w:p>
        </w:tc>
        <w:tc>
          <w:tcPr>
            <w:tcW w:w="6804" w:type="dxa"/>
            <w:shd w:val="clear" w:color="auto" w:fill="auto"/>
          </w:tcPr>
          <w:p w:rsidR="00E37F5A" w:rsidRPr="001812CE" w:rsidRDefault="00E37F5A" w:rsidP="00FC7886">
            <w:pPr>
              <w:rPr>
                <w:noProof/>
              </w:rPr>
            </w:pPr>
            <w:r>
              <w:rPr>
                <w:noProof/>
                <w:shd w:val="clear" w:color="auto" w:fill="FFFFFF"/>
              </w:rPr>
              <w:t>SID Bank Inc.</w:t>
            </w:r>
            <w:r>
              <w:rPr>
                <w:noProof/>
              </w:rPr>
              <w:t xml:space="preserve"> es la institución autorizada por el Estado para prestar servicios de ACE. Opera en nombre de la República de Eslovenia y por su cuenta en calidad de agente.</w:t>
            </w:r>
          </w:p>
        </w:tc>
      </w:tr>
      <w:tr w:rsidR="00E37F5A" w:rsidRPr="001812CE" w:rsidTr="00FC7886">
        <w:tc>
          <w:tcPr>
            <w:tcW w:w="2376" w:type="dxa"/>
            <w:shd w:val="clear" w:color="auto" w:fill="auto"/>
          </w:tcPr>
          <w:p w:rsidR="00E37F5A" w:rsidRPr="001812CE" w:rsidRDefault="00E37F5A" w:rsidP="00FC7886">
            <w:pPr>
              <w:rPr>
                <w:noProof/>
              </w:rPr>
            </w:pPr>
            <w:r>
              <w:rPr>
                <w:noProof/>
              </w:rPr>
              <w:t>Eslovaquia</w:t>
            </w:r>
          </w:p>
        </w:tc>
        <w:tc>
          <w:tcPr>
            <w:tcW w:w="6804" w:type="dxa"/>
            <w:shd w:val="clear" w:color="auto" w:fill="auto"/>
          </w:tcPr>
          <w:p w:rsidR="00E37F5A" w:rsidRPr="001812CE" w:rsidRDefault="00E37F5A" w:rsidP="00FC7886">
            <w:pPr>
              <w:rPr>
                <w:noProof/>
              </w:rPr>
            </w:pPr>
            <w:r>
              <w:rPr>
                <w:noProof/>
              </w:rPr>
              <w:t>Eximbanka SR es la ACE oficial de la República Eslovaca, una entidad jurídica constituida con arreglo a una ley especial.</w:t>
            </w:r>
          </w:p>
        </w:tc>
      </w:tr>
      <w:tr w:rsidR="00E37F5A" w:rsidRPr="001812CE" w:rsidTr="00FC7886">
        <w:tc>
          <w:tcPr>
            <w:tcW w:w="2376" w:type="dxa"/>
            <w:shd w:val="clear" w:color="auto" w:fill="auto"/>
          </w:tcPr>
          <w:p w:rsidR="00E37F5A" w:rsidRPr="001812CE" w:rsidRDefault="00E37F5A" w:rsidP="00FC7886">
            <w:pPr>
              <w:rPr>
                <w:noProof/>
              </w:rPr>
            </w:pPr>
            <w:r>
              <w:rPr>
                <w:noProof/>
              </w:rPr>
              <w:t>España</w:t>
            </w:r>
          </w:p>
        </w:tc>
        <w:tc>
          <w:tcPr>
            <w:tcW w:w="6804" w:type="dxa"/>
            <w:shd w:val="clear" w:color="auto" w:fill="auto"/>
          </w:tcPr>
          <w:p w:rsidR="00E37F5A" w:rsidRPr="001812CE" w:rsidRDefault="00E37F5A" w:rsidP="00FC7886">
            <w:pPr>
              <w:rPr>
                <w:noProof/>
              </w:rPr>
            </w:pPr>
            <w:r>
              <w:rPr>
                <w:noProof/>
              </w:rPr>
              <w:t>La Compañía Española de Seguros de Crédito a la Exportación (CESCE) es una sociedad de capital mixto en la que el Estado posee una participación mayoritaria, cuyo mandato consiste en gestionar el seguro de crédito a la exportación por cuenta del Estado español. El Instituto de Crédito Oficial (ICO) participa en la gestión financiera de las operaciones del Fondo para la Internacionalización de la Empresa en relación con los sistemas de financiación directa y de ajuste recíproco de intereses, bajo la responsabilidad del Ministerio de Industria, Turismo y Comercio.</w:t>
            </w:r>
          </w:p>
        </w:tc>
      </w:tr>
      <w:tr w:rsidR="00E37F5A" w:rsidRPr="001812CE" w:rsidTr="00FC7886">
        <w:tc>
          <w:tcPr>
            <w:tcW w:w="2376" w:type="dxa"/>
            <w:shd w:val="clear" w:color="auto" w:fill="auto"/>
          </w:tcPr>
          <w:p w:rsidR="00E37F5A" w:rsidRPr="001812CE" w:rsidRDefault="00E37F5A" w:rsidP="00FC7886">
            <w:pPr>
              <w:rPr>
                <w:noProof/>
              </w:rPr>
            </w:pPr>
            <w:r>
              <w:rPr>
                <w:noProof/>
              </w:rPr>
              <w:t>Suecia</w:t>
            </w:r>
          </w:p>
        </w:tc>
        <w:tc>
          <w:tcPr>
            <w:tcW w:w="6804" w:type="dxa"/>
            <w:shd w:val="clear" w:color="auto" w:fill="auto"/>
          </w:tcPr>
          <w:p w:rsidR="00E37F5A" w:rsidRPr="001812CE" w:rsidRDefault="00E37F5A" w:rsidP="00FC7886">
            <w:pPr>
              <w:rPr>
                <w:noProof/>
              </w:rPr>
            </w:pPr>
            <w:r>
              <w:rPr>
                <w:noProof/>
              </w:rPr>
              <w:t>El Consejo Sueco de Garantía de Créditos a la Exportación (EKN) y la Sociedad Sueca de Crédito a la Exportación (SEK) tienen mandatos similares, pero difieren en su estructura organizativa y en los servicios que ofrecen. El EKN asegura el riesgo crediticio y la SEK aporta refinanciación. El EKN es una agencia gubernamental y la SEK es una empresa de propiedad 100 % estatal.</w:t>
            </w:r>
          </w:p>
        </w:tc>
      </w:tr>
    </w:tbl>
    <w:p w:rsidR="00E37F5A" w:rsidRDefault="00E37F5A" w:rsidP="00E37F5A">
      <w:pPr>
        <w:rPr>
          <w:noProof/>
        </w:rPr>
      </w:pPr>
    </w:p>
    <w:p w:rsidR="00D82885" w:rsidRDefault="00D82885" w:rsidP="00E37F5A">
      <w:pPr>
        <w:jc w:val="center"/>
        <w:rPr>
          <w:b/>
          <w:noProof/>
          <w:u w:val="single"/>
        </w:rPr>
      </w:pPr>
    </w:p>
    <w:sectPr w:rsidR="00D8288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885" w:rsidRDefault="00E37F5A">
      <w:r>
        <w:separator/>
      </w:r>
    </w:p>
  </w:endnote>
  <w:endnote w:type="continuationSeparator" w:id="0">
    <w:p w:rsidR="00D82885" w:rsidRDefault="00E37F5A">
      <w:r>
        <w:continuationSeparator/>
      </w:r>
    </w:p>
  </w:endnote>
  <w:endnote w:type="continuationNotice" w:id="1">
    <w:p w:rsidR="00D82885" w:rsidRDefault="00D82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2D0" w:rsidRPr="00EE02D0" w:rsidRDefault="00EE02D0" w:rsidP="00EE0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2D0" w:rsidRPr="00EE02D0" w:rsidRDefault="00EE02D0" w:rsidP="00EE02D0">
    <w:pPr>
      <w:pStyle w:val="FooterCoverPage"/>
      <w:rPr>
        <w:rFonts w:ascii="Arial" w:hAnsi="Arial" w:cs="Arial"/>
        <w:b/>
        <w:sz w:val="48"/>
      </w:rPr>
    </w:pPr>
    <w:r w:rsidRPr="00EE02D0">
      <w:rPr>
        <w:rFonts w:ascii="Arial" w:hAnsi="Arial" w:cs="Arial"/>
        <w:b/>
        <w:sz w:val="48"/>
      </w:rPr>
      <w:t>ES</w:t>
    </w:r>
    <w:r w:rsidRPr="00EE02D0">
      <w:rPr>
        <w:rFonts w:ascii="Arial" w:hAnsi="Arial" w:cs="Arial"/>
        <w:b/>
        <w:sz w:val="48"/>
      </w:rPr>
      <w:tab/>
    </w:r>
    <w:r w:rsidRPr="00EE02D0">
      <w:rPr>
        <w:rFonts w:ascii="Arial" w:hAnsi="Arial" w:cs="Arial"/>
        <w:b/>
        <w:sz w:val="48"/>
      </w:rPr>
      <w:tab/>
    </w:r>
    <w:r w:rsidRPr="00EE02D0">
      <w:tab/>
    </w:r>
    <w:r w:rsidRPr="00EE02D0">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2D0" w:rsidRPr="00EE02D0" w:rsidRDefault="00EE02D0" w:rsidP="00EE02D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85" w:rsidRDefault="00D828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224102"/>
      <w:docPartObj>
        <w:docPartGallery w:val="Page Numbers (Bottom of Page)"/>
        <w:docPartUnique/>
      </w:docPartObj>
    </w:sdtPr>
    <w:sdtEndPr>
      <w:rPr>
        <w:noProof/>
      </w:rPr>
    </w:sdtEndPr>
    <w:sdtContent>
      <w:p w:rsidR="00D82885" w:rsidRDefault="00E37F5A">
        <w:pPr>
          <w:pStyle w:val="Footer"/>
          <w:jc w:val="center"/>
        </w:pPr>
        <w:r>
          <w:fldChar w:fldCharType="begin"/>
        </w:r>
        <w:r>
          <w:instrText xml:space="preserve"> PAGE   \* MERGEFORMAT </w:instrText>
        </w:r>
        <w:r>
          <w:fldChar w:fldCharType="separate"/>
        </w:r>
        <w:r w:rsidR="00EE02D0">
          <w:rPr>
            <w:noProof/>
          </w:rPr>
          <w:t>1</w:t>
        </w:r>
        <w:r>
          <w:fldChar w:fldCharType="end"/>
        </w:r>
      </w:p>
    </w:sdtContent>
  </w:sdt>
  <w:p w:rsidR="00D82885" w:rsidRDefault="00D8288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85" w:rsidRDefault="00D82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885" w:rsidRDefault="00E37F5A">
      <w:r>
        <w:separator/>
      </w:r>
    </w:p>
  </w:footnote>
  <w:footnote w:type="continuationSeparator" w:id="0">
    <w:p w:rsidR="00D82885" w:rsidRDefault="00E37F5A">
      <w:r>
        <w:continuationSeparator/>
      </w:r>
    </w:p>
  </w:footnote>
  <w:footnote w:type="continuationNotice" w:id="1">
    <w:p w:rsidR="00D82885" w:rsidRDefault="00D828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2D0" w:rsidRPr="00EE02D0" w:rsidRDefault="00EE02D0" w:rsidP="00EE0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2D0" w:rsidRPr="00EE02D0" w:rsidRDefault="00EE02D0" w:rsidP="00EE02D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2D0" w:rsidRPr="00EE02D0" w:rsidRDefault="00EE02D0" w:rsidP="00EE02D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85" w:rsidRDefault="00D828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85" w:rsidRDefault="00D828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85" w:rsidRDefault="00D82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6A8"/>
    <w:multiLevelType w:val="multilevel"/>
    <w:tmpl w:val="2F9A87F6"/>
    <w:lvl w:ilvl="0">
      <w:start w:val="6"/>
      <w:numFmt w:val="decimal"/>
      <w:lvlText w:val="%1."/>
      <w:lvlJc w:val="left"/>
      <w:pPr>
        <w:ind w:left="720" w:hanging="72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9571227"/>
    <w:multiLevelType w:val="hybridMultilevel"/>
    <w:tmpl w:val="DA687106"/>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900A7A"/>
    <w:multiLevelType w:val="hybridMultilevel"/>
    <w:tmpl w:val="5A46A58E"/>
    <w:lvl w:ilvl="0" w:tplc="C794329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456CA3"/>
    <w:multiLevelType w:val="hybridMultilevel"/>
    <w:tmpl w:val="06460FCA"/>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9660DD7"/>
    <w:multiLevelType w:val="hybridMultilevel"/>
    <w:tmpl w:val="4D0AC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4D5A47"/>
    <w:multiLevelType w:val="hybridMultilevel"/>
    <w:tmpl w:val="D1B82C0E"/>
    <w:lvl w:ilvl="0" w:tplc="8FF04DDC">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21457E66"/>
    <w:multiLevelType w:val="hybridMultilevel"/>
    <w:tmpl w:val="21AAC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220893"/>
    <w:multiLevelType w:val="multilevel"/>
    <w:tmpl w:val="1BA03C5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3EE34EE"/>
    <w:multiLevelType w:val="hybridMultilevel"/>
    <w:tmpl w:val="C596BB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AB66DD6"/>
    <w:multiLevelType w:val="multilevel"/>
    <w:tmpl w:val="4636FDE6"/>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4BD0BEC"/>
    <w:multiLevelType w:val="singleLevel"/>
    <w:tmpl w:val="72D6F376"/>
    <w:lvl w:ilvl="0">
      <w:start w:val="1"/>
      <w:numFmt w:val="bullet"/>
      <w:pStyle w:val="ListBullet"/>
      <w:lvlText w:val=""/>
      <w:lvlJc w:val="left"/>
      <w:pPr>
        <w:tabs>
          <w:tab w:val="num" w:pos="850"/>
        </w:tabs>
        <w:ind w:left="850" w:hanging="283"/>
      </w:pPr>
      <w:rPr>
        <w:rFonts w:ascii="Symbol" w:hAnsi="Symbol"/>
      </w:rPr>
    </w:lvl>
  </w:abstractNum>
  <w:abstractNum w:abstractNumId="11" w15:restartNumberingAfterBreak="0">
    <w:nsid w:val="5BAA456E"/>
    <w:multiLevelType w:val="hybridMultilevel"/>
    <w:tmpl w:val="B77C9D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45673FD"/>
    <w:multiLevelType w:val="hybridMultilevel"/>
    <w:tmpl w:val="AD0E6E6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FAE4037"/>
    <w:multiLevelType w:val="multilevel"/>
    <w:tmpl w:val="A44EBFAE"/>
    <w:lvl w:ilvl="0">
      <w:start w:val="4"/>
      <w:numFmt w:val="decimal"/>
      <w:lvlText w:val="%1"/>
      <w:lvlJc w:val="left"/>
      <w:pPr>
        <w:ind w:left="360" w:hanging="360"/>
      </w:pPr>
      <w:rPr>
        <w:rFonts w:eastAsia="Times New Roman" w:hint="default"/>
        <w:i/>
        <w:color w:val="auto"/>
      </w:rPr>
    </w:lvl>
    <w:lvl w:ilvl="1">
      <w:start w:val="1"/>
      <w:numFmt w:val="decimal"/>
      <w:lvlText w:val="%1.%2"/>
      <w:lvlJc w:val="left"/>
      <w:pPr>
        <w:ind w:left="360" w:hanging="360"/>
      </w:pPr>
      <w:rPr>
        <w:rFonts w:eastAsia="Times New Roman" w:hint="default"/>
        <w:i/>
        <w:color w:val="auto"/>
      </w:rPr>
    </w:lvl>
    <w:lvl w:ilvl="2">
      <w:start w:val="1"/>
      <w:numFmt w:val="decimal"/>
      <w:lvlText w:val="%1.%2.%3"/>
      <w:lvlJc w:val="left"/>
      <w:pPr>
        <w:ind w:left="720" w:hanging="720"/>
      </w:pPr>
      <w:rPr>
        <w:rFonts w:eastAsia="Times New Roman" w:hint="default"/>
        <w:i/>
        <w:color w:val="auto"/>
      </w:rPr>
    </w:lvl>
    <w:lvl w:ilvl="3">
      <w:start w:val="1"/>
      <w:numFmt w:val="decimal"/>
      <w:lvlText w:val="%1.%2.%3.%4"/>
      <w:lvlJc w:val="left"/>
      <w:pPr>
        <w:ind w:left="720" w:hanging="720"/>
      </w:pPr>
      <w:rPr>
        <w:rFonts w:eastAsia="Times New Roman" w:hint="default"/>
        <w:i/>
        <w:color w:val="auto"/>
      </w:rPr>
    </w:lvl>
    <w:lvl w:ilvl="4">
      <w:start w:val="1"/>
      <w:numFmt w:val="decimal"/>
      <w:lvlText w:val="%1.%2.%3.%4.%5"/>
      <w:lvlJc w:val="left"/>
      <w:pPr>
        <w:ind w:left="1080" w:hanging="1080"/>
      </w:pPr>
      <w:rPr>
        <w:rFonts w:eastAsia="Times New Roman" w:hint="default"/>
        <w:i/>
        <w:color w:val="auto"/>
      </w:rPr>
    </w:lvl>
    <w:lvl w:ilvl="5">
      <w:start w:val="1"/>
      <w:numFmt w:val="decimal"/>
      <w:lvlText w:val="%1.%2.%3.%4.%5.%6"/>
      <w:lvlJc w:val="left"/>
      <w:pPr>
        <w:ind w:left="1080" w:hanging="1080"/>
      </w:pPr>
      <w:rPr>
        <w:rFonts w:eastAsia="Times New Roman" w:hint="default"/>
        <w:i/>
        <w:color w:val="auto"/>
      </w:rPr>
    </w:lvl>
    <w:lvl w:ilvl="6">
      <w:start w:val="1"/>
      <w:numFmt w:val="decimal"/>
      <w:lvlText w:val="%1.%2.%3.%4.%5.%6.%7"/>
      <w:lvlJc w:val="left"/>
      <w:pPr>
        <w:ind w:left="1440" w:hanging="1440"/>
      </w:pPr>
      <w:rPr>
        <w:rFonts w:eastAsia="Times New Roman" w:hint="default"/>
        <w:i/>
        <w:color w:val="auto"/>
      </w:rPr>
    </w:lvl>
    <w:lvl w:ilvl="7">
      <w:start w:val="1"/>
      <w:numFmt w:val="decimal"/>
      <w:lvlText w:val="%1.%2.%3.%4.%5.%6.%7.%8"/>
      <w:lvlJc w:val="left"/>
      <w:pPr>
        <w:ind w:left="1440" w:hanging="1440"/>
      </w:pPr>
      <w:rPr>
        <w:rFonts w:eastAsia="Times New Roman" w:hint="default"/>
        <w:i/>
        <w:color w:val="auto"/>
      </w:rPr>
    </w:lvl>
    <w:lvl w:ilvl="8">
      <w:start w:val="1"/>
      <w:numFmt w:val="decimal"/>
      <w:lvlText w:val="%1.%2.%3.%4.%5.%6.%7.%8.%9"/>
      <w:lvlJc w:val="left"/>
      <w:pPr>
        <w:ind w:left="1800" w:hanging="1800"/>
      </w:pPr>
      <w:rPr>
        <w:rFonts w:eastAsia="Times New Roman" w:hint="default"/>
        <w:i/>
        <w:color w:val="auto"/>
      </w:rPr>
    </w:lvl>
  </w:abstractNum>
  <w:abstractNum w:abstractNumId="14" w15:restartNumberingAfterBreak="0">
    <w:nsid w:val="76206909"/>
    <w:multiLevelType w:val="hybridMultilevel"/>
    <w:tmpl w:val="8238071A"/>
    <w:lvl w:ilvl="0" w:tplc="869A4E90">
      <w:start w:val="1"/>
      <w:numFmt w:val="decimal"/>
      <w:lvlText w:val="%1."/>
      <w:lvlJc w:val="left"/>
      <w:pPr>
        <w:ind w:left="720" w:hanging="72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3"/>
  </w:num>
  <w:num w:numId="13">
    <w:abstractNumId w:val="5"/>
  </w:num>
  <w:num w:numId="14">
    <w:abstractNumId w:val="13"/>
  </w:num>
  <w:num w:numId="15">
    <w:abstractNumId w:val="11"/>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CC40532D-3D6F-4C91-B0A2-ADAB791C957B"/>
    <w:docVar w:name="LW_COVERPAGE_TYPE" w:val="1"/>
    <w:docVar w:name="LW_CROSSREFERENCE" w:val="&lt;UNUSED&gt;"/>
    <w:docVar w:name="LW_DocType" w:val="NORMAL"/>
    <w:docVar w:name="LW_EMISSION" w:val="24.3.2022"/>
    <w:docVar w:name="LW_EMISSION_ISODATE" w:val="2022-03-24"/>
    <w:docVar w:name="LW_EMISSION_LOCATION" w:val="BRX"/>
    <w:docVar w:name="LW_EMISSION_PREFIX" w:val="Bruselas, "/>
    <w:docVar w:name="LW_EMISSION_SUFFIX" w:val=" "/>
    <w:docVar w:name="LW_ID_DOCTYPE_NONLW" w:val="CP-039"/>
    <w:docVar w:name="LW_LANGUE" w:val="ES"/>
    <w:docVar w:name="LW_LEVEL_OF_SENSITIVITY" w:val="Standard treatment"/>
    <w:docVar w:name="LW_NOM.INST" w:val="COMISIÓN EUROPEA"/>
    <w:docVar w:name="LW_NOM.INST_JOINTDOC" w:val="&lt;EMPTY&gt;"/>
    <w:docVar w:name="LW_OBJETACTEPRINCIPAL.CP" w:val="de los informes anuales de actividad de los Estados miembros sobre créditos a la exportación a tenor del Reglamento (UE) n.º 1233/2011_x000d__x000d__x000d__x000d__x000d__x000d__x000b__x000d__x000d__x000d__x000d__x000d__x000d__x000d__x000b__x000d__x000d__x000d__x000d__x000d__x000d__x000d__x000d__x000d__x000d__x000d__x000d__x000d__x000b__x000d__x000d__x000d__x000d__x000d__x000d__x000d__x000d__x000d__x000d__x000d__x000d__x000d__x000b_"/>
    <w:docVar w:name="LW_PART_NBR" w:val="1"/>
    <w:docVar w:name="LW_PART_NBR_TOTAL" w:val="1"/>
    <w:docVar w:name="LW_REF.INST.NEW" w:val="COM"/>
    <w:docVar w:name="LW_REF.INST.NEW_ADOPTED" w:val="final"/>
    <w:docVar w:name="LW_REF.INST.NEW_TEXT" w:val="(2022) 1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EXO_x000b_"/>
    <w:docVar w:name="LW_TYPEACTEPRINCIPAL.CP" w:val="Revisión Anual por parte de la Comisión"/>
    <w:docVar w:name="LwApiVersions" w:val="LW4CoDe 1.23.2.0; LW 8.0, Build 20211117"/>
  </w:docVars>
  <w:rsids>
    <w:rsidRoot w:val="00D82885"/>
    <w:rsid w:val="000D2275"/>
    <w:rsid w:val="00602489"/>
    <w:rsid w:val="00624E98"/>
    <w:rsid w:val="006E7CF0"/>
    <w:rsid w:val="007C281C"/>
    <w:rsid w:val="009A64A4"/>
    <w:rsid w:val="00D82885"/>
    <w:rsid w:val="00D93E8D"/>
    <w:rsid w:val="00E37F5A"/>
    <w:rsid w:val="00E419F8"/>
    <w:rsid w:val="00EB0134"/>
    <w:rsid w:val="00EE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ED5065D5-6AB5-437E-98D3-C1DE9E86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s-E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s-E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ListParagraph">
    <w:name w:val="List Paragraph"/>
    <w:basedOn w:val="Normal"/>
    <w:uiPriority w:val="34"/>
    <w:qFormat/>
    <w:pPr>
      <w:spacing w:after="240"/>
      <w:ind w:left="708"/>
      <w:jc w:val="both"/>
    </w:pPr>
    <w:rPr>
      <w:rFonts w:eastAsia="Times New Roman"/>
      <w:szCs w:val="20"/>
    </w:rPr>
  </w:style>
  <w:style w:type="character" w:customStyle="1" w:styleId="FootnoteTextChar">
    <w:name w:val="Footnote Text Char"/>
    <w:aliases w:val="Footnote TextCSR Char"/>
    <w:basedOn w:val="DefaultParagraphFont"/>
    <w:link w:val="FootnoteText"/>
    <w:uiPriority w:val="99"/>
    <w:locked/>
  </w:style>
  <w:style w:type="paragraph" w:styleId="FootnoteText">
    <w:name w:val="footnote text"/>
    <w:aliases w:val="Footnote TextCSR"/>
    <w:basedOn w:val="Normal"/>
    <w:link w:val="FootnoteTextChar"/>
    <w:uiPriority w:val="99"/>
    <w:unhideWhenUsed/>
    <w:rPr>
      <w:sz w:val="20"/>
      <w:szCs w:val="20"/>
    </w:rPr>
  </w:style>
  <w:style w:type="character" w:customStyle="1" w:styleId="FootnoteTextChar1">
    <w:name w:val="Footnote Text Char1"/>
    <w:basedOn w:val="DefaultParagraphFont"/>
    <w:uiPriority w:val="99"/>
    <w:semiHidden/>
    <w:rPr>
      <w:lang w:val="es-ES"/>
    </w:rPr>
  </w:style>
  <w:style w:type="character" w:styleId="FootnoteReference">
    <w:name w:val="footnote reference"/>
    <w:aliases w:val="SUPERS,BVI fnr,Footnote call"/>
    <w:basedOn w:val="DefaultParagraphFont"/>
    <w:uiPriority w:val="99"/>
    <w:semiHidden/>
    <w:unhideWhenUsed/>
    <w:rPr>
      <w:vertAlign w:val="superscript"/>
    </w:rPr>
  </w:style>
  <w:style w:type="paragraph" w:styleId="CommentText">
    <w:name w:val="annotation text"/>
    <w:basedOn w:val="Normal"/>
    <w:link w:val="CommentTextChar"/>
    <w:semiHidden/>
    <w:unhideWhenUsed/>
    <w:pPr>
      <w:spacing w:after="240"/>
      <w:jc w:val="both"/>
    </w:pPr>
    <w:rPr>
      <w:rFonts w:eastAsia="Times New Roman"/>
      <w:sz w:val="20"/>
      <w:szCs w:val="20"/>
      <w:lang w:eastAsia="en-GB"/>
    </w:rPr>
  </w:style>
  <w:style w:type="character" w:customStyle="1" w:styleId="CommentTextChar">
    <w:name w:val="Comment Text Char"/>
    <w:basedOn w:val="DefaultParagraphFont"/>
    <w:link w:val="CommentText"/>
    <w:semiHidden/>
    <w:rPr>
      <w:rFonts w:eastAsia="Times New Roman"/>
      <w:lang w:val="es-ES" w:eastAsia="en-GB"/>
    </w:rPr>
  </w:style>
  <w:style w:type="paragraph" w:customStyle="1" w:styleId="Body">
    <w:name w:val="Body"/>
    <w:pPr>
      <w:spacing w:after="160" w:line="256" w:lineRule="auto"/>
    </w:pPr>
    <w:rPr>
      <w:rFonts w:ascii="Calibri" w:eastAsia="Calibri" w:hAnsi="Calibri" w:cs="Calibri"/>
      <w:color w:val="000000"/>
      <w:sz w:val="22"/>
      <w:szCs w:val="22"/>
      <w:u w:color="000000"/>
      <w:lang w:eastAsia="en-GB"/>
    </w:rPr>
  </w:style>
  <w:style w:type="character" w:styleId="CommentReference">
    <w:name w:val="annotation reference"/>
    <w:basedOn w:val="DefaultParagraphFont"/>
    <w:uiPriority w:val="99"/>
    <w:semiHidden/>
    <w:unhideWhenUsed/>
    <w:rPr>
      <w:sz w:val="16"/>
      <w:szCs w:val="16"/>
    </w:rPr>
  </w:style>
  <w:style w:type="character" w:customStyle="1" w:styleId="Fuentedeprrafopredeter">
    <w:name w:val="Fuente de párrafo predeter."/>
  </w:style>
  <w:style w:type="paragraph" w:styleId="BalloonText">
    <w:name w:val="Balloon Text"/>
    <w:basedOn w:val="Normal"/>
    <w:link w:val="BalloonTextChar"/>
    <w:uiPriority w:val="99"/>
    <w:semiHidden/>
    <w:unhideWhenUsed/>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s-ES" w:eastAsia="en-GB"/>
    </w:rPr>
  </w:style>
  <w:style w:type="paragraph" w:styleId="NormalWeb">
    <w:name w:val="Normal (Web)"/>
    <w:basedOn w:val="Normal"/>
    <w:uiPriority w:val="99"/>
    <w:semiHidden/>
    <w:unhideWhenUsed/>
    <w:pPr>
      <w:spacing w:before="100" w:beforeAutospacing="1" w:after="100" w:afterAutospacing="1"/>
    </w:pPr>
    <w:rPr>
      <w:rFonts w:eastAsia="Times New Roman"/>
      <w:lang w:eastAsia="en-GB"/>
    </w:rPr>
  </w:style>
  <w:style w:type="paragraph" w:styleId="ListBullet">
    <w:name w:val="List Bullet"/>
    <w:basedOn w:val="Normal"/>
    <w:semiHidden/>
    <w:unhideWhenUsed/>
    <w:pPr>
      <w:numPr>
        <w:numId w:val="10"/>
      </w:numPr>
      <w:spacing w:after="240"/>
      <w:jc w:val="both"/>
    </w:pPr>
    <w:rPr>
      <w:rFonts w:eastAsia="Times New Roman"/>
      <w:szCs w:val="20"/>
    </w:rPr>
  </w:style>
  <w:style w:type="paragraph" w:styleId="CommentSubject">
    <w:name w:val="annotation subject"/>
    <w:basedOn w:val="CommentText"/>
    <w:next w:val="CommentText"/>
    <w:link w:val="CommentSubjectChar"/>
    <w:uiPriority w:val="99"/>
    <w:semiHidden/>
    <w:unhideWhenUsed/>
    <w:pPr>
      <w:spacing w:after="0"/>
      <w:jc w:val="left"/>
    </w:pPr>
    <w:rPr>
      <w:b/>
      <w:bCs/>
    </w:rPr>
  </w:style>
  <w:style w:type="character" w:customStyle="1" w:styleId="CommentSubjectChar">
    <w:name w:val="Comment Subject Char"/>
    <w:basedOn w:val="CommentTextChar"/>
    <w:link w:val="CommentSubject"/>
    <w:uiPriority w:val="99"/>
    <w:semiHidden/>
    <w:rPr>
      <w:rFonts w:eastAsia="Times New Roman"/>
      <w:b/>
      <w:bCs/>
      <w:lang w:val="es-ES" w:eastAsia="en-GB"/>
    </w:rPr>
  </w:style>
  <w:style w:type="paragraph" w:styleId="Revision">
    <w:name w:val="Revision"/>
    <w:hidden/>
    <w:uiPriority w:val="99"/>
    <w:semiHidden/>
    <w:rPr>
      <w:rFonts w:eastAsia="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lang w:val="es-ES"/>
    </w:rPr>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B4D1B-643C-4524-A9D4-B97A0D6A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EC CoDe</cp:lastModifiedBy>
  <cp:revision>15</cp:revision>
  <dcterms:created xsi:type="dcterms:W3CDTF">2022-03-10T10:51:00Z</dcterms:created>
  <dcterms:modified xsi:type="dcterms:W3CDTF">2022-03-17T08:54:00Z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7.0.1, Build 20200226</vt:lpwstr>
  </property>
  <property fmtid="{D5CDD505-2E9C-101B-9397-08002B2CF9AE}" pid="11" name="Created using">
    <vt:lpwstr>LW 7.0, Build 20190717</vt:lpwstr>
  </property>
</Properties>
</file>