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15B6B" w14:textId="23911E0B" w:rsidR="007A4599" w:rsidRDefault="00595D87" w:rsidP="00595D87">
      <w:pPr>
        <w:pStyle w:val="Pagedecouverture"/>
        <w:rPr>
          <w:noProof/>
          <w:lang w:val="en-IE"/>
        </w:rPr>
      </w:pPr>
      <w:bookmarkStart w:id="0" w:name="LW_BM_COVERPAGE"/>
      <w:r>
        <w:rPr>
          <w:noProof/>
          <w:lang w:val="en-IE"/>
        </w:rPr>
        <w:pict w14:anchorId="2951B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BE158D9-9BFA-431E-98FE-E0A294175872" style="width:455.25pt;height:296.25pt">
            <v:imagedata r:id="rId11" o:title=""/>
          </v:shape>
        </w:pict>
      </w:r>
    </w:p>
    <w:bookmarkEnd w:id="0"/>
    <w:p w14:paraId="5934A78B" w14:textId="77777777" w:rsidR="00F8296C" w:rsidRPr="00F8296C" w:rsidRDefault="00F8296C" w:rsidP="00F8296C">
      <w:pPr>
        <w:pStyle w:val="Pagedecouverture"/>
        <w:rPr>
          <w:noProof/>
          <w:lang w:val="en-IE"/>
        </w:rPr>
        <w:sectPr w:rsidR="00F8296C" w:rsidRPr="00F8296C" w:rsidSect="00595D8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noProof/>
        </w:rPr>
        <w:id w:val="-1804307359"/>
        <w:docPartObj>
          <w:docPartGallery w:val="Table of Contents"/>
          <w:docPartUnique/>
        </w:docPartObj>
      </w:sdtPr>
      <w:sdtEndPr>
        <w:rPr>
          <w:b/>
          <w:bCs/>
        </w:rPr>
      </w:sdtEndPr>
      <w:sdtContent>
        <w:p w14:paraId="7A6813D9" w14:textId="532AEB29" w:rsidR="00E21C0E" w:rsidRPr="00E21C0E" w:rsidRDefault="00E21C0E" w:rsidP="00E21C0E">
          <w:pPr>
            <w:jc w:val="center"/>
            <w:rPr>
              <w:b/>
              <w:noProof/>
            </w:rPr>
          </w:pPr>
          <w:r w:rsidRPr="00E21C0E">
            <w:rPr>
              <w:b/>
              <w:noProof/>
            </w:rPr>
            <w:t>TABLE OF CONTENTS</w:t>
          </w:r>
        </w:p>
        <w:p w14:paraId="2E7D5714" w14:textId="1AF764CE" w:rsidR="00E21C0E" w:rsidRDefault="00E21C0E">
          <w:pPr>
            <w:pStyle w:val="TOC1"/>
            <w:tabs>
              <w:tab w:val="left" w:pos="440"/>
              <w:tab w:val="right" w:leader="dot" w:pos="9350"/>
            </w:tabs>
            <w:rPr>
              <w:rFonts w:eastAsiaTheme="minorEastAsia"/>
              <w:noProof/>
              <w:lang w:val="en-IE" w:eastAsia="en-IE"/>
            </w:rPr>
          </w:pPr>
          <w:r>
            <w:rPr>
              <w:noProof/>
            </w:rPr>
            <w:fldChar w:fldCharType="begin"/>
          </w:r>
          <w:r>
            <w:rPr>
              <w:noProof/>
            </w:rPr>
            <w:instrText xml:space="preserve"> TOC \o "1-3" \h \z \u </w:instrText>
          </w:r>
          <w:r>
            <w:rPr>
              <w:noProof/>
            </w:rPr>
            <w:fldChar w:fldCharType="separate"/>
          </w:r>
          <w:hyperlink w:anchor="_Toc96083179" w:history="1">
            <w:r w:rsidRPr="00423C55">
              <w:rPr>
                <w:rStyle w:val="Hyperlink"/>
                <w:noProof/>
              </w:rPr>
              <w:t>1.</w:t>
            </w:r>
            <w:r>
              <w:rPr>
                <w:rFonts w:eastAsiaTheme="minorEastAsia"/>
                <w:noProof/>
                <w:lang w:val="en-IE" w:eastAsia="en-IE"/>
              </w:rPr>
              <w:tab/>
            </w:r>
            <w:r w:rsidRPr="00423C55">
              <w:rPr>
                <w:rStyle w:val="Hyperlink"/>
                <w:noProof/>
              </w:rPr>
              <w:t>EXECUTIVE SUMMARY</w:t>
            </w:r>
            <w:r>
              <w:rPr>
                <w:noProof/>
                <w:webHidden/>
              </w:rPr>
              <w:tab/>
            </w:r>
            <w:r>
              <w:rPr>
                <w:noProof/>
                <w:webHidden/>
              </w:rPr>
              <w:fldChar w:fldCharType="begin"/>
            </w:r>
            <w:r>
              <w:rPr>
                <w:noProof/>
                <w:webHidden/>
              </w:rPr>
              <w:instrText xml:space="preserve"> PAGEREF _Toc96083179 \h </w:instrText>
            </w:r>
            <w:r>
              <w:rPr>
                <w:noProof/>
                <w:webHidden/>
              </w:rPr>
            </w:r>
            <w:r>
              <w:rPr>
                <w:noProof/>
                <w:webHidden/>
              </w:rPr>
              <w:fldChar w:fldCharType="separate"/>
            </w:r>
            <w:r>
              <w:rPr>
                <w:noProof/>
                <w:webHidden/>
              </w:rPr>
              <w:t>2</w:t>
            </w:r>
            <w:r>
              <w:rPr>
                <w:noProof/>
                <w:webHidden/>
              </w:rPr>
              <w:fldChar w:fldCharType="end"/>
            </w:r>
          </w:hyperlink>
        </w:p>
        <w:p w14:paraId="1982547D" w14:textId="7ABE44B4" w:rsidR="00E21C0E" w:rsidRDefault="00595D87">
          <w:pPr>
            <w:pStyle w:val="TOC1"/>
            <w:tabs>
              <w:tab w:val="left" w:pos="440"/>
              <w:tab w:val="right" w:leader="dot" w:pos="9350"/>
            </w:tabs>
            <w:rPr>
              <w:rFonts w:eastAsiaTheme="minorEastAsia"/>
              <w:noProof/>
              <w:lang w:val="en-IE" w:eastAsia="en-IE"/>
            </w:rPr>
          </w:pPr>
          <w:hyperlink w:anchor="_Toc96083180" w:history="1">
            <w:r w:rsidR="00E21C0E" w:rsidRPr="00423C55">
              <w:rPr>
                <w:rStyle w:val="Hyperlink"/>
                <w:noProof/>
              </w:rPr>
              <w:t>2.</w:t>
            </w:r>
            <w:r w:rsidR="00E21C0E">
              <w:rPr>
                <w:rFonts w:eastAsiaTheme="minorEastAsia"/>
                <w:noProof/>
                <w:lang w:val="en-IE" w:eastAsia="en-IE"/>
              </w:rPr>
              <w:tab/>
            </w:r>
            <w:r w:rsidR="00E21C0E" w:rsidRPr="00423C55">
              <w:rPr>
                <w:rStyle w:val="Hyperlink"/>
                <w:noProof/>
              </w:rPr>
              <w:t>POLITICAL and REGULATORY CONTEXT</w:t>
            </w:r>
            <w:r w:rsidR="00E21C0E">
              <w:rPr>
                <w:noProof/>
                <w:webHidden/>
              </w:rPr>
              <w:tab/>
            </w:r>
            <w:r w:rsidR="00E21C0E">
              <w:rPr>
                <w:noProof/>
                <w:webHidden/>
              </w:rPr>
              <w:fldChar w:fldCharType="begin"/>
            </w:r>
            <w:r w:rsidR="00E21C0E">
              <w:rPr>
                <w:noProof/>
                <w:webHidden/>
              </w:rPr>
              <w:instrText xml:space="preserve"> PAGEREF _Toc96083180 \h </w:instrText>
            </w:r>
            <w:r w:rsidR="00E21C0E">
              <w:rPr>
                <w:noProof/>
                <w:webHidden/>
              </w:rPr>
            </w:r>
            <w:r w:rsidR="00E21C0E">
              <w:rPr>
                <w:noProof/>
                <w:webHidden/>
              </w:rPr>
              <w:fldChar w:fldCharType="separate"/>
            </w:r>
            <w:r w:rsidR="00E21C0E">
              <w:rPr>
                <w:noProof/>
                <w:webHidden/>
              </w:rPr>
              <w:t>2</w:t>
            </w:r>
            <w:r w:rsidR="00E21C0E">
              <w:rPr>
                <w:noProof/>
                <w:webHidden/>
              </w:rPr>
              <w:fldChar w:fldCharType="end"/>
            </w:r>
          </w:hyperlink>
        </w:p>
        <w:p w14:paraId="37EFF80F" w14:textId="7AD87851" w:rsidR="00E21C0E" w:rsidRDefault="00595D87">
          <w:pPr>
            <w:pStyle w:val="TOC1"/>
            <w:tabs>
              <w:tab w:val="left" w:pos="440"/>
              <w:tab w:val="right" w:leader="dot" w:pos="9350"/>
            </w:tabs>
            <w:rPr>
              <w:rFonts w:eastAsiaTheme="minorEastAsia"/>
              <w:noProof/>
              <w:lang w:val="en-IE" w:eastAsia="en-IE"/>
            </w:rPr>
          </w:pPr>
          <w:hyperlink w:anchor="_Toc96083181" w:history="1">
            <w:r w:rsidR="00E21C0E" w:rsidRPr="00423C55">
              <w:rPr>
                <w:rStyle w:val="Hyperlink"/>
                <w:noProof/>
              </w:rPr>
              <w:t>3.</w:t>
            </w:r>
            <w:r w:rsidR="00E21C0E">
              <w:rPr>
                <w:rFonts w:eastAsiaTheme="minorEastAsia"/>
                <w:noProof/>
                <w:lang w:val="en-IE" w:eastAsia="en-IE"/>
              </w:rPr>
              <w:tab/>
            </w:r>
            <w:r w:rsidR="00E21C0E" w:rsidRPr="00423C55">
              <w:rPr>
                <w:rStyle w:val="Hyperlink"/>
                <w:noProof/>
              </w:rPr>
              <w:t>IMPLEMENTATION OF THE CUSTOMS PROGRAMME’S SPECIFIC OBJECTIVES and ACTIVITIES</w:t>
            </w:r>
            <w:r w:rsidR="00E21C0E">
              <w:rPr>
                <w:noProof/>
                <w:webHidden/>
              </w:rPr>
              <w:tab/>
            </w:r>
            <w:r w:rsidR="00E21C0E">
              <w:rPr>
                <w:noProof/>
                <w:webHidden/>
              </w:rPr>
              <w:fldChar w:fldCharType="begin"/>
            </w:r>
            <w:r w:rsidR="00E21C0E">
              <w:rPr>
                <w:noProof/>
                <w:webHidden/>
              </w:rPr>
              <w:instrText xml:space="preserve"> PAGEREF _Toc96083181 \h </w:instrText>
            </w:r>
            <w:r w:rsidR="00E21C0E">
              <w:rPr>
                <w:noProof/>
                <w:webHidden/>
              </w:rPr>
            </w:r>
            <w:r w:rsidR="00E21C0E">
              <w:rPr>
                <w:noProof/>
                <w:webHidden/>
              </w:rPr>
              <w:fldChar w:fldCharType="separate"/>
            </w:r>
            <w:r w:rsidR="00E21C0E">
              <w:rPr>
                <w:noProof/>
                <w:webHidden/>
              </w:rPr>
              <w:t>4</w:t>
            </w:r>
            <w:r w:rsidR="00E21C0E">
              <w:rPr>
                <w:noProof/>
                <w:webHidden/>
              </w:rPr>
              <w:fldChar w:fldCharType="end"/>
            </w:r>
          </w:hyperlink>
        </w:p>
        <w:p w14:paraId="0C0C1737" w14:textId="6CEF7B6B" w:rsidR="00E21C0E" w:rsidRDefault="00595D87">
          <w:pPr>
            <w:pStyle w:val="TOC2"/>
            <w:tabs>
              <w:tab w:val="left" w:pos="880"/>
              <w:tab w:val="right" w:leader="dot" w:pos="9350"/>
            </w:tabs>
            <w:rPr>
              <w:rFonts w:eastAsiaTheme="minorEastAsia"/>
              <w:noProof/>
              <w:lang w:val="en-IE" w:eastAsia="en-IE"/>
            </w:rPr>
          </w:pPr>
          <w:hyperlink w:anchor="_Toc96083182" w:history="1">
            <w:r w:rsidR="00E21C0E" w:rsidRPr="00423C55">
              <w:rPr>
                <w:rStyle w:val="Hyperlink"/>
                <w:noProof/>
              </w:rPr>
              <w:t>3.1</w:t>
            </w:r>
            <w:r w:rsidR="00E21C0E">
              <w:rPr>
                <w:rFonts w:eastAsiaTheme="minorEastAsia"/>
                <w:noProof/>
                <w:lang w:val="en-IE" w:eastAsia="en-IE"/>
              </w:rPr>
              <w:tab/>
            </w:r>
            <w:r w:rsidR="00E21C0E" w:rsidRPr="00423C55">
              <w:rPr>
                <w:rStyle w:val="Hyperlink"/>
                <w:noProof/>
              </w:rPr>
              <w:t>Support the preparation and uniform implementation of customs legislation and policy</w:t>
            </w:r>
            <w:r w:rsidR="00E21C0E">
              <w:rPr>
                <w:noProof/>
                <w:webHidden/>
              </w:rPr>
              <w:tab/>
            </w:r>
            <w:r w:rsidR="00E21C0E">
              <w:rPr>
                <w:noProof/>
                <w:webHidden/>
              </w:rPr>
              <w:fldChar w:fldCharType="begin"/>
            </w:r>
            <w:r w:rsidR="00E21C0E">
              <w:rPr>
                <w:noProof/>
                <w:webHidden/>
              </w:rPr>
              <w:instrText xml:space="preserve"> PAGEREF _Toc96083182 \h </w:instrText>
            </w:r>
            <w:r w:rsidR="00E21C0E">
              <w:rPr>
                <w:noProof/>
                <w:webHidden/>
              </w:rPr>
            </w:r>
            <w:r w:rsidR="00E21C0E">
              <w:rPr>
                <w:noProof/>
                <w:webHidden/>
              </w:rPr>
              <w:fldChar w:fldCharType="separate"/>
            </w:r>
            <w:r w:rsidR="00E21C0E">
              <w:rPr>
                <w:noProof/>
                <w:webHidden/>
              </w:rPr>
              <w:t>5</w:t>
            </w:r>
            <w:r w:rsidR="00E21C0E">
              <w:rPr>
                <w:noProof/>
                <w:webHidden/>
              </w:rPr>
              <w:fldChar w:fldCharType="end"/>
            </w:r>
          </w:hyperlink>
        </w:p>
        <w:p w14:paraId="46E3628F" w14:textId="6157357F" w:rsidR="00E21C0E" w:rsidRDefault="00595D87">
          <w:pPr>
            <w:pStyle w:val="TOC2"/>
            <w:tabs>
              <w:tab w:val="left" w:pos="880"/>
              <w:tab w:val="right" w:leader="dot" w:pos="9350"/>
            </w:tabs>
            <w:rPr>
              <w:rFonts w:eastAsiaTheme="minorEastAsia"/>
              <w:noProof/>
              <w:lang w:val="en-IE" w:eastAsia="en-IE"/>
            </w:rPr>
          </w:pPr>
          <w:hyperlink w:anchor="_Toc96083183" w:history="1">
            <w:r w:rsidR="00E21C0E" w:rsidRPr="00423C55">
              <w:rPr>
                <w:rStyle w:val="Hyperlink"/>
                <w:noProof/>
              </w:rPr>
              <w:t>3.2</w:t>
            </w:r>
            <w:r w:rsidR="00E21C0E">
              <w:rPr>
                <w:rFonts w:eastAsiaTheme="minorEastAsia"/>
                <w:noProof/>
                <w:lang w:val="en-IE" w:eastAsia="en-IE"/>
              </w:rPr>
              <w:tab/>
            </w:r>
            <w:r w:rsidR="00E21C0E" w:rsidRPr="00423C55">
              <w:rPr>
                <w:rStyle w:val="Hyperlink"/>
                <w:noProof/>
              </w:rPr>
              <w:t>Support customs cooperation</w:t>
            </w:r>
            <w:r w:rsidR="00E21C0E">
              <w:rPr>
                <w:noProof/>
                <w:webHidden/>
              </w:rPr>
              <w:tab/>
            </w:r>
            <w:r w:rsidR="00E21C0E">
              <w:rPr>
                <w:noProof/>
                <w:webHidden/>
              </w:rPr>
              <w:fldChar w:fldCharType="begin"/>
            </w:r>
            <w:r w:rsidR="00E21C0E">
              <w:rPr>
                <w:noProof/>
                <w:webHidden/>
              </w:rPr>
              <w:instrText xml:space="preserve"> PAGEREF _Toc96083183 \h </w:instrText>
            </w:r>
            <w:r w:rsidR="00E21C0E">
              <w:rPr>
                <w:noProof/>
                <w:webHidden/>
              </w:rPr>
            </w:r>
            <w:r w:rsidR="00E21C0E">
              <w:rPr>
                <w:noProof/>
                <w:webHidden/>
              </w:rPr>
              <w:fldChar w:fldCharType="separate"/>
            </w:r>
            <w:r w:rsidR="00E21C0E">
              <w:rPr>
                <w:noProof/>
                <w:webHidden/>
              </w:rPr>
              <w:t>6</w:t>
            </w:r>
            <w:r w:rsidR="00E21C0E">
              <w:rPr>
                <w:noProof/>
                <w:webHidden/>
              </w:rPr>
              <w:fldChar w:fldCharType="end"/>
            </w:r>
          </w:hyperlink>
        </w:p>
        <w:p w14:paraId="1C48F007" w14:textId="763F76C9" w:rsidR="00E21C0E" w:rsidRDefault="00595D87">
          <w:pPr>
            <w:pStyle w:val="TOC2"/>
            <w:tabs>
              <w:tab w:val="left" w:pos="880"/>
              <w:tab w:val="right" w:leader="dot" w:pos="9350"/>
            </w:tabs>
            <w:rPr>
              <w:rFonts w:eastAsiaTheme="minorEastAsia"/>
              <w:noProof/>
              <w:lang w:val="en-IE" w:eastAsia="en-IE"/>
            </w:rPr>
          </w:pPr>
          <w:hyperlink w:anchor="_Toc96083184" w:history="1">
            <w:r w:rsidR="00E21C0E" w:rsidRPr="00423C55">
              <w:rPr>
                <w:rStyle w:val="Hyperlink"/>
                <w:noProof/>
              </w:rPr>
              <w:t>3.3</w:t>
            </w:r>
            <w:r w:rsidR="00E21C0E">
              <w:rPr>
                <w:rFonts w:eastAsiaTheme="minorEastAsia"/>
                <w:noProof/>
                <w:lang w:val="en-IE" w:eastAsia="en-IE"/>
              </w:rPr>
              <w:tab/>
            </w:r>
            <w:r w:rsidR="00E21C0E" w:rsidRPr="00423C55">
              <w:rPr>
                <w:rStyle w:val="Hyperlink"/>
                <w:noProof/>
              </w:rPr>
              <w:t>Support administrative and IT capacity building, including human competency and training, as well as the development and operation of European electronic systems</w:t>
            </w:r>
            <w:r w:rsidR="00E21C0E">
              <w:rPr>
                <w:noProof/>
                <w:webHidden/>
              </w:rPr>
              <w:tab/>
            </w:r>
            <w:r w:rsidR="00E21C0E">
              <w:rPr>
                <w:noProof/>
                <w:webHidden/>
              </w:rPr>
              <w:fldChar w:fldCharType="begin"/>
            </w:r>
            <w:r w:rsidR="00E21C0E">
              <w:rPr>
                <w:noProof/>
                <w:webHidden/>
              </w:rPr>
              <w:instrText xml:space="preserve"> PAGEREF _Toc96083184 \h </w:instrText>
            </w:r>
            <w:r w:rsidR="00E21C0E">
              <w:rPr>
                <w:noProof/>
                <w:webHidden/>
              </w:rPr>
            </w:r>
            <w:r w:rsidR="00E21C0E">
              <w:rPr>
                <w:noProof/>
                <w:webHidden/>
              </w:rPr>
              <w:fldChar w:fldCharType="separate"/>
            </w:r>
            <w:r w:rsidR="00E21C0E">
              <w:rPr>
                <w:noProof/>
                <w:webHidden/>
              </w:rPr>
              <w:t>7</w:t>
            </w:r>
            <w:r w:rsidR="00E21C0E">
              <w:rPr>
                <w:noProof/>
                <w:webHidden/>
              </w:rPr>
              <w:fldChar w:fldCharType="end"/>
            </w:r>
          </w:hyperlink>
        </w:p>
        <w:p w14:paraId="352CFB7C" w14:textId="2A7065CF" w:rsidR="00E21C0E" w:rsidRDefault="00595D87">
          <w:pPr>
            <w:pStyle w:val="TOC3"/>
            <w:tabs>
              <w:tab w:val="left" w:pos="1320"/>
              <w:tab w:val="right" w:leader="dot" w:pos="9350"/>
            </w:tabs>
            <w:rPr>
              <w:rFonts w:eastAsiaTheme="minorEastAsia"/>
              <w:noProof/>
              <w:lang w:val="en-IE" w:eastAsia="en-IE"/>
            </w:rPr>
          </w:pPr>
          <w:hyperlink w:anchor="_Toc96083185" w:history="1">
            <w:r w:rsidR="00E21C0E" w:rsidRPr="00423C55">
              <w:rPr>
                <w:rStyle w:val="Hyperlink"/>
                <w:noProof/>
              </w:rPr>
              <w:t>3.3.1</w:t>
            </w:r>
            <w:r w:rsidR="00E21C0E">
              <w:rPr>
                <w:rFonts w:eastAsiaTheme="minorEastAsia"/>
                <w:noProof/>
                <w:lang w:val="en-IE" w:eastAsia="en-IE"/>
              </w:rPr>
              <w:tab/>
            </w:r>
            <w:r w:rsidR="00E21C0E" w:rsidRPr="00423C55">
              <w:rPr>
                <w:rStyle w:val="Hyperlink"/>
                <w:noProof/>
              </w:rPr>
              <w:t>IT capacity building</w:t>
            </w:r>
            <w:r w:rsidR="00E21C0E">
              <w:rPr>
                <w:noProof/>
                <w:webHidden/>
              </w:rPr>
              <w:tab/>
            </w:r>
            <w:r w:rsidR="00E21C0E">
              <w:rPr>
                <w:noProof/>
                <w:webHidden/>
              </w:rPr>
              <w:fldChar w:fldCharType="begin"/>
            </w:r>
            <w:r w:rsidR="00E21C0E">
              <w:rPr>
                <w:noProof/>
                <w:webHidden/>
              </w:rPr>
              <w:instrText xml:space="preserve"> PAGEREF _Toc96083185 \h </w:instrText>
            </w:r>
            <w:r w:rsidR="00E21C0E">
              <w:rPr>
                <w:noProof/>
                <w:webHidden/>
              </w:rPr>
            </w:r>
            <w:r w:rsidR="00E21C0E">
              <w:rPr>
                <w:noProof/>
                <w:webHidden/>
              </w:rPr>
              <w:fldChar w:fldCharType="separate"/>
            </w:r>
            <w:r w:rsidR="00E21C0E">
              <w:rPr>
                <w:noProof/>
                <w:webHidden/>
              </w:rPr>
              <w:t>7</w:t>
            </w:r>
            <w:r w:rsidR="00E21C0E">
              <w:rPr>
                <w:noProof/>
                <w:webHidden/>
              </w:rPr>
              <w:fldChar w:fldCharType="end"/>
            </w:r>
          </w:hyperlink>
        </w:p>
        <w:p w14:paraId="19B88DB4" w14:textId="7BAF7E31" w:rsidR="00E21C0E" w:rsidRDefault="00595D87">
          <w:pPr>
            <w:pStyle w:val="TOC3"/>
            <w:tabs>
              <w:tab w:val="left" w:pos="1320"/>
              <w:tab w:val="right" w:leader="dot" w:pos="9350"/>
            </w:tabs>
            <w:rPr>
              <w:rFonts w:eastAsiaTheme="minorEastAsia"/>
              <w:noProof/>
              <w:lang w:val="en-IE" w:eastAsia="en-IE"/>
            </w:rPr>
          </w:pPr>
          <w:hyperlink w:anchor="_Toc96083186" w:history="1">
            <w:r w:rsidR="00E21C0E" w:rsidRPr="00423C55">
              <w:rPr>
                <w:rStyle w:val="Hyperlink"/>
                <w:noProof/>
              </w:rPr>
              <w:t>3.3.2</w:t>
            </w:r>
            <w:r w:rsidR="00E21C0E">
              <w:rPr>
                <w:rFonts w:eastAsiaTheme="minorEastAsia"/>
                <w:noProof/>
                <w:lang w:val="en-IE" w:eastAsia="en-IE"/>
              </w:rPr>
              <w:tab/>
            </w:r>
            <w:r w:rsidR="00E21C0E" w:rsidRPr="00423C55">
              <w:rPr>
                <w:rStyle w:val="Hyperlink"/>
                <w:noProof/>
              </w:rPr>
              <w:t>Human competency building and training activities</w:t>
            </w:r>
            <w:r w:rsidR="00E21C0E">
              <w:rPr>
                <w:noProof/>
                <w:webHidden/>
              </w:rPr>
              <w:tab/>
            </w:r>
            <w:r w:rsidR="00E21C0E">
              <w:rPr>
                <w:noProof/>
                <w:webHidden/>
              </w:rPr>
              <w:fldChar w:fldCharType="begin"/>
            </w:r>
            <w:r w:rsidR="00E21C0E">
              <w:rPr>
                <w:noProof/>
                <w:webHidden/>
              </w:rPr>
              <w:instrText xml:space="preserve"> PAGEREF _Toc96083186 \h </w:instrText>
            </w:r>
            <w:r w:rsidR="00E21C0E">
              <w:rPr>
                <w:noProof/>
                <w:webHidden/>
              </w:rPr>
            </w:r>
            <w:r w:rsidR="00E21C0E">
              <w:rPr>
                <w:noProof/>
                <w:webHidden/>
              </w:rPr>
              <w:fldChar w:fldCharType="separate"/>
            </w:r>
            <w:r w:rsidR="00E21C0E">
              <w:rPr>
                <w:noProof/>
                <w:webHidden/>
              </w:rPr>
              <w:t>8</w:t>
            </w:r>
            <w:r w:rsidR="00E21C0E">
              <w:rPr>
                <w:noProof/>
                <w:webHidden/>
              </w:rPr>
              <w:fldChar w:fldCharType="end"/>
            </w:r>
          </w:hyperlink>
        </w:p>
        <w:p w14:paraId="5820FB12" w14:textId="1F87D23D" w:rsidR="00E21C0E" w:rsidRDefault="00595D87">
          <w:pPr>
            <w:pStyle w:val="TOC2"/>
            <w:tabs>
              <w:tab w:val="left" w:pos="880"/>
              <w:tab w:val="right" w:leader="dot" w:pos="9350"/>
            </w:tabs>
            <w:rPr>
              <w:rFonts w:eastAsiaTheme="minorEastAsia"/>
              <w:noProof/>
              <w:lang w:val="en-IE" w:eastAsia="en-IE"/>
            </w:rPr>
          </w:pPr>
          <w:hyperlink w:anchor="_Toc96083187" w:history="1">
            <w:r w:rsidR="00E21C0E" w:rsidRPr="00423C55">
              <w:rPr>
                <w:rStyle w:val="Hyperlink"/>
                <w:noProof/>
              </w:rPr>
              <w:t>3.4</w:t>
            </w:r>
            <w:r w:rsidR="00E21C0E">
              <w:rPr>
                <w:rFonts w:eastAsiaTheme="minorEastAsia"/>
                <w:noProof/>
                <w:lang w:val="en-IE" w:eastAsia="en-IE"/>
              </w:rPr>
              <w:tab/>
            </w:r>
            <w:r w:rsidR="00E21C0E" w:rsidRPr="00423C55">
              <w:rPr>
                <w:rStyle w:val="Hyperlink"/>
                <w:noProof/>
              </w:rPr>
              <w:t>Support innovation in the area of customs policy</w:t>
            </w:r>
            <w:r w:rsidR="00E21C0E">
              <w:rPr>
                <w:noProof/>
                <w:webHidden/>
              </w:rPr>
              <w:tab/>
            </w:r>
            <w:r w:rsidR="00E21C0E">
              <w:rPr>
                <w:noProof/>
                <w:webHidden/>
              </w:rPr>
              <w:fldChar w:fldCharType="begin"/>
            </w:r>
            <w:r w:rsidR="00E21C0E">
              <w:rPr>
                <w:noProof/>
                <w:webHidden/>
              </w:rPr>
              <w:instrText xml:space="preserve"> PAGEREF _Toc96083187 \h </w:instrText>
            </w:r>
            <w:r w:rsidR="00E21C0E">
              <w:rPr>
                <w:noProof/>
                <w:webHidden/>
              </w:rPr>
            </w:r>
            <w:r w:rsidR="00E21C0E">
              <w:rPr>
                <w:noProof/>
                <w:webHidden/>
              </w:rPr>
              <w:fldChar w:fldCharType="separate"/>
            </w:r>
            <w:r w:rsidR="00E21C0E">
              <w:rPr>
                <w:noProof/>
                <w:webHidden/>
              </w:rPr>
              <w:t>9</w:t>
            </w:r>
            <w:r w:rsidR="00E21C0E">
              <w:rPr>
                <w:noProof/>
                <w:webHidden/>
              </w:rPr>
              <w:fldChar w:fldCharType="end"/>
            </w:r>
          </w:hyperlink>
        </w:p>
        <w:p w14:paraId="044CC2BA" w14:textId="69BA5EFE" w:rsidR="00E21C0E" w:rsidRDefault="00595D87">
          <w:pPr>
            <w:pStyle w:val="TOC1"/>
            <w:tabs>
              <w:tab w:val="left" w:pos="440"/>
              <w:tab w:val="right" w:leader="dot" w:pos="9350"/>
            </w:tabs>
            <w:rPr>
              <w:rFonts w:eastAsiaTheme="minorEastAsia"/>
              <w:noProof/>
              <w:lang w:val="en-IE" w:eastAsia="en-IE"/>
            </w:rPr>
          </w:pPr>
          <w:hyperlink w:anchor="_Toc96083188" w:history="1">
            <w:r w:rsidR="00E21C0E" w:rsidRPr="00423C55">
              <w:rPr>
                <w:rStyle w:val="Hyperlink"/>
                <w:noProof/>
              </w:rPr>
              <w:t>4.</w:t>
            </w:r>
            <w:r w:rsidR="00E21C0E">
              <w:rPr>
                <w:rFonts w:eastAsiaTheme="minorEastAsia"/>
                <w:noProof/>
                <w:lang w:val="en-IE" w:eastAsia="en-IE"/>
              </w:rPr>
              <w:tab/>
            </w:r>
            <w:r w:rsidR="00E21C0E" w:rsidRPr="00423C55">
              <w:rPr>
                <w:rStyle w:val="Hyperlink"/>
                <w:noProof/>
              </w:rPr>
              <w:t>Complementarity with other UNION policies and programmes</w:t>
            </w:r>
            <w:r w:rsidR="00E21C0E">
              <w:rPr>
                <w:noProof/>
                <w:webHidden/>
              </w:rPr>
              <w:tab/>
            </w:r>
            <w:r w:rsidR="00E21C0E">
              <w:rPr>
                <w:noProof/>
                <w:webHidden/>
              </w:rPr>
              <w:fldChar w:fldCharType="begin"/>
            </w:r>
            <w:r w:rsidR="00E21C0E">
              <w:rPr>
                <w:noProof/>
                <w:webHidden/>
              </w:rPr>
              <w:instrText xml:space="preserve"> PAGEREF _Toc96083188 \h </w:instrText>
            </w:r>
            <w:r w:rsidR="00E21C0E">
              <w:rPr>
                <w:noProof/>
                <w:webHidden/>
              </w:rPr>
            </w:r>
            <w:r w:rsidR="00E21C0E">
              <w:rPr>
                <w:noProof/>
                <w:webHidden/>
              </w:rPr>
              <w:fldChar w:fldCharType="separate"/>
            </w:r>
            <w:r w:rsidR="00E21C0E">
              <w:rPr>
                <w:noProof/>
                <w:webHidden/>
              </w:rPr>
              <w:t>9</w:t>
            </w:r>
            <w:r w:rsidR="00E21C0E">
              <w:rPr>
                <w:noProof/>
                <w:webHidden/>
              </w:rPr>
              <w:fldChar w:fldCharType="end"/>
            </w:r>
          </w:hyperlink>
        </w:p>
        <w:p w14:paraId="0FD6FD3D" w14:textId="2A41F610" w:rsidR="00E21C0E" w:rsidRDefault="00595D87">
          <w:pPr>
            <w:pStyle w:val="TOC2"/>
            <w:tabs>
              <w:tab w:val="left" w:pos="880"/>
              <w:tab w:val="right" w:leader="dot" w:pos="9350"/>
            </w:tabs>
            <w:rPr>
              <w:rFonts w:eastAsiaTheme="minorEastAsia"/>
              <w:noProof/>
              <w:lang w:val="en-IE" w:eastAsia="en-IE"/>
            </w:rPr>
          </w:pPr>
          <w:hyperlink w:anchor="_Toc96083189" w:history="1">
            <w:r w:rsidR="00E21C0E" w:rsidRPr="00423C55">
              <w:rPr>
                <w:rStyle w:val="Hyperlink"/>
                <w:noProof/>
              </w:rPr>
              <w:t>4.1</w:t>
            </w:r>
            <w:r w:rsidR="00E21C0E">
              <w:rPr>
                <w:rFonts w:eastAsiaTheme="minorEastAsia"/>
                <w:noProof/>
                <w:lang w:val="en-IE" w:eastAsia="en-IE"/>
              </w:rPr>
              <w:tab/>
            </w:r>
            <w:r w:rsidR="00E21C0E" w:rsidRPr="00423C55">
              <w:rPr>
                <w:rStyle w:val="Hyperlink"/>
                <w:noProof/>
              </w:rPr>
              <w:t>With other DG TAXUD initiatives</w:t>
            </w:r>
            <w:r w:rsidR="00E21C0E">
              <w:rPr>
                <w:noProof/>
                <w:webHidden/>
              </w:rPr>
              <w:tab/>
            </w:r>
            <w:r w:rsidR="00E21C0E">
              <w:rPr>
                <w:noProof/>
                <w:webHidden/>
              </w:rPr>
              <w:fldChar w:fldCharType="begin"/>
            </w:r>
            <w:r w:rsidR="00E21C0E">
              <w:rPr>
                <w:noProof/>
                <w:webHidden/>
              </w:rPr>
              <w:instrText xml:space="preserve"> PAGEREF _Toc96083189 \h </w:instrText>
            </w:r>
            <w:r w:rsidR="00E21C0E">
              <w:rPr>
                <w:noProof/>
                <w:webHidden/>
              </w:rPr>
            </w:r>
            <w:r w:rsidR="00E21C0E">
              <w:rPr>
                <w:noProof/>
                <w:webHidden/>
              </w:rPr>
              <w:fldChar w:fldCharType="separate"/>
            </w:r>
            <w:r w:rsidR="00E21C0E">
              <w:rPr>
                <w:noProof/>
                <w:webHidden/>
              </w:rPr>
              <w:t>10</w:t>
            </w:r>
            <w:r w:rsidR="00E21C0E">
              <w:rPr>
                <w:noProof/>
                <w:webHidden/>
              </w:rPr>
              <w:fldChar w:fldCharType="end"/>
            </w:r>
          </w:hyperlink>
        </w:p>
        <w:p w14:paraId="45BDD252" w14:textId="14AC4102" w:rsidR="00E21C0E" w:rsidRDefault="00595D87">
          <w:pPr>
            <w:pStyle w:val="TOC2"/>
            <w:tabs>
              <w:tab w:val="left" w:pos="880"/>
              <w:tab w:val="right" w:leader="dot" w:pos="9350"/>
            </w:tabs>
            <w:rPr>
              <w:rFonts w:eastAsiaTheme="minorEastAsia"/>
              <w:noProof/>
              <w:lang w:val="en-IE" w:eastAsia="en-IE"/>
            </w:rPr>
          </w:pPr>
          <w:hyperlink w:anchor="_Toc96083190" w:history="1">
            <w:r w:rsidR="00E21C0E" w:rsidRPr="00423C55">
              <w:rPr>
                <w:rStyle w:val="Hyperlink"/>
                <w:noProof/>
              </w:rPr>
              <w:t>4.2</w:t>
            </w:r>
            <w:r w:rsidR="00E21C0E">
              <w:rPr>
                <w:rFonts w:eastAsiaTheme="minorEastAsia"/>
                <w:noProof/>
                <w:lang w:val="en-IE" w:eastAsia="en-IE"/>
              </w:rPr>
              <w:tab/>
            </w:r>
            <w:r w:rsidR="00E21C0E" w:rsidRPr="00423C55">
              <w:rPr>
                <w:rStyle w:val="Hyperlink"/>
                <w:noProof/>
              </w:rPr>
              <w:t>With other Union policies</w:t>
            </w:r>
            <w:r w:rsidR="00E21C0E">
              <w:rPr>
                <w:noProof/>
                <w:webHidden/>
              </w:rPr>
              <w:tab/>
            </w:r>
            <w:r w:rsidR="00E21C0E">
              <w:rPr>
                <w:noProof/>
                <w:webHidden/>
              </w:rPr>
              <w:fldChar w:fldCharType="begin"/>
            </w:r>
            <w:r w:rsidR="00E21C0E">
              <w:rPr>
                <w:noProof/>
                <w:webHidden/>
              </w:rPr>
              <w:instrText xml:space="preserve"> PAGEREF _Toc96083190 \h </w:instrText>
            </w:r>
            <w:r w:rsidR="00E21C0E">
              <w:rPr>
                <w:noProof/>
                <w:webHidden/>
              </w:rPr>
            </w:r>
            <w:r w:rsidR="00E21C0E">
              <w:rPr>
                <w:noProof/>
                <w:webHidden/>
              </w:rPr>
              <w:fldChar w:fldCharType="separate"/>
            </w:r>
            <w:r w:rsidR="00E21C0E">
              <w:rPr>
                <w:noProof/>
                <w:webHidden/>
              </w:rPr>
              <w:t>10</w:t>
            </w:r>
            <w:r w:rsidR="00E21C0E">
              <w:rPr>
                <w:noProof/>
                <w:webHidden/>
              </w:rPr>
              <w:fldChar w:fldCharType="end"/>
            </w:r>
          </w:hyperlink>
        </w:p>
        <w:p w14:paraId="1E3A605E" w14:textId="2067F01F" w:rsidR="00E21C0E" w:rsidRDefault="00595D87">
          <w:pPr>
            <w:pStyle w:val="TOC1"/>
            <w:tabs>
              <w:tab w:val="left" w:pos="440"/>
              <w:tab w:val="right" w:leader="dot" w:pos="9350"/>
            </w:tabs>
            <w:rPr>
              <w:rFonts w:eastAsiaTheme="minorEastAsia"/>
              <w:noProof/>
              <w:lang w:val="en-IE" w:eastAsia="en-IE"/>
            </w:rPr>
          </w:pPr>
          <w:hyperlink w:anchor="_Toc96083191" w:history="1">
            <w:r w:rsidR="00E21C0E" w:rsidRPr="00423C55">
              <w:rPr>
                <w:rStyle w:val="Hyperlink"/>
                <w:noProof/>
              </w:rPr>
              <w:t>5.</w:t>
            </w:r>
            <w:r w:rsidR="00E21C0E">
              <w:rPr>
                <w:rFonts w:eastAsiaTheme="minorEastAsia"/>
                <w:noProof/>
                <w:lang w:val="en-IE" w:eastAsia="en-IE"/>
              </w:rPr>
              <w:tab/>
            </w:r>
            <w:r w:rsidR="00E21C0E" w:rsidRPr="00423C55">
              <w:rPr>
                <w:rStyle w:val="Hyperlink"/>
                <w:noProof/>
              </w:rPr>
              <w:t>Conclusions and Lessons learned</w:t>
            </w:r>
            <w:r w:rsidR="00E21C0E">
              <w:rPr>
                <w:noProof/>
                <w:webHidden/>
              </w:rPr>
              <w:tab/>
            </w:r>
            <w:r w:rsidR="00E21C0E">
              <w:rPr>
                <w:noProof/>
                <w:webHidden/>
              </w:rPr>
              <w:fldChar w:fldCharType="begin"/>
            </w:r>
            <w:r w:rsidR="00E21C0E">
              <w:rPr>
                <w:noProof/>
                <w:webHidden/>
              </w:rPr>
              <w:instrText xml:space="preserve"> PAGEREF _Toc96083191 \h </w:instrText>
            </w:r>
            <w:r w:rsidR="00E21C0E">
              <w:rPr>
                <w:noProof/>
                <w:webHidden/>
              </w:rPr>
            </w:r>
            <w:r w:rsidR="00E21C0E">
              <w:rPr>
                <w:noProof/>
                <w:webHidden/>
              </w:rPr>
              <w:fldChar w:fldCharType="separate"/>
            </w:r>
            <w:r w:rsidR="00E21C0E">
              <w:rPr>
                <w:noProof/>
                <w:webHidden/>
              </w:rPr>
              <w:t>11</w:t>
            </w:r>
            <w:r w:rsidR="00E21C0E">
              <w:rPr>
                <w:noProof/>
                <w:webHidden/>
              </w:rPr>
              <w:fldChar w:fldCharType="end"/>
            </w:r>
          </w:hyperlink>
        </w:p>
        <w:p w14:paraId="408FC20D" w14:textId="22C9CCDF" w:rsidR="00E21C0E" w:rsidRDefault="00595D87">
          <w:pPr>
            <w:pStyle w:val="TOC2"/>
            <w:tabs>
              <w:tab w:val="left" w:pos="880"/>
              <w:tab w:val="right" w:leader="dot" w:pos="9350"/>
            </w:tabs>
            <w:rPr>
              <w:rFonts w:eastAsiaTheme="minorEastAsia"/>
              <w:noProof/>
              <w:lang w:val="en-IE" w:eastAsia="en-IE"/>
            </w:rPr>
          </w:pPr>
          <w:hyperlink w:anchor="_Toc96083192" w:history="1">
            <w:r w:rsidR="00E21C0E" w:rsidRPr="00423C55">
              <w:rPr>
                <w:rStyle w:val="Hyperlink"/>
                <w:noProof/>
              </w:rPr>
              <w:t>5.1</w:t>
            </w:r>
            <w:r w:rsidR="00E21C0E">
              <w:rPr>
                <w:rFonts w:eastAsiaTheme="minorEastAsia"/>
                <w:noProof/>
                <w:lang w:val="en-IE" w:eastAsia="en-IE"/>
              </w:rPr>
              <w:tab/>
            </w:r>
            <w:r w:rsidR="00E21C0E" w:rsidRPr="00423C55">
              <w:rPr>
                <w:rStyle w:val="Hyperlink"/>
                <w:noProof/>
              </w:rPr>
              <w:t>Strengths identified and confirmed by indicators</w:t>
            </w:r>
            <w:r w:rsidR="00E21C0E">
              <w:rPr>
                <w:noProof/>
                <w:webHidden/>
              </w:rPr>
              <w:tab/>
            </w:r>
            <w:r w:rsidR="00E21C0E">
              <w:rPr>
                <w:noProof/>
                <w:webHidden/>
              </w:rPr>
              <w:fldChar w:fldCharType="begin"/>
            </w:r>
            <w:r w:rsidR="00E21C0E">
              <w:rPr>
                <w:noProof/>
                <w:webHidden/>
              </w:rPr>
              <w:instrText xml:space="preserve"> PAGEREF _Toc96083192 \h </w:instrText>
            </w:r>
            <w:r w:rsidR="00E21C0E">
              <w:rPr>
                <w:noProof/>
                <w:webHidden/>
              </w:rPr>
            </w:r>
            <w:r w:rsidR="00E21C0E">
              <w:rPr>
                <w:noProof/>
                <w:webHidden/>
              </w:rPr>
              <w:fldChar w:fldCharType="separate"/>
            </w:r>
            <w:r w:rsidR="00E21C0E">
              <w:rPr>
                <w:noProof/>
                <w:webHidden/>
              </w:rPr>
              <w:t>11</w:t>
            </w:r>
            <w:r w:rsidR="00E21C0E">
              <w:rPr>
                <w:noProof/>
                <w:webHidden/>
              </w:rPr>
              <w:fldChar w:fldCharType="end"/>
            </w:r>
          </w:hyperlink>
        </w:p>
        <w:p w14:paraId="661446A2" w14:textId="019F6336" w:rsidR="00E21C0E" w:rsidRDefault="00595D87">
          <w:pPr>
            <w:pStyle w:val="TOC2"/>
            <w:tabs>
              <w:tab w:val="left" w:pos="880"/>
              <w:tab w:val="right" w:leader="dot" w:pos="9350"/>
            </w:tabs>
            <w:rPr>
              <w:rFonts w:eastAsiaTheme="minorEastAsia"/>
              <w:noProof/>
              <w:lang w:val="en-IE" w:eastAsia="en-IE"/>
            </w:rPr>
          </w:pPr>
          <w:hyperlink w:anchor="_Toc96083193" w:history="1">
            <w:r w:rsidR="00E21C0E" w:rsidRPr="00423C55">
              <w:rPr>
                <w:rStyle w:val="Hyperlink"/>
                <w:noProof/>
              </w:rPr>
              <w:t>5.2</w:t>
            </w:r>
            <w:r w:rsidR="00E21C0E">
              <w:rPr>
                <w:rFonts w:eastAsiaTheme="minorEastAsia"/>
                <w:noProof/>
                <w:lang w:val="en-IE" w:eastAsia="en-IE"/>
              </w:rPr>
              <w:tab/>
            </w:r>
            <w:r w:rsidR="00E21C0E" w:rsidRPr="00423C55">
              <w:rPr>
                <w:rStyle w:val="Hyperlink"/>
                <w:noProof/>
              </w:rPr>
              <w:t>Weaknesses identified by indicators, areas to improve</w:t>
            </w:r>
            <w:r w:rsidR="00E21C0E">
              <w:rPr>
                <w:noProof/>
                <w:webHidden/>
              </w:rPr>
              <w:tab/>
            </w:r>
            <w:r w:rsidR="00E21C0E">
              <w:rPr>
                <w:noProof/>
                <w:webHidden/>
              </w:rPr>
              <w:fldChar w:fldCharType="begin"/>
            </w:r>
            <w:r w:rsidR="00E21C0E">
              <w:rPr>
                <w:noProof/>
                <w:webHidden/>
              </w:rPr>
              <w:instrText xml:space="preserve"> PAGEREF _Toc96083193 \h </w:instrText>
            </w:r>
            <w:r w:rsidR="00E21C0E">
              <w:rPr>
                <w:noProof/>
                <w:webHidden/>
              </w:rPr>
            </w:r>
            <w:r w:rsidR="00E21C0E">
              <w:rPr>
                <w:noProof/>
                <w:webHidden/>
              </w:rPr>
              <w:fldChar w:fldCharType="separate"/>
            </w:r>
            <w:r w:rsidR="00E21C0E">
              <w:rPr>
                <w:noProof/>
                <w:webHidden/>
              </w:rPr>
              <w:t>12</w:t>
            </w:r>
            <w:r w:rsidR="00E21C0E">
              <w:rPr>
                <w:noProof/>
                <w:webHidden/>
              </w:rPr>
              <w:fldChar w:fldCharType="end"/>
            </w:r>
          </w:hyperlink>
        </w:p>
        <w:p w14:paraId="32E6B3DB" w14:textId="5145F69F" w:rsidR="00E21C0E" w:rsidRDefault="00595D87">
          <w:pPr>
            <w:pStyle w:val="TOC1"/>
            <w:tabs>
              <w:tab w:val="left" w:pos="440"/>
              <w:tab w:val="right" w:leader="dot" w:pos="9350"/>
            </w:tabs>
            <w:rPr>
              <w:rFonts w:eastAsiaTheme="minorEastAsia"/>
              <w:noProof/>
              <w:lang w:val="en-IE" w:eastAsia="en-IE"/>
            </w:rPr>
          </w:pPr>
          <w:hyperlink w:anchor="_Toc96083194" w:history="1">
            <w:r w:rsidR="00E21C0E" w:rsidRPr="00423C55">
              <w:rPr>
                <w:rStyle w:val="Hyperlink"/>
                <w:noProof/>
              </w:rPr>
              <w:t>6.</w:t>
            </w:r>
            <w:r w:rsidR="00E21C0E">
              <w:rPr>
                <w:rFonts w:eastAsiaTheme="minorEastAsia"/>
                <w:noProof/>
                <w:lang w:val="en-IE" w:eastAsia="en-IE"/>
              </w:rPr>
              <w:tab/>
            </w:r>
            <w:r w:rsidR="00E21C0E" w:rsidRPr="00423C55">
              <w:rPr>
                <w:rStyle w:val="Hyperlink"/>
                <w:noProof/>
              </w:rPr>
              <w:t>Annexes</w:t>
            </w:r>
            <w:r w:rsidR="00E21C0E">
              <w:rPr>
                <w:noProof/>
                <w:webHidden/>
              </w:rPr>
              <w:tab/>
            </w:r>
            <w:r w:rsidR="00E21C0E">
              <w:rPr>
                <w:noProof/>
                <w:webHidden/>
              </w:rPr>
              <w:fldChar w:fldCharType="begin"/>
            </w:r>
            <w:r w:rsidR="00E21C0E">
              <w:rPr>
                <w:noProof/>
                <w:webHidden/>
              </w:rPr>
              <w:instrText xml:space="preserve"> PAGEREF _Toc96083194 \h </w:instrText>
            </w:r>
            <w:r w:rsidR="00E21C0E">
              <w:rPr>
                <w:noProof/>
                <w:webHidden/>
              </w:rPr>
            </w:r>
            <w:r w:rsidR="00E21C0E">
              <w:rPr>
                <w:noProof/>
                <w:webHidden/>
              </w:rPr>
              <w:fldChar w:fldCharType="separate"/>
            </w:r>
            <w:r w:rsidR="00E21C0E">
              <w:rPr>
                <w:noProof/>
                <w:webHidden/>
              </w:rPr>
              <w:t>12</w:t>
            </w:r>
            <w:r w:rsidR="00E21C0E">
              <w:rPr>
                <w:noProof/>
                <w:webHidden/>
              </w:rPr>
              <w:fldChar w:fldCharType="end"/>
            </w:r>
          </w:hyperlink>
        </w:p>
        <w:p w14:paraId="578EADD3" w14:textId="480C7CDC" w:rsidR="00E21C0E" w:rsidRDefault="00595D87">
          <w:pPr>
            <w:pStyle w:val="TOC2"/>
            <w:tabs>
              <w:tab w:val="left" w:pos="880"/>
              <w:tab w:val="right" w:leader="dot" w:pos="9350"/>
            </w:tabs>
            <w:rPr>
              <w:rFonts w:eastAsiaTheme="minorEastAsia"/>
              <w:noProof/>
              <w:lang w:val="en-IE" w:eastAsia="en-IE"/>
            </w:rPr>
          </w:pPr>
          <w:hyperlink w:anchor="_Toc96083195" w:history="1">
            <w:r w:rsidR="00E21C0E" w:rsidRPr="00423C55">
              <w:rPr>
                <w:rStyle w:val="Hyperlink"/>
                <w:noProof/>
              </w:rPr>
              <w:t>6.1</w:t>
            </w:r>
            <w:r w:rsidR="00E21C0E">
              <w:rPr>
                <w:rFonts w:eastAsiaTheme="minorEastAsia"/>
                <w:noProof/>
                <w:lang w:val="en-IE" w:eastAsia="en-IE"/>
              </w:rPr>
              <w:tab/>
            </w:r>
            <w:r w:rsidR="00E21C0E" w:rsidRPr="00423C55">
              <w:rPr>
                <w:rStyle w:val="Hyperlink"/>
                <w:noProof/>
              </w:rPr>
              <w:t>Annex 1: Acronyms and definitions</w:t>
            </w:r>
            <w:r w:rsidR="00E21C0E">
              <w:rPr>
                <w:noProof/>
                <w:webHidden/>
              </w:rPr>
              <w:tab/>
            </w:r>
            <w:r w:rsidR="00E21C0E">
              <w:rPr>
                <w:noProof/>
                <w:webHidden/>
              </w:rPr>
              <w:fldChar w:fldCharType="begin"/>
            </w:r>
            <w:r w:rsidR="00E21C0E">
              <w:rPr>
                <w:noProof/>
                <w:webHidden/>
              </w:rPr>
              <w:instrText xml:space="preserve"> PAGEREF _Toc96083195 \h </w:instrText>
            </w:r>
            <w:r w:rsidR="00E21C0E">
              <w:rPr>
                <w:noProof/>
                <w:webHidden/>
              </w:rPr>
            </w:r>
            <w:r w:rsidR="00E21C0E">
              <w:rPr>
                <w:noProof/>
                <w:webHidden/>
              </w:rPr>
              <w:fldChar w:fldCharType="separate"/>
            </w:r>
            <w:r w:rsidR="00E21C0E">
              <w:rPr>
                <w:noProof/>
                <w:webHidden/>
              </w:rPr>
              <w:t>14</w:t>
            </w:r>
            <w:r w:rsidR="00E21C0E">
              <w:rPr>
                <w:noProof/>
                <w:webHidden/>
              </w:rPr>
              <w:fldChar w:fldCharType="end"/>
            </w:r>
          </w:hyperlink>
        </w:p>
        <w:p w14:paraId="17AF6C9E" w14:textId="1329498C" w:rsidR="00E21C0E" w:rsidRDefault="00595D87">
          <w:pPr>
            <w:pStyle w:val="TOC2"/>
            <w:tabs>
              <w:tab w:val="left" w:pos="880"/>
              <w:tab w:val="right" w:leader="dot" w:pos="9350"/>
            </w:tabs>
            <w:rPr>
              <w:rFonts w:eastAsiaTheme="minorEastAsia"/>
              <w:noProof/>
              <w:lang w:val="en-IE" w:eastAsia="en-IE"/>
            </w:rPr>
          </w:pPr>
          <w:hyperlink w:anchor="_Toc96083196" w:history="1">
            <w:r w:rsidR="00E21C0E" w:rsidRPr="00423C55">
              <w:rPr>
                <w:rStyle w:val="Hyperlink"/>
                <w:noProof/>
              </w:rPr>
              <w:t>6.2</w:t>
            </w:r>
            <w:r w:rsidR="00E21C0E">
              <w:rPr>
                <w:rFonts w:eastAsiaTheme="minorEastAsia"/>
                <w:noProof/>
                <w:lang w:val="en-IE" w:eastAsia="en-IE"/>
              </w:rPr>
              <w:tab/>
            </w:r>
            <w:r w:rsidR="00E21C0E" w:rsidRPr="00423C55">
              <w:rPr>
                <w:rStyle w:val="Hyperlink"/>
                <w:noProof/>
              </w:rPr>
              <w:t>Annex 2: Customs 2020 programme budget and performance indicators (for activities carried out during 2021)</w:t>
            </w:r>
            <w:r w:rsidR="00E21C0E">
              <w:rPr>
                <w:noProof/>
                <w:webHidden/>
              </w:rPr>
              <w:tab/>
            </w:r>
            <w:r w:rsidR="00E21C0E">
              <w:rPr>
                <w:noProof/>
                <w:webHidden/>
              </w:rPr>
              <w:fldChar w:fldCharType="begin"/>
            </w:r>
            <w:r w:rsidR="00E21C0E">
              <w:rPr>
                <w:noProof/>
                <w:webHidden/>
              </w:rPr>
              <w:instrText xml:space="preserve"> PAGEREF _Toc96083196 \h </w:instrText>
            </w:r>
            <w:r w:rsidR="00E21C0E">
              <w:rPr>
                <w:noProof/>
                <w:webHidden/>
              </w:rPr>
            </w:r>
            <w:r w:rsidR="00E21C0E">
              <w:rPr>
                <w:noProof/>
                <w:webHidden/>
              </w:rPr>
              <w:fldChar w:fldCharType="separate"/>
            </w:r>
            <w:r w:rsidR="00E21C0E">
              <w:rPr>
                <w:noProof/>
                <w:webHidden/>
              </w:rPr>
              <w:t>15</w:t>
            </w:r>
            <w:r w:rsidR="00E21C0E">
              <w:rPr>
                <w:noProof/>
                <w:webHidden/>
              </w:rPr>
              <w:fldChar w:fldCharType="end"/>
            </w:r>
          </w:hyperlink>
        </w:p>
        <w:p w14:paraId="3FE6B1A1" w14:textId="30D86D55" w:rsidR="00E21C0E" w:rsidRDefault="00595D87">
          <w:pPr>
            <w:pStyle w:val="TOC2"/>
            <w:tabs>
              <w:tab w:val="left" w:pos="880"/>
              <w:tab w:val="right" w:leader="dot" w:pos="9350"/>
            </w:tabs>
            <w:rPr>
              <w:rFonts w:eastAsiaTheme="minorEastAsia"/>
              <w:noProof/>
              <w:lang w:val="en-IE" w:eastAsia="en-IE"/>
            </w:rPr>
          </w:pPr>
          <w:hyperlink w:anchor="_Toc96083197" w:history="1">
            <w:r w:rsidR="00E21C0E" w:rsidRPr="00423C55">
              <w:rPr>
                <w:rStyle w:val="Hyperlink"/>
                <w:noProof/>
              </w:rPr>
              <w:t>6.3</w:t>
            </w:r>
            <w:r w:rsidR="00E21C0E">
              <w:rPr>
                <w:rFonts w:eastAsiaTheme="minorEastAsia"/>
                <w:noProof/>
                <w:lang w:val="en-IE" w:eastAsia="en-IE"/>
              </w:rPr>
              <w:tab/>
            </w:r>
            <w:r w:rsidR="00E21C0E" w:rsidRPr="00423C55">
              <w:rPr>
                <w:rStyle w:val="Hyperlink"/>
                <w:noProof/>
              </w:rPr>
              <w:t>Annex 3: Customs programme’s budget, performance indicators and supplementary information</w:t>
            </w:r>
            <w:r w:rsidR="00E21C0E">
              <w:rPr>
                <w:noProof/>
                <w:webHidden/>
              </w:rPr>
              <w:tab/>
            </w:r>
            <w:r w:rsidR="00E21C0E">
              <w:rPr>
                <w:noProof/>
                <w:webHidden/>
              </w:rPr>
              <w:fldChar w:fldCharType="begin"/>
            </w:r>
            <w:r w:rsidR="00E21C0E">
              <w:rPr>
                <w:noProof/>
                <w:webHidden/>
              </w:rPr>
              <w:instrText xml:space="preserve"> PAGEREF _Toc96083197 \h </w:instrText>
            </w:r>
            <w:r w:rsidR="00E21C0E">
              <w:rPr>
                <w:noProof/>
                <w:webHidden/>
              </w:rPr>
            </w:r>
            <w:r w:rsidR="00E21C0E">
              <w:rPr>
                <w:noProof/>
                <w:webHidden/>
              </w:rPr>
              <w:fldChar w:fldCharType="separate"/>
            </w:r>
            <w:r w:rsidR="00E21C0E">
              <w:rPr>
                <w:noProof/>
                <w:webHidden/>
              </w:rPr>
              <w:t>24</w:t>
            </w:r>
            <w:r w:rsidR="00E21C0E">
              <w:rPr>
                <w:noProof/>
                <w:webHidden/>
              </w:rPr>
              <w:fldChar w:fldCharType="end"/>
            </w:r>
          </w:hyperlink>
        </w:p>
        <w:p w14:paraId="0107AC77" w14:textId="057222F2" w:rsidR="00E21C0E" w:rsidRDefault="00595D87">
          <w:pPr>
            <w:pStyle w:val="TOC2"/>
            <w:tabs>
              <w:tab w:val="left" w:pos="880"/>
              <w:tab w:val="right" w:leader="dot" w:pos="9350"/>
            </w:tabs>
            <w:rPr>
              <w:rFonts w:eastAsiaTheme="minorEastAsia"/>
              <w:noProof/>
              <w:lang w:val="en-IE" w:eastAsia="en-IE"/>
            </w:rPr>
          </w:pPr>
          <w:hyperlink w:anchor="_Toc96083199" w:history="1">
            <w:r w:rsidR="00E21C0E" w:rsidRPr="00423C55">
              <w:rPr>
                <w:rStyle w:val="Hyperlink"/>
                <w:noProof/>
              </w:rPr>
              <w:t>6.4</w:t>
            </w:r>
            <w:r w:rsidR="00E21C0E">
              <w:rPr>
                <w:rFonts w:eastAsiaTheme="minorEastAsia"/>
                <w:noProof/>
                <w:lang w:val="en-IE" w:eastAsia="en-IE"/>
              </w:rPr>
              <w:tab/>
            </w:r>
            <w:r w:rsidR="00E21C0E" w:rsidRPr="00423C55">
              <w:rPr>
                <w:rStyle w:val="Hyperlink"/>
                <w:noProof/>
              </w:rPr>
              <w:t>Annex 4: European Electronic Systems financed under Customs 2020 and the new Customs programme</w:t>
            </w:r>
            <w:r w:rsidR="00E21C0E">
              <w:rPr>
                <w:noProof/>
                <w:webHidden/>
              </w:rPr>
              <w:tab/>
            </w:r>
            <w:r w:rsidR="00E21C0E">
              <w:rPr>
                <w:noProof/>
                <w:webHidden/>
              </w:rPr>
              <w:fldChar w:fldCharType="begin"/>
            </w:r>
            <w:r w:rsidR="00E21C0E">
              <w:rPr>
                <w:noProof/>
                <w:webHidden/>
              </w:rPr>
              <w:instrText xml:space="preserve"> PAGEREF _Toc96083199 \h </w:instrText>
            </w:r>
            <w:r w:rsidR="00E21C0E">
              <w:rPr>
                <w:noProof/>
                <w:webHidden/>
              </w:rPr>
            </w:r>
            <w:r w:rsidR="00E21C0E">
              <w:rPr>
                <w:noProof/>
                <w:webHidden/>
              </w:rPr>
              <w:fldChar w:fldCharType="separate"/>
            </w:r>
            <w:r w:rsidR="00E21C0E">
              <w:rPr>
                <w:noProof/>
                <w:webHidden/>
              </w:rPr>
              <w:t>31</w:t>
            </w:r>
            <w:r w:rsidR="00E21C0E">
              <w:rPr>
                <w:noProof/>
                <w:webHidden/>
              </w:rPr>
              <w:fldChar w:fldCharType="end"/>
            </w:r>
          </w:hyperlink>
        </w:p>
        <w:p w14:paraId="05CE618C" w14:textId="121AF032" w:rsidR="00E21C0E" w:rsidRDefault="00E21C0E">
          <w:pPr>
            <w:rPr>
              <w:noProof/>
            </w:rPr>
          </w:pPr>
          <w:r>
            <w:rPr>
              <w:b/>
              <w:bCs/>
              <w:noProof/>
            </w:rPr>
            <w:fldChar w:fldCharType="end"/>
          </w:r>
        </w:p>
      </w:sdtContent>
    </w:sdt>
    <w:p w14:paraId="33E84D72" w14:textId="05FB4227" w:rsidR="000B3D68" w:rsidRDefault="000B3D68" w:rsidP="000B3D68">
      <w:pPr>
        <w:rPr>
          <w:noProof/>
          <w:lang w:val="en-IE"/>
        </w:rPr>
      </w:pPr>
    </w:p>
    <w:p w14:paraId="1325972E" w14:textId="77777777" w:rsidR="000B3D68" w:rsidRPr="000B3D68" w:rsidRDefault="000B3D68" w:rsidP="000B3D68">
      <w:pPr>
        <w:rPr>
          <w:noProof/>
          <w:lang w:val="en-IE"/>
        </w:rPr>
      </w:pPr>
    </w:p>
    <w:p w14:paraId="4D5D2E63" w14:textId="77777777" w:rsidR="002301E8" w:rsidRDefault="002301E8">
      <w:pPr>
        <w:rPr>
          <w:rFonts w:ascii="Times New Roman" w:hAnsi="Times New Roman" w:cs="Times New Roman"/>
          <w:b/>
          <w:bCs/>
          <w:caps/>
          <w:noProof/>
          <w:lang w:val="en-IE"/>
        </w:rPr>
      </w:pPr>
      <w:bookmarkStart w:id="2" w:name="_Toc96083179"/>
      <w:r>
        <w:rPr>
          <w:noProof/>
        </w:rPr>
        <w:br w:type="page"/>
      </w:r>
    </w:p>
    <w:p w14:paraId="5CE1C373" w14:textId="55CDA5C4" w:rsidR="00943997" w:rsidRPr="00DB2BB5" w:rsidRDefault="16305A4A" w:rsidP="00DB2BB5">
      <w:pPr>
        <w:pStyle w:val="Heading1"/>
        <w:rPr>
          <w:noProof/>
        </w:rPr>
      </w:pPr>
      <w:r w:rsidRPr="00DB2BB5">
        <w:rPr>
          <w:noProof/>
        </w:rPr>
        <w:t>EXECUTIVE SUMMARY</w:t>
      </w:r>
      <w:bookmarkEnd w:id="2"/>
    </w:p>
    <w:p w14:paraId="228C6E6F" w14:textId="0057644C" w:rsidR="007B6C67" w:rsidRPr="007B6C67" w:rsidRDefault="007B6C67" w:rsidP="007B6C67">
      <w:pPr>
        <w:pStyle w:val="ListParagraph"/>
        <w:spacing w:before="240"/>
        <w:ind w:left="360"/>
        <w:jc w:val="both"/>
        <w:rPr>
          <w:rFonts w:ascii="Times New Roman" w:hAnsi="Times New Roman" w:cs="Times New Roman"/>
          <w:noProof/>
          <w:lang w:val="en-IE"/>
        </w:rPr>
      </w:pPr>
    </w:p>
    <w:p w14:paraId="6B688524" w14:textId="6EEABD63" w:rsidR="00081D81" w:rsidRPr="009A33E1" w:rsidRDefault="005A7A65" w:rsidP="007B6C67">
      <w:pPr>
        <w:pStyle w:val="ListParagraph"/>
        <w:spacing w:before="240"/>
        <w:ind w:left="0"/>
        <w:jc w:val="both"/>
        <w:rPr>
          <w:rFonts w:ascii="Times New Roman" w:hAnsi="Times New Roman" w:cs="Times New Roman"/>
          <w:noProof/>
          <w:lang w:val="en-IE"/>
        </w:rPr>
      </w:pPr>
      <w:r w:rsidRPr="009A33E1">
        <w:rPr>
          <w:rFonts w:ascii="Times New Roman" w:hAnsi="Times New Roman" w:cs="Times New Roman"/>
          <w:noProof/>
          <w:lang w:val="en-IE"/>
        </w:rPr>
        <w:t xml:space="preserve">The </w:t>
      </w:r>
      <w:r w:rsidRPr="009A33E1">
        <w:rPr>
          <w:rFonts w:ascii="Times New Roman" w:hAnsi="Times New Roman" w:cs="Times New Roman"/>
          <w:b/>
          <w:bCs/>
          <w:noProof/>
          <w:lang w:val="en-IE"/>
        </w:rPr>
        <w:t>delayed adoption</w:t>
      </w:r>
      <w:r w:rsidRPr="009A33E1">
        <w:rPr>
          <w:rFonts w:ascii="Times New Roman" w:hAnsi="Times New Roman" w:cs="Times New Roman"/>
          <w:noProof/>
          <w:lang w:val="en-IE"/>
        </w:rPr>
        <w:t xml:space="preserve"> of the Multiannual Financial Framework 2021-2027</w:t>
      </w:r>
      <w:r w:rsidRPr="009A33E1">
        <w:rPr>
          <w:rStyle w:val="FootnoteReference"/>
          <w:rFonts w:ascii="Times New Roman" w:hAnsi="Times New Roman" w:cs="Times New Roman"/>
          <w:noProof/>
          <w:lang w:val="en-IE"/>
        </w:rPr>
        <w:footnoteReference w:id="2"/>
      </w:r>
      <w:r w:rsidRPr="009A33E1">
        <w:rPr>
          <w:rFonts w:ascii="Times New Roman" w:hAnsi="Times New Roman" w:cs="Times New Roman"/>
          <w:noProof/>
          <w:lang w:val="en-IE"/>
        </w:rPr>
        <w:t xml:space="preserve"> resulted in the late adoption and launch of the Customs programme. </w:t>
      </w:r>
      <w:r w:rsidR="00AE3E08" w:rsidRPr="009A33E1">
        <w:rPr>
          <w:rFonts w:ascii="Times New Roman" w:hAnsi="Times New Roman" w:cs="Times New Roman"/>
          <w:noProof/>
          <w:lang w:val="en-IE"/>
        </w:rPr>
        <w:t xml:space="preserve">In that sense, </w:t>
      </w:r>
      <w:r w:rsidR="001A1A16" w:rsidRPr="009A33E1">
        <w:rPr>
          <w:rFonts w:ascii="Times New Roman" w:hAnsi="Times New Roman" w:cs="Times New Roman"/>
          <w:noProof/>
          <w:lang w:val="en-IE"/>
        </w:rPr>
        <w:t xml:space="preserve">year 2021 is a </w:t>
      </w:r>
      <w:r w:rsidR="00642F92" w:rsidRPr="009A33E1">
        <w:rPr>
          <w:rFonts w:ascii="Times New Roman" w:hAnsi="Times New Roman" w:cs="Times New Roman"/>
          <w:noProof/>
          <w:lang w:val="en-IE"/>
        </w:rPr>
        <w:t xml:space="preserve">transition </w:t>
      </w:r>
      <w:r w:rsidR="001A1A16" w:rsidRPr="009A33E1">
        <w:rPr>
          <w:rFonts w:ascii="Times New Roman" w:hAnsi="Times New Roman" w:cs="Times New Roman"/>
          <w:noProof/>
          <w:lang w:val="en-IE"/>
        </w:rPr>
        <w:t xml:space="preserve">year where both the Customs 2020 and the new Customs programme were applicable. </w:t>
      </w:r>
      <w:r w:rsidR="00081D81" w:rsidRPr="009A33E1">
        <w:rPr>
          <w:rFonts w:ascii="Times New Roman" w:hAnsi="Times New Roman" w:cs="Times New Roman"/>
          <w:noProof/>
          <w:lang w:val="en-IE"/>
        </w:rPr>
        <w:t xml:space="preserve">The </w:t>
      </w:r>
      <w:r w:rsidR="74E3DBA0" w:rsidRPr="009A33E1">
        <w:rPr>
          <w:rFonts w:ascii="Times New Roman" w:hAnsi="Times New Roman" w:cs="Times New Roman"/>
          <w:noProof/>
          <w:lang w:val="en-IE"/>
        </w:rPr>
        <w:t xml:space="preserve">subsequent </w:t>
      </w:r>
      <w:r w:rsidR="00081D81" w:rsidRPr="009A33E1">
        <w:rPr>
          <w:rFonts w:ascii="Times New Roman" w:hAnsi="Times New Roman" w:cs="Times New Roman"/>
          <w:noProof/>
          <w:lang w:val="en-IE"/>
        </w:rPr>
        <w:t xml:space="preserve">late release of the </w:t>
      </w:r>
      <w:r w:rsidR="00251496" w:rsidRPr="009A33E1">
        <w:rPr>
          <w:rFonts w:ascii="Times New Roman" w:hAnsi="Times New Roman" w:cs="Times New Roman"/>
          <w:noProof/>
          <w:lang w:val="en-IE"/>
        </w:rPr>
        <w:t xml:space="preserve">new </w:t>
      </w:r>
      <w:r w:rsidR="00081D81" w:rsidRPr="009A33E1">
        <w:rPr>
          <w:rFonts w:ascii="Times New Roman" w:hAnsi="Times New Roman" w:cs="Times New Roman"/>
          <w:noProof/>
          <w:lang w:val="en-IE"/>
        </w:rPr>
        <w:t>Customs programme budget</w:t>
      </w:r>
      <w:r w:rsidR="00251496" w:rsidRPr="009A33E1">
        <w:rPr>
          <w:rFonts w:ascii="Times New Roman" w:hAnsi="Times New Roman" w:cs="Times New Roman"/>
          <w:noProof/>
          <w:lang w:val="en-IE"/>
        </w:rPr>
        <w:t xml:space="preserve"> in particular </w:t>
      </w:r>
      <w:r w:rsidR="009F0373">
        <w:rPr>
          <w:rFonts w:ascii="Times New Roman" w:hAnsi="Times New Roman" w:cs="Times New Roman"/>
          <w:noProof/>
          <w:lang w:val="en-IE"/>
        </w:rPr>
        <w:t>put at risk</w:t>
      </w:r>
      <w:r w:rsidR="009F0373" w:rsidRPr="009A33E1">
        <w:rPr>
          <w:rFonts w:ascii="Times New Roman" w:hAnsi="Times New Roman" w:cs="Times New Roman"/>
          <w:noProof/>
          <w:lang w:val="en-IE"/>
        </w:rPr>
        <w:t xml:space="preserve"> </w:t>
      </w:r>
      <w:r w:rsidR="00251496" w:rsidRPr="009A33E1">
        <w:rPr>
          <w:rFonts w:ascii="Times New Roman" w:hAnsi="Times New Roman" w:cs="Times New Roman"/>
          <w:noProof/>
          <w:lang w:val="en-IE"/>
        </w:rPr>
        <w:t>the continuous availability of the European electronic systems for customs</w:t>
      </w:r>
      <w:r w:rsidR="00081D81" w:rsidRPr="009A33E1">
        <w:rPr>
          <w:rFonts w:ascii="Times New Roman" w:hAnsi="Times New Roman" w:cs="Times New Roman"/>
          <w:noProof/>
          <w:lang w:val="en-IE"/>
        </w:rPr>
        <w:t xml:space="preserve">. </w:t>
      </w:r>
      <w:r w:rsidR="004B0002">
        <w:rPr>
          <w:rFonts w:ascii="Times New Roman" w:hAnsi="Times New Roman" w:cs="Times New Roman"/>
          <w:noProof/>
          <w:lang w:val="en-IE"/>
        </w:rPr>
        <w:t>While t</w:t>
      </w:r>
      <w:r w:rsidR="001A1A16" w:rsidRPr="009A33E1">
        <w:rPr>
          <w:rFonts w:ascii="Times New Roman" w:hAnsi="Times New Roman" w:cs="Times New Roman"/>
          <w:noProof/>
          <w:lang w:val="en-IE"/>
        </w:rPr>
        <w:t xml:space="preserve">he Covid-19 pandemic </w:t>
      </w:r>
      <w:r w:rsidR="00081D81" w:rsidRPr="009A33E1">
        <w:rPr>
          <w:rFonts w:ascii="Times New Roman" w:hAnsi="Times New Roman" w:cs="Times New Roman"/>
          <w:noProof/>
          <w:lang w:val="en-IE"/>
        </w:rPr>
        <w:t xml:space="preserve">and the related </w:t>
      </w:r>
      <w:r w:rsidR="00081D81" w:rsidRPr="009A33E1">
        <w:rPr>
          <w:rFonts w:ascii="Times New Roman" w:hAnsi="Times New Roman" w:cs="Times New Roman"/>
          <w:b/>
          <w:bCs/>
          <w:noProof/>
          <w:lang w:val="en-IE"/>
        </w:rPr>
        <w:t>travel and meeting restrictions</w:t>
      </w:r>
      <w:r w:rsidR="00081D81" w:rsidRPr="009A33E1">
        <w:rPr>
          <w:rFonts w:ascii="Times New Roman" w:hAnsi="Times New Roman" w:cs="Times New Roman"/>
          <w:noProof/>
          <w:lang w:val="en-IE"/>
        </w:rPr>
        <w:t xml:space="preserve"> </w:t>
      </w:r>
      <w:r w:rsidR="004B0002">
        <w:rPr>
          <w:rFonts w:ascii="Times New Roman" w:hAnsi="Times New Roman" w:cs="Times New Roman"/>
          <w:noProof/>
          <w:lang w:val="en-IE"/>
        </w:rPr>
        <w:t>mostly prevented physical meetings, collaboration via online means remained strong under the programme</w:t>
      </w:r>
      <w:r w:rsidR="009F0373">
        <w:rPr>
          <w:rFonts w:ascii="Times New Roman" w:hAnsi="Times New Roman" w:cs="Times New Roman"/>
          <w:noProof/>
          <w:lang w:val="en-IE"/>
        </w:rPr>
        <w:t>.</w:t>
      </w:r>
    </w:p>
    <w:p w14:paraId="29B42E18" w14:textId="77777777" w:rsidR="00F208DC" w:rsidRPr="009A33E1" w:rsidRDefault="00F208DC" w:rsidP="00943997">
      <w:pPr>
        <w:pStyle w:val="ListParagraph"/>
        <w:ind w:left="0"/>
        <w:jc w:val="both"/>
        <w:rPr>
          <w:rFonts w:ascii="Times New Roman" w:hAnsi="Times New Roman" w:cs="Times New Roman"/>
          <w:noProof/>
          <w:lang w:val="en-IE"/>
        </w:rPr>
      </w:pPr>
    </w:p>
    <w:p w14:paraId="4A0DAB5A" w14:textId="1E909481" w:rsidR="00525ABA" w:rsidRPr="009A33E1" w:rsidRDefault="16305A4A" w:rsidP="16305A4A">
      <w:pPr>
        <w:pStyle w:val="ListParagraph"/>
        <w:ind w:left="0"/>
        <w:jc w:val="both"/>
        <w:rPr>
          <w:rFonts w:ascii="Times New Roman" w:hAnsi="Times New Roman" w:cs="Times New Roman"/>
          <w:noProof/>
          <w:lang w:val="en-IE"/>
        </w:rPr>
      </w:pPr>
      <w:r w:rsidRPr="009A33E1">
        <w:rPr>
          <w:rFonts w:ascii="Times New Roman" w:hAnsi="Times New Roman" w:cs="Times New Roman"/>
          <w:noProof/>
          <w:lang w:val="en-IE"/>
        </w:rPr>
        <w:t xml:space="preserve">Despite all the special circumstances and challenges, the </w:t>
      </w:r>
      <w:r w:rsidR="007276B4" w:rsidRPr="009A33E1">
        <w:rPr>
          <w:rFonts w:ascii="Times New Roman" w:hAnsi="Times New Roman" w:cs="Times New Roman"/>
          <w:noProof/>
          <w:lang w:val="en-IE"/>
        </w:rPr>
        <w:t xml:space="preserve">relevant Commission services were able to ensure that the </w:t>
      </w:r>
      <w:r w:rsidRPr="009A33E1">
        <w:rPr>
          <w:rFonts w:ascii="Times New Roman" w:hAnsi="Times New Roman" w:cs="Times New Roman"/>
          <w:noProof/>
          <w:lang w:val="en-IE"/>
        </w:rPr>
        <w:t xml:space="preserve">Customs 2020 transitioned to the new Customs programme successfully and smoothly, ensuring - most importantly - the </w:t>
      </w:r>
      <w:r w:rsidRPr="009A33E1">
        <w:rPr>
          <w:rFonts w:ascii="Times New Roman" w:hAnsi="Times New Roman" w:cs="Times New Roman"/>
          <w:b/>
          <w:bCs/>
          <w:noProof/>
          <w:lang w:val="en-IE"/>
        </w:rPr>
        <w:t>uninterrupted functioning of the customs European electronic systems</w:t>
      </w:r>
      <w:r w:rsidR="000C0C3B">
        <w:rPr>
          <w:rFonts w:ascii="Times New Roman" w:hAnsi="Times New Roman" w:cs="Times New Roman"/>
          <w:b/>
          <w:bCs/>
          <w:noProof/>
          <w:lang w:val="en-IE"/>
        </w:rPr>
        <w:t xml:space="preserve"> for customs</w:t>
      </w:r>
      <w:r w:rsidRPr="009A33E1">
        <w:rPr>
          <w:rFonts w:ascii="Times New Roman" w:hAnsi="Times New Roman" w:cs="Times New Roman"/>
          <w:noProof/>
          <w:lang w:val="en-IE"/>
        </w:rPr>
        <w:t xml:space="preserve">. </w:t>
      </w:r>
    </w:p>
    <w:p w14:paraId="2517C69B" w14:textId="77777777" w:rsidR="008318FA" w:rsidRPr="009A33E1" w:rsidRDefault="008318FA" w:rsidP="008318FA">
      <w:pPr>
        <w:pStyle w:val="ListParagraph"/>
        <w:ind w:left="360"/>
        <w:jc w:val="both"/>
        <w:rPr>
          <w:rFonts w:ascii="Times New Roman" w:hAnsi="Times New Roman" w:cs="Times New Roman"/>
          <w:noProof/>
          <w:lang w:val="en-IE"/>
        </w:rPr>
      </w:pPr>
    </w:p>
    <w:p w14:paraId="4A0DAB5B" w14:textId="610D7794" w:rsidR="00577B42" w:rsidRPr="009A33E1" w:rsidRDefault="16305A4A" w:rsidP="00DB2BB5">
      <w:pPr>
        <w:pStyle w:val="Heading1"/>
        <w:rPr>
          <w:noProof/>
        </w:rPr>
      </w:pPr>
      <w:bookmarkStart w:id="3" w:name="_Toc96083180"/>
      <w:r w:rsidRPr="009A33E1">
        <w:rPr>
          <w:noProof/>
        </w:rPr>
        <w:t xml:space="preserve">POLITICAL </w:t>
      </w:r>
      <w:r w:rsidR="0037476C">
        <w:rPr>
          <w:noProof/>
        </w:rPr>
        <w:t>and</w:t>
      </w:r>
      <w:r w:rsidRPr="009A33E1">
        <w:rPr>
          <w:noProof/>
        </w:rPr>
        <w:t xml:space="preserve"> REGULATORY CONTEXT</w:t>
      </w:r>
      <w:bookmarkEnd w:id="3"/>
    </w:p>
    <w:p w14:paraId="643759E2" w14:textId="20881B3F" w:rsidR="00EB570D" w:rsidRPr="009A33E1" w:rsidRDefault="006B3B01" w:rsidP="16305A4A">
      <w:pPr>
        <w:jc w:val="both"/>
        <w:rPr>
          <w:rFonts w:ascii="Times New Roman" w:hAnsi="Times New Roman" w:cs="Times New Roman"/>
          <w:noProof/>
          <w:lang w:val="en-IE"/>
        </w:rPr>
      </w:pPr>
      <w:r w:rsidRPr="009A33E1">
        <w:rPr>
          <w:rFonts w:ascii="Times New Roman" w:hAnsi="Times New Roman" w:cs="Times New Roman"/>
          <w:noProof/>
          <w:lang w:val="en-IE"/>
        </w:rPr>
        <w:t>In 2021, t</w:t>
      </w:r>
      <w:r w:rsidR="00FE066C" w:rsidRPr="009A33E1">
        <w:rPr>
          <w:rFonts w:ascii="Times New Roman" w:hAnsi="Times New Roman" w:cs="Times New Roman"/>
          <w:noProof/>
          <w:lang w:val="en-IE"/>
        </w:rPr>
        <w:t>he Customs 2020</w:t>
      </w:r>
      <w:r w:rsidR="007B26F5" w:rsidRPr="009A33E1">
        <w:rPr>
          <w:rStyle w:val="FootnoteReference"/>
          <w:rFonts w:ascii="Times New Roman" w:hAnsi="Times New Roman" w:cs="Times New Roman"/>
          <w:noProof/>
          <w:lang w:val="en-IE"/>
        </w:rPr>
        <w:footnoteReference w:id="3"/>
      </w:r>
      <w:r w:rsidR="00FE066C" w:rsidRPr="009A33E1">
        <w:rPr>
          <w:rFonts w:ascii="Times New Roman" w:hAnsi="Times New Roman" w:cs="Times New Roman"/>
          <w:noProof/>
          <w:lang w:val="en-IE"/>
        </w:rPr>
        <w:t xml:space="preserve"> and the new Customs programmes</w:t>
      </w:r>
      <w:r w:rsidR="007B26F5" w:rsidRPr="009A33E1">
        <w:rPr>
          <w:rStyle w:val="FootnoteReference"/>
          <w:rFonts w:ascii="Times New Roman" w:hAnsi="Times New Roman" w:cs="Times New Roman"/>
          <w:noProof/>
          <w:lang w:val="en-IE"/>
        </w:rPr>
        <w:footnoteReference w:id="4"/>
      </w:r>
      <w:r w:rsidR="00823241" w:rsidRPr="009A33E1">
        <w:rPr>
          <w:rFonts w:ascii="Times New Roman" w:hAnsi="Times New Roman" w:cs="Times New Roman"/>
          <w:noProof/>
          <w:lang w:val="en-IE"/>
        </w:rPr>
        <w:t xml:space="preserve"> (the programmes)</w:t>
      </w:r>
      <w:r w:rsidR="00096C57" w:rsidRPr="009A33E1">
        <w:rPr>
          <w:rFonts w:ascii="Times New Roman" w:hAnsi="Times New Roman" w:cs="Times New Roman"/>
          <w:noProof/>
          <w:lang w:val="en-IE"/>
        </w:rPr>
        <w:t xml:space="preserve"> </w:t>
      </w:r>
      <w:r w:rsidR="005569EB" w:rsidRPr="009A33E1">
        <w:rPr>
          <w:rFonts w:ascii="Times New Roman" w:hAnsi="Times New Roman" w:cs="Times New Roman"/>
          <w:noProof/>
          <w:lang w:val="en-IE"/>
        </w:rPr>
        <w:t>contribute</w:t>
      </w:r>
      <w:r w:rsidR="004E5838" w:rsidRPr="009A33E1">
        <w:rPr>
          <w:rFonts w:ascii="Times New Roman" w:hAnsi="Times New Roman" w:cs="Times New Roman"/>
          <w:noProof/>
          <w:lang w:val="en-IE"/>
        </w:rPr>
        <w:t>d</w:t>
      </w:r>
      <w:r w:rsidR="005569EB" w:rsidRPr="009A33E1">
        <w:rPr>
          <w:rFonts w:ascii="Times New Roman" w:hAnsi="Times New Roman" w:cs="Times New Roman"/>
          <w:noProof/>
          <w:lang w:val="en-IE"/>
        </w:rPr>
        <w:t xml:space="preserve"> to the </w:t>
      </w:r>
      <w:r w:rsidR="005569EB" w:rsidRPr="009A33E1">
        <w:rPr>
          <w:rFonts w:ascii="Times New Roman" w:hAnsi="Times New Roman" w:cs="Times New Roman"/>
          <w:b/>
          <w:bCs/>
          <w:noProof/>
          <w:lang w:val="en-IE"/>
        </w:rPr>
        <w:t>smart, sustainable and inclusive growth in the European Union</w:t>
      </w:r>
      <w:r w:rsidR="005569EB" w:rsidRPr="009A33E1">
        <w:rPr>
          <w:rFonts w:ascii="Times New Roman" w:hAnsi="Times New Roman" w:cs="Times New Roman"/>
          <w:noProof/>
          <w:lang w:val="en-IE"/>
        </w:rPr>
        <w:t xml:space="preserve"> by strengthening the functioning of the internal market. They both address</w:t>
      </w:r>
      <w:r w:rsidRPr="009A33E1">
        <w:rPr>
          <w:rFonts w:ascii="Times New Roman" w:hAnsi="Times New Roman" w:cs="Times New Roman"/>
          <w:noProof/>
          <w:lang w:val="en-IE"/>
        </w:rPr>
        <w:t>ed</w:t>
      </w:r>
      <w:r w:rsidR="005569EB" w:rsidRPr="009A33E1">
        <w:rPr>
          <w:rFonts w:ascii="Times New Roman" w:hAnsi="Times New Roman" w:cs="Times New Roman"/>
          <w:noProof/>
          <w:lang w:val="en-IE"/>
        </w:rPr>
        <w:t xml:space="preserve"> the Commission priorities in terms of activities that contribute</w:t>
      </w:r>
      <w:r w:rsidRPr="009A33E1">
        <w:rPr>
          <w:rFonts w:ascii="Times New Roman" w:hAnsi="Times New Roman" w:cs="Times New Roman"/>
          <w:noProof/>
          <w:lang w:val="en-IE"/>
        </w:rPr>
        <w:t>d</w:t>
      </w:r>
      <w:r w:rsidR="005569EB" w:rsidRPr="009A33E1">
        <w:rPr>
          <w:rFonts w:ascii="Times New Roman" w:hAnsi="Times New Roman" w:cs="Times New Roman"/>
          <w:noProof/>
          <w:lang w:val="en-IE"/>
        </w:rPr>
        <w:t xml:space="preserve"> to an </w:t>
      </w:r>
      <w:r w:rsidR="00734648" w:rsidRPr="009A33E1">
        <w:rPr>
          <w:rFonts w:ascii="Times New Roman" w:hAnsi="Times New Roman" w:cs="Times New Roman"/>
          <w:b/>
          <w:bCs/>
          <w:noProof/>
          <w:lang w:val="en-IE"/>
        </w:rPr>
        <w:t>E</w:t>
      </w:r>
      <w:r w:rsidR="005569EB" w:rsidRPr="009A33E1">
        <w:rPr>
          <w:rFonts w:ascii="Times New Roman" w:hAnsi="Times New Roman" w:cs="Times New Roman"/>
          <w:b/>
          <w:bCs/>
          <w:noProof/>
          <w:lang w:val="en-IE"/>
        </w:rPr>
        <w:t xml:space="preserve">conomy that works for the people, to </w:t>
      </w:r>
      <w:r w:rsidR="00734648" w:rsidRPr="009A33E1">
        <w:rPr>
          <w:rFonts w:ascii="Times New Roman" w:hAnsi="Times New Roman" w:cs="Times New Roman"/>
          <w:b/>
          <w:bCs/>
          <w:noProof/>
          <w:lang w:val="en-IE"/>
        </w:rPr>
        <w:t>P</w:t>
      </w:r>
      <w:r w:rsidR="005569EB" w:rsidRPr="009A33E1">
        <w:rPr>
          <w:rFonts w:ascii="Times New Roman" w:hAnsi="Times New Roman" w:cs="Times New Roman"/>
          <w:b/>
          <w:bCs/>
          <w:noProof/>
          <w:lang w:val="en-IE"/>
        </w:rPr>
        <w:t>rotecting our European way of life</w:t>
      </w:r>
      <w:r w:rsidR="00E33AF5" w:rsidRPr="009A33E1">
        <w:rPr>
          <w:rFonts w:ascii="Times New Roman" w:hAnsi="Times New Roman" w:cs="Times New Roman"/>
          <w:b/>
          <w:bCs/>
          <w:noProof/>
          <w:lang w:val="en-IE"/>
        </w:rPr>
        <w:t xml:space="preserve"> and Europe fit for </w:t>
      </w:r>
      <w:r w:rsidR="007276B4" w:rsidRPr="009A33E1">
        <w:rPr>
          <w:rFonts w:ascii="Times New Roman" w:hAnsi="Times New Roman" w:cs="Times New Roman"/>
          <w:b/>
          <w:bCs/>
          <w:noProof/>
          <w:lang w:val="en-IE"/>
        </w:rPr>
        <w:t xml:space="preserve">the </w:t>
      </w:r>
      <w:r w:rsidR="00E33AF5" w:rsidRPr="009A33E1">
        <w:rPr>
          <w:rFonts w:ascii="Times New Roman" w:hAnsi="Times New Roman" w:cs="Times New Roman"/>
          <w:b/>
          <w:bCs/>
          <w:noProof/>
          <w:lang w:val="en-IE"/>
        </w:rPr>
        <w:t>digital age</w:t>
      </w:r>
      <w:r w:rsidR="00E04612" w:rsidRPr="009A33E1">
        <w:rPr>
          <w:rFonts w:ascii="Times New Roman" w:hAnsi="Times New Roman" w:cs="Times New Roman"/>
          <w:noProof/>
          <w:lang w:val="en-IE"/>
        </w:rPr>
        <w:t>. The programme directly support</w:t>
      </w:r>
      <w:r w:rsidR="74E3DBA0" w:rsidRPr="009A33E1">
        <w:rPr>
          <w:rFonts w:ascii="Times New Roman" w:hAnsi="Times New Roman" w:cs="Times New Roman"/>
          <w:noProof/>
          <w:lang w:val="en-IE"/>
        </w:rPr>
        <w:t>ed</w:t>
      </w:r>
      <w:r w:rsidR="00E04612" w:rsidRPr="009A33E1">
        <w:rPr>
          <w:rFonts w:ascii="Times New Roman" w:hAnsi="Times New Roman" w:cs="Times New Roman"/>
          <w:noProof/>
          <w:lang w:val="en-IE"/>
        </w:rPr>
        <w:t xml:space="preserve"> the objective of </w:t>
      </w:r>
      <w:r w:rsidR="005569EB" w:rsidRPr="009A33E1">
        <w:rPr>
          <w:rFonts w:ascii="Times New Roman" w:hAnsi="Times New Roman" w:cs="Times New Roman"/>
          <w:b/>
          <w:bCs/>
          <w:noProof/>
          <w:lang w:val="en-IE"/>
        </w:rPr>
        <w:t>taking the customs union to the next level</w:t>
      </w:r>
      <w:r w:rsidR="005569EB" w:rsidRPr="009A33E1">
        <w:rPr>
          <w:rFonts w:ascii="Times New Roman" w:hAnsi="Times New Roman" w:cs="Times New Roman"/>
          <w:noProof/>
          <w:lang w:val="en-IE"/>
        </w:rPr>
        <w:t xml:space="preserve">, equipping it with a stronger framework that </w:t>
      </w:r>
      <w:r w:rsidRPr="009A33E1">
        <w:rPr>
          <w:rFonts w:ascii="Times New Roman" w:hAnsi="Times New Roman" w:cs="Times New Roman"/>
          <w:noProof/>
          <w:lang w:val="en-IE"/>
        </w:rPr>
        <w:t>allows</w:t>
      </w:r>
      <w:r w:rsidR="00A54A73" w:rsidRPr="009A33E1">
        <w:rPr>
          <w:rFonts w:ascii="Times New Roman" w:hAnsi="Times New Roman" w:cs="Times New Roman"/>
          <w:noProof/>
          <w:lang w:val="en-IE"/>
        </w:rPr>
        <w:t xml:space="preserve"> </w:t>
      </w:r>
      <w:r w:rsidR="004E5838" w:rsidRPr="009A33E1">
        <w:rPr>
          <w:rFonts w:ascii="Times New Roman" w:hAnsi="Times New Roman" w:cs="Times New Roman"/>
          <w:noProof/>
          <w:lang w:val="en-IE"/>
        </w:rPr>
        <w:t>protecting</w:t>
      </w:r>
      <w:r w:rsidRPr="009A33E1">
        <w:rPr>
          <w:rFonts w:ascii="Times New Roman" w:hAnsi="Times New Roman" w:cs="Times New Roman"/>
          <w:noProof/>
          <w:lang w:val="en-IE"/>
        </w:rPr>
        <w:t xml:space="preserve"> better</w:t>
      </w:r>
      <w:r w:rsidR="005569EB" w:rsidRPr="009A33E1">
        <w:rPr>
          <w:rFonts w:ascii="Times New Roman" w:hAnsi="Times New Roman" w:cs="Times New Roman"/>
          <w:noProof/>
          <w:lang w:val="en-IE"/>
        </w:rPr>
        <w:t xml:space="preserve"> the Union citizens and the single market. </w:t>
      </w:r>
      <w:r w:rsidR="004E5838" w:rsidRPr="009A33E1">
        <w:rPr>
          <w:rFonts w:ascii="Times New Roman" w:hAnsi="Times New Roman" w:cs="Times New Roman"/>
          <w:noProof/>
          <w:lang w:val="en-IE"/>
        </w:rPr>
        <w:t xml:space="preserve">Through the programmes, the Commission worked to promote closer cooperation between and with the Member States and to support national investment and reforms, so that customs frameworks throughout the EU could effectively </w:t>
      </w:r>
      <w:r w:rsidR="004E5838" w:rsidRPr="009A33E1">
        <w:rPr>
          <w:rFonts w:ascii="Times New Roman" w:hAnsi="Times New Roman" w:cs="Times New Roman"/>
          <w:b/>
          <w:bCs/>
          <w:noProof/>
          <w:lang w:val="en-IE"/>
        </w:rPr>
        <w:t>contribute to the collective growth</w:t>
      </w:r>
      <w:r w:rsidR="004E5838" w:rsidRPr="009A33E1">
        <w:rPr>
          <w:rFonts w:ascii="Times New Roman" w:hAnsi="Times New Roman" w:cs="Times New Roman"/>
          <w:noProof/>
          <w:lang w:val="en-IE"/>
        </w:rPr>
        <w:t>.</w:t>
      </w:r>
    </w:p>
    <w:p w14:paraId="4A0DAB61" w14:textId="74FE1BE0" w:rsidR="00525ABA" w:rsidRPr="009A33E1" w:rsidRDefault="16305A4A" w:rsidP="16305A4A">
      <w:pPr>
        <w:jc w:val="both"/>
        <w:rPr>
          <w:rFonts w:ascii="Times New Roman" w:hAnsi="Times New Roman" w:cs="Times New Roman"/>
          <w:noProof/>
          <w:lang w:val="en-IE"/>
        </w:rPr>
      </w:pPr>
      <w:r w:rsidRPr="009A33E1">
        <w:rPr>
          <w:rFonts w:ascii="Times New Roman" w:hAnsi="Times New Roman" w:cs="Times New Roman"/>
          <w:noProof/>
          <w:lang w:val="en-IE"/>
        </w:rPr>
        <w:t xml:space="preserve">Delivering on the commitments for increased </w:t>
      </w:r>
      <w:r w:rsidRPr="009A33E1">
        <w:rPr>
          <w:rFonts w:ascii="Times New Roman" w:hAnsi="Times New Roman" w:cs="Times New Roman"/>
          <w:b/>
          <w:bCs/>
          <w:noProof/>
          <w:lang w:val="en-IE"/>
        </w:rPr>
        <w:t xml:space="preserve">digitalisation </w:t>
      </w:r>
      <w:r w:rsidRPr="009A33E1">
        <w:rPr>
          <w:rFonts w:ascii="Times New Roman" w:hAnsi="Times New Roman" w:cs="Times New Roman"/>
          <w:noProof/>
          <w:lang w:val="en-IE"/>
        </w:rPr>
        <w:t xml:space="preserve">was in 2021, and remains, a </w:t>
      </w:r>
      <w:r w:rsidRPr="009A33E1">
        <w:rPr>
          <w:rFonts w:ascii="Times New Roman" w:hAnsi="Times New Roman" w:cs="Times New Roman"/>
          <w:b/>
          <w:bCs/>
          <w:noProof/>
          <w:lang w:val="en-IE"/>
        </w:rPr>
        <w:t>top priority</w:t>
      </w:r>
      <w:r w:rsidRPr="009A33E1">
        <w:rPr>
          <w:rFonts w:ascii="Times New Roman" w:hAnsi="Times New Roman" w:cs="Times New Roman"/>
          <w:noProof/>
          <w:lang w:val="en-IE"/>
        </w:rPr>
        <w:t xml:space="preserve"> for the EU customs u</w:t>
      </w:r>
      <w:r w:rsidR="00375514">
        <w:rPr>
          <w:rFonts w:ascii="Times New Roman" w:hAnsi="Times New Roman" w:cs="Times New Roman"/>
          <w:noProof/>
          <w:lang w:val="en-IE"/>
        </w:rPr>
        <w:t>nion. The fact that more than 9</w:t>
      </w:r>
      <w:r w:rsidR="00F23D10">
        <w:rPr>
          <w:rFonts w:ascii="Times New Roman" w:hAnsi="Times New Roman" w:cs="Times New Roman"/>
          <w:noProof/>
          <w:lang w:val="en-IE"/>
        </w:rPr>
        <w:t>0</w:t>
      </w:r>
      <w:r w:rsidRPr="009A33E1">
        <w:rPr>
          <w:rFonts w:ascii="Times New Roman" w:hAnsi="Times New Roman" w:cs="Times New Roman"/>
          <w:noProof/>
          <w:lang w:val="en-IE"/>
        </w:rPr>
        <w:t xml:space="preserve">% of the Customs programme is dedicated to establishing and operating the European electronic systems for customs </w:t>
      </w:r>
      <w:r w:rsidR="00F32ECF">
        <w:rPr>
          <w:rFonts w:ascii="Times New Roman" w:hAnsi="Times New Roman" w:cs="Times New Roman"/>
          <w:noProof/>
          <w:lang w:val="en-IE"/>
        </w:rPr>
        <w:t xml:space="preserve">(EES) </w:t>
      </w:r>
      <w:r w:rsidRPr="009A33E1">
        <w:rPr>
          <w:rFonts w:ascii="Times New Roman" w:hAnsi="Times New Roman" w:cs="Times New Roman"/>
          <w:noProof/>
          <w:lang w:val="en-IE"/>
        </w:rPr>
        <w:t>reflects this priority. Moreover, supporting the development and operation of European electronic systems is a specific objective identified for the programme and the IT-dimension is key in terms of all elements of the programme’s general obje</w:t>
      </w:r>
      <w:r w:rsidR="00375514">
        <w:rPr>
          <w:rFonts w:ascii="Times New Roman" w:hAnsi="Times New Roman" w:cs="Times New Roman"/>
          <w:noProof/>
          <w:lang w:val="en-IE"/>
        </w:rPr>
        <w:t>ctive as these systems connect c</w:t>
      </w:r>
      <w:r w:rsidRPr="009A33E1">
        <w:rPr>
          <w:rFonts w:ascii="Times New Roman" w:hAnsi="Times New Roman" w:cs="Times New Roman"/>
          <w:noProof/>
          <w:lang w:val="en-IE"/>
        </w:rPr>
        <w:t xml:space="preserve">ustoms administrations across the Union to manage better financial and security risks while facilitating </w:t>
      </w:r>
      <w:r w:rsidR="007276B4" w:rsidRPr="009A33E1">
        <w:rPr>
          <w:rFonts w:ascii="Times New Roman" w:hAnsi="Times New Roman" w:cs="Times New Roman"/>
          <w:noProof/>
          <w:lang w:val="en-IE"/>
        </w:rPr>
        <w:t xml:space="preserve">legitimate </w:t>
      </w:r>
      <w:r w:rsidRPr="009A33E1">
        <w:rPr>
          <w:rFonts w:ascii="Times New Roman" w:hAnsi="Times New Roman" w:cs="Times New Roman"/>
          <w:noProof/>
          <w:lang w:val="en-IE"/>
        </w:rPr>
        <w:t xml:space="preserve">trade. The Customs programme also finances important initiatives to boost </w:t>
      </w:r>
      <w:r w:rsidRPr="009A33E1">
        <w:rPr>
          <w:rFonts w:ascii="Times New Roman" w:hAnsi="Times New Roman" w:cs="Times New Roman"/>
          <w:b/>
          <w:bCs/>
          <w:noProof/>
          <w:lang w:val="en-IE"/>
        </w:rPr>
        <w:t>collaboration</w:t>
      </w:r>
      <w:r w:rsidRPr="009A33E1">
        <w:rPr>
          <w:rFonts w:ascii="Times New Roman" w:hAnsi="Times New Roman" w:cs="Times New Roman"/>
          <w:noProof/>
          <w:lang w:val="en-IE"/>
        </w:rPr>
        <w:t xml:space="preserve"> between the Member States’ customs authorities</w:t>
      </w:r>
      <w:r w:rsidR="007276B4" w:rsidRPr="009A33E1">
        <w:rPr>
          <w:rFonts w:ascii="Times New Roman" w:hAnsi="Times New Roman" w:cs="Times New Roman"/>
          <w:noProof/>
          <w:lang w:val="en-IE"/>
        </w:rPr>
        <w:t>,</w:t>
      </w:r>
      <w:r w:rsidRPr="009A33E1">
        <w:rPr>
          <w:rFonts w:ascii="Times New Roman" w:hAnsi="Times New Roman" w:cs="Times New Roman"/>
          <w:noProof/>
          <w:lang w:val="en-IE"/>
        </w:rPr>
        <w:t xml:space="preserve"> as well as between the Commission and the customs administrations. The cooperation activities target all elements of the programme’s general objectives and address in particular the need for the customs union and customs authorities working together and acting as one. The collaborative activities also contribute directly to the preparation and uniform implementation of customs legislation and policy, human competency building, the development and operation of European electronic systems </w:t>
      </w:r>
      <w:r w:rsidR="009041EB">
        <w:rPr>
          <w:rFonts w:ascii="Times New Roman" w:hAnsi="Times New Roman" w:cs="Times New Roman"/>
          <w:noProof/>
          <w:lang w:val="en-IE"/>
        </w:rPr>
        <w:t xml:space="preserve">for customs </w:t>
      </w:r>
      <w:r w:rsidRPr="009A33E1">
        <w:rPr>
          <w:rFonts w:ascii="Times New Roman" w:hAnsi="Times New Roman" w:cs="Times New Roman"/>
          <w:noProof/>
          <w:lang w:val="en-IE"/>
        </w:rPr>
        <w:t xml:space="preserve">as well as innovation in the area of customs policy, being the specific objectives of the programme.  The collaboration generated by the programme leads to the increased effectiveness and efficiency of national administrations and of the custom union, and to the coherent and consistent application of EU law across the Member States. Through the fora provided by the EU programmes, administrations were encouraged to share knowledge, experience, good practices, </w:t>
      </w:r>
      <w:r w:rsidR="000B472F">
        <w:rPr>
          <w:rFonts w:ascii="Times New Roman" w:hAnsi="Times New Roman" w:cs="Times New Roman"/>
          <w:noProof/>
          <w:lang w:val="en-IE"/>
        </w:rPr>
        <w:t xml:space="preserve">to </w:t>
      </w:r>
      <w:r w:rsidRPr="009A33E1">
        <w:rPr>
          <w:rFonts w:ascii="Times New Roman" w:hAnsi="Times New Roman" w:cs="Times New Roman"/>
          <w:noProof/>
          <w:lang w:val="en-IE"/>
        </w:rPr>
        <w:t>work together,</w:t>
      </w:r>
      <w:r w:rsidR="000B472F">
        <w:rPr>
          <w:rFonts w:ascii="Times New Roman" w:hAnsi="Times New Roman" w:cs="Times New Roman"/>
          <w:noProof/>
          <w:lang w:val="en-IE"/>
        </w:rPr>
        <w:t xml:space="preserve"> to</w:t>
      </w:r>
      <w:r w:rsidRPr="009A33E1">
        <w:rPr>
          <w:rFonts w:ascii="Times New Roman" w:hAnsi="Times New Roman" w:cs="Times New Roman"/>
          <w:noProof/>
          <w:lang w:val="en-IE"/>
        </w:rPr>
        <w:t xml:space="preserve"> build networks, and </w:t>
      </w:r>
      <w:r w:rsidR="000B472F">
        <w:rPr>
          <w:rFonts w:ascii="Times New Roman" w:hAnsi="Times New Roman" w:cs="Times New Roman"/>
          <w:noProof/>
          <w:lang w:val="en-IE"/>
        </w:rPr>
        <w:t xml:space="preserve">to </w:t>
      </w:r>
      <w:r w:rsidRPr="009A33E1">
        <w:rPr>
          <w:rFonts w:ascii="Times New Roman" w:hAnsi="Times New Roman" w:cs="Times New Roman"/>
          <w:noProof/>
          <w:lang w:val="en-IE"/>
        </w:rPr>
        <w:t xml:space="preserve">provide solutions to common problems or set guidelines and </w:t>
      </w:r>
      <w:r w:rsidR="000B472F">
        <w:rPr>
          <w:rFonts w:ascii="Times New Roman" w:hAnsi="Times New Roman" w:cs="Times New Roman"/>
          <w:noProof/>
          <w:lang w:val="en-IE"/>
        </w:rPr>
        <w:t xml:space="preserve">to </w:t>
      </w:r>
      <w:r w:rsidRPr="009A33E1">
        <w:rPr>
          <w:rFonts w:ascii="Times New Roman" w:hAnsi="Times New Roman" w:cs="Times New Roman"/>
          <w:noProof/>
          <w:lang w:val="en-IE"/>
        </w:rPr>
        <w:t xml:space="preserve">establish support mechanisms. The Customs programme also provided for a wide scale of activities, such as e-learning modules, study visits, training sessions that directly contribute to </w:t>
      </w:r>
      <w:r w:rsidRPr="009A33E1">
        <w:rPr>
          <w:rFonts w:ascii="Times New Roman" w:hAnsi="Times New Roman" w:cs="Times New Roman"/>
          <w:b/>
          <w:bCs/>
          <w:noProof/>
          <w:lang w:val="en-IE"/>
        </w:rPr>
        <w:t>human competency building and training</w:t>
      </w:r>
      <w:r w:rsidRPr="009A33E1">
        <w:rPr>
          <w:rFonts w:ascii="Times New Roman" w:hAnsi="Times New Roman" w:cs="Times New Roman"/>
          <w:noProof/>
          <w:lang w:val="en-IE"/>
        </w:rPr>
        <w:t>.</w:t>
      </w:r>
    </w:p>
    <w:p w14:paraId="69A86120" w14:textId="52C4576B" w:rsidR="00F03E64" w:rsidRPr="009A33E1" w:rsidRDefault="00A54A73" w:rsidP="16305A4A">
      <w:pPr>
        <w:jc w:val="both"/>
        <w:rPr>
          <w:rFonts w:ascii="Times New Roman" w:hAnsi="Times New Roman" w:cs="Times New Roman"/>
          <w:noProof/>
          <w:lang w:val="en-IE"/>
        </w:rPr>
      </w:pPr>
      <w:r w:rsidRPr="009A33E1">
        <w:rPr>
          <w:rFonts w:ascii="Times New Roman" w:hAnsi="Times New Roman" w:cs="Times New Roman"/>
          <w:noProof/>
          <w:lang w:val="en-IE"/>
        </w:rPr>
        <w:t xml:space="preserve">The </w:t>
      </w:r>
      <w:r w:rsidR="007A625A" w:rsidRPr="009A33E1">
        <w:rPr>
          <w:rFonts w:ascii="Times New Roman" w:hAnsi="Times New Roman" w:cs="Times New Roman"/>
          <w:noProof/>
          <w:lang w:val="en-IE"/>
        </w:rPr>
        <w:t xml:space="preserve">Customs </w:t>
      </w:r>
      <w:r w:rsidR="006B3B01" w:rsidRPr="009A33E1">
        <w:rPr>
          <w:rFonts w:ascii="Times New Roman" w:hAnsi="Times New Roman" w:cs="Times New Roman"/>
          <w:noProof/>
          <w:lang w:val="en-IE"/>
        </w:rPr>
        <w:t xml:space="preserve">programmes directly link to the </w:t>
      </w:r>
      <w:r w:rsidR="006B3B01" w:rsidRPr="009A33E1">
        <w:rPr>
          <w:rFonts w:ascii="Times New Roman" w:hAnsi="Times New Roman" w:cs="Times New Roman"/>
          <w:b/>
          <w:bCs/>
          <w:noProof/>
          <w:lang w:val="en-IE"/>
        </w:rPr>
        <w:t>Customs Action Plan</w:t>
      </w:r>
      <w:r w:rsidR="004E5838" w:rsidRPr="009A33E1">
        <w:rPr>
          <w:rStyle w:val="FootnoteReference"/>
          <w:rFonts w:ascii="Times New Roman" w:hAnsi="Times New Roman" w:cs="Times New Roman"/>
          <w:noProof/>
          <w:lang w:val="en-IE"/>
        </w:rPr>
        <w:footnoteReference w:id="5"/>
      </w:r>
      <w:r w:rsidR="006B3B01" w:rsidRPr="009A33E1">
        <w:rPr>
          <w:rFonts w:ascii="Times New Roman" w:hAnsi="Times New Roman" w:cs="Times New Roman"/>
          <w:noProof/>
          <w:lang w:val="en-IE"/>
        </w:rPr>
        <w:t>. Besides the dedicated action on deepening collaboration</w:t>
      </w:r>
      <w:r w:rsidR="004E5838" w:rsidRPr="009A33E1">
        <w:rPr>
          <w:rFonts w:ascii="Times New Roman" w:hAnsi="Times New Roman" w:cs="Times New Roman"/>
          <w:noProof/>
          <w:lang w:val="en-IE"/>
        </w:rPr>
        <w:t xml:space="preserve"> and enhancing human competency</w:t>
      </w:r>
      <w:r w:rsidR="006B3B01" w:rsidRPr="009A33E1">
        <w:rPr>
          <w:rFonts w:ascii="Times New Roman" w:hAnsi="Times New Roman" w:cs="Times New Roman"/>
          <w:noProof/>
          <w:lang w:val="en-IE"/>
        </w:rPr>
        <w:t xml:space="preserve">, </w:t>
      </w:r>
      <w:r w:rsidR="00C922B4" w:rsidRPr="009A33E1">
        <w:rPr>
          <w:rFonts w:ascii="Times New Roman" w:hAnsi="Times New Roman" w:cs="Times New Roman"/>
          <w:noProof/>
          <w:lang w:val="en-IE"/>
        </w:rPr>
        <w:t xml:space="preserve">in 2021 </w:t>
      </w:r>
      <w:r w:rsidR="006B3B01" w:rsidRPr="009A33E1">
        <w:rPr>
          <w:rFonts w:ascii="Times New Roman" w:hAnsi="Times New Roman" w:cs="Times New Roman"/>
          <w:noProof/>
          <w:lang w:val="en-IE"/>
        </w:rPr>
        <w:t xml:space="preserve">the programmes </w:t>
      </w:r>
      <w:r w:rsidR="00C922B4" w:rsidRPr="009A33E1">
        <w:rPr>
          <w:rFonts w:ascii="Times New Roman" w:hAnsi="Times New Roman" w:cs="Times New Roman"/>
          <w:noProof/>
          <w:lang w:val="en-IE"/>
        </w:rPr>
        <w:t xml:space="preserve">stood </w:t>
      </w:r>
      <w:r w:rsidR="007A009E" w:rsidRPr="009A33E1">
        <w:rPr>
          <w:rFonts w:ascii="Times New Roman" w:hAnsi="Times New Roman" w:cs="Times New Roman"/>
          <w:noProof/>
          <w:lang w:val="en-IE"/>
        </w:rPr>
        <w:t xml:space="preserve">by </w:t>
      </w:r>
      <w:r w:rsidR="00F03E64" w:rsidRPr="009A33E1">
        <w:rPr>
          <w:rFonts w:ascii="Times New Roman" w:hAnsi="Times New Roman" w:cs="Times New Roman"/>
          <w:noProof/>
          <w:lang w:val="en-IE"/>
        </w:rPr>
        <w:t>all</w:t>
      </w:r>
      <w:r w:rsidR="007A009E" w:rsidRPr="009A33E1">
        <w:rPr>
          <w:rFonts w:ascii="Times New Roman" w:hAnsi="Times New Roman" w:cs="Times New Roman"/>
          <w:noProof/>
          <w:lang w:val="en-IE"/>
        </w:rPr>
        <w:t xml:space="preserve"> </w:t>
      </w:r>
      <w:r w:rsidR="00F03E64" w:rsidRPr="009A33E1">
        <w:rPr>
          <w:rFonts w:ascii="Times New Roman" w:hAnsi="Times New Roman" w:cs="Times New Roman"/>
          <w:noProof/>
          <w:lang w:val="en-IE"/>
        </w:rPr>
        <w:t>four policy domains highlighted by</w:t>
      </w:r>
      <w:r w:rsidR="007A009E" w:rsidRPr="009A33E1">
        <w:rPr>
          <w:rFonts w:ascii="Times New Roman" w:hAnsi="Times New Roman" w:cs="Times New Roman"/>
          <w:noProof/>
          <w:lang w:val="en-IE"/>
        </w:rPr>
        <w:t xml:space="preserve"> the </w:t>
      </w:r>
      <w:r w:rsidR="00B05A4B" w:rsidRPr="009A33E1">
        <w:rPr>
          <w:rFonts w:ascii="Times New Roman" w:hAnsi="Times New Roman" w:cs="Times New Roman"/>
          <w:noProof/>
          <w:lang w:val="en-IE"/>
        </w:rPr>
        <w:t xml:space="preserve">Customs </w:t>
      </w:r>
      <w:r w:rsidR="007A009E" w:rsidRPr="009A33E1">
        <w:rPr>
          <w:rFonts w:ascii="Times New Roman" w:hAnsi="Times New Roman" w:cs="Times New Roman"/>
          <w:noProof/>
          <w:lang w:val="en-IE"/>
        </w:rPr>
        <w:t>Action Plan</w:t>
      </w:r>
      <w:r w:rsidR="00F03E64" w:rsidRPr="009A33E1">
        <w:rPr>
          <w:rFonts w:ascii="Times New Roman" w:hAnsi="Times New Roman" w:cs="Times New Roman"/>
          <w:noProof/>
          <w:lang w:val="en-IE"/>
        </w:rPr>
        <w:t>: i) risk management, ii) e-commerce, iii) compliance</w:t>
      </w:r>
      <w:r w:rsidR="007A625A" w:rsidRPr="009A33E1">
        <w:rPr>
          <w:rFonts w:ascii="Times New Roman" w:hAnsi="Times New Roman" w:cs="Times New Roman"/>
          <w:noProof/>
          <w:lang w:val="en-IE"/>
        </w:rPr>
        <w:t xml:space="preserve"> and</w:t>
      </w:r>
      <w:r w:rsidR="00F03E64" w:rsidRPr="009A33E1">
        <w:rPr>
          <w:rFonts w:ascii="Times New Roman" w:hAnsi="Times New Roman" w:cs="Times New Roman"/>
          <w:noProof/>
          <w:lang w:val="en-IE"/>
        </w:rPr>
        <w:t xml:space="preserve"> iv) customs authorities acting as one. </w:t>
      </w:r>
    </w:p>
    <w:p w14:paraId="2D3F4EB4" w14:textId="43ED86E0" w:rsidR="00785352" w:rsidRPr="009A33E1" w:rsidRDefault="00C922B4" w:rsidP="16305A4A">
      <w:pPr>
        <w:jc w:val="both"/>
        <w:rPr>
          <w:rFonts w:ascii="Times New Roman" w:hAnsi="Times New Roman" w:cs="Times New Roman"/>
          <w:noProof/>
          <w:lang w:val="en-IE"/>
        </w:rPr>
      </w:pPr>
      <w:r w:rsidRPr="009A33E1">
        <w:rPr>
          <w:rFonts w:ascii="Times New Roman" w:hAnsi="Times New Roman" w:cs="Times New Roman"/>
          <w:noProof/>
          <w:lang w:val="en-IE"/>
        </w:rPr>
        <w:t xml:space="preserve">Both the actions under the Customs 2020 and under the </w:t>
      </w:r>
      <w:r w:rsidR="00A06ABE">
        <w:rPr>
          <w:rFonts w:ascii="Times New Roman" w:hAnsi="Times New Roman" w:cs="Times New Roman"/>
          <w:noProof/>
          <w:lang w:val="en-IE"/>
        </w:rPr>
        <w:t xml:space="preserve">new </w:t>
      </w:r>
      <w:r w:rsidRPr="009A33E1">
        <w:rPr>
          <w:rFonts w:ascii="Times New Roman" w:hAnsi="Times New Roman" w:cs="Times New Roman"/>
          <w:noProof/>
          <w:lang w:val="en-IE"/>
        </w:rPr>
        <w:t xml:space="preserve">Customs programme were driven by the programme objectives that are </w:t>
      </w:r>
      <w:r w:rsidR="00785352" w:rsidRPr="009A33E1">
        <w:rPr>
          <w:rFonts w:ascii="Times New Roman" w:hAnsi="Times New Roman" w:cs="Times New Roman"/>
          <w:noProof/>
          <w:lang w:val="en-IE"/>
        </w:rPr>
        <w:t>in line</w:t>
      </w:r>
      <w:r w:rsidR="00740BBE" w:rsidRPr="009A33E1">
        <w:rPr>
          <w:rFonts w:ascii="Times New Roman" w:hAnsi="Times New Roman" w:cs="Times New Roman"/>
          <w:noProof/>
          <w:lang w:val="en-IE"/>
        </w:rPr>
        <w:t xml:space="preserve"> with </w:t>
      </w:r>
      <w:r w:rsidR="007A625A" w:rsidRPr="009A33E1">
        <w:rPr>
          <w:rFonts w:ascii="Times New Roman" w:hAnsi="Times New Roman" w:cs="Times New Roman"/>
          <w:noProof/>
          <w:lang w:val="en-IE"/>
        </w:rPr>
        <w:t xml:space="preserve">the policy priorities </w:t>
      </w:r>
      <w:r w:rsidR="000850EF" w:rsidRPr="009A33E1">
        <w:rPr>
          <w:rFonts w:ascii="Times New Roman" w:hAnsi="Times New Roman" w:cs="Times New Roman"/>
          <w:noProof/>
          <w:lang w:val="en-IE"/>
        </w:rPr>
        <w:t>as set out in</w:t>
      </w:r>
      <w:r w:rsidRPr="009A33E1">
        <w:rPr>
          <w:rFonts w:ascii="Times New Roman" w:hAnsi="Times New Roman" w:cs="Times New Roman"/>
          <w:noProof/>
          <w:lang w:val="en-IE"/>
        </w:rPr>
        <w:t xml:space="preserve"> the </w:t>
      </w:r>
      <w:r w:rsidR="00740BBE" w:rsidRPr="009A33E1">
        <w:rPr>
          <w:rFonts w:ascii="Times New Roman" w:hAnsi="Times New Roman" w:cs="Times New Roman"/>
          <w:b/>
          <w:bCs/>
          <w:noProof/>
          <w:lang w:val="en-IE"/>
        </w:rPr>
        <w:t>S</w:t>
      </w:r>
      <w:r w:rsidR="0012465A" w:rsidRPr="009A33E1">
        <w:rPr>
          <w:rFonts w:ascii="Times New Roman" w:hAnsi="Times New Roman" w:cs="Times New Roman"/>
          <w:b/>
          <w:bCs/>
          <w:noProof/>
          <w:lang w:val="en-IE"/>
        </w:rPr>
        <w:t xml:space="preserve">trategic </w:t>
      </w:r>
      <w:r w:rsidR="00740BBE" w:rsidRPr="009A33E1">
        <w:rPr>
          <w:rFonts w:ascii="Times New Roman" w:hAnsi="Times New Roman" w:cs="Times New Roman"/>
          <w:b/>
          <w:bCs/>
          <w:noProof/>
          <w:lang w:val="en-IE"/>
        </w:rPr>
        <w:t>P</w:t>
      </w:r>
      <w:r w:rsidR="0012465A" w:rsidRPr="009A33E1">
        <w:rPr>
          <w:rFonts w:ascii="Times New Roman" w:hAnsi="Times New Roman" w:cs="Times New Roman"/>
          <w:b/>
          <w:bCs/>
          <w:noProof/>
          <w:lang w:val="en-IE"/>
        </w:rPr>
        <w:t>lan</w:t>
      </w:r>
      <w:r w:rsidR="00740BBE" w:rsidRPr="009A33E1">
        <w:rPr>
          <w:rFonts w:ascii="Times New Roman" w:hAnsi="Times New Roman" w:cs="Times New Roman"/>
          <w:b/>
          <w:bCs/>
          <w:noProof/>
          <w:lang w:val="en-IE"/>
        </w:rPr>
        <w:t xml:space="preserve"> 202</w:t>
      </w:r>
      <w:r w:rsidR="0012465A" w:rsidRPr="009A33E1">
        <w:rPr>
          <w:rFonts w:ascii="Times New Roman" w:hAnsi="Times New Roman" w:cs="Times New Roman"/>
          <w:b/>
          <w:bCs/>
          <w:noProof/>
          <w:lang w:val="en-IE"/>
        </w:rPr>
        <w:t>0</w:t>
      </w:r>
      <w:r w:rsidR="00740BBE" w:rsidRPr="009A33E1">
        <w:rPr>
          <w:rFonts w:ascii="Times New Roman" w:hAnsi="Times New Roman" w:cs="Times New Roman"/>
          <w:b/>
          <w:bCs/>
          <w:noProof/>
          <w:lang w:val="en-IE"/>
        </w:rPr>
        <w:t>-2024</w:t>
      </w:r>
      <w:r w:rsidR="00A06ABE">
        <w:rPr>
          <w:rFonts w:ascii="Times New Roman" w:hAnsi="Times New Roman" w:cs="Times New Roman"/>
          <w:b/>
          <w:bCs/>
          <w:noProof/>
          <w:lang w:val="en-IE"/>
        </w:rPr>
        <w:t xml:space="preserve"> - Taxation and Customs Union</w:t>
      </w:r>
      <w:r w:rsidR="0012465A" w:rsidRPr="009A33E1">
        <w:rPr>
          <w:rStyle w:val="FootnoteReference"/>
          <w:rFonts w:ascii="Times New Roman" w:hAnsi="Times New Roman" w:cs="Times New Roman"/>
          <w:b/>
          <w:bCs/>
          <w:noProof/>
          <w:lang w:val="en-IE"/>
        </w:rPr>
        <w:footnoteReference w:id="6"/>
      </w:r>
      <w:r w:rsidR="00740BBE" w:rsidRPr="009A33E1">
        <w:rPr>
          <w:rFonts w:ascii="Times New Roman" w:hAnsi="Times New Roman" w:cs="Times New Roman"/>
          <w:b/>
          <w:bCs/>
          <w:noProof/>
          <w:lang w:val="en-IE"/>
        </w:rPr>
        <w:t xml:space="preserve"> and </w:t>
      </w:r>
      <w:r w:rsidRPr="009A33E1">
        <w:rPr>
          <w:rFonts w:ascii="Times New Roman" w:hAnsi="Times New Roman" w:cs="Times New Roman"/>
          <w:b/>
          <w:bCs/>
          <w:noProof/>
          <w:lang w:val="en-IE"/>
        </w:rPr>
        <w:t>Management Plan for 2021</w:t>
      </w:r>
      <w:r w:rsidR="00A06ABE">
        <w:rPr>
          <w:rFonts w:ascii="Times New Roman" w:hAnsi="Times New Roman" w:cs="Times New Roman"/>
          <w:b/>
          <w:bCs/>
          <w:noProof/>
          <w:lang w:val="en-IE"/>
        </w:rPr>
        <w:t xml:space="preserve"> – Taxation and Customs Union</w:t>
      </w:r>
      <w:r w:rsidR="007370E2" w:rsidRPr="009A33E1">
        <w:rPr>
          <w:rStyle w:val="FootnoteReference"/>
          <w:rFonts w:ascii="Times New Roman" w:hAnsi="Times New Roman" w:cs="Times New Roman"/>
          <w:noProof/>
          <w:lang w:val="en-IE"/>
        </w:rPr>
        <w:footnoteReference w:id="7"/>
      </w:r>
      <w:r w:rsidR="00785352" w:rsidRPr="009A33E1">
        <w:rPr>
          <w:rFonts w:ascii="Times New Roman" w:hAnsi="Times New Roman" w:cs="Times New Roman"/>
          <w:noProof/>
          <w:lang w:val="en-IE"/>
        </w:rPr>
        <w:t xml:space="preserve">. </w:t>
      </w:r>
      <w:r w:rsidR="00B05A4B" w:rsidRPr="009A33E1">
        <w:rPr>
          <w:rFonts w:ascii="Times New Roman" w:hAnsi="Times New Roman" w:cs="Times New Roman"/>
          <w:noProof/>
          <w:lang w:val="en-IE"/>
        </w:rPr>
        <w:t>Notably, t</w:t>
      </w:r>
      <w:r w:rsidR="00785352" w:rsidRPr="009A33E1">
        <w:rPr>
          <w:rFonts w:ascii="Times New Roman" w:hAnsi="Times New Roman" w:cs="Times New Roman"/>
          <w:noProof/>
          <w:lang w:val="en-IE"/>
        </w:rPr>
        <w:t>hese policy objectives</w:t>
      </w:r>
      <w:r w:rsidR="00AB7980" w:rsidRPr="009A33E1">
        <w:rPr>
          <w:rFonts w:ascii="Times New Roman" w:hAnsi="Times New Roman" w:cs="Times New Roman"/>
          <w:noProof/>
          <w:lang w:val="en-IE"/>
        </w:rPr>
        <w:t xml:space="preserve"> </w:t>
      </w:r>
      <w:r w:rsidR="00785352" w:rsidRPr="009A33E1">
        <w:rPr>
          <w:rFonts w:ascii="Times New Roman" w:hAnsi="Times New Roman" w:cs="Times New Roman"/>
          <w:noProof/>
          <w:lang w:val="en-IE"/>
        </w:rPr>
        <w:t xml:space="preserve">are to develop a more modern </w:t>
      </w:r>
      <w:r w:rsidR="00B90ADA" w:rsidRPr="009A33E1">
        <w:rPr>
          <w:rFonts w:ascii="Times New Roman" w:hAnsi="Times New Roman" w:cs="Times New Roman"/>
          <w:noProof/>
          <w:lang w:val="en-IE"/>
        </w:rPr>
        <w:t>c</w:t>
      </w:r>
      <w:r w:rsidR="00785352" w:rsidRPr="009A33E1">
        <w:rPr>
          <w:rFonts w:ascii="Times New Roman" w:hAnsi="Times New Roman" w:cs="Times New Roman"/>
          <w:noProof/>
          <w:lang w:val="en-IE"/>
        </w:rPr>
        <w:t xml:space="preserve">ustoms </w:t>
      </w:r>
      <w:r w:rsidR="00B90ADA" w:rsidRPr="009A33E1">
        <w:rPr>
          <w:rFonts w:ascii="Times New Roman" w:hAnsi="Times New Roman" w:cs="Times New Roman"/>
          <w:noProof/>
          <w:lang w:val="en-IE"/>
        </w:rPr>
        <w:t>u</w:t>
      </w:r>
      <w:r w:rsidR="00785352" w:rsidRPr="009A33E1">
        <w:rPr>
          <w:rFonts w:ascii="Times New Roman" w:hAnsi="Times New Roman" w:cs="Times New Roman"/>
          <w:noProof/>
          <w:lang w:val="en-IE"/>
        </w:rPr>
        <w:t xml:space="preserve">nion, to facilitate trade, safeguard revenues and protect citizens and businesses by: </w:t>
      </w:r>
    </w:p>
    <w:p w14:paraId="0132D9A0" w14:textId="51C6868A" w:rsidR="00785352" w:rsidRPr="009A33E1" w:rsidRDefault="16305A4A" w:rsidP="16305A4A">
      <w:pPr>
        <w:pStyle w:val="ListParagraph"/>
        <w:numPr>
          <w:ilvl w:val="0"/>
          <w:numId w:val="30"/>
        </w:numPr>
        <w:jc w:val="both"/>
        <w:rPr>
          <w:rFonts w:ascii="Times New Roman" w:hAnsi="Times New Roman" w:cs="Times New Roman"/>
          <w:noProof/>
          <w:lang w:val="en-IE"/>
        </w:rPr>
      </w:pPr>
      <w:r w:rsidRPr="009A33E1">
        <w:rPr>
          <w:rFonts w:ascii="Times New Roman" w:hAnsi="Times New Roman" w:cs="Times New Roman"/>
          <w:noProof/>
          <w:lang w:val="en-IE"/>
        </w:rPr>
        <w:t xml:space="preserve">Developing digitalised, data-rich customs, fit for the future; </w:t>
      </w:r>
    </w:p>
    <w:p w14:paraId="5487FF61" w14:textId="57F2651D" w:rsidR="00785352" w:rsidRPr="009A33E1" w:rsidRDefault="16305A4A" w:rsidP="16305A4A">
      <w:pPr>
        <w:pStyle w:val="ListParagraph"/>
        <w:numPr>
          <w:ilvl w:val="0"/>
          <w:numId w:val="30"/>
        </w:numPr>
        <w:jc w:val="both"/>
        <w:rPr>
          <w:rFonts w:ascii="Times New Roman" w:hAnsi="Times New Roman" w:cs="Times New Roman"/>
          <w:noProof/>
          <w:lang w:val="en-IE"/>
        </w:rPr>
      </w:pPr>
      <w:r w:rsidRPr="009A33E1">
        <w:rPr>
          <w:rFonts w:ascii="Times New Roman" w:hAnsi="Times New Roman" w:cs="Times New Roman"/>
          <w:noProof/>
          <w:lang w:val="en-IE"/>
        </w:rPr>
        <w:t xml:space="preserve">Enhancing cooperation to fight fraud and facilitate </w:t>
      </w:r>
      <w:r w:rsidR="00B05A4B" w:rsidRPr="009A33E1">
        <w:rPr>
          <w:rFonts w:ascii="Times New Roman" w:hAnsi="Times New Roman" w:cs="Times New Roman"/>
          <w:noProof/>
          <w:lang w:val="en-IE"/>
        </w:rPr>
        <w:t xml:space="preserve">legitimate </w:t>
      </w:r>
      <w:r w:rsidRPr="009A33E1">
        <w:rPr>
          <w:rFonts w:ascii="Times New Roman" w:hAnsi="Times New Roman" w:cs="Times New Roman"/>
          <w:noProof/>
          <w:lang w:val="en-IE"/>
        </w:rPr>
        <w:t>trade;</w:t>
      </w:r>
    </w:p>
    <w:p w14:paraId="0A4A2449" w14:textId="0639867B" w:rsidR="00785352" w:rsidRPr="009A33E1" w:rsidRDefault="16305A4A" w:rsidP="16305A4A">
      <w:pPr>
        <w:pStyle w:val="ListParagraph"/>
        <w:numPr>
          <w:ilvl w:val="0"/>
          <w:numId w:val="30"/>
        </w:numPr>
        <w:jc w:val="both"/>
        <w:rPr>
          <w:rFonts w:ascii="Times New Roman" w:hAnsi="Times New Roman" w:cs="Times New Roman"/>
          <w:noProof/>
          <w:lang w:val="en-IE"/>
        </w:rPr>
      </w:pPr>
      <w:r w:rsidRPr="009A33E1">
        <w:rPr>
          <w:rFonts w:ascii="Times New Roman" w:hAnsi="Times New Roman" w:cs="Times New Roman"/>
          <w:noProof/>
          <w:lang w:val="en-IE"/>
        </w:rPr>
        <w:t>Ensuring the proper implementation of customs legislation.</w:t>
      </w:r>
    </w:p>
    <w:p w14:paraId="20283658" w14:textId="244D903C" w:rsidR="00C922B4" w:rsidRPr="009A33E1" w:rsidRDefault="4CB48300" w:rsidP="16305A4A">
      <w:pPr>
        <w:jc w:val="both"/>
        <w:rPr>
          <w:rFonts w:ascii="Times New Roman" w:hAnsi="Times New Roman" w:cs="Times New Roman"/>
          <w:noProof/>
          <w:lang w:val="en-IE"/>
        </w:rPr>
      </w:pPr>
      <w:r w:rsidRPr="586E19CB">
        <w:rPr>
          <w:rFonts w:ascii="Times New Roman" w:hAnsi="Times New Roman" w:cs="Times New Roman"/>
          <w:noProof/>
          <w:lang w:val="en-IE"/>
        </w:rPr>
        <w:t xml:space="preserve">The Customs programme is the new EU cooperation programme in the field of customs under the Multi-Annual Financial Framework 2021-2027. It represents a continuation of the earlier generation of programmes that have significantly contributed to facilitating and enhancing customs cooperation and reinforcing the customs union and the Single Market. The programme is open to the participation of non-EU countries in line with conditions set in the specific agreements. The overall programme budget amounts to </w:t>
      </w:r>
      <w:r w:rsidRPr="586E19CB">
        <w:rPr>
          <w:rFonts w:ascii="Times New Roman" w:hAnsi="Times New Roman" w:cs="Times New Roman"/>
          <w:b/>
          <w:bCs/>
          <w:noProof/>
          <w:lang w:val="en-IE"/>
        </w:rPr>
        <w:t>EUR 950 million</w:t>
      </w:r>
      <w:r w:rsidRPr="586E19CB">
        <w:rPr>
          <w:rFonts w:ascii="Times New Roman" w:hAnsi="Times New Roman" w:cs="Times New Roman"/>
          <w:noProof/>
          <w:lang w:val="en-IE"/>
        </w:rPr>
        <w:t xml:space="preserve">. The delays in the negotiations of the Multi-annual Financial Framework 2021-2027 led to the adoption of its Regulation only in December 2020, with the consequent result that the </w:t>
      </w:r>
      <w:r w:rsidRPr="586E19CB">
        <w:rPr>
          <w:rFonts w:ascii="Times New Roman" w:hAnsi="Times New Roman" w:cs="Times New Roman"/>
          <w:b/>
          <w:bCs/>
          <w:noProof/>
          <w:lang w:val="en-IE"/>
        </w:rPr>
        <w:t>adoption of</w:t>
      </w:r>
      <w:r w:rsidRPr="586E19CB">
        <w:rPr>
          <w:rFonts w:ascii="Times New Roman" w:hAnsi="Times New Roman" w:cs="Times New Roman"/>
          <w:noProof/>
          <w:lang w:val="en-IE"/>
        </w:rPr>
        <w:t xml:space="preserve"> the legal </w:t>
      </w:r>
      <w:r w:rsidR="33AC1F85" w:rsidRPr="586E19CB">
        <w:rPr>
          <w:rFonts w:ascii="Times New Roman" w:hAnsi="Times New Roman" w:cs="Times New Roman"/>
          <w:noProof/>
          <w:lang w:val="en-IE"/>
        </w:rPr>
        <w:t xml:space="preserve">acts </w:t>
      </w:r>
      <w:r w:rsidRPr="586E19CB">
        <w:rPr>
          <w:rFonts w:ascii="Times New Roman" w:hAnsi="Times New Roman" w:cs="Times New Roman"/>
          <w:noProof/>
          <w:lang w:val="en-IE"/>
        </w:rPr>
        <w:t xml:space="preserve">of the </w:t>
      </w:r>
      <w:r w:rsidRPr="586E19CB">
        <w:rPr>
          <w:rFonts w:ascii="Times New Roman" w:hAnsi="Times New Roman" w:cs="Times New Roman"/>
          <w:b/>
          <w:bCs/>
          <w:noProof/>
          <w:lang w:val="en-IE"/>
        </w:rPr>
        <w:t>new generation of programmes was possible only during the course of 2021</w:t>
      </w:r>
      <w:r w:rsidRPr="586E19CB">
        <w:rPr>
          <w:rFonts w:ascii="Times New Roman" w:hAnsi="Times New Roman" w:cs="Times New Roman"/>
          <w:noProof/>
          <w:lang w:val="en-IE"/>
        </w:rPr>
        <w:t xml:space="preserve">.  This situation affected in particular the management of the operation and implementation of the European electronic systems for customs requiring major efforts to mitigate the </w:t>
      </w:r>
      <w:r w:rsidRPr="586E19CB">
        <w:rPr>
          <w:rFonts w:ascii="Times New Roman" w:hAnsi="Times New Roman" w:cs="Times New Roman"/>
          <w:b/>
          <w:bCs/>
          <w:noProof/>
          <w:lang w:val="en-IE"/>
        </w:rPr>
        <w:t>high-risk situation</w:t>
      </w:r>
      <w:r w:rsidRPr="586E19CB">
        <w:rPr>
          <w:rFonts w:ascii="Times New Roman" w:hAnsi="Times New Roman" w:cs="Times New Roman"/>
          <w:noProof/>
          <w:lang w:val="en-IE"/>
        </w:rPr>
        <w:t xml:space="preserve"> </w:t>
      </w:r>
      <w:r w:rsidRPr="586E19CB">
        <w:rPr>
          <w:rFonts w:ascii="Times New Roman" w:hAnsi="Times New Roman" w:cs="Times New Roman"/>
          <w:b/>
          <w:bCs/>
          <w:noProof/>
          <w:lang w:val="en-IE"/>
        </w:rPr>
        <w:t>regarding the continuity of the European electronic systems for customs</w:t>
      </w:r>
      <w:r w:rsidRPr="586E19CB">
        <w:rPr>
          <w:rFonts w:ascii="Times New Roman" w:hAnsi="Times New Roman" w:cs="Times New Roman"/>
          <w:noProof/>
          <w:lang w:val="en-IE"/>
        </w:rPr>
        <w:t xml:space="preserve"> (see point 3.3). </w:t>
      </w:r>
    </w:p>
    <w:p w14:paraId="1A778656" w14:textId="24C0479A" w:rsidR="00C922B4" w:rsidRPr="009A33E1" w:rsidRDefault="16305A4A" w:rsidP="16305A4A">
      <w:pPr>
        <w:jc w:val="both"/>
        <w:rPr>
          <w:rFonts w:ascii="Times New Roman" w:hAnsi="Times New Roman" w:cs="Times New Roman"/>
          <w:noProof/>
          <w:lang w:val="en-IE"/>
        </w:rPr>
      </w:pPr>
      <w:r w:rsidRPr="009A33E1">
        <w:rPr>
          <w:rFonts w:ascii="Times New Roman" w:hAnsi="Times New Roman" w:cs="Times New Roman"/>
          <w:noProof/>
          <w:lang w:val="en-IE"/>
        </w:rPr>
        <w:t xml:space="preserve">The </w:t>
      </w:r>
      <w:r w:rsidRPr="009A33E1">
        <w:rPr>
          <w:rFonts w:ascii="Times New Roman" w:hAnsi="Times New Roman" w:cs="Times New Roman"/>
          <w:b/>
          <w:bCs/>
          <w:noProof/>
          <w:lang w:val="en-IE"/>
        </w:rPr>
        <w:t>delayed launch of the grants</w:t>
      </w:r>
      <w:r w:rsidRPr="009A33E1">
        <w:rPr>
          <w:rFonts w:ascii="Times New Roman" w:hAnsi="Times New Roman" w:cs="Times New Roman"/>
          <w:noProof/>
          <w:lang w:val="en-IE"/>
        </w:rPr>
        <w:t xml:space="preserve"> in 2021 were less impactful. This is primarily due to the nature of activities financed by the grants and their co-relation to the travel and physical meeting restrictions generated by the Covid-19 pandemic. As the general collaborative action grant covers primarily costs linked to participant expenses to physical meetings and organisational costs of such meetings the foremost and as the Covid-19 situation in 2021 meant that almost 100% of the meetings took place online, the non-availability of the new programme budget did not block activities under the grants. On the contrary, the Commission had to engage in measures to minimise underspending. For that, the Commission firstly </w:t>
      </w:r>
      <w:r w:rsidRPr="009A33E1">
        <w:rPr>
          <w:rFonts w:ascii="Times New Roman" w:hAnsi="Times New Roman" w:cs="Times New Roman"/>
          <w:b/>
          <w:bCs/>
          <w:noProof/>
          <w:lang w:val="en-IE"/>
        </w:rPr>
        <w:t xml:space="preserve">reduced </w:t>
      </w:r>
      <w:r w:rsidRPr="009A33E1">
        <w:rPr>
          <w:rFonts w:ascii="Times New Roman" w:hAnsi="Times New Roman" w:cs="Times New Roman"/>
          <w:noProof/>
          <w:lang w:val="en-IE"/>
        </w:rPr>
        <w:t>some</w:t>
      </w:r>
      <w:r w:rsidRPr="009A33E1">
        <w:rPr>
          <w:rFonts w:ascii="Times New Roman" w:hAnsi="Times New Roman" w:cs="Times New Roman"/>
          <w:b/>
          <w:bCs/>
          <w:noProof/>
          <w:lang w:val="en-IE"/>
        </w:rPr>
        <w:t xml:space="preserve"> grant amounts</w:t>
      </w:r>
      <w:r w:rsidRPr="009A33E1">
        <w:rPr>
          <w:rFonts w:ascii="Times New Roman" w:hAnsi="Times New Roman" w:cs="Times New Roman"/>
          <w:noProof/>
          <w:lang w:val="en-IE"/>
        </w:rPr>
        <w:t xml:space="preserve"> – reallocating partially the budgets to the IT actions – and secondly </w:t>
      </w:r>
      <w:r w:rsidRPr="009A33E1">
        <w:rPr>
          <w:rFonts w:ascii="Times New Roman" w:hAnsi="Times New Roman" w:cs="Times New Roman"/>
          <w:b/>
          <w:bCs/>
          <w:noProof/>
          <w:lang w:val="en-IE"/>
        </w:rPr>
        <w:t>extended the grant period</w:t>
      </w:r>
      <w:r w:rsidRPr="009A33E1">
        <w:rPr>
          <w:rFonts w:ascii="Times New Roman" w:hAnsi="Times New Roman" w:cs="Times New Roman"/>
          <w:noProof/>
          <w:lang w:val="en-IE"/>
        </w:rPr>
        <w:t xml:space="preserve"> of the Customs 2020 programme’s joint actions grant. </w:t>
      </w:r>
    </w:p>
    <w:p w14:paraId="0ADEADB5" w14:textId="0ADA2CD0" w:rsidR="00A54A73" w:rsidRPr="009A33E1" w:rsidRDefault="4CB48300" w:rsidP="16305A4A">
      <w:pPr>
        <w:jc w:val="both"/>
        <w:rPr>
          <w:rFonts w:ascii="Times New Roman" w:hAnsi="Times New Roman" w:cs="Times New Roman"/>
          <w:noProof/>
          <w:lang w:val="en-IE"/>
        </w:rPr>
      </w:pPr>
      <w:r w:rsidRPr="009A33E1">
        <w:rPr>
          <w:rFonts w:ascii="Times New Roman" w:hAnsi="Times New Roman" w:cs="Times New Roman"/>
          <w:noProof/>
          <w:lang w:val="en-IE"/>
        </w:rPr>
        <w:t xml:space="preserve">The transition to the new Customs programme in 2021 also generated the review and revamping of the programme’s </w:t>
      </w:r>
      <w:r w:rsidRPr="009A33E1">
        <w:rPr>
          <w:rFonts w:ascii="Times New Roman" w:hAnsi="Times New Roman" w:cs="Times New Roman"/>
          <w:b/>
          <w:bCs/>
          <w:noProof/>
          <w:lang w:val="en-IE"/>
        </w:rPr>
        <w:t>performance measurement framework</w:t>
      </w:r>
      <w:r w:rsidRPr="009A33E1">
        <w:rPr>
          <w:rFonts w:ascii="Times New Roman" w:hAnsi="Times New Roman" w:cs="Times New Roman"/>
          <w:noProof/>
          <w:lang w:val="en-IE"/>
        </w:rPr>
        <w:t xml:space="preserve"> (PMF) based on the lessons learnt from the implementation of the Customs 2020 programme’s PMF</w:t>
      </w:r>
      <w:r w:rsidR="53E0BF75" w:rsidRPr="009A33E1">
        <w:rPr>
          <w:rFonts w:ascii="Times New Roman" w:hAnsi="Times New Roman" w:cs="Times New Roman"/>
          <w:noProof/>
          <w:lang w:val="en-IE"/>
        </w:rPr>
        <w:t>. Such revision also took into consideration the recommendations of the European Court of Auditors</w:t>
      </w:r>
      <w:r w:rsidR="26AE40C6" w:rsidRPr="009A33E1">
        <w:rPr>
          <w:rFonts w:ascii="Times New Roman" w:hAnsi="Times New Roman" w:cs="Times New Roman"/>
          <w:noProof/>
          <w:lang w:val="en-IE"/>
        </w:rPr>
        <w:t>’ special</w:t>
      </w:r>
      <w:r w:rsidR="53E0BF75" w:rsidRPr="009A33E1">
        <w:rPr>
          <w:rFonts w:ascii="Times New Roman" w:hAnsi="Times New Roman" w:cs="Times New Roman"/>
          <w:noProof/>
          <w:lang w:val="en-IE"/>
        </w:rPr>
        <w:t xml:space="preserve"> report of 2018</w:t>
      </w:r>
      <w:r w:rsidR="26AE40C6" w:rsidRPr="009A33E1">
        <w:rPr>
          <w:rFonts w:ascii="Times New Roman" w:hAnsi="Times New Roman" w:cs="Times New Roman"/>
          <w:noProof/>
          <w:lang w:val="en-IE"/>
        </w:rPr>
        <w:t xml:space="preserve"> on the delivery of the new European electronic systems for customs</w:t>
      </w:r>
      <w:r w:rsidR="00681B3F" w:rsidRPr="009A33E1">
        <w:rPr>
          <w:rStyle w:val="FootnoteReference"/>
          <w:rFonts w:ascii="Times New Roman" w:hAnsi="Times New Roman" w:cs="Times New Roman"/>
          <w:noProof/>
          <w:lang w:val="en-IE"/>
        </w:rPr>
        <w:footnoteReference w:id="8"/>
      </w:r>
      <w:r w:rsidRPr="009A33E1">
        <w:rPr>
          <w:rFonts w:ascii="Times New Roman" w:hAnsi="Times New Roman" w:cs="Times New Roman"/>
          <w:noProof/>
          <w:lang w:val="en-IE"/>
        </w:rPr>
        <w:t xml:space="preserve">. Annex II of the programme Regulation sets out the core indicators to ensure monitoring of and reporting on the programme’s implementation. </w:t>
      </w:r>
      <w:r w:rsidR="00A06ABE">
        <w:rPr>
          <w:rFonts w:ascii="Times New Roman" w:hAnsi="Times New Roman" w:cs="Times New Roman"/>
          <w:noProof/>
          <w:lang w:val="en-IE"/>
        </w:rPr>
        <w:t>T</w:t>
      </w:r>
      <w:r w:rsidRPr="009A33E1">
        <w:rPr>
          <w:rFonts w:ascii="Times New Roman" w:hAnsi="Times New Roman" w:cs="Times New Roman"/>
          <w:noProof/>
          <w:lang w:val="en-IE"/>
        </w:rPr>
        <w:t xml:space="preserve">he current report </w:t>
      </w:r>
      <w:r w:rsidR="367E8813" w:rsidRPr="009A33E1">
        <w:rPr>
          <w:rFonts w:ascii="Times New Roman" w:hAnsi="Times New Roman" w:cs="Times New Roman"/>
          <w:noProof/>
          <w:lang w:val="en-IE"/>
        </w:rPr>
        <w:t xml:space="preserve">of 2021 </w:t>
      </w:r>
      <w:r w:rsidRPr="009A33E1">
        <w:rPr>
          <w:rFonts w:ascii="Times New Roman" w:hAnsi="Times New Roman" w:cs="Times New Roman"/>
          <w:noProof/>
          <w:lang w:val="en-IE"/>
        </w:rPr>
        <w:t xml:space="preserve">considers and respects both the old and new set of indicators. </w:t>
      </w:r>
    </w:p>
    <w:p w14:paraId="4A0DAB62" w14:textId="633F8E36" w:rsidR="0021545B" w:rsidRPr="009A33E1" w:rsidRDefault="16305A4A" w:rsidP="00DB2BB5">
      <w:pPr>
        <w:pStyle w:val="Heading1"/>
        <w:rPr>
          <w:rStyle w:val="CommentReference"/>
          <w:b w:val="0"/>
          <w:bCs w:val="0"/>
          <w:noProof/>
          <w:sz w:val="22"/>
          <w:szCs w:val="22"/>
        </w:rPr>
      </w:pPr>
      <w:bookmarkStart w:id="4" w:name="_Toc96083181"/>
      <w:r w:rsidRPr="009A33E1">
        <w:rPr>
          <w:noProof/>
        </w:rPr>
        <w:t>IMPLEMENTATION OF THE CUSTOMS PROGRAMME’S SPECIFIC OBJECTIVES and ACTIVITIES</w:t>
      </w:r>
      <w:bookmarkEnd w:id="4"/>
    </w:p>
    <w:p w14:paraId="3E152BB9" w14:textId="493E0D7B" w:rsidR="0096022C" w:rsidRPr="009A33E1" w:rsidRDefault="16305A4A" w:rsidP="16305A4A">
      <w:pPr>
        <w:jc w:val="both"/>
        <w:rPr>
          <w:rFonts w:ascii="Times New Roman" w:hAnsi="Times New Roman" w:cs="Times New Roman"/>
          <w:noProof/>
          <w:lang w:val="en-IE"/>
        </w:rPr>
      </w:pPr>
      <w:r w:rsidRPr="009A33E1">
        <w:rPr>
          <w:rFonts w:ascii="Times New Roman" w:hAnsi="Times New Roman" w:cs="Times New Roman"/>
          <w:noProof/>
          <w:lang w:val="en-IE"/>
        </w:rPr>
        <w:t>The Customs programme provides financial support to a range of eligible actions aimed to achieve the programme’ general and specific objectives. Article 7 and Annex 1 of the Regulation define the eligible actions, which can be divided into four main categories:</w:t>
      </w:r>
    </w:p>
    <w:p w14:paraId="4D3B2B9A" w14:textId="3CBE4059" w:rsidR="0096022C" w:rsidRPr="009A33E1" w:rsidRDefault="0096022C" w:rsidP="16305A4A">
      <w:pPr>
        <w:pStyle w:val="ListParagraph"/>
        <w:numPr>
          <w:ilvl w:val="0"/>
          <w:numId w:val="31"/>
        </w:numPr>
        <w:jc w:val="both"/>
        <w:rPr>
          <w:rFonts w:ascii="Times New Roman" w:hAnsi="Times New Roman" w:cs="Times New Roman"/>
          <w:noProof/>
          <w:lang w:val="en-IE"/>
        </w:rPr>
      </w:pPr>
      <w:r w:rsidRPr="009A33E1">
        <w:rPr>
          <w:rFonts w:ascii="Times New Roman" w:hAnsi="Times New Roman" w:cs="Times New Roman"/>
          <w:noProof/>
          <w:lang w:val="en-IE"/>
        </w:rPr>
        <w:t xml:space="preserve">European </w:t>
      </w:r>
      <w:r w:rsidR="00FA66E5" w:rsidRPr="009A33E1">
        <w:rPr>
          <w:rFonts w:ascii="Times New Roman" w:hAnsi="Times New Roman" w:cs="Times New Roman"/>
          <w:noProof/>
          <w:lang w:val="en-IE"/>
        </w:rPr>
        <w:t>electronic s</w:t>
      </w:r>
      <w:r w:rsidR="005F4123" w:rsidRPr="009A33E1">
        <w:rPr>
          <w:rFonts w:ascii="Times New Roman" w:hAnsi="Times New Roman" w:cs="Times New Roman"/>
          <w:noProof/>
          <w:lang w:val="en-IE"/>
        </w:rPr>
        <w:t>ystems</w:t>
      </w:r>
      <w:r w:rsidR="005F12B6">
        <w:rPr>
          <w:rFonts w:ascii="Times New Roman" w:hAnsi="Times New Roman" w:cs="Times New Roman"/>
          <w:noProof/>
          <w:lang w:val="en-IE"/>
        </w:rPr>
        <w:t xml:space="preserve"> for customs</w:t>
      </w:r>
      <w:r w:rsidR="005F4123" w:rsidRPr="009A33E1">
        <w:rPr>
          <w:rFonts w:ascii="Times New Roman" w:hAnsi="Times New Roman" w:cs="Times New Roman"/>
          <w:noProof/>
          <w:lang w:val="en-IE"/>
        </w:rPr>
        <w:t xml:space="preserve"> (EE</w:t>
      </w:r>
      <w:r w:rsidRPr="009A33E1">
        <w:rPr>
          <w:rFonts w:ascii="Times New Roman" w:hAnsi="Times New Roman" w:cs="Times New Roman"/>
          <w:noProof/>
          <w:lang w:val="en-IE"/>
        </w:rPr>
        <w:t>S);</w:t>
      </w:r>
      <w:r w:rsidRPr="009A33E1">
        <w:rPr>
          <w:rFonts w:ascii="Times New Roman" w:hAnsi="Times New Roman" w:cs="Times New Roman"/>
          <w:noProof/>
          <w:lang w:val="en-IE"/>
        </w:rPr>
        <w:tab/>
      </w:r>
    </w:p>
    <w:p w14:paraId="72049327" w14:textId="1A5E6459" w:rsidR="0096022C" w:rsidRPr="009A33E1" w:rsidRDefault="16305A4A" w:rsidP="16305A4A">
      <w:pPr>
        <w:pStyle w:val="ListParagraph"/>
        <w:numPr>
          <w:ilvl w:val="0"/>
          <w:numId w:val="31"/>
        </w:numPr>
        <w:jc w:val="both"/>
        <w:rPr>
          <w:rFonts w:ascii="Times New Roman" w:hAnsi="Times New Roman" w:cs="Times New Roman"/>
          <w:noProof/>
          <w:lang w:val="en-IE"/>
        </w:rPr>
      </w:pPr>
      <w:r w:rsidRPr="009A33E1">
        <w:rPr>
          <w:rFonts w:ascii="Times New Roman" w:hAnsi="Times New Roman" w:cs="Times New Roman"/>
          <w:noProof/>
          <w:lang w:val="en-IE"/>
        </w:rPr>
        <w:t>Collaborative actions (including expert teams);</w:t>
      </w:r>
    </w:p>
    <w:p w14:paraId="0A64C284" w14:textId="1CFABAA8" w:rsidR="00FA66E5" w:rsidRPr="009A33E1" w:rsidRDefault="16305A4A" w:rsidP="16305A4A">
      <w:pPr>
        <w:pStyle w:val="ListParagraph"/>
        <w:numPr>
          <w:ilvl w:val="0"/>
          <w:numId w:val="31"/>
        </w:numPr>
        <w:jc w:val="both"/>
        <w:rPr>
          <w:rFonts w:ascii="Times New Roman" w:hAnsi="Times New Roman" w:cs="Times New Roman"/>
          <w:noProof/>
          <w:lang w:val="en-IE"/>
        </w:rPr>
      </w:pPr>
      <w:r w:rsidRPr="009A33E1">
        <w:rPr>
          <w:rFonts w:ascii="Times New Roman" w:hAnsi="Times New Roman" w:cs="Times New Roman"/>
          <w:noProof/>
          <w:lang w:val="en-IE"/>
        </w:rPr>
        <w:t>Human competency building and trainings; and</w:t>
      </w:r>
    </w:p>
    <w:p w14:paraId="348E21B3" w14:textId="2718E7B7" w:rsidR="0096022C" w:rsidRPr="009A33E1" w:rsidRDefault="16305A4A" w:rsidP="16305A4A">
      <w:pPr>
        <w:pStyle w:val="ListParagraph"/>
        <w:numPr>
          <w:ilvl w:val="0"/>
          <w:numId w:val="31"/>
        </w:numPr>
        <w:jc w:val="both"/>
        <w:rPr>
          <w:rFonts w:ascii="Times New Roman" w:hAnsi="Times New Roman" w:cs="Times New Roman"/>
          <w:noProof/>
          <w:lang w:val="en-IE"/>
        </w:rPr>
      </w:pPr>
      <w:r w:rsidRPr="009A33E1">
        <w:rPr>
          <w:rFonts w:ascii="Times New Roman" w:hAnsi="Times New Roman" w:cs="Times New Roman"/>
          <w:noProof/>
          <w:lang w:val="en-IE"/>
        </w:rPr>
        <w:t xml:space="preserve">Innovation. </w:t>
      </w:r>
    </w:p>
    <w:p w14:paraId="4A0DAB63" w14:textId="303A5F11" w:rsidR="004A2E1C" w:rsidRPr="009A33E1" w:rsidRDefault="16305A4A" w:rsidP="00033369">
      <w:pPr>
        <w:jc w:val="both"/>
        <w:rPr>
          <w:rFonts w:ascii="Times New Roman" w:hAnsi="Times New Roman" w:cs="Times New Roman"/>
          <w:noProof/>
          <w:lang w:val="en-IE"/>
        </w:rPr>
      </w:pPr>
      <w:r w:rsidRPr="009A33E1">
        <w:rPr>
          <w:rFonts w:ascii="Times New Roman" w:hAnsi="Times New Roman" w:cs="Times New Roman"/>
          <w:noProof/>
          <w:lang w:val="en-IE"/>
        </w:rPr>
        <w:t xml:space="preserve">All the above-mentioned actions contributed to the achievement of the following objectives.  </w:t>
      </w:r>
    </w:p>
    <w:p w14:paraId="7C5B23A2" w14:textId="77777777" w:rsidR="008318FA" w:rsidRPr="009A33E1" w:rsidRDefault="16305A4A" w:rsidP="00DB2BB5">
      <w:pPr>
        <w:pStyle w:val="Heading2"/>
        <w:rPr>
          <w:noProof/>
        </w:rPr>
      </w:pPr>
      <w:bookmarkStart w:id="5" w:name="_Toc96083182"/>
      <w:r w:rsidRPr="009A33E1">
        <w:rPr>
          <w:noProof/>
        </w:rPr>
        <w:t>Support the preparation and uniform implementation of customs legislation and policy</w:t>
      </w:r>
      <w:bookmarkEnd w:id="5"/>
    </w:p>
    <w:p w14:paraId="22A6B31D" w14:textId="20AF3398" w:rsidR="008318FA" w:rsidRPr="009A33E1" w:rsidRDefault="00126EC7" w:rsidP="00033369">
      <w:pPr>
        <w:pStyle w:val="ListParagraph"/>
        <w:spacing w:after="0" w:line="240" w:lineRule="auto"/>
        <w:ind w:left="426"/>
        <w:jc w:val="both"/>
        <w:rPr>
          <w:rFonts w:ascii="Times New Roman" w:hAnsi="Times New Roman" w:cs="Times New Roman"/>
          <w:noProof/>
          <w:lang w:val="en-IE"/>
        </w:rPr>
      </w:pPr>
      <w:r w:rsidRPr="009A33E1">
        <w:rPr>
          <w:rFonts w:ascii="Times New Roman" w:hAnsi="Times New Roman" w:cs="Times New Roman"/>
          <w:b/>
          <w:noProof/>
          <w:lang w:val="en-IE"/>
        </w:rPr>
        <w:t xml:space="preserve"> </w:t>
      </w:r>
    </w:p>
    <w:p w14:paraId="3BFC9F88" w14:textId="53BAF43F" w:rsidR="003F4E1E"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In 2021, the programmes supported 33 collaborative actions whose primary objective identified a strong link with the preparation, coherent application and effective implementation of Union law/policy. </w:t>
      </w:r>
    </w:p>
    <w:p w14:paraId="121076C6" w14:textId="77777777" w:rsidR="003F4E1E" w:rsidRPr="009A33E1" w:rsidRDefault="003F4E1E" w:rsidP="00404503">
      <w:pPr>
        <w:spacing w:after="0" w:line="240" w:lineRule="auto"/>
        <w:jc w:val="both"/>
        <w:rPr>
          <w:rFonts w:ascii="Times New Roman" w:hAnsi="Times New Roman" w:cs="Times New Roman"/>
          <w:noProof/>
          <w:lang w:val="en-IE"/>
        </w:rPr>
      </w:pPr>
    </w:p>
    <w:p w14:paraId="768F8584" w14:textId="6EF5D4BE" w:rsidR="003148CA"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The programme actions in this domain complement the Commission’s work and efforts in terms of preparing, monitoring and supporting the implementation</w:t>
      </w:r>
      <w:r w:rsidR="00C20E90">
        <w:rPr>
          <w:rFonts w:ascii="Times New Roman" w:hAnsi="Times New Roman" w:cs="Times New Roman"/>
          <w:noProof/>
          <w:lang w:val="en-IE"/>
        </w:rPr>
        <w:t xml:space="preserve"> of</w:t>
      </w:r>
      <w:r w:rsidRPr="009A33E1">
        <w:rPr>
          <w:rFonts w:ascii="Times New Roman" w:hAnsi="Times New Roman" w:cs="Times New Roman"/>
          <w:noProof/>
          <w:lang w:val="en-IE"/>
        </w:rPr>
        <w:t xml:space="preserve"> the customs legislation and driving customs policy but also reinforce the uniform understanding, interpretation and application of EU law by the Member States’ customs authorities leading to equivalent results throughout the EU customs territory. The examples below are not exhaustive but are given to highlight the </w:t>
      </w:r>
      <w:r w:rsidR="00C20E90">
        <w:rPr>
          <w:rFonts w:ascii="Times New Roman" w:hAnsi="Times New Roman" w:cs="Times New Roman"/>
          <w:noProof/>
          <w:lang w:val="en-IE"/>
        </w:rPr>
        <w:t>most</w:t>
      </w:r>
      <w:r w:rsidR="00C20E90" w:rsidRPr="009A33E1">
        <w:rPr>
          <w:rFonts w:ascii="Times New Roman" w:hAnsi="Times New Roman" w:cs="Times New Roman"/>
          <w:noProof/>
          <w:lang w:val="en-IE"/>
        </w:rPr>
        <w:t xml:space="preserve"> </w:t>
      </w:r>
      <w:r w:rsidRPr="009A33E1">
        <w:rPr>
          <w:rFonts w:ascii="Times New Roman" w:hAnsi="Times New Roman" w:cs="Times New Roman"/>
          <w:noProof/>
          <w:lang w:val="en-IE"/>
        </w:rPr>
        <w:t>important collaborative activities funded by the programmes in 2021.</w:t>
      </w:r>
    </w:p>
    <w:p w14:paraId="25401AE6" w14:textId="2754A4E6" w:rsidR="003148CA" w:rsidRPr="009A33E1" w:rsidRDefault="003148CA" w:rsidP="00404503">
      <w:pPr>
        <w:spacing w:after="0" w:line="240" w:lineRule="auto"/>
        <w:jc w:val="both"/>
        <w:rPr>
          <w:rFonts w:ascii="Times New Roman" w:hAnsi="Times New Roman" w:cs="Times New Roman"/>
          <w:noProof/>
          <w:lang w:val="en-IE"/>
        </w:rPr>
      </w:pPr>
    </w:p>
    <w:p w14:paraId="3447AE69" w14:textId="3B00E969" w:rsidR="22B1D648" w:rsidRPr="009A33E1" w:rsidRDefault="16305A4A" w:rsidP="00404503">
      <w:pPr>
        <w:pStyle w:val="ListParagraph"/>
        <w:numPr>
          <w:ilvl w:val="1"/>
          <w:numId w:val="5"/>
        </w:numPr>
        <w:spacing w:after="0" w:line="240" w:lineRule="auto"/>
        <w:ind w:left="1014"/>
        <w:jc w:val="both"/>
        <w:rPr>
          <w:rFonts w:ascii="Times New Roman" w:hAnsi="Times New Roman" w:cs="Times New Roman"/>
          <w:noProof/>
          <w:lang w:val="en-IE"/>
        </w:rPr>
      </w:pPr>
      <w:r w:rsidRPr="009A33E1">
        <w:rPr>
          <w:rFonts w:ascii="Times New Roman" w:hAnsi="Times New Roman" w:cs="Times New Roman"/>
          <w:noProof/>
          <w:lang w:val="en-IE"/>
        </w:rPr>
        <w:t xml:space="preserve">Support to the </w:t>
      </w:r>
      <w:r w:rsidR="00B90ADA" w:rsidRPr="009A33E1">
        <w:rPr>
          <w:rFonts w:ascii="Times New Roman" w:hAnsi="Times New Roman" w:cs="Times New Roman"/>
          <w:noProof/>
          <w:lang w:val="en-IE"/>
        </w:rPr>
        <w:t>c</w:t>
      </w:r>
      <w:r w:rsidRPr="009A33E1">
        <w:rPr>
          <w:rFonts w:ascii="Times New Roman" w:hAnsi="Times New Roman" w:cs="Times New Roman"/>
          <w:noProof/>
          <w:lang w:val="en-IE"/>
        </w:rPr>
        <w:t xml:space="preserve">ustoms </w:t>
      </w:r>
      <w:r w:rsidR="00B90ADA" w:rsidRPr="009A33E1">
        <w:rPr>
          <w:rFonts w:ascii="Times New Roman" w:hAnsi="Times New Roman" w:cs="Times New Roman"/>
          <w:noProof/>
          <w:lang w:val="en-IE"/>
        </w:rPr>
        <w:t>u</w:t>
      </w:r>
      <w:r w:rsidRPr="009A33E1">
        <w:rPr>
          <w:rFonts w:ascii="Times New Roman" w:hAnsi="Times New Roman" w:cs="Times New Roman"/>
          <w:noProof/>
          <w:lang w:val="en-IE"/>
        </w:rPr>
        <w:t>nion performance</w:t>
      </w:r>
    </w:p>
    <w:p w14:paraId="65FB4250" w14:textId="506D4823" w:rsidR="22B1D648" w:rsidRPr="009A33E1" w:rsidRDefault="22B1D648" w:rsidP="00404503">
      <w:pPr>
        <w:spacing w:after="0" w:line="240" w:lineRule="auto"/>
        <w:jc w:val="both"/>
        <w:rPr>
          <w:rFonts w:ascii="Times New Roman" w:hAnsi="Times New Roman" w:cs="Times New Roman"/>
          <w:noProof/>
          <w:lang w:val="en-IE"/>
        </w:rPr>
      </w:pPr>
    </w:p>
    <w:p w14:paraId="52F026EF" w14:textId="03C74D42" w:rsidR="00415E9E" w:rsidRDefault="00415E9E"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In terms of the policy and the functioning of the customs union, the Customs programme supported strongly the measurement of the customs union’s performance by providing a continuous collaboration framework amongst the Member States’ customs authorities and between the Member States’ customs authorities and the Commission and by providing an IT application to support the data collection. The Customs Union Performance </w:t>
      </w:r>
      <w:r w:rsidR="008315FC">
        <w:rPr>
          <w:rFonts w:ascii="Times New Roman" w:hAnsi="Times New Roman" w:cs="Times New Roman"/>
          <w:noProof/>
          <w:lang w:val="en-IE"/>
        </w:rPr>
        <w:t>Expert Group</w:t>
      </w:r>
      <w:r w:rsidR="00BA108F" w:rsidRPr="009A33E1">
        <w:rPr>
          <w:rStyle w:val="FootnoteReference"/>
          <w:rFonts w:ascii="Times New Roman" w:hAnsi="Times New Roman" w:cs="Times New Roman"/>
          <w:noProof/>
          <w:lang w:val="en-IE"/>
        </w:rPr>
        <w:footnoteReference w:id="9"/>
      </w:r>
      <w:r w:rsidR="00D14CBA" w:rsidRPr="009A33E1">
        <w:rPr>
          <w:rFonts w:ascii="Times New Roman" w:hAnsi="Times New Roman" w:cs="Times New Roman"/>
          <w:noProof/>
          <w:lang w:val="en-IE"/>
        </w:rPr>
        <w:t xml:space="preserve"> </w:t>
      </w:r>
      <w:r w:rsidR="006C1817">
        <w:rPr>
          <w:rFonts w:ascii="Times New Roman" w:hAnsi="Times New Roman" w:cs="Times New Roman"/>
          <w:noProof/>
          <w:lang w:val="en-IE"/>
        </w:rPr>
        <w:t xml:space="preserve">and its </w:t>
      </w:r>
      <w:r w:rsidR="006C1817" w:rsidRPr="006C1817">
        <w:rPr>
          <w:rFonts w:ascii="Times New Roman" w:hAnsi="Times New Roman" w:cs="Times New Roman"/>
          <w:noProof/>
        </w:rPr>
        <w:t>work is a key vehicle in reinforcing the customs union monitoring in terms of performance and is an important management/steering tool for evidence based policy formulation</w:t>
      </w:r>
      <w:r w:rsidR="00D14CBA" w:rsidRPr="009A33E1">
        <w:rPr>
          <w:rFonts w:ascii="Times New Roman" w:hAnsi="Times New Roman" w:cs="Times New Roman"/>
          <w:noProof/>
          <w:lang w:val="en-IE"/>
        </w:rPr>
        <w:t xml:space="preserve">. </w:t>
      </w:r>
    </w:p>
    <w:p w14:paraId="0FEB8823" w14:textId="77777777" w:rsidR="004B0DA0" w:rsidRPr="009A33E1" w:rsidRDefault="004B0DA0" w:rsidP="00404503">
      <w:pPr>
        <w:spacing w:after="0" w:line="240" w:lineRule="auto"/>
        <w:jc w:val="both"/>
        <w:rPr>
          <w:rFonts w:ascii="Times New Roman" w:hAnsi="Times New Roman" w:cs="Times New Roman"/>
          <w:noProof/>
          <w:lang w:val="en-IE"/>
        </w:rPr>
      </w:pPr>
    </w:p>
    <w:p w14:paraId="52665F57" w14:textId="340DCB7E" w:rsidR="00415E9E" w:rsidRPr="009A33E1" w:rsidRDefault="00415E9E" w:rsidP="00404503">
      <w:pPr>
        <w:spacing w:after="0" w:line="240" w:lineRule="auto"/>
        <w:jc w:val="both"/>
        <w:rPr>
          <w:rFonts w:ascii="Times New Roman" w:hAnsi="Times New Roman" w:cs="Times New Roman"/>
          <w:noProof/>
          <w:lang w:val="en-IE"/>
        </w:rPr>
      </w:pPr>
    </w:p>
    <w:p w14:paraId="45D1AAD7" w14:textId="32E990F8" w:rsidR="00D14CBA" w:rsidRPr="009A33E1" w:rsidRDefault="16305A4A" w:rsidP="00404503">
      <w:pPr>
        <w:pStyle w:val="ListParagraph"/>
        <w:numPr>
          <w:ilvl w:val="1"/>
          <w:numId w:val="3"/>
        </w:numPr>
        <w:spacing w:after="0" w:line="240" w:lineRule="auto"/>
        <w:ind w:left="1014"/>
        <w:jc w:val="both"/>
        <w:rPr>
          <w:rFonts w:ascii="Times New Roman" w:hAnsi="Times New Roman" w:cs="Times New Roman"/>
          <w:noProof/>
          <w:lang w:val="en-IE"/>
        </w:rPr>
      </w:pPr>
      <w:r w:rsidRPr="009A33E1">
        <w:rPr>
          <w:rFonts w:ascii="Times New Roman" w:hAnsi="Times New Roman" w:cs="Times New Roman"/>
          <w:noProof/>
          <w:lang w:val="en-IE"/>
        </w:rPr>
        <w:t>Support to address the challenges linked to the Covid-19 crisis</w:t>
      </w:r>
    </w:p>
    <w:p w14:paraId="456B36DC" w14:textId="77777777" w:rsidR="00B72766" w:rsidRPr="009A33E1" w:rsidRDefault="00B72766" w:rsidP="00404503">
      <w:pPr>
        <w:pStyle w:val="ListParagraph"/>
        <w:spacing w:after="0" w:line="240" w:lineRule="auto"/>
        <w:ind w:left="1014"/>
        <w:jc w:val="both"/>
        <w:rPr>
          <w:rFonts w:ascii="Times New Roman" w:hAnsi="Times New Roman" w:cs="Times New Roman"/>
          <w:noProof/>
          <w:lang w:val="en-IE"/>
        </w:rPr>
      </w:pPr>
    </w:p>
    <w:p w14:paraId="3844B75C" w14:textId="712EFE9B" w:rsidR="00D13028"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One of the elements of the customs’ contribution to society is marked by the Covid-19 pandemic. From the start of the Covid-19 crisis and throughout 2021, the EU customs union and the Member States’ customs authorities ensured that imports of important medical and protective equipment could flow freely, while keeping unsafe products off the EU markets. </w:t>
      </w:r>
      <w:r w:rsidR="0018054E">
        <w:rPr>
          <w:rFonts w:ascii="Times New Roman" w:hAnsi="Times New Roman" w:cs="Times New Roman"/>
          <w:noProof/>
          <w:lang w:val="en-IE"/>
        </w:rPr>
        <w:t>I</w:t>
      </w:r>
      <w:r w:rsidRPr="009A33E1">
        <w:rPr>
          <w:rFonts w:ascii="Times New Roman" w:hAnsi="Times New Roman" w:cs="Times New Roman"/>
          <w:noProof/>
          <w:lang w:val="en-IE"/>
        </w:rPr>
        <w:t>n 2020 the Customs programme supported the collaboration between the administrations and between the Commission and the customs administrations in their efforts to address the Covid-19 related challenges both at the legislative and at the operational level</w:t>
      </w:r>
      <w:r w:rsidR="0018054E">
        <w:rPr>
          <w:rFonts w:ascii="Times New Roman" w:hAnsi="Times New Roman" w:cs="Times New Roman"/>
          <w:noProof/>
          <w:lang w:val="en-IE"/>
        </w:rPr>
        <w:t>.</w:t>
      </w:r>
      <w:r w:rsidRPr="009A33E1">
        <w:rPr>
          <w:rFonts w:ascii="Times New Roman" w:hAnsi="Times New Roman" w:cs="Times New Roman"/>
          <w:noProof/>
          <w:lang w:val="en-IE"/>
        </w:rPr>
        <w:t xml:space="preserve"> </w:t>
      </w:r>
      <w:r w:rsidR="0018054E">
        <w:rPr>
          <w:rFonts w:ascii="Times New Roman" w:hAnsi="Times New Roman" w:cs="Times New Roman"/>
          <w:noProof/>
          <w:lang w:val="en-IE"/>
        </w:rPr>
        <w:t xml:space="preserve">However </w:t>
      </w:r>
      <w:r w:rsidRPr="009A33E1">
        <w:rPr>
          <w:rFonts w:ascii="Times New Roman" w:hAnsi="Times New Roman" w:cs="Times New Roman"/>
          <w:noProof/>
          <w:lang w:val="en-IE"/>
        </w:rPr>
        <w:t>in 2021</w:t>
      </w:r>
      <w:r w:rsidR="0018054E">
        <w:rPr>
          <w:rFonts w:ascii="Times New Roman" w:hAnsi="Times New Roman" w:cs="Times New Roman"/>
          <w:noProof/>
          <w:lang w:val="en-IE"/>
        </w:rPr>
        <w:t>,</w:t>
      </w:r>
      <w:r w:rsidRPr="009A33E1">
        <w:rPr>
          <w:rFonts w:ascii="Times New Roman" w:hAnsi="Times New Roman" w:cs="Times New Roman"/>
          <w:noProof/>
          <w:lang w:val="en-IE"/>
        </w:rPr>
        <w:t xml:space="preserve"> the majority of the Covid-19 related measures involved activities outside the programmes.</w:t>
      </w:r>
    </w:p>
    <w:p w14:paraId="6C47A1FD" w14:textId="45F2A28E" w:rsidR="08D81A04" w:rsidRPr="009A33E1" w:rsidRDefault="08D81A04" w:rsidP="00404503">
      <w:pPr>
        <w:spacing w:after="0" w:line="240" w:lineRule="auto"/>
        <w:jc w:val="both"/>
        <w:rPr>
          <w:rFonts w:ascii="Times New Roman" w:hAnsi="Times New Roman" w:cs="Times New Roman"/>
          <w:noProof/>
          <w:lang w:val="en-IE"/>
        </w:rPr>
      </w:pPr>
    </w:p>
    <w:p w14:paraId="0AE51A68" w14:textId="65089CED" w:rsidR="4DA492A2" w:rsidRPr="009A33E1" w:rsidRDefault="16305A4A" w:rsidP="00404503">
      <w:pPr>
        <w:pStyle w:val="ListParagraph"/>
        <w:numPr>
          <w:ilvl w:val="1"/>
          <w:numId w:val="3"/>
        </w:numPr>
        <w:spacing w:after="0" w:line="240" w:lineRule="auto"/>
        <w:ind w:left="1014"/>
        <w:jc w:val="both"/>
        <w:rPr>
          <w:rFonts w:ascii="Times New Roman" w:hAnsi="Times New Roman" w:cs="Times New Roman"/>
          <w:noProof/>
          <w:lang w:val="en-IE"/>
        </w:rPr>
      </w:pPr>
      <w:r w:rsidRPr="009A33E1">
        <w:rPr>
          <w:rFonts w:ascii="Times New Roman" w:hAnsi="Times New Roman" w:cs="Times New Roman"/>
          <w:noProof/>
          <w:lang w:val="en-IE"/>
        </w:rPr>
        <w:t xml:space="preserve">Support to the Single Window </w:t>
      </w:r>
    </w:p>
    <w:p w14:paraId="20E29C72" w14:textId="5CFB85B1" w:rsidR="00D13028" w:rsidRPr="009A33E1" w:rsidRDefault="00D13028" w:rsidP="00404503">
      <w:pPr>
        <w:spacing w:after="0" w:line="240" w:lineRule="auto"/>
        <w:jc w:val="both"/>
        <w:rPr>
          <w:rFonts w:ascii="Times New Roman" w:hAnsi="Times New Roman" w:cs="Times New Roman"/>
          <w:noProof/>
          <w:lang w:val="en-IE"/>
        </w:rPr>
      </w:pPr>
    </w:p>
    <w:p w14:paraId="409E6552" w14:textId="1CD2D071" w:rsidR="00D14CBA" w:rsidRPr="009A33E1" w:rsidRDefault="00E743AE" w:rsidP="00404503">
      <w:pPr>
        <w:spacing w:after="0" w:line="240" w:lineRule="auto"/>
        <w:jc w:val="both"/>
        <w:rPr>
          <w:rFonts w:ascii="Times New Roman" w:hAnsi="Times New Roman" w:cs="Times New Roman"/>
          <w:noProof/>
          <w:lang w:val="en-IE"/>
        </w:rPr>
      </w:pPr>
      <w:r>
        <w:rPr>
          <w:rFonts w:ascii="Times New Roman" w:hAnsi="Times New Roman" w:cs="Times New Roman"/>
          <w:noProof/>
          <w:lang w:val="en-IE"/>
        </w:rPr>
        <w:t>Collaborative activities under the Customs programme supported the preparation and design of</w:t>
      </w:r>
      <w:r w:rsidR="0018054E" w:rsidRPr="009A33E1">
        <w:rPr>
          <w:rFonts w:ascii="Times New Roman" w:hAnsi="Times New Roman" w:cs="Times New Roman"/>
          <w:noProof/>
          <w:lang w:val="en-IE"/>
        </w:rPr>
        <w:t xml:space="preserve"> </w:t>
      </w:r>
      <w:r w:rsidR="16305A4A" w:rsidRPr="009A33E1">
        <w:rPr>
          <w:rFonts w:ascii="Times New Roman" w:hAnsi="Times New Roman" w:cs="Times New Roman"/>
          <w:noProof/>
          <w:lang w:val="en-IE"/>
        </w:rPr>
        <w:t xml:space="preserve">the Commission’s proposal for establishing the European Union Single Window Environment for Customs. In this context, a dedicated programme group </w:t>
      </w:r>
      <w:r>
        <w:rPr>
          <w:rFonts w:ascii="Times New Roman" w:hAnsi="Times New Roman" w:cs="Times New Roman"/>
          <w:noProof/>
          <w:lang w:val="en-IE"/>
        </w:rPr>
        <w:t xml:space="preserve">was </w:t>
      </w:r>
      <w:r w:rsidR="16305A4A" w:rsidRPr="009A33E1">
        <w:rPr>
          <w:rFonts w:ascii="Times New Roman" w:hAnsi="Times New Roman" w:cs="Times New Roman"/>
          <w:noProof/>
          <w:lang w:val="en-IE"/>
        </w:rPr>
        <w:t>established in 2021</w:t>
      </w:r>
      <w:r>
        <w:rPr>
          <w:rFonts w:ascii="Times New Roman" w:hAnsi="Times New Roman" w:cs="Times New Roman"/>
          <w:noProof/>
          <w:lang w:val="en-IE"/>
        </w:rPr>
        <w:t>. This group</w:t>
      </w:r>
      <w:r w:rsidR="16305A4A" w:rsidRPr="009A33E1">
        <w:rPr>
          <w:rFonts w:ascii="Times New Roman" w:hAnsi="Times New Roman" w:cs="Times New Roman"/>
          <w:noProof/>
          <w:lang w:val="en-IE"/>
        </w:rPr>
        <w:t xml:space="preserve"> addressed one of the main issues under discussion in the negotiation process</w:t>
      </w:r>
      <w:r>
        <w:rPr>
          <w:rFonts w:ascii="Times New Roman" w:hAnsi="Times New Roman" w:cs="Times New Roman"/>
          <w:noProof/>
          <w:lang w:val="en-IE"/>
        </w:rPr>
        <w:t xml:space="preserve"> regarding the Commission’s legislative proposal</w:t>
      </w:r>
      <w:r w:rsidR="16305A4A" w:rsidRPr="009A33E1">
        <w:rPr>
          <w:rFonts w:ascii="Times New Roman" w:hAnsi="Times New Roman" w:cs="Times New Roman"/>
          <w:noProof/>
          <w:lang w:val="en-IE"/>
        </w:rPr>
        <w:t xml:space="preserve">: </w:t>
      </w:r>
      <w:r>
        <w:rPr>
          <w:rFonts w:ascii="Times New Roman" w:hAnsi="Times New Roman" w:cs="Times New Roman"/>
          <w:noProof/>
          <w:lang w:val="en-IE"/>
        </w:rPr>
        <w:t xml:space="preserve">namely, </w:t>
      </w:r>
      <w:r w:rsidR="16305A4A" w:rsidRPr="009A33E1">
        <w:rPr>
          <w:rFonts w:ascii="Times New Roman" w:hAnsi="Times New Roman" w:cs="Times New Roman"/>
          <w:noProof/>
          <w:lang w:val="en-IE"/>
        </w:rPr>
        <w:t>the</w:t>
      </w:r>
      <w:r w:rsidR="008D4305" w:rsidRPr="009A33E1">
        <w:rPr>
          <w:rFonts w:ascii="Times New Roman" w:hAnsi="Times New Roman" w:cs="Times New Roman"/>
          <w:noProof/>
          <w:lang w:val="en-IE"/>
        </w:rPr>
        <w:t xml:space="preserve"> scenarios for the</w:t>
      </w:r>
      <w:r w:rsidR="16305A4A" w:rsidRPr="009A33E1">
        <w:rPr>
          <w:rFonts w:ascii="Times New Roman" w:hAnsi="Times New Roman" w:cs="Times New Roman"/>
          <w:noProof/>
          <w:lang w:val="en-IE"/>
        </w:rPr>
        <w:t xml:space="preserve"> </w:t>
      </w:r>
      <w:r w:rsidR="008D4305" w:rsidRPr="009A33E1">
        <w:rPr>
          <w:rFonts w:ascii="Times New Roman" w:hAnsi="Times New Roman" w:cs="Times New Roman"/>
          <w:noProof/>
          <w:lang w:val="en-IE"/>
        </w:rPr>
        <w:t>practical implementation of</w:t>
      </w:r>
      <w:r w:rsidR="16305A4A" w:rsidRPr="009A33E1">
        <w:rPr>
          <w:rFonts w:ascii="Times New Roman" w:hAnsi="Times New Roman" w:cs="Times New Roman"/>
          <w:noProof/>
          <w:lang w:val="en-IE"/>
        </w:rPr>
        <w:t xml:space="preserve"> </w:t>
      </w:r>
      <w:r w:rsidR="00722081" w:rsidRPr="009A33E1">
        <w:rPr>
          <w:rFonts w:ascii="Times New Roman" w:hAnsi="Times New Roman" w:cs="Times New Roman"/>
          <w:noProof/>
          <w:lang w:val="en-IE"/>
        </w:rPr>
        <w:t>the business</w:t>
      </w:r>
      <w:r w:rsidR="16305A4A" w:rsidRPr="009A33E1">
        <w:rPr>
          <w:rFonts w:ascii="Times New Roman" w:hAnsi="Times New Roman" w:cs="Times New Roman"/>
          <w:noProof/>
          <w:lang w:val="en-IE"/>
        </w:rPr>
        <w:t xml:space="preserve">-to-government (B2G) framework. </w:t>
      </w:r>
    </w:p>
    <w:p w14:paraId="4EBA2203" w14:textId="7EE0E7AF" w:rsidR="4DA492A2" w:rsidRPr="009A33E1" w:rsidRDefault="4DA492A2" w:rsidP="00404503">
      <w:pPr>
        <w:spacing w:after="0" w:line="240" w:lineRule="auto"/>
        <w:jc w:val="both"/>
        <w:rPr>
          <w:rFonts w:ascii="Times New Roman" w:hAnsi="Times New Roman" w:cs="Times New Roman"/>
          <w:noProof/>
          <w:lang w:val="en-IE"/>
        </w:rPr>
      </w:pPr>
    </w:p>
    <w:p w14:paraId="1BBF5B31" w14:textId="64A22B1E" w:rsidR="4DA492A2" w:rsidRPr="009A33E1" w:rsidRDefault="16305A4A" w:rsidP="00404503">
      <w:pPr>
        <w:pStyle w:val="ListParagraph"/>
        <w:numPr>
          <w:ilvl w:val="1"/>
          <w:numId w:val="2"/>
        </w:numPr>
        <w:spacing w:after="0" w:line="240" w:lineRule="auto"/>
        <w:ind w:left="1014"/>
        <w:jc w:val="both"/>
        <w:rPr>
          <w:rFonts w:ascii="Times New Roman" w:hAnsi="Times New Roman" w:cs="Times New Roman"/>
          <w:noProof/>
          <w:lang w:val="en-IE"/>
        </w:rPr>
      </w:pPr>
      <w:r w:rsidRPr="009A33E1">
        <w:rPr>
          <w:rFonts w:ascii="Times New Roman" w:hAnsi="Times New Roman" w:cs="Times New Roman"/>
          <w:noProof/>
          <w:lang w:val="en-IE"/>
        </w:rPr>
        <w:t>Support to the e-commerce</w:t>
      </w:r>
    </w:p>
    <w:p w14:paraId="19DB6F36" w14:textId="1246333A" w:rsidR="009B63C0" w:rsidRPr="009A33E1" w:rsidRDefault="009B63C0" w:rsidP="00404503">
      <w:pPr>
        <w:spacing w:after="0" w:line="240" w:lineRule="auto"/>
        <w:jc w:val="both"/>
        <w:rPr>
          <w:rFonts w:ascii="Times New Roman" w:hAnsi="Times New Roman" w:cs="Times New Roman"/>
          <w:noProof/>
          <w:lang w:val="en-IE"/>
        </w:rPr>
      </w:pPr>
    </w:p>
    <w:p w14:paraId="14BDB57B" w14:textId="0BF7CB45" w:rsidR="00432700"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Programme activities, such as the project group addressing the import and export formalities of low value consignments and the High-level Seminar on E-commerce </w:t>
      </w:r>
      <w:r w:rsidR="00E743AE">
        <w:rPr>
          <w:rFonts w:ascii="Times New Roman" w:hAnsi="Times New Roman" w:cs="Times New Roman"/>
          <w:noProof/>
          <w:lang w:val="en-IE"/>
        </w:rPr>
        <w:t xml:space="preserve">organised </w:t>
      </w:r>
      <w:r w:rsidRPr="009A33E1">
        <w:rPr>
          <w:rFonts w:ascii="Times New Roman" w:hAnsi="Times New Roman" w:cs="Times New Roman"/>
          <w:noProof/>
          <w:lang w:val="en-IE"/>
        </w:rPr>
        <w:t>under the Slovenian Presi</w:t>
      </w:r>
      <w:r w:rsidR="00404503" w:rsidRPr="009A33E1">
        <w:rPr>
          <w:rFonts w:ascii="Times New Roman" w:hAnsi="Times New Roman" w:cs="Times New Roman"/>
          <w:noProof/>
          <w:lang w:val="en-IE"/>
        </w:rPr>
        <w:t>dency, contributed to</w:t>
      </w:r>
      <w:r w:rsidRPr="009A33E1">
        <w:rPr>
          <w:rFonts w:ascii="Times New Roman" w:hAnsi="Times New Roman" w:cs="Times New Roman"/>
          <w:noProof/>
          <w:lang w:val="en-IE"/>
        </w:rPr>
        <w:t>:</w:t>
      </w:r>
    </w:p>
    <w:p w14:paraId="1D83F51D" w14:textId="77777777" w:rsidR="00432700" w:rsidRPr="009A33E1" w:rsidRDefault="16305A4A" w:rsidP="00404503">
      <w:pPr>
        <w:pStyle w:val="ListParagraph"/>
        <w:numPr>
          <w:ilvl w:val="0"/>
          <w:numId w:val="28"/>
        </w:numPr>
        <w:spacing w:after="0" w:line="240" w:lineRule="auto"/>
        <w:ind w:left="720"/>
        <w:jc w:val="both"/>
        <w:rPr>
          <w:rFonts w:ascii="Times New Roman" w:hAnsi="Times New Roman" w:cs="Times New Roman"/>
          <w:noProof/>
          <w:lang w:val="en-IE"/>
        </w:rPr>
      </w:pPr>
      <w:r w:rsidRPr="009A33E1">
        <w:rPr>
          <w:rFonts w:ascii="Times New Roman" w:hAnsi="Times New Roman" w:cs="Times New Roman"/>
          <w:noProof/>
          <w:lang w:val="en-IE"/>
        </w:rPr>
        <w:t>ensuring proper customs control and supervision of small/low-value consignments,</w:t>
      </w:r>
    </w:p>
    <w:p w14:paraId="75FF6061" w14:textId="77777777" w:rsidR="00432700" w:rsidRPr="009A33E1" w:rsidRDefault="16305A4A" w:rsidP="00404503">
      <w:pPr>
        <w:pStyle w:val="ListParagraph"/>
        <w:numPr>
          <w:ilvl w:val="0"/>
          <w:numId w:val="28"/>
        </w:numPr>
        <w:spacing w:after="0" w:line="240" w:lineRule="auto"/>
        <w:ind w:left="720"/>
        <w:jc w:val="both"/>
        <w:rPr>
          <w:rFonts w:ascii="Times New Roman" w:hAnsi="Times New Roman" w:cs="Times New Roman"/>
          <w:noProof/>
          <w:lang w:val="en-IE"/>
        </w:rPr>
      </w:pPr>
      <w:r w:rsidRPr="009A33E1">
        <w:rPr>
          <w:rFonts w:ascii="Times New Roman" w:hAnsi="Times New Roman" w:cs="Times New Roman"/>
          <w:noProof/>
          <w:lang w:val="en-IE"/>
        </w:rPr>
        <w:t xml:space="preserve">identifying the shortcomings in the domain, such as the data quality, </w:t>
      </w:r>
    </w:p>
    <w:p w14:paraId="59C5A692" w14:textId="77777777" w:rsidR="00432700" w:rsidRPr="009A33E1" w:rsidRDefault="16305A4A" w:rsidP="00404503">
      <w:pPr>
        <w:pStyle w:val="ListParagraph"/>
        <w:numPr>
          <w:ilvl w:val="0"/>
          <w:numId w:val="28"/>
        </w:numPr>
        <w:spacing w:after="0" w:line="240" w:lineRule="auto"/>
        <w:ind w:left="720"/>
        <w:jc w:val="both"/>
        <w:rPr>
          <w:rFonts w:ascii="Times New Roman" w:hAnsi="Times New Roman" w:cs="Times New Roman"/>
          <w:noProof/>
          <w:lang w:val="en-IE"/>
        </w:rPr>
      </w:pPr>
      <w:r w:rsidRPr="009A33E1">
        <w:rPr>
          <w:rFonts w:ascii="Times New Roman" w:hAnsi="Times New Roman" w:cs="Times New Roman"/>
          <w:noProof/>
          <w:lang w:val="en-IE"/>
        </w:rPr>
        <w:t xml:space="preserve">facilitating the appropriate targeting of low value consignments for customs control purposes, </w:t>
      </w:r>
    </w:p>
    <w:p w14:paraId="64D41B7B" w14:textId="77777777" w:rsidR="00432700" w:rsidRPr="009A33E1" w:rsidRDefault="16305A4A" w:rsidP="00404503">
      <w:pPr>
        <w:pStyle w:val="ListParagraph"/>
        <w:numPr>
          <w:ilvl w:val="0"/>
          <w:numId w:val="28"/>
        </w:numPr>
        <w:spacing w:after="0" w:line="240" w:lineRule="auto"/>
        <w:ind w:left="720"/>
        <w:jc w:val="both"/>
        <w:rPr>
          <w:rFonts w:ascii="Times New Roman" w:hAnsi="Times New Roman" w:cs="Times New Roman"/>
          <w:noProof/>
          <w:lang w:val="en-IE"/>
        </w:rPr>
      </w:pPr>
      <w:r w:rsidRPr="009A33E1">
        <w:rPr>
          <w:rFonts w:ascii="Times New Roman" w:hAnsi="Times New Roman" w:cs="Times New Roman"/>
          <w:noProof/>
          <w:lang w:val="en-IE"/>
        </w:rPr>
        <w:t xml:space="preserve">facilitate streamlined, fast and efficient customs clearance, whilst ensuring enforcement of security and safety regulations, and </w:t>
      </w:r>
    </w:p>
    <w:p w14:paraId="3CE4D732" w14:textId="3EC7A683" w:rsidR="00523C88" w:rsidRPr="009A33E1" w:rsidRDefault="16305A4A" w:rsidP="00404503">
      <w:pPr>
        <w:pStyle w:val="ListParagraph"/>
        <w:numPr>
          <w:ilvl w:val="0"/>
          <w:numId w:val="28"/>
        </w:numPr>
        <w:spacing w:after="0" w:line="240" w:lineRule="auto"/>
        <w:ind w:left="720"/>
        <w:jc w:val="both"/>
        <w:rPr>
          <w:rFonts w:ascii="Times New Roman" w:hAnsi="Times New Roman" w:cs="Times New Roman"/>
          <w:noProof/>
          <w:lang w:val="en-IE"/>
        </w:rPr>
      </w:pPr>
      <w:r w:rsidRPr="009A33E1">
        <w:rPr>
          <w:rFonts w:ascii="Times New Roman" w:hAnsi="Times New Roman" w:cs="Times New Roman"/>
          <w:noProof/>
          <w:lang w:val="en-IE"/>
        </w:rPr>
        <w:t>reducing compliance costs.</w:t>
      </w:r>
    </w:p>
    <w:p w14:paraId="0C4BD08D" w14:textId="77777777" w:rsidR="00B72766" w:rsidRPr="009A33E1" w:rsidRDefault="00B72766" w:rsidP="00404503">
      <w:pPr>
        <w:pStyle w:val="ListParagraph"/>
        <w:spacing w:after="0" w:line="240" w:lineRule="auto"/>
        <w:jc w:val="both"/>
        <w:rPr>
          <w:rFonts w:ascii="Times New Roman" w:hAnsi="Times New Roman" w:cs="Times New Roman"/>
          <w:noProof/>
          <w:lang w:val="en-IE"/>
        </w:rPr>
      </w:pPr>
    </w:p>
    <w:p w14:paraId="4A0DAB67" w14:textId="6E73F642" w:rsidR="00E81731"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The seminar itself resulted in the increased understanding on the first experiences with the new VAT e-commerce rules and identified possible solutions to address remaining e-commerce challenges in the longer run. The activities supported often jointly by the Customs and Fiscalis programmes contributed to the smooth launch of the VAT e-commerce package, including the Import One Stop Shop (IOSS). The first results on taxes levied, which only cover the effects regarding the Import One Stop Shop (IOSS), exceeded expectations. By the end of 2021, there were </w:t>
      </w:r>
      <w:r w:rsidR="00E63128" w:rsidRPr="009A33E1">
        <w:rPr>
          <w:rFonts w:ascii="Times New Roman" w:hAnsi="Times New Roman" w:cs="Times New Roman"/>
          <w:noProof/>
          <w:lang w:val="en-IE"/>
        </w:rPr>
        <w:t xml:space="preserve">7608 </w:t>
      </w:r>
      <w:r w:rsidRPr="009A33E1">
        <w:rPr>
          <w:rFonts w:ascii="Times New Roman" w:hAnsi="Times New Roman" w:cs="Times New Roman"/>
          <w:noProof/>
          <w:lang w:val="en-IE"/>
        </w:rPr>
        <w:t xml:space="preserve">traders registered to use the IOSS carrying out, around </w:t>
      </w:r>
      <w:r w:rsidR="009D2CD9" w:rsidRPr="009A33E1">
        <w:rPr>
          <w:rFonts w:ascii="Times New Roman" w:hAnsi="Times New Roman" w:cs="Times New Roman"/>
          <w:noProof/>
          <w:lang w:val="en-IE"/>
        </w:rPr>
        <w:t xml:space="preserve">500 </w:t>
      </w:r>
      <w:r w:rsidRPr="009A33E1">
        <w:rPr>
          <w:rFonts w:ascii="Times New Roman" w:hAnsi="Times New Roman" w:cs="Times New Roman"/>
          <w:noProof/>
          <w:lang w:val="en-IE"/>
        </w:rPr>
        <w:t>million transactions in the import scheme (IOSS).</w:t>
      </w:r>
    </w:p>
    <w:p w14:paraId="2E923F11" w14:textId="77777777" w:rsidR="00BE5E4C" w:rsidRPr="009A33E1" w:rsidRDefault="00BE5E4C" w:rsidP="00404503">
      <w:pPr>
        <w:spacing w:after="0" w:line="240" w:lineRule="auto"/>
        <w:jc w:val="both"/>
        <w:rPr>
          <w:rFonts w:ascii="Times New Roman" w:hAnsi="Times New Roman" w:cs="Times New Roman"/>
          <w:noProof/>
          <w:lang w:val="en-IE"/>
        </w:rPr>
      </w:pPr>
    </w:p>
    <w:p w14:paraId="75CF75A3" w14:textId="4F35FE68" w:rsidR="00153FAE" w:rsidRPr="009A33E1" w:rsidRDefault="00153FAE" w:rsidP="00404503">
      <w:pPr>
        <w:pStyle w:val="ListParagraph"/>
        <w:numPr>
          <w:ilvl w:val="1"/>
          <w:numId w:val="2"/>
        </w:numPr>
        <w:spacing w:after="0" w:line="240" w:lineRule="auto"/>
        <w:ind w:left="1014"/>
        <w:jc w:val="both"/>
        <w:rPr>
          <w:rFonts w:ascii="Times New Roman" w:hAnsi="Times New Roman" w:cs="Times New Roman"/>
          <w:noProof/>
          <w:lang w:val="en-IE"/>
        </w:rPr>
      </w:pPr>
      <w:r w:rsidRPr="009A33E1">
        <w:rPr>
          <w:rFonts w:ascii="Times New Roman" w:hAnsi="Times New Roman" w:cs="Times New Roman"/>
          <w:noProof/>
          <w:lang w:val="en-IE"/>
        </w:rPr>
        <w:t xml:space="preserve">Support to the Authorised Economic Operator (AEO) programme </w:t>
      </w:r>
    </w:p>
    <w:p w14:paraId="656DCD85" w14:textId="77777777" w:rsidR="00722081" w:rsidRPr="009A33E1" w:rsidRDefault="00722081" w:rsidP="00404503">
      <w:pPr>
        <w:pStyle w:val="ListParagraph"/>
        <w:spacing w:after="0" w:line="240" w:lineRule="auto"/>
        <w:ind w:left="1014"/>
        <w:jc w:val="both"/>
        <w:rPr>
          <w:rFonts w:ascii="Times New Roman" w:hAnsi="Times New Roman" w:cs="Times New Roman"/>
          <w:noProof/>
          <w:lang w:val="en-IE"/>
        </w:rPr>
      </w:pPr>
    </w:p>
    <w:p w14:paraId="32E0D791" w14:textId="61CF93FF" w:rsidR="00153FAE" w:rsidRPr="009A33E1" w:rsidRDefault="765CFE11" w:rsidP="00404503">
      <w:pPr>
        <w:jc w:val="both"/>
        <w:rPr>
          <w:rFonts w:ascii="Times New Roman" w:hAnsi="Times New Roman" w:cs="Times New Roman"/>
          <w:noProof/>
          <w:lang w:val="en-IE"/>
        </w:rPr>
      </w:pPr>
      <w:r w:rsidRPr="586E19CB">
        <w:rPr>
          <w:rFonts w:ascii="Times New Roman" w:hAnsi="Times New Roman" w:cs="Times New Roman"/>
          <w:noProof/>
          <w:lang w:val="en-IE"/>
        </w:rPr>
        <w:t>In 2021</w:t>
      </w:r>
      <w:r w:rsidR="6E0C3293" w:rsidRPr="586E19CB">
        <w:rPr>
          <w:rFonts w:ascii="Times New Roman" w:hAnsi="Times New Roman" w:cs="Times New Roman"/>
          <w:noProof/>
          <w:lang w:val="en-IE"/>
        </w:rPr>
        <w:t>,</w:t>
      </w:r>
      <w:r w:rsidRPr="586E19CB">
        <w:rPr>
          <w:rFonts w:ascii="Times New Roman" w:hAnsi="Times New Roman" w:cs="Times New Roman"/>
          <w:noProof/>
          <w:lang w:val="en-IE"/>
        </w:rPr>
        <w:t xml:space="preserve"> the Customs 2020 programme helped enhance the uniform application of the AEO legal framework establishing the AEO programme.</w:t>
      </w:r>
      <w:r w:rsidR="00185744">
        <w:rPr>
          <w:rFonts w:ascii="Times New Roman" w:hAnsi="Times New Roman" w:cs="Times New Roman"/>
          <w:noProof/>
          <w:lang w:val="en-IE"/>
        </w:rPr>
        <w:t xml:space="preserve"> </w:t>
      </w:r>
      <w:r w:rsidRPr="586E19CB">
        <w:rPr>
          <w:rFonts w:ascii="Times New Roman" w:hAnsi="Times New Roman" w:cs="Times New Roman"/>
          <w:noProof/>
          <w:lang w:val="en-IE"/>
        </w:rPr>
        <w:t xml:space="preserve">Concretely, the AEO Network and its subgroup </w:t>
      </w:r>
      <w:r w:rsidR="009F396D">
        <w:rPr>
          <w:rFonts w:ascii="Times New Roman" w:hAnsi="Times New Roman" w:cs="Times New Roman"/>
          <w:noProof/>
          <w:lang w:val="en-IE"/>
        </w:rPr>
        <w:t>were working on</w:t>
      </w:r>
      <w:r w:rsidRPr="586E19CB">
        <w:rPr>
          <w:rFonts w:ascii="Times New Roman" w:hAnsi="Times New Roman" w:cs="Times New Roman"/>
          <w:noProof/>
          <w:lang w:val="en-IE"/>
        </w:rPr>
        <w:t xml:space="preserve"> the revision of the Commission’s AEO guidelines, </w:t>
      </w:r>
      <w:r w:rsidR="009F396D">
        <w:rPr>
          <w:rFonts w:ascii="Times New Roman" w:hAnsi="Times New Roman" w:cs="Times New Roman"/>
          <w:noProof/>
          <w:lang w:val="en-IE"/>
        </w:rPr>
        <w:t>taking also into consideration the</w:t>
      </w:r>
      <w:r w:rsidRPr="586E19CB">
        <w:rPr>
          <w:rFonts w:ascii="Times New Roman" w:hAnsi="Times New Roman" w:cs="Times New Roman"/>
          <w:noProof/>
          <w:lang w:val="en-IE"/>
        </w:rPr>
        <w:t xml:space="preserve"> recommendations from the European Court of Auditors (ECA) to strengthen AEO monitoring and internal controls. The programme’s fact-finding visits to the Member States further contributed to develop joint best practices and to the uniform application of Union legislation. In addition, the programme supported the AEO mutual recognition with third countries, both in terms of technical support to negotiations (e.g. with U</w:t>
      </w:r>
      <w:r w:rsidR="034835CA" w:rsidRPr="586E19CB">
        <w:rPr>
          <w:rFonts w:ascii="Times New Roman" w:hAnsi="Times New Roman" w:cs="Times New Roman"/>
          <w:noProof/>
          <w:lang w:val="en-IE"/>
        </w:rPr>
        <w:t xml:space="preserve">nited </w:t>
      </w:r>
      <w:r w:rsidRPr="586E19CB">
        <w:rPr>
          <w:rFonts w:ascii="Times New Roman" w:hAnsi="Times New Roman" w:cs="Times New Roman"/>
          <w:noProof/>
          <w:lang w:val="en-IE"/>
        </w:rPr>
        <w:t>K</w:t>
      </w:r>
      <w:r w:rsidR="034835CA" w:rsidRPr="586E19CB">
        <w:rPr>
          <w:rFonts w:ascii="Times New Roman" w:hAnsi="Times New Roman" w:cs="Times New Roman"/>
          <w:noProof/>
          <w:lang w:val="en-IE"/>
        </w:rPr>
        <w:t>ingdom</w:t>
      </w:r>
      <w:r w:rsidRPr="586E19CB">
        <w:rPr>
          <w:rFonts w:ascii="Times New Roman" w:hAnsi="Times New Roman" w:cs="Times New Roman"/>
          <w:noProof/>
          <w:lang w:val="en-IE"/>
        </w:rPr>
        <w:t>, Turkey, Singapore and Moldova) and to existing agreement’s implementation (e.g. U</w:t>
      </w:r>
      <w:r w:rsidR="6E3654ED" w:rsidRPr="586E19CB">
        <w:rPr>
          <w:rFonts w:ascii="Times New Roman" w:hAnsi="Times New Roman" w:cs="Times New Roman"/>
          <w:noProof/>
          <w:lang w:val="en-IE"/>
        </w:rPr>
        <w:t xml:space="preserve">nited </w:t>
      </w:r>
      <w:r w:rsidRPr="586E19CB">
        <w:rPr>
          <w:rFonts w:ascii="Times New Roman" w:hAnsi="Times New Roman" w:cs="Times New Roman"/>
          <w:noProof/>
          <w:lang w:val="en-IE"/>
        </w:rPr>
        <w:t>S</w:t>
      </w:r>
      <w:r w:rsidR="0B5E2EDC" w:rsidRPr="586E19CB">
        <w:rPr>
          <w:rFonts w:ascii="Times New Roman" w:hAnsi="Times New Roman" w:cs="Times New Roman"/>
          <w:noProof/>
          <w:lang w:val="en-IE"/>
        </w:rPr>
        <w:t>tates</w:t>
      </w:r>
      <w:r w:rsidRPr="586E19CB">
        <w:rPr>
          <w:rFonts w:ascii="Times New Roman" w:hAnsi="Times New Roman" w:cs="Times New Roman"/>
          <w:noProof/>
          <w:lang w:val="en-IE"/>
        </w:rPr>
        <w:t xml:space="preserve">). </w:t>
      </w:r>
    </w:p>
    <w:p w14:paraId="62B0E085" w14:textId="77777777" w:rsidR="00153FAE" w:rsidRPr="009A33E1" w:rsidRDefault="00153FAE" w:rsidP="00033369">
      <w:pPr>
        <w:spacing w:after="0" w:line="240" w:lineRule="auto"/>
        <w:jc w:val="both"/>
        <w:rPr>
          <w:rFonts w:ascii="Times New Roman" w:hAnsi="Times New Roman" w:cs="Times New Roman"/>
          <w:noProof/>
          <w:lang w:val="en-IE"/>
        </w:rPr>
      </w:pPr>
    </w:p>
    <w:p w14:paraId="4A0DAB68" w14:textId="4C17F3B0" w:rsidR="00572265" w:rsidRPr="009A33E1" w:rsidRDefault="4CB48300" w:rsidP="00DB2BB5">
      <w:pPr>
        <w:pStyle w:val="Heading2"/>
        <w:rPr>
          <w:noProof/>
        </w:rPr>
      </w:pPr>
      <w:bookmarkStart w:id="6" w:name="_Toc96083183"/>
      <w:r w:rsidRPr="586E19CB">
        <w:rPr>
          <w:noProof/>
        </w:rPr>
        <w:t>Support customs cooperation</w:t>
      </w:r>
      <w:bookmarkEnd w:id="6"/>
    </w:p>
    <w:p w14:paraId="194946E5" w14:textId="77777777" w:rsidR="003A5D16" w:rsidRPr="009A33E1" w:rsidRDefault="003A5D16" w:rsidP="00033369">
      <w:pPr>
        <w:spacing w:after="0" w:line="240" w:lineRule="auto"/>
        <w:ind w:left="426"/>
        <w:jc w:val="both"/>
        <w:rPr>
          <w:rFonts w:ascii="Times New Roman" w:hAnsi="Times New Roman" w:cs="Times New Roman"/>
          <w:b/>
          <w:noProof/>
          <w:lang w:val="en-IE"/>
        </w:rPr>
      </w:pPr>
    </w:p>
    <w:p w14:paraId="3B40F540" w14:textId="38EF07E6" w:rsidR="003A5D16" w:rsidRPr="009A33E1" w:rsidRDefault="16305A4A" w:rsidP="00404503">
      <w:pPr>
        <w:spacing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The purpose of the Customs programme is to promote cooperation in the field of customs identified with the objective to support the customs union and customs authorities working together and acting as one. By the very nature of the collaborative actions that bring experts together, most of programme actions include an element of networking, sharing knowledge, experience and good practices. This chapter focuses on actions with direct links to knowledge sharing and networking, and addressing the degree of networking generated. </w:t>
      </w:r>
    </w:p>
    <w:p w14:paraId="2291EB35" w14:textId="0603506E" w:rsidR="008B32B7" w:rsidRPr="009A33E1" w:rsidRDefault="00040986" w:rsidP="00404503">
      <w:pPr>
        <w:spacing w:line="240" w:lineRule="auto"/>
        <w:jc w:val="both"/>
        <w:rPr>
          <w:rFonts w:ascii="Times New Roman" w:hAnsi="Times New Roman" w:cs="Times New Roman"/>
          <w:noProof/>
          <w:lang w:val="en-IE"/>
        </w:rPr>
      </w:pPr>
      <w:r w:rsidRPr="009A33E1">
        <w:rPr>
          <w:rFonts w:ascii="Times New Roman" w:hAnsi="Times New Roman" w:cs="Times New Roman"/>
          <w:noProof/>
          <w:lang w:val="en-IE"/>
        </w:rPr>
        <w:t>A</w:t>
      </w:r>
      <w:r w:rsidR="004D362F" w:rsidRPr="009A33E1">
        <w:rPr>
          <w:rFonts w:ascii="Times New Roman" w:hAnsi="Times New Roman" w:cs="Times New Roman"/>
          <w:noProof/>
          <w:lang w:val="en-IE"/>
        </w:rPr>
        <w:t xml:space="preserve"> prime example of such collaboration is the set of contact groups that bring together operational experts around the daily tasks and management of ports (RHALF</w:t>
      </w:r>
      <w:r w:rsidR="00C82546" w:rsidRPr="009A33E1">
        <w:rPr>
          <w:rFonts w:ascii="Times New Roman" w:hAnsi="Times New Roman" w:cs="Times New Roman"/>
          <w:noProof/>
          <w:lang w:val="en-IE"/>
        </w:rPr>
        <w:t>&amp;ODYSSUD), airports (ICARUS) and the land borders (land frontier contact group</w:t>
      </w:r>
      <w:r w:rsidRPr="009A33E1">
        <w:rPr>
          <w:rFonts w:ascii="Times New Roman" w:hAnsi="Times New Roman" w:cs="Times New Roman"/>
          <w:noProof/>
          <w:lang w:val="en-IE"/>
        </w:rPr>
        <w:t xml:space="preserve"> (LFCG)</w:t>
      </w:r>
      <w:r w:rsidR="00C82546" w:rsidRPr="009A33E1">
        <w:rPr>
          <w:rFonts w:ascii="Times New Roman" w:hAnsi="Times New Roman" w:cs="Times New Roman"/>
          <w:noProof/>
          <w:lang w:val="en-IE"/>
        </w:rPr>
        <w:t xml:space="preserve">). </w:t>
      </w:r>
      <w:r w:rsidR="000F1007" w:rsidRPr="009A33E1">
        <w:rPr>
          <w:rFonts w:ascii="Times New Roman" w:hAnsi="Times New Roman" w:cs="Times New Roman"/>
          <w:noProof/>
          <w:lang w:val="en-IE"/>
        </w:rPr>
        <w:t>One aspect</w:t>
      </w:r>
      <w:r w:rsidRPr="009A33E1">
        <w:rPr>
          <w:rFonts w:ascii="Times New Roman" w:hAnsi="Times New Roman" w:cs="Times New Roman"/>
          <w:noProof/>
          <w:lang w:val="en-IE"/>
        </w:rPr>
        <w:t xml:space="preserve"> </w:t>
      </w:r>
      <w:r w:rsidR="000F1007" w:rsidRPr="009A33E1">
        <w:rPr>
          <w:rFonts w:ascii="Times New Roman" w:hAnsi="Times New Roman" w:cs="Times New Roman"/>
          <w:noProof/>
          <w:lang w:val="en-IE"/>
        </w:rPr>
        <w:t xml:space="preserve">that </w:t>
      </w:r>
      <w:r w:rsidRPr="009A33E1">
        <w:rPr>
          <w:rFonts w:ascii="Times New Roman" w:hAnsi="Times New Roman" w:cs="Times New Roman"/>
          <w:noProof/>
          <w:lang w:val="en-IE"/>
        </w:rPr>
        <w:t>minimised the col</w:t>
      </w:r>
      <w:r w:rsidR="000F1007" w:rsidRPr="009A33E1">
        <w:rPr>
          <w:rFonts w:ascii="Times New Roman" w:hAnsi="Times New Roman" w:cs="Times New Roman"/>
          <w:noProof/>
          <w:lang w:val="en-IE"/>
        </w:rPr>
        <w:t xml:space="preserve">laboration within these groups in 2021 was </w:t>
      </w:r>
      <w:r w:rsidRPr="009A33E1">
        <w:rPr>
          <w:rFonts w:ascii="Times New Roman" w:hAnsi="Times New Roman" w:cs="Times New Roman"/>
          <w:noProof/>
          <w:lang w:val="en-IE"/>
        </w:rPr>
        <w:t>the lack of interest from the side of the national experts to engage in online meetings (as face-to-face meetings were prevented by the pandemic</w:t>
      </w:r>
      <w:r w:rsidR="000F1007" w:rsidRPr="009A33E1">
        <w:rPr>
          <w:rFonts w:ascii="Times New Roman" w:hAnsi="Times New Roman" w:cs="Times New Roman"/>
          <w:noProof/>
          <w:lang w:val="en-IE"/>
        </w:rPr>
        <w:t>)</w:t>
      </w:r>
      <w:r w:rsidRPr="009A33E1">
        <w:rPr>
          <w:rFonts w:ascii="Times New Roman" w:hAnsi="Times New Roman" w:cs="Times New Roman"/>
          <w:noProof/>
          <w:lang w:val="en-IE"/>
        </w:rPr>
        <w:t xml:space="preserve">. As such, </w:t>
      </w:r>
      <w:r w:rsidR="002D1770" w:rsidRPr="009A33E1">
        <w:rPr>
          <w:rFonts w:ascii="Times New Roman" w:hAnsi="Times New Roman" w:cs="Times New Roman"/>
          <w:noProof/>
          <w:lang w:val="en-IE"/>
        </w:rPr>
        <w:t>the level of collaboration in programme activities reduced significantly</w:t>
      </w:r>
      <w:r w:rsidR="002D1770" w:rsidRPr="009A33E1">
        <w:rPr>
          <w:rStyle w:val="FootnoteReference"/>
          <w:rFonts w:ascii="Times New Roman" w:hAnsi="Times New Roman" w:cs="Times New Roman"/>
          <w:noProof/>
          <w:lang w:val="en-IE"/>
        </w:rPr>
        <w:footnoteReference w:id="10"/>
      </w:r>
      <w:r w:rsidR="00F04325">
        <w:rPr>
          <w:rFonts w:ascii="Times New Roman" w:hAnsi="Times New Roman" w:cs="Times New Roman"/>
          <w:noProof/>
          <w:lang w:val="en-IE"/>
        </w:rPr>
        <w:t xml:space="preserve"> (see table 8 of Annex 2</w:t>
      </w:r>
      <w:r w:rsidR="00BF77C2" w:rsidRPr="009A33E1">
        <w:rPr>
          <w:rFonts w:ascii="Times New Roman" w:hAnsi="Times New Roman" w:cs="Times New Roman"/>
          <w:noProof/>
          <w:lang w:val="en-IE"/>
        </w:rPr>
        <w:t xml:space="preserve"> and outp</w:t>
      </w:r>
      <w:r w:rsidR="00F04325">
        <w:rPr>
          <w:rFonts w:ascii="Times New Roman" w:hAnsi="Times New Roman" w:cs="Times New Roman"/>
          <w:noProof/>
          <w:lang w:val="en-IE"/>
        </w:rPr>
        <w:t>ut indicator 2.1 in Annex 3</w:t>
      </w:r>
      <w:r w:rsidR="00404503" w:rsidRPr="009A33E1">
        <w:rPr>
          <w:rFonts w:ascii="Times New Roman" w:hAnsi="Times New Roman" w:cs="Times New Roman"/>
          <w:noProof/>
          <w:lang w:val="en-IE"/>
        </w:rPr>
        <w:t>).</w:t>
      </w:r>
    </w:p>
    <w:p w14:paraId="4D5A559F" w14:textId="2D072B1A" w:rsidR="00AB1F52" w:rsidRPr="009A33E1" w:rsidRDefault="16305A4A" w:rsidP="00404503">
      <w:pPr>
        <w:spacing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On the other </w:t>
      </w:r>
      <w:r w:rsidR="00134C81" w:rsidRPr="009A33E1">
        <w:rPr>
          <w:rFonts w:ascii="Times New Roman" w:hAnsi="Times New Roman" w:cs="Times New Roman"/>
          <w:noProof/>
          <w:lang w:val="en-IE"/>
        </w:rPr>
        <w:t>hand</w:t>
      </w:r>
      <w:r w:rsidRPr="009A33E1">
        <w:rPr>
          <w:rFonts w:ascii="Times New Roman" w:hAnsi="Times New Roman" w:cs="Times New Roman"/>
          <w:noProof/>
          <w:lang w:val="en-IE"/>
        </w:rPr>
        <w:t xml:space="preserve">, some </w:t>
      </w:r>
      <w:r w:rsidR="00722081" w:rsidRPr="009A33E1">
        <w:rPr>
          <w:rFonts w:ascii="Times New Roman" w:hAnsi="Times New Roman" w:cs="Times New Roman"/>
          <w:noProof/>
          <w:lang w:val="en-IE"/>
        </w:rPr>
        <w:t>e</w:t>
      </w:r>
      <w:r w:rsidRPr="009A33E1">
        <w:rPr>
          <w:rFonts w:ascii="Times New Roman" w:hAnsi="Times New Roman" w:cs="Times New Roman"/>
          <w:noProof/>
          <w:lang w:val="en-IE"/>
        </w:rPr>
        <w:t xml:space="preserve">xpert </w:t>
      </w:r>
      <w:r w:rsidR="00722081" w:rsidRPr="009A33E1">
        <w:rPr>
          <w:rFonts w:ascii="Times New Roman" w:hAnsi="Times New Roman" w:cs="Times New Roman"/>
          <w:noProof/>
          <w:lang w:val="en-IE"/>
        </w:rPr>
        <w:t>t</w:t>
      </w:r>
      <w:r w:rsidRPr="009A33E1">
        <w:rPr>
          <w:rFonts w:ascii="Times New Roman" w:hAnsi="Times New Roman" w:cs="Times New Roman"/>
          <w:noProof/>
          <w:lang w:val="en-IE"/>
        </w:rPr>
        <w:t xml:space="preserve">eams, representing an enhanced form of collaboration under the programmes, remained very active. </w:t>
      </w:r>
    </w:p>
    <w:p w14:paraId="364C7E74" w14:textId="1E23B772" w:rsidR="002D1770" w:rsidRPr="009A33E1" w:rsidRDefault="00AB1F52" w:rsidP="00404503">
      <w:pPr>
        <w:spacing w:line="240" w:lineRule="auto"/>
        <w:jc w:val="both"/>
        <w:rPr>
          <w:rFonts w:ascii="Times New Roman" w:hAnsi="Times New Roman" w:cs="Times New Roman"/>
          <w:noProof/>
          <w:lang w:val="en-IE"/>
        </w:rPr>
      </w:pPr>
      <w:r w:rsidRPr="009A33E1">
        <w:rPr>
          <w:rFonts w:ascii="Times New Roman" w:hAnsi="Times New Roman" w:cs="Times New Roman"/>
          <w:noProof/>
          <w:lang w:val="en-IE"/>
        </w:rPr>
        <w:t>For instance</w:t>
      </w:r>
      <w:r w:rsidR="00873A80" w:rsidRPr="009A33E1">
        <w:rPr>
          <w:rFonts w:ascii="Times New Roman" w:hAnsi="Times New Roman" w:cs="Times New Roman"/>
          <w:noProof/>
          <w:lang w:val="en-IE"/>
        </w:rPr>
        <w:t xml:space="preserve">, </w:t>
      </w:r>
      <w:r w:rsidR="0CB8927D" w:rsidRPr="009A33E1">
        <w:rPr>
          <w:rFonts w:ascii="Times New Roman" w:hAnsi="Times New Roman" w:cs="Times New Roman"/>
          <w:noProof/>
          <w:lang w:val="en-IE"/>
        </w:rPr>
        <w:t xml:space="preserve">despite the Covid-19 pandemic, </w:t>
      </w:r>
      <w:r w:rsidR="00873A80" w:rsidRPr="009A33E1">
        <w:rPr>
          <w:rFonts w:ascii="Times New Roman" w:hAnsi="Times New Roman" w:cs="Times New Roman"/>
          <w:noProof/>
          <w:lang w:val="en-IE"/>
        </w:rPr>
        <w:t>t</w:t>
      </w:r>
      <w:r w:rsidR="00C82546" w:rsidRPr="009A33E1">
        <w:rPr>
          <w:rFonts w:ascii="Times New Roman" w:hAnsi="Times New Roman" w:cs="Times New Roman"/>
          <w:noProof/>
          <w:lang w:val="en-IE"/>
        </w:rPr>
        <w:t xml:space="preserve">he </w:t>
      </w:r>
      <w:r w:rsidR="00602BA8" w:rsidRPr="009A33E1">
        <w:rPr>
          <w:rFonts w:ascii="Times New Roman" w:hAnsi="Times New Roman" w:cs="Times New Roman"/>
          <w:noProof/>
          <w:lang w:val="en-IE"/>
        </w:rPr>
        <w:t>E</w:t>
      </w:r>
      <w:r w:rsidR="00C82546" w:rsidRPr="009A33E1">
        <w:rPr>
          <w:rFonts w:ascii="Times New Roman" w:hAnsi="Times New Roman" w:cs="Times New Roman"/>
          <w:noProof/>
          <w:lang w:val="en-IE"/>
        </w:rPr>
        <w:t xml:space="preserve">xpert </w:t>
      </w:r>
      <w:r w:rsidR="00602BA8" w:rsidRPr="009A33E1">
        <w:rPr>
          <w:rFonts w:ascii="Times New Roman" w:hAnsi="Times New Roman" w:cs="Times New Roman"/>
          <w:noProof/>
          <w:lang w:val="en-IE"/>
        </w:rPr>
        <w:t>T</w:t>
      </w:r>
      <w:r w:rsidR="00C82546" w:rsidRPr="009A33E1">
        <w:rPr>
          <w:rFonts w:ascii="Times New Roman" w:hAnsi="Times New Roman" w:cs="Times New Roman"/>
          <w:noProof/>
          <w:lang w:val="en-IE"/>
        </w:rPr>
        <w:t xml:space="preserve">eam dedicated to the Eastern and South-Eastern Land Border (CELBET) </w:t>
      </w:r>
      <w:r w:rsidR="002D1770" w:rsidRPr="009A33E1">
        <w:rPr>
          <w:rFonts w:ascii="Times New Roman" w:hAnsi="Times New Roman" w:cs="Times New Roman"/>
          <w:noProof/>
          <w:lang w:val="en-IE"/>
        </w:rPr>
        <w:t>h</w:t>
      </w:r>
      <w:r w:rsidR="28DF4906" w:rsidRPr="009A33E1">
        <w:rPr>
          <w:rFonts w:ascii="Times New Roman" w:hAnsi="Times New Roman" w:cs="Times New Roman"/>
          <w:noProof/>
          <w:lang w:val="en-IE"/>
        </w:rPr>
        <w:t>ad</w:t>
      </w:r>
      <w:r w:rsidR="002D1770" w:rsidRPr="009A33E1">
        <w:rPr>
          <w:rFonts w:ascii="Times New Roman" w:hAnsi="Times New Roman" w:cs="Times New Roman"/>
          <w:noProof/>
          <w:lang w:val="en-IE"/>
        </w:rPr>
        <w:t xml:space="preserve"> intensive interactions in 2021</w:t>
      </w:r>
      <w:r w:rsidR="39451D69" w:rsidRPr="009A33E1">
        <w:rPr>
          <w:rFonts w:ascii="Times New Roman" w:hAnsi="Times New Roman" w:cs="Times New Roman"/>
          <w:noProof/>
          <w:lang w:val="en-IE"/>
        </w:rPr>
        <w:t>,</w:t>
      </w:r>
      <w:r w:rsidR="002D1770" w:rsidRPr="009A33E1">
        <w:rPr>
          <w:rFonts w:ascii="Times New Roman" w:hAnsi="Times New Roman" w:cs="Times New Roman"/>
          <w:noProof/>
          <w:lang w:val="en-IE"/>
        </w:rPr>
        <w:t xml:space="preserve"> remain</w:t>
      </w:r>
      <w:r w:rsidR="39451D69" w:rsidRPr="009A33E1">
        <w:rPr>
          <w:rFonts w:ascii="Times New Roman" w:hAnsi="Times New Roman" w:cs="Times New Roman"/>
          <w:noProof/>
          <w:lang w:val="en-IE"/>
        </w:rPr>
        <w:t>ing therefore</w:t>
      </w:r>
      <w:r w:rsidR="002D1770" w:rsidRPr="009A33E1">
        <w:rPr>
          <w:rFonts w:ascii="Times New Roman" w:hAnsi="Times New Roman" w:cs="Times New Roman"/>
          <w:noProof/>
          <w:lang w:val="en-IE"/>
        </w:rPr>
        <w:t xml:space="preserve"> a key contributor to the coordinated management of the EU</w:t>
      </w:r>
      <w:r w:rsidR="0078625A" w:rsidRPr="009A33E1">
        <w:rPr>
          <w:rFonts w:ascii="Times New Roman" w:hAnsi="Times New Roman" w:cs="Times New Roman"/>
          <w:noProof/>
          <w:lang w:val="en-IE"/>
        </w:rPr>
        <w:t>’s</w:t>
      </w:r>
      <w:r w:rsidR="002D1770" w:rsidRPr="009A33E1">
        <w:rPr>
          <w:rFonts w:ascii="Times New Roman" w:hAnsi="Times New Roman" w:cs="Times New Roman"/>
          <w:noProof/>
          <w:lang w:val="en-IE"/>
        </w:rPr>
        <w:t xml:space="preserve"> external </w:t>
      </w:r>
      <w:r w:rsidR="0078625A" w:rsidRPr="009A33E1">
        <w:rPr>
          <w:rFonts w:ascii="Times New Roman" w:hAnsi="Times New Roman" w:cs="Times New Roman"/>
          <w:noProof/>
          <w:lang w:val="en-IE"/>
        </w:rPr>
        <w:t xml:space="preserve">land </w:t>
      </w:r>
      <w:r w:rsidR="002D1770" w:rsidRPr="009A33E1">
        <w:rPr>
          <w:rFonts w:ascii="Times New Roman" w:hAnsi="Times New Roman" w:cs="Times New Roman"/>
          <w:noProof/>
          <w:lang w:val="en-IE"/>
        </w:rPr>
        <w:t>border.</w:t>
      </w:r>
      <w:r w:rsidR="5827D4EB" w:rsidRPr="009A33E1">
        <w:rPr>
          <w:rFonts w:ascii="Times New Roman" w:hAnsi="Times New Roman" w:cs="Times New Roman"/>
          <w:noProof/>
          <w:lang w:val="en-IE"/>
        </w:rPr>
        <w:t xml:space="preserve"> </w:t>
      </w:r>
      <w:r w:rsidR="00D124A2" w:rsidRPr="009A33E1">
        <w:rPr>
          <w:rFonts w:ascii="Times New Roman" w:hAnsi="Times New Roman" w:cs="Times New Roman"/>
          <w:noProof/>
          <w:lang w:val="en-IE"/>
        </w:rPr>
        <w:t>Following 5 years of intensive collaboration, the results</w:t>
      </w:r>
      <w:r w:rsidR="5827D4EB" w:rsidRPr="009A33E1">
        <w:rPr>
          <w:rFonts w:ascii="Times New Roman" w:hAnsi="Times New Roman" w:cs="Times New Roman"/>
          <w:noProof/>
          <w:lang w:val="en-IE"/>
        </w:rPr>
        <w:t xml:space="preserve">, </w:t>
      </w:r>
      <w:r w:rsidR="00185744">
        <w:rPr>
          <w:rFonts w:ascii="Times New Roman" w:hAnsi="Times New Roman" w:cs="Times New Roman"/>
          <w:noProof/>
          <w:lang w:val="en-IE"/>
        </w:rPr>
        <w:t xml:space="preserve">which were </w:t>
      </w:r>
      <w:r w:rsidR="00A07BFE">
        <w:rPr>
          <w:rFonts w:ascii="Times New Roman" w:hAnsi="Times New Roman" w:cs="Times New Roman"/>
          <w:noProof/>
          <w:lang w:val="en-IE"/>
        </w:rPr>
        <w:t xml:space="preserve">shared by CELBET </w:t>
      </w:r>
      <w:r w:rsidR="00A07BFE" w:rsidRPr="009A33E1">
        <w:rPr>
          <w:rFonts w:ascii="Times New Roman" w:hAnsi="Times New Roman" w:cs="Times New Roman"/>
          <w:noProof/>
          <w:lang w:val="en-IE"/>
        </w:rPr>
        <w:t xml:space="preserve">(iterations 1-3) </w:t>
      </w:r>
      <w:r w:rsidR="00185744">
        <w:rPr>
          <w:rFonts w:ascii="Times New Roman" w:hAnsi="Times New Roman" w:cs="Times New Roman"/>
          <w:noProof/>
          <w:lang w:val="en-IE"/>
        </w:rPr>
        <w:t>wih</w:t>
      </w:r>
      <w:r w:rsidR="00185744" w:rsidRPr="009A33E1">
        <w:rPr>
          <w:rFonts w:ascii="Times New Roman" w:hAnsi="Times New Roman" w:cs="Times New Roman"/>
          <w:noProof/>
          <w:lang w:val="en-IE"/>
        </w:rPr>
        <w:t xml:space="preserve"> </w:t>
      </w:r>
      <w:r w:rsidR="3F3C1A1E" w:rsidRPr="009A33E1">
        <w:rPr>
          <w:rFonts w:ascii="Times New Roman" w:hAnsi="Times New Roman" w:cs="Times New Roman"/>
          <w:noProof/>
          <w:lang w:val="en-IE"/>
        </w:rPr>
        <w:t>the Customs Policy Group(CPG)</w:t>
      </w:r>
      <w:r w:rsidR="00873A80" w:rsidRPr="009A33E1">
        <w:rPr>
          <w:rStyle w:val="FootnoteReference"/>
          <w:rFonts w:ascii="Times New Roman" w:hAnsi="Times New Roman" w:cs="Times New Roman"/>
          <w:noProof/>
          <w:lang w:val="en-IE"/>
        </w:rPr>
        <w:footnoteReference w:id="11"/>
      </w:r>
      <w:r w:rsidR="3F3C1A1E" w:rsidRPr="009A33E1">
        <w:rPr>
          <w:rFonts w:ascii="Times New Roman" w:hAnsi="Times New Roman" w:cs="Times New Roman"/>
          <w:noProof/>
          <w:lang w:val="en-IE"/>
        </w:rPr>
        <w:t xml:space="preserve"> </w:t>
      </w:r>
      <w:r w:rsidR="4FDA655E" w:rsidRPr="009A33E1">
        <w:rPr>
          <w:rFonts w:ascii="Times New Roman" w:hAnsi="Times New Roman" w:cs="Times New Roman"/>
          <w:noProof/>
          <w:lang w:val="en-IE"/>
        </w:rPr>
        <w:t xml:space="preserve">and </w:t>
      </w:r>
      <w:r w:rsidR="00D124A2" w:rsidRPr="009A33E1">
        <w:rPr>
          <w:rFonts w:ascii="Times New Roman" w:hAnsi="Times New Roman" w:cs="Times New Roman"/>
          <w:noProof/>
          <w:lang w:val="en-IE"/>
        </w:rPr>
        <w:t xml:space="preserve"> </w:t>
      </w:r>
      <w:r w:rsidR="4FDA655E" w:rsidRPr="009A33E1">
        <w:rPr>
          <w:rFonts w:ascii="Times New Roman" w:hAnsi="Times New Roman" w:cs="Times New Roman"/>
          <w:noProof/>
          <w:lang w:val="en-IE"/>
        </w:rPr>
        <w:t>th</w:t>
      </w:r>
      <w:r w:rsidR="6D8A8186" w:rsidRPr="009A33E1">
        <w:rPr>
          <w:rFonts w:ascii="Times New Roman" w:hAnsi="Times New Roman" w:cs="Times New Roman"/>
          <w:noProof/>
          <w:lang w:val="en-IE"/>
        </w:rPr>
        <w:t>e Wise Persons Group</w:t>
      </w:r>
      <w:r w:rsidR="00873A80" w:rsidRPr="009A33E1">
        <w:rPr>
          <w:rStyle w:val="FootnoteReference"/>
          <w:rFonts w:ascii="Times New Roman" w:hAnsi="Times New Roman" w:cs="Times New Roman"/>
          <w:noProof/>
          <w:lang w:val="en-IE"/>
        </w:rPr>
        <w:footnoteReference w:id="12"/>
      </w:r>
      <w:r w:rsidR="6D8A8186" w:rsidRPr="009A33E1">
        <w:rPr>
          <w:rFonts w:ascii="Times New Roman" w:hAnsi="Times New Roman" w:cs="Times New Roman"/>
          <w:noProof/>
          <w:lang w:val="en-IE"/>
        </w:rPr>
        <w:t xml:space="preserve">, </w:t>
      </w:r>
      <w:r w:rsidR="00D124A2" w:rsidRPr="009A33E1">
        <w:rPr>
          <w:rFonts w:ascii="Times New Roman" w:hAnsi="Times New Roman" w:cs="Times New Roman"/>
          <w:noProof/>
          <w:lang w:val="en-IE"/>
        </w:rPr>
        <w:t>show</w:t>
      </w:r>
      <w:r w:rsidR="1E81488F" w:rsidRPr="009A33E1">
        <w:rPr>
          <w:rFonts w:ascii="Times New Roman" w:hAnsi="Times New Roman" w:cs="Times New Roman"/>
          <w:noProof/>
          <w:lang w:val="en-IE"/>
        </w:rPr>
        <w:t>ed</w:t>
      </w:r>
      <w:r w:rsidR="00D124A2" w:rsidRPr="009A33E1">
        <w:rPr>
          <w:rFonts w:ascii="Times New Roman" w:hAnsi="Times New Roman" w:cs="Times New Roman"/>
          <w:noProof/>
          <w:lang w:val="en-IE"/>
        </w:rPr>
        <w:t xml:space="preserve"> that a permanent organizational structure </w:t>
      </w:r>
      <w:r w:rsidR="6D8A8186" w:rsidRPr="009A33E1">
        <w:rPr>
          <w:rFonts w:ascii="Times New Roman" w:hAnsi="Times New Roman" w:cs="Times New Roman"/>
          <w:noProof/>
          <w:lang w:val="en-IE"/>
        </w:rPr>
        <w:t>c</w:t>
      </w:r>
      <w:r w:rsidR="00D124A2" w:rsidRPr="009A33E1">
        <w:rPr>
          <w:rFonts w:ascii="Times New Roman" w:hAnsi="Times New Roman" w:cs="Times New Roman"/>
          <w:noProof/>
          <w:lang w:val="en-IE"/>
        </w:rPr>
        <w:t xml:space="preserve">ould </w:t>
      </w:r>
      <w:r w:rsidR="6D8A8186" w:rsidRPr="009A33E1">
        <w:rPr>
          <w:rFonts w:ascii="Times New Roman" w:hAnsi="Times New Roman" w:cs="Times New Roman"/>
          <w:noProof/>
          <w:lang w:val="en-IE"/>
        </w:rPr>
        <w:t xml:space="preserve">potentially </w:t>
      </w:r>
      <w:r w:rsidR="00D124A2" w:rsidRPr="009A33E1">
        <w:rPr>
          <w:rFonts w:ascii="Times New Roman" w:hAnsi="Times New Roman" w:cs="Times New Roman"/>
          <w:noProof/>
          <w:lang w:val="en-IE"/>
        </w:rPr>
        <w:t xml:space="preserve">support operational cooperation between not only CELBET Member States </w:t>
      </w:r>
      <w:r w:rsidR="0078625A" w:rsidRPr="009A33E1">
        <w:rPr>
          <w:rFonts w:ascii="Times New Roman" w:hAnsi="Times New Roman" w:cs="Times New Roman"/>
          <w:noProof/>
          <w:lang w:val="en-IE"/>
        </w:rPr>
        <w:t>but also</w:t>
      </w:r>
      <w:r w:rsidR="00D124A2" w:rsidRPr="009A33E1">
        <w:rPr>
          <w:rFonts w:ascii="Times New Roman" w:hAnsi="Times New Roman" w:cs="Times New Roman"/>
          <w:noProof/>
          <w:lang w:val="en-IE"/>
        </w:rPr>
        <w:t xml:space="preserve"> other EU Member States</w:t>
      </w:r>
      <w:r w:rsidR="0035669F">
        <w:rPr>
          <w:rFonts w:ascii="Times New Roman" w:hAnsi="Times New Roman" w:cs="Times New Roman"/>
          <w:noProof/>
          <w:lang w:val="en-IE"/>
        </w:rPr>
        <w:t>’</w:t>
      </w:r>
      <w:r w:rsidR="00D124A2" w:rsidRPr="009A33E1">
        <w:rPr>
          <w:rFonts w:ascii="Times New Roman" w:hAnsi="Times New Roman" w:cs="Times New Roman"/>
          <w:noProof/>
          <w:lang w:val="en-IE"/>
        </w:rPr>
        <w:t xml:space="preserve"> customs administrations, </w:t>
      </w:r>
      <w:r w:rsidR="0035669F">
        <w:rPr>
          <w:rFonts w:ascii="Times New Roman" w:hAnsi="Times New Roman" w:cs="Times New Roman"/>
          <w:noProof/>
          <w:lang w:val="en-IE"/>
        </w:rPr>
        <w:t>that</w:t>
      </w:r>
      <w:r w:rsidR="0035669F" w:rsidRPr="009A33E1">
        <w:rPr>
          <w:rFonts w:ascii="Times New Roman" w:hAnsi="Times New Roman" w:cs="Times New Roman"/>
          <w:noProof/>
          <w:lang w:val="en-IE"/>
        </w:rPr>
        <w:t xml:space="preserve"> </w:t>
      </w:r>
      <w:r w:rsidR="00D124A2" w:rsidRPr="009A33E1">
        <w:rPr>
          <w:rFonts w:ascii="Times New Roman" w:hAnsi="Times New Roman" w:cs="Times New Roman"/>
          <w:noProof/>
          <w:lang w:val="en-IE"/>
        </w:rPr>
        <w:t>is fundamental to the proper functioning of the customs union.</w:t>
      </w:r>
    </w:p>
    <w:p w14:paraId="4A0DAB6A" w14:textId="564794DB" w:rsidR="0021545B"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Despite being severely affected by the pandemic, the Expert Team on </w:t>
      </w:r>
      <w:r w:rsidR="00134C81" w:rsidRPr="009A33E1">
        <w:rPr>
          <w:rFonts w:ascii="Times New Roman" w:hAnsi="Times New Roman" w:cs="Times New Roman"/>
          <w:noProof/>
          <w:lang w:val="en-IE"/>
        </w:rPr>
        <w:t xml:space="preserve">Customs IT collaboration </w:t>
      </w:r>
      <w:r w:rsidRPr="009A33E1">
        <w:rPr>
          <w:rFonts w:ascii="Times New Roman" w:hAnsi="Times New Roman" w:cs="Times New Roman"/>
          <w:noProof/>
          <w:lang w:val="en-IE"/>
        </w:rPr>
        <w:t>(ETCIT)</w:t>
      </w:r>
      <w:r w:rsidR="00134C81" w:rsidRPr="009A33E1">
        <w:rPr>
          <w:rFonts w:ascii="Times New Roman" w:hAnsi="Times New Roman" w:cs="Times New Roman"/>
          <w:noProof/>
          <w:lang w:val="en-IE"/>
        </w:rPr>
        <w:t>, focused on</w:t>
      </w:r>
      <w:r w:rsidRPr="009A33E1">
        <w:rPr>
          <w:rFonts w:ascii="Times New Roman" w:hAnsi="Times New Roman" w:cs="Times New Roman"/>
          <w:noProof/>
          <w:lang w:val="en-IE"/>
        </w:rPr>
        <w:t xml:space="preserve"> </w:t>
      </w:r>
      <w:r w:rsidR="00134C81" w:rsidRPr="009A33E1">
        <w:rPr>
          <w:rFonts w:ascii="Times New Roman" w:hAnsi="Times New Roman" w:cs="Times New Roman"/>
          <w:noProof/>
          <w:lang w:val="en-IE"/>
        </w:rPr>
        <w:t xml:space="preserve">new approaches to develop and operate customs IT systems, </w:t>
      </w:r>
      <w:r w:rsidRPr="009A33E1">
        <w:rPr>
          <w:rFonts w:ascii="Times New Roman" w:hAnsi="Times New Roman" w:cs="Times New Roman"/>
          <w:noProof/>
          <w:lang w:val="en-IE"/>
        </w:rPr>
        <w:t xml:space="preserve">managed to produce tangible outcomes in 2021. The </w:t>
      </w:r>
      <w:r w:rsidR="00722081" w:rsidRPr="009A33E1">
        <w:rPr>
          <w:rFonts w:ascii="Times New Roman" w:hAnsi="Times New Roman" w:cs="Times New Roman"/>
          <w:noProof/>
          <w:lang w:val="en-IE"/>
        </w:rPr>
        <w:t>e</w:t>
      </w:r>
      <w:r w:rsidRPr="009A33E1">
        <w:rPr>
          <w:rFonts w:ascii="Times New Roman" w:hAnsi="Times New Roman" w:cs="Times New Roman"/>
          <w:noProof/>
          <w:lang w:val="en-IE"/>
        </w:rPr>
        <w:t xml:space="preserve">xpert </w:t>
      </w:r>
      <w:r w:rsidR="00722081" w:rsidRPr="009A33E1">
        <w:rPr>
          <w:rFonts w:ascii="Times New Roman" w:hAnsi="Times New Roman" w:cs="Times New Roman"/>
          <w:noProof/>
          <w:lang w:val="en-IE"/>
        </w:rPr>
        <w:t>t</w:t>
      </w:r>
      <w:r w:rsidRPr="009A33E1">
        <w:rPr>
          <w:rFonts w:ascii="Times New Roman" w:hAnsi="Times New Roman" w:cs="Times New Roman"/>
          <w:noProof/>
          <w:lang w:val="en-IE"/>
        </w:rPr>
        <w:t xml:space="preserve">eam’s results addressed the current challenges in the customs union in the area of disruptive technology changes, quickly evolving business models or the costly implementation of the national </w:t>
      </w:r>
      <w:r w:rsidR="00E913FF" w:rsidRPr="009A33E1">
        <w:rPr>
          <w:rFonts w:ascii="Times New Roman" w:hAnsi="Times New Roman" w:cs="Times New Roman"/>
          <w:noProof/>
          <w:lang w:val="en-IE"/>
        </w:rPr>
        <w:t xml:space="preserve">components of </w:t>
      </w:r>
      <w:r w:rsidRPr="009A33E1">
        <w:rPr>
          <w:rFonts w:ascii="Times New Roman" w:hAnsi="Times New Roman" w:cs="Times New Roman"/>
          <w:noProof/>
          <w:lang w:val="en-IE"/>
        </w:rPr>
        <w:t>EES</w:t>
      </w:r>
      <w:r w:rsidR="008A3EFD" w:rsidRPr="009A33E1">
        <w:rPr>
          <w:rFonts w:ascii="Times New Roman" w:hAnsi="Times New Roman" w:cs="Times New Roman"/>
          <w:noProof/>
          <w:lang w:val="en-IE"/>
        </w:rPr>
        <w:t>. This is especially true when up to 27 similar national components are created</w:t>
      </w:r>
      <w:r w:rsidRPr="009A33E1">
        <w:rPr>
          <w:rFonts w:ascii="Times New Roman" w:hAnsi="Times New Roman" w:cs="Times New Roman"/>
          <w:noProof/>
          <w:lang w:val="en-IE"/>
        </w:rPr>
        <w:t xml:space="preserve">. Moreover, the </w:t>
      </w:r>
      <w:r w:rsidR="00722081" w:rsidRPr="009A33E1">
        <w:rPr>
          <w:rFonts w:ascii="Times New Roman" w:hAnsi="Times New Roman" w:cs="Times New Roman"/>
          <w:noProof/>
          <w:lang w:val="en-IE"/>
        </w:rPr>
        <w:t>e</w:t>
      </w:r>
      <w:r w:rsidRPr="009A33E1">
        <w:rPr>
          <w:rFonts w:ascii="Times New Roman" w:hAnsi="Times New Roman" w:cs="Times New Roman"/>
          <w:noProof/>
          <w:lang w:val="en-IE"/>
        </w:rPr>
        <w:t xml:space="preserve">xpert </w:t>
      </w:r>
      <w:r w:rsidR="00722081" w:rsidRPr="009A33E1">
        <w:rPr>
          <w:rFonts w:ascii="Times New Roman" w:hAnsi="Times New Roman" w:cs="Times New Roman"/>
          <w:noProof/>
          <w:lang w:val="en-IE"/>
        </w:rPr>
        <w:t>t</w:t>
      </w:r>
      <w:r w:rsidRPr="009A33E1">
        <w:rPr>
          <w:rFonts w:ascii="Times New Roman" w:hAnsi="Times New Roman" w:cs="Times New Roman"/>
          <w:noProof/>
          <w:lang w:val="en-IE"/>
        </w:rPr>
        <w:t xml:space="preserve">eam contributed to the initial work of </w:t>
      </w:r>
      <w:r w:rsidR="008A3EFD" w:rsidRPr="009A33E1">
        <w:rPr>
          <w:rFonts w:ascii="Times New Roman" w:hAnsi="Times New Roman" w:cs="Times New Roman"/>
          <w:noProof/>
          <w:lang w:val="en-IE"/>
        </w:rPr>
        <w:t xml:space="preserve">the </w:t>
      </w:r>
      <w:r w:rsidRPr="009A33E1">
        <w:rPr>
          <w:rFonts w:ascii="Times New Roman" w:hAnsi="Times New Roman" w:cs="Times New Roman"/>
          <w:noProof/>
          <w:lang w:val="en-IE"/>
        </w:rPr>
        <w:t>Wise Persons Group on the future of customs</w:t>
      </w:r>
      <w:r w:rsidR="008A3EFD" w:rsidRPr="009A33E1">
        <w:rPr>
          <w:rFonts w:ascii="Times New Roman" w:hAnsi="Times New Roman" w:cs="Times New Roman"/>
          <w:noProof/>
          <w:lang w:val="en-IE"/>
        </w:rPr>
        <w:t>,</w:t>
      </w:r>
      <w:r w:rsidRPr="009A33E1">
        <w:rPr>
          <w:rFonts w:ascii="Times New Roman" w:hAnsi="Times New Roman" w:cs="Times New Roman"/>
          <w:noProof/>
          <w:lang w:val="en-IE"/>
        </w:rPr>
        <w:t xml:space="preserve"> by sharing its findings and vision regarding new approaches to customs IT collaboration. Finally, ETCIT triggered the establishment of a network of Chief Information Officers (CIO network) which will result in improved and higher efficiency, effectiveness of national IT development and operation, reinforcing the structured and strategic collaboration between the customs authorities. </w:t>
      </w:r>
      <w:r w:rsidR="00E23EBA" w:rsidRPr="009A33E1">
        <w:rPr>
          <w:rFonts w:ascii="Times New Roman" w:hAnsi="Times New Roman" w:cs="Times New Roman"/>
          <w:noProof/>
          <w:lang w:val="en-IE"/>
        </w:rPr>
        <w:t>The ETCIT invited the Director in charge of customs IT delivery at the Commission side to join their CIO network, a proof of the very good multi-lateral collaboration established.</w:t>
      </w:r>
    </w:p>
    <w:p w14:paraId="6CC992F2" w14:textId="77777777" w:rsidR="00C816F0" w:rsidRPr="009A33E1" w:rsidRDefault="00C816F0" w:rsidP="00404503">
      <w:pPr>
        <w:spacing w:after="0" w:line="240" w:lineRule="auto"/>
        <w:jc w:val="both"/>
        <w:rPr>
          <w:rFonts w:ascii="Times New Roman" w:hAnsi="Times New Roman" w:cs="Times New Roman"/>
          <w:noProof/>
          <w:lang w:val="en-IE"/>
        </w:rPr>
      </w:pPr>
    </w:p>
    <w:p w14:paraId="26070299" w14:textId="768207ED" w:rsidR="00AB1F52"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The Expert Teams on Binding Tariff Information (BTI 2) and on Customs Laboratories (CLET) were also operational in 2021. However</w:t>
      </w:r>
      <w:r w:rsidR="005A1536" w:rsidRPr="009A33E1">
        <w:rPr>
          <w:rFonts w:ascii="Times New Roman" w:hAnsi="Times New Roman" w:cs="Times New Roman"/>
          <w:noProof/>
          <w:lang w:val="en-IE"/>
        </w:rPr>
        <w:t>,</w:t>
      </w:r>
      <w:r w:rsidRPr="009A33E1">
        <w:rPr>
          <w:rFonts w:ascii="Times New Roman" w:hAnsi="Times New Roman" w:cs="Times New Roman"/>
          <w:noProof/>
          <w:lang w:val="en-IE"/>
        </w:rPr>
        <w:t xml:space="preserve"> the intensity of their work and their results are less noteworthy.</w:t>
      </w:r>
    </w:p>
    <w:p w14:paraId="0DAD26C2" w14:textId="48C5EBD3" w:rsidR="00374730" w:rsidRPr="009A33E1" w:rsidRDefault="00374730" w:rsidP="00404503">
      <w:pPr>
        <w:spacing w:after="0" w:line="240" w:lineRule="auto"/>
        <w:jc w:val="both"/>
        <w:rPr>
          <w:rFonts w:ascii="Times New Roman" w:hAnsi="Times New Roman" w:cs="Times New Roman"/>
          <w:noProof/>
          <w:lang w:val="en-IE"/>
        </w:rPr>
      </w:pPr>
    </w:p>
    <w:p w14:paraId="366D9E1A" w14:textId="0B57878F" w:rsidR="00217DB5" w:rsidRPr="007F635D" w:rsidRDefault="16305A4A" w:rsidP="00DB2BB5">
      <w:pPr>
        <w:pStyle w:val="Heading2"/>
        <w:rPr>
          <w:noProof/>
        </w:rPr>
      </w:pPr>
      <w:bookmarkStart w:id="7" w:name="_Toc96083184"/>
      <w:r w:rsidRPr="00217DB5">
        <w:rPr>
          <w:noProof/>
        </w:rPr>
        <w:t>Support administrative and IT capacity building, including human competency and training, as well as the development and operation of European electronic systems</w:t>
      </w:r>
      <w:bookmarkEnd w:id="7"/>
      <w:r w:rsidRPr="00217DB5">
        <w:rPr>
          <w:noProof/>
        </w:rPr>
        <w:t xml:space="preserve"> </w:t>
      </w:r>
    </w:p>
    <w:p w14:paraId="37F81FFD" w14:textId="77777777" w:rsidR="00217DB5" w:rsidRPr="00217DB5" w:rsidRDefault="00217DB5" w:rsidP="00217DB5">
      <w:pPr>
        <w:pStyle w:val="ListParagraph"/>
        <w:spacing w:line="240" w:lineRule="auto"/>
        <w:ind w:left="786"/>
        <w:jc w:val="both"/>
        <w:rPr>
          <w:rFonts w:ascii="Times New Roman" w:hAnsi="Times New Roman" w:cs="Times New Roman"/>
          <w:noProof/>
          <w:lang w:val="en-IE"/>
        </w:rPr>
      </w:pPr>
    </w:p>
    <w:p w14:paraId="0F14B4D8" w14:textId="2BCB6EFD" w:rsidR="008D7217" w:rsidRPr="00DB2BB5" w:rsidRDefault="16305A4A" w:rsidP="00DB2BB5">
      <w:pPr>
        <w:pStyle w:val="Heading3"/>
        <w:rPr>
          <w:noProof/>
        </w:rPr>
      </w:pPr>
      <w:bookmarkStart w:id="8" w:name="_Toc96083185"/>
      <w:r w:rsidRPr="00DB2BB5">
        <w:rPr>
          <w:noProof/>
        </w:rPr>
        <w:t>IT capacity building</w:t>
      </w:r>
      <w:bookmarkEnd w:id="8"/>
    </w:p>
    <w:p w14:paraId="0B4604AE" w14:textId="77777777" w:rsidR="008D7217" w:rsidRPr="009A33E1" w:rsidRDefault="008D7217" w:rsidP="00033369">
      <w:pPr>
        <w:jc w:val="both"/>
        <w:rPr>
          <w:rFonts w:ascii="Times New Roman" w:hAnsi="Times New Roman" w:cs="Times New Roman"/>
          <w:noProof/>
          <w:lang w:val="en-IE"/>
        </w:rPr>
      </w:pPr>
      <w:r w:rsidRPr="009A33E1">
        <w:rPr>
          <w:rFonts w:ascii="Times New Roman" w:hAnsi="Times New Roman" w:cs="Times New Roman"/>
          <w:noProof/>
          <w:lang w:val="en-IE"/>
        </w:rPr>
        <w:t>The Customs programme Regulation stipulates that the Commission and the Member States shall jointly ensure the development and operation of the European electronic systems for customs, including their design, specification, conformance testing, deployment, operation, maintenance, evolution, modernisation, security, quality assurance and quality control.</w:t>
      </w:r>
    </w:p>
    <w:p w14:paraId="0FBF9278" w14:textId="7474155D" w:rsidR="00EE4FC1" w:rsidRPr="009A33E1" w:rsidRDefault="4CB48300" w:rsidP="00404503">
      <w:pPr>
        <w:spacing w:after="0" w:line="240" w:lineRule="auto"/>
        <w:jc w:val="both"/>
        <w:rPr>
          <w:rFonts w:ascii="Times New Roman" w:hAnsi="Times New Roman" w:cs="Times New Roman"/>
          <w:noProof/>
          <w:lang w:val="en-IE"/>
        </w:rPr>
      </w:pPr>
      <w:r w:rsidRPr="586E19CB">
        <w:rPr>
          <w:rFonts w:ascii="Times New Roman" w:hAnsi="Times New Roman" w:cs="Times New Roman"/>
          <w:noProof/>
          <w:lang w:val="en-IE"/>
        </w:rPr>
        <w:t xml:space="preserve">The late adoption of the MFF and the consequent late adoption of the Customs programme and its first financing decision prevented the signatures of contracts needed primarily for the uninterrupted and secure functioning and availability of the European electronic systems for customs, including the networks and databases. This meant that in 2021 measures had to be </w:t>
      </w:r>
      <w:r w:rsidR="00185744">
        <w:rPr>
          <w:rFonts w:ascii="Times New Roman" w:hAnsi="Times New Roman" w:cs="Times New Roman"/>
          <w:noProof/>
          <w:lang w:val="en-IE"/>
        </w:rPr>
        <w:t>taken</w:t>
      </w:r>
      <w:r w:rsidR="00185744" w:rsidRPr="586E19CB">
        <w:rPr>
          <w:rFonts w:ascii="Times New Roman" w:hAnsi="Times New Roman" w:cs="Times New Roman"/>
          <w:noProof/>
          <w:lang w:val="en-IE"/>
        </w:rPr>
        <w:t xml:space="preserve"> </w:t>
      </w:r>
      <w:r w:rsidRPr="586E19CB">
        <w:rPr>
          <w:rFonts w:ascii="Times New Roman" w:hAnsi="Times New Roman" w:cs="Times New Roman"/>
          <w:noProof/>
          <w:lang w:val="en-IE"/>
        </w:rPr>
        <w:t>to stretch the existing contracts to still allow the network and system</w:t>
      </w:r>
      <w:r w:rsidR="2049E422" w:rsidRPr="586E19CB">
        <w:rPr>
          <w:rFonts w:ascii="Times New Roman" w:hAnsi="Times New Roman" w:cs="Times New Roman"/>
          <w:noProof/>
          <w:lang w:val="en-IE"/>
        </w:rPr>
        <w:t>s</w:t>
      </w:r>
      <w:r w:rsidRPr="586E19CB">
        <w:rPr>
          <w:rFonts w:ascii="Times New Roman" w:hAnsi="Times New Roman" w:cs="Times New Roman"/>
          <w:noProof/>
          <w:lang w:val="en-IE"/>
        </w:rPr>
        <w:t xml:space="preserve"> availability to be close to 100%</w:t>
      </w:r>
      <w:r w:rsidR="3782A502" w:rsidRPr="586E19CB">
        <w:rPr>
          <w:rFonts w:ascii="Times New Roman" w:hAnsi="Times New Roman" w:cs="Times New Roman"/>
          <w:noProof/>
          <w:lang w:val="en-IE"/>
        </w:rPr>
        <w:t xml:space="preserve"> (see table 3 in Annex </w:t>
      </w:r>
      <w:r w:rsidR="00667D86">
        <w:rPr>
          <w:rFonts w:ascii="Times New Roman" w:hAnsi="Times New Roman" w:cs="Times New Roman"/>
          <w:noProof/>
          <w:lang w:val="en-IE"/>
        </w:rPr>
        <w:t>2</w:t>
      </w:r>
      <w:r w:rsidR="3782A502" w:rsidRPr="586E19CB">
        <w:rPr>
          <w:rFonts w:ascii="Times New Roman" w:hAnsi="Times New Roman" w:cs="Times New Roman"/>
          <w:noProof/>
          <w:lang w:val="en-IE"/>
        </w:rPr>
        <w:t xml:space="preserve">, and output indicator 1.3. in 3 in Annex </w:t>
      </w:r>
      <w:r w:rsidR="00667D86">
        <w:rPr>
          <w:rFonts w:ascii="Times New Roman" w:hAnsi="Times New Roman" w:cs="Times New Roman"/>
          <w:noProof/>
          <w:lang w:val="en-IE"/>
        </w:rPr>
        <w:t>3</w:t>
      </w:r>
      <w:r w:rsidR="3782A502" w:rsidRPr="586E19CB">
        <w:rPr>
          <w:rFonts w:ascii="Times New Roman" w:hAnsi="Times New Roman" w:cs="Times New Roman"/>
          <w:noProof/>
          <w:lang w:val="en-IE"/>
        </w:rPr>
        <w:t>)</w:t>
      </w:r>
      <w:r w:rsidRPr="586E19CB">
        <w:rPr>
          <w:rFonts w:ascii="Times New Roman" w:hAnsi="Times New Roman" w:cs="Times New Roman"/>
          <w:noProof/>
          <w:lang w:val="en-IE"/>
        </w:rPr>
        <w:t xml:space="preserve">.  </w:t>
      </w:r>
    </w:p>
    <w:p w14:paraId="3F3D0C4D" w14:textId="77777777" w:rsidR="00DA7D43" w:rsidRPr="009A33E1" w:rsidRDefault="00DA7D43" w:rsidP="00404503">
      <w:pPr>
        <w:spacing w:after="0"/>
        <w:jc w:val="both"/>
        <w:rPr>
          <w:rFonts w:ascii="Times New Roman" w:hAnsi="Times New Roman" w:cs="Times New Roman"/>
          <w:noProof/>
          <w:lang w:val="en-IE"/>
        </w:rPr>
      </w:pPr>
    </w:p>
    <w:p w14:paraId="6103FFD2" w14:textId="7198E2D6" w:rsidR="004F60E2" w:rsidRPr="009A33E1" w:rsidRDefault="00261534"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T</w:t>
      </w:r>
      <w:r w:rsidR="00F55720" w:rsidRPr="009A33E1">
        <w:rPr>
          <w:rFonts w:ascii="Times New Roman" w:hAnsi="Times New Roman" w:cs="Times New Roman"/>
          <w:noProof/>
          <w:lang w:val="en-IE"/>
        </w:rPr>
        <w:t xml:space="preserve">he development, maintenance, operation, and quality control of common components of the existing and new European electronic systems for customs (EES) </w:t>
      </w:r>
      <w:r w:rsidRPr="009A33E1">
        <w:rPr>
          <w:rFonts w:ascii="Times New Roman" w:hAnsi="Times New Roman" w:cs="Times New Roman"/>
          <w:noProof/>
          <w:lang w:val="en-IE"/>
        </w:rPr>
        <w:t xml:space="preserve">concerned </w:t>
      </w:r>
      <w:r w:rsidR="007C1EF6" w:rsidRPr="009A33E1">
        <w:rPr>
          <w:rFonts w:ascii="Times New Roman" w:hAnsi="Times New Roman" w:cs="Times New Roman"/>
          <w:noProof/>
          <w:lang w:val="en-IE"/>
        </w:rPr>
        <w:t>6</w:t>
      </w:r>
      <w:r w:rsidRPr="009A33E1">
        <w:rPr>
          <w:rFonts w:ascii="Times New Roman" w:hAnsi="Times New Roman" w:cs="Times New Roman"/>
          <w:noProof/>
          <w:lang w:val="en-IE"/>
        </w:rPr>
        <w:t>1 systems in 2021</w:t>
      </w:r>
      <w:r w:rsidR="00F55720" w:rsidRPr="009A33E1">
        <w:rPr>
          <w:rStyle w:val="FootnoteReference"/>
          <w:rFonts w:ascii="Times New Roman" w:hAnsi="Times New Roman" w:cs="Times New Roman"/>
          <w:noProof/>
          <w:lang w:val="en-IE"/>
        </w:rPr>
        <w:footnoteReference w:id="13"/>
      </w:r>
      <w:r w:rsidR="6A120E1D" w:rsidRPr="009A33E1">
        <w:rPr>
          <w:rFonts w:ascii="Times New Roman" w:hAnsi="Times New Roman" w:cs="Times New Roman"/>
          <w:noProof/>
          <w:lang w:val="en-IE"/>
        </w:rPr>
        <w:t>.</w:t>
      </w:r>
    </w:p>
    <w:p w14:paraId="68A5343F" w14:textId="5A9DA45E" w:rsidR="2AF46B81" w:rsidRPr="009A33E1" w:rsidRDefault="2AF46B81" w:rsidP="00404503">
      <w:pPr>
        <w:spacing w:after="0" w:line="240" w:lineRule="auto"/>
        <w:ind w:left="132"/>
        <w:jc w:val="both"/>
        <w:rPr>
          <w:rFonts w:ascii="Times New Roman" w:hAnsi="Times New Roman" w:cs="Times New Roman"/>
          <w:noProof/>
          <w:lang w:val="en-IE"/>
        </w:rPr>
      </w:pPr>
    </w:p>
    <w:p w14:paraId="107A6677" w14:textId="5D0728B5" w:rsidR="00D124A2"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In 2021 the Commission progressed well on the developments of the Union Customs Code (UCC) systems under its responsibility (performed approximately 8</w:t>
      </w:r>
      <w:r w:rsidR="001A35A9" w:rsidRPr="009A33E1">
        <w:rPr>
          <w:rFonts w:ascii="Times New Roman" w:hAnsi="Times New Roman" w:cs="Times New Roman"/>
          <w:noProof/>
          <w:lang w:val="en-IE"/>
        </w:rPr>
        <w:t>2</w:t>
      </w:r>
      <w:r w:rsidRPr="009A33E1">
        <w:rPr>
          <w:rFonts w:ascii="Times New Roman" w:hAnsi="Times New Roman" w:cs="Times New Roman"/>
          <w:noProof/>
          <w:lang w:val="en-IE"/>
        </w:rPr>
        <w:t>% of its activities by December 2021</w:t>
      </w:r>
      <w:r w:rsidR="007868FD" w:rsidRPr="009A33E1">
        <w:rPr>
          <w:rFonts w:ascii="Times New Roman" w:hAnsi="Times New Roman" w:cs="Times New Roman"/>
          <w:noProof/>
          <w:lang w:val="en-IE"/>
        </w:rPr>
        <w:t>,</w:t>
      </w:r>
      <w:r w:rsidR="00BF77C2" w:rsidRPr="009A33E1">
        <w:rPr>
          <w:rFonts w:ascii="Times New Roman" w:hAnsi="Times New Roman" w:cs="Times New Roman"/>
          <w:noProof/>
          <w:lang w:val="en-IE"/>
        </w:rPr>
        <w:t xml:space="preserve"> see output indicator 1.2. in Annex </w:t>
      </w:r>
      <w:r w:rsidR="00667D86">
        <w:rPr>
          <w:rFonts w:ascii="Times New Roman" w:hAnsi="Times New Roman" w:cs="Times New Roman"/>
          <w:noProof/>
          <w:lang w:val="en-IE"/>
        </w:rPr>
        <w:t>3</w:t>
      </w:r>
      <w:r w:rsidRPr="009A33E1">
        <w:rPr>
          <w:rFonts w:ascii="Times New Roman" w:hAnsi="Times New Roman" w:cs="Times New Roman"/>
          <w:noProof/>
          <w:lang w:val="en-IE"/>
        </w:rPr>
        <w:t>). No delays beyond the legal deadlines were identified or materialised. Moreover, all major risks that would have led to late deployment, such as the late availability of the Customs programme budget under the new MFF, were handled.</w:t>
      </w:r>
    </w:p>
    <w:p w14:paraId="4F17451F" w14:textId="53F7A02A" w:rsidR="00D124A2" w:rsidRPr="009A33E1" w:rsidRDefault="00D124A2" w:rsidP="00404503">
      <w:pPr>
        <w:spacing w:after="0" w:line="240" w:lineRule="auto"/>
        <w:jc w:val="both"/>
        <w:rPr>
          <w:rFonts w:ascii="Times New Roman" w:hAnsi="Times New Roman" w:cs="Times New Roman"/>
          <w:noProof/>
          <w:lang w:val="en-IE"/>
        </w:rPr>
      </w:pPr>
    </w:p>
    <w:p w14:paraId="12CBA413" w14:textId="39D73C8E" w:rsidR="00D124A2"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In particular, the Commission successfully deployed the UCC Import Control System 2 (ICS2) Release 1. Since its launch, the system has been processing a large amount of data with about 10 million Entry </w:t>
      </w:r>
      <w:r w:rsidR="000C044F" w:rsidRPr="009A33E1">
        <w:rPr>
          <w:rFonts w:ascii="Times New Roman" w:hAnsi="Times New Roman" w:cs="Times New Roman"/>
          <w:noProof/>
          <w:lang w:val="en-IE"/>
        </w:rPr>
        <w:t xml:space="preserve">Summary </w:t>
      </w:r>
      <w:r w:rsidRPr="009A33E1">
        <w:rPr>
          <w:rFonts w:ascii="Times New Roman" w:hAnsi="Times New Roman" w:cs="Times New Roman"/>
          <w:noProof/>
          <w:lang w:val="en-IE"/>
        </w:rPr>
        <w:t>Declaration</w:t>
      </w:r>
      <w:r w:rsidR="000C044F" w:rsidRPr="009A33E1">
        <w:rPr>
          <w:rFonts w:ascii="Times New Roman" w:hAnsi="Times New Roman" w:cs="Times New Roman"/>
          <w:noProof/>
          <w:lang w:val="en-IE"/>
        </w:rPr>
        <w:t>s</w:t>
      </w:r>
      <w:r w:rsidRPr="009A33E1">
        <w:rPr>
          <w:rFonts w:ascii="Times New Roman" w:hAnsi="Times New Roman" w:cs="Times New Roman"/>
          <w:noProof/>
          <w:lang w:val="en-IE"/>
        </w:rPr>
        <w:t xml:space="preserve"> (ENS) per month, supporting effective risk-based customs controls whilst facilitating free flow of legitimate trade across the EU external borders. Representing the first line of defence in terms of protection of the EU internal market and the EU consumers, the release contributed to the compliance requirements to meet the deadlines set in the UCC and the UCC </w:t>
      </w:r>
      <w:r w:rsidR="00185744">
        <w:rPr>
          <w:rFonts w:ascii="Times New Roman" w:hAnsi="Times New Roman" w:cs="Times New Roman"/>
          <w:noProof/>
          <w:lang w:val="en-IE"/>
        </w:rPr>
        <w:t>W</w:t>
      </w:r>
      <w:r w:rsidRPr="009A33E1">
        <w:rPr>
          <w:rFonts w:ascii="Times New Roman" w:hAnsi="Times New Roman" w:cs="Times New Roman"/>
          <w:noProof/>
          <w:lang w:val="en-IE"/>
        </w:rPr>
        <w:t xml:space="preserve">ork </w:t>
      </w:r>
      <w:r w:rsidR="00185744">
        <w:rPr>
          <w:rFonts w:ascii="Times New Roman" w:hAnsi="Times New Roman" w:cs="Times New Roman"/>
          <w:noProof/>
          <w:lang w:val="en-IE"/>
        </w:rPr>
        <w:t>P</w:t>
      </w:r>
      <w:r w:rsidRPr="009A33E1">
        <w:rPr>
          <w:rFonts w:ascii="Times New Roman" w:hAnsi="Times New Roman" w:cs="Times New Roman"/>
          <w:noProof/>
          <w:lang w:val="en-IE"/>
        </w:rPr>
        <w:t>rogramme</w:t>
      </w:r>
      <w:r w:rsidR="00185744">
        <w:rPr>
          <w:rStyle w:val="FootnoteReference"/>
          <w:rFonts w:ascii="Times New Roman" w:hAnsi="Times New Roman" w:cs="Times New Roman"/>
          <w:noProof/>
          <w:lang w:val="en-IE"/>
        </w:rPr>
        <w:footnoteReference w:id="14"/>
      </w:r>
      <w:r w:rsidR="00185744">
        <w:rPr>
          <w:rFonts w:ascii="Times New Roman" w:hAnsi="Times New Roman" w:cs="Times New Roman"/>
          <w:noProof/>
          <w:lang w:val="en-IE"/>
        </w:rPr>
        <w:t>.</w:t>
      </w:r>
      <w:r w:rsidRPr="009A33E1">
        <w:rPr>
          <w:rFonts w:ascii="Times New Roman" w:hAnsi="Times New Roman" w:cs="Times New Roman"/>
          <w:noProof/>
          <w:lang w:val="en-IE"/>
        </w:rPr>
        <w:t xml:space="preserve"> </w:t>
      </w:r>
    </w:p>
    <w:p w14:paraId="63C57B7F" w14:textId="77777777" w:rsidR="0075733E" w:rsidRPr="009A33E1" w:rsidRDefault="0075733E" w:rsidP="00404503">
      <w:pPr>
        <w:spacing w:after="0" w:line="240" w:lineRule="auto"/>
        <w:jc w:val="both"/>
        <w:rPr>
          <w:rFonts w:ascii="Times New Roman" w:hAnsi="Times New Roman" w:cs="Times New Roman"/>
          <w:noProof/>
          <w:lang w:val="en-IE"/>
        </w:rPr>
      </w:pPr>
    </w:p>
    <w:p w14:paraId="7E355281" w14:textId="7CA637DC" w:rsidR="00D124A2"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 xml:space="preserve">The UCC New Computerised Transit System Phase 5 (NCTS-P5) and the UCC Automated Export System (AES) were successfully put in production this year </w:t>
      </w:r>
      <w:r w:rsidR="000C044F" w:rsidRPr="009A33E1">
        <w:rPr>
          <w:rFonts w:ascii="Times New Roman" w:hAnsi="Times New Roman" w:cs="Times New Roman"/>
          <w:noProof/>
          <w:lang w:val="en-IE"/>
        </w:rPr>
        <w:t xml:space="preserve">of 2021, </w:t>
      </w:r>
      <w:r w:rsidRPr="009A33E1">
        <w:rPr>
          <w:rFonts w:ascii="Times New Roman" w:hAnsi="Times New Roman" w:cs="Times New Roman"/>
          <w:noProof/>
          <w:lang w:val="en-IE"/>
        </w:rPr>
        <w:t>with the entry in operation of its first Member State. Intensive collaborative testing supported the technical transition. Collective intelligence and agility with Member States and trade were the key asset fuelling these projects towards their targets. The projects were on track and the Member States started to publish their specifications for the traders in 2021. Unfortunately, half of the national plans presented serious risks for the orderly and timely deployment of the NCTS-P5 and AES by the legal deadline. As such, the Commission invited the Member States to take all necessary steps to advance their plan and de-risk them</w:t>
      </w:r>
      <w:r w:rsidR="000C044F" w:rsidRPr="009A33E1">
        <w:rPr>
          <w:rFonts w:ascii="Times New Roman" w:hAnsi="Times New Roman" w:cs="Times New Roman"/>
          <w:noProof/>
          <w:lang w:val="en-IE"/>
        </w:rPr>
        <w:t>,</w:t>
      </w:r>
      <w:r w:rsidRPr="009A33E1">
        <w:rPr>
          <w:rFonts w:ascii="Times New Roman" w:hAnsi="Times New Roman" w:cs="Times New Roman"/>
          <w:noProof/>
          <w:lang w:val="en-IE"/>
        </w:rPr>
        <w:t xml:space="preserve"> to avoid compromising the end date of the deployment window, establishing the end of the transitional arrangements. Similar warning was issued for the national projects where risks for delays had been reported by some Member States, in particular in the domain of entry of goods into the EU. The deployment date as well as the roll out and full operation with all economic operators should fall within the deployment windows set by the UCC Work Plan. </w:t>
      </w:r>
      <w:r w:rsidR="00A052A8" w:rsidRPr="009A33E1">
        <w:rPr>
          <w:rFonts w:ascii="Times New Roman" w:hAnsi="Times New Roman" w:cs="Times New Roman"/>
          <w:noProof/>
          <w:lang w:val="en-IE"/>
        </w:rPr>
        <w:t>All the details of the state of play of the implementation of the IT systems that underpin the UCC are provided by the Commission in its UCC Annual Activity Report</w:t>
      </w:r>
      <w:r w:rsidR="00417601">
        <w:rPr>
          <w:rStyle w:val="FootnoteReference"/>
          <w:rFonts w:ascii="Times New Roman" w:hAnsi="Times New Roman" w:cs="Times New Roman"/>
          <w:noProof/>
          <w:lang w:val="en-IE"/>
        </w:rPr>
        <w:footnoteReference w:id="15"/>
      </w:r>
      <w:r w:rsidR="00A052A8" w:rsidRPr="009A33E1">
        <w:rPr>
          <w:rFonts w:ascii="Times New Roman" w:hAnsi="Times New Roman" w:cs="Times New Roman"/>
          <w:noProof/>
          <w:lang w:val="en-IE"/>
        </w:rPr>
        <w:t>.</w:t>
      </w:r>
    </w:p>
    <w:p w14:paraId="4A0DAB6E" w14:textId="558B1E28" w:rsidR="00126EC7" w:rsidRPr="009A33E1" w:rsidRDefault="00126EC7" w:rsidP="00033369">
      <w:pPr>
        <w:spacing w:after="0" w:line="240" w:lineRule="auto"/>
        <w:jc w:val="both"/>
        <w:rPr>
          <w:rFonts w:ascii="Times New Roman" w:hAnsi="Times New Roman" w:cs="Times New Roman"/>
          <w:noProof/>
          <w:lang w:val="en-IE"/>
        </w:rPr>
      </w:pPr>
    </w:p>
    <w:p w14:paraId="5510CF4E" w14:textId="0F3E8011" w:rsidR="000F1007" w:rsidRPr="009A33E1" w:rsidRDefault="16305A4A" w:rsidP="00404503">
      <w:pPr>
        <w:spacing w:after="0" w:line="240" w:lineRule="auto"/>
        <w:jc w:val="both"/>
        <w:rPr>
          <w:rFonts w:ascii="Times New Roman" w:hAnsi="Times New Roman" w:cs="Times New Roman"/>
          <w:noProof/>
          <w:lang w:val="en-IE"/>
        </w:rPr>
      </w:pPr>
      <w:r w:rsidRPr="009A33E1">
        <w:rPr>
          <w:rFonts w:ascii="Times New Roman" w:hAnsi="Times New Roman" w:cs="Times New Roman"/>
          <w:noProof/>
          <w:lang w:val="en-IE"/>
        </w:rPr>
        <w:t>In 2021, the Customs programme maintained to embrace the provisions of the General Data Protection Regulation</w:t>
      </w:r>
      <w:r w:rsidR="00386572">
        <w:rPr>
          <w:rStyle w:val="FootnoteReference"/>
          <w:rFonts w:ascii="Times New Roman" w:hAnsi="Times New Roman" w:cs="Times New Roman"/>
          <w:noProof/>
          <w:lang w:val="en-IE"/>
        </w:rPr>
        <w:footnoteReference w:id="16"/>
      </w:r>
      <w:r w:rsidRPr="009A33E1">
        <w:rPr>
          <w:rFonts w:ascii="Times New Roman" w:hAnsi="Times New Roman" w:cs="Times New Roman"/>
          <w:noProof/>
          <w:lang w:val="en-IE"/>
        </w:rPr>
        <w:t>, providing collaborative fora for the Member States together with the Commission to improve the understanding on the data protection principles, rules and requirements</w:t>
      </w:r>
      <w:r w:rsidR="009C4F70" w:rsidRPr="009A33E1">
        <w:rPr>
          <w:rFonts w:ascii="Times New Roman" w:hAnsi="Times New Roman" w:cs="Times New Roman"/>
          <w:noProof/>
          <w:lang w:val="en-IE"/>
        </w:rPr>
        <w:t>. It also</w:t>
      </w:r>
      <w:r w:rsidRPr="009A33E1">
        <w:rPr>
          <w:rFonts w:ascii="Times New Roman" w:hAnsi="Times New Roman" w:cs="Times New Roman"/>
          <w:noProof/>
          <w:lang w:val="en-IE"/>
        </w:rPr>
        <w:t xml:space="preserve"> contribute</w:t>
      </w:r>
      <w:r w:rsidR="009C4F70" w:rsidRPr="009A33E1">
        <w:rPr>
          <w:rFonts w:ascii="Times New Roman" w:hAnsi="Times New Roman" w:cs="Times New Roman"/>
          <w:noProof/>
          <w:lang w:val="en-IE"/>
        </w:rPr>
        <w:t>d</w:t>
      </w:r>
      <w:r w:rsidRPr="009A33E1">
        <w:rPr>
          <w:rFonts w:ascii="Times New Roman" w:hAnsi="Times New Roman" w:cs="Times New Roman"/>
          <w:noProof/>
          <w:lang w:val="en-IE"/>
        </w:rPr>
        <w:t xml:space="preserve"> to the establishment of data protection arrangements directly linked with the large number of </w:t>
      </w:r>
      <w:r w:rsidR="00A052A8" w:rsidRPr="009A33E1">
        <w:rPr>
          <w:rFonts w:ascii="Times New Roman" w:hAnsi="Times New Roman" w:cs="Times New Roman"/>
          <w:noProof/>
          <w:lang w:val="en-IE"/>
        </w:rPr>
        <w:t>European electronic</w:t>
      </w:r>
      <w:r w:rsidRPr="009A33E1">
        <w:rPr>
          <w:rFonts w:ascii="Times New Roman" w:hAnsi="Times New Roman" w:cs="Times New Roman"/>
          <w:noProof/>
          <w:lang w:val="en-IE"/>
        </w:rPr>
        <w:t xml:space="preserve"> systems </w:t>
      </w:r>
      <w:r w:rsidR="009D45BF">
        <w:rPr>
          <w:rFonts w:ascii="Times New Roman" w:hAnsi="Times New Roman" w:cs="Times New Roman"/>
          <w:noProof/>
          <w:lang w:val="en-IE"/>
        </w:rPr>
        <w:t xml:space="preserve">for customs </w:t>
      </w:r>
      <w:r w:rsidRPr="009A33E1">
        <w:rPr>
          <w:rFonts w:ascii="Times New Roman" w:hAnsi="Times New Roman" w:cs="Times New Roman"/>
          <w:noProof/>
          <w:lang w:val="en-IE"/>
        </w:rPr>
        <w:t>under the joint controllership of the Commission and the Member States.</w:t>
      </w:r>
    </w:p>
    <w:p w14:paraId="09C55776" w14:textId="77777777" w:rsidR="000F1007" w:rsidRPr="009A33E1" w:rsidRDefault="000F1007" w:rsidP="00033369">
      <w:pPr>
        <w:spacing w:after="0" w:line="240" w:lineRule="auto"/>
        <w:jc w:val="both"/>
        <w:rPr>
          <w:rFonts w:ascii="Times New Roman" w:hAnsi="Times New Roman" w:cs="Times New Roman"/>
          <w:noProof/>
          <w:lang w:val="en-IE"/>
        </w:rPr>
      </w:pPr>
    </w:p>
    <w:p w14:paraId="08917D62" w14:textId="09D954C5" w:rsidR="002B1891" w:rsidRPr="00217DB5" w:rsidRDefault="16305A4A" w:rsidP="00DB2BB5">
      <w:pPr>
        <w:pStyle w:val="Heading3"/>
        <w:rPr>
          <w:noProof/>
        </w:rPr>
      </w:pPr>
      <w:bookmarkStart w:id="9" w:name="_Toc96083186"/>
      <w:r w:rsidRPr="00217DB5">
        <w:rPr>
          <w:noProof/>
        </w:rPr>
        <w:t>Human c</w:t>
      </w:r>
      <w:r w:rsidR="00217DB5">
        <w:rPr>
          <w:noProof/>
        </w:rPr>
        <w:t>ompetency building and training activities</w:t>
      </w:r>
      <w:bookmarkEnd w:id="9"/>
    </w:p>
    <w:p w14:paraId="4D9EEEAB" w14:textId="0FCDDB1A" w:rsidR="00014A41" w:rsidRPr="009A33E1" w:rsidRDefault="16305A4A" w:rsidP="00404503">
      <w:pPr>
        <w:spacing w:line="240" w:lineRule="auto"/>
        <w:ind w:left="22"/>
        <w:jc w:val="both"/>
        <w:rPr>
          <w:rFonts w:ascii="Times New Roman" w:hAnsi="Times New Roman" w:cs="Times New Roman"/>
          <w:noProof/>
          <w:lang w:val="en-IE"/>
        </w:rPr>
      </w:pPr>
      <w:r w:rsidRPr="009A33E1">
        <w:rPr>
          <w:rFonts w:ascii="Times New Roman" w:hAnsi="Times New Roman" w:cs="Times New Roman"/>
          <w:noProof/>
          <w:lang w:val="en-IE"/>
        </w:rPr>
        <w:t>The majority of the joint/collaborative actions funded by the Customs programmes have an educational or knowledge building/sharing element. At the same time, the Customs programmes also support activities with a predominant training objective, such as the development, translation and promotion of eLearning courses.</w:t>
      </w:r>
      <w:r w:rsidRPr="009A33E1">
        <w:rPr>
          <w:rFonts w:ascii="Times New Roman" w:hAnsi="Times New Roman" w:cs="Times New Roman"/>
          <w:b/>
          <w:bCs/>
          <w:noProof/>
          <w:lang w:val="en-IE"/>
        </w:rPr>
        <w:t xml:space="preserve"> </w:t>
      </w:r>
    </w:p>
    <w:p w14:paraId="4F89677F" w14:textId="03687FD7" w:rsidR="00D915F6" w:rsidRPr="009A33E1" w:rsidRDefault="16305A4A" w:rsidP="00404503">
      <w:pPr>
        <w:spacing w:line="240" w:lineRule="auto"/>
        <w:ind w:left="22"/>
        <w:jc w:val="both"/>
        <w:rPr>
          <w:rFonts w:ascii="Times New Roman" w:hAnsi="Times New Roman" w:cs="Times New Roman"/>
          <w:noProof/>
          <w:lang w:val="en-IE"/>
        </w:rPr>
      </w:pPr>
      <w:r w:rsidRPr="009A33E1">
        <w:rPr>
          <w:rFonts w:ascii="Times New Roman" w:hAnsi="Times New Roman" w:cs="Times New Roman"/>
          <w:noProof/>
          <w:lang w:val="en-IE"/>
        </w:rPr>
        <w:t xml:space="preserve">In 2021, the Commission continued promoting and coordinating extending certain national training initiatives to participants from other programme participating countries’ customs authorities. The Customs programmes contributed to the organisation and execution of shared training sessions that primarily addressed the operational aspects of risk management and customs controls thus facilitating the establishment of common good practices in the EU. In addition, in the context of the Covid-19 pandemic, a training initiative directly contributed to and generated recommendations in terms of the modern and effective training methodologies targeting the interactive, online/distant-learning methods and tools. </w:t>
      </w:r>
    </w:p>
    <w:p w14:paraId="54057C6A" w14:textId="3D50A41B" w:rsidR="00484BA9" w:rsidRPr="009A33E1" w:rsidRDefault="00484BA9" w:rsidP="00404503">
      <w:pPr>
        <w:spacing w:line="240" w:lineRule="auto"/>
        <w:ind w:left="22"/>
        <w:jc w:val="both"/>
        <w:rPr>
          <w:rFonts w:ascii="Times New Roman" w:hAnsi="Times New Roman" w:cs="Times New Roman"/>
          <w:noProof/>
          <w:lang w:val="en-IE"/>
        </w:rPr>
      </w:pPr>
      <w:r w:rsidRPr="009A33E1">
        <w:rPr>
          <w:rFonts w:ascii="Times New Roman" w:hAnsi="Times New Roman" w:cs="Times New Roman"/>
          <w:noProof/>
          <w:lang w:val="en-IE"/>
        </w:rPr>
        <w:t>Two new eLearning courses were delivered in 2021. F</w:t>
      </w:r>
      <w:r w:rsidR="009D45BF">
        <w:rPr>
          <w:rFonts w:ascii="Times New Roman" w:hAnsi="Times New Roman" w:cs="Times New Roman"/>
          <w:noProof/>
          <w:lang w:val="en-IE"/>
        </w:rPr>
        <w:t>irst, the eLearning modules on customs c</w:t>
      </w:r>
      <w:r w:rsidRPr="009A33E1">
        <w:rPr>
          <w:rFonts w:ascii="Times New Roman" w:hAnsi="Times New Roman" w:cs="Times New Roman"/>
          <w:noProof/>
          <w:lang w:val="en-IE"/>
        </w:rPr>
        <w:t xml:space="preserve">ontrols </w:t>
      </w:r>
      <w:r w:rsidR="009D45BF">
        <w:rPr>
          <w:rFonts w:ascii="Times New Roman" w:hAnsi="Times New Roman" w:cs="Times New Roman"/>
          <w:noProof/>
          <w:lang w:val="en-IE"/>
        </w:rPr>
        <w:t>“</w:t>
      </w:r>
      <w:r w:rsidRPr="009A33E1">
        <w:rPr>
          <w:rFonts w:ascii="Times New Roman" w:hAnsi="Times New Roman" w:cs="Times New Roman"/>
          <w:noProof/>
          <w:lang w:val="en-IE"/>
        </w:rPr>
        <w:t>Prohibitions and Restrictions</w:t>
      </w:r>
      <w:r w:rsidR="009D45BF">
        <w:rPr>
          <w:rFonts w:ascii="Times New Roman" w:hAnsi="Times New Roman" w:cs="Times New Roman"/>
          <w:noProof/>
          <w:lang w:val="en-IE"/>
        </w:rPr>
        <w:t>”</w:t>
      </w:r>
      <w:r w:rsidRPr="009A33E1">
        <w:rPr>
          <w:rFonts w:ascii="Times New Roman" w:hAnsi="Times New Roman" w:cs="Times New Roman"/>
          <w:noProof/>
          <w:lang w:val="en-IE"/>
        </w:rPr>
        <w:t>, which help customs officers apply</w:t>
      </w:r>
      <w:r w:rsidR="00736267">
        <w:rPr>
          <w:rFonts w:ascii="Times New Roman" w:hAnsi="Times New Roman" w:cs="Times New Roman"/>
          <w:noProof/>
          <w:lang w:val="en-IE"/>
        </w:rPr>
        <w:t>ing</w:t>
      </w:r>
      <w:r w:rsidRPr="009A33E1">
        <w:rPr>
          <w:rFonts w:ascii="Times New Roman" w:hAnsi="Times New Roman" w:cs="Times New Roman"/>
          <w:noProof/>
          <w:lang w:val="en-IE"/>
        </w:rPr>
        <w:t xml:space="preserve"> prior knowledge in an immersive, 3D simulated container search task. The second course, on </w:t>
      </w:r>
      <w:r w:rsidR="004D08C6" w:rsidRPr="009A33E1">
        <w:rPr>
          <w:rFonts w:ascii="Times New Roman" w:hAnsi="Times New Roman" w:cs="Times New Roman"/>
          <w:noProof/>
          <w:lang w:val="en-IE"/>
        </w:rPr>
        <w:t xml:space="preserve">the UCC system for </w:t>
      </w:r>
      <w:r w:rsidRPr="009A33E1">
        <w:rPr>
          <w:rFonts w:ascii="Times New Roman" w:hAnsi="Times New Roman" w:cs="Times New Roman"/>
          <w:noProof/>
          <w:lang w:val="en-IE"/>
        </w:rPr>
        <w:t>Uniform User Management and Digital Signature (UUM&amp;DS), was released in 21 languages and provides economic operators and their customs representatives with information on how to work with UUM&amp;DS. 86</w:t>
      </w:r>
      <w:r w:rsidR="00E8751A">
        <w:rPr>
          <w:rFonts w:ascii="Times New Roman" w:hAnsi="Times New Roman" w:cs="Times New Roman"/>
          <w:noProof/>
          <w:lang w:val="en-IE"/>
        </w:rPr>
        <w:t> </w:t>
      </w:r>
      <w:r w:rsidRPr="009A33E1">
        <w:rPr>
          <w:rFonts w:ascii="Times New Roman" w:hAnsi="Times New Roman" w:cs="Times New Roman"/>
          <w:noProof/>
          <w:lang w:val="en-IE"/>
        </w:rPr>
        <w:t xml:space="preserve">localised versions of existing courses were </w:t>
      </w:r>
      <w:r w:rsidR="006C60A0" w:rsidRPr="009A33E1">
        <w:rPr>
          <w:rFonts w:ascii="Times New Roman" w:hAnsi="Times New Roman" w:cs="Times New Roman"/>
          <w:noProof/>
          <w:lang w:val="en-IE"/>
        </w:rPr>
        <w:t xml:space="preserve">also </w:t>
      </w:r>
      <w:r w:rsidRPr="009A33E1">
        <w:rPr>
          <w:rFonts w:ascii="Times New Roman" w:hAnsi="Times New Roman" w:cs="Times New Roman"/>
          <w:noProof/>
          <w:lang w:val="en-IE"/>
        </w:rPr>
        <w:t xml:space="preserve">developed. </w:t>
      </w:r>
      <w:r w:rsidR="006C60A0" w:rsidRPr="009A33E1">
        <w:rPr>
          <w:rFonts w:ascii="Times New Roman" w:hAnsi="Times New Roman" w:cs="Times New Roman"/>
          <w:noProof/>
          <w:lang w:val="en-IE"/>
        </w:rPr>
        <w:t xml:space="preserve">Overall, the number of officers accessing eLearning courses in 2021 was 20 times more than in 2020, thanks to the availability of the new Customs &amp; Tax EU Learning Portal (see table 9 in Annex </w:t>
      </w:r>
      <w:r w:rsidR="00667D86">
        <w:rPr>
          <w:rFonts w:ascii="Times New Roman" w:hAnsi="Times New Roman" w:cs="Times New Roman"/>
          <w:noProof/>
          <w:lang w:val="en-IE"/>
        </w:rPr>
        <w:t>2</w:t>
      </w:r>
      <w:r w:rsidR="006C60A0" w:rsidRPr="009A33E1">
        <w:rPr>
          <w:rFonts w:ascii="Times New Roman" w:hAnsi="Times New Roman" w:cs="Times New Roman"/>
          <w:noProof/>
          <w:lang w:val="en-IE"/>
        </w:rPr>
        <w:t xml:space="preserve">). </w:t>
      </w:r>
    </w:p>
    <w:p w14:paraId="27A4A850" w14:textId="634303CA" w:rsidR="00C8374F" w:rsidRPr="009A33E1" w:rsidRDefault="27F873D7" w:rsidP="00404503">
      <w:pPr>
        <w:spacing w:line="240" w:lineRule="auto"/>
        <w:ind w:left="22"/>
        <w:jc w:val="both"/>
        <w:rPr>
          <w:rFonts w:ascii="Times New Roman" w:hAnsi="Times New Roman" w:cs="Times New Roman"/>
          <w:noProof/>
          <w:lang w:val="en-IE"/>
        </w:rPr>
      </w:pPr>
      <w:r w:rsidRPr="009A33E1">
        <w:rPr>
          <w:rFonts w:ascii="Times New Roman" w:hAnsi="Times New Roman" w:cs="Times New Roman"/>
          <w:noProof/>
          <w:lang w:val="en-IE"/>
        </w:rPr>
        <w:t xml:space="preserve">In addition, </w:t>
      </w:r>
      <w:r w:rsidR="2DDD7231" w:rsidRPr="009A33E1">
        <w:rPr>
          <w:rFonts w:ascii="Times New Roman" w:hAnsi="Times New Roman" w:cs="Times New Roman"/>
          <w:noProof/>
          <w:lang w:val="en-IE"/>
        </w:rPr>
        <w:t>11 nano</w:t>
      </w:r>
      <w:r w:rsidR="6A5F394D" w:rsidRPr="009A33E1">
        <w:rPr>
          <w:rFonts w:ascii="Times New Roman" w:hAnsi="Times New Roman" w:cs="Times New Roman"/>
          <w:noProof/>
          <w:lang w:val="en-IE"/>
        </w:rPr>
        <w:t>-</w:t>
      </w:r>
      <w:r w:rsidR="2DDD7231" w:rsidRPr="009A33E1">
        <w:rPr>
          <w:rFonts w:ascii="Times New Roman" w:hAnsi="Times New Roman" w:cs="Times New Roman"/>
          <w:noProof/>
          <w:lang w:val="en-IE"/>
        </w:rPr>
        <w:t>learning courses</w:t>
      </w:r>
      <w:r w:rsidR="00D915F6" w:rsidRPr="009A33E1">
        <w:rPr>
          <w:rStyle w:val="FootnoteReference"/>
          <w:rFonts w:ascii="Times New Roman" w:hAnsi="Times New Roman" w:cs="Times New Roman"/>
          <w:noProof/>
          <w:lang w:val="en-IE"/>
        </w:rPr>
        <w:footnoteReference w:id="17"/>
      </w:r>
      <w:r w:rsidR="2DDD7231" w:rsidRPr="009A33E1">
        <w:rPr>
          <w:rFonts w:ascii="Times New Roman" w:hAnsi="Times New Roman" w:cs="Times New Roman"/>
          <w:noProof/>
          <w:lang w:val="en-IE"/>
        </w:rPr>
        <w:t xml:space="preserve"> </w:t>
      </w:r>
      <w:r w:rsidRPr="009A33E1">
        <w:rPr>
          <w:rFonts w:ascii="Times New Roman" w:hAnsi="Times New Roman" w:cs="Times New Roman"/>
          <w:noProof/>
          <w:lang w:val="en-IE"/>
        </w:rPr>
        <w:t>were distributed complementing</w:t>
      </w:r>
      <w:r w:rsidR="2DDD7231" w:rsidRPr="009A33E1">
        <w:rPr>
          <w:rFonts w:ascii="Times New Roman" w:hAnsi="Times New Roman" w:cs="Times New Roman"/>
          <w:noProof/>
          <w:lang w:val="en-IE"/>
        </w:rPr>
        <w:t xml:space="preserve"> the national and EU training courses and increas</w:t>
      </w:r>
      <w:r w:rsidR="7AA58558" w:rsidRPr="009A33E1">
        <w:rPr>
          <w:rFonts w:ascii="Times New Roman" w:hAnsi="Times New Roman" w:cs="Times New Roman"/>
          <w:noProof/>
          <w:lang w:val="en-IE"/>
        </w:rPr>
        <w:t>ing</w:t>
      </w:r>
      <w:r w:rsidR="2DDD7231" w:rsidRPr="009A33E1">
        <w:rPr>
          <w:rFonts w:ascii="Times New Roman" w:hAnsi="Times New Roman" w:cs="Times New Roman"/>
          <w:noProof/>
          <w:lang w:val="en-IE"/>
        </w:rPr>
        <w:t xml:space="preserve"> their efficiency</w:t>
      </w:r>
      <w:r w:rsidR="7AA58558" w:rsidRPr="009A33E1">
        <w:rPr>
          <w:rFonts w:ascii="Times New Roman" w:hAnsi="Times New Roman" w:cs="Times New Roman"/>
          <w:noProof/>
          <w:lang w:val="en-IE"/>
        </w:rPr>
        <w:t xml:space="preserve"> through</w:t>
      </w:r>
      <w:r w:rsidRPr="009A33E1">
        <w:rPr>
          <w:rFonts w:ascii="Times New Roman" w:hAnsi="Times New Roman" w:cs="Times New Roman"/>
          <w:noProof/>
          <w:lang w:val="en-IE"/>
        </w:rPr>
        <w:t xml:space="preserve"> </w:t>
      </w:r>
      <w:r w:rsidR="63430A21" w:rsidRPr="009A33E1">
        <w:rPr>
          <w:rFonts w:ascii="Times New Roman" w:hAnsi="Times New Roman" w:cs="Times New Roman"/>
          <w:noProof/>
          <w:lang w:val="en-IE"/>
        </w:rPr>
        <w:t xml:space="preserve">the </w:t>
      </w:r>
      <w:r w:rsidRPr="009A33E1">
        <w:rPr>
          <w:rFonts w:ascii="Times New Roman" w:hAnsi="Times New Roman" w:cs="Times New Roman"/>
          <w:noProof/>
          <w:lang w:val="en-IE"/>
        </w:rPr>
        <w:t>us</w:t>
      </w:r>
      <w:r w:rsidR="63430A21" w:rsidRPr="009A33E1">
        <w:rPr>
          <w:rFonts w:ascii="Times New Roman" w:hAnsi="Times New Roman" w:cs="Times New Roman"/>
          <w:noProof/>
          <w:lang w:val="en-IE"/>
        </w:rPr>
        <w:t>e of</w:t>
      </w:r>
      <w:r w:rsidRPr="009A33E1">
        <w:rPr>
          <w:rFonts w:ascii="Times New Roman" w:hAnsi="Times New Roman" w:cs="Times New Roman"/>
          <w:noProof/>
          <w:lang w:val="en-IE"/>
        </w:rPr>
        <w:t xml:space="preserve"> modern and innovative training approaches</w:t>
      </w:r>
      <w:r w:rsidR="2DDD7231" w:rsidRPr="009A33E1">
        <w:rPr>
          <w:rFonts w:ascii="Times New Roman" w:hAnsi="Times New Roman" w:cs="Times New Roman"/>
          <w:noProof/>
          <w:lang w:val="en-IE"/>
        </w:rPr>
        <w:t>.</w:t>
      </w:r>
      <w:r w:rsidR="7A9F06F0" w:rsidRPr="009A33E1">
        <w:rPr>
          <w:rFonts w:ascii="Times New Roman" w:hAnsi="Times New Roman" w:cs="Times New Roman"/>
          <w:noProof/>
          <w:lang w:val="en-IE"/>
        </w:rPr>
        <w:t xml:space="preserve"> </w:t>
      </w:r>
    </w:p>
    <w:p w14:paraId="6E89DA16" w14:textId="77777777" w:rsidR="005032EA" w:rsidRPr="009A33E1" w:rsidRDefault="005032EA" w:rsidP="00033369">
      <w:pPr>
        <w:spacing w:after="0" w:line="240" w:lineRule="auto"/>
        <w:ind w:left="294"/>
        <w:jc w:val="both"/>
        <w:rPr>
          <w:rFonts w:ascii="Times New Roman" w:hAnsi="Times New Roman" w:cs="Times New Roman"/>
          <w:noProof/>
          <w:lang w:val="en-IE"/>
        </w:rPr>
      </w:pPr>
    </w:p>
    <w:p w14:paraId="617F451F" w14:textId="23132510" w:rsidR="3B63E83F" w:rsidRPr="007F635D" w:rsidRDefault="00126EC7" w:rsidP="00DB2BB5">
      <w:pPr>
        <w:pStyle w:val="Heading2"/>
        <w:rPr>
          <w:noProof/>
        </w:rPr>
      </w:pPr>
      <w:bookmarkStart w:id="10" w:name="_Toc96083187"/>
      <w:r w:rsidRPr="009A33E1">
        <w:rPr>
          <w:noProof/>
        </w:rPr>
        <w:t>Support innovation in the area of customs policy</w:t>
      </w:r>
      <w:r w:rsidRPr="007F635D">
        <w:rPr>
          <w:noProof/>
          <w:vertAlign w:val="superscript"/>
        </w:rPr>
        <w:footnoteReference w:id="18"/>
      </w:r>
      <w:bookmarkEnd w:id="10"/>
    </w:p>
    <w:p w14:paraId="04194853" w14:textId="77777777" w:rsidR="00153A99" w:rsidRPr="009A33E1" w:rsidRDefault="00153A99" w:rsidP="00404503">
      <w:pPr>
        <w:spacing w:after="0" w:line="240" w:lineRule="auto"/>
        <w:jc w:val="both"/>
        <w:rPr>
          <w:rFonts w:ascii="Times New Roman" w:hAnsi="Times New Roman" w:cs="Times New Roman"/>
          <w:noProof/>
          <w:lang w:val="en-IE"/>
        </w:rPr>
      </w:pPr>
    </w:p>
    <w:p w14:paraId="4A0DAB70" w14:textId="3CA1BB44" w:rsidR="00B02D25" w:rsidRPr="009A33E1" w:rsidRDefault="4CB48300" w:rsidP="586E19CB">
      <w:pPr>
        <w:spacing w:after="0" w:line="240" w:lineRule="auto"/>
        <w:jc w:val="both"/>
        <w:rPr>
          <w:rFonts w:ascii="Times New Roman" w:hAnsi="Times New Roman" w:cs="Times New Roman"/>
          <w:noProof/>
          <w:lang w:val="en-IE"/>
        </w:rPr>
      </w:pPr>
      <w:r w:rsidRPr="586E19CB">
        <w:rPr>
          <w:rFonts w:ascii="Times New Roman" w:hAnsi="Times New Roman" w:cs="Times New Roman"/>
          <w:noProof/>
          <w:lang w:val="en-IE"/>
        </w:rPr>
        <w:t xml:space="preserve">In 2021, the programmes supported innovation by providing a platform to review and monitor modern and emerging solutions, such as </w:t>
      </w:r>
      <w:r w:rsidR="793510A2" w:rsidRPr="586E19CB">
        <w:rPr>
          <w:rFonts w:ascii="Times New Roman" w:hAnsi="Times New Roman" w:cs="Times New Roman"/>
          <w:noProof/>
          <w:lang w:val="en-IE"/>
        </w:rPr>
        <w:t xml:space="preserve">big data and data analytics, </w:t>
      </w:r>
      <w:r w:rsidRPr="586E19CB">
        <w:rPr>
          <w:rFonts w:ascii="Times New Roman" w:hAnsi="Times New Roman" w:cs="Times New Roman"/>
          <w:noProof/>
          <w:lang w:val="en-IE"/>
        </w:rPr>
        <w:t>blockchain, artificial intelligence, machine-learning, technology transfers and start-up/scale-up ecosystems. To ensure that customs can fully protect the Single Market and budgetary resources, the programme supported to modernisation of customs, notably by making full use of data analytics and modern technologies</w:t>
      </w:r>
      <w:r w:rsidR="0751AC07" w:rsidRPr="586E19CB">
        <w:rPr>
          <w:rFonts w:ascii="Times New Roman" w:hAnsi="Times New Roman" w:cs="Times New Roman"/>
          <w:noProof/>
          <w:lang w:val="en-IE"/>
        </w:rPr>
        <w:t xml:space="preserve"> (notably with the creation of a new tool, the TAXUD Data Lab)</w:t>
      </w:r>
      <w:r w:rsidRPr="586E19CB">
        <w:rPr>
          <w:rFonts w:ascii="Times New Roman" w:hAnsi="Times New Roman" w:cs="Times New Roman"/>
          <w:noProof/>
          <w:lang w:val="en-IE"/>
        </w:rPr>
        <w:t xml:space="preserve">. As an example, the programmes' activities continued to investigate the modern and innovative technologies, tools and equipment available on the markets for the use of the national customs authorities supporting the customs controls. Activities provided guidance and recommendations to the national experts in their search for forward-looking and modern tools and equipment improving the speed and efficiency of customs controls primarily via the Detection Technology Group and later via the </w:t>
      </w:r>
      <w:r w:rsidR="5A564CB2" w:rsidRPr="00E351B3">
        <w:rPr>
          <w:rFonts w:ascii="Times New Roman" w:hAnsi="Times New Roman" w:cs="Times New Roman"/>
          <w:noProof/>
          <w:lang w:val="en-IE"/>
        </w:rPr>
        <w:t>Customs Control Equipment Instrument</w:t>
      </w:r>
      <w:r w:rsidR="5A564CB2" w:rsidRPr="586E19CB">
        <w:rPr>
          <w:rFonts w:ascii="Times New Roman" w:hAnsi="Times New Roman" w:cs="Times New Roman"/>
          <w:noProof/>
          <w:lang w:val="en-IE"/>
        </w:rPr>
        <w:t xml:space="preserve"> (</w:t>
      </w:r>
      <w:r w:rsidRPr="586E19CB">
        <w:rPr>
          <w:rFonts w:ascii="Times New Roman" w:hAnsi="Times New Roman" w:cs="Times New Roman"/>
          <w:noProof/>
          <w:lang w:val="en-IE"/>
        </w:rPr>
        <w:t>CCEI</w:t>
      </w:r>
      <w:r w:rsidR="77581C4E" w:rsidRPr="586E19CB">
        <w:rPr>
          <w:rFonts w:ascii="Times New Roman" w:hAnsi="Times New Roman" w:cs="Times New Roman"/>
          <w:noProof/>
          <w:lang w:val="en-IE"/>
        </w:rPr>
        <w:t>)</w:t>
      </w:r>
      <w:r w:rsidRPr="586E19CB">
        <w:rPr>
          <w:rFonts w:ascii="Times New Roman" w:hAnsi="Times New Roman" w:cs="Times New Roman"/>
          <w:noProof/>
          <w:lang w:val="en-IE"/>
        </w:rPr>
        <w:t xml:space="preserve"> Coordination Group. The IT Technology &amp; Infrastructure Group combined with the ETCIT’s results and outputs contribute directly to the </w:t>
      </w:r>
      <w:r w:rsidR="0751AC07" w:rsidRPr="586E19CB">
        <w:rPr>
          <w:rFonts w:ascii="Times New Roman" w:hAnsi="Times New Roman" w:cs="Times New Roman"/>
          <w:noProof/>
          <w:lang w:val="en-IE"/>
        </w:rPr>
        <w:t xml:space="preserve">current and future </w:t>
      </w:r>
      <w:r w:rsidRPr="586E19CB">
        <w:rPr>
          <w:rFonts w:ascii="Times New Roman" w:hAnsi="Times New Roman" w:cs="Times New Roman"/>
          <w:noProof/>
          <w:lang w:val="en-IE"/>
        </w:rPr>
        <w:t>use of blockchain and artificial intelligence (AI) technologies</w:t>
      </w:r>
      <w:r w:rsidR="0751AC07" w:rsidRPr="586E19CB">
        <w:rPr>
          <w:rFonts w:ascii="Times New Roman" w:hAnsi="Times New Roman" w:cs="Times New Roman"/>
          <w:noProof/>
          <w:lang w:val="en-IE"/>
        </w:rPr>
        <w:t>,</w:t>
      </w:r>
      <w:r w:rsidRPr="586E19CB">
        <w:rPr>
          <w:rFonts w:ascii="Times New Roman" w:hAnsi="Times New Roman" w:cs="Times New Roman"/>
          <w:noProof/>
          <w:lang w:val="en-IE"/>
        </w:rPr>
        <w:t xml:space="preserve"> increasing the understanding and the potential engagement in digital transformation. </w:t>
      </w:r>
    </w:p>
    <w:p w14:paraId="4A0DAB71" w14:textId="198160CC" w:rsidR="003419EF" w:rsidRPr="009A33E1" w:rsidRDefault="003419EF" w:rsidP="00033369">
      <w:pPr>
        <w:spacing w:after="0" w:line="240" w:lineRule="auto"/>
        <w:jc w:val="both"/>
        <w:rPr>
          <w:rFonts w:ascii="Times New Roman" w:hAnsi="Times New Roman" w:cs="Times New Roman"/>
          <w:b/>
          <w:noProof/>
          <w:lang w:val="en-IE"/>
        </w:rPr>
      </w:pPr>
    </w:p>
    <w:p w14:paraId="4A0DAB76" w14:textId="1FD45540" w:rsidR="00365E14" w:rsidRPr="009A33E1" w:rsidRDefault="16305A4A" w:rsidP="00DB2BB5">
      <w:pPr>
        <w:pStyle w:val="Heading1"/>
        <w:rPr>
          <w:noProof/>
        </w:rPr>
      </w:pPr>
      <w:bookmarkStart w:id="11" w:name="_Toc96083188"/>
      <w:r w:rsidRPr="009A33E1">
        <w:rPr>
          <w:noProof/>
        </w:rPr>
        <w:t>Complementarity with other UNION policies and programmes</w:t>
      </w:r>
      <w:bookmarkEnd w:id="11"/>
    </w:p>
    <w:p w14:paraId="24D344B4" w14:textId="4F70D5DF" w:rsidR="00970656" w:rsidRPr="009A33E1" w:rsidRDefault="16305A4A" w:rsidP="00033369">
      <w:pPr>
        <w:jc w:val="both"/>
        <w:rPr>
          <w:rFonts w:ascii="Times New Roman" w:hAnsi="Times New Roman" w:cs="Times New Roman"/>
          <w:noProof/>
          <w:lang w:val="en-IE"/>
        </w:rPr>
      </w:pPr>
      <w:r w:rsidRPr="009A33E1">
        <w:rPr>
          <w:rFonts w:ascii="Times New Roman" w:hAnsi="Times New Roman" w:cs="Times New Roman"/>
          <w:b/>
          <w:bCs/>
          <w:noProof/>
          <w:lang w:val="en-IE"/>
        </w:rPr>
        <w:t>Customs</w:t>
      </w:r>
      <w:r w:rsidRPr="009A33E1">
        <w:rPr>
          <w:rFonts w:ascii="Times New Roman" w:hAnsi="Times New Roman" w:cs="Times New Roman"/>
          <w:noProof/>
          <w:lang w:val="en-IE"/>
        </w:rPr>
        <w:t xml:space="preserve"> law and policy, and consequently the Customs programme, </w:t>
      </w:r>
      <w:r w:rsidRPr="009A33E1">
        <w:rPr>
          <w:rFonts w:ascii="Times New Roman" w:hAnsi="Times New Roman" w:cs="Times New Roman"/>
          <w:b/>
          <w:bCs/>
          <w:noProof/>
          <w:lang w:val="en-IE"/>
        </w:rPr>
        <w:t>have</w:t>
      </w:r>
      <w:r w:rsidRPr="009A33E1">
        <w:rPr>
          <w:rFonts w:ascii="Times New Roman" w:hAnsi="Times New Roman" w:cs="Times New Roman"/>
          <w:noProof/>
          <w:lang w:val="en-IE"/>
        </w:rPr>
        <w:t xml:space="preserve"> an </w:t>
      </w:r>
      <w:r w:rsidRPr="009A33E1">
        <w:rPr>
          <w:rFonts w:ascii="Times New Roman" w:hAnsi="Times New Roman" w:cs="Times New Roman"/>
          <w:b/>
          <w:bCs/>
          <w:noProof/>
          <w:lang w:val="en-IE"/>
        </w:rPr>
        <w:t>extensive external dimension</w:t>
      </w:r>
      <w:r w:rsidRPr="009A33E1">
        <w:rPr>
          <w:rFonts w:ascii="Times New Roman" w:hAnsi="Times New Roman" w:cs="Times New Roman"/>
          <w:noProof/>
          <w:lang w:val="en-IE"/>
        </w:rPr>
        <w:t xml:space="preserve"> linking with multiple policy areas within DG TAXUD and in the broader Union policy context. </w:t>
      </w:r>
    </w:p>
    <w:p w14:paraId="2D0798CE" w14:textId="15B62BEA" w:rsidR="00B76DA1" w:rsidRPr="009A33E1" w:rsidRDefault="00B76DA1" w:rsidP="00033369">
      <w:pPr>
        <w:jc w:val="both"/>
        <w:rPr>
          <w:rFonts w:ascii="Times New Roman" w:hAnsi="Times New Roman" w:cs="Times New Roman"/>
          <w:noProof/>
          <w:lang w:val="en-IE"/>
        </w:rPr>
      </w:pPr>
      <w:r w:rsidRPr="009A33E1">
        <w:rPr>
          <w:rFonts w:ascii="Times New Roman" w:hAnsi="Times New Roman" w:cs="Times New Roman"/>
          <w:noProof/>
          <w:lang w:val="en-IE"/>
        </w:rPr>
        <w:t xml:space="preserve">The programme Regulation specifically calls for the Customs programme to </w:t>
      </w:r>
      <w:r w:rsidRPr="009A33E1">
        <w:rPr>
          <w:rFonts w:ascii="Times New Roman" w:hAnsi="Times New Roman" w:cs="Times New Roman"/>
          <w:b/>
          <w:bCs/>
          <w:noProof/>
          <w:lang w:val="en-IE"/>
        </w:rPr>
        <w:t>exploit possible synergies with other Union measures in related fields to ensure cost-effectiveness</w:t>
      </w:r>
      <w:r w:rsidRPr="009A33E1">
        <w:rPr>
          <w:rFonts w:ascii="Times New Roman" w:hAnsi="Times New Roman" w:cs="Times New Roman"/>
          <w:noProof/>
          <w:lang w:val="en-IE"/>
        </w:rPr>
        <w:t xml:space="preserve">. </w:t>
      </w:r>
      <w:r w:rsidR="00C50459" w:rsidRPr="009A33E1">
        <w:rPr>
          <w:rFonts w:ascii="Times New Roman" w:hAnsi="Times New Roman" w:cs="Times New Roman"/>
          <w:noProof/>
          <w:lang w:val="en-IE"/>
        </w:rPr>
        <w:t xml:space="preserve">Recital 5 of the Customs programme Regulation highlights such synergies with the </w:t>
      </w:r>
      <w:r w:rsidRPr="009A33E1">
        <w:rPr>
          <w:rFonts w:ascii="Times New Roman" w:hAnsi="Times New Roman" w:cs="Times New Roman"/>
          <w:noProof/>
          <w:lang w:val="en-IE"/>
        </w:rPr>
        <w:t>Fiscalis programme</w:t>
      </w:r>
      <w:r w:rsidR="00F21E44" w:rsidRPr="009A33E1">
        <w:rPr>
          <w:rStyle w:val="FootnoteReference"/>
          <w:rFonts w:ascii="Times New Roman" w:hAnsi="Times New Roman" w:cs="Times New Roman"/>
          <w:noProof/>
          <w:lang w:val="en-IE"/>
        </w:rPr>
        <w:footnoteReference w:id="19"/>
      </w:r>
      <w:r w:rsidR="000F1007" w:rsidRPr="009A33E1">
        <w:rPr>
          <w:rFonts w:ascii="Times New Roman" w:hAnsi="Times New Roman" w:cs="Times New Roman"/>
          <w:noProof/>
          <w:lang w:val="en-IE"/>
        </w:rPr>
        <w:t xml:space="preserve">, </w:t>
      </w:r>
      <w:r w:rsidRPr="009A33E1">
        <w:rPr>
          <w:rFonts w:ascii="Times New Roman" w:hAnsi="Times New Roman" w:cs="Times New Roman"/>
          <w:noProof/>
          <w:lang w:val="en-IE"/>
        </w:rPr>
        <w:t>the Customs Control Equipment Instrument</w:t>
      </w:r>
      <w:r w:rsidR="00F21E44" w:rsidRPr="009A33E1">
        <w:rPr>
          <w:rStyle w:val="FootnoteReference"/>
          <w:rFonts w:ascii="Times New Roman" w:hAnsi="Times New Roman" w:cs="Times New Roman"/>
          <w:noProof/>
          <w:lang w:val="en-IE"/>
        </w:rPr>
        <w:footnoteReference w:id="20"/>
      </w:r>
      <w:r w:rsidRPr="009A33E1">
        <w:rPr>
          <w:rFonts w:ascii="Times New Roman" w:hAnsi="Times New Roman" w:cs="Times New Roman"/>
          <w:noProof/>
          <w:lang w:val="en-IE"/>
        </w:rPr>
        <w:t>, the Union Anti-Fraud Programme</w:t>
      </w:r>
      <w:r w:rsidR="001840BE" w:rsidRPr="009A33E1">
        <w:rPr>
          <w:rStyle w:val="FootnoteReference"/>
          <w:rFonts w:ascii="Times New Roman" w:hAnsi="Times New Roman" w:cs="Times New Roman"/>
          <w:noProof/>
          <w:lang w:val="en-IE"/>
        </w:rPr>
        <w:footnoteReference w:id="21"/>
      </w:r>
      <w:r w:rsidRPr="009A33E1">
        <w:rPr>
          <w:rFonts w:ascii="Times New Roman" w:hAnsi="Times New Roman" w:cs="Times New Roman"/>
          <w:noProof/>
          <w:lang w:val="en-IE"/>
        </w:rPr>
        <w:t xml:space="preserve">, </w:t>
      </w:r>
      <w:r w:rsidR="00C50459" w:rsidRPr="009A33E1">
        <w:rPr>
          <w:rFonts w:ascii="Times New Roman" w:hAnsi="Times New Roman" w:cs="Times New Roman"/>
          <w:noProof/>
          <w:lang w:val="en-IE"/>
        </w:rPr>
        <w:t>the Border Management and V</w:t>
      </w:r>
      <w:r w:rsidRPr="009A33E1">
        <w:rPr>
          <w:rFonts w:ascii="Times New Roman" w:hAnsi="Times New Roman" w:cs="Times New Roman"/>
          <w:noProof/>
          <w:lang w:val="en-IE"/>
        </w:rPr>
        <w:t>isa</w:t>
      </w:r>
      <w:r w:rsidR="00C50459" w:rsidRPr="009A33E1">
        <w:rPr>
          <w:rFonts w:ascii="Times New Roman" w:hAnsi="Times New Roman" w:cs="Times New Roman"/>
          <w:noProof/>
          <w:lang w:val="en-IE"/>
        </w:rPr>
        <w:t xml:space="preserve"> Instrument</w:t>
      </w:r>
      <w:r w:rsidRPr="009A33E1">
        <w:rPr>
          <w:rFonts w:ascii="Times New Roman" w:hAnsi="Times New Roman" w:cs="Times New Roman"/>
          <w:noProof/>
          <w:lang w:val="en-IE"/>
        </w:rPr>
        <w:t xml:space="preserve"> (BMVI)</w:t>
      </w:r>
      <w:r w:rsidR="001840BE" w:rsidRPr="009A33E1">
        <w:rPr>
          <w:rStyle w:val="FootnoteReference"/>
          <w:rFonts w:ascii="Times New Roman" w:hAnsi="Times New Roman" w:cs="Times New Roman"/>
          <w:noProof/>
          <w:lang w:val="en-IE"/>
        </w:rPr>
        <w:footnoteReference w:id="22"/>
      </w:r>
      <w:r w:rsidRPr="009A33E1">
        <w:rPr>
          <w:rFonts w:ascii="Times New Roman" w:hAnsi="Times New Roman" w:cs="Times New Roman"/>
          <w:noProof/>
          <w:lang w:val="en-IE"/>
        </w:rPr>
        <w:t>, the Internal Security Fund</w:t>
      </w:r>
      <w:r w:rsidR="00961FD1" w:rsidRPr="009A33E1">
        <w:rPr>
          <w:rStyle w:val="FootnoteReference"/>
          <w:rFonts w:ascii="Times New Roman" w:hAnsi="Times New Roman" w:cs="Times New Roman"/>
          <w:noProof/>
          <w:lang w:val="en-IE"/>
        </w:rPr>
        <w:footnoteReference w:id="23"/>
      </w:r>
      <w:r w:rsidRPr="009A33E1">
        <w:rPr>
          <w:rFonts w:ascii="Times New Roman" w:hAnsi="Times New Roman" w:cs="Times New Roman"/>
          <w:noProof/>
          <w:lang w:val="en-IE"/>
        </w:rPr>
        <w:t>, the Single Market Programme</w:t>
      </w:r>
      <w:r w:rsidR="00252077" w:rsidRPr="009A33E1">
        <w:rPr>
          <w:rStyle w:val="FootnoteReference"/>
          <w:rFonts w:ascii="Times New Roman" w:hAnsi="Times New Roman" w:cs="Times New Roman"/>
          <w:noProof/>
          <w:lang w:val="en-IE"/>
        </w:rPr>
        <w:footnoteReference w:id="24"/>
      </w:r>
      <w:r w:rsidRPr="009A33E1">
        <w:rPr>
          <w:rFonts w:ascii="Times New Roman" w:hAnsi="Times New Roman" w:cs="Times New Roman"/>
          <w:noProof/>
          <w:lang w:val="en-IE"/>
        </w:rPr>
        <w:t>, the R</w:t>
      </w:r>
      <w:r w:rsidR="00C50459" w:rsidRPr="009A33E1">
        <w:rPr>
          <w:rFonts w:ascii="Times New Roman" w:hAnsi="Times New Roman" w:cs="Times New Roman"/>
          <w:noProof/>
          <w:lang w:val="en-IE"/>
        </w:rPr>
        <w:t>ecovery and Resilience Facility</w:t>
      </w:r>
      <w:r w:rsidR="00252077" w:rsidRPr="009A33E1">
        <w:rPr>
          <w:rStyle w:val="FootnoteReference"/>
          <w:rFonts w:ascii="Times New Roman" w:hAnsi="Times New Roman" w:cs="Times New Roman"/>
          <w:noProof/>
          <w:lang w:val="en-IE"/>
        </w:rPr>
        <w:footnoteReference w:id="25"/>
      </w:r>
      <w:r w:rsidR="00C50459" w:rsidRPr="009A33E1">
        <w:rPr>
          <w:rFonts w:ascii="Times New Roman" w:hAnsi="Times New Roman" w:cs="Times New Roman"/>
          <w:noProof/>
          <w:lang w:val="en-IE"/>
        </w:rPr>
        <w:t xml:space="preserve">, </w:t>
      </w:r>
      <w:r w:rsidRPr="009A33E1">
        <w:rPr>
          <w:rFonts w:ascii="Times New Roman" w:hAnsi="Times New Roman" w:cs="Times New Roman"/>
          <w:noProof/>
          <w:lang w:val="en-IE"/>
        </w:rPr>
        <w:t>and the Technical Support Instrument</w:t>
      </w:r>
      <w:r w:rsidR="00252077" w:rsidRPr="009A33E1">
        <w:rPr>
          <w:rStyle w:val="FootnoteReference"/>
          <w:rFonts w:ascii="Times New Roman" w:hAnsi="Times New Roman" w:cs="Times New Roman"/>
          <w:noProof/>
          <w:lang w:val="en-IE"/>
        </w:rPr>
        <w:footnoteReference w:id="26"/>
      </w:r>
      <w:r w:rsidRPr="009A33E1">
        <w:rPr>
          <w:rFonts w:ascii="Times New Roman" w:hAnsi="Times New Roman" w:cs="Times New Roman"/>
          <w:noProof/>
          <w:lang w:val="en-IE"/>
        </w:rPr>
        <w:t>.</w:t>
      </w:r>
      <w:r w:rsidR="00CA0E33">
        <w:rPr>
          <w:rFonts w:ascii="Times New Roman" w:hAnsi="Times New Roman" w:cs="Times New Roman"/>
          <w:noProof/>
          <w:lang w:val="en-IE"/>
        </w:rPr>
        <w:t xml:space="preserve"> The programme seeks synergies and complementary with additional domains</w:t>
      </w:r>
      <w:r w:rsidR="006930A0">
        <w:rPr>
          <w:rFonts w:ascii="Times New Roman" w:hAnsi="Times New Roman" w:cs="Times New Roman"/>
          <w:noProof/>
          <w:lang w:val="en-IE"/>
        </w:rPr>
        <w:t xml:space="preserve"> as well</w:t>
      </w:r>
      <w:r w:rsidR="00CA0E33">
        <w:rPr>
          <w:rFonts w:ascii="Times New Roman" w:hAnsi="Times New Roman" w:cs="Times New Roman"/>
          <w:noProof/>
          <w:lang w:val="en-IE"/>
        </w:rPr>
        <w:t>, including</w:t>
      </w:r>
      <w:r w:rsidR="00563983" w:rsidRPr="00401134">
        <w:rPr>
          <w:rFonts w:ascii="Times New Roman" w:hAnsi="Times New Roman" w:cs="Times New Roman"/>
          <w:noProof/>
          <w:lang w:val="en-IE"/>
        </w:rPr>
        <w:t xml:space="preserve"> the </w:t>
      </w:r>
      <w:r w:rsidR="00563983" w:rsidRPr="00563983">
        <w:rPr>
          <w:rFonts w:ascii="Times New Roman" w:hAnsi="Times New Roman" w:cs="Times New Roman"/>
          <w:noProof/>
          <w:lang w:val="en-IE"/>
        </w:rPr>
        <w:t>European territorial cooperation goal (Interreg) supported by the European Regional Development Fund and external financing instruments</w:t>
      </w:r>
      <w:r w:rsidR="00563983">
        <w:rPr>
          <w:rStyle w:val="FootnoteReference"/>
          <w:rFonts w:ascii="Times New Roman" w:hAnsi="Times New Roman" w:cs="Times New Roman"/>
          <w:noProof/>
          <w:lang w:val="en-IE"/>
        </w:rPr>
        <w:footnoteReference w:id="27"/>
      </w:r>
      <w:r w:rsidR="00401134">
        <w:rPr>
          <w:rFonts w:ascii="Times New Roman" w:hAnsi="Times New Roman" w:cs="Times New Roman"/>
          <w:noProof/>
          <w:lang w:val="en-IE"/>
        </w:rPr>
        <w:t>.</w:t>
      </w:r>
    </w:p>
    <w:p w14:paraId="1AF6F8CE" w14:textId="70D69FE6" w:rsidR="00B10E9C" w:rsidRPr="009A33E1" w:rsidRDefault="16305A4A" w:rsidP="00DB2BB5">
      <w:pPr>
        <w:pStyle w:val="Heading2"/>
        <w:spacing w:before="240" w:after="240"/>
        <w:rPr>
          <w:noProof/>
        </w:rPr>
      </w:pPr>
      <w:bookmarkStart w:id="12" w:name="_Toc96083189"/>
      <w:r w:rsidRPr="009A33E1">
        <w:rPr>
          <w:noProof/>
        </w:rPr>
        <w:t>With other DG TAXUD initiatives</w:t>
      </w:r>
      <w:bookmarkEnd w:id="12"/>
    </w:p>
    <w:p w14:paraId="0FB3C789" w14:textId="6C041A5C" w:rsidR="00B10E9C" w:rsidRPr="009A33E1" w:rsidRDefault="52B5BAF9" w:rsidP="00404503">
      <w:pPr>
        <w:jc w:val="both"/>
        <w:rPr>
          <w:rFonts w:ascii="Times New Roman" w:hAnsi="Times New Roman" w:cs="Times New Roman"/>
          <w:noProof/>
          <w:lang w:val="en-IE"/>
        </w:rPr>
      </w:pPr>
      <w:r w:rsidRPr="009A33E1">
        <w:rPr>
          <w:rFonts w:ascii="Times New Roman" w:hAnsi="Times New Roman" w:cs="Times New Roman"/>
          <w:noProof/>
          <w:lang w:val="en-IE"/>
        </w:rPr>
        <w:t>In 2021, the Customs programmes provided support to fundamental aspects of the E</w:t>
      </w:r>
      <w:r w:rsidR="004B0002">
        <w:rPr>
          <w:rFonts w:ascii="Times New Roman" w:hAnsi="Times New Roman" w:cs="Times New Roman"/>
          <w:noProof/>
          <w:lang w:val="en-IE"/>
        </w:rPr>
        <w:t xml:space="preserve">uropean </w:t>
      </w:r>
      <w:r w:rsidRPr="009A33E1">
        <w:rPr>
          <w:rFonts w:ascii="Times New Roman" w:hAnsi="Times New Roman" w:cs="Times New Roman"/>
          <w:noProof/>
          <w:lang w:val="en-IE"/>
        </w:rPr>
        <w:t>E</w:t>
      </w:r>
      <w:r w:rsidR="004B0002">
        <w:rPr>
          <w:rFonts w:ascii="Times New Roman" w:hAnsi="Times New Roman" w:cs="Times New Roman"/>
          <w:noProof/>
          <w:lang w:val="en-IE"/>
        </w:rPr>
        <w:t xml:space="preserve">lectronic </w:t>
      </w:r>
      <w:r w:rsidRPr="009A33E1">
        <w:rPr>
          <w:rFonts w:ascii="Times New Roman" w:hAnsi="Times New Roman" w:cs="Times New Roman"/>
          <w:noProof/>
          <w:lang w:val="en-IE"/>
        </w:rPr>
        <w:t>S</w:t>
      </w:r>
      <w:r w:rsidR="004B0002">
        <w:rPr>
          <w:rFonts w:ascii="Times New Roman" w:hAnsi="Times New Roman" w:cs="Times New Roman"/>
          <w:noProof/>
          <w:lang w:val="en-IE"/>
        </w:rPr>
        <w:t>ystems for customs</w:t>
      </w:r>
      <w:r w:rsidRPr="009A33E1">
        <w:rPr>
          <w:rFonts w:ascii="Times New Roman" w:hAnsi="Times New Roman" w:cs="Times New Roman"/>
          <w:noProof/>
          <w:lang w:val="en-IE"/>
        </w:rPr>
        <w:t>, such as the financing of the Common Communication Network (CCN and CCN2)</w:t>
      </w:r>
      <w:r w:rsidR="6B5C24B0" w:rsidRPr="009A33E1">
        <w:rPr>
          <w:rFonts w:ascii="Times New Roman" w:hAnsi="Times New Roman" w:cs="Times New Roman"/>
          <w:noProof/>
          <w:lang w:val="en-IE"/>
        </w:rPr>
        <w:t xml:space="preserve">, </w:t>
      </w:r>
      <w:r w:rsidRPr="009A33E1">
        <w:rPr>
          <w:rFonts w:ascii="Times New Roman" w:hAnsi="Times New Roman" w:cs="Times New Roman"/>
          <w:noProof/>
          <w:lang w:val="en-IE"/>
        </w:rPr>
        <w:t xml:space="preserve">jointly with the </w:t>
      </w:r>
      <w:r w:rsidRPr="009A33E1">
        <w:rPr>
          <w:rFonts w:ascii="Times New Roman" w:hAnsi="Times New Roman" w:cs="Times New Roman"/>
          <w:b/>
          <w:bCs/>
          <w:noProof/>
          <w:lang w:val="en-IE"/>
        </w:rPr>
        <w:t>Fiscalis 2020</w:t>
      </w:r>
      <w:r w:rsidR="000B5ED9" w:rsidRPr="009A33E1">
        <w:rPr>
          <w:rStyle w:val="FootnoteReference"/>
          <w:rFonts w:ascii="Times New Roman" w:hAnsi="Times New Roman" w:cs="Times New Roman"/>
          <w:b/>
          <w:bCs/>
          <w:noProof/>
          <w:lang w:val="en-IE"/>
        </w:rPr>
        <w:footnoteReference w:id="28"/>
      </w:r>
      <w:r w:rsidRPr="009A33E1">
        <w:rPr>
          <w:rFonts w:ascii="Times New Roman" w:hAnsi="Times New Roman" w:cs="Times New Roman"/>
          <w:b/>
          <w:bCs/>
          <w:noProof/>
          <w:lang w:val="en-IE"/>
        </w:rPr>
        <w:t xml:space="preserve"> and </w:t>
      </w:r>
      <w:r w:rsidR="004B0002">
        <w:rPr>
          <w:rFonts w:ascii="Times New Roman" w:hAnsi="Times New Roman" w:cs="Times New Roman"/>
          <w:b/>
          <w:bCs/>
          <w:noProof/>
          <w:lang w:val="en-IE"/>
        </w:rPr>
        <w:t xml:space="preserve">new </w:t>
      </w:r>
      <w:r w:rsidRPr="009A33E1">
        <w:rPr>
          <w:rFonts w:ascii="Times New Roman" w:hAnsi="Times New Roman" w:cs="Times New Roman"/>
          <w:b/>
          <w:bCs/>
          <w:noProof/>
          <w:lang w:val="en-IE"/>
        </w:rPr>
        <w:t>Fiscalis programmes</w:t>
      </w:r>
      <w:r w:rsidRPr="009A33E1">
        <w:rPr>
          <w:rFonts w:ascii="Times New Roman" w:hAnsi="Times New Roman" w:cs="Times New Roman"/>
          <w:noProof/>
          <w:lang w:val="en-IE"/>
        </w:rPr>
        <w:t xml:space="preserve">. </w:t>
      </w:r>
      <w:r w:rsidR="7EA81A70" w:rsidRPr="009A33E1">
        <w:rPr>
          <w:rFonts w:ascii="Times New Roman" w:hAnsi="Times New Roman" w:cs="Times New Roman"/>
          <w:noProof/>
          <w:lang w:val="en-IE"/>
        </w:rPr>
        <w:t>Additionally</w:t>
      </w:r>
      <w:r w:rsidR="5A01569B" w:rsidRPr="009A33E1">
        <w:rPr>
          <w:rFonts w:ascii="Times New Roman" w:hAnsi="Times New Roman" w:cs="Times New Roman"/>
          <w:noProof/>
          <w:lang w:val="en-IE"/>
        </w:rPr>
        <w:t xml:space="preserve">, the Customs programmes supported a number of collaborative activities jointly with the Fiscalis programmes </w:t>
      </w:r>
      <w:r w:rsidR="7EA81A70" w:rsidRPr="009A33E1">
        <w:rPr>
          <w:rFonts w:ascii="Times New Roman" w:hAnsi="Times New Roman" w:cs="Times New Roman"/>
          <w:noProof/>
          <w:lang w:val="en-IE"/>
        </w:rPr>
        <w:t xml:space="preserve">mainly </w:t>
      </w:r>
      <w:r w:rsidR="5A01569B" w:rsidRPr="009A33E1">
        <w:rPr>
          <w:rFonts w:ascii="Times New Roman" w:hAnsi="Times New Roman" w:cs="Times New Roman"/>
          <w:noProof/>
          <w:lang w:val="en-IE"/>
        </w:rPr>
        <w:t>in the domain of e-commerce and the collection of VAT at import, excise procedures</w:t>
      </w:r>
      <w:r w:rsidR="7EA81A70" w:rsidRPr="009A33E1">
        <w:rPr>
          <w:rFonts w:ascii="Times New Roman" w:hAnsi="Times New Roman" w:cs="Times New Roman"/>
          <w:noProof/>
          <w:lang w:val="en-IE"/>
        </w:rPr>
        <w:t xml:space="preserve"> and customs procedure 42. Equally, the Customs and Fiscalis programmes supported in a harmonised and cross-collaborative manner the more horizontal aspects such as data protection</w:t>
      </w:r>
      <w:r w:rsidR="7DF561D4" w:rsidRPr="009A33E1">
        <w:rPr>
          <w:rFonts w:ascii="Times New Roman" w:hAnsi="Times New Roman" w:cs="Times New Roman"/>
          <w:noProof/>
          <w:lang w:val="en-IE"/>
        </w:rPr>
        <w:t xml:space="preserve"> compliance</w:t>
      </w:r>
      <w:r w:rsidR="7EA81A70" w:rsidRPr="009A33E1">
        <w:rPr>
          <w:rFonts w:ascii="Times New Roman" w:hAnsi="Times New Roman" w:cs="Times New Roman"/>
          <w:noProof/>
          <w:lang w:val="en-IE"/>
        </w:rPr>
        <w:t>, IT technology and infrastructure aspects,</w:t>
      </w:r>
      <w:r w:rsidR="7DF561D4" w:rsidRPr="009A33E1">
        <w:rPr>
          <w:rFonts w:ascii="Times New Roman" w:hAnsi="Times New Roman" w:cs="Times New Roman"/>
          <w:noProof/>
          <w:lang w:val="en-IE"/>
        </w:rPr>
        <w:t xml:space="preserve"> communication</w:t>
      </w:r>
      <w:r w:rsidR="62558F3A" w:rsidRPr="009A33E1">
        <w:rPr>
          <w:rFonts w:ascii="Times New Roman" w:hAnsi="Times New Roman" w:cs="Times New Roman"/>
          <w:noProof/>
          <w:lang w:val="en-IE"/>
        </w:rPr>
        <w:t xml:space="preserve"> and</w:t>
      </w:r>
      <w:r w:rsidR="7DF561D4" w:rsidRPr="009A33E1">
        <w:rPr>
          <w:rFonts w:ascii="Times New Roman" w:hAnsi="Times New Roman" w:cs="Times New Roman"/>
          <w:noProof/>
          <w:lang w:val="en-IE"/>
        </w:rPr>
        <w:t xml:space="preserve"> training of national officials</w:t>
      </w:r>
      <w:r w:rsidR="51D794CA" w:rsidRPr="009A33E1">
        <w:rPr>
          <w:rFonts w:ascii="Times New Roman" w:hAnsi="Times New Roman" w:cs="Times New Roman"/>
          <w:noProof/>
          <w:lang w:val="en-IE"/>
        </w:rPr>
        <w:t>.</w:t>
      </w:r>
      <w:r w:rsidR="5272AA0B" w:rsidRPr="009A33E1">
        <w:rPr>
          <w:rFonts w:ascii="Times New Roman" w:hAnsi="Times New Roman" w:cs="Times New Roman"/>
          <w:noProof/>
          <w:lang w:val="en-IE"/>
        </w:rPr>
        <w:t xml:space="preserve"> The jo</w:t>
      </w:r>
      <w:r w:rsidR="223FC33A" w:rsidRPr="009A33E1">
        <w:rPr>
          <w:rFonts w:ascii="Times New Roman" w:hAnsi="Times New Roman" w:cs="Times New Roman"/>
          <w:noProof/>
          <w:lang w:val="en-IE"/>
        </w:rPr>
        <w:t>int investment proved to benef</w:t>
      </w:r>
      <w:r w:rsidR="5272AA0B" w:rsidRPr="009A33E1">
        <w:rPr>
          <w:rFonts w:ascii="Times New Roman" w:hAnsi="Times New Roman" w:cs="Times New Roman"/>
          <w:noProof/>
          <w:lang w:val="en-IE"/>
        </w:rPr>
        <w:t>i</w:t>
      </w:r>
      <w:r w:rsidR="51D794CA" w:rsidRPr="009A33E1">
        <w:rPr>
          <w:rFonts w:ascii="Times New Roman" w:hAnsi="Times New Roman" w:cs="Times New Roman"/>
          <w:noProof/>
          <w:lang w:val="en-IE"/>
        </w:rPr>
        <w:t>t</w:t>
      </w:r>
      <w:r w:rsidR="5272AA0B" w:rsidRPr="009A33E1">
        <w:rPr>
          <w:rFonts w:ascii="Times New Roman" w:hAnsi="Times New Roman" w:cs="Times New Roman"/>
          <w:noProof/>
          <w:lang w:val="en-IE"/>
        </w:rPr>
        <w:t xml:space="preserve"> not only in terms of </w:t>
      </w:r>
      <w:r w:rsidR="0751AC07" w:rsidRPr="009A33E1">
        <w:rPr>
          <w:rFonts w:ascii="Times New Roman" w:hAnsi="Times New Roman" w:cs="Times New Roman"/>
          <w:noProof/>
          <w:lang w:val="en-IE"/>
        </w:rPr>
        <w:t xml:space="preserve">economies of </w:t>
      </w:r>
      <w:r w:rsidR="5272AA0B" w:rsidRPr="009A33E1">
        <w:rPr>
          <w:rFonts w:ascii="Times New Roman" w:hAnsi="Times New Roman" w:cs="Times New Roman"/>
          <w:noProof/>
          <w:lang w:val="en-IE"/>
        </w:rPr>
        <w:t xml:space="preserve">scale, but also cross-fertilising and breaking down silos between the customs and taxation domains. </w:t>
      </w:r>
    </w:p>
    <w:p w14:paraId="6F97A70B" w14:textId="7F5D1B09" w:rsidR="00B10E9C" w:rsidRPr="009A33E1" w:rsidRDefault="7EA81A70" w:rsidP="00404503">
      <w:pPr>
        <w:jc w:val="both"/>
        <w:rPr>
          <w:rFonts w:ascii="Times New Roman" w:hAnsi="Times New Roman" w:cs="Times New Roman"/>
          <w:noProof/>
          <w:lang w:val="en-IE"/>
        </w:rPr>
      </w:pPr>
      <w:r w:rsidRPr="009A33E1">
        <w:rPr>
          <w:rFonts w:ascii="Times New Roman" w:hAnsi="Times New Roman" w:cs="Times New Roman"/>
          <w:noProof/>
          <w:lang w:val="en-IE"/>
        </w:rPr>
        <w:t>The programme built a</w:t>
      </w:r>
      <w:r w:rsidR="6BCD0CE6" w:rsidRPr="009A33E1">
        <w:rPr>
          <w:rFonts w:ascii="Times New Roman" w:hAnsi="Times New Roman" w:cs="Times New Roman"/>
          <w:noProof/>
          <w:lang w:val="en-IE"/>
        </w:rPr>
        <w:t>dditional</w:t>
      </w:r>
      <w:r w:rsidR="52B5BAF9" w:rsidRPr="009A33E1">
        <w:rPr>
          <w:rFonts w:ascii="Times New Roman" w:hAnsi="Times New Roman" w:cs="Times New Roman"/>
          <w:noProof/>
          <w:lang w:val="en-IE"/>
        </w:rPr>
        <w:t xml:space="preserve"> </w:t>
      </w:r>
      <w:r w:rsidR="6BCD0CE6" w:rsidRPr="009A33E1">
        <w:rPr>
          <w:rFonts w:ascii="Times New Roman" w:hAnsi="Times New Roman" w:cs="Times New Roman"/>
          <w:noProof/>
          <w:lang w:val="en-IE"/>
        </w:rPr>
        <w:t xml:space="preserve">synergies with the </w:t>
      </w:r>
      <w:r w:rsidR="5A01569B" w:rsidRPr="009A33E1">
        <w:rPr>
          <w:rFonts w:ascii="Times New Roman" w:hAnsi="Times New Roman" w:cs="Times New Roman"/>
          <w:noProof/>
          <w:lang w:val="en-IE"/>
        </w:rPr>
        <w:t xml:space="preserve">new </w:t>
      </w:r>
      <w:r w:rsidR="5A01569B" w:rsidRPr="009A33E1">
        <w:rPr>
          <w:rFonts w:ascii="Times New Roman" w:hAnsi="Times New Roman" w:cs="Times New Roman"/>
          <w:b/>
          <w:bCs/>
          <w:noProof/>
          <w:lang w:val="en-IE"/>
        </w:rPr>
        <w:t>Customs Control Equipment Instrument</w:t>
      </w:r>
      <w:r w:rsidR="0008257E" w:rsidRPr="009A33E1">
        <w:rPr>
          <w:rStyle w:val="FootnoteReference"/>
          <w:rFonts w:ascii="Times New Roman" w:hAnsi="Times New Roman" w:cs="Times New Roman"/>
          <w:noProof/>
          <w:lang w:val="en-IE"/>
        </w:rPr>
        <w:footnoteReference w:id="29"/>
      </w:r>
      <w:r w:rsidR="6BCD0CE6" w:rsidRPr="009A33E1">
        <w:rPr>
          <w:rFonts w:ascii="Times New Roman" w:hAnsi="Times New Roman" w:cs="Times New Roman"/>
          <w:noProof/>
          <w:lang w:val="en-IE"/>
        </w:rPr>
        <w:t xml:space="preserve">. </w:t>
      </w:r>
      <w:r w:rsidR="6BF6BCB6" w:rsidRPr="009A33E1">
        <w:rPr>
          <w:rFonts w:ascii="Times New Roman" w:hAnsi="Times New Roman" w:cs="Times New Roman"/>
          <w:noProof/>
          <w:lang w:val="en-IE"/>
        </w:rPr>
        <w:t>The Customs programme provide</w:t>
      </w:r>
      <w:r w:rsidR="51D794CA" w:rsidRPr="009A33E1">
        <w:rPr>
          <w:rFonts w:ascii="Times New Roman" w:hAnsi="Times New Roman" w:cs="Times New Roman"/>
          <w:noProof/>
          <w:lang w:val="en-IE"/>
        </w:rPr>
        <w:t>d</w:t>
      </w:r>
      <w:r w:rsidR="6BF6BCB6" w:rsidRPr="009A33E1">
        <w:rPr>
          <w:rFonts w:ascii="Times New Roman" w:hAnsi="Times New Roman" w:cs="Times New Roman"/>
          <w:noProof/>
          <w:lang w:val="en-IE"/>
        </w:rPr>
        <w:t xml:space="preserve"> direct support to the implementation of the CCEI </w:t>
      </w:r>
      <w:r w:rsidR="6B137630" w:rsidRPr="009A33E1">
        <w:rPr>
          <w:rFonts w:ascii="Times New Roman" w:hAnsi="Times New Roman" w:cs="Times New Roman"/>
          <w:noProof/>
          <w:lang w:val="en-IE"/>
        </w:rPr>
        <w:t>via</w:t>
      </w:r>
      <w:r w:rsidR="6BF6BCB6" w:rsidRPr="009A33E1">
        <w:rPr>
          <w:rFonts w:ascii="Times New Roman" w:hAnsi="Times New Roman" w:cs="Times New Roman"/>
          <w:noProof/>
          <w:lang w:val="en-IE"/>
        </w:rPr>
        <w:t xml:space="preserve"> </w:t>
      </w:r>
      <w:r w:rsidR="6B137630" w:rsidRPr="009A33E1">
        <w:rPr>
          <w:rFonts w:ascii="Times New Roman" w:hAnsi="Times New Roman" w:cs="Times New Roman"/>
          <w:noProof/>
          <w:lang w:val="en-IE"/>
        </w:rPr>
        <w:t xml:space="preserve">cooperation actions regarding the </w:t>
      </w:r>
      <w:r w:rsidR="6BF6BCB6" w:rsidRPr="009A33E1">
        <w:rPr>
          <w:rFonts w:ascii="Times New Roman" w:hAnsi="Times New Roman" w:cs="Times New Roman"/>
          <w:noProof/>
          <w:lang w:val="en-IE"/>
        </w:rPr>
        <w:t xml:space="preserve">assessment of needs </w:t>
      </w:r>
      <w:r w:rsidR="6B137630" w:rsidRPr="009A33E1">
        <w:rPr>
          <w:rFonts w:ascii="Times New Roman" w:hAnsi="Times New Roman" w:cs="Times New Roman"/>
          <w:noProof/>
          <w:lang w:val="en-IE"/>
        </w:rPr>
        <w:t>and the</w:t>
      </w:r>
      <w:r w:rsidR="6BF6BCB6" w:rsidRPr="009A33E1">
        <w:rPr>
          <w:rFonts w:ascii="Times New Roman" w:hAnsi="Times New Roman" w:cs="Times New Roman"/>
          <w:noProof/>
          <w:lang w:val="en-IE"/>
        </w:rPr>
        <w:t xml:space="preserve"> training</w:t>
      </w:r>
      <w:r w:rsidR="6EFD1E6E" w:rsidRPr="009A33E1">
        <w:rPr>
          <w:rFonts w:ascii="Times New Roman" w:hAnsi="Times New Roman" w:cs="Times New Roman"/>
          <w:noProof/>
          <w:lang w:val="en-IE"/>
        </w:rPr>
        <w:t>s to be</w:t>
      </w:r>
      <w:r w:rsidR="6BF6BCB6" w:rsidRPr="009A33E1">
        <w:rPr>
          <w:rFonts w:ascii="Times New Roman" w:hAnsi="Times New Roman" w:cs="Times New Roman"/>
          <w:noProof/>
          <w:lang w:val="en-IE"/>
        </w:rPr>
        <w:t xml:space="preserve"> </w:t>
      </w:r>
      <w:r w:rsidR="6B137630" w:rsidRPr="009A33E1">
        <w:rPr>
          <w:rFonts w:ascii="Times New Roman" w:hAnsi="Times New Roman" w:cs="Times New Roman"/>
          <w:noProof/>
          <w:lang w:val="en-IE"/>
        </w:rPr>
        <w:t xml:space="preserve">required for the effective use of </w:t>
      </w:r>
      <w:r w:rsidR="6BF6BCB6" w:rsidRPr="009A33E1">
        <w:rPr>
          <w:rFonts w:ascii="Times New Roman" w:hAnsi="Times New Roman" w:cs="Times New Roman"/>
          <w:noProof/>
          <w:lang w:val="en-IE"/>
        </w:rPr>
        <w:t>the equipment concerned</w:t>
      </w:r>
      <w:r w:rsidR="00D32FAF" w:rsidRPr="009A33E1">
        <w:rPr>
          <w:rStyle w:val="FootnoteReference"/>
          <w:rFonts w:ascii="Times New Roman" w:hAnsi="Times New Roman" w:cs="Times New Roman"/>
          <w:noProof/>
          <w:lang w:val="en-IE"/>
        </w:rPr>
        <w:footnoteReference w:id="30"/>
      </w:r>
      <w:r w:rsidR="6BF6BCB6" w:rsidRPr="009A33E1">
        <w:rPr>
          <w:rFonts w:ascii="Times New Roman" w:hAnsi="Times New Roman" w:cs="Times New Roman"/>
          <w:noProof/>
          <w:lang w:val="en-IE"/>
        </w:rPr>
        <w:t xml:space="preserve">. </w:t>
      </w:r>
      <w:r w:rsidR="172FF50D" w:rsidRPr="009A33E1">
        <w:rPr>
          <w:rFonts w:ascii="Times New Roman" w:hAnsi="Times New Roman" w:cs="Times New Roman"/>
          <w:noProof/>
          <w:lang w:val="en-IE"/>
        </w:rPr>
        <w:t xml:space="preserve">As such, the </w:t>
      </w:r>
      <w:r w:rsidR="561A48D6" w:rsidRPr="009A33E1">
        <w:rPr>
          <w:rFonts w:ascii="Times New Roman" w:hAnsi="Times New Roman" w:cs="Times New Roman"/>
          <w:noProof/>
          <w:lang w:val="en-IE"/>
        </w:rPr>
        <w:t>CCEI</w:t>
      </w:r>
      <w:r w:rsidR="172FF50D" w:rsidRPr="009A33E1">
        <w:rPr>
          <w:rFonts w:ascii="Times New Roman" w:hAnsi="Times New Roman" w:cs="Times New Roman"/>
          <w:noProof/>
          <w:lang w:val="en-IE"/>
        </w:rPr>
        <w:t xml:space="preserve"> Coordination Group was established in 2021</w:t>
      </w:r>
      <w:r w:rsidR="0751AC07" w:rsidRPr="009A33E1">
        <w:rPr>
          <w:rFonts w:ascii="Times New Roman" w:hAnsi="Times New Roman" w:cs="Times New Roman"/>
          <w:noProof/>
          <w:lang w:val="en-IE"/>
        </w:rPr>
        <w:t>,</w:t>
      </w:r>
      <w:r w:rsidR="172FF50D" w:rsidRPr="009A33E1">
        <w:rPr>
          <w:rFonts w:ascii="Times New Roman" w:hAnsi="Times New Roman" w:cs="Times New Roman"/>
          <w:noProof/>
          <w:lang w:val="en-IE"/>
        </w:rPr>
        <w:t xml:space="preserve"> providing support to the operational implementation of the Instrument. In addition, collaborative activities, such as sharing good practices and </w:t>
      </w:r>
      <w:r w:rsidR="655EED3F" w:rsidRPr="009A33E1">
        <w:rPr>
          <w:rFonts w:ascii="Times New Roman" w:hAnsi="Times New Roman" w:cs="Times New Roman"/>
          <w:noProof/>
          <w:lang w:val="en-IE"/>
        </w:rPr>
        <w:t>expertise</w:t>
      </w:r>
      <w:r w:rsidR="172FF50D" w:rsidRPr="009A33E1">
        <w:rPr>
          <w:rFonts w:ascii="Times New Roman" w:hAnsi="Times New Roman" w:cs="Times New Roman"/>
          <w:noProof/>
          <w:lang w:val="en-IE"/>
        </w:rPr>
        <w:t xml:space="preserve"> </w:t>
      </w:r>
      <w:r w:rsidR="0751AC07" w:rsidRPr="009A33E1">
        <w:rPr>
          <w:rFonts w:ascii="Times New Roman" w:hAnsi="Times New Roman" w:cs="Times New Roman"/>
          <w:noProof/>
          <w:lang w:val="en-IE"/>
        </w:rPr>
        <w:t xml:space="preserve">on </w:t>
      </w:r>
      <w:r w:rsidR="172FF50D" w:rsidRPr="009A33E1">
        <w:rPr>
          <w:rFonts w:ascii="Times New Roman" w:hAnsi="Times New Roman" w:cs="Times New Roman"/>
          <w:noProof/>
          <w:lang w:val="en-IE"/>
        </w:rPr>
        <w:t xml:space="preserve">the use of specific control equipment, </w:t>
      </w:r>
      <w:r w:rsidR="0751AC07" w:rsidRPr="009A33E1">
        <w:rPr>
          <w:rFonts w:ascii="Times New Roman" w:hAnsi="Times New Roman" w:cs="Times New Roman"/>
          <w:noProof/>
          <w:lang w:val="en-IE"/>
        </w:rPr>
        <w:t xml:space="preserve">such as </w:t>
      </w:r>
      <w:r w:rsidR="370BBFD8" w:rsidRPr="009A33E1">
        <w:rPr>
          <w:rFonts w:ascii="Times New Roman" w:hAnsi="Times New Roman" w:cs="Times New Roman"/>
          <w:noProof/>
          <w:lang w:val="en-IE"/>
        </w:rPr>
        <w:t xml:space="preserve">scanners and tools for </w:t>
      </w:r>
      <w:r w:rsidR="172FF50D" w:rsidRPr="009A33E1">
        <w:rPr>
          <w:rFonts w:ascii="Times New Roman" w:hAnsi="Times New Roman" w:cs="Times New Roman"/>
          <w:noProof/>
          <w:lang w:val="en-IE"/>
        </w:rPr>
        <w:t>reading X-ray images</w:t>
      </w:r>
      <w:r w:rsidR="0751AC07" w:rsidRPr="009A33E1">
        <w:rPr>
          <w:rFonts w:ascii="Times New Roman" w:hAnsi="Times New Roman" w:cs="Times New Roman"/>
          <w:noProof/>
          <w:lang w:val="en-IE"/>
        </w:rPr>
        <w:t>,</w:t>
      </w:r>
      <w:r w:rsidR="172FF50D" w:rsidRPr="009A33E1">
        <w:rPr>
          <w:rFonts w:ascii="Times New Roman" w:hAnsi="Times New Roman" w:cs="Times New Roman"/>
          <w:noProof/>
          <w:lang w:val="en-IE"/>
        </w:rPr>
        <w:t xml:space="preserve"> facilitated the </w:t>
      </w:r>
      <w:r w:rsidR="6EFD1E6E" w:rsidRPr="009A33E1">
        <w:rPr>
          <w:rFonts w:ascii="Times New Roman" w:hAnsi="Times New Roman" w:cs="Times New Roman"/>
          <w:noProof/>
          <w:lang w:val="en-IE"/>
        </w:rPr>
        <w:t>identification</w:t>
      </w:r>
      <w:r w:rsidR="172FF50D" w:rsidRPr="009A33E1">
        <w:rPr>
          <w:rFonts w:ascii="Times New Roman" w:hAnsi="Times New Roman" w:cs="Times New Roman"/>
          <w:noProof/>
          <w:lang w:val="en-IE"/>
        </w:rPr>
        <w:t xml:space="preserve"> of the customs control equipment </w:t>
      </w:r>
      <w:r w:rsidR="6EFD1E6E" w:rsidRPr="009A33E1">
        <w:rPr>
          <w:rFonts w:ascii="Times New Roman" w:hAnsi="Times New Roman" w:cs="Times New Roman"/>
          <w:noProof/>
          <w:lang w:val="en-IE"/>
        </w:rPr>
        <w:t xml:space="preserve">to be </w:t>
      </w:r>
      <w:r w:rsidR="172FF50D" w:rsidRPr="009A33E1">
        <w:rPr>
          <w:rFonts w:ascii="Times New Roman" w:hAnsi="Times New Roman" w:cs="Times New Roman"/>
          <w:noProof/>
          <w:lang w:val="en-IE"/>
        </w:rPr>
        <w:t xml:space="preserve">potentially purchased via the support of the CCEI. </w:t>
      </w:r>
    </w:p>
    <w:p w14:paraId="1E4DFC3A" w14:textId="26989CDE" w:rsidR="00F717FB" w:rsidRPr="009A33E1" w:rsidRDefault="16305A4A" w:rsidP="00DB2BB5">
      <w:pPr>
        <w:pStyle w:val="Heading2"/>
        <w:spacing w:before="240" w:after="240"/>
        <w:rPr>
          <w:noProof/>
        </w:rPr>
      </w:pPr>
      <w:bookmarkStart w:id="13" w:name="_Toc96083190"/>
      <w:r w:rsidRPr="009A33E1">
        <w:rPr>
          <w:noProof/>
        </w:rPr>
        <w:t>With other Union policies</w:t>
      </w:r>
      <w:bookmarkEnd w:id="13"/>
      <w:r w:rsidRPr="009A33E1">
        <w:rPr>
          <w:noProof/>
        </w:rPr>
        <w:t xml:space="preserve"> </w:t>
      </w:r>
    </w:p>
    <w:p w14:paraId="1AE65179" w14:textId="34780629" w:rsidR="00F717FB" w:rsidRPr="009A33E1" w:rsidRDefault="00392BE5" w:rsidP="00404503">
      <w:pPr>
        <w:jc w:val="both"/>
        <w:rPr>
          <w:rFonts w:ascii="Times New Roman" w:hAnsi="Times New Roman" w:cs="Times New Roman"/>
          <w:noProof/>
          <w:lang w:val="en-IE"/>
        </w:rPr>
      </w:pPr>
      <w:r w:rsidRPr="009A33E1">
        <w:rPr>
          <w:rFonts w:ascii="Times New Roman" w:hAnsi="Times New Roman" w:cs="Times New Roman"/>
          <w:noProof/>
          <w:lang w:val="en-IE"/>
        </w:rPr>
        <w:t xml:space="preserve">The Customs programmes have strong interlinks with numerous policy areas and related EU programmes. A key partner in 2021 was the </w:t>
      </w:r>
      <w:r w:rsidR="00D75EC1" w:rsidRPr="009A33E1">
        <w:rPr>
          <w:rFonts w:ascii="Times New Roman" w:hAnsi="Times New Roman" w:cs="Times New Roman"/>
          <w:b/>
          <w:bCs/>
          <w:noProof/>
          <w:lang w:val="en-IE"/>
        </w:rPr>
        <w:t>H</w:t>
      </w:r>
      <w:r w:rsidRPr="009A33E1">
        <w:rPr>
          <w:rFonts w:ascii="Times New Roman" w:hAnsi="Times New Roman" w:cs="Times New Roman"/>
          <w:b/>
          <w:bCs/>
          <w:noProof/>
          <w:lang w:val="en-IE"/>
        </w:rPr>
        <w:t>ercule III</w:t>
      </w:r>
      <w:r w:rsidR="00A820CC" w:rsidRPr="009A33E1">
        <w:rPr>
          <w:rStyle w:val="FootnoteReference"/>
          <w:rFonts w:ascii="Times New Roman" w:hAnsi="Times New Roman" w:cs="Times New Roman"/>
          <w:b/>
          <w:bCs/>
          <w:noProof/>
          <w:lang w:val="en-IE"/>
        </w:rPr>
        <w:footnoteReference w:id="31"/>
      </w:r>
      <w:r w:rsidR="00D75EC1" w:rsidRPr="009A33E1">
        <w:rPr>
          <w:rFonts w:ascii="Times New Roman" w:hAnsi="Times New Roman" w:cs="Times New Roman"/>
          <w:b/>
          <w:bCs/>
          <w:noProof/>
          <w:lang w:val="en-IE"/>
        </w:rPr>
        <w:t>/Anti-fraud programme</w:t>
      </w:r>
      <w:r w:rsidRPr="009A33E1">
        <w:rPr>
          <w:rFonts w:ascii="Times New Roman" w:hAnsi="Times New Roman" w:cs="Times New Roman"/>
          <w:noProof/>
          <w:lang w:val="en-IE"/>
        </w:rPr>
        <w:t>. The final evaluation of both the Customs 2020 and the Hercule III programmes praised the complementarity of the two programme domains that partially address t</w:t>
      </w:r>
      <w:r w:rsidR="00BC4B9F" w:rsidRPr="009A33E1">
        <w:rPr>
          <w:rFonts w:ascii="Times New Roman" w:hAnsi="Times New Roman" w:cs="Times New Roman"/>
          <w:noProof/>
          <w:lang w:val="en-IE"/>
        </w:rPr>
        <w:t>he same aspects of customs work,</w:t>
      </w:r>
      <w:r w:rsidRPr="009A33E1">
        <w:rPr>
          <w:rFonts w:ascii="Times New Roman" w:hAnsi="Times New Roman" w:cs="Times New Roman"/>
          <w:noProof/>
          <w:lang w:val="en-IE"/>
        </w:rPr>
        <w:t xml:space="preserve"> but with different financing options and different underlying objectives. The correlation is also present at the level of the Union IT systems and the joint financing of specific IT applications used for objectives </w:t>
      </w:r>
      <w:r w:rsidR="00A3546A" w:rsidRPr="009A33E1">
        <w:rPr>
          <w:rFonts w:ascii="Times New Roman" w:hAnsi="Times New Roman" w:cs="Times New Roman"/>
          <w:noProof/>
          <w:lang w:val="en-IE"/>
        </w:rPr>
        <w:t>relevant for both the Customs as well</w:t>
      </w:r>
      <w:r w:rsidR="009D45BF">
        <w:rPr>
          <w:rFonts w:ascii="Times New Roman" w:hAnsi="Times New Roman" w:cs="Times New Roman"/>
          <w:noProof/>
          <w:lang w:val="en-IE"/>
        </w:rPr>
        <w:t xml:space="preserve"> as the Hercule III/Anti-fraud p</w:t>
      </w:r>
      <w:r w:rsidR="00A3546A" w:rsidRPr="009A33E1">
        <w:rPr>
          <w:rFonts w:ascii="Times New Roman" w:hAnsi="Times New Roman" w:cs="Times New Roman"/>
          <w:noProof/>
          <w:lang w:val="en-IE"/>
        </w:rPr>
        <w:t>rogramme</w:t>
      </w:r>
      <w:r w:rsidR="00A3546A" w:rsidRPr="009A33E1">
        <w:rPr>
          <w:rStyle w:val="FootnoteReference"/>
          <w:rFonts w:ascii="Times New Roman" w:hAnsi="Times New Roman" w:cs="Times New Roman"/>
          <w:noProof/>
          <w:lang w:val="en-IE"/>
        </w:rPr>
        <w:footnoteReference w:id="32"/>
      </w:r>
      <w:r w:rsidR="00A3546A" w:rsidRPr="009A33E1">
        <w:rPr>
          <w:rFonts w:ascii="Times New Roman" w:hAnsi="Times New Roman" w:cs="Times New Roman"/>
          <w:noProof/>
          <w:lang w:val="en-IE"/>
        </w:rPr>
        <w:t xml:space="preserve">. </w:t>
      </w:r>
    </w:p>
    <w:p w14:paraId="45A93F6A" w14:textId="70A4FA6A" w:rsidR="34F76942" w:rsidRPr="009A33E1" w:rsidRDefault="16305A4A" w:rsidP="00404503">
      <w:pPr>
        <w:jc w:val="both"/>
        <w:rPr>
          <w:rFonts w:ascii="Times New Roman" w:hAnsi="Times New Roman" w:cs="Times New Roman"/>
          <w:noProof/>
          <w:lang w:val="en-IE"/>
        </w:rPr>
      </w:pPr>
      <w:r w:rsidRPr="009A33E1">
        <w:rPr>
          <w:rFonts w:ascii="Times New Roman" w:hAnsi="Times New Roman" w:cs="Times New Roman"/>
          <w:noProof/>
          <w:lang w:val="en-IE"/>
        </w:rPr>
        <w:t xml:space="preserve">The Customs programmes’ collaborative actions also supported cooperation with other related policy domains primarily linked with the broad role and competencies of customs in the </w:t>
      </w:r>
      <w:r w:rsidRPr="009A33E1">
        <w:rPr>
          <w:rFonts w:ascii="Times New Roman" w:hAnsi="Times New Roman" w:cs="Times New Roman"/>
          <w:b/>
          <w:bCs/>
          <w:noProof/>
          <w:lang w:val="en-IE"/>
        </w:rPr>
        <w:t>control of goods entering, exiting and transiting the EU customs territory</w:t>
      </w:r>
      <w:r w:rsidRPr="009A33E1">
        <w:rPr>
          <w:rFonts w:ascii="Times New Roman" w:hAnsi="Times New Roman" w:cs="Times New Roman"/>
          <w:noProof/>
          <w:lang w:val="en-IE"/>
        </w:rPr>
        <w:t xml:space="preserve">. Such cooperation took place for instance in the domain of </w:t>
      </w:r>
      <w:r w:rsidRPr="009A33E1">
        <w:rPr>
          <w:rFonts w:ascii="Times New Roman" w:hAnsi="Times New Roman" w:cs="Times New Roman"/>
          <w:b/>
          <w:bCs/>
          <w:noProof/>
          <w:lang w:val="en-IE"/>
        </w:rPr>
        <w:t>non-financial risk</w:t>
      </w:r>
      <w:r w:rsidR="00FD7F25" w:rsidRPr="009A33E1">
        <w:rPr>
          <w:rFonts w:ascii="Times New Roman" w:hAnsi="Times New Roman" w:cs="Times New Roman"/>
          <w:b/>
          <w:bCs/>
          <w:noProof/>
          <w:lang w:val="en-IE"/>
        </w:rPr>
        <w:t xml:space="preserve"> management</w:t>
      </w:r>
      <w:r w:rsidRPr="009A33E1">
        <w:rPr>
          <w:rFonts w:ascii="Times New Roman" w:hAnsi="Times New Roman" w:cs="Times New Roman"/>
          <w:noProof/>
          <w:lang w:val="en-IE"/>
        </w:rPr>
        <w:t>, such as product safety (</w:t>
      </w:r>
      <w:r w:rsidR="00F57DF9" w:rsidRPr="00F57DF9">
        <w:rPr>
          <w:rFonts w:ascii="Times New Roman" w:hAnsi="Times New Roman" w:cs="Times New Roman"/>
          <w:noProof/>
          <w:lang w:val="en-IE"/>
        </w:rPr>
        <w:t>fluorinated greenhouse gases</w:t>
      </w:r>
      <w:r w:rsidRPr="009A33E1">
        <w:rPr>
          <w:rFonts w:ascii="Times New Roman" w:hAnsi="Times New Roman" w:cs="Times New Roman"/>
          <w:noProof/>
          <w:lang w:val="en-IE"/>
        </w:rPr>
        <w:t>, nuclear detection), the protection of the environment (waste, FLEGT</w:t>
      </w:r>
      <w:r w:rsidR="00F57DF9">
        <w:rPr>
          <w:rStyle w:val="FootnoteReference"/>
          <w:rFonts w:ascii="Times New Roman" w:hAnsi="Times New Roman" w:cs="Times New Roman"/>
          <w:noProof/>
          <w:lang w:val="en-IE"/>
        </w:rPr>
        <w:footnoteReference w:id="33"/>
      </w:r>
      <w:r w:rsidRPr="009A33E1">
        <w:rPr>
          <w:rFonts w:ascii="Times New Roman" w:hAnsi="Times New Roman" w:cs="Times New Roman"/>
          <w:noProof/>
          <w:lang w:val="en-IE"/>
        </w:rPr>
        <w:t xml:space="preserve">, </w:t>
      </w:r>
      <w:r w:rsidR="00F57DF9" w:rsidRPr="00F57DF9">
        <w:rPr>
          <w:rFonts w:ascii="Times New Roman" w:hAnsi="Times New Roman" w:cs="Times New Roman"/>
          <w:noProof/>
          <w:lang w:val="en-IE"/>
        </w:rPr>
        <w:t>fluorinated greenhouse gases</w:t>
      </w:r>
      <w:r w:rsidRPr="009A33E1">
        <w:rPr>
          <w:rFonts w:ascii="Times New Roman" w:hAnsi="Times New Roman" w:cs="Times New Roman"/>
          <w:noProof/>
          <w:lang w:val="en-IE"/>
        </w:rPr>
        <w:t xml:space="preserve">), and security market (cash control, drug precursors, cultural goods). </w:t>
      </w:r>
    </w:p>
    <w:p w14:paraId="240F9D09" w14:textId="492EC727" w:rsidR="00542361" w:rsidRPr="009A33E1" w:rsidRDefault="2520481A" w:rsidP="00404503">
      <w:pPr>
        <w:jc w:val="both"/>
        <w:rPr>
          <w:rFonts w:ascii="Times New Roman" w:hAnsi="Times New Roman" w:cs="Times New Roman"/>
          <w:noProof/>
          <w:lang w:val="en-IE"/>
        </w:rPr>
      </w:pPr>
      <w:r w:rsidRPr="009A33E1">
        <w:rPr>
          <w:rFonts w:ascii="Times New Roman" w:hAnsi="Times New Roman" w:cs="Times New Roman"/>
          <w:noProof/>
          <w:lang w:val="en-IE"/>
        </w:rPr>
        <w:t>Finally, t</w:t>
      </w:r>
      <w:r w:rsidR="00352EC1" w:rsidRPr="009A33E1">
        <w:rPr>
          <w:rFonts w:ascii="Times New Roman" w:hAnsi="Times New Roman" w:cs="Times New Roman"/>
          <w:noProof/>
          <w:lang w:val="en-IE"/>
        </w:rPr>
        <w:t xml:space="preserve">he programme supported </w:t>
      </w:r>
      <w:r w:rsidRPr="009A33E1">
        <w:rPr>
          <w:rFonts w:ascii="Times New Roman" w:hAnsi="Times New Roman" w:cs="Times New Roman"/>
          <w:noProof/>
          <w:lang w:val="en-IE"/>
        </w:rPr>
        <w:t xml:space="preserve">other Union policies </w:t>
      </w:r>
      <w:r w:rsidR="5755B3C0" w:rsidRPr="009A33E1">
        <w:rPr>
          <w:rFonts w:ascii="Times New Roman" w:hAnsi="Times New Roman" w:cs="Times New Roman"/>
          <w:noProof/>
          <w:lang w:val="en-IE"/>
        </w:rPr>
        <w:t xml:space="preserve">through </w:t>
      </w:r>
      <w:r w:rsidR="00352EC1" w:rsidRPr="009A33E1">
        <w:rPr>
          <w:rFonts w:ascii="Times New Roman" w:hAnsi="Times New Roman" w:cs="Times New Roman"/>
          <w:noProof/>
          <w:lang w:val="en-IE"/>
        </w:rPr>
        <w:t xml:space="preserve">the </w:t>
      </w:r>
      <w:r w:rsidR="00456BC9" w:rsidRPr="009A33E1">
        <w:rPr>
          <w:rFonts w:ascii="Times New Roman" w:hAnsi="Times New Roman" w:cs="Times New Roman"/>
          <w:noProof/>
          <w:lang w:val="en-IE"/>
        </w:rPr>
        <w:t>realisation of IT-level connections via the EU Single Window Environment for Customs initiative</w:t>
      </w:r>
      <w:r w:rsidR="00C433B6" w:rsidRPr="009A33E1">
        <w:rPr>
          <w:rFonts w:ascii="Times New Roman" w:hAnsi="Times New Roman" w:cs="Times New Roman"/>
          <w:noProof/>
          <w:lang w:val="en-IE"/>
        </w:rPr>
        <w:t xml:space="preserve"> (EU SWE-C)</w:t>
      </w:r>
      <w:r w:rsidR="00456BC9" w:rsidRPr="009A33E1">
        <w:rPr>
          <w:rFonts w:ascii="Times New Roman" w:hAnsi="Times New Roman" w:cs="Times New Roman"/>
          <w:noProof/>
          <w:lang w:val="en-IE"/>
        </w:rPr>
        <w:t xml:space="preserve">. </w:t>
      </w:r>
      <w:r w:rsidR="5755B3C0" w:rsidRPr="009A33E1">
        <w:rPr>
          <w:rFonts w:ascii="Times New Roman" w:hAnsi="Times New Roman" w:cs="Times New Roman"/>
          <w:noProof/>
          <w:lang w:val="en-IE"/>
        </w:rPr>
        <w:t xml:space="preserve">In this regard, accesses were maintained to </w:t>
      </w:r>
      <w:r w:rsidR="002F18AB" w:rsidRPr="009A33E1">
        <w:rPr>
          <w:rFonts w:ascii="Times New Roman" w:hAnsi="Times New Roman" w:cs="Times New Roman"/>
          <w:noProof/>
          <w:lang w:val="en-IE"/>
        </w:rPr>
        <w:t>several platforms, sometimes with further</w:t>
      </w:r>
      <w:r w:rsidR="00B54E44" w:rsidRPr="009A33E1">
        <w:rPr>
          <w:rFonts w:ascii="Times New Roman" w:hAnsi="Times New Roman" w:cs="Times New Roman"/>
          <w:noProof/>
          <w:lang w:val="en-IE"/>
        </w:rPr>
        <w:t xml:space="preserve"> IT</w:t>
      </w:r>
      <w:r w:rsidR="002F18AB" w:rsidRPr="009A33E1">
        <w:rPr>
          <w:rFonts w:ascii="Times New Roman" w:hAnsi="Times New Roman" w:cs="Times New Roman"/>
          <w:noProof/>
          <w:lang w:val="en-IE"/>
        </w:rPr>
        <w:t xml:space="preserve"> developments</w:t>
      </w:r>
      <w:r w:rsidR="00FD7F25" w:rsidRPr="009A33E1">
        <w:rPr>
          <w:rFonts w:ascii="Times New Roman" w:hAnsi="Times New Roman" w:cs="Times New Roman"/>
          <w:noProof/>
          <w:lang w:val="en-IE"/>
        </w:rPr>
        <w:t xml:space="preserve"> of its underlying </w:t>
      </w:r>
      <w:r w:rsidR="00703356">
        <w:rPr>
          <w:rFonts w:ascii="Times New Roman" w:hAnsi="Times New Roman" w:cs="Times New Roman"/>
          <w:noProof/>
          <w:lang w:val="en-IE"/>
        </w:rPr>
        <w:t>certificates exchange (</w:t>
      </w:r>
      <w:r w:rsidR="00FD7F25" w:rsidRPr="009A33E1">
        <w:rPr>
          <w:rFonts w:ascii="Times New Roman" w:hAnsi="Times New Roman" w:cs="Times New Roman"/>
          <w:noProof/>
          <w:lang w:val="en-IE"/>
        </w:rPr>
        <w:t>CERTEX</w:t>
      </w:r>
      <w:r w:rsidR="00703356">
        <w:rPr>
          <w:rFonts w:ascii="Times New Roman" w:hAnsi="Times New Roman" w:cs="Times New Roman"/>
          <w:noProof/>
          <w:lang w:val="en-IE"/>
        </w:rPr>
        <w:t>)</w:t>
      </w:r>
      <w:r w:rsidR="00FD7F25" w:rsidRPr="009A33E1">
        <w:rPr>
          <w:rFonts w:ascii="Times New Roman" w:hAnsi="Times New Roman" w:cs="Times New Roman"/>
          <w:noProof/>
          <w:lang w:val="en-IE"/>
        </w:rPr>
        <w:t xml:space="preserve"> system</w:t>
      </w:r>
      <w:r w:rsidR="505E862D" w:rsidRPr="009A33E1">
        <w:rPr>
          <w:rFonts w:ascii="Times New Roman" w:hAnsi="Times New Roman" w:cs="Times New Roman"/>
          <w:noProof/>
          <w:lang w:val="en-IE"/>
        </w:rPr>
        <w:t>.</w:t>
      </w:r>
      <w:r w:rsidR="00344B13" w:rsidRPr="009A33E1">
        <w:rPr>
          <w:rFonts w:ascii="Times New Roman" w:hAnsi="Times New Roman" w:cs="Times New Roman"/>
          <w:noProof/>
          <w:lang w:val="en-IE"/>
        </w:rPr>
        <w:t xml:space="preserve"> These are notably the interconnection between the </w:t>
      </w:r>
      <w:r w:rsidR="00FD7F25" w:rsidRPr="009A33E1">
        <w:rPr>
          <w:rFonts w:ascii="Times New Roman" w:hAnsi="Times New Roman" w:cs="Times New Roman"/>
          <w:noProof/>
          <w:lang w:val="en-IE"/>
        </w:rPr>
        <w:t>CERTEX system</w:t>
      </w:r>
      <w:r w:rsidR="00344B13" w:rsidRPr="009A33E1">
        <w:rPr>
          <w:rFonts w:ascii="Times New Roman" w:hAnsi="Times New Roman" w:cs="Times New Roman"/>
          <w:noProof/>
          <w:lang w:val="en-IE"/>
        </w:rPr>
        <w:t xml:space="preserve"> and the</w:t>
      </w:r>
      <w:r w:rsidR="00DD14E3">
        <w:rPr>
          <w:rFonts w:ascii="Times New Roman" w:hAnsi="Times New Roman" w:cs="Times New Roman"/>
          <w:noProof/>
          <w:lang w:val="en-IE"/>
        </w:rPr>
        <w:t xml:space="preserve"> </w:t>
      </w:r>
      <w:r w:rsidR="00DD14E3" w:rsidRPr="00DD14E3">
        <w:rPr>
          <w:rFonts w:ascii="Times New Roman" w:hAnsi="Times New Roman" w:cs="Times New Roman"/>
          <w:noProof/>
          <w:lang w:val="en-IE"/>
        </w:rPr>
        <w:t>fluorinated greenhouse gases</w:t>
      </w:r>
      <w:r w:rsidR="00EE6ECA" w:rsidRPr="009A33E1">
        <w:rPr>
          <w:rFonts w:ascii="Times New Roman" w:hAnsi="Times New Roman" w:cs="Times New Roman"/>
          <w:noProof/>
          <w:lang w:val="en-IE"/>
        </w:rPr>
        <w:t xml:space="preserve"> and</w:t>
      </w:r>
      <w:r w:rsidR="00344B13" w:rsidRPr="009A33E1">
        <w:rPr>
          <w:rFonts w:ascii="Times New Roman" w:hAnsi="Times New Roman" w:cs="Times New Roman"/>
          <w:noProof/>
          <w:lang w:val="en-IE"/>
        </w:rPr>
        <w:t xml:space="preserve"> </w:t>
      </w:r>
      <w:r w:rsidR="00DD14E3">
        <w:rPr>
          <w:rFonts w:ascii="Times New Roman" w:hAnsi="Times New Roman" w:cs="Times New Roman"/>
          <w:noProof/>
          <w:lang w:val="en-IE"/>
        </w:rPr>
        <w:t>ozone depleting substances</w:t>
      </w:r>
      <w:r w:rsidR="00DD14E3" w:rsidRPr="009A33E1">
        <w:rPr>
          <w:rFonts w:ascii="Times New Roman" w:hAnsi="Times New Roman" w:cs="Times New Roman"/>
          <w:noProof/>
          <w:lang w:val="en-IE"/>
        </w:rPr>
        <w:t xml:space="preserve"> </w:t>
      </w:r>
      <w:r w:rsidR="00344B13" w:rsidRPr="009A33E1">
        <w:rPr>
          <w:rFonts w:ascii="Times New Roman" w:hAnsi="Times New Roman" w:cs="Times New Roman"/>
          <w:noProof/>
          <w:lang w:val="en-IE"/>
        </w:rPr>
        <w:t>platform</w:t>
      </w:r>
      <w:r w:rsidR="00EE6ECA" w:rsidRPr="009A33E1">
        <w:rPr>
          <w:rFonts w:ascii="Times New Roman" w:hAnsi="Times New Roman" w:cs="Times New Roman"/>
          <w:noProof/>
          <w:lang w:val="en-IE"/>
        </w:rPr>
        <w:t>s</w:t>
      </w:r>
      <w:r w:rsidR="00344B13" w:rsidRPr="009A33E1">
        <w:rPr>
          <w:rStyle w:val="FootnoteReference"/>
          <w:rFonts w:ascii="Times New Roman" w:hAnsi="Times New Roman" w:cs="Times New Roman"/>
          <w:noProof/>
          <w:lang w:val="en-IE"/>
        </w:rPr>
        <w:footnoteReference w:id="34"/>
      </w:r>
      <w:r w:rsidR="00344B13" w:rsidRPr="009A33E1">
        <w:rPr>
          <w:rFonts w:ascii="Times New Roman" w:hAnsi="Times New Roman" w:cs="Times New Roman"/>
          <w:noProof/>
          <w:lang w:val="en-IE"/>
        </w:rPr>
        <w:t xml:space="preserve"> in support of EU climate objectives; the</w:t>
      </w:r>
      <w:r w:rsidR="00EE6ECA" w:rsidRPr="009A33E1">
        <w:rPr>
          <w:rFonts w:ascii="Times New Roman" w:hAnsi="Times New Roman" w:cs="Times New Roman"/>
          <w:noProof/>
          <w:lang w:val="en-IE"/>
        </w:rPr>
        <w:t xml:space="preserve"> start of the business specifications for the</w:t>
      </w:r>
      <w:r w:rsidR="00344B13" w:rsidRPr="009A33E1">
        <w:rPr>
          <w:rFonts w:ascii="Times New Roman" w:hAnsi="Times New Roman" w:cs="Times New Roman"/>
          <w:noProof/>
          <w:lang w:val="en-IE"/>
        </w:rPr>
        <w:t xml:space="preserve"> development of a functionality within the </w:t>
      </w:r>
      <w:r w:rsidR="00FD7F25" w:rsidRPr="009A33E1">
        <w:rPr>
          <w:rFonts w:ascii="Times New Roman" w:hAnsi="Times New Roman" w:cs="Times New Roman"/>
          <w:noProof/>
          <w:lang w:val="en-IE"/>
        </w:rPr>
        <w:t>CERTEX system</w:t>
      </w:r>
      <w:r w:rsidR="00344B13" w:rsidRPr="009A33E1">
        <w:rPr>
          <w:rFonts w:ascii="Times New Roman" w:hAnsi="Times New Roman" w:cs="Times New Roman"/>
          <w:noProof/>
          <w:lang w:val="en-IE"/>
        </w:rPr>
        <w:t xml:space="preserve"> allowing automatic checks of c</w:t>
      </w:r>
      <w:r w:rsidR="00B54E44" w:rsidRPr="009A33E1">
        <w:rPr>
          <w:rFonts w:ascii="Times New Roman" w:hAnsi="Times New Roman" w:cs="Times New Roman"/>
          <w:noProof/>
          <w:lang w:val="en-IE"/>
        </w:rPr>
        <w:t xml:space="preserve">ertificates required by the </w:t>
      </w:r>
      <w:r w:rsidR="00703356" w:rsidRPr="00703356">
        <w:rPr>
          <w:rFonts w:ascii="Times New Roman" w:hAnsi="Times New Roman" w:cs="Times New Roman"/>
          <w:noProof/>
          <w:lang w:val="en-IE"/>
        </w:rPr>
        <w:t xml:space="preserve">Convention on International Trade in Endangered Species </w:t>
      </w:r>
      <w:r w:rsidR="00703356">
        <w:rPr>
          <w:rFonts w:ascii="Times New Roman" w:hAnsi="Times New Roman" w:cs="Times New Roman"/>
          <w:noProof/>
          <w:lang w:val="en-IE"/>
        </w:rPr>
        <w:t>(</w:t>
      </w:r>
      <w:r w:rsidR="00B54E44" w:rsidRPr="009A33E1">
        <w:rPr>
          <w:rFonts w:ascii="Times New Roman" w:hAnsi="Times New Roman" w:cs="Times New Roman"/>
          <w:noProof/>
          <w:lang w:val="en-IE"/>
        </w:rPr>
        <w:t>CIT</w:t>
      </w:r>
      <w:r w:rsidR="00344B13" w:rsidRPr="009A33E1">
        <w:rPr>
          <w:rFonts w:ascii="Times New Roman" w:hAnsi="Times New Roman" w:cs="Times New Roman"/>
          <w:noProof/>
          <w:lang w:val="en-IE"/>
        </w:rPr>
        <w:t>ES</w:t>
      </w:r>
      <w:r w:rsidR="00703356">
        <w:rPr>
          <w:rFonts w:ascii="Times New Roman" w:hAnsi="Times New Roman" w:cs="Times New Roman"/>
          <w:noProof/>
          <w:lang w:val="en-IE"/>
        </w:rPr>
        <w:t>)</w:t>
      </w:r>
      <w:r w:rsidR="00344B13" w:rsidRPr="009A33E1">
        <w:rPr>
          <w:rFonts w:ascii="Times New Roman" w:hAnsi="Times New Roman" w:cs="Times New Roman"/>
          <w:noProof/>
          <w:lang w:val="en-IE"/>
        </w:rPr>
        <w:t xml:space="preserve"> and a future interconnection with the EU CITES platform in support of EU environment policy goals. An interface </w:t>
      </w:r>
      <w:r w:rsidR="00E12E97" w:rsidRPr="009A33E1">
        <w:rPr>
          <w:rFonts w:ascii="Times New Roman" w:hAnsi="Times New Roman" w:cs="Times New Roman"/>
          <w:noProof/>
          <w:lang w:val="en-IE"/>
        </w:rPr>
        <w:t>w</w:t>
      </w:r>
      <w:r w:rsidR="00344B13" w:rsidRPr="009A33E1">
        <w:rPr>
          <w:rFonts w:ascii="Times New Roman" w:hAnsi="Times New Roman" w:cs="Times New Roman"/>
          <w:noProof/>
          <w:lang w:val="en-IE"/>
        </w:rPr>
        <w:t xml:space="preserve">ith the </w:t>
      </w:r>
      <w:r w:rsidR="00703356">
        <w:rPr>
          <w:rFonts w:ascii="Times New Roman" w:hAnsi="Times New Roman" w:cs="Times New Roman"/>
          <w:noProof/>
          <w:lang w:val="en-IE"/>
        </w:rPr>
        <w:t>Union</w:t>
      </w:r>
      <w:r w:rsidR="00703356" w:rsidRPr="009A33E1">
        <w:rPr>
          <w:rFonts w:ascii="Times New Roman" w:hAnsi="Times New Roman" w:cs="Times New Roman"/>
          <w:noProof/>
          <w:lang w:val="en-IE"/>
        </w:rPr>
        <w:t xml:space="preserve"> </w:t>
      </w:r>
      <w:r w:rsidR="00344B13" w:rsidRPr="009A33E1">
        <w:rPr>
          <w:rFonts w:ascii="Times New Roman" w:hAnsi="Times New Roman" w:cs="Times New Roman"/>
          <w:noProof/>
          <w:lang w:val="en-IE"/>
        </w:rPr>
        <w:t>market surveillance platform</w:t>
      </w:r>
      <w:r w:rsidR="00703356">
        <w:rPr>
          <w:rStyle w:val="FootnoteReference"/>
          <w:rFonts w:ascii="Times New Roman" w:hAnsi="Times New Roman" w:cs="Times New Roman"/>
          <w:noProof/>
          <w:lang w:val="en-IE"/>
        </w:rPr>
        <w:footnoteReference w:id="35"/>
      </w:r>
      <w:r w:rsidR="00E12E97" w:rsidRPr="009A33E1">
        <w:rPr>
          <w:rFonts w:ascii="Times New Roman" w:hAnsi="Times New Roman" w:cs="Times New Roman"/>
          <w:noProof/>
          <w:lang w:val="en-IE"/>
        </w:rPr>
        <w:t xml:space="preserve">is under preparation via the </w:t>
      </w:r>
      <w:r w:rsidR="00C433B6" w:rsidRPr="009A33E1">
        <w:rPr>
          <w:rFonts w:ascii="Times New Roman" w:hAnsi="Times New Roman" w:cs="Times New Roman"/>
          <w:noProof/>
          <w:lang w:val="en-IE"/>
        </w:rPr>
        <w:t>CERTEX system,</w:t>
      </w:r>
      <w:r w:rsidR="00E12E97" w:rsidRPr="009A33E1">
        <w:rPr>
          <w:rFonts w:ascii="Times New Roman" w:hAnsi="Times New Roman" w:cs="Times New Roman"/>
          <w:noProof/>
          <w:lang w:val="en-IE"/>
        </w:rPr>
        <w:t xml:space="preserve"> with business activities in 2021</w:t>
      </w:r>
      <w:r w:rsidR="003E1BD7" w:rsidRPr="009A33E1">
        <w:rPr>
          <w:rFonts w:ascii="Times New Roman" w:hAnsi="Times New Roman" w:cs="Times New Roman"/>
          <w:noProof/>
          <w:lang w:val="en-IE"/>
        </w:rPr>
        <w:t>.T</w:t>
      </w:r>
      <w:r w:rsidR="00344B13" w:rsidRPr="009A33E1">
        <w:rPr>
          <w:rFonts w:ascii="Times New Roman" w:hAnsi="Times New Roman" w:cs="Times New Roman"/>
          <w:noProof/>
          <w:lang w:val="en-IE"/>
        </w:rPr>
        <w:t xml:space="preserve">he </w:t>
      </w:r>
      <w:r w:rsidR="00C433B6" w:rsidRPr="009A33E1">
        <w:rPr>
          <w:rFonts w:ascii="Times New Roman" w:hAnsi="Times New Roman" w:cs="Times New Roman"/>
          <w:noProof/>
          <w:lang w:val="en-IE"/>
        </w:rPr>
        <w:t>CERTEX system</w:t>
      </w:r>
      <w:r w:rsidR="00344B13" w:rsidRPr="009A33E1">
        <w:rPr>
          <w:rFonts w:ascii="Times New Roman" w:hAnsi="Times New Roman" w:cs="Times New Roman"/>
          <w:noProof/>
          <w:lang w:val="en-IE"/>
        </w:rPr>
        <w:t xml:space="preserve"> also </w:t>
      </w:r>
      <w:r w:rsidR="00C433B6" w:rsidRPr="009A33E1">
        <w:rPr>
          <w:rFonts w:ascii="Times New Roman" w:hAnsi="Times New Roman" w:cs="Times New Roman"/>
          <w:noProof/>
          <w:lang w:val="en-IE"/>
        </w:rPr>
        <w:t>interconnects with</w:t>
      </w:r>
      <w:r w:rsidR="00344B13" w:rsidRPr="009A33E1">
        <w:rPr>
          <w:rFonts w:ascii="Times New Roman" w:hAnsi="Times New Roman" w:cs="Times New Roman"/>
          <w:noProof/>
          <w:lang w:val="en-IE"/>
        </w:rPr>
        <w:t xml:space="preserve"> </w:t>
      </w:r>
      <w:r w:rsidR="00E12E97" w:rsidRPr="009A33E1">
        <w:rPr>
          <w:rFonts w:ascii="Times New Roman" w:hAnsi="Times New Roman" w:cs="Times New Roman"/>
          <w:noProof/>
          <w:lang w:val="en-IE"/>
        </w:rPr>
        <w:t xml:space="preserve">the </w:t>
      </w:r>
      <w:r w:rsidR="003E1BD7" w:rsidRPr="009A33E1">
        <w:rPr>
          <w:rFonts w:ascii="Times New Roman" w:hAnsi="Times New Roman" w:cs="Times New Roman"/>
          <w:noProof/>
          <w:lang w:val="en-IE"/>
        </w:rPr>
        <w:t>sanitary and phytosanitary certification</w:t>
      </w:r>
      <w:r w:rsidR="003E1BD7" w:rsidRPr="009A33E1" w:rsidDel="003E1BD7">
        <w:rPr>
          <w:rFonts w:ascii="Times New Roman" w:hAnsi="Times New Roman" w:cs="Times New Roman"/>
          <w:noProof/>
          <w:lang w:val="en-IE"/>
        </w:rPr>
        <w:t xml:space="preserve"> </w:t>
      </w:r>
      <w:r w:rsidR="003E1BD7" w:rsidRPr="009A33E1">
        <w:rPr>
          <w:rFonts w:ascii="Times New Roman" w:hAnsi="Times New Roman" w:cs="Times New Roman"/>
          <w:noProof/>
          <w:lang w:val="en-IE"/>
        </w:rPr>
        <w:t xml:space="preserve">platform </w:t>
      </w:r>
      <w:r w:rsidR="0026679F">
        <w:rPr>
          <w:rFonts w:ascii="Times New Roman" w:hAnsi="Times New Roman" w:cs="Times New Roman"/>
          <w:noProof/>
          <w:lang w:val="en-IE"/>
        </w:rPr>
        <w:t>(</w:t>
      </w:r>
      <w:r w:rsidR="00E12E97" w:rsidRPr="009A33E1">
        <w:rPr>
          <w:rFonts w:ascii="Times New Roman" w:hAnsi="Times New Roman" w:cs="Times New Roman"/>
          <w:noProof/>
          <w:lang w:val="en-IE"/>
        </w:rPr>
        <w:t>TRACES NT</w:t>
      </w:r>
      <w:r w:rsidR="0026679F">
        <w:rPr>
          <w:rStyle w:val="FootnoteReference"/>
          <w:rFonts w:ascii="Times New Roman" w:hAnsi="Times New Roman" w:cs="Times New Roman"/>
          <w:noProof/>
          <w:lang w:val="en-IE"/>
        </w:rPr>
        <w:footnoteReference w:id="36"/>
      </w:r>
      <w:r w:rsidR="0026679F">
        <w:rPr>
          <w:rFonts w:ascii="Times New Roman" w:hAnsi="Times New Roman" w:cs="Times New Roman"/>
          <w:noProof/>
          <w:lang w:val="en-IE"/>
        </w:rPr>
        <w:t>)</w:t>
      </w:r>
      <w:r w:rsidR="00E12E97" w:rsidRPr="009A33E1">
        <w:rPr>
          <w:rFonts w:ascii="Times New Roman" w:hAnsi="Times New Roman" w:cs="Times New Roman"/>
          <w:noProof/>
          <w:lang w:val="en-IE"/>
        </w:rPr>
        <w:t xml:space="preserve"> </w:t>
      </w:r>
      <w:r w:rsidR="00344B13" w:rsidRPr="009A33E1">
        <w:rPr>
          <w:rFonts w:ascii="Times New Roman" w:hAnsi="Times New Roman" w:cs="Times New Roman"/>
          <w:noProof/>
          <w:lang w:val="en-IE"/>
        </w:rPr>
        <w:t xml:space="preserve">and is interconnected with the </w:t>
      </w:r>
      <w:r w:rsidR="00E12E97" w:rsidRPr="009A33E1">
        <w:rPr>
          <w:rFonts w:ascii="Times New Roman" w:hAnsi="Times New Roman" w:cs="Times New Roman"/>
          <w:noProof/>
          <w:lang w:val="en-IE"/>
        </w:rPr>
        <w:t>Dual</w:t>
      </w:r>
      <w:r w:rsidR="00724276" w:rsidRPr="009A33E1">
        <w:rPr>
          <w:rFonts w:ascii="Times New Roman" w:hAnsi="Times New Roman" w:cs="Times New Roman"/>
          <w:noProof/>
          <w:lang w:val="en-IE"/>
        </w:rPr>
        <w:t>-</w:t>
      </w:r>
      <w:r w:rsidR="00E12E97" w:rsidRPr="009A33E1">
        <w:rPr>
          <w:rFonts w:ascii="Times New Roman" w:hAnsi="Times New Roman" w:cs="Times New Roman"/>
          <w:noProof/>
          <w:lang w:val="en-IE"/>
        </w:rPr>
        <w:t>Use Export e-l</w:t>
      </w:r>
      <w:r w:rsidR="00344B13" w:rsidRPr="009A33E1">
        <w:rPr>
          <w:rFonts w:ascii="Times New Roman" w:hAnsi="Times New Roman" w:cs="Times New Roman"/>
          <w:noProof/>
          <w:lang w:val="en-IE"/>
        </w:rPr>
        <w:t>icensing system in support of common trade policy.</w:t>
      </w:r>
      <w:r w:rsidR="0034230A" w:rsidRPr="009A33E1">
        <w:rPr>
          <w:rStyle w:val="FootnoteReference"/>
          <w:rFonts w:ascii="Times New Roman" w:hAnsi="Times New Roman" w:cs="Times New Roman"/>
          <w:noProof/>
          <w:lang w:val="en-IE"/>
        </w:rPr>
        <w:footnoteReference w:id="37"/>
      </w:r>
      <w:r w:rsidR="00344B13" w:rsidRPr="009A33E1">
        <w:rPr>
          <w:rFonts w:ascii="Times New Roman" w:hAnsi="Times New Roman" w:cs="Times New Roman"/>
          <w:noProof/>
          <w:lang w:val="en-IE"/>
        </w:rPr>
        <w:t xml:space="preserve"> </w:t>
      </w:r>
    </w:p>
    <w:p w14:paraId="4A0DAB77" w14:textId="76A83738" w:rsidR="00FA31DC" w:rsidRDefault="16305A4A" w:rsidP="00DB2BB5">
      <w:pPr>
        <w:pStyle w:val="Heading1"/>
        <w:rPr>
          <w:noProof/>
        </w:rPr>
      </w:pPr>
      <w:bookmarkStart w:id="14" w:name="_Toc96083191"/>
      <w:r w:rsidRPr="009A33E1">
        <w:rPr>
          <w:noProof/>
        </w:rPr>
        <w:t>Conclusions and Lessons learned</w:t>
      </w:r>
      <w:bookmarkEnd w:id="14"/>
      <w:r w:rsidRPr="007F635D">
        <w:rPr>
          <w:noProof/>
        </w:rPr>
        <w:t xml:space="preserve"> </w:t>
      </w:r>
    </w:p>
    <w:p w14:paraId="4A0DAB79" w14:textId="4EDF346A" w:rsidR="00656E53" w:rsidRPr="007F635D" w:rsidRDefault="16305A4A" w:rsidP="00DB2BB5">
      <w:pPr>
        <w:pStyle w:val="Heading2"/>
        <w:spacing w:before="240" w:after="240"/>
        <w:rPr>
          <w:noProof/>
        </w:rPr>
      </w:pPr>
      <w:bookmarkStart w:id="15" w:name="_Toc96083192"/>
      <w:r w:rsidRPr="007F635D">
        <w:rPr>
          <w:noProof/>
        </w:rPr>
        <w:t>Strengths identified and confirmed by indicators</w:t>
      </w:r>
      <w:bookmarkEnd w:id="15"/>
    </w:p>
    <w:p w14:paraId="53E3F47F" w14:textId="5EA1B814" w:rsidR="003770E0" w:rsidRPr="009A33E1" w:rsidRDefault="16305A4A" w:rsidP="00033369">
      <w:pPr>
        <w:jc w:val="both"/>
        <w:rPr>
          <w:rFonts w:ascii="Times New Roman" w:hAnsi="Times New Roman" w:cs="Times New Roman"/>
          <w:noProof/>
          <w:lang w:val="en-IE"/>
        </w:rPr>
      </w:pPr>
      <w:r w:rsidRPr="009A33E1">
        <w:rPr>
          <w:rFonts w:ascii="Times New Roman" w:hAnsi="Times New Roman" w:cs="Times New Roman"/>
          <w:noProof/>
          <w:lang w:val="en-IE"/>
        </w:rPr>
        <w:t xml:space="preserve">Despite the lack of physical meetings due to the Covid-19 pandemic, collaboration generated by the programme remained strong. The majority of the programme collaboration action managers and the programme participants have adapted to the new working modalities (online collaboration/online meetings). The number of meetings was still lower compared to 2019, but </w:t>
      </w:r>
      <w:r w:rsidR="009B6D3F" w:rsidRPr="009A33E1">
        <w:rPr>
          <w:rFonts w:ascii="Times New Roman" w:hAnsi="Times New Roman" w:cs="Times New Roman"/>
          <w:noProof/>
          <w:lang w:val="en-IE"/>
        </w:rPr>
        <w:t xml:space="preserve">a recovery trend is reflected in the number of meetings organised </w:t>
      </w:r>
      <w:r w:rsidR="002B2569" w:rsidRPr="009A33E1">
        <w:rPr>
          <w:rFonts w:ascii="Times New Roman" w:hAnsi="Times New Roman" w:cs="Times New Roman"/>
          <w:noProof/>
          <w:lang w:val="en-IE"/>
        </w:rPr>
        <w:t>in</w:t>
      </w:r>
      <w:r w:rsidR="009B6D3F" w:rsidRPr="009A33E1">
        <w:rPr>
          <w:rFonts w:ascii="Times New Roman" w:hAnsi="Times New Roman" w:cs="Times New Roman"/>
          <w:noProof/>
          <w:lang w:val="en-IE"/>
        </w:rPr>
        <w:t xml:space="preserve"> </w:t>
      </w:r>
      <w:r w:rsidR="00C433B6" w:rsidRPr="009A33E1">
        <w:rPr>
          <w:rFonts w:ascii="Times New Roman" w:hAnsi="Times New Roman" w:cs="Times New Roman"/>
          <w:noProof/>
          <w:lang w:val="en-IE"/>
        </w:rPr>
        <w:t>2021</w:t>
      </w:r>
      <w:r w:rsidR="009B6D3F" w:rsidRPr="009A33E1">
        <w:rPr>
          <w:rFonts w:ascii="Times New Roman" w:hAnsi="Times New Roman" w:cs="Times New Roman"/>
          <w:noProof/>
          <w:lang w:val="en-IE"/>
        </w:rPr>
        <w:t xml:space="preserve">(see </w:t>
      </w:r>
      <w:r w:rsidR="00667D86">
        <w:rPr>
          <w:rFonts w:ascii="Times New Roman" w:hAnsi="Times New Roman" w:cs="Times New Roman"/>
          <w:noProof/>
          <w:lang w:val="en-IE"/>
        </w:rPr>
        <w:t xml:space="preserve">Table 8, </w:t>
      </w:r>
      <w:r w:rsidR="009B6D3F" w:rsidRPr="009A33E1">
        <w:rPr>
          <w:rFonts w:ascii="Times New Roman" w:hAnsi="Times New Roman" w:cs="Times New Roman"/>
          <w:noProof/>
          <w:lang w:val="en-IE"/>
        </w:rPr>
        <w:t xml:space="preserve">Annex </w:t>
      </w:r>
      <w:r w:rsidR="00CD7174">
        <w:rPr>
          <w:rFonts w:ascii="Times New Roman" w:hAnsi="Times New Roman" w:cs="Times New Roman"/>
          <w:noProof/>
          <w:lang w:val="en-IE"/>
        </w:rPr>
        <w:t>2</w:t>
      </w:r>
      <w:r w:rsidR="009B6D3F" w:rsidRPr="009A33E1">
        <w:rPr>
          <w:rFonts w:ascii="Times New Roman" w:hAnsi="Times New Roman" w:cs="Times New Roman"/>
          <w:noProof/>
          <w:lang w:val="en-IE"/>
        </w:rPr>
        <w:t xml:space="preserve">). </w:t>
      </w:r>
    </w:p>
    <w:p w14:paraId="23427C9C" w14:textId="082A7FB3" w:rsidR="00EE1D1F" w:rsidRPr="009A33E1" w:rsidRDefault="16305A4A" w:rsidP="00033369">
      <w:pPr>
        <w:jc w:val="both"/>
        <w:rPr>
          <w:rFonts w:ascii="Times New Roman" w:hAnsi="Times New Roman" w:cs="Times New Roman"/>
          <w:noProof/>
          <w:lang w:val="en-IE"/>
        </w:rPr>
      </w:pPr>
      <w:r w:rsidRPr="009A33E1">
        <w:rPr>
          <w:rFonts w:ascii="Times New Roman" w:hAnsi="Times New Roman" w:cs="Times New Roman"/>
          <w:noProof/>
          <w:lang w:val="en-IE"/>
        </w:rPr>
        <w:t>Business continuity of IT was ensured</w:t>
      </w:r>
      <w:r w:rsidR="00C433B6" w:rsidRPr="009A33E1">
        <w:rPr>
          <w:rFonts w:ascii="Times New Roman" w:hAnsi="Times New Roman" w:cs="Times New Roman"/>
          <w:noProof/>
          <w:lang w:val="en-IE"/>
        </w:rPr>
        <w:t>,</w:t>
      </w:r>
      <w:r w:rsidRPr="009A33E1">
        <w:rPr>
          <w:rFonts w:ascii="Times New Roman" w:hAnsi="Times New Roman" w:cs="Times New Roman"/>
          <w:noProof/>
          <w:lang w:val="en-IE"/>
        </w:rPr>
        <w:t xml:space="preserve"> proven by the stable availability </w:t>
      </w:r>
      <w:r w:rsidR="00C433B6" w:rsidRPr="009A33E1">
        <w:rPr>
          <w:rFonts w:ascii="Times New Roman" w:hAnsi="Times New Roman" w:cs="Times New Roman"/>
          <w:noProof/>
          <w:lang w:val="en-IE"/>
        </w:rPr>
        <w:t xml:space="preserve">levels of the relevant </w:t>
      </w:r>
      <w:r w:rsidRPr="009A33E1">
        <w:rPr>
          <w:rFonts w:ascii="Times New Roman" w:hAnsi="Times New Roman" w:cs="Times New Roman"/>
          <w:noProof/>
          <w:lang w:val="en-IE"/>
        </w:rPr>
        <w:t xml:space="preserve">IT systems. </w:t>
      </w:r>
    </w:p>
    <w:p w14:paraId="5D39F43C" w14:textId="462E8B61" w:rsidR="008737C9" w:rsidRPr="009A33E1" w:rsidRDefault="16305A4A" w:rsidP="007C79A4">
      <w:pPr>
        <w:jc w:val="both"/>
        <w:rPr>
          <w:rFonts w:ascii="Times New Roman" w:hAnsi="Times New Roman" w:cs="Times New Roman"/>
          <w:noProof/>
          <w:lang w:val="en-IE"/>
        </w:rPr>
      </w:pPr>
      <w:r w:rsidRPr="009A33E1">
        <w:rPr>
          <w:rFonts w:ascii="Times New Roman" w:hAnsi="Times New Roman" w:cs="Times New Roman"/>
          <w:noProof/>
          <w:lang w:val="en-IE"/>
        </w:rPr>
        <w:t>The programme prove</w:t>
      </w:r>
      <w:r w:rsidR="00C433B6" w:rsidRPr="009A33E1">
        <w:rPr>
          <w:rFonts w:ascii="Times New Roman" w:hAnsi="Times New Roman" w:cs="Times New Roman"/>
          <w:noProof/>
          <w:lang w:val="en-IE"/>
        </w:rPr>
        <w:t>d</w:t>
      </w:r>
      <w:r w:rsidRPr="009A33E1">
        <w:rPr>
          <w:rFonts w:ascii="Times New Roman" w:hAnsi="Times New Roman" w:cs="Times New Roman"/>
          <w:noProof/>
          <w:lang w:val="en-IE"/>
        </w:rPr>
        <w:t xml:space="preserve"> to be instrumental in supporting and contributing to the implementation of EU policy priorities, in particular in the context of the EU priority to promote digital transition and the protection of the European way of life. </w:t>
      </w:r>
    </w:p>
    <w:p w14:paraId="4A0DAB7A" w14:textId="4405EAB5" w:rsidR="00FA31DC" w:rsidRPr="007F635D" w:rsidRDefault="16305A4A" w:rsidP="00AF7B58">
      <w:pPr>
        <w:pStyle w:val="Heading2"/>
        <w:spacing w:before="240" w:after="240"/>
        <w:rPr>
          <w:noProof/>
        </w:rPr>
      </w:pPr>
      <w:bookmarkStart w:id="16" w:name="_Toc96083193"/>
      <w:r w:rsidRPr="007F635D">
        <w:rPr>
          <w:noProof/>
        </w:rPr>
        <w:t>Weaknesses identified by indicators, areas to improve</w:t>
      </w:r>
      <w:bookmarkEnd w:id="16"/>
    </w:p>
    <w:p w14:paraId="167A03F7" w14:textId="03FF2892" w:rsidR="00815B83" w:rsidRPr="009A33E1" w:rsidRDefault="16305A4A" w:rsidP="00033369">
      <w:pPr>
        <w:jc w:val="both"/>
        <w:rPr>
          <w:rFonts w:ascii="Times New Roman" w:hAnsi="Times New Roman" w:cs="Times New Roman"/>
          <w:noProof/>
          <w:lang w:val="en-IE"/>
        </w:rPr>
      </w:pPr>
      <w:r w:rsidRPr="009A33E1">
        <w:rPr>
          <w:rFonts w:ascii="Times New Roman" w:hAnsi="Times New Roman" w:cs="Times New Roman"/>
          <w:noProof/>
          <w:lang w:val="en-IE"/>
        </w:rPr>
        <w:t xml:space="preserve">While </w:t>
      </w:r>
      <w:r w:rsidR="00A70B72">
        <w:rPr>
          <w:rFonts w:ascii="Times New Roman" w:hAnsi="Times New Roman" w:cs="Times New Roman"/>
          <w:noProof/>
          <w:lang w:val="en-IE"/>
        </w:rPr>
        <w:t>the vast majority (88.54</w:t>
      </w:r>
      <w:r w:rsidRPr="009A33E1">
        <w:rPr>
          <w:rFonts w:ascii="Times New Roman" w:hAnsi="Times New Roman" w:cs="Times New Roman"/>
          <w:noProof/>
          <w:lang w:val="en-IE"/>
        </w:rPr>
        <w:t>%</w:t>
      </w:r>
      <w:r w:rsidR="00A70B72">
        <w:rPr>
          <w:rStyle w:val="FootnoteReference"/>
          <w:rFonts w:ascii="Times New Roman" w:hAnsi="Times New Roman" w:cs="Times New Roman"/>
          <w:noProof/>
          <w:lang w:val="en-IE"/>
        </w:rPr>
        <w:footnoteReference w:id="38"/>
      </w:r>
      <w:r w:rsidR="00A70B72">
        <w:rPr>
          <w:rFonts w:ascii="Times New Roman" w:hAnsi="Times New Roman" w:cs="Times New Roman"/>
          <w:noProof/>
          <w:lang w:val="en-IE"/>
        </w:rPr>
        <w:t>)</w:t>
      </w:r>
      <w:r w:rsidRPr="009A33E1">
        <w:rPr>
          <w:rFonts w:ascii="Times New Roman" w:hAnsi="Times New Roman" w:cs="Times New Roman"/>
          <w:noProof/>
          <w:lang w:val="en-IE"/>
        </w:rPr>
        <w:t xml:space="preserve"> of the programme participants reported that they were passing on the information obtained and sharing the results gained via programme activities within their administration, the cascade effect seems to be rather limited as the generated knowledge stays mainly with the officials directly involved in programme activities. National administrations and programme activity participants should be encouraged to spread the information more broadly to ensure that the information reaches the relevant managerial levels. </w:t>
      </w:r>
      <w:r w:rsidR="00AD2476" w:rsidRPr="009A33E1">
        <w:rPr>
          <w:rFonts w:ascii="Times New Roman" w:hAnsi="Times New Roman" w:cs="Times New Roman"/>
          <w:noProof/>
          <w:lang w:val="en-IE"/>
        </w:rPr>
        <w:t xml:space="preserve"> </w:t>
      </w:r>
    </w:p>
    <w:p w14:paraId="6980A990" w14:textId="1EB0B61B" w:rsidR="00FB78F7" w:rsidRPr="009A33E1" w:rsidRDefault="7982B5C1" w:rsidP="00033369">
      <w:pPr>
        <w:jc w:val="both"/>
        <w:rPr>
          <w:rFonts w:ascii="Times New Roman" w:hAnsi="Times New Roman" w:cs="Times New Roman"/>
          <w:noProof/>
          <w:lang w:val="en-IE"/>
        </w:rPr>
      </w:pPr>
      <w:r w:rsidRPr="586E19CB">
        <w:rPr>
          <w:rFonts w:ascii="Times New Roman" w:hAnsi="Times New Roman" w:cs="Times New Roman"/>
          <w:noProof/>
          <w:lang w:val="en-IE"/>
        </w:rPr>
        <w:t>In 2021</w:t>
      </w:r>
      <w:r w:rsidR="004A3A9A">
        <w:rPr>
          <w:rFonts w:ascii="Times New Roman" w:hAnsi="Times New Roman" w:cs="Times New Roman"/>
          <w:noProof/>
          <w:lang w:val="en-IE"/>
        </w:rPr>
        <w:t xml:space="preserve"> (</w:t>
      </w:r>
      <w:r w:rsidR="00352EDD">
        <w:rPr>
          <w:rFonts w:ascii="Times New Roman" w:hAnsi="Times New Roman" w:cs="Times New Roman"/>
          <w:noProof/>
          <w:lang w:val="en-IE"/>
        </w:rPr>
        <w:t>C</w:t>
      </w:r>
      <w:r w:rsidR="004A3A9A">
        <w:rPr>
          <w:rFonts w:ascii="Times New Roman" w:hAnsi="Times New Roman" w:cs="Times New Roman"/>
          <w:noProof/>
          <w:lang w:val="en-IE"/>
        </w:rPr>
        <w:t>ustoms 2020 programme)</w:t>
      </w:r>
      <w:r w:rsidRPr="586E19CB">
        <w:rPr>
          <w:rFonts w:ascii="Times New Roman" w:hAnsi="Times New Roman" w:cs="Times New Roman"/>
          <w:noProof/>
          <w:lang w:val="en-IE"/>
        </w:rPr>
        <w:t xml:space="preserve">, only 2 new actions were initiated, </w:t>
      </w:r>
      <w:r w:rsidR="4B769C73" w:rsidRPr="586E19CB">
        <w:rPr>
          <w:rFonts w:ascii="Times New Roman" w:hAnsi="Times New Roman" w:cs="Times New Roman"/>
          <w:noProof/>
          <w:lang w:val="en-IE"/>
        </w:rPr>
        <w:t>both</w:t>
      </w:r>
      <w:r w:rsidRPr="586E19CB">
        <w:rPr>
          <w:rFonts w:ascii="Times New Roman" w:hAnsi="Times New Roman" w:cs="Times New Roman"/>
          <w:noProof/>
          <w:lang w:val="en-IE"/>
        </w:rPr>
        <w:t xml:space="preserve"> by </w:t>
      </w:r>
      <w:r w:rsidR="5C036303" w:rsidRPr="586E19CB">
        <w:rPr>
          <w:rFonts w:ascii="Times New Roman" w:hAnsi="Times New Roman" w:cs="Times New Roman"/>
          <w:noProof/>
          <w:lang w:val="en-IE"/>
        </w:rPr>
        <w:t>a Member State</w:t>
      </w:r>
      <w:r w:rsidRPr="586E19CB">
        <w:rPr>
          <w:rFonts w:ascii="Times New Roman" w:hAnsi="Times New Roman" w:cs="Times New Roman"/>
          <w:noProof/>
          <w:lang w:val="en-IE"/>
        </w:rPr>
        <w:t xml:space="preserve">.  However, previous years </w:t>
      </w:r>
      <w:r w:rsidR="5C036303" w:rsidRPr="586E19CB">
        <w:rPr>
          <w:rFonts w:ascii="Times New Roman" w:hAnsi="Times New Roman" w:cs="Times New Roman"/>
          <w:noProof/>
          <w:lang w:val="en-IE"/>
        </w:rPr>
        <w:t xml:space="preserve">have </w:t>
      </w:r>
      <w:r w:rsidRPr="586E19CB">
        <w:rPr>
          <w:rFonts w:ascii="Times New Roman" w:hAnsi="Times New Roman" w:cs="Times New Roman"/>
          <w:noProof/>
          <w:lang w:val="en-IE"/>
        </w:rPr>
        <w:t xml:space="preserve">demonstrated that more than 70% of the </w:t>
      </w:r>
      <w:r w:rsidR="5C036303" w:rsidRPr="586E19CB">
        <w:rPr>
          <w:rFonts w:ascii="Times New Roman" w:hAnsi="Times New Roman" w:cs="Times New Roman"/>
          <w:noProof/>
          <w:lang w:val="en-IE"/>
        </w:rPr>
        <w:t>initiatives</w:t>
      </w:r>
      <w:r w:rsidRPr="586E19CB">
        <w:rPr>
          <w:rFonts w:ascii="Times New Roman" w:hAnsi="Times New Roman" w:cs="Times New Roman"/>
          <w:noProof/>
          <w:lang w:val="en-IE"/>
        </w:rPr>
        <w:t xml:space="preserve"> other than bilateral activities</w:t>
      </w:r>
      <w:r w:rsidR="5C036303" w:rsidRPr="586E19CB">
        <w:rPr>
          <w:rFonts w:ascii="Times New Roman" w:hAnsi="Times New Roman" w:cs="Times New Roman"/>
          <w:noProof/>
          <w:lang w:val="en-IE"/>
        </w:rPr>
        <w:t xml:space="preserve"> — such as working visits — are proposed and managed by the Commission. </w:t>
      </w:r>
      <w:r w:rsidR="49417BE2" w:rsidRPr="586E19CB">
        <w:rPr>
          <w:rFonts w:ascii="Times New Roman" w:hAnsi="Times New Roman" w:cs="Times New Roman"/>
          <w:noProof/>
          <w:lang w:val="en-IE"/>
        </w:rPr>
        <w:t xml:space="preserve">New proposals submitted in December 2021 under the Customs programme also confirm this trend (see Figure 3 in Annex </w:t>
      </w:r>
      <w:r w:rsidR="00667D86">
        <w:rPr>
          <w:rFonts w:ascii="Times New Roman" w:hAnsi="Times New Roman" w:cs="Times New Roman"/>
          <w:noProof/>
          <w:lang w:val="en-IE"/>
        </w:rPr>
        <w:t>3</w:t>
      </w:r>
      <w:r w:rsidR="49417BE2" w:rsidRPr="586E19CB">
        <w:rPr>
          <w:rFonts w:ascii="Times New Roman" w:hAnsi="Times New Roman" w:cs="Times New Roman"/>
          <w:noProof/>
          <w:lang w:val="en-IE"/>
        </w:rPr>
        <w:t xml:space="preserve">). </w:t>
      </w:r>
      <w:r w:rsidR="4CB48300" w:rsidRPr="586E19CB">
        <w:rPr>
          <w:rFonts w:ascii="Times New Roman" w:hAnsi="Times New Roman" w:cs="Times New Roman"/>
          <w:noProof/>
          <w:lang w:val="en-IE"/>
        </w:rPr>
        <w:t xml:space="preserve">Apparently, this disproportionate share of collaborative activities stems from the fact that the willingness in general in the participating countries to initiate and take ownership over specific actions is rather limited. National administrations are therefore invited to be much more active in initiating activities under the new Customs programme to use its full potential. The experience with </w:t>
      </w:r>
      <w:r w:rsidR="7B930A6A" w:rsidRPr="586E19CB">
        <w:rPr>
          <w:rFonts w:ascii="Times New Roman" w:hAnsi="Times New Roman" w:cs="Times New Roman"/>
          <w:noProof/>
          <w:lang w:val="en-IE"/>
        </w:rPr>
        <w:t>e</w:t>
      </w:r>
      <w:r w:rsidR="4CB48300" w:rsidRPr="586E19CB">
        <w:rPr>
          <w:rFonts w:ascii="Times New Roman" w:hAnsi="Times New Roman" w:cs="Times New Roman"/>
          <w:noProof/>
          <w:lang w:val="en-IE"/>
        </w:rPr>
        <w:t xml:space="preserve">xpert </w:t>
      </w:r>
      <w:r w:rsidR="7B930A6A" w:rsidRPr="586E19CB">
        <w:rPr>
          <w:rFonts w:ascii="Times New Roman" w:hAnsi="Times New Roman" w:cs="Times New Roman"/>
          <w:noProof/>
          <w:lang w:val="en-IE"/>
        </w:rPr>
        <w:t>t</w:t>
      </w:r>
      <w:r w:rsidR="4CB48300" w:rsidRPr="586E19CB">
        <w:rPr>
          <w:rFonts w:ascii="Times New Roman" w:hAnsi="Times New Roman" w:cs="Times New Roman"/>
          <w:noProof/>
          <w:lang w:val="en-IE"/>
        </w:rPr>
        <w:t>eams (e.g.</w:t>
      </w:r>
      <w:r w:rsidR="00375514">
        <w:rPr>
          <w:rFonts w:ascii="Times New Roman" w:hAnsi="Times New Roman" w:cs="Times New Roman"/>
          <w:noProof/>
          <w:lang w:val="en-IE"/>
        </w:rPr>
        <w:t xml:space="preserve"> Import Control System 2 (ICS2) and</w:t>
      </w:r>
      <w:r w:rsidR="4CB48300" w:rsidRPr="586E19CB">
        <w:rPr>
          <w:rFonts w:ascii="Times New Roman" w:hAnsi="Times New Roman" w:cs="Times New Roman"/>
          <w:noProof/>
          <w:lang w:val="en-IE"/>
        </w:rPr>
        <w:t xml:space="preserve"> ETCIT</w:t>
      </w:r>
      <w:r w:rsidR="515FE4A4" w:rsidRPr="586E19CB">
        <w:rPr>
          <w:rFonts w:ascii="Times New Roman" w:hAnsi="Times New Roman" w:cs="Times New Roman"/>
          <w:noProof/>
          <w:lang w:val="en-IE"/>
        </w:rPr>
        <w:t xml:space="preserve"> </w:t>
      </w:r>
      <w:r w:rsidR="4CB48300" w:rsidRPr="586E19CB">
        <w:rPr>
          <w:rFonts w:ascii="Times New Roman" w:hAnsi="Times New Roman" w:cs="Times New Roman"/>
          <w:noProof/>
          <w:lang w:val="en-IE"/>
        </w:rPr>
        <w:t>3</w:t>
      </w:r>
      <w:r w:rsidR="515FE4A4" w:rsidRPr="586E19CB">
        <w:rPr>
          <w:rFonts w:ascii="Times New Roman" w:hAnsi="Times New Roman" w:cs="Times New Roman"/>
          <w:noProof/>
          <w:lang w:val="en-IE"/>
        </w:rPr>
        <w:t xml:space="preserve"> preparation</w:t>
      </w:r>
      <w:r w:rsidR="00375514">
        <w:rPr>
          <w:rFonts w:ascii="Times New Roman" w:hAnsi="Times New Roman" w:cs="Times New Roman"/>
          <w:noProof/>
          <w:lang w:val="en-IE"/>
        </w:rPr>
        <w:t>s</w:t>
      </w:r>
      <w:r w:rsidR="4CB48300" w:rsidRPr="586E19CB">
        <w:rPr>
          <w:rFonts w:ascii="Times New Roman" w:hAnsi="Times New Roman" w:cs="Times New Roman"/>
          <w:noProof/>
          <w:lang w:val="en-IE"/>
        </w:rPr>
        <w:t xml:space="preserve">) highlighted the possible challenges and difficulties in ensuring Member States’ timely involvement </w:t>
      </w:r>
      <w:r w:rsidR="515FE4A4" w:rsidRPr="586E19CB">
        <w:rPr>
          <w:rFonts w:ascii="Times New Roman" w:hAnsi="Times New Roman" w:cs="Times New Roman"/>
          <w:noProof/>
          <w:lang w:val="en-IE"/>
        </w:rPr>
        <w:t xml:space="preserve">and </w:t>
      </w:r>
      <w:r w:rsidR="4CB48300" w:rsidRPr="586E19CB">
        <w:rPr>
          <w:rFonts w:ascii="Times New Roman" w:hAnsi="Times New Roman" w:cs="Times New Roman"/>
          <w:noProof/>
          <w:lang w:val="en-IE"/>
        </w:rPr>
        <w:t xml:space="preserve">buy-in. Here again, Member States should clearly assess their interest of joining and launching an </w:t>
      </w:r>
      <w:r w:rsidR="7B930A6A" w:rsidRPr="586E19CB">
        <w:rPr>
          <w:rFonts w:ascii="Times New Roman" w:hAnsi="Times New Roman" w:cs="Times New Roman"/>
          <w:noProof/>
          <w:lang w:val="en-IE"/>
        </w:rPr>
        <w:t>e</w:t>
      </w:r>
      <w:r w:rsidR="4CB48300" w:rsidRPr="586E19CB">
        <w:rPr>
          <w:rFonts w:ascii="Times New Roman" w:hAnsi="Times New Roman" w:cs="Times New Roman"/>
          <w:noProof/>
          <w:lang w:val="en-IE"/>
        </w:rPr>
        <w:t xml:space="preserve">xpert </w:t>
      </w:r>
      <w:r w:rsidR="7B930A6A" w:rsidRPr="586E19CB">
        <w:rPr>
          <w:rFonts w:ascii="Times New Roman" w:hAnsi="Times New Roman" w:cs="Times New Roman"/>
          <w:noProof/>
          <w:lang w:val="en-IE"/>
        </w:rPr>
        <w:t>t</w:t>
      </w:r>
      <w:r w:rsidR="4CB48300" w:rsidRPr="586E19CB">
        <w:rPr>
          <w:rFonts w:ascii="Times New Roman" w:hAnsi="Times New Roman" w:cs="Times New Roman"/>
          <w:noProof/>
          <w:lang w:val="en-IE"/>
        </w:rPr>
        <w:t>eam and dedicate, through the whole duration of its activity, the appropriate number and level of human resources in the implementation phase to allow the success, not only of such collaboration tool</w:t>
      </w:r>
      <w:r w:rsidR="515FE4A4" w:rsidRPr="586E19CB">
        <w:rPr>
          <w:rFonts w:ascii="Times New Roman" w:hAnsi="Times New Roman" w:cs="Times New Roman"/>
          <w:noProof/>
          <w:lang w:val="en-IE"/>
        </w:rPr>
        <w:t>,</w:t>
      </w:r>
      <w:r w:rsidR="4CB48300" w:rsidRPr="586E19CB">
        <w:rPr>
          <w:rFonts w:ascii="Times New Roman" w:hAnsi="Times New Roman" w:cs="Times New Roman"/>
          <w:noProof/>
          <w:lang w:val="en-IE"/>
        </w:rPr>
        <w:t xml:space="preserve"> but also of the Customs programme.</w:t>
      </w:r>
    </w:p>
    <w:p w14:paraId="69BE9CEC" w14:textId="166C5E5C" w:rsidR="007A625A" w:rsidRPr="009A33E1" w:rsidRDefault="4CB48300" w:rsidP="00033369">
      <w:pPr>
        <w:jc w:val="both"/>
        <w:rPr>
          <w:rFonts w:ascii="Times New Roman" w:hAnsi="Times New Roman" w:cs="Times New Roman"/>
          <w:noProof/>
          <w:lang w:val="en-IE"/>
        </w:rPr>
      </w:pPr>
      <w:r w:rsidRPr="586E19CB">
        <w:rPr>
          <w:rFonts w:ascii="Times New Roman" w:hAnsi="Times New Roman" w:cs="Times New Roman"/>
          <w:noProof/>
          <w:lang w:val="en-IE"/>
        </w:rPr>
        <w:t xml:space="preserve"> </w:t>
      </w:r>
      <w:r w:rsidR="004B0002">
        <w:rPr>
          <w:rFonts w:ascii="Times New Roman" w:hAnsi="Times New Roman" w:cs="Times New Roman"/>
          <w:noProof/>
          <w:lang w:val="en-IE"/>
        </w:rPr>
        <w:t>T</w:t>
      </w:r>
      <w:r w:rsidRPr="586E19CB">
        <w:rPr>
          <w:rFonts w:ascii="Times New Roman" w:hAnsi="Times New Roman" w:cs="Times New Roman"/>
          <w:noProof/>
          <w:lang w:val="en-IE"/>
        </w:rPr>
        <w:t>he European Court of Auditors report on customs controls</w:t>
      </w:r>
      <w:r w:rsidR="00D528C1">
        <w:rPr>
          <w:rStyle w:val="FootnoteReference"/>
          <w:rFonts w:ascii="Times New Roman" w:hAnsi="Times New Roman" w:cs="Times New Roman"/>
          <w:noProof/>
          <w:lang w:val="en-IE"/>
        </w:rPr>
        <w:footnoteReference w:id="39"/>
      </w:r>
      <w:r w:rsidRPr="586E19CB">
        <w:rPr>
          <w:rFonts w:ascii="Times New Roman" w:hAnsi="Times New Roman" w:cs="Times New Roman"/>
          <w:noProof/>
          <w:lang w:val="en-IE"/>
        </w:rPr>
        <w:t xml:space="preserve"> highlighted that while implementing the new customs financial risk framework was an important step towards uniform application of controls, the framework is not designed well enough to ensure that Member States </w:t>
      </w:r>
      <w:r w:rsidR="56A36EF9" w:rsidRPr="586E19CB">
        <w:rPr>
          <w:rFonts w:ascii="Times New Roman" w:hAnsi="Times New Roman" w:cs="Times New Roman"/>
          <w:noProof/>
          <w:lang w:val="en-IE"/>
        </w:rPr>
        <w:t xml:space="preserve">perform </w:t>
      </w:r>
      <w:r w:rsidRPr="586E19CB">
        <w:rPr>
          <w:rFonts w:ascii="Times New Roman" w:hAnsi="Times New Roman" w:cs="Times New Roman"/>
          <w:noProof/>
          <w:lang w:val="en-IE"/>
        </w:rPr>
        <w:t xml:space="preserve">controls in a harmonised way. Moreover, </w:t>
      </w:r>
      <w:r w:rsidR="56A36EF9" w:rsidRPr="586E19CB">
        <w:rPr>
          <w:rFonts w:ascii="Times New Roman" w:hAnsi="Times New Roman" w:cs="Times New Roman"/>
          <w:noProof/>
          <w:lang w:val="en-IE"/>
        </w:rPr>
        <w:t xml:space="preserve">the </w:t>
      </w:r>
      <w:r w:rsidRPr="586E19CB">
        <w:rPr>
          <w:rFonts w:ascii="Times New Roman" w:hAnsi="Times New Roman" w:cs="Times New Roman"/>
          <w:noProof/>
          <w:lang w:val="en-IE"/>
        </w:rPr>
        <w:t>Member States</w:t>
      </w:r>
      <w:r w:rsidR="56A36EF9" w:rsidRPr="586E19CB">
        <w:rPr>
          <w:rFonts w:ascii="Times New Roman" w:hAnsi="Times New Roman" w:cs="Times New Roman"/>
          <w:noProof/>
          <w:lang w:val="en-IE"/>
        </w:rPr>
        <w:t xml:space="preserve"> interpret, and thus</w:t>
      </w:r>
      <w:r w:rsidRPr="586E19CB">
        <w:rPr>
          <w:rFonts w:ascii="Times New Roman" w:hAnsi="Times New Roman" w:cs="Times New Roman"/>
          <w:noProof/>
          <w:lang w:val="en-IE"/>
        </w:rPr>
        <w:t xml:space="preserve"> implement</w:t>
      </w:r>
      <w:r w:rsidR="56A36EF9" w:rsidRPr="586E19CB">
        <w:rPr>
          <w:rFonts w:ascii="Times New Roman" w:hAnsi="Times New Roman" w:cs="Times New Roman"/>
          <w:noProof/>
          <w:lang w:val="en-IE"/>
        </w:rPr>
        <w:t>,</w:t>
      </w:r>
      <w:r w:rsidRPr="586E19CB">
        <w:rPr>
          <w:rFonts w:ascii="Times New Roman" w:hAnsi="Times New Roman" w:cs="Times New Roman"/>
          <w:noProof/>
          <w:lang w:val="en-IE"/>
        </w:rPr>
        <w:t xml:space="preserve"> the legal act</w:t>
      </w:r>
      <w:r w:rsidR="56A36EF9" w:rsidRPr="586E19CB">
        <w:rPr>
          <w:rFonts w:ascii="Times New Roman" w:hAnsi="Times New Roman" w:cs="Times New Roman"/>
          <w:noProof/>
          <w:lang w:val="en-IE"/>
        </w:rPr>
        <w:t>s</w:t>
      </w:r>
      <w:r w:rsidRPr="586E19CB">
        <w:rPr>
          <w:rFonts w:ascii="Times New Roman" w:hAnsi="Times New Roman" w:cs="Times New Roman"/>
          <w:noProof/>
          <w:lang w:val="en-IE"/>
        </w:rPr>
        <w:t xml:space="preserve"> and the related guidance in different ways. The Court consequently recommended to the Commission to enhance the uniform application of </w:t>
      </w:r>
      <w:r w:rsidR="42633579" w:rsidRPr="586E19CB">
        <w:rPr>
          <w:rFonts w:ascii="Times New Roman" w:hAnsi="Times New Roman" w:cs="Times New Roman"/>
          <w:noProof/>
          <w:lang w:val="en-IE"/>
        </w:rPr>
        <w:t>customs controls and</w:t>
      </w:r>
      <w:r w:rsidRPr="586E19CB">
        <w:rPr>
          <w:rFonts w:ascii="Times New Roman" w:hAnsi="Times New Roman" w:cs="Times New Roman"/>
          <w:noProof/>
          <w:lang w:val="en-IE"/>
        </w:rPr>
        <w:t xml:space="preserve"> develop and implement a fully-fledged analysis and coordination capacity at EU level. While the Customs programmes were mobilised in these domains to a certain extent (in terms of IT systems as well as collaborative actions and human competency building), it should be investigated how the Customs programme could further engage in overcoming these weaknesses.</w:t>
      </w:r>
    </w:p>
    <w:p w14:paraId="4A0DAB7C" w14:textId="231BB300" w:rsidR="00F6767C" w:rsidRPr="007F635D" w:rsidRDefault="007F635D" w:rsidP="00AF7B58">
      <w:pPr>
        <w:pStyle w:val="Heading1"/>
        <w:rPr>
          <w:noProof/>
        </w:rPr>
      </w:pPr>
      <w:bookmarkStart w:id="17" w:name="_Toc96083194"/>
      <w:r>
        <w:rPr>
          <w:noProof/>
        </w:rPr>
        <w:t>Annexes</w:t>
      </w:r>
      <w:bookmarkEnd w:id="17"/>
    </w:p>
    <w:p w14:paraId="4A0DAB7D" w14:textId="0DE0EB8D" w:rsidR="00F6767C" w:rsidRPr="009A33E1" w:rsidRDefault="00C407D0" w:rsidP="00033369">
      <w:pPr>
        <w:pStyle w:val="ListParagraph"/>
        <w:numPr>
          <w:ilvl w:val="0"/>
          <w:numId w:val="9"/>
        </w:numPr>
        <w:ind w:left="294"/>
        <w:jc w:val="both"/>
        <w:rPr>
          <w:rFonts w:ascii="Times New Roman" w:hAnsi="Times New Roman" w:cs="Times New Roman"/>
          <w:noProof/>
          <w:lang w:val="en-IE"/>
        </w:rPr>
      </w:pPr>
      <w:r w:rsidRPr="009A33E1">
        <w:rPr>
          <w:rFonts w:ascii="Times New Roman" w:hAnsi="Times New Roman" w:cs="Times New Roman"/>
          <w:noProof/>
          <w:lang w:val="en-IE"/>
        </w:rPr>
        <w:t xml:space="preserve">Annex </w:t>
      </w:r>
      <w:r w:rsidR="00BC75D9">
        <w:rPr>
          <w:rFonts w:ascii="Times New Roman" w:hAnsi="Times New Roman" w:cs="Times New Roman"/>
          <w:noProof/>
          <w:lang w:val="en-IE"/>
        </w:rPr>
        <w:t>1</w:t>
      </w:r>
      <w:r w:rsidRPr="009A33E1">
        <w:rPr>
          <w:rFonts w:ascii="Times New Roman" w:hAnsi="Times New Roman" w:cs="Times New Roman"/>
          <w:noProof/>
          <w:lang w:val="en-IE"/>
        </w:rPr>
        <w:t xml:space="preserve">: </w:t>
      </w:r>
      <w:r w:rsidR="16305A4A" w:rsidRPr="009A33E1">
        <w:rPr>
          <w:rFonts w:ascii="Times New Roman" w:hAnsi="Times New Roman" w:cs="Times New Roman"/>
          <w:noProof/>
          <w:lang w:val="en-IE"/>
        </w:rPr>
        <w:t>Acronyms and definitions</w:t>
      </w:r>
    </w:p>
    <w:p w14:paraId="5D148C35" w14:textId="757AD5D1" w:rsidR="00C407D0" w:rsidRPr="009A33E1" w:rsidRDefault="00C407D0" w:rsidP="00033369">
      <w:pPr>
        <w:pStyle w:val="ListParagraph"/>
        <w:numPr>
          <w:ilvl w:val="0"/>
          <w:numId w:val="9"/>
        </w:numPr>
        <w:ind w:left="294"/>
        <w:jc w:val="both"/>
        <w:rPr>
          <w:rFonts w:ascii="Times New Roman" w:hAnsi="Times New Roman" w:cs="Times New Roman"/>
          <w:noProof/>
          <w:lang w:val="en-IE"/>
        </w:rPr>
      </w:pPr>
      <w:r w:rsidRPr="009A33E1">
        <w:rPr>
          <w:rFonts w:ascii="Times New Roman" w:hAnsi="Times New Roman" w:cs="Times New Roman"/>
          <w:noProof/>
          <w:lang w:val="en-IE"/>
        </w:rPr>
        <w:t xml:space="preserve">Annex </w:t>
      </w:r>
      <w:r w:rsidR="00BC75D9">
        <w:rPr>
          <w:rFonts w:ascii="Times New Roman" w:hAnsi="Times New Roman" w:cs="Times New Roman"/>
          <w:noProof/>
          <w:lang w:val="en-IE"/>
        </w:rPr>
        <w:t>2</w:t>
      </w:r>
      <w:r w:rsidRPr="009A33E1">
        <w:rPr>
          <w:rFonts w:ascii="Times New Roman" w:hAnsi="Times New Roman" w:cs="Times New Roman"/>
          <w:noProof/>
          <w:lang w:val="en-IE"/>
        </w:rPr>
        <w:t xml:space="preserve">: Customs 2020 </w:t>
      </w:r>
      <w:r w:rsidR="009D45BF">
        <w:rPr>
          <w:rFonts w:ascii="Times New Roman" w:hAnsi="Times New Roman" w:cs="Times New Roman"/>
          <w:noProof/>
          <w:lang w:val="en-IE"/>
        </w:rPr>
        <w:t xml:space="preserve">programme </w:t>
      </w:r>
      <w:r w:rsidRPr="009A33E1">
        <w:rPr>
          <w:rFonts w:ascii="Times New Roman" w:hAnsi="Times New Roman" w:cs="Times New Roman"/>
          <w:noProof/>
          <w:lang w:val="en-IE"/>
        </w:rPr>
        <w:t>budget and key performance indicators (for activities carried out during 2021)</w:t>
      </w:r>
    </w:p>
    <w:p w14:paraId="2C23B19A" w14:textId="3E294DBE" w:rsidR="00C407D0" w:rsidRPr="009A33E1" w:rsidRDefault="00C407D0" w:rsidP="00033369">
      <w:pPr>
        <w:pStyle w:val="ListParagraph"/>
        <w:numPr>
          <w:ilvl w:val="0"/>
          <w:numId w:val="9"/>
        </w:numPr>
        <w:ind w:left="294"/>
        <w:jc w:val="both"/>
        <w:rPr>
          <w:rFonts w:ascii="Times New Roman" w:hAnsi="Times New Roman" w:cs="Times New Roman"/>
          <w:noProof/>
          <w:lang w:val="en-IE"/>
        </w:rPr>
      </w:pPr>
      <w:r w:rsidRPr="009A33E1">
        <w:rPr>
          <w:rFonts w:ascii="Times New Roman" w:hAnsi="Times New Roman" w:cs="Times New Roman"/>
          <w:noProof/>
          <w:lang w:val="en-IE"/>
        </w:rPr>
        <w:t xml:space="preserve">Annex </w:t>
      </w:r>
      <w:r w:rsidR="00BC75D9">
        <w:rPr>
          <w:rFonts w:ascii="Times New Roman" w:hAnsi="Times New Roman" w:cs="Times New Roman"/>
          <w:noProof/>
          <w:lang w:val="en-IE"/>
        </w:rPr>
        <w:t>3</w:t>
      </w:r>
      <w:r w:rsidRPr="009A33E1">
        <w:rPr>
          <w:rFonts w:ascii="Times New Roman" w:hAnsi="Times New Roman" w:cs="Times New Roman"/>
          <w:noProof/>
          <w:lang w:val="en-IE"/>
        </w:rPr>
        <w:t xml:space="preserve">: </w:t>
      </w:r>
      <w:r w:rsidR="007868FD" w:rsidRPr="009A33E1">
        <w:rPr>
          <w:rFonts w:ascii="Times New Roman" w:hAnsi="Times New Roman" w:cs="Times New Roman"/>
          <w:noProof/>
          <w:lang w:val="en-IE"/>
        </w:rPr>
        <w:t>Customs programme’s budget</w:t>
      </w:r>
      <w:r w:rsidR="00577EAF">
        <w:rPr>
          <w:rFonts w:ascii="Times New Roman" w:hAnsi="Times New Roman" w:cs="Times New Roman"/>
          <w:noProof/>
          <w:lang w:val="en-IE"/>
        </w:rPr>
        <w:t xml:space="preserve">, </w:t>
      </w:r>
      <w:r w:rsidR="007868FD" w:rsidRPr="009A33E1">
        <w:rPr>
          <w:rFonts w:ascii="Times New Roman" w:hAnsi="Times New Roman" w:cs="Times New Roman"/>
          <w:noProof/>
          <w:lang w:val="en-IE"/>
        </w:rPr>
        <w:t>performance indicators</w:t>
      </w:r>
      <w:r w:rsidR="0079071C">
        <w:rPr>
          <w:rFonts w:ascii="Times New Roman" w:hAnsi="Times New Roman" w:cs="Times New Roman"/>
          <w:noProof/>
          <w:lang w:val="en-IE"/>
        </w:rPr>
        <w:t xml:space="preserve"> </w:t>
      </w:r>
      <w:r w:rsidR="00577EAF">
        <w:rPr>
          <w:rFonts w:ascii="Times New Roman" w:hAnsi="Times New Roman" w:cs="Times New Roman"/>
          <w:noProof/>
          <w:lang w:val="en-IE"/>
        </w:rPr>
        <w:t xml:space="preserve">and supplementary information </w:t>
      </w:r>
      <w:r w:rsidR="00352EDD">
        <w:rPr>
          <w:rFonts w:ascii="Times New Roman" w:hAnsi="Times New Roman" w:cs="Times New Roman"/>
          <w:noProof/>
          <w:lang w:val="en-IE"/>
        </w:rPr>
        <w:t>(for activities carried out during 2021)</w:t>
      </w:r>
    </w:p>
    <w:p w14:paraId="4AC2F3B3" w14:textId="3E484FC0" w:rsidR="00C407D0" w:rsidRPr="009A33E1" w:rsidRDefault="00C407D0" w:rsidP="00033369">
      <w:pPr>
        <w:pStyle w:val="ListParagraph"/>
        <w:numPr>
          <w:ilvl w:val="0"/>
          <w:numId w:val="9"/>
        </w:numPr>
        <w:ind w:left="294"/>
        <w:jc w:val="both"/>
        <w:rPr>
          <w:rFonts w:ascii="Times New Roman" w:hAnsi="Times New Roman" w:cs="Times New Roman"/>
          <w:noProof/>
          <w:lang w:val="en-IE"/>
        </w:rPr>
      </w:pPr>
      <w:r w:rsidRPr="009A33E1">
        <w:rPr>
          <w:rFonts w:ascii="Times New Roman" w:hAnsi="Times New Roman" w:cs="Times New Roman"/>
          <w:noProof/>
          <w:lang w:val="en-IE"/>
        </w:rPr>
        <w:t xml:space="preserve">Annex </w:t>
      </w:r>
      <w:r w:rsidR="00BC75D9">
        <w:rPr>
          <w:rFonts w:ascii="Times New Roman" w:hAnsi="Times New Roman" w:cs="Times New Roman"/>
          <w:noProof/>
          <w:lang w:val="en-IE"/>
        </w:rPr>
        <w:t>4</w:t>
      </w:r>
      <w:r w:rsidRPr="009A33E1">
        <w:rPr>
          <w:rFonts w:ascii="Times New Roman" w:hAnsi="Times New Roman" w:cs="Times New Roman"/>
          <w:noProof/>
          <w:lang w:val="en-IE"/>
        </w:rPr>
        <w:t>: European Electronic Systems financed under Customs 2020 and new Customs programme</w:t>
      </w:r>
      <w:r w:rsidR="00577EAF">
        <w:rPr>
          <w:rFonts w:ascii="Times New Roman" w:hAnsi="Times New Roman" w:cs="Times New Roman"/>
          <w:noProof/>
          <w:lang w:val="en-IE"/>
        </w:rPr>
        <w:t xml:space="preserve"> </w:t>
      </w:r>
    </w:p>
    <w:p w14:paraId="4A0DAB81" w14:textId="1EE93606" w:rsidR="001F3DF2" w:rsidRPr="009A33E1" w:rsidRDefault="001F3DF2" w:rsidP="00033369">
      <w:pPr>
        <w:pStyle w:val="ListParagraph"/>
        <w:ind w:left="294"/>
        <w:jc w:val="both"/>
        <w:rPr>
          <w:rFonts w:ascii="Times New Roman" w:hAnsi="Times New Roman" w:cs="Times New Roman"/>
          <w:noProof/>
          <w:lang w:val="en-IE"/>
        </w:rPr>
      </w:pPr>
    </w:p>
    <w:p w14:paraId="64ADA572" w14:textId="77777777" w:rsidR="001F3DF2" w:rsidRPr="009A33E1" w:rsidRDefault="001F3DF2">
      <w:pPr>
        <w:rPr>
          <w:rFonts w:ascii="Times New Roman" w:hAnsi="Times New Roman" w:cs="Times New Roman"/>
          <w:noProof/>
          <w:lang w:val="en-IE"/>
        </w:rPr>
      </w:pPr>
      <w:r w:rsidRPr="009A33E1">
        <w:rPr>
          <w:rFonts w:ascii="Times New Roman" w:hAnsi="Times New Roman" w:cs="Times New Roman"/>
          <w:noProof/>
          <w:lang w:val="en-IE"/>
        </w:rPr>
        <w:br w:type="page"/>
      </w:r>
    </w:p>
    <w:p w14:paraId="5BD976D4" w14:textId="77777777" w:rsidR="001F3DF2" w:rsidRPr="00E344E5" w:rsidRDefault="001F3DF2" w:rsidP="00AF7B58">
      <w:pPr>
        <w:pStyle w:val="Heading2"/>
        <w:spacing w:after="240"/>
        <w:rPr>
          <w:noProof/>
        </w:rPr>
      </w:pPr>
      <w:bookmarkStart w:id="18" w:name="_Toc96083195"/>
      <w:r w:rsidRPr="00E344E5">
        <w:rPr>
          <w:noProof/>
        </w:rPr>
        <w:t>Annex 1: Acronyms and definitions</w:t>
      </w:r>
      <w:bookmarkEnd w:id="18"/>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375"/>
        <w:gridCol w:w="7201"/>
      </w:tblGrid>
      <w:tr w:rsidR="001F3DF2" w:rsidRPr="009A33E1" w14:paraId="31933133" w14:textId="77777777" w:rsidTr="586E19CB">
        <w:tc>
          <w:tcPr>
            <w:tcW w:w="1240" w:type="pct"/>
            <w:shd w:val="clear" w:color="auto" w:fill="5B9BD5" w:themeFill="accent1"/>
          </w:tcPr>
          <w:p w14:paraId="40B07EA7"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Abbreviation</w:t>
            </w:r>
          </w:p>
        </w:tc>
        <w:tc>
          <w:tcPr>
            <w:tcW w:w="3760" w:type="pct"/>
            <w:shd w:val="clear" w:color="auto" w:fill="5B9BD5" w:themeFill="accent1"/>
          </w:tcPr>
          <w:p w14:paraId="4DF7AC20"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Meaning</w:t>
            </w:r>
          </w:p>
        </w:tc>
      </w:tr>
      <w:tr w:rsidR="003126A6" w:rsidRPr="009A33E1" w14:paraId="196407A6" w14:textId="77777777" w:rsidTr="586E19CB">
        <w:tc>
          <w:tcPr>
            <w:tcW w:w="1240" w:type="pct"/>
            <w:shd w:val="clear" w:color="auto" w:fill="auto"/>
            <w:vAlign w:val="bottom"/>
          </w:tcPr>
          <w:p w14:paraId="4CC64C80" w14:textId="46A76EB6" w:rsidR="003126A6" w:rsidRPr="009A33E1" w:rsidRDefault="003126A6" w:rsidP="00B4586B">
            <w:pPr>
              <w:autoSpaceDE w:val="0"/>
              <w:autoSpaceDN w:val="0"/>
              <w:adjustRightInd w:val="0"/>
              <w:spacing w:after="0"/>
              <w:jc w:val="center"/>
              <w:rPr>
                <w:rFonts w:ascii="Times New Roman" w:hAnsi="Times New Roman" w:cs="Times New Roman"/>
                <w:b/>
                <w:bCs/>
                <w:noProof/>
                <w:sz w:val="20"/>
                <w:szCs w:val="20"/>
                <w:lang w:val="en-IE" w:eastAsia="en-GB"/>
              </w:rPr>
            </w:pPr>
            <w:r>
              <w:rPr>
                <w:rFonts w:ascii="Times New Roman" w:hAnsi="Times New Roman" w:cs="Times New Roman"/>
                <w:b/>
                <w:bCs/>
                <w:noProof/>
                <w:sz w:val="20"/>
                <w:szCs w:val="20"/>
                <w:lang w:val="en-IE" w:eastAsia="en-GB"/>
              </w:rPr>
              <w:t>AEO</w:t>
            </w:r>
          </w:p>
        </w:tc>
        <w:tc>
          <w:tcPr>
            <w:tcW w:w="3760" w:type="pct"/>
            <w:shd w:val="clear" w:color="auto" w:fill="auto"/>
            <w:vAlign w:val="bottom"/>
          </w:tcPr>
          <w:p w14:paraId="6E71A8C2" w14:textId="47B450D7" w:rsidR="003126A6" w:rsidRPr="009A33E1" w:rsidRDefault="003126A6" w:rsidP="00B4586B">
            <w:pPr>
              <w:autoSpaceDE w:val="0"/>
              <w:autoSpaceDN w:val="0"/>
              <w:adjustRightInd w:val="0"/>
              <w:spacing w:after="0"/>
              <w:rPr>
                <w:rFonts w:ascii="Times New Roman" w:hAnsi="Times New Roman" w:cs="Times New Roman"/>
                <w:noProof/>
                <w:sz w:val="20"/>
                <w:szCs w:val="20"/>
                <w:lang w:val="en-IE" w:eastAsia="en-GB"/>
              </w:rPr>
            </w:pPr>
            <w:r>
              <w:rPr>
                <w:rFonts w:ascii="Times New Roman" w:hAnsi="Times New Roman" w:cs="Times New Roman"/>
                <w:noProof/>
                <w:sz w:val="20"/>
                <w:szCs w:val="20"/>
                <w:lang w:val="en-IE" w:eastAsia="en-GB"/>
              </w:rPr>
              <w:t>Authorised Economic Operators</w:t>
            </w:r>
          </w:p>
        </w:tc>
      </w:tr>
      <w:tr w:rsidR="001F3DF2" w:rsidRPr="009A33E1" w14:paraId="1DE0A595" w14:textId="77777777" w:rsidTr="586E19CB">
        <w:tc>
          <w:tcPr>
            <w:tcW w:w="1240" w:type="pct"/>
            <w:shd w:val="clear" w:color="auto" w:fill="auto"/>
            <w:vAlign w:val="bottom"/>
          </w:tcPr>
          <w:p w14:paraId="76D348BE" w14:textId="77777777" w:rsidR="001F3DF2" w:rsidRPr="009A33E1" w:rsidRDefault="001F3DF2" w:rsidP="00B4586B">
            <w:pPr>
              <w:autoSpaceDE w:val="0"/>
              <w:autoSpaceDN w:val="0"/>
              <w:adjustRightInd w:val="0"/>
              <w:spacing w:after="0"/>
              <w:jc w:val="center"/>
              <w:rPr>
                <w:rFonts w:ascii="Times New Roman" w:hAnsi="Times New Roman" w:cs="Times New Roman"/>
                <w:b/>
                <w:bCs/>
                <w:noProof/>
                <w:sz w:val="20"/>
                <w:szCs w:val="20"/>
                <w:lang w:val="en-IE" w:eastAsia="en-GB"/>
              </w:rPr>
            </w:pPr>
            <w:r w:rsidRPr="009A33E1">
              <w:rPr>
                <w:rFonts w:ascii="Times New Roman" w:hAnsi="Times New Roman" w:cs="Times New Roman"/>
                <w:b/>
                <w:bCs/>
                <w:noProof/>
                <w:sz w:val="20"/>
                <w:szCs w:val="20"/>
                <w:lang w:val="en-IE" w:eastAsia="en-GB"/>
              </w:rPr>
              <w:t>AES</w:t>
            </w:r>
          </w:p>
        </w:tc>
        <w:tc>
          <w:tcPr>
            <w:tcW w:w="3760" w:type="pct"/>
            <w:shd w:val="clear" w:color="auto" w:fill="auto"/>
            <w:vAlign w:val="bottom"/>
          </w:tcPr>
          <w:p w14:paraId="229A8B59"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Automated Export System</w:t>
            </w:r>
          </w:p>
        </w:tc>
      </w:tr>
      <w:tr w:rsidR="001F3DF2" w:rsidRPr="009A33E1" w14:paraId="3F86ED81" w14:textId="77777777" w:rsidTr="586E19CB">
        <w:tc>
          <w:tcPr>
            <w:tcW w:w="1240" w:type="pct"/>
            <w:shd w:val="clear" w:color="auto" w:fill="auto"/>
            <w:vAlign w:val="bottom"/>
          </w:tcPr>
          <w:p w14:paraId="4E3D0D36"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AFF</w:t>
            </w:r>
          </w:p>
        </w:tc>
        <w:tc>
          <w:tcPr>
            <w:tcW w:w="3760" w:type="pct"/>
            <w:shd w:val="clear" w:color="auto" w:fill="auto"/>
            <w:vAlign w:val="bottom"/>
          </w:tcPr>
          <w:p w14:paraId="1730A06B"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Action Follow-up Form</w:t>
            </w:r>
          </w:p>
        </w:tc>
      </w:tr>
      <w:tr w:rsidR="001F3DF2" w:rsidRPr="009A33E1" w14:paraId="2C93CFC6" w14:textId="77777777" w:rsidTr="586E19CB">
        <w:tc>
          <w:tcPr>
            <w:tcW w:w="1240" w:type="pct"/>
            <w:shd w:val="clear" w:color="auto" w:fill="auto"/>
            <w:vAlign w:val="bottom"/>
          </w:tcPr>
          <w:p w14:paraId="36525664"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ART</w:t>
            </w:r>
          </w:p>
        </w:tc>
        <w:tc>
          <w:tcPr>
            <w:tcW w:w="3760" w:type="pct"/>
            <w:shd w:val="clear" w:color="auto" w:fill="auto"/>
            <w:vAlign w:val="bottom"/>
          </w:tcPr>
          <w:p w14:paraId="0FC8FCB8"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Activity Reporting Tool</w:t>
            </w:r>
          </w:p>
        </w:tc>
      </w:tr>
      <w:tr w:rsidR="001F3DF2" w:rsidRPr="009A33E1" w14:paraId="72D3C04E" w14:textId="77777777" w:rsidTr="586E19CB">
        <w:tc>
          <w:tcPr>
            <w:tcW w:w="1240" w:type="pct"/>
            <w:shd w:val="clear" w:color="auto" w:fill="auto"/>
            <w:vAlign w:val="bottom"/>
          </w:tcPr>
          <w:p w14:paraId="3D96A9DC" w14:textId="29197D08"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AWP</w:t>
            </w:r>
            <w:r w:rsidR="003126A6">
              <w:rPr>
                <w:rFonts w:ascii="Times New Roman" w:hAnsi="Times New Roman" w:cs="Times New Roman"/>
                <w:b/>
                <w:bCs/>
                <w:noProof/>
                <w:sz w:val="20"/>
                <w:szCs w:val="20"/>
                <w:lang w:val="en-IE"/>
              </w:rPr>
              <w:t>/MAWP</w:t>
            </w:r>
          </w:p>
        </w:tc>
        <w:tc>
          <w:tcPr>
            <w:tcW w:w="3760" w:type="pct"/>
            <w:shd w:val="clear" w:color="auto" w:fill="auto"/>
            <w:vAlign w:val="bottom"/>
          </w:tcPr>
          <w:p w14:paraId="57FF28F9" w14:textId="050B1C39"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Annual Work Programme</w:t>
            </w:r>
            <w:r w:rsidR="003126A6">
              <w:rPr>
                <w:rFonts w:ascii="Times New Roman" w:hAnsi="Times New Roman" w:cs="Times New Roman"/>
                <w:noProof/>
                <w:sz w:val="20"/>
                <w:szCs w:val="20"/>
                <w:lang w:val="en-IE"/>
              </w:rPr>
              <w:t>/Multiannual Work Programme</w:t>
            </w:r>
          </w:p>
        </w:tc>
      </w:tr>
      <w:tr w:rsidR="001F3DF2" w:rsidRPr="009A33E1" w14:paraId="65008CDF" w14:textId="77777777" w:rsidTr="586E19CB">
        <w:tc>
          <w:tcPr>
            <w:tcW w:w="1240" w:type="pct"/>
            <w:shd w:val="clear" w:color="auto" w:fill="auto"/>
            <w:vAlign w:val="bottom"/>
          </w:tcPr>
          <w:p w14:paraId="40856719"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BTI</w:t>
            </w:r>
          </w:p>
        </w:tc>
        <w:tc>
          <w:tcPr>
            <w:tcW w:w="3760" w:type="pct"/>
            <w:shd w:val="clear" w:color="auto" w:fill="auto"/>
            <w:vAlign w:val="bottom"/>
          </w:tcPr>
          <w:p w14:paraId="58D1002C"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Binding Tariff Information</w:t>
            </w:r>
          </w:p>
        </w:tc>
      </w:tr>
      <w:tr w:rsidR="001F3DF2" w:rsidRPr="009A33E1" w14:paraId="03A265ED" w14:textId="77777777" w:rsidTr="586E19CB">
        <w:tc>
          <w:tcPr>
            <w:tcW w:w="1240" w:type="pct"/>
            <w:shd w:val="clear" w:color="auto" w:fill="auto"/>
            <w:vAlign w:val="bottom"/>
          </w:tcPr>
          <w:p w14:paraId="61292EA3"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CCN/CSI</w:t>
            </w:r>
          </w:p>
        </w:tc>
        <w:tc>
          <w:tcPr>
            <w:tcW w:w="3760" w:type="pct"/>
            <w:shd w:val="clear" w:color="auto" w:fill="auto"/>
            <w:vAlign w:val="bottom"/>
          </w:tcPr>
          <w:p w14:paraId="03EF0513"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Common Communications Network - Common Systems Interface</w:t>
            </w:r>
          </w:p>
        </w:tc>
      </w:tr>
      <w:tr w:rsidR="001F3DF2" w:rsidRPr="009A33E1" w14:paraId="3C3B8D9C" w14:textId="77777777" w:rsidTr="586E19CB">
        <w:tc>
          <w:tcPr>
            <w:tcW w:w="1240" w:type="pct"/>
            <w:shd w:val="clear" w:color="auto" w:fill="auto"/>
            <w:vAlign w:val="bottom"/>
          </w:tcPr>
          <w:p w14:paraId="082CD52C" w14:textId="77777777" w:rsidR="001F3DF2" w:rsidRPr="009A33E1" w:rsidDel="00B54125"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CELBET</w:t>
            </w:r>
          </w:p>
        </w:tc>
        <w:tc>
          <w:tcPr>
            <w:tcW w:w="3760" w:type="pct"/>
            <w:shd w:val="clear" w:color="auto" w:fill="auto"/>
            <w:vAlign w:val="bottom"/>
          </w:tcPr>
          <w:p w14:paraId="3AFAA292"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Customs Eastern Land Border Expert Team</w:t>
            </w:r>
          </w:p>
        </w:tc>
      </w:tr>
      <w:tr w:rsidR="001F3DF2" w:rsidRPr="009A33E1" w14:paraId="112F8854" w14:textId="77777777" w:rsidTr="586E19CB">
        <w:tc>
          <w:tcPr>
            <w:tcW w:w="1240" w:type="pct"/>
            <w:shd w:val="clear" w:color="auto" w:fill="auto"/>
            <w:vAlign w:val="bottom"/>
          </w:tcPr>
          <w:p w14:paraId="53B479F4"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CLET</w:t>
            </w:r>
          </w:p>
        </w:tc>
        <w:tc>
          <w:tcPr>
            <w:tcW w:w="3760" w:type="pct"/>
            <w:shd w:val="clear" w:color="auto" w:fill="auto"/>
            <w:vAlign w:val="bottom"/>
          </w:tcPr>
          <w:p w14:paraId="4DB76F24"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Customs Laboratories Expert Team</w:t>
            </w:r>
          </w:p>
        </w:tc>
      </w:tr>
      <w:tr w:rsidR="001F3DF2" w:rsidRPr="009A33E1" w14:paraId="78A3933C" w14:textId="77777777" w:rsidTr="586E19CB">
        <w:tc>
          <w:tcPr>
            <w:tcW w:w="1240" w:type="pct"/>
            <w:shd w:val="clear" w:color="auto" w:fill="auto"/>
            <w:vAlign w:val="bottom"/>
          </w:tcPr>
          <w:p w14:paraId="678DC698"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CRC</w:t>
            </w:r>
          </w:p>
        </w:tc>
        <w:tc>
          <w:tcPr>
            <w:tcW w:w="3760" w:type="pct"/>
            <w:shd w:val="clear" w:color="auto" w:fill="auto"/>
            <w:vAlign w:val="bottom"/>
          </w:tcPr>
          <w:p w14:paraId="4508AB61"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Common Risk Criteria</w:t>
            </w:r>
          </w:p>
        </w:tc>
      </w:tr>
      <w:tr w:rsidR="001F3DF2" w:rsidRPr="009A33E1" w14:paraId="08C1044C" w14:textId="77777777" w:rsidTr="586E19CB">
        <w:tc>
          <w:tcPr>
            <w:tcW w:w="1240" w:type="pct"/>
            <w:shd w:val="clear" w:color="auto" w:fill="auto"/>
            <w:vAlign w:val="bottom"/>
          </w:tcPr>
          <w:p w14:paraId="36544D53"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CRMS</w:t>
            </w:r>
          </w:p>
        </w:tc>
        <w:tc>
          <w:tcPr>
            <w:tcW w:w="3760" w:type="pct"/>
            <w:shd w:val="clear" w:color="auto" w:fill="auto"/>
            <w:vAlign w:val="bottom"/>
          </w:tcPr>
          <w:p w14:paraId="5B272B9D"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Customs Risk Management System</w:t>
            </w:r>
          </w:p>
        </w:tc>
      </w:tr>
      <w:tr w:rsidR="001F3DF2" w:rsidRPr="009A33E1" w14:paraId="720FB6F0" w14:textId="77777777" w:rsidTr="586E19CB">
        <w:tc>
          <w:tcPr>
            <w:tcW w:w="1240" w:type="pct"/>
            <w:shd w:val="clear" w:color="auto" w:fill="auto"/>
            <w:vAlign w:val="bottom"/>
          </w:tcPr>
          <w:p w14:paraId="6FCE9E6A"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C2020</w:t>
            </w:r>
          </w:p>
        </w:tc>
        <w:tc>
          <w:tcPr>
            <w:tcW w:w="3760" w:type="pct"/>
            <w:shd w:val="clear" w:color="auto" w:fill="auto"/>
            <w:vAlign w:val="bottom"/>
          </w:tcPr>
          <w:p w14:paraId="64A03B4C"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rPr>
              <w:t>Customs 2020 Programme</w:t>
            </w:r>
          </w:p>
        </w:tc>
      </w:tr>
      <w:tr w:rsidR="001F3DF2" w:rsidRPr="009A33E1" w14:paraId="23C00DFA" w14:textId="77777777" w:rsidTr="586E19CB">
        <w:tc>
          <w:tcPr>
            <w:tcW w:w="1240" w:type="pct"/>
            <w:shd w:val="clear" w:color="auto" w:fill="auto"/>
            <w:vAlign w:val="bottom"/>
          </w:tcPr>
          <w:p w14:paraId="5FE9F758" w14:textId="77777777" w:rsidR="001F3DF2" w:rsidRPr="009A33E1" w:rsidRDefault="001F3DF2" w:rsidP="00B4586B">
            <w:pPr>
              <w:autoSpaceDE w:val="0"/>
              <w:autoSpaceDN w:val="0"/>
              <w:adjustRightInd w:val="0"/>
              <w:spacing w:after="0"/>
              <w:jc w:val="center"/>
              <w:rPr>
                <w:rFonts w:ascii="Times New Roman" w:hAnsi="Times New Roman" w:cs="Times New Roman"/>
                <w:b/>
                <w:bCs/>
                <w:noProof/>
                <w:sz w:val="20"/>
                <w:szCs w:val="20"/>
                <w:lang w:val="en-IE" w:eastAsia="en-GB"/>
              </w:rPr>
            </w:pPr>
            <w:r w:rsidRPr="009A33E1">
              <w:rPr>
                <w:rFonts w:ascii="Times New Roman" w:hAnsi="Times New Roman" w:cs="Times New Roman"/>
                <w:b/>
                <w:bCs/>
                <w:noProof/>
                <w:sz w:val="20"/>
                <w:szCs w:val="20"/>
                <w:lang w:val="en-IE" w:eastAsia="en-GB"/>
              </w:rPr>
              <w:t>DG TAXUD</w:t>
            </w:r>
          </w:p>
        </w:tc>
        <w:tc>
          <w:tcPr>
            <w:tcW w:w="3760" w:type="pct"/>
            <w:shd w:val="clear" w:color="auto" w:fill="auto"/>
            <w:vAlign w:val="bottom"/>
          </w:tcPr>
          <w:p w14:paraId="2DC2C303"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European Commission Directorate-General for Taxation and Customs Union</w:t>
            </w:r>
          </w:p>
        </w:tc>
      </w:tr>
      <w:tr w:rsidR="001F3DF2" w:rsidRPr="009A33E1" w14:paraId="23D213D7" w14:textId="77777777" w:rsidTr="586E19CB">
        <w:tc>
          <w:tcPr>
            <w:tcW w:w="1240" w:type="pct"/>
            <w:shd w:val="clear" w:color="auto" w:fill="auto"/>
            <w:vAlign w:val="bottom"/>
          </w:tcPr>
          <w:p w14:paraId="19E4F907"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EAF</w:t>
            </w:r>
          </w:p>
        </w:tc>
        <w:tc>
          <w:tcPr>
            <w:tcW w:w="3760" w:type="pct"/>
            <w:shd w:val="clear" w:color="auto" w:fill="auto"/>
            <w:vAlign w:val="bottom"/>
          </w:tcPr>
          <w:p w14:paraId="003246C8"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Event Assessment Form</w:t>
            </w:r>
          </w:p>
        </w:tc>
      </w:tr>
      <w:tr w:rsidR="001F3DF2" w:rsidRPr="009A33E1" w14:paraId="3CD5E467" w14:textId="77777777" w:rsidTr="586E19CB">
        <w:tc>
          <w:tcPr>
            <w:tcW w:w="1240" w:type="pct"/>
            <w:shd w:val="clear" w:color="auto" w:fill="auto"/>
            <w:vAlign w:val="bottom"/>
          </w:tcPr>
          <w:p w14:paraId="4D4FE6E3"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ECS</w:t>
            </w:r>
          </w:p>
        </w:tc>
        <w:tc>
          <w:tcPr>
            <w:tcW w:w="3760" w:type="pct"/>
            <w:shd w:val="clear" w:color="auto" w:fill="auto"/>
            <w:vAlign w:val="bottom"/>
          </w:tcPr>
          <w:p w14:paraId="0D597B25"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Export Control System</w:t>
            </w:r>
          </w:p>
        </w:tc>
      </w:tr>
      <w:tr w:rsidR="001F3DF2" w:rsidRPr="009A33E1" w14:paraId="220FAF97" w14:textId="77777777" w:rsidTr="586E19CB">
        <w:tc>
          <w:tcPr>
            <w:tcW w:w="1240" w:type="pct"/>
            <w:shd w:val="clear" w:color="auto" w:fill="auto"/>
            <w:vAlign w:val="bottom"/>
          </w:tcPr>
          <w:p w14:paraId="74A81277"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EIS</w:t>
            </w:r>
          </w:p>
        </w:tc>
        <w:tc>
          <w:tcPr>
            <w:tcW w:w="3760" w:type="pct"/>
            <w:shd w:val="clear" w:color="auto" w:fill="auto"/>
            <w:vAlign w:val="bottom"/>
          </w:tcPr>
          <w:p w14:paraId="6ED95145"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European Information System</w:t>
            </w:r>
          </w:p>
        </w:tc>
      </w:tr>
      <w:tr w:rsidR="001F3DF2" w:rsidRPr="009A33E1" w14:paraId="32B0EAE0" w14:textId="77777777" w:rsidTr="586E19CB">
        <w:tc>
          <w:tcPr>
            <w:tcW w:w="1240" w:type="pct"/>
            <w:shd w:val="clear" w:color="auto" w:fill="auto"/>
            <w:vAlign w:val="bottom"/>
          </w:tcPr>
          <w:p w14:paraId="4ED00082"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ET</w:t>
            </w:r>
          </w:p>
        </w:tc>
        <w:tc>
          <w:tcPr>
            <w:tcW w:w="3760" w:type="pct"/>
            <w:shd w:val="clear" w:color="auto" w:fill="auto"/>
            <w:vAlign w:val="bottom"/>
          </w:tcPr>
          <w:p w14:paraId="1CB04E1A" w14:textId="77777777" w:rsidR="001F3DF2" w:rsidRPr="009A33E1" w:rsidRDefault="001F3DF2" w:rsidP="00B4586B">
            <w:pPr>
              <w:spacing w:after="0"/>
              <w:rPr>
                <w:rFonts w:ascii="Times New Roman" w:hAnsi="Times New Roman" w:cs="Times New Roman"/>
                <w:noProof/>
                <w:sz w:val="20"/>
                <w:szCs w:val="20"/>
                <w:lang w:val="en-IE" w:eastAsia="en-AU"/>
              </w:rPr>
            </w:pPr>
            <w:r w:rsidRPr="009A33E1">
              <w:rPr>
                <w:rFonts w:ascii="Times New Roman" w:hAnsi="Times New Roman" w:cs="Times New Roman"/>
                <w:noProof/>
                <w:sz w:val="20"/>
                <w:szCs w:val="20"/>
                <w:lang w:val="en-IE"/>
              </w:rPr>
              <w:t>Expert Team</w:t>
            </w:r>
          </w:p>
        </w:tc>
      </w:tr>
      <w:tr w:rsidR="001F3DF2" w:rsidRPr="009A33E1" w14:paraId="58B55B42" w14:textId="77777777" w:rsidTr="586E19CB">
        <w:tc>
          <w:tcPr>
            <w:tcW w:w="1240" w:type="pct"/>
            <w:shd w:val="clear" w:color="auto" w:fill="auto"/>
            <w:vAlign w:val="bottom"/>
          </w:tcPr>
          <w:p w14:paraId="482F6C64"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ICS</w:t>
            </w:r>
          </w:p>
        </w:tc>
        <w:tc>
          <w:tcPr>
            <w:tcW w:w="3760" w:type="pct"/>
            <w:shd w:val="clear" w:color="auto" w:fill="auto"/>
            <w:vAlign w:val="bottom"/>
          </w:tcPr>
          <w:p w14:paraId="5E5E0A13"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Import Control System</w:t>
            </w:r>
          </w:p>
        </w:tc>
      </w:tr>
      <w:tr w:rsidR="001F3DF2" w:rsidRPr="009A33E1" w14:paraId="1B7594F4" w14:textId="77777777" w:rsidTr="586E19CB">
        <w:tc>
          <w:tcPr>
            <w:tcW w:w="1240" w:type="pct"/>
            <w:shd w:val="clear" w:color="auto" w:fill="auto"/>
            <w:vAlign w:val="bottom"/>
          </w:tcPr>
          <w:p w14:paraId="407AE372"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JA</w:t>
            </w:r>
          </w:p>
        </w:tc>
        <w:tc>
          <w:tcPr>
            <w:tcW w:w="3760" w:type="pct"/>
            <w:shd w:val="clear" w:color="auto" w:fill="auto"/>
            <w:vAlign w:val="bottom"/>
          </w:tcPr>
          <w:p w14:paraId="4574588B"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Joint Action</w:t>
            </w:r>
          </w:p>
        </w:tc>
      </w:tr>
      <w:tr w:rsidR="001F3DF2" w:rsidRPr="009A33E1" w14:paraId="6D25FC3C" w14:textId="77777777" w:rsidTr="586E19CB">
        <w:tc>
          <w:tcPr>
            <w:tcW w:w="1240" w:type="pct"/>
            <w:shd w:val="clear" w:color="auto" w:fill="auto"/>
            <w:vAlign w:val="bottom"/>
          </w:tcPr>
          <w:p w14:paraId="08E020EC"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MASP</w:t>
            </w:r>
          </w:p>
        </w:tc>
        <w:tc>
          <w:tcPr>
            <w:tcW w:w="3760" w:type="pct"/>
            <w:shd w:val="clear" w:color="auto" w:fill="auto"/>
            <w:vAlign w:val="bottom"/>
          </w:tcPr>
          <w:p w14:paraId="195BADC4" w14:textId="11F80806" w:rsidR="001F3DF2" w:rsidRPr="009A33E1" w:rsidRDefault="29F51BA1" w:rsidP="0079071C">
            <w:pPr>
              <w:autoSpaceDE w:val="0"/>
              <w:autoSpaceDN w:val="0"/>
              <w:adjustRightInd w:val="0"/>
              <w:spacing w:after="0"/>
              <w:rPr>
                <w:rFonts w:ascii="Times New Roman" w:hAnsi="Times New Roman" w:cs="Times New Roman"/>
                <w:noProof/>
                <w:sz w:val="20"/>
                <w:szCs w:val="20"/>
                <w:lang w:val="en-IE" w:eastAsia="en-GB"/>
              </w:rPr>
            </w:pPr>
            <w:r w:rsidRPr="586E19CB">
              <w:rPr>
                <w:rFonts w:ascii="Times New Roman" w:hAnsi="Times New Roman" w:cs="Times New Roman"/>
                <w:noProof/>
                <w:sz w:val="20"/>
                <w:szCs w:val="20"/>
                <w:lang w:val="en-IE" w:eastAsia="en-GB"/>
              </w:rPr>
              <w:t>Multi</w:t>
            </w:r>
            <w:r w:rsidR="18A63CF7" w:rsidRPr="586E19CB">
              <w:rPr>
                <w:rFonts w:ascii="Times New Roman" w:hAnsi="Times New Roman" w:cs="Times New Roman"/>
                <w:noProof/>
                <w:sz w:val="20"/>
                <w:szCs w:val="20"/>
                <w:lang w:val="en-IE" w:eastAsia="en-GB"/>
              </w:rPr>
              <w:t>annual</w:t>
            </w:r>
            <w:r w:rsidRPr="586E19CB">
              <w:rPr>
                <w:rFonts w:ascii="Times New Roman" w:hAnsi="Times New Roman" w:cs="Times New Roman"/>
                <w:noProof/>
                <w:sz w:val="20"/>
                <w:szCs w:val="20"/>
                <w:lang w:val="en-IE" w:eastAsia="en-GB"/>
              </w:rPr>
              <w:t xml:space="preserve"> Strategic Plan</w:t>
            </w:r>
          </w:p>
        </w:tc>
      </w:tr>
      <w:tr w:rsidR="001F3DF2" w:rsidRPr="009A33E1" w14:paraId="5958E2AE" w14:textId="77777777" w:rsidTr="586E19CB">
        <w:tc>
          <w:tcPr>
            <w:tcW w:w="1240" w:type="pct"/>
            <w:shd w:val="clear" w:color="auto" w:fill="auto"/>
            <w:vAlign w:val="bottom"/>
          </w:tcPr>
          <w:p w14:paraId="654A874D"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MFF</w:t>
            </w:r>
          </w:p>
        </w:tc>
        <w:tc>
          <w:tcPr>
            <w:tcW w:w="3760" w:type="pct"/>
            <w:shd w:val="clear" w:color="auto" w:fill="auto"/>
            <w:vAlign w:val="bottom"/>
          </w:tcPr>
          <w:p w14:paraId="77357866"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Multiannual Financial Framework</w:t>
            </w:r>
          </w:p>
        </w:tc>
      </w:tr>
      <w:tr w:rsidR="001F3DF2" w:rsidRPr="009A33E1" w14:paraId="6181F985" w14:textId="77777777" w:rsidTr="586E19CB">
        <w:tc>
          <w:tcPr>
            <w:tcW w:w="1240" w:type="pct"/>
            <w:shd w:val="clear" w:color="auto" w:fill="auto"/>
            <w:vAlign w:val="bottom"/>
          </w:tcPr>
          <w:p w14:paraId="41FD1057"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N/A</w:t>
            </w:r>
          </w:p>
        </w:tc>
        <w:tc>
          <w:tcPr>
            <w:tcW w:w="3760" w:type="pct"/>
            <w:shd w:val="clear" w:color="auto" w:fill="auto"/>
            <w:vAlign w:val="bottom"/>
          </w:tcPr>
          <w:p w14:paraId="2468BF5C"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Not available</w:t>
            </w:r>
          </w:p>
        </w:tc>
      </w:tr>
      <w:tr w:rsidR="001F3DF2" w:rsidRPr="009A33E1" w14:paraId="6F277070" w14:textId="77777777" w:rsidTr="586E19CB">
        <w:tc>
          <w:tcPr>
            <w:tcW w:w="1240" w:type="pct"/>
            <w:shd w:val="clear" w:color="auto" w:fill="auto"/>
            <w:vAlign w:val="bottom"/>
          </w:tcPr>
          <w:p w14:paraId="524E5FFF"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NCTS</w:t>
            </w:r>
          </w:p>
        </w:tc>
        <w:tc>
          <w:tcPr>
            <w:tcW w:w="3760" w:type="pct"/>
            <w:shd w:val="clear" w:color="auto" w:fill="auto"/>
            <w:vAlign w:val="bottom"/>
          </w:tcPr>
          <w:p w14:paraId="23C59D12"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New Computerised Transit System</w:t>
            </w:r>
          </w:p>
        </w:tc>
      </w:tr>
      <w:tr w:rsidR="001F3DF2" w:rsidRPr="009A33E1" w14:paraId="3FA65A67" w14:textId="77777777" w:rsidTr="586E19CB">
        <w:tc>
          <w:tcPr>
            <w:tcW w:w="1240" w:type="pct"/>
            <w:shd w:val="clear" w:color="auto" w:fill="auto"/>
            <w:vAlign w:val="bottom"/>
          </w:tcPr>
          <w:p w14:paraId="57115BAB"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PICS</w:t>
            </w:r>
          </w:p>
        </w:tc>
        <w:tc>
          <w:tcPr>
            <w:tcW w:w="3760" w:type="pct"/>
            <w:shd w:val="clear" w:color="auto" w:fill="auto"/>
            <w:vAlign w:val="bottom"/>
          </w:tcPr>
          <w:p w14:paraId="4FF68703"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Programmes Information and Collaboration Space</w:t>
            </w:r>
          </w:p>
        </w:tc>
      </w:tr>
      <w:tr w:rsidR="001F3DF2" w:rsidRPr="009A33E1" w14:paraId="171F3A18" w14:textId="77777777" w:rsidTr="586E19CB">
        <w:tc>
          <w:tcPr>
            <w:tcW w:w="1240" w:type="pct"/>
            <w:shd w:val="clear" w:color="auto" w:fill="auto"/>
            <w:vAlign w:val="bottom"/>
          </w:tcPr>
          <w:p w14:paraId="6BE6F2DD"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PMF</w:t>
            </w:r>
          </w:p>
        </w:tc>
        <w:tc>
          <w:tcPr>
            <w:tcW w:w="3760" w:type="pct"/>
            <w:shd w:val="clear" w:color="auto" w:fill="auto"/>
            <w:vAlign w:val="bottom"/>
          </w:tcPr>
          <w:p w14:paraId="15FFF323"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Performance Measurement Framework</w:t>
            </w:r>
          </w:p>
        </w:tc>
      </w:tr>
      <w:tr w:rsidR="001F3DF2" w:rsidRPr="009A33E1" w14:paraId="456E63FE" w14:textId="77777777" w:rsidTr="586E19CB">
        <w:tc>
          <w:tcPr>
            <w:tcW w:w="1240" w:type="pct"/>
            <w:shd w:val="clear" w:color="auto" w:fill="auto"/>
            <w:vAlign w:val="bottom"/>
          </w:tcPr>
          <w:p w14:paraId="24045CEC"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SPEED</w:t>
            </w:r>
          </w:p>
        </w:tc>
        <w:tc>
          <w:tcPr>
            <w:tcW w:w="3760" w:type="pct"/>
            <w:shd w:val="clear" w:color="auto" w:fill="auto"/>
            <w:vAlign w:val="bottom"/>
          </w:tcPr>
          <w:p w14:paraId="566D9809" w14:textId="77777777" w:rsidR="001F3DF2" w:rsidRPr="009A33E1" w:rsidRDefault="001F3DF2" w:rsidP="00B4586B">
            <w:pPr>
              <w:spacing w:after="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Single Portal for Entry or Exit of Data</w:t>
            </w:r>
          </w:p>
        </w:tc>
      </w:tr>
      <w:tr w:rsidR="001F3DF2" w:rsidRPr="009A33E1" w14:paraId="53C56FE2" w14:textId="77777777" w:rsidTr="586E19CB">
        <w:tc>
          <w:tcPr>
            <w:tcW w:w="1240" w:type="pct"/>
            <w:shd w:val="clear" w:color="auto" w:fill="auto"/>
            <w:vAlign w:val="bottom"/>
          </w:tcPr>
          <w:p w14:paraId="36FECF21" w14:textId="77777777" w:rsidR="001F3DF2" w:rsidRPr="009A33E1" w:rsidRDefault="001F3DF2" w:rsidP="00B4586B">
            <w:pPr>
              <w:spacing w:after="0"/>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UCC</w:t>
            </w:r>
          </w:p>
        </w:tc>
        <w:tc>
          <w:tcPr>
            <w:tcW w:w="3760" w:type="pct"/>
            <w:shd w:val="clear" w:color="auto" w:fill="auto"/>
            <w:vAlign w:val="bottom"/>
          </w:tcPr>
          <w:p w14:paraId="685D063E" w14:textId="77777777" w:rsidR="001F3DF2" w:rsidRPr="009A33E1" w:rsidRDefault="001F3DF2" w:rsidP="00B4586B">
            <w:pPr>
              <w:autoSpaceDE w:val="0"/>
              <w:autoSpaceDN w:val="0"/>
              <w:adjustRightInd w:val="0"/>
              <w:spacing w:after="0"/>
              <w:rPr>
                <w:rFonts w:ascii="Times New Roman" w:hAnsi="Times New Roman" w:cs="Times New Roman"/>
                <w:noProof/>
                <w:sz w:val="20"/>
                <w:szCs w:val="20"/>
                <w:lang w:val="en-IE" w:eastAsia="en-GB"/>
              </w:rPr>
            </w:pPr>
            <w:r w:rsidRPr="009A33E1">
              <w:rPr>
                <w:rFonts w:ascii="Times New Roman" w:hAnsi="Times New Roman" w:cs="Times New Roman"/>
                <w:noProof/>
                <w:sz w:val="20"/>
                <w:szCs w:val="20"/>
                <w:lang w:val="en-IE" w:eastAsia="en-GB"/>
              </w:rPr>
              <w:t xml:space="preserve">Union Customs Code </w:t>
            </w:r>
          </w:p>
        </w:tc>
      </w:tr>
    </w:tbl>
    <w:p w14:paraId="4652D9D1" w14:textId="77777777" w:rsidR="001F3DF2" w:rsidRPr="009A33E1" w:rsidRDefault="001F3DF2" w:rsidP="001F3DF2">
      <w:pPr>
        <w:rPr>
          <w:rFonts w:ascii="Times New Roman" w:hAnsi="Times New Roman" w:cs="Times New Roman"/>
          <w:noProof/>
          <w:lang w:val="en-IE"/>
        </w:rPr>
      </w:pPr>
    </w:p>
    <w:p w14:paraId="56B2F59F" w14:textId="0E79601F" w:rsidR="001F3DF2" w:rsidRPr="009A33E1" w:rsidRDefault="001F3DF2">
      <w:pPr>
        <w:rPr>
          <w:rFonts w:ascii="Times New Roman" w:hAnsi="Times New Roman" w:cs="Times New Roman"/>
          <w:noProof/>
          <w:lang w:val="en-IE"/>
        </w:rPr>
      </w:pPr>
      <w:r w:rsidRPr="009A33E1">
        <w:rPr>
          <w:rFonts w:ascii="Times New Roman" w:hAnsi="Times New Roman" w:cs="Times New Roman"/>
          <w:noProof/>
          <w:lang w:val="en-IE"/>
        </w:rPr>
        <w:br w:type="page"/>
      </w:r>
    </w:p>
    <w:p w14:paraId="172F74AA" w14:textId="65865060" w:rsidR="001F3DF2" w:rsidRPr="00E344E5" w:rsidRDefault="001F3DF2" w:rsidP="00AF7B58">
      <w:pPr>
        <w:pStyle w:val="Heading2"/>
        <w:spacing w:after="240"/>
        <w:rPr>
          <w:noProof/>
        </w:rPr>
      </w:pPr>
      <w:bookmarkStart w:id="19" w:name="_Toc96083196"/>
      <w:r w:rsidRPr="00E344E5">
        <w:rPr>
          <w:noProof/>
        </w:rPr>
        <w:t xml:space="preserve">Annex 2: Customs 2020 </w:t>
      </w:r>
      <w:r w:rsidR="009D45BF" w:rsidRPr="00E344E5">
        <w:rPr>
          <w:noProof/>
        </w:rPr>
        <w:t xml:space="preserve">programme </w:t>
      </w:r>
      <w:r w:rsidRPr="00E344E5">
        <w:rPr>
          <w:noProof/>
        </w:rPr>
        <w:t>budget and performance indicators (for activities carried out during 2021)</w:t>
      </w:r>
      <w:r w:rsidRPr="00E344E5">
        <w:rPr>
          <w:noProof/>
          <w:vertAlign w:val="superscript"/>
        </w:rPr>
        <w:footnoteReference w:id="40"/>
      </w:r>
      <w:bookmarkEnd w:id="19"/>
    </w:p>
    <w:p w14:paraId="240BE18F" w14:textId="76B0101F" w:rsidR="0012426A" w:rsidRPr="000166FC" w:rsidRDefault="003C289C" w:rsidP="0012426A">
      <w:pPr>
        <w:rPr>
          <w:rFonts w:ascii="Times New Roman" w:hAnsi="Times New Roman" w:cs="Times New Roman"/>
          <w:b/>
          <w:noProof/>
          <w:color w:val="2E74B5" w:themeColor="accent1" w:themeShade="BF"/>
          <w:lang w:val="en-IE"/>
        </w:rPr>
      </w:pPr>
      <w:r w:rsidRPr="000166FC">
        <w:rPr>
          <w:rFonts w:ascii="Times New Roman" w:hAnsi="Times New Roman" w:cs="Times New Roman"/>
          <w:b/>
          <w:noProof/>
          <w:color w:val="2E74B5" w:themeColor="accent1" w:themeShade="BF"/>
          <w:lang w:val="en-IE"/>
        </w:rPr>
        <w:t>1: Budget</w:t>
      </w:r>
    </w:p>
    <w:p w14:paraId="218B2DC8" w14:textId="49A19ACA" w:rsidR="001F3DF2" w:rsidRPr="009A33E1" w:rsidRDefault="001F3DF2" w:rsidP="001F3DF2">
      <w:pPr>
        <w:rPr>
          <w:rFonts w:ascii="Times New Roman" w:hAnsi="Times New Roman" w:cs="Times New Roman"/>
          <w:b/>
          <w:noProof/>
          <w:lang w:val="en-IE"/>
        </w:rPr>
      </w:pPr>
      <w:r w:rsidRPr="009A33E1">
        <w:rPr>
          <w:rFonts w:ascii="Times New Roman" w:hAnsi="Times New Roman" w:cs="Times New Roman"/>
          <w:b/>
          <w:noProof/>
          <w:lang w:val="en-IE"/>
        </w:rPr>
        <w:t xml:space="preserve">Table 1: Committed expenses per year and main action categories under the programme </w:t>
      </w:r>
    </w:p>
    <w:p w14:paraId="73682400" w14:textId="77777777" w:rsidR="001F3DF2" w:rsidRPr="009A33E1" w:rsidRDefault="001F3DF2" w:rsidP="001F3DF2">
      <w:pPr>
        <w:jc w:val="both"/>
        <w:rPr>
          <w:rFonts w:ascii="Times New Roman" w:hAnsi="Times New Roman" w:cs="Times New Roman"/>
          <w:noProof/>
          <w:lang w:val="en-IE"/>
        </w:rPr>
      </w:pPr>
      <w:r w:rsidRPr="009A33E1">
        <w:rPr>
          <w:rFonts w:ascii="Times New Roman" w:hAnsi="Times New Roman" w:cs="Times New Roman"/>
          <w:noProof/>
          <w:lang w:val="en-IE"/>
        </w:rPr>
        <w:t>For European Electronic Systems and other service contracts (studies): 2020 budget was committed in 2021 via a global commitment done at the end of 2020 to be able to bridge the gap between the end of the former programmes and the adoption of the new MFF and related Financing Decision.</w:t>
      </w:r>
    </w:p>
    <w:p w14:paraId="7D3A05BD" w14:textId="2F06AD4A" w:rsidR="001F3DF2" w:rsidRPr="009A33E1" w:rsidRDefault="001F3DF2" w:rsidP="001F3DF2">
      <w:pPr>
        <w:jc w:val="both"/>
        <w:rPr>
          <w:rFonts w:ascii="Times New Roman" w:hAnsi="Times New Roman" w:cs="Times New Roman"/>
          <w:noProof/>
          <w:lang w:val="en-IE"/>
        </w:rPr>
      </w:pPr>
      <w:r w:rsidRPr="009A33E1">
        <w:rPr>
          <w:rFonts w:ascii="Times New Roman" w:hAnsi="Times New Roman" w:cs="Times New Roman"/>
          <w:noProof/>
          <w:lang w:val="en-IE"/>
        </w:rPr>
        <w:t xml:space="preserve">For collaboration activities (including expert teams), external experts and the remaining service contracts: there were no new commitments done during 2021 related to the budget of the Customs 2020 programme. All </w:t>
      </w:r>
      <w:r w:rsidR="00D17A25">
        <w:rPr>
          <w:rFonts w:ascii="Times New Roman" w:hAnsi="Times New Roman" w:cs="Times New Roman"/>
          <w:noProof/>
          <w:lang w:val="en-IE"/>
        </w:rPr>
        <w:t xml:space="preserve">collaborative </w:t>
      </w:r>
      <w:r w:rsidRPr="009A33E1">
        <w:rPr>
          <w:rFonts w:ascii="Times New Roman" w:hAnsi="Times New Roman" w:cs="Times New Roman"/>
          <w:noProof/>
          <w:lang w:val="en-IE"/>
        </w:rPr>
        <w:t xml:space="preserve">activities continued in 2021 based on commitments </w:t>
      </w:r>
      <w:r w:rsidR="00D17A25">
        <w:rPr>
          <w:rFonts w:ascii="Times New Roman" w:hAnsi="Times New Roman" w:cs="Times New Roman"/>
          <w:noProof/>
          <w:lang w:val="en-IE"/>
        </w:rPr>
        <w:t>made</w:t>
      </w:r>
      <w:r w:rsidRPr="009A33E1">
        <w:rPr>
          <w:rFonts w:ascii="Times New Roman" w:hAnsi="Times New Roman" w:cs="Times New Roman"/>
          <w:noProof/>
          <w:lang w:val="en-IE"/>
        </w:rPr>
        <w:t xml:space="preserve"> in 2020.</w:t>
      </w:r>
    </w:p>
    <w:tbl>
      <w:tblPr>
        <w:tblW w:w="9498" w:type="dxa"/>
        <w:tblInd w:w="108" w:type="dxa"/>
        <w:tblLayout w:type="fixed"/>
        <w:tblCellMar>
          <w:left w:w="0" w:type="dxa"/>
          <w:right w:w="0" w:type="dxa"/>
        </w:tblCellMar>
        <w:tblLook w:val="04A0" w:firstRow="1" w:lastRow="0" w:firstColumn="1" w:lastColumn="0" w:noHBand="0" w:noVBand="1"/>
      </w:tblPr>
      <w:tblGrid>
        <w:gridCol w:w="4962"/>
        <w:gridCol w:w="4536"/>
      </w:tblGrid>
      <w:tr w:rsidR="001F3DF2" w:rsidRPr="00692395" w14:paraId="1EFB7D23" w14:textId="77777777" w:rsidTr="586E19CB">
        <w:trPr>
          <w:trHeight w:val="271"/>
        </w:trPr>
        <w:tc>
          <w:tcPr>
            <w:tcW w:w="4962" w:type="dxa"/>
            <w:tcBorders>
              <w:top w:val="single" w:sz="8" w:space="0" w:color="auto"/>
              <w:left w:val="single" w:sz="8" w:space="0" w:color="auto"/>
              <w:bottom w:val="single" w:sz="8" w:space="0" w:color="auto"/>
              <w:right w:val="single" w:sz="8" w:space="0" w:color="auto"/>
            </w:tcBorders>
            <w:shd w:val="clear" w:color="auto" w:fill="5B9BD5" w:themeFill="accent1"/>
            <w:tcMar>
              <w:top w:w="0" w:type="dxa"/>
              <w:left w:w="108" w:type="dxa"/>
              <w:bottom w:w="0" w:type="dxa"/>
              <w:right w:w="108" w:type="dxa"/>
            </w:tcMar>
            <w:vAlign w:val="center"/>
            <w:hideMark/>
          </w:tcPr>
          <w:p w14:paraId="35FB19AC" w14:textId="6D24967C" w:rsidR="001F3DF2" w:rsidRPr="00692395" w:rsidRDefault="004512E9" w:rsidP="004512E9">
            <w:pPr>
              <w:spacing w:after="0" w:line="260" w:lineRule="atLeast"/>
              <w:ind w:right="-28"/>
              <w:rPr>
                <w:rFonts w:ascii="Times New Roman" w:eastAsiaTheme="minorEastAsia" w:hAnsi="Times New Roman" w:cs="Times New Roman"/>
                <w:noProof/>
                <w:sz w:val="20"/>
                <w:szCs w:val="20"/>
                <w:lang w:val="en-IE" w:eastAsia="en-GB"/>
              </w:rPr>
            </w:pPr>
            <w:r w:rsidRPr="00692395">
              <w:rPr>
                <w:rFonts w:ascii="Times New Roman" w:eastAsia="Times New Roman" w:hAnsi="Times New Roman" w:cs="Times New Roman"/>
                <w:b/>
                <w:bCs/>
                <w:noProof/>
                <w:sz w:val="20"/>
                <w:szCs w:val="20"/>
                <w:lang w:val="en-IE" w:eastAsia="en-GB"/>
              </w:rPr>
              <w:t>Action category</w:t>
            </w:r>
          </w:p>
        </w:tc>
        <w:tc>
          <w:tcPr>
            <w:tcW w:w="4536" w:type="dxa"/>
            <w:tcBorders>
              <w:top w:val="single" w:sz="8" w:space="0" w:color="auto"/>
              <w:left w:val="nil"/>
              <w:bottom w:val="single" w:sz="8" w:space="0" w:color="auto"/>
              <w:right w:val="single" w:sz="8" w:space="0" w:color="auto"/>
            </w:tcBorders>
            <w:shd w:val="clear" w:color="auto" w:fill="5B9BD5" w:themeFill="accent1"/>
            <w:hideMark/>
          </w:tcPr>
          <w:p w14:paraId="7D14B89E" w14:textId="77777777" w:rsidR="001F3DF2" w:rsidRPr="00692395" w:rsidRDefault="001F3DF2" w:rsidP="00B4586B">
            <w:pPr>
              <w:spacing w:after="0" w:line="260" w:lineRule="atLeast"/>
              <w:ind w:right="-28"/>
              <w:jc w:val="center"/>
              <w:rPr>
                <w:rFonts w:ascii="Times New Roman" w:eastAsia="Times New Roman" w:hAnsi="Times New Roman" w:cs="Times New Roman"/>
                <w:b/>
                <w:bCs/>
                <w:noProof/>
                <w:sz w:val="20"/>
                <w:szCs w:val="20"/>
                <w:lang w:val="en-IE" w:eastAsia="en-GB"/>
              </w:rPr>
            </w:pPr>
            <w:r w:rsidRPr="00692395">
              <w:rPr>
                <w:rFonts w:ascii="Times New Roman" w:eastAsia="Times New Roman" w:hAnsi="Times New Roman" w:cs="Times New Roman"/>
                <w:b/>
                <w:bCs/>
                <w:noProof/>
                <w:sz w:val="20"/>
                <w:szCs w:val="20"/>
                <w:lang w:val="en-IE" w:eastAsia="en-GB"/>
              </w:rPr>
              <w:t>2021</w:t>
            </w:r>
          </w:p>
        </w:tc>
      </w:tr>
      <w:tr w:rsidR="001F3DF2" w:rsidRPr="00692395" w14:paraId="2F42947A"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0FC6562" w14:textId="77777777" w:rsidR="001F3DF2" w:rsidRPr="00692395" w:rsidRDefault="001F3DF2" w:rsidP="00B4586B">
            <w:pPr>
              <w:spacing w:after="0" w:line="260" w:lineRule="atLeast"/>
              <w:ind w:right="-28"/>
              <w:rPr>
                <w:rFonts w:ascii="Times New Roman" w:eastAsia="Times New Roman" w:hAnsi="Times New Roman" w:cs="Times New Roman"/>
                <w:bCs/>
                <w:noProof/>
                <w:sz w:val="20"/>
                <w:szCs w:val="20"/>
                <w:lang w:val="en-IE" w:eastAsia="en-GB"/>
              </w:rPr>
            </w:pPr>
            <w:r w:rsidRPr="00692395">
              <w:rPr>
                <w:rFonts w:ascii="Times New Roman" w:eastAsia="Times New Roman" w:hAnsi="Times New Roman" w:cs="Times New Roman"/>
                <w:bCs/>
                <w:noProof/>
                <w:sz w:val="20"/>
                <w:szCs w:val="20"/>
                <w:lang w:val="en-IE" w:eastAsia="en-GB"/>
              </w:rPr>
              <w:t>European Electronic Systems</w:t>
            </w:r>
          </w:p>
        </w:tc>
        <w:tc>
          <w:tcPr>
            <w:tcW w:w="4536" w:type="dxa"/>
            <w:tcBorders>
              <w:top w:val="nil"/>
              <w:left w:val="nil"/>
              <w:bottom w:val="single" w:sz="8" w:space="0" w:color="auto"/>
              <w:right w:val="single" w:sz="8" w:space="0" w:color="auto"/>
            </w:tcBorders>
          </w:tcPr>
          <w:p w14:paraId="5DCA26E2" w14:textId="4CA7FA80" w:rsidR="001F3DF2" w:rsidRPr="00692395" w:rsidRDefault="009F53E0" w:rsidP="00F31E14">
            <w:pPr>
              <w:spacing w:after="0" w:line="260" w:lineRule="atLeast"/>
              <w:rPr>
                <w:rFonts w:ascii="Times New Roman" w:eastAsia="Times New Roman" w:hAnsi="Times New Roman" w:cs="Times New Roman"/>
                <w:noProof/>
                <w:color w:val="000000"/>
                <w:sz w:val="20"/>
                <w:szCs w:val="20"/>
                <w:lang w:val="en-IE" w:eastAsia="en-GB"/>
              </w:rPr>
            </w:pPr>
            <w:r w:rsidRPr="00692395">
              <w:rPr>
                <w:rFonts w:ascii="Times New Roman" w:eastAsia="Times New Roman" w:hAnsi="Times New Roman" w:cs="Times New Roman"/>
                <w:noProof/>
                <w:color w:val="000000" w:themeColor="text1"/>
                <w:sz w:val="20"/>
                <w:szCs w:val="20"/>
                <w:lang w:val="en-IE" w:eastAsia="en-GB"/>
              </w:rPr>
              <w:t xml:space="preserve"> EUR </w:t>
            </w:r>
            <w:r w:rsidR="001F3DF2" w:rsidRPr="00692395">
              <w:rPr>
                <w:rFonts w:ascii="Times New Roman" w:eastAsia="Times New Roman" w:hAnsi="Times New Roman" w:cs="Times New Roman"/>
                <w:noProof/>
                <w:color w:val="000000" w:themeColor="text1"/>
                <w:sz w:val="20"/>
                <w:szCs w:val="20"/>
                <w:lang w:val="en-IE" w:eastAsia="en-GB"/>
              </w:rPr>
              <w:t>50</w:t>
            </w:r>
            <w:r w:rsidRPr="00692395">
              <w:rPr>
                <w:rFonts w:ascii="Times New Roman" w:eastAsia="Times New Roman" w:hAnsi="Times New Roman" w:cs="Times New Roman"/>
                <w:noProof/>
                <w:color w:val="000000" w:themeColor="text1"/>
                <w:sz w:val="20"/>
                <w:szCs w:val="20"/>
                <w:lang w:val="en-IE" w:eastAsia="en-GB"/>
              </w:rPr>
              <w:t> </w:t>
            </w:r>
            <w:r w:rsidR="001F3DF2" w:rsidRPr="00692395">
              <w:rPr>
                <w:rFonts w:ascii="Times New Roman" w:eastAsia="Times New Roman" w:hAnsi="Times New Roman" w:cs="Times New Roman"/>
                <w:noProof/>
                <w:color w:val="000000" w:themeColor="text1"/>
                <w:sz w:val="20"/>
                <w:szCs w:val="20"/>
                <w:lang w:val="en-IE" w:eastAsia="en-GB"/>
              </w:rPr>
              <w:t>174</w:t>
            </w:r>
            <w:r w:rsidR="005C3562" w:rsidRPr="00692395">
              <w:rPr>
                <w:rFonts w:ascii="Times New Roman" w:eastAsia="Times New Roman" w:hAnsi="Times New Roman" w:cs="Times New Roman"/>
                <w:noProof/>
                <w:color w:val="000000" w:themeColor="text1"/>
                <w:sz w:val="20"/>
                <w:szCs w:val="20"/>
                <w:lang w:val="en-IE" w:eastAsia="en-GB"/>
              </w:rPr>
              <w:t>.</w:t>
            </w:r>
            <w:r w:rsidR="001F3DF2" w:rsidRPr="00692395">
              <w:rPr>
                <w:rFonts w:ascii="Times New Roman" w:eastAsia="Times New Roman" w:hAnsi="Times New Roman" w:cs="Times New Roman"/>
                <w:noProof/>
                <w:color w:val="000000" w:themeColor="text1"/>
                <w:sz w:val="20"/>
                <w:szCs w:val="20"/>
                <w:lang w:val="en-IE" w:eastAsia="en-GB"/>
              </w:rPr>
              <w:t>40</w:t>
            </w:r>
          </w:p>
        </w:tc>
      </w:tr>
      <w:tr w:rsidR="001F3DF2" w:rsidRPr="00692395" w14:paraId="6C95E8A4"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846E723" w14:textId="77777777" w:rsidR="001F3DF2" w:rsidRPr="00692395" w:rsidRDefault="001F3DF2" w:rsidP="00B4586B">
            <w:pPr>
              <w:spacing w:after="0" w:line="260" w:lineRule="atLeast"/>
              <w:ind w:right="-28"/>
              <w:rPr>
                <w:rFonts w:ascii="Times New Roman" w:eastAsiaTheme="minorEastAsia" w:hAnsi="Times New Roman" w:cs="Times New Roman"/>
                <w:bCs/>
                <w:noProof/>
                <w:sz w:val="20"/>
                <w:szCs w:val="20"/>
                <w:lang w:val="en-IE" w:eastAsia="en-GB"/>
              </w:rPr>
            </w:pPr>
            <w:r w:rsidRPr="00692395">
              <w:rPr>
                <w:rFonts w:ascii="Times New Roman" w:hAnsi="Times New Roman" w:cs="Times New Roman"/>
                <w:bCs/>
                <w:noProof/>
                <w:sz w:val="20"/>
                <w:szCs w:val="20"/>
                <w:lang w:val="en-IE"/>
              </w:rPr>
              <w:t xml:space="preserve">Collaboration activities </w:t>
            </w:r>
            <w:r w:rsidRPr="00692395">
              <w:rPr>
                <w:rFonts w:ascii="Times New Roman" w:eastAsia="Times New Roman" w:hAnsi="Times New Roman" w:cs="Times New Roman"/>
                <w:bCs/>
                <w:noProof/>
                <w:sz w:val="20"/>
                <w:szCs w:val="20"/>
                <w:lang w:val="en-IE" w:eastAsia="en-GB"/>
              </w:rPr>
              <w:t>(including expert teams)</w:t>
            </w:r>
          </w:p>
        </w:tc>
        <w:tc>
          <w:tcPr>
            <w:tcW w:w="4536" w:type="dxa"/>
            <w:tcBorders>
              <w:top w:val="nil"/>
              <w:left w:val="nil"/>
              <w:bottom w:val="single" w:sz="8" w:space="0" w:color="auto"/>
              <w:right w:val="single" w:sz="8" w:space="0" w:color="auto"/>
            </w:tcBorders>
          </w:tcPr>
          <w:p w14:paraId="431DE2E3" w14:textId="1DDE6E76" w:rsidR="001F3DF2" w:rsidRPr="00692395" w:rsidRDefault="00F31E14" w:rsidP="00F31E14">
            <w:pPr>
              <w:spacing w:after="0" w:line="260" w:lineRule="atLeast"/>
              <w:ind w:right="-28"/>
              <w:jc w:val="both"/>
              <w:rPr>
                <w:rFonts w:ascii="Times New Roman" w:eastAsia="Times New Roman" w:hAnsi="Times New Roman" w:cs="Times New Roman"/>
                <w:noProof/>
                <w:color w:val="000000"/>
                <w:sz w:val="20"/>
                <w:szCs w:val="20"/>
                <w:lang w:val="en-IE" w:eastAsia="en-GB"/>
              </w:rPr>
            </w:pPr>
            <w:r w:rsidRPr="00692395">
              <w:rPr>
                <w:rFonts w:ascii="Times New Roman" w:eastAsia="Times New Roman" w:hAnsi="Times New Roman" w:cs="Times New Roman"/>
                <w:noProof/>
                <w:color w:val="000000"/>
                <w:sz w:val="20"/>
                <w:szCs w:val="20"/>
                <w:lang w:val="en-IE" w:eastAsia="en-GB"/>
              </w:rPr>
              <w:t xml:space="preserve"> </w:t>
            </w:r>
            <w:r w:rsidR="009F53E0" w:rsidRPr="00692395">
              <w:rPr>
                <w:rFonts w:ascii="Times New Roman" w:eastAsia="Times New Roman" w:hAnsi="Times New Roman" w:cs="Times New Roman"/>
                <w:noProof/>
                <w:color w:val="000000"/>
                <w:sz w:val="20"/>
                <w:szCs w:val="20"/>
                <w:lang w:val="en-IE" w:eastAsia="en-GB"/>
              </w:rPr>
              <w:t>EUR </w:t>
            </w:r>
            <w:r w:rsidR="001F3DF2" w:rsidRPr="00692395">
              <w:rPr>
                <w:rFonts w:ascii="Times New Roman" w:eastAsia="Times New Roman" w:hAnsi="Times New Roman" w:cs="Times New Roman"/>
                <w:noProof/>
                <w:color w:val="000000"/>
                <w:sz w:val="20"/>
                <w:szCs w:val="20"/>
                <w:lang w:val="en-IE" w:eastAsia="en-GB"/>
              </w:rPr>
              <w:t>0</w:t>
            </w:r>
          </w:p>
        </w:tc>
      </w:tr>
      <w:tr w:rsidR="001F3DF2" w:rsidRPr="00692395" w14:paraId="2361FE26"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4E0AD509" w14:textId="77777777" w:rsidR="001F3DF2" w:rsidRPr="00692395" w:rsidRDefault="001F3DF2" w:rsidP="00B4586B">
            <w:pPr>
              <w:spacing w:after="0" w:line="260" w:lineRule="atLeast"/>
              <w:ind w:right="-28"/>
              <w:rPr>
                <w:rFonts w:ascii="Times New Roman" w:eastAsiaTheme="minorEastAsia" w:hAnsi="Times New Roman" w:cs="Times New Roman"/>
                <w:bCs/>
                <w:noProof/>
                <w:sz w:val="20"/>
                <w:szCs w:val="20"/>
                <w:lang w:val="en-IE" w:eastAsia="en-GB"/>
              </w:rPr>
            </w:pPr>
            <w:r w:rsidRPr="00692395">
              <w:rPr>
                <w:rFonts w:ascii="Times New Roman" w:eastAsia="Times New Roman" w:hAnsi="Times New Roman" w:cs="Times New Roman"/>
                <w:bCs/>
                <w:noProof/>
                <w:sz w:val="20"/>
                <w:szCs w:val="20"/>
                <w:lang w:val="en-IE" w:eastAsia="en-GB"/>
              </w:rPr>
              <w:t>Other service contracts</w:t>
            </w:r>
            <w:r w:rsidRPr="00692395">
              <w:rPr>
                <w:rStyle w:val="FootnoteReference"/>
                <w:rFonts w:ascii="Times New Roman" w:eastAsia="Times New Roman" w:hAnsi="Times New Roman" w:cs="Times New Roman"/>
                <w:noProof/>
                <w:sz w:val="20"/>
                <w:szCs w:val="20"/>
                <w:lang w:val="en-IE" w:eastAsia="en-GB"/>
              </w:rPr>
              <w:footnoteReference w:id="41"/>
            </w:r>
          </w:p>
        </w:tc>
        <w:tc>
          <w:tcPr>
            <w:tcW w:w="4536" w:type="dxa"/>
            <w:tcBorders>
              <w:top w:val="nil"/>
              <w:left w:val="nil"/>
              <w:bottom w:val="single" w:sz="8" w:space="0" w:color="auto"/>
              <w:right w:val="single" w:sz="8" w:space="0" w:color="auto"/>
            </w:tcBorders>
          </w:tcPr>
          <w:p w14:paraId="3E176A9E" w14:textId="45B967CD" w:rsidR="001F3DF2" w:rsidRPr="00692395" w:rsidRDefault="00F31E14" w:rsidP="003D7275">
            <w:pPr>
              <w:spacing w:after="0" w:line="260" w:lineRule="atLeast"/>
              <w:ind w:right="-28"/>
              <w:jc w:val="both"/>
              <w:rPr>
                <w:rFonts w:ascii="Times New Roman" w:eastAsiaTheme="minorEastAsia" w:hAnsi="Times New Roman" w:cs="Times New Roman"/>
                <w:noProof/>
                <w:color w:val="000000"/>
                <w:sz w:val="20"/>
                <w:szCs w:val="20"/>
                <w:lang w:val="en-IE" w:eastAsia="en-GB"/>
              </w:rPr>
            </w:pPr>
            <w:r w:rsidRPr="00692395">
              <w:rPr>
                <w:rFonts w:ascii="Times New Roman" w:eastAsiaTheme="minorEastAsia" w:hAnsi="Times New Roman" w:cs="Times New Roman"/>
                <w:noProof/>
                <w:color w:val="000000"/>
                <w:sz w:val="20"/>
                <w:szCs w:val="20"/>
                <w:lang w:val="en-IE" w:eastAsia="en-GB"/>
              </w:rPr>
              <w:t xml:space="preserve"> </w:t>
            </w:r>
            <w:r w:rsidR="003246A4" w:rsidRPr="00692395">
              <w:rPr>
                <w:rFonts w:ascii="Times New Roman" w:eastAsiaTheme="minorEastAsia" w:hAnsi="Times New Roman" w:cs="Times New Roman"/>
                <w:noProof/>
                <w:color w:val="000000"/>
                <w:sz w:val="20"/>
                <w:szCs w:val="20"/>
                <w:lang w:val="en-IE" w:eastAsia="en-GB"/>
              </w:rPr>
              <w:t xml:space="preserve"> EUR</w:t>
            </w:r>
            <w:r w:rsidR="009F53E0" w:rsidRPr="00692395">
              <w:rPr>
                <w:rFonts w:ascii="Times New Roman" w:eastAsiaTheme="minorEastAsia" w:hAnsi="Times New Roman" w:cs="Times New Roman"/>
                <w:noProof/>
                <w:color w:val="000000"/>
                <w:sz w:val="20"/>
                <w:szCs w:val="20"/>
                <w:lang w:val="en-IE" w:eastAsia="en-GB"/>
              </w:rPr>
              <w:t> </w:t>
            </w:r>
            <w:r w:rsidR="001F3DF2" w:rsidRPr="00692395">
              <w:rPr>
                <w:rFonts w:ascii="Times New Roman" w:eastAsiaTheme="minorEastAsia" w:hAnsi="Times New Roman" w:cs="Times New Roman"/>
                <w:noProof/>
                <w:color w:val="000000"/>
                <w:sz w:val="20"/>
                <w:szCs w:val="20"/>
                <w:lang w:val="en-IE" w:eastAsia="en-GB"/>
              </w:rPr>
              <w:t>1</w:t>
            </w:r>
            <w:r w:rsidR="009F53E0" w:rsidRPr="00692395">
              <w:rPr>
                <w:rFonts w:ascii="Times New Roman" w:eastAsiaTheme="minorEastAsia" w:hAnsi="Times New Roman" w:cs="Times New Roman"/>
                <w:noProof/>
                <w:color w:val="000000"/>
                <w:sz w:val="20"/>
                <w:szCs w:val="20"/>
                <w:lang w:val="en-IE" w:eastAsia="en-GB"/>
              </w:rPr>
              <w:t> </w:t>
            </w:r>
            <w:r w:rsidR="001F3DF2" w:rsidRPr="00692395">
              <w:rPr>
                <w:rFonts w:ascii="Times New Roman" w:eastAsiaTheme="minorEastAsia" w:hAnsi="Times New Roman" w:cs="Times New Roman"/>
                <w:noProof/>
                <w:color w:val="000000"/>
                <w:sz w:val="20"/>
                <w:szCs w:val="20"/>
                <w:lang w:val="en-IE" w:eastAsia="en-GB"/>
              </w:rPr>
              <w:t>199</w:t>
            </w:r>
            <w:r w:rsidR="009F53E0" w:rsidRPr="00692395">
              <w:rPr>
                <w:rFonts w:ascii="Times New Roman" w:eastAsiaTheme="minorEastAsia" w:hAnsi="Times New Roman" w:cs="Times New Roman"/>
                <w:noProof/>
                <w:color w:val="000000"/>
                <w:sz w:val="20"/>
                <w:szCs w:val="20"/>
                <w:lang w:val="en-IE" w:eastAsia="en-GB"/>
              </w:rPr>
              <w:t> </w:t>
            </w:r>
            <w:r w:rsidR="001F3DF2" w:rsidRPr="00692395">
              <w:rPr>
                <w:rFonts w:ascii="Times New Roman" w:eastAsiaTheme="minorEastAsia" w:hAnsi="Times New Roman" w:cs="Times New Roman"/>
                <w:noProof/>
                <w:color w:val="000000"/>
                <w:sz w:val="20"/>
                <w:szCs w:val="20"/>
                <w:lang w:val="en-IE" w:eastAsia="en-GB"/>
              </w:rPr>
              <w:t>293</w:t>
            </w:r>
            <w:r w:rsidR="005C3562" w:rsidRPr="00692395">
              <w:rPr>
                <w:rFonts w:ascii="Times New Roman" w:eastAsiaTheme="minorEastAsia" w:hAnsi="Times New Roman" w:cs="Times New Roman"/>
                <w:noProof/>
                <w:color w:val="000000"/>
                <w:sz w:val="20"/>
                <w:szCs w:val="20"/>
                <w:lang w:val="en-IE" w:eastAsia="en-GB"/>
              </w:rPr>
              <w:t>.</w:t>
            </w:r>
            <w:r w:rsidR="001F3DF2" w:rsidRPr="00692395">
              <w:rPr>
                <w:rFonts w:ascii="Times New Roman" w:eastAsiaTheme="minorEastAsia" w:hAnsi="Times New Roman" w:cs="Times New Roman"/>
                <w:noProof/>
                <w:color w:val="000000"/>
                <w:sz w:val="20"/>
                <w:szCs w:val="20"/>
                <w:lang w:val="en-IE" w:eastAsia="en-GB"/>
              </w:rPr>
              <w:t xml:space="preserve">15 </w:t>
            </w:r>
          </w:p>
        </w:tc>
      </w:tr>
      <w:tr w:rsidR="001F3DF2" w:rsidRPr="00692395" w14:paraId="2F77B3C9"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15FCDFA" w14:textId="77777777" w:rsidR="001F3DF2" w:rsidRPr="00692395" w:rsidRDefault="001F3DF2" w:rsidP="00B4586B">
            <w:pPr>
              <w:spacing w:after="0" w:line="260" w:lineRule="atLeast"/>
              <w:ind w:right="-28"/>
              <w:rPr>
                <w:rFonts w:ascii="Times New Roman" w:eastAsia="Times New Roman" w:hAnsi="Times New Roman" w:cs="Times New Roman"/>
                <w:bCs/>
                <w:noProof/>
                <w:sz w:val="20"/>
                <w:szCs w:val="20"/>
                <w:lang w:val="en-IE" w:eastAsia="en-GB"/>
              </w:rPr>
            </w:pPr>
            <w:r w:rsidRPr="00692395">
              <w:rPr>
                <w:rFonts w:ascii="Times New Roman" w:eastAsia="Times New Roman" w:hAnsi="Times New Roman" w:cs="Times New Roman"/>
                <w:bCs/>
                <w:noProof/>
                <w:sz w:val="20"/>
                <w:szCs w:val="20"/>
                <w:lang w:val="en-IE" w:eastAsia="en-GB"/>
              </w:rPr>
              <w:t>External experts</w:t>
            </w:r>
          </w:p>
        </w:tc>
        <w:tc>
          <w:tcPr>
            <w:tcW w:w="4536" w:type="dxa"/>
            <w:tcBorders>
              <w:top w:val="nil"/>
              <w:left w:val="nil"/>
              <w:bottom w:val="single" w:sz="8" w:space="0" w:color="auto"/>
              <w:right w:val="single" w:sz="8" w:space="0" w:color="auto"/>
            </w:tcBorders>
          </w:tcPr>
          <w:p w14:paraId="536D9EF3" w14:textId="2E94B37D" w:rsidR="001F3DF2" w:rsidRPr="00692395" w:rsidRDefault="00F31E14" w:rsidP="009F53E0">
            <w:pPr>
              <w:spacing w:after="0" w:line="260" w:lineRule="atLeast"/>
              <w:ind w:right="-28"/>
              <w:jc w:val="both"/>
              <w:rPr>
                <w:rFonts w:ascii="Times New Roman" w:eastAsia="Times New Roman" w:hAnsi="Times New Roman" w:cs="Times New Roman"/>
                <w:noProof/>
                <w:color w:val="000000"/>
                <w:sz w:val="20"/>
                <w:szCs w:val="20"/>
                <w:lang w:val="en-IE" w:eastAsia="en-GB"/>
              </w:rPr>
            </w:pPr>
            <w:r w:rsidRPr="00692395">
              <w:rPr>
                <w:rFonts w:ascii="Times New Roman" w:eastAsia="Times New Roman" w:hAnsi="Times New Roman" w:cs="Times New Roman"/>
                <w:noProof/>
                <w:color w:val="000000"/>
                <w:sz w:val="20"/>
                <w:szCs w:val="20"/>
                <w:lang w:val="en-IE" w:eastAsia="en-GB"/>
              </w:rPr>
              <w:t xml:space="preserve"> </w:t>
            </w:r>
            <w:r w:rsidR="003246A4" w:rsidRPr="00692395">
              <w:rPr>
                <w:rFonts w:ascii="Times New Roman" w:eastAsia="Times New Roman" w:hAnsi="Times New Roman" w:cs="Times New Roman"/>
                <w:noProof/>
                <w:color w:val="000000"/>
                <w:sz w:val="20"/>
                <w:szCs w:val="20"/>
                <w:lang w:val="en-IE" w:eastAsia="en-GB"/>
              </w:rPr>
              <w:t>EUR</w:t>
            </w:r>
            <w:r w:rsidR="009F53E0" w:rsidRPr="00692395">
              <w:rPr>
                <w:rFonts w:ascii="Times New Roman" w:eastAsia="Times New Roman" w:hAnsi="Times New Roman" w:cs="Times New Roman"/>
                <w:noProof/>
                <w:color w:val="000000"/>
                <w:sz w:val="20"/>
                <w:szCs w:val="20"/>
                <w:lang w:val="en-IE" w:eastAsia="en-GB"/>
              </w:rPr>
              <w:t> </w:t>
            </w:r>
            <w:r w:rsidR="001F3DF2" w:rsidRPr="00692395">
              <w:rPr>
                <w:rFonts w:ascii="Times New Roman" w:eastAsia="Times New Roman" w:hAnsi="Times New Roman" w:cs="Times New Roman"/>
                <w:noProof/>
                <w:color w:val="000000"/>
                <w:sz w:val="20"/>
                <w:szCs w:val="20"/>
                <w:lang w:val="en-IE" w:eastAsia="en-GB"/>
              </w:rPr>
              <w:t>0</w:t>
            </w:r>
          </w:p>
        </w:tc>
      </w:tr>
      <w:tr w:rsidR="001F3DF2" w:rsidRPr="00692395" w14:paraId="70AEB19D"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E38ED5B" w14:textId="77777777" w:rsidR="001F3DF2" w:rsidRPr="00692395" w:rsidRDefault="001F3DF2" w:rsidP="00B4586B">
            <w:pPr>
              <w:spacing w:after="0" w:line="260" w:lineRule="atLeast"/>
              <w:ind w:right="-28"/>
              <w:rPr>
                <w:rFonts w:ascii="Times New Roman" w:eastAsiaTheme="minorEastAsia" w:hAnsi="Times New Roman" w:cs="Times New Roman"/>
                <w:b/>
                <w:bCs/>
                <w:noProof/>
                <w:sz w:val="20"/>
                <w:szCs w:val="20"/>
                <w:lang w:val="en-IE" w:eastAsia="en-GB"/>
              </w:rPr>
            </w:pPr>
            <w:r w:rsidRPr="00692395">
              <w:rPr>
                <w:rFonts w:ascii="Times New Roman" w:eastAsia="Times New Roman" w:hAnsi="Times New Roman" w:cs="Times New Roman"/>
                <w:b/>
                <w:bCs/>
                <w:noProof/>
                <w:sz w:val="20"/>
                <w:szCs w:val="20"/>
                <w:lang w:val="en-IE" w:eastAsia="en-GB"/>
              </w:rPr>
              <w:t>TOTAL</w:t>
            </w:r>
          </w:p>
        </w:tc>
        <w:tc>
          <w:tcPr>
            <w:tcW w:w="4536" w:type="dxa"/>
            <w:tcBorders>
              <w:top w:val="nil"/>
              <w:left w:val="nil"/>
              <w:bottom w:val="single" w:sz="8" w:space="0" w:color="auto"/>
              <w:right w:val="single" w:sz="8" w:space="0" w:color="auto"/>
            </w:tcBorders>
          </w:tcPr>
          <w:p w14:paraId="08F66C8A" w14:textId="4F475ABB" w:rsidR="001F3DF2" w:rsidRPr="00692395" w:rsidRDefault="00F31E14" w:rsidP="00F31E14">
            <w:pPr>
              <w:spacing w:after="0" w:line="260" w:lineRule="atLeast"/>
              <w:ind w:right="-28"/>
              <w:jc w:val="both"/>
              <w:rPr>
                <w:rFonts w:ascii="Times New Roman" w:eastAsiaTheme="minorEastAsia" w:hAnsi="Times New Roman" w:cs="Times New Roman"/>
                <w:b/>
                <w:noProof/>
                <w:color w:val="000000"/>
                <w:sz w:val="20"/>
                <w:szCs w:val="20"/>
                <w:lang w:val="en-IE" w:eastAsia="en-GB"/>
              </w:rPr>
            </w:pPr>
            <w:r w:rsidRPr="00692395">
              <w:rPr>
                <w:rFonts w:ascii="Times New Roman" w:eastAsiaTheme="minorEastAsia" w:hAnsi="Times New Roman" w:cs="Times New Roman"/>
                <w:b/>
                <w:noProof/>
                <w:color w:val="000000"/>
                <w:sz w:val="20"/>
                <w:szCs w:val="20"/>
                <w:lang w:val="en-IE" w:eastAsia="en-GB"/>
              </w:rPr>
              <w:t xml:space="preserve"> </w:t>
            </w:r>
            <w:r w:rsidR="003246A4" w:rsidRPr="00692395">
              <w:rPr>
                <w:rFonts w:ascii="Times New Roman" w:eastAsiaTheme="minorEastAsia" w:hAnsi="Times New Roman" w:cs="Times New Roman"/>
                <w:b/>
                <w:noProof/>
                <w:color w:val="000000"/>
                <w:sz w:val="20"/>
                <w:szCs w:val="20"/>
                <w:lang w:val="en-IE" w:eastAsia="en-GB"/>
              </w:rPr>
              <w:t xml:space="preserve">EUR </w:t>
            </w:r>
            <w:r w:rsidR="001F3DF2" w:rsidRPr="00692395">
              <w:rPr>
                <w:rFonts w:ascii="Times New Roman" w:eastAsiaTheme="minorEastAsia" w:hAnsi="Times New Roman" w:cs="Times New Roman"/>
                <w:b/>
                <w:noProof/>
                <w:color w:val="000000"/>
                <w:sz w:val="20"/>
                <w:szCs w:val="20"/>
                <w:lang w:val="en-IE" w:eastAsia="en-GB"/>
              </w:rPr>
              <w:t>1</w:t>
            </w:r>
            <w:r w:rsidR="009F53E0" w:rsidRPr="00692395">
              <w:rPr>
                <w:rFonts w:ascii="Times New Roman" w:eastAsiaTheme="minorEastAsia" w:hAnsi="Times New Roman" w:cs="Times New Roman"/>
                <w:b/>
                <w:noProof/>
                <w:color w:val="000000"/>
                <w:sz w:val="20"/>
                <w:szCs w:val="20"/>
                <w:lang w:val="en-IE" w:eastAsia="en-GB"/>
              </w:rPr>
              <w:t> </w:t>
            </w:r>
            <w:r w:rsidR="001F3DF2" w:rsidRPr="00692395">
              <w:rPr>
                <w:rFonts w:ascii="Times New Roman" w:eastAsiaTheme="minorEastAsia" w:hAnsi="Times New Roman" w:cs="Times New Roman"/>
                <w:b/>
                <w:noProof/>
                <w:color w:val="000000"/>
                <w:sz w:val="20"/>
                <w:szCs w:val="20"/>
                <w:lang w:val="en-IE" w:eastAsia="en-GB"/>
              </w:rPr>
              <w:t>249</w:t>
            </w:r>
            <w:r w:rsidR="009F53E0" w:rsidRPr="00692395">
              <w:rPr>
                <w:rFonts w:ascii="Times New Roman" w:eastAsiaTheme="minorEastAsia" w:hAnsi="Times New Roman" w:cs="Times New Roman"/>
                <w:b/>
                <w:noProof/>
                <w:color w:val="000000"/>
                <w:sz w:val="20"/>
                <w:szCs w:val="20"/>
                <w:lang w:val="en-IE" w:eastAsia="en-GB"/>
              </w:rPr>
              <w:t> </w:t>
            </w:r>
            <w:r w:rsidR="001F3DF2" w:rsidRPr="00692395">
              <w:rPr>
                <w:rFonts w:ascii="Times New Roman" w:eastAsiaTheme="minorEastAsia" w:hAnsi="Times New Roman" w:cs="Times New Roman"/>
                <w:b/>
                <w:noProof/>
                <w:color w:val="000000"/>
                <w:sz w:val="20"/>
                <w:szCs w:val="20"/>
                <w:lang w:val="en-IE" w:eastAsia="en-GB"/>
              </w:rPr>
              <w:t>467</w:t>
            </w:r>
            <w:r w:rsidR="005C3562" w:rsidRPr="00692395">
              <w:rPr>
                <w:rFonts w:ascii="Times New Roman" w:eastAsiaTheme="minorEastAsia" w:hAnsi="Times New Roman" w:cs="Times New Roman"/>
                <w:b/>
                <w:noProof/>
                <w:color w:val="000000"/>
                <w:sz w:val="20"/>
                <w:szCs w:val="20"/>
                <w:lang w:val="en-IE" w:eastAsia="en-GB"/>
              </w:rPr>
              <w:t>.</w:t>
            </w:r>
            <w:r w:rsidR="008F251B" w:rsidRPr="00692395">
              <w:rPr>
                <w:rFonts w:ascii="Times New Roman" w:eastAsiaTheme="minorEastAsia" w:hAnsi="Times New Roman" w:cs="Times New Roman"/>
                <w:b/>
                <w:noProof/>
                <w:color w:val="000000"/>
                <w:sz w:val="20"/>
                <w:szCs w:val="20"/>
                <w:lang w:val="en-IE" w:eastAsia="en-GB"/>
              </w:rPr>
              <w:t>55</w:t>
            </w:r>
          </w:p>
        </w:tc>
      </w:tr>
      <w:tr w:rsidR="001F3DF2" w:rsidRPr="00692395" w14:paraId="1CE6B5BC" w14:textId="77777777" w:rsidTr="586E19CB">
        <w:trPr>
          <w:trHeight w:val="271"/>
        </w:trPr>
        <w:tc>
          <w:tcPr>
            <w:tcW w:w="4962"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8E0B8D0" w14:textId="05BEC998" w:rsidR="001F3DF2" w:rsidRPr="00692395" w:rsidRDefault="29F51BA1" w:rsidP="586E19CB">
            <w:pPr>
              <w:spacing w:after="0" w:line="260" w:lineRule="atLeast"/>
              <w:ind w:right="-28"/>
              <w:rPr>
                <w:rFonts w:ascii="Times New Roman" w:eastAsiaTheme="minorEastAsia" w:hAnsi="Times New Roman" w:cs="Times New Roman"/>
                <w:bCs/>
                <w:noProof/>
                <w:sz w:val="20"/>
                <w:szCs w:val="20"/>
                <w:lang w:val="en-IE" w:eastAsia="en-GB"/>
              </w:rPr>
            </w:pPr>
            <w:r w:rsidRPr="00692395">
              <w:rPr>
                <w:rFonts w:ascii="Times New Roman" w:eastAsia="Times New Roman" w:hAnsi="Times New Roman" w:cs="Times New Roman"/>
                <w:bCs/>
                <w:noProof/>
                <w:sz w:val="20"/>
                <w:szCs w:val="20"/>
                <w:lang w:val="en-IE" w:eastAsia="en-GB"/>
              </w:rPr>
              <w:t>AWP-Financing Decision</w:t>
            </w:r>
            <w:r w:rsidR="0C50D69B" w:rsidRPr="00692395">
              <w:rPr>
                <w:rFonts w:ascii="Times New Roman" w:eastAsia="Times New Roman" w:hAnsi="Times New Roman" w:cs="Times New Roman"/>
                <w:bCs/>
                <w:noProof/>
                <w:sz w:val="20"/>
                <w:szCs w:val="20"/>
                <w:lang w:val="en-IE" w:eastAsia="en-GB"/>
              </w:rPr>
              <w:t xml:space="preserve"> 2020</w:t>
            </w:r>
          </w:p>
        </w:tc>
        <w:tc>
          <w:tcPr>
            <w:tcW w:w="4536" w:type="dxa"/>
            <w:tcBorders>
              <w:top w:val="nil"/>
              <w:left w:val="nil"/>
              <w:bottom w:val="single" w:sz="8" w:space="0" w:color="auto"/>
              <w:right w:val="single" w:sz="8" w:space="0" w:color="auto"/>
            </w:tcBorders>
          </w:tcPr>
          <w:p w14:paraId="601EE93D" w14:textId="6D05F620" w:rsidR="001F3DF2" w:rsidRPr="00692395" w:rsidRDefault="00F31E14" w:rsidP="00F31E14">
            <w:pPr>
              <w:spacing w:after="0" w:line="260" w:lineRule="atLeast"/>
              <w:ind w:right="-28"/>
              <w:jc w:val="both"/>
              <w:rPr>
                <w:rFonts w:ascii="Times New Roman" w:eastAsiaTheme="minorEastAsia" w:hAnsi="Times New Roman" w:cs="Times New Roman"/>
                <w:noProof/>
                <w:color w:val="000000"/>
                <w:sz w:val="20"/>
                <w:szCs w:val="20"/>
                <w:lang w:val="en-IE" w:eastAsia="en-GB"/>
              </w:rPr>
            </w:pPr>
            <w:r w:rsidRPr="00692395">
              <w:rPr>
                <w:rFonts w:ascii="Times New Roman" w:eastAsiaTheme="minorEastAsia" w:hAnsi="Times New Roman" w:cs="Times New Roman"/>
                <w:noProof/>
                <w:color w:val="000000"/>
                <w:sz w:val="20"/>
                <w:szCs w:val="20"/>
                <w:lang w:val="en-IE" w:eastAsia="en-GB"/>
              </w:rPr>
              <w:t xml:space="preserve"> </w:t>
            </w:r>
            <w:r w:rsidR="009F53E0" w:rsidRPr="00692395">
              <w:rPr>
                <w:rFonts w:ascii="Times New Roman" w:eastAsiaTheme="minorEastAsia" w:hAnsi="Times New Roman" w:cs="Times New Roman"/>
                <w:noProof/>
                <w:color w:val="000000"/>
                <w:sz w:val="20"/>
                <w:szCs w:val="20"/>
                <w:lang w:val="en-IE" w:eastAsia="en-GB"/>
              </w:rPr>
              <w:t>EUR </w:t>
            </w:r>
            <w:r w:rsidR="001F3DF2" w:rsidRPr="00692395">
              <w:rPr>
                <w:rFonts w:ascii="Times New Roman" w:eastAsiaTheme="minorEastAsia" w:hAnsi="Times New Roman" w:cs="Times New Roman"/>
                <w:noProof/>
                <w:color w:val="000000"/>
                <w:sz w:val="20"/>
                <w:szCs w:val="20"/>
                <w:lang w:val="en-IE" w:eastAsia="en-GB"/>
              </w:rPr>
              <w:t>0</w:t>
            </w:r>
            <w:r w:rsidR="00954F97" w:rsidRPr="00692395">
              <w:rPr>
                <w:rStyle w:val="FootnoteReference"/>
                <w:rFonts w:ascii="Times New Roman" w:eastAsiaTheme="minorEastAsia" w:hAnsi="Times New Roman" w:cs="Times New Roman"/>
                <w:noProof/>
                <w:color w:val="000000"/>
                <w:sz w:val="20"/>
                <w:szCs w:val="20"/>
                <w:lang w:val="en-IE" w:eastAsia="en-GB"/>
              </w:rPr>
              <w:footnoteReference w:id="42"/>
            </w:r>
          </w:p>
        </w:tc>
      </w:tr>
    </w:tbl>
    <w:p w14:paraId="278CBD4B" w14:textId="7D6C0860" w:rsidR="001F3DF2" w:rsidRPr="009A33E1" w:rsidRDefault="001F3DF2" w:rsidP="001F3DF2">
      <w:pPr>
        <w:rPr>
          <w:rFonts w:ascii="Times New Roman" w:hAnsi="Times New Roman" w:cs="Times New Roman"/>
          <w:noProof/>
          <w:lang w:val="en-IE"/>
        </w:rPr>
      </w:pPr>
    </w:p>
    <w:p w14:paraId="7C72329D" w14:textId="2FA821F7" w:rsidR="001F3DF2" w:rsidRPr="000166FC" w:rsidRDefault="001F3DF2" w:rsidP="003C289C">
      <w:pPr>
        <w:rPr>
          <w:rFonts w:ascii="Times New Roman" w:hAnsi="Times New Roman" w:cs="Times New Roman"/>
          <w:b/>
          <w:noProof/>
          <w:color w:val="2E74B5" w:themeColor="accent1" w:themeShade="BF"/>
          <w:lang w:val="en-IE"/>
        </w:rPr>
      </w:pPr>
      <w:r w:rsidRPr="000166FC">
        <w:rPr>
          <w:rFonts w:ascii="Times New Roman" w:hAnsi="Times New Roman" w:cs="Times New Roman"/>
          <w:b/>
          <w:noProof/>
          <w:color w:val="2E74B5" w:themeColor="accent1" w:themeShade="BF"/>
          <w:lang w:val="en-IE"/>
        </w:rPr>
        <w:t xml:space="preserve">2: </w:t>
      </w:r>
      <w:r w:rsidR="000B31FA" w:rsidRPr="000166FC">
        <w:rPr>
          <w:rFonts w:ascii="Times New Roman" w:hAnsi="Times New Roman" w:cs="Times New Roman"/>
          <w:b/>
          <w:noProof/>
          <w:color w:val="2E74B5" w:themeColor="accent1" w:themeShade="BF"/>
          <w:lang w:val="en-IE"/>
        </w:rPr>
        <w:t xml:space="preserve">Joint actions </w:t>
      </w:r>
      <w:r w:rsidR="003C289C" w:rsidRPr="000166FC">
        <w:rPr>
          <w:rFonts w:ascii="Times New Roman" w:hAnsi="Times New Roman" w:cs="Times New Roman"/>
          <w:b/>
          <w:noProof/>
          <w:color w:val="2E74B5" w:themeColor="accent1" w:themeShade="BF"/>
          <w:lang w:val="en-IE"/>
        </w:rPr>
        <w:t xml:space="preserve"> </w:t>
      </w:r>
    </w:p>
    <w:p w14:paraId="440C99DC" w14:textId="226ECAC8" w:rsidR="001F3DF2" w:rsidRPr="003C289C" w:rsidRDefault="001F3DF2" w:rsidP="001F3DF2">
      <w:pPr>
        <w:rPr>
          <w:rFonts w:ascii="Times New Roman" w:hAnsi="Times New Roman" w:cs="Times New Roman"/>
          <w:b/>
          <w:bCs/>
          <w:noProof/>
          <w:lang w:val="en-IE"/>
        </w:rPr>
      </w:pPr>
      <w:r w:rsidRPr="003C289C">
        <w:rPr>
          <w:rFonts w:ascii="Times New Roman" w:hAnsi="Times New Roman" w:cs="Times New Roman"/>
          <w:b/>
          <w:bCs/>
          <w:noProof/>
          <w:lang w:val="en-IE"/>
        </w:rPr>
        <w:t>Figure 1: Overview of participants per country in 2021 (all joint actions</w:t>
      </w:r>
      <w:r w:rsidR="00152D6E" w:rsidRPr="003C289C">
        <w:rPr>
          <w:rFonts w:ascii="Times New Roman" w:hAnsi="Times New Roman" w:cs="Times New Roman"/>
          <w:b/>
          <w:bCs/>
          <w:noProof/>
          <w:lang w:val="en-IE"/>
        </w:rPr>
        <w:t xml:space="preserve"> other than expert teams</w:t>
      </w:r>
      <w:r w:rsidR="000B31FA" w:rsidRPr="003C289C">
        <w:rPr>
          <w:rFonts w:ascii="Times New Roman" w:hAnsi="Times New Roman" w:cs="Times New Roman"/>
          <w:b/>
          <w:bCs/>
          <w:noProof/>
          <w:lang w:val="en-IE"/>
        </w:rPr>
        <w:t>,</w:t>
      </w:r>
      <w:r w:rsidRPr="003C289C">
        <w:rPr>
          <w:rFonts w:ascii="Times New Roman" w:hAnsi="Times New Roman" w:cs="Times New Roman"/>
          <w:b/>
          <w:bCs/>
          <w:noProof/>
          <w:lang w:val="en-IE"/>
        </w:rPr>
        <w:t xml:space="preserve"> all objectives)</w:t>
      </w:r>
    </w:p>
    <w:p w14:paraId="32776B42" w14:textId="097DE708" w:rsidR="001F3DF2" w:rsidRPr="003C289C" w:rsidRDefault="29F51BA1" w:rsidP="001F3DF2">
      <w:pPr>
        <w:rPr>
          <w:rFonts w:ascii="Times New Roman" w:hAnsi="Times New Roman" w:cs="Times New Roman"/>
          <w:noProof/>
          <w:lang w:val="en-IE"/>
        </w:rPr>
      </w:pPr>
      <w:r w:rsidRPr="003C289C">
        <w:rPr>
          <w:rFonts w:ascii="Times New Roman" w:hAnsi="Times New Roman" w:cs="Times New Roman"/>
          <w:b/>
          <w:bCs/>
          <w:noProof/>
          <w:lang w:val="en-IE"/>
        </w:rPr>
        <w:t xml:space="preserve"> </w:t>
      </w:r>
      <w:r w:rsidRPr="003C289C">
        <w:rPr>
          <w:rFonts w:ascii="Times New Roman" w:hAnsi="Times New Roman" w:cs="Times New Roman"/>
          <w:noProof/>
          <w:lang w:val="en-IE"/>
        </w:rPr>
        <w:t xml:space="preserve">Total number of </w:t>
      </w:r>
      <w:r w:rsidR="386033D0" w:rsidRPr="003C289C">
        <w:rPr>
          <w:rFonts w:ascii="Times New Roman" w:hAnsi="Times New Roman" w:cs="Times New Roman"/>
          <w:noProof/>
          <w:lang w:val="en-IE"/>
        </w:rPr>
        <w:t xml:space="preserve">registered </w:t>
      </w:r>
      <w:r w:rsidRPr="003C289C">
        <w:rPr>
          <w:rFonts w:ascii="Times New Roman" w:hAnsi="Times New Roman" w:cs="Times New Roman"/>
          <w:noProof/>
          <w:lang w:val="en-IE"/>
        </w:rPr>
        <w:t>participants</w:t>
      </w:r>
      <w:r w:rsidR="00C475EA" w:rsidRPr="003C289C">
        <w:rPr>
          <w:rFonts w:ascii="Times New Roman" w:hAnsi="Times New Roman" w:cs="Times New Roman"/>
          <w:noProof/>
          <w:lang w:val="en-IE"/>
        </w:rPr>
        <w:t xml:space="preserve"> in</w:t>
      </w:r>
      <w:r w:rsidRPr="003C289C">
        <w:rPr>
          <w:rFonts w:ascii="Times New Roman" w:hAnsi="Times New Roman" w:cs="Times New Roman"/>
          <w:noProof/>
          <w:lang w:val="en-IE"/>
        </w:rPr>
        <w:t xml:space="preserve">: </w:t>
      </w:r>
      <w:r w:rsidR="1102169C" w:rsidRPr="003C289C">
        <w:rPr>
          <w:rFonts w:ascii="Times New Roman" w:hAnsi="Times New Roman" w:cs="Times New Roman"/>
          <w:noProof/>
          <w:lang w:val="en-IE"/>
        </w:rPr>
        <w:t xml:space="preserve"> 5928</w:t>
      </w:r>
    </w:p>
    <w:p w14:paraId="2A5A90C1" w14:textId="06D8DC6E" w:rsidR="001F3DF2" w:rsidRPr="009A33E1" w:rsidRDefault="7E17CD18" w:rsidP="586E19CB">
      <w:pPr>
        <w:rPr>
          <w:noProof/>
          <w:lang w:val="en-IE"/>
        </w:rPr>
      </w:pPr>
      <w:r>
        <w:rPr>
          <w:noProof/>
          <w:lang w:val="en-GB" w:eastAsia="en-GB"/>
        </w:rPr>
        <w:drawing>
          <wp:inline distT="0" distB="0" distL="0" distR="0" wp14:anchorId="02F71A74" wp14:editId="43F20E89">
            <wp:extent cx="6030552" cy="1609725"/>
            <wp:effectExtent l="0" t="0" r="8890" b="0"/>
            <wp:docPr id="582487382" name="Picture 58248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39209" cy="1612036"/>
                    </a:xfrm>
                    <a:prstGeom prst="rect">
                      <a:avLst/>
                    </a:prstGeom>
                  </pic:spPr>
                </pic:pic>
              </a:graphicData>
            </a:graphic>
          </wp:inline>
        </w:drawing>
      </w:r>
    </w:p>
    <w:p w14:paraId="25599104" w14:textId="77777777" w:rsidR="0012426A" w:rsidRPr="009A33E1" w:rsidRDefault="0012426A" w:rsidP="001F3DF2">
      <w:pPr>
        <w:rPr>
          <w:rFonts w:ascii="Times New Roman" w:hAnsi="Times New Roman" w:cs="Times New Roman"/>
          <w:b/>
          <w:bCs/>
          <w:noProof/>
          <w:sz w:val="20"/>
          <w:szCs w:val="20"/>
          <w:lang w:val="en-IE"/>
        </w:rPr>
      </w:pPr>
    </w:p>
    <w:p w14:paraId="6F70046B" w14:textId="3A77BBCF" w:rsidR="001F3DF2" w:rsidRPr="003C289C" w:rsidRDefault="29F51BA1" w:rsidP="001F3DF2">
      <w:pPr>
        <w:rPr>
          <w:rFonts w:ascii="Times New Roman" w:hAnsi="Times New Roman" w:cs="Times New Roman"/>
          <w:b/>
          <w:bCs/>
          <w:noProof/>
          <w:lang w:val="en-IE"/>
        </w:rPr>
      </w:pPr>
      <w:r w:rsidRPr="003C289C">
        <w:rPr>
          <w:rFonts w:ascii="Times New Roman" w:hAnsi="Times New Roman" w:cs="Times New Roman"/>
          <w:b/>
          <w:bCs/>
          <w:noProof/>
          <w:lang w:val="en-IE"/>
        </w:rPr>
        <w:t xml:space="preserve">Figure 2: Overview of activity types and number of participants per activity type </w:t>
      </w:r>
      <w:r w:rsidR="00152D6E" w:rsidRPr="003C289C">
        <w:rPr>
          <w:rFonts w:ascii="Times New Roman" w:hAnsi="Times New Roman" w:cs="Times New Roman"/>
          <w:b/>
          <w:bCs/>
          <w:noProof/>
          <w:lang w:val="en-IE"/>
        </w:rPr>
        <w:t>(joint actions other than expert teams)</w:t>
      </w:r>
    </w:p>
    <w:p w14:paraId="50262B06" w14:textId="6AF8E3AD" w:rsidR="555C66B1" w:rsidRDefault="555C66B1" w:rsidP="586E19CB">
      <w:pPr>
        <w:rPr>
          <w:noProof/>
        </w:rPr>
      </w:pPr>
      <w:r>
        <w:rPr>
          <w:noProof/>
          <w:lang w:val="en-GB" w:eastAsia="en-GB"/>
        </w:rPr>
        <w:drawing>
          <wp:inline distT="0" distB="0" distL="0" distR="0" wp14:anchorId="5B81CB23" wp14:editId="06A59B1D">
            <wp:extent cx="4572000" cy="2295525"/>
            <wp:effectExtent l="0" t="0" r="0" b="0"/>
            <wp:docPr id="1843374736" name="Picture 184337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295525"/>
                    </a:xfrm>
                    <a:prstGeom prst="rect">
                      <a:avLst/>
                    </a:prstGeom>
                  </pic:spPr>
                </pic:pic>
              </a:graphicData>
            </a:graphic>
          </wp:inline>
        </w:drawing>
      </w:r>
    </w:p>
    <w:p w14:paraId="28FE7DDD" w14:textId="666F3204" w:rsidR="00152D6E" w:rsidRDefault="004D1AA9" w:rsidP="00152D6E">
      <w:pPr>
        <w:spacing w:after="0"/>
        <w:rPr>
          <w:rFonts w:ascii="Times New Roman" w:hAnsi="Times New Roman" w:cs="Times New Roman"/>
          <w:noProof/>
          <w:sz w:val="20"/>
          <w:szCs w:val="20"/>
          <w:lang w:val="en-IE"/>
        </w:rPr>
      </w:pPr>
      <w:r>
        <w:rPr>
          <w:rFonts w:ascii="Times New Roman" w:hAnsi="Times New Roman" w:cs="Times New Roman"/>
          <w:b/>
          <w:bCs/>
          <w:noProof/>
          <w:sz w:val="20"/>
          <w:szCs w:val="20"/>
          <w:lang w:val="en-IE"/>
        </w:rPr>
        <w:t>Figure 3</w:t>
      </w:r>
      <w:r w:rsidRPr="009A33E1">
        <w:rPr>
          <w:rFonts w:ascii="Times New Roman" w:hAnsi="Times New Roman" w:cs="Times New Roman"/>
          <w:b/>
          <w:bCs/>
          <w:noProof/>
          <w:sz w:val="20"/>
          <w:szCs w:val="20"/>
          <w:lang w:val="en-IE"/>
        </w:rPr>
        <w:t xml:space="preserve">: </w:t>
      </w:r>
      <w:r>
        <w:rPr>
          <w:rFonts w:ascii="Times New Roman" w:hAnsi="Times New Roman" w:cs="Times New Roman"/>
          <w:b/>
          <w:bCs/>
          <w:noProof/>
          <w:sz w:val="20"/>
          <w:szCs w:val="20"/>
          <w:lang w:val="en-IE"/>
        </w:rPr>
        <w:t xml:space="preserve">Number of joint actions </w:t>
      </w:r>
      <w:r w:rsidR="00152D6E">
        <w:rPr>
          <w:rFonts w:ascii="Times New Roman" w:hAnsi="Times New Roman" w:cs="Times New Roman"/>
          <w:b/>
          <w:bCs/>
          <w:noProof/>
          <w:sz w:val="20"/>
          <w:szCs w:val="20"/>
          <w:lang w:val="en-IE"/>
        </w:rPr>
        <w:t>active in</w:t>
      </w:r>
      <w:r w:rsidR="00B2052E">
        <w:rPr>
          <w:rFonts w:ascii="Times New Roman" w:hAnsi="Times New Roman" w:cs="Times New Roman"/>
          <w:b/>
          <w:bCs/>
          <w:noProof/>
          <w:sz w:val="20"/>
          <w:szCs w:val="20"/>
          <w:lang w:val="en-IE"/>
        </w:rPr>
        <w:t xml:space="preserve"> 2021</w:t>
      </w:r>
      <w:r w:rsidR="00152D6E">
        <w:rPr>
          <w:rFonts w:ascii="Times New Roman" w:hAnsi="Times New Roman" w:cs="Times New Roman"/>
          <w:b/>
          <w:bCs/>
          <w:noProof/>
          <w:sz w:val="20"/>
          <w:szCs w:val="20"/>
          <w:lang w:val="en-IE"/>
        </w:rPr>
        <w:t xml:space="preserve"> </w:t>
      </w:r>
      <w:r>
        <w:rPr>
          <w:rFonts w:ascii="Times New Roman" w:hAnsi="Times New Roman" w:cs="Times New Roman"/>
          <w:b/>
          <w:bCs/>
          <w:noProof/>
          <w:sz w:val="20"/>
          <w:szCs w:val="20"/>
          <w:lang w:val="en-IE"/>
        </w:rPr>
        <w:t>(excluding expert teams)</w:t>
      </w:r>
      <w:r w:rsidR="00152D6E" w:rsidRPr="00152D6E">
        <w:rPr>
          <w:rFonts w:ascii="Times New Roman" w:hAnsi="Times New Roman" w:cs="Times New Roman"/>
          <w:noProof/>
          <w:sz w:val="20"/>
          <w:szCs w:val="20"/>
          <w:lang w:val="en-IE"/>
        </w:rPr>
        <w:t xml:space="preserve"> </w:t>
      </w:r>
    </w:p>
    <w:p w14:paraId="78928AF4" w14:textId="77777777" w:rsidR="00152D6E" w:rsidRDefault="00152D6E" w:rsidP="00152D6E">
      <w:pPr>
        <w:spacing w:after="0"/>
        <w:rPr>
          <w:rFonts w:ascii="Times New Roman" w:hAnsi="Times New Roman" w:cs="Times New Roman"/>
          <w:noProof/>
          <w:sz w:val="20"/>
          <w:szCs w:val="20"/>
          <w:lang w:val="en-IE"/>
        </w:rPr>
      </w:pPr>
    </w:p>
    <w:p w14:paraId="462F47F3" w14:textId="4ADDDDD7" w:rsidR="00152D6E" w:rsidRPr="003C289C" w:rsidRDefault="00152D6E" w:rsidP="00152D6E">
      <w:pPr>
        <w:spacing w:after="0"/>
        <w:rPr>
          <w:rFonts w:ascii="Times New Roman" w:hAnsi="Times New Roman" w:cs="Times New Roman"/>
          <w:noProof/>
          <w:lang w:val="en-IE"/>
        </w:rPr>
      </w:pPr>
      <w:r w:rsidRPr="003C289C">
        <w:rPr>
          <w:rFonts w:ascii="Times New Roman" w:hAnsi="Times New Roman" w:cs="Times New Roman"/>
          <w:noProof/>
          <w:lang w:val="en-IE"/>
        </w:rPr>
        <w:t xml:space="preserve"> Total number of joint actions (activities): 58</w:t>
      </w:r>
    </w:p>
    <w:p w14:paraId="46864596" w14:textId="5C4823AB" w:rsidR="004D1AA9" w:rsidRPr="009A33E1" w:rsidRDefault="004D1AA9" w:rsidP="004D1AA9">
      <w:pPr>
        <w:rPr>
          <w:rFonts w:ascii="Times New Roman" w:hAnsi="Times New Roman" w:cs="Times New Roman"/>
          <w:b/>
          <w:bCs/>
          <w:noProof/>
          <w:sz w:val="20"/>
          <w:szCs w:val="20"/>
          <w:lang w:val="en-IE"/>
        </w:rPr>
      </w:pPr>
    </w:p>
    <w:p w14:paraId="17021919" w14:textId="77777777" w:rsidR="00516716" w:rsidRDefault="00516716" w:rsidP="001F3DF2">
      <w:pPr>
        <w:spacing w:after="0"/>
        <w:rPr>
          <w:rFonts w:ascii="Times New Roman" w:hAnsi="Times New Roman" w:cs="Times New Roman"/>
          <w:noProof/>
          <w:sz w:val="20"/>
          <w:szCs w:val="20"/>
          <w:lang w:val="en-IE"/>
        </w:rPr>
      </w:pPr>
    </w:p>
    <w:p w14:paraId="0D2CD6D3" w14:textId="0B81A73B" w:rsidR="001F3DF2" w:rsidRPr="009A33E1" w:rsidRDefault="0012426A" w:rsidP="001F3DF2">
      <w:pPr>
        <w:rPr>
          <w:rFonts w:ascii="Times New Roman" w:hAnsi="Times New Roman" w:cs="Times New Roman"/>
          <w:b/>
          <w:bCs/>
          <w:noProof/>
          <w:sz w:val="20"/>
          <w:szCs w:val="20"/>
          <w:lang w:val="en-IE"/>
        </w:rPr>
      </w:pPr>
      <w:r w:rsidRPr="009A33E1">
        <w:rPr>
          <w:rFonts w:ascii="Times New Roman" w:hAnsi="Times New Roman" w:cs="Times New Roman"/>
          <w:noProof/>
          <w:lang w:val="en-GB" w:eastAsia="en-GB"/>
        </w:rPr>
        <w:drawing>
          <wp:anchor distT="0" distB="0" distL="114300" distR="114300" simplePos="0" relativeHeight="251662336" behindDoc="0" locked="0" layoutInCell="1" allowOverlap="1" wp14:anchorId="16A0D53F" wp14:editId="38D461AC">
            <wp:simplePos x="0" y="0"/>
            <wp:positionH relativeFrom="column">
              <wp:posOffset>159864</wp:posOffset>
            </wp:positionH>
            <wp:positionV relativeFrom="paragraph">
              <wp:posOffset>-221723</wp:posOffset>
            </wp:positionV>
            <wp:extent cx="3060065" cy="1286510"/>
            <wp:effectExtent l="0" t="0" r="6985" b="8890"/>
            <wp:wrapThrough wrapText="bothSides">
              <wp:wrapPolygon edited="0">
                <wp:start x="0" y="0"/>
                <wp:lineTo x="0" y="21429"/>
                <wp:lineTo x="21515" y="21429"/>
                <wp:lineTo x="21515"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C8D0CCA" w14:textId="3BBA894D" w:rsidR="001F3DF2" w:rsidRPr="009A33E1" w:rsidRDefault="001F3DF2" w:rsidP="001F3DF2">
      <w:pPr>
        <w:rPr>
          <w:rFonts w:ascii="Times New Roman" w:hAnsi="Times New Roman" w:cs="Times New Roman"/>
          <w:noProof/>
          <w:sz w:val="20"/>
          <w:szCs w:val="20"/>
          <w:lang w:val="en-IE"/>
        </w:rPr>
      </w:pPr>
    </w:p>
    <w:p w14:paraId="30426B07" w14:textId="77777777" w:rsidR="00516716" w:rsidRDefault="00516716" w:rsidP="00516716">
      <w:pPr>
        <w:spacing w:after="0"/>
        <w:rPr>
          <w:rFonts w:ascii="Times New Roman" w:hAnsi="Times New Roman" w:cs="Times New Roman"/>
          <w:noProof/>
          <w:sz w:val="20"/>
          <w:szCs w:val="20"/>
          <w:lang w:val="en-IE"/>
        </w:rPr>
      </w:pPr>
    </w:p>
    <w:p w14:paraId="2FAF9364" w14:textId="251DD8A5" w:rsidR="00516716" w:rsidRDefault="00516716" w:rsidP="00516716">
      <w:pPr>
        <w:spacing w:after="0"/>
        <w:rPr>
          <w:rFonts w:ascii="Times New Roman" w:hAnsi="Times New Roman" w:cs="Times New Roman"/>
          <w:noProof/>
          <w:sz w:val="20"/>
          <w:szCs w:val="20"/>
          <w:lang w:val="en-IE"/>
        </w:rPr>
      </w:pPr>
    </w:p>
    <w:p w14:paraId="66EB44BD" w14:textId="642ED403" w:rsidR="00516716" w:rsidRDefault="00516716" w:rsidP="00516716">
      <w:pPr>
        <w:spacing w:after="0"/>
        <w:rPr>
          <w:rFonts w:ascii="Times New Roman" w:hAnsi="Times New Roman" w:cs="Times New Roman"/>
          <w:noProof/>
          <w:sz w:val="20"/>
          <w:szCs w:val="20"/>
          <w:lang w:val="en-IE"/>
        </w:rPr>
      </w:pPr>
    </w:p>
    <w:p w14:paraId="1A306139" w14:textId="77777777" w:rsidR="001F3DF2" w:rsidRPr="009A33E1" w:rsidRDefault="001F3DF2" w:rsidP="001F3DF2">
      <w:pPr>
        <w:rPr>
          <w:rFonts w:ascii="Times New Roman" w:hAnsi="Times New Roman" w:cs="Times New Roman"/>
          <w:noProof/>
          <w:sz w:val="20"/>
          <w:szCs w:val="20"/>
          <w:lang w:val="en-IE"/>
        </w:rPr>
      </w:pPr>
    </w:p>
    <w:p w14:paraId="5C8BDFA5" w14:textId="79074A61" w:rsidR="0012426A" w:rsidRPr="003C289C" w:rsidRDefault="00516716" w:rsidP="001F3DF2">
      <w:pPr>
        <w:rPr>
          <w:rFonts w:ascii="Times New Roman" w:hAnsi="Times New Roman" w:cs="Times New Roman"/>
          <w:b/>
          <w:bCs/>
          <w:noProof/>
          <w:lang w:val="en-IE"/>
        </w:rPr>
      </w:pPr>
      <w:r w:rsidRPr="003C289C">
        <w:rPr>
          <w:rFonts w:ascii="Times New Roman" w:hAnsi="Times New Roman" w:cs="Times New Roman"/>
          <w:b/>
          <w:bCs/>
          <w:noProof/>
          <w:lang w:val="en-IE"/>
        </w:rPr>
        <w:t>Figure 4: Number of new</w:t>
      </w:r>
      <w:r w:rsidR="008F251B" w:rsidRPr="003C289C">
        <w:rPr>
          <w:rFonts w:ascii="Times New Roman" w:hAnsi="Times New Roman" w:cs="Times New Roman"/>
          <w:b/>
          <w:bCs/>
          <w:noProof/>
          <w:lang w:val="en-IE"/>
        </w:rPr>
        <w:t xml:space="preserve"> joint action</w:t>
      </w:r>
      <w:r w:rsidRPr="003C289C">
        <w:rPr>
          <w:rFonts w:ascii="Times New Roman" w:hAnsi="Times New Roman" w:cs="Times New Roman"/>
          <w:b/>
          <w:bCs/>
          <w:noProof/>
          <w:lang w:val="en-IE"/>
        </w:rPr>
        <w:t xml:space="preserve"> proposals submitted during 2021 </w:t>
      </w:r>
      <w:r w:rsidR="008F251B" w:rsidRPr="003C289C">
        <w:rPr>
          <w:rFonts w:ascii="Times New Roman" w:hAnsi="Times New Roman" w:cs="Times New Roman"/>
          <w:b/>
          <w:bCs/>
          <w:noProof/>
          <w:lang w:val="en-IE"/>
        </w:rPr>
        <w:t>(excluding expert teams)</w:t>
      </w:r>
    </w:p>
    <w:p w14:paraId="1778B3A6" w14:textId="468B7E66" w:rsidR="00516716" w:rsidRPr="003C289C" w:rsidRDefault="00516716" w:rsidP="00516716">
      <w:pPr>
        <w:rPr>
          <w:rFonts w:ascii="Times New Roman" w:hAnsi="Times New Roman" w:cs="Times New Roman"/>
          <w:noProof/>
          <w:lang w:val="en-IE"/>
        </w:rPr>
      </w:pPr>
      <w:r w:rsidRPr="003C289C">
        <w:rPr>
          <w:rFonts w:ascii="Times New Roman" w:hAnsi="Times New Roman" w:cs="Times New Roman"/>
          <w:noProof/>
          <w:lang w:val="en-IE"/>
        </w:rPr>
        <w:t>Total number of proposals: 2</w:t>
      </w:r>
    </w:p>
    <w:p w14:paraId="7688DB2E" w14:textId="7E321AB9" w:rsidR="0012426A" w:rsidRPr="009A33E1" w:rsidRDefault="00516716" w:rsidP="001F3DF2">
      <w:pPr>
        <w:rPr>
          <w:rFonts w:ascii="Times New Roman" w:eastAsiaTheme="majorEastAsia" w:hAnsi="Times New Roman" w:cs="Times New Roman"/>
          <w:b/>
          <w:bCs/>
          <w:noProof/>
          <w:color w:val="2E74B5" w:themeColor="accent1" w:themeShade="BF"/>
          <w:sz w:val="24"/>
          <w:szCs w:val="24"/>
          <w:lang w:val="en-IE"/>
        </w:rPr>
      </w:pPr>
      <w:r w:rsidRPr="009A33E1">
        <w:rPr>
          <w:rFonts w:ascii="Times New Roman" w:hAnsi="Times New Roman" w:cs="Times New Roman"/>
          <w:noProof/>
          <w:lang w:val="en-GB" w:eastAsia="en-GB"/>
        </w:rPr>
        <w:drawing>
          <wp:anchor distT="0" distB="0" distL="114300" distR="114300" simplePos="0" relativeHeight="251656192" behindDoc="0" locked="0" layoutInCell="1" allowOverlap="1" wp14:anchorId="2928096C" wp14:editId="03F2C4D8">
            <wp:simplePos x="0" y="0"/>
            <wp:positionH relativeFrom="column">
              <wp:posOffset>175214</wp:posOffset>
            </wp:positionH>
            <wp:positionV relativeFrom="paragraph">
              <wp:posOffset>154695</wp:posOffset>
            </wp:positionV>
            <wp:extent cx="3657600" cy="1017905"/>
            <wp:effectExtent l="0" t="0" r="0" b="1079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67D95E1" w14:textId="4E30175A" w:rsidR="0012426A" w:rsidRPr="009A33E1" w:rsidRDefault="0012426A" w:rsidP="001F3DF2">
      <w:pPr>
        <w:rPr>
          <w:rFonts w:ascii="Times New Roman" w:eastAsiaTheme="majorEastAsia" w:hAnsi="Times New Roman" w:cs="Times New Roman"/>
          <w:b/>
          <w:bCs/>
          <w:noProof/>
          <w:color w:val="2E74B5" w:themeColor="accent1" w:themeShade="BF"/>
          <w:sz w:val="24"/>
          <w:szCs w:val="24"/>
          <w:lang w:val="en-IE"/>
        </w:rPr>
      </w:pPr>
    </w:p>
    <w:p w14:paraId="0D30E8CC" w14:textId="789E6703" w:rsidR="00C36BE1" w:rsidRDefault="00C36BE1">
      <w:pPr>
        <w:rPr>
          <w:rFonts w:ascii="Times New Roman" w:eastAsiaTheme="majorEastAsia" w:hAnsi="Times New Roman" w:cs="Times New Roman"/>
          <w:b/>
          <w:bCs/>
          <w:noProof/>
          <w:color w:val="2E74B5" w:themeColor="accent1" w:themeShade="BF"/>
          <w:sz w:val="24"/>
          <w:szCs w:val="24"/>
          <w:lang w:val="en-IE"/>
        </w:rPr>
      </w:pPr>
      <w:r>
        <w:rPr>
          <w:rFonts w:ascii="Times New Roman" w:eastAsiaTheme="majorEastAsia" w:hAnsi="Times New Roman" w:cs="Times New Roman"/>
          <w:b/>
          <w:bCs/>
          <w:noProof/>
          <w:color w:val="2E74B5" w:themeColor="accent1" w:themeShade="BF"/>
          <w:sz w:val="24"/>
          <w:szCs w:val="24"/>
          <w:lang w:val="en-IE"/>
        </w:rPr>
        <w:br w:type="page"/>
      </w:r>
    </w:p>
    <w:p w14:paraId="5B96D8C8" w14:textId="77777777" w:rsidR="00516716" w:rsidRDefault="00516716" w:rsidP="001F3DF2">
      <w:pPr>
        <w:rPr>
          <w:rFonts w:ascii="Times New Roman" w:eastAsiaTheme="majorEastAsia" w:hAnsi="Times New Roman" w:cs="Times New Roman"/>
          <w:b/>
          <w:bCs/>
          <w:noProof/>
          <w:color w:val="2E74B5" w:themeColor="accent1" w:themeShade="BF"/>
          <w:sz w:val="24"/>
          <w:szCs w:val="24"/>
          <w:lang w:val="en-IE"/>
        </w:rPr>
        <w:sectPr w:rsidR="00516716" w:rsidSect="0088298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567" w:left="1440" w:header="708" w:footer="708" w:gutter="0"/>
          <w:cols w:space="720"/>
          <w:docGrid w:linePitch="360"/>
        </w:sectPr>
      </w:pPr>
    </w:p>
    <w:p w14:paraId="4D0E9841" w14:textId="0EAB4586" w:rsidR="001F3DF2" w:rsidRPr="000166FC" w:rsidRDefault="001F3DF2" w:rsidP="001F3DF2">
      <w:pPr>
        <w:rPr>
          <w:rFonts w:ascii="Times New Roman" w:hAnsi="Times New Roman" w:cs="Times New Roman"/>
          <w:b/>
          <w:bCs/>
          <w:noProof/>
          <w:color w:val="2E74B5" w:themeColor="accent1" w:themeShade="BF"/>
          <w:lang w:val="en-IE"/>
        </w:rPr>
      </w:pPr>
      <w:r w:rsidRPr="000166FC">
        <w:rPr>
          <w:rFonts w:ascii="Times New Roman" w:hAnsi="Times New Roman" w:cs="Times New Roman"/>
          <w:b/>
          <w:bCs/>
          <w:noProof/>
          <w:color w:val="2E74B5" w:themeColor="accent1" w:themeShade="BF"/>
          <w:lang w:val="en-IE"/>
        </w:rPr>
        <w:t>3: Expert teams</w:t>
      </w:r>
    </w:p>
    <w:p w14:paraId="43F3D991" w14:textId="351CD58F" w:rsidR="001F3DF2" w:rsidRPr="003C289C" w:rsidRDefault="001F3DF2" w:rsidP="001F3DF2">
      <w:pPr>
        <w:rPr>
          <w:rFonts w:ascii="Times New Roman" w:hAnsi="Times New Roman" w:cs="Times New Roman"/>
          <w:b/>
          <w:bCs/>
          <w:noProof/>
          <w:lang w:val="en-IE"/>
        </w:rPr>
      </w:pPr>
      <w:r w:rsidRPr="003C289C">
        <w:rPr>
          <w:rFonts w:ascii="Times New Roman" w:hAnsi="Times New Roman" w:cs="Times New Roman"/>
          <w:b/>
          <w:bCs/>
          <w:noProof/>
          <w:lang w:val="en-IE"/>
        </w:rPr>
        <w:t>Table 2</w:t>
      </w:r>
      <w:r w:rsidR="008F251B" w:rsidRPr="003C289C">
        <w:rPr>
          <w:rFonts w:ascii="Times New Roman" w:hAnsi="Times New Roman" w:cs="Times New Roman"/>
          <w:b/>
          <w:bCs/>
          <w:noProof/>
          <w:lang w:val="en-IE"/>
        </w:rPr>
        <w:t>: Expert t</w:t>
      </w:r>
      <w:r w:rsidR="00A1516F" w:rsidRPr="003C289C">
        <w:rPr>
          <w:rFonts w:ascii="Times New Roman" w:hAnsi="Times New Roman" w:cs="Times New Roman"/>
          <w:b/>
          <w:bCs/>
          <w:noProof/>
          <w:lang w:val="en-IE"/>
        </w:rPr>
        <w:t>eams</w:t>
      </w:r>
    </w:p>
    <w:tbl>
      <w:tblPr>
        <w:tblStyle w:val="TableGrid"/>
        <w:tblW w:w="14601" w:type="dxa"/>
        <w:tblInd w:w="108" w:type="dxa"/>
        <w:tblLook w:val="04A0" w:firstRow="1" w:lastRow="0" w:firstColumn="1" w:lastColumn="0" w:noHBand="0" w:noVBand="1"/>
      </w:tblPr>
      <w:tblGrid>
        <w:gridCol w:w="1272"/>
        <w:gridCol w:w="5601"/>
        <w:gridCol w:w="1065"/>
        <w:gridCol w:w="1904"/>
        <w:gridCol w:w="4759"/>
      </w:tblGrid>
      <w:tr w:rsidR="001F3DF2" w:rsidRPr="009A33E1" w14:paraId="0665DF6E" w14:textId="77777777" w:rsidTr="00E351B3">
        <w:tc>
          <w:tcPr>
            <w:tcW w:w="1272"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CEE755A" w14:textId="77777777" w:rsidR="001F3DF2" w:rsidRPr="009A33E1" w:rsidRDefault="001F3DF2" w:rsidP="00B4586B">
            <w:pPr>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Expert team</w:t>
            </w:r>
          </w:p>
        </w:tc>
        <w:tc>
          <w:tcPr>
            <w:tcW w:w="5601"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6318EA31" w14:textId="77777777" w:rsidR="001F3DF2" w:rsidRPr="009A33E1" w:rsidRDefault="001F3DF2" w:rsidP="00B4586B">
            <w:pPr>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Objective</w:t>
            </w:r>
          </w:p>
        </w:tc>
        <w:tc>
          <w:tcPr>
            <w:tcW w:w="1065"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4DDD343D" w14:textId="77777777" w:rsidR="001F3DF2" w:rsidRPr="009A33E1" w:rsidRDefault="001F3DF2" w:rsidP="00B4586B">
            <w:pPr>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Duration</w:t>
            </w:r>
          </w:p>
        </w:tc>
        <w:tc>
          <w:tcPr>
            <w:tcW w:w="1904"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3A29EB37" w14:textId="77777777" w:rsidR="001F3DF2" w:rsidRPr="009A33E1" w:rsidRDefault="001F3DF2" w:rsidP="00B4586B">
            <w:pPr>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Participating countries</w:t>
            </w:r>
          </w:p>
        </w:tc>
        <w:tc>
          <w:tcPr>
            <w:tcW w:w="4759"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5317BC3" w14:textId="77777777" w:rsidR="001F3DF2" w:rsidRPr="009A33E1" w:rsidRDefault="001F3DF2" w:rsidP="00B4586B">
            <w:pPr>
              <w:jc w:val="center"/>
              <w:rPr>
                <w:rFonts w:ascii="Times New Roman" w:hAnsi="Times New Roman" w:cs="Times New Roman"/>
                <w:b/>
                <w:bCs/>
                <w:noProof/>
                <w:sz w:val="20"/>
                <w:szCs w:val="20"/>
                <w:lang w:val="en-IE"/>
              </w:rPr>
            </w:pPr>
            <w:r w:rsidRPr="009A33E1">
              <w:rPr>
                <w:rFonts w:ascii="Times New Roman" w:hAnsi="Times New Roman" w:cs="Times New Roman"/>
                <w:b/>
                <w:bCs/>
                <w:noProof/>
                <w:sz w:val="20"/>
                <w:szCs w:val="20"/>
                <w:lang w:val="en-IE"/>
              </w:rPr>
              <w:t>Main outputs</w:t>
            </w:r>
          </w:p>
        </w:tc>
      </w:tr>
      <w:tr w:rsidR="001F3DF2" w:rsidRPr="009A33E1" w14:paraId="45C9C403" w14:textId="77777777" w:rsidTr="00E351B3">
        <w:tc>
          <w:tcPr>
            <w:tcW w:w="1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BB4B15" w14:textId="05862DC5" w:rsidR="001F3DF2" w:rsidRPr="009A33E1" w:rsidRDefault="001F3DF2" w:rsidP="004A3EAF">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Expert Team on pooling expertise to resolve complex cases of divergent tariff classification - BTI </w:t>
            </w:r>
            <w:r w:rsidR="004A3EAF">
              <w:rPr>
                <w:rFonts w:ascii="Times New Roman" w:hAnsi="Times New Roman" w:cs="Times New Roman"/>
                <w:noProof/>
                <w:sz w:val="20"/>
                <w:szCs w:val="20"/>
                <w:lang w:val="en-IE"/>
              </w:rPr>
              <w:t>2</w:t>
            </w:r>
          </w:p>
        </w:tc>
        <w:tc>
          <w:tcPr>
            <w:tcW w:w="56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3C547F" w14:textId="7486E6D9"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The business objectives of the </w:t>
            </w:r>
            <w:r w:rsidR="008F251B">
              <w:rPr>
                <w:rFonts w:ascii="Times New Roman" w:hAnsi="Times New Roman" w:cs="Times New Roman"/>
                <w:noProof/>
                <w:sz w:val="20"/>
                <w:szCs w:val="20"/>
                <w:lang w:val="en-IE"/>
              </w:rPr>
              <w:t>expert team</w:t>
            </w:r>
            <w:r w:rsidRPr="009A33E1">
              <w:rPr>
                <w:rFonts w:ascii="Times New Roman" w:hAnsi="Times New Roman" w:cs="Times New Roman"/>
                <w:noProof/>
                <w:sz w:val="20"/>
                <w:szCs w:val="20"/>
                <w:lang w:val="en-IE"/>
              </w:rPr>
              <w:t xml:space="preserve"> </w:t>
            </w:r>
            <w:r w:rsidR="008F251B">
              <w:rPr>
                <w:rFonts w:ascii="Times New Roman" w:hAnsi="Times New Roman" w:cs="Times New Roman"/>
                <w:noProof/>
                <w:sz w:val="20"/>
                <w:szCs w:val="20"/>
                <w:lang w:val="en-IE"/>
              </w:rPr>
              <w:t>are</w:t>
            </w:r>
            <w:r w:rsidRPr="009A33E1">
              <w:rPr>
                <w:rFonts w:ascii="Times New Roman" w:hAnsi="Times New Roman" w:cs="Times New Roman"/>
                <w:noProof/>
                <w:sz w:val="20"/>
                <w:szCs w:val="20"/>
                <w:lang w:val="en-IE"/>
              </w:rPr>
              <w:t xml:space="preserve"> to pave the way for pooling the best expertise available in the </w:t>
            </w:r>
            <w:r w:rsidR="008F251B" w:rsidRPr="009A33E1">
              <w:rPr>
                <w:rFonts w:ascii="Times New Roman" w:hAnsi="Times New Roman" w:cs="Times New Roman"/>
                <w:noProof/>
                <w:sz w:val="20"/>
                <w:szCs w:val="20"/>
                <w:lang w:val="en-IE"/>
              </w:rPr>
              <w:t>M</w:t>
            </w:r>
            <w:r w:rsidR="008F251B">
              <w:rPr>
                <w:rFonts w:ascii="Times New Roman" w:hAnsi="Times New Roman" w:cs="Times New Roman"/>
                <w:noProof/>
                <w:sz w:val="20"/>
                <w:szCs w:val="20"/>
                <w:lang w:val="en-IE"/>
              </w:rPr>
              <w:t xml:space="preserve">ember </w:t>
            </w:r>
            <w:r w:rsidRPr="009A33E1">
              <w:rPr>
                <w:rFonts w:ascii="Times New Roman" w:hAnsi="Times New Roman" w:cs="Times New Roman"/>
                <w:noProof/>
                <w:sz w:val="20"/>
                <w:szCs w:val="20"/>
                <w:lang w:val="en-IE"/>
              </w:rPr>
              <w:t>S</w:t>
            </w:r>
            <w:r w:rsidR="008F251B">
              <w:rPr>
                <w:rFonts w:ascii="Times New Roman" w:hAnsi="Times New Roman" w:cs="Times New Roman"/>
                <w:noProof/>
                <w:sz w:val="20"/>
                <w:szCs w:val="20"/>
                <w:lang w:val="en-IE"/>
              </w:rPr>
              <w:t>tates</w:t>
            </w:r>
            <w:r w:rsidRPr="009A33E1">
              <w:rPr>
                <w:rFonts w:ascii="Times New Roman" w:hAnsi="Times New Roman" w:cs="Times New Roman"/>
                <w:noProof/>
                <w:sz w:val="20"/>
                <w:szCs w:val="20"/>
                <w:lang w:val="en-IE"/>
              </w:rPr>
              <w:t xml:space="preserve"> and </w:t>
            </w:r>
            <w:r w:rsidR="008F251B">
              <w:rPr>
                <w:rFonts w:ascii="Times New Roman" w:hAnsi="Times New Roman" w:cs="Times New Roman"/>
                <w:noProof/>
                <w:sz w:val="20"/>
                <w:szCs w:val="20"/>
                <w:lang w:val="en-IE"/>
              </w:rPr>
              <w:t xml:space="preserve">to </w:t>
            </w:r>
            <w:r w:rsidRPr="009A33E1">
              <w:rPr>
                <w:rFonts w:ascii="Times New Roman" w:hAnsi="Times New Roman" w:cs="Times New Roman"/>
                <w:noProof/>
                <w:sz w:val="20"/>
                <w:szCs w:val="20"/>
                <w:lang w:val="en-IE"/>
              </w:rPr>
              <w:t>gain time in solving issues. Bringing proposals for solutions in which the necessary investments in time and EU expertise have been included, in view of their adoption by the C</w:t>
            </w:r>
            <w:r w:rsidR="00C11433">
              <w:rPr>
                <w:rFonts w:ascii="Times New Roman" w:hAnsi="Times New Roman" w:cs="Times New Roman"/>
                <w:noProof/>
                <w:sz w:val="20"/>
                <w:szCs w:val="20"/>
                <w:lang w:val="en-IE"/>
              </w:rPr>
              <w:t xml:space="preserve">ustoms </w:t>
            </w:r>
            <w:r w:rsidRPr="009A33E1">
              <w:rPr>
                <w:rFonts w:ascii="Times New Roman" w:hAnsi="Times New Roman" w:cs="Times New Roman"/>
                <w:noProof/>
                <w:sz w:val="20"/>
                <w:szCs w:val="20"/>
                <w:lang w:val="en-IE"/>
              </w:rPr>
              <w:t>C</w:t>
            </w:r>
            <w:r w:rsidR="00C11433">
              <w:rPr>
                <w:rFonts w:ascii="Times New Roman" w:hAnsi="Times New Roman" w:cs="Times New Roman"/>
                <w:noProof/>
                <w:sz w:val="20"/>
                <w:szCs w:val="20"/>
                <w:lang w:val="en-IE"/>
              </w:rPr>
              <w:t xml:space="preserve">ode </w:t>
            </w:r>
            <w:r w:rsidRPr="009A33E1">
              <w:rPr>
                <w:rFonts w:ascii="Times New Roman" w:hAnsi="Times New Roman" w:cs="Times New Roman"/>
                <w:noProof/>
                <w:sz w:val="20"/>
                <w:szCs w:val="20"/>
                <w:lang w:val="en-IE"/>
              </w:rPr>
              <w:t>C</w:t>
            </w:r>
            <w:r w:rsidR="00C11433">
              <w:rPr>
                <w:rFonts w:ascii="Times New Roman" w:hAnsi="Times New Roman" w:cs="Times New Roman"/>
                <w:noProof/>
                <w:sz w:val="20"/>
                <w:szCs w:val="20"/>
                <w:lang w:val="en-IE"/>
              </w:rPr>
              <w:t>ommittee (CCC)</w:t>
            </w:r>
            <w:r w:rsidRPr="009A33E1">
              <w:rPr>
                <w:rFonts w:ascii="Times New Roman" w:hAnsi="Times New Roman" w:cs="Times New Roman"/>
                <w:noProof/>
                <w:sz w:val="20"/>
                <w:szCs w:val="20"/>
                <w:lang w:val="en-IE"/>
              </w:rPr>
              <w:t>, is the desired outcome. A structured collaboration and exchange of specific knowledge between experts of the domain should allow proposing to the CCC viable solutions to complex classification cases. This should allow the resolution of such cases to be adopted within a reasonable timeframe.</w:t>
            </w:r>
          </w:p>
          <w:p w14:paraId="6E826D3E" w14:textId="00C64893" w:rsidR="001F3DF2" w:rsidRPr="009A33E1" w:rsidRDefault="001F3DF2" w:rsidP="00534D46">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The </w:t>
            </w:r>
            <w:r w:rsidR="00534D46">
              <w:rPr>
                <w:rFonts w:ascii="Times New Roman" w:hAnsi="Times New Roman" w:cs="Times New Roman"/>
                <w:noProof/>
                <w:sz w:val="20"/>
                <w:szCs w:val="20"/>
                <w:lang w:val="en-IE"/>
              </w:rPr>
              <w:t xml:space="preserve">expert </w:t>
            </w:r>
            <w:r w:rsidR="00BD7F83">
              <w:rPr>
                <w:rFonts w:ascii="Times New Roman" w:hAnsi="Times New Roman" w:cs="Times New Roman"/>
                <w:noProof/>
                <w:sz w:val="20"/>
                <w:szCs w:val="20"/>
                <w:lang w:val="en-IE"/>
              </w:rPr>
              <w:t>team</w:t>
            </w:r>
            <w:r w:rsidR="00BD7F83" w:rsidRPr="009A33E1">
              <w:rPr>
                <w:rFonts w:ascii="Times New Roman" w:hAnsi="Times New Roman" w:cs="Times New Roman"/>
                <w:noProof/>
                <w:sz w:val="20"/>
                <w:szCs w:val="20"/>
                <w:lang w:val="en-IE"/>
              </w:rPr>
              <w:t xml:space="preserve"> contributes</w:t>
            </w:r>
            <w:r w:rsidRPr="009A33E1">
              <w:rPr>
                <w:rFonts w:ascii="Times New Roman" w:hAnsi="Times New Roman" w:cs="Times New Roman"/>
                <w:noProof/>
                <w:sz w:val="20"/>
                <w:szCs w:val="20"/>
                <w:lang w:val="en-IE"/>
              </w:rPr>
              <w:t xml:space="preserve"> to the objectives of the Customs programme regarding customs tariff and classification.</w:t>
            </w:r>
          </w:p>
        </w:tc>
        <w:tc>
          <w:tcPr>
            <w:tcW w:w="10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A5CCF3"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36 months</w:t>
            </w:r>
          </w:p>
        </w:tc>
        <w:tc>
          <w:tcPr>
            <w:tcW w:w="19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B44FA2"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Spain, Belgium, The Czech Republic, Italy, Netherlands, Slovakia, Greece, Ireland, Poland, Slovenia</w:t>
            </w:r>
          </w:p>
        </w:tc>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5FCD05" w14:textId="51DADB29" w:rsidR="001F3DF2" w:rsidRPr="009A33E1" w:rsidRDefault="001F3DF2" w:rsidP="00B4586B">
            <w:pPr>
              <w:tabs>
                <w:tab w:val="left" w:pos="2612"/>
              </w:tabs>
              <w:spacing w:after="12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Delivering an expert opinions/advice in a targeted area (Section XV and Chapters 84, 85, 87, 90 and 95 of the Combined Nomenclature, also enabling the below listed outcomes). </w:t>
            </w:r>
          </w:p>
          <w:p w14:paraId="6D492A7B" w14:textId="50BA4AB3" w:rsidR="001F3DF2" w:rsidRPr="009A33E1" w:rsidRDefault="001F3DF2" w:rsidP="00B4586B">
            <w:pPr>
              <w:tabs>
                <w:tab w:val="left" w:pos="2612"/>
              </w:tabs>
              <w:spacing w:after="12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Reduction in the number of cases of divergent classification, and in the number of </w:t>
            </w:r>
            <w:r w:rsidR="00C11433">
              <w:rPr>
                <w:rFonts w:ascii="Times New Roman" w:hAnsi="Times New Roman" w:cs="Times New Roman"/>
                <w:noProof/>
                <w:sz w:val="20"/>
                <w:szCs w:val="20"/>
                <w:lang w:val="en-IE"/>
              </w:rPr>
              <w:t>Binding Tariff Information (</w:t>
            </w:r>
            <w:r w:rsidRPr="009A33E1">
              <w:rPr>
                <w:rFonts w:ascii="Times New Roman" w:hAnsi="Times New Roman" w:cs="Times New Roman"/>
                <w:noProof/>
                <w:sz w:val="20"/>
                <w:szCs w:val="20"/>
                <w:lang w:val="en-IE"/>
              </w:rPr>
              <w:t>BTI</w:t>
            </w:r>
            <w:r w:rsidR="00C11433">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 xml:space="preserve"> that take a long time to issue for various reasons. </w:t>
            </w:r>
          </w:p>
          <w:p w14:paraId="2AEF9F94"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Systematic increase and capacity building on specific knowledge and knowledge sharing in a form of EU-wide strategy by making the expert opinions available for all.</w:t>
            </w:r>
          </w:p>
        </w:tc>
      </w:tr>
      <w:tr w:rsidR="001F3DF2" w:rsidRPr="009A33E1" w14:paraId="1E62C9C4" w14:textId="77777777" w:rsidTr="00E351B3">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1795C" w14:textId="020CB58D"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C</w:t>
            </w:r>
            <w:r w:rsidR="00534D46">
              <w:rPr>
                <w:rFonts w:ascii="Times New Roman" w:hAnsi="Times New Roman" w:cs="Times New Roman"/>
                <w:noProof/>
                <w:sz w:val="20"/>
                <w:szCs w:val="20"/>
                <w:lang w:val="en-IE"/>
              </w:rPr>
              <w:t xml:space="preserve">ustoms </w:t>
            </w:r>
            <w:r w:rsidRPr="009A33E1">
              <w:rPr>
                <w:rFonts w:ascii="Times New Roman" w:hAnsi="Times New Roman" w:cs="Times New Roman"/>
                <w:noProof/>
                <w:sz w:val="20"/>
                <w:szCs w:val="20"/>
                <w:lang w:val="en-IE"/>
              </w:rPr>
              <w:t>L</w:t>
            </w:r>
            <w:r w:rsidR="00534D46">
              <w:rPr>
                <w:rFonts w:ascii="Times New Roman" w:hAnsi="Times New Roman" w:cs="Times New Roman"/>
                <w:noProof/>
                <w:sz w:val="20"/>
                <w:szCs w:val="20"/>
                <w:lang w:val="en-IE"/>
              </w:rPr>
              <w:t xml:space="preserve">aboratories </w:t>
            </w:r>
            <w:r w:rsidRPr="009A33E1">
              <w:rPr>
                <w:rFonts w:ascii="Times New Roman" w:hAnsi="Times New Roman" w:cs="Times New Roman"/>
                <w:noProof/>
                <w:sz w:val="20"/>
                <w:szCs w:val="20"/>
                <w:lang w:val="en-IE"/>
              </w:rPr>
              <w:t>E</w:t>
            </w:r>
            <w:r w:rsidR="00534D46">
              <w:rPr>
                <w:rFonts w:ascii="Times New Roman" w:hAnsi="Times New Roman" w:cs="Times New Roman"/>
                <w:noProof/>
                <w:sz w:val="20"/>
                <w:szCs w:val="20"/>
                <w:lang w:val="en-IE"/>
              </w:rPr>
              <w:t xml:space="preserve">xpert </w:t>
            </w:r>
            <w:r w:rsidRPr="009A33E1">
              <w:rPr>
                <w:rFonts w:ascii="Times New Roman" w:hAnsi="Times New Roman" w:cs="Times New Roman"/>
                <w:noProof/>
                <w:sz w:val="20"/>
                <w:szCs w:val="20"/>
                <w:lang w:val="en-IE"/>
              </w:rPr>
              <w:t>T</w:t>
            </w:r>
            <w:r w:rsidR="00534D46">
              <w:rPr>
                <w:rFonts w:ascii="Times New Roman" w:hAnsi="Times New Roman" w:cs="Times New Roman"/>
                <w:noProof/>
                <w:sz w:val="20"/>
                <w:szCs w:val="20"/>
                <w:lang w:val="en-IE"/>
              </w:rPr>
              <w:t>eam - CLET</w:t>
            </w:r>
            <w:r w:rsidRPr="009A33E1">
              <w:rPr>
                <w:rFonts w:ascii="Times New Roman" w:hAnsi="Times New Roman" w:cs="Times New Roman"/>
                <w:noProof/>
                <w:sz w:val="20"/>
                <w:szCs w:val="20"/>
                <w:lang w:val="en-IE"/>
              </w:rPr>
              <w:t xml:space="preserve"> 2</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A931" w14:textId="541690BB"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The specific business objective of the expert team is to pool the expertise and equipment in a network of ten EU </w:t>
            </w:r>
            <w:r w:rsidR="00876BF2">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ustoms laboratories in order to:</w:t>
            </w:r>
          </w:p>
          <w:p w14:paraId="78ECB6C8" w14:textId="77777777" w:rsidR="001F3DF2" w:rsidRPr="009A33E1" w:rsidRDefault="001F3DF2" w:rsidP="001F3DF2">
            <w:pPr>
              <w:keepLines/>
              <w:numPr>
                <w:ilvl w:val="0"/>
                <w:numId w:val="38"/>
              </w:numPr>
              <w:spacing w:after="200" w:line="276" w:lineRule="auto"/>
              <w:contextualSpacing/>
              <w:jc w:val="both"/>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Analyse specific samples </w:t>
            </w:r>
          </w:p>
          <w:p w14:paraId="2C2D0BC5" w14:textId="1FEFA3EB" w:rsidR="001F3DF2" w:rsidRPr="009A33E1" w:rsidRDefault="29F51BA1" w:rsidP="586E19CB">
            <w:pPr>
              <w:keepLines/>
              <w:spacing w:after="200" w:line="276" w:lineRule="auto"/>
              <w:contextualSpacing/>
              <w:rPr>
                <w:rFonts w:ascii="Times New Roman" w:hAnsi="Times New Roman" w:cs="Times New Roman"/>
                <w:noProof/>
                <w:sz w:val="20"/>
                <w:szCs w:val="20"/>
                <w:lang w:val="en-IE"/>
              </w:rPr>
            </w:pPr>
            <w:r w:rsidRPr="586E19CB">
              <w:rPr>
                <w:rFonts w:ascii="Times New Roman" w:hAnsi="Times New Roman" w:cs="Times New Roman"/>
                <w:noProof/>
                <w:sz w:val="20"/>
                <w:szCs w:val="20"/>
                <w:lang w:val="en-IE"/>
              </w:rPr>
              <w:t xml:space="preserve">In particular the expert team will focus e.g. on the analysis of unknown white powders by </w:t>
            </w:r>
            <w:r w:rsidR="60F6648B" w:rsidRPr="00E351B3">
              <w:rPr>
                <w:rFonts w:ascii="Times New Roman" w:hAnsi="Times New Roman" w:cs="Times New Roman"/>
                <w:noProof/>
                <w:sz w:val="20"/>
                <w:szCs w:val="20"/>
                <w:lang w:val="en-IE"/>
              </w:rPr>
              <w:t>nuclear magnetic resonance</w:t>
            </w:r>
            <w:r w:rsidR="60F6648B" w:rsidRPr="586E19CB">
              <w:rPr>
                <w:rFonts w:ascii="Times New Roman" w:hAnsi="Times New Roman" w:cs="Times New Roman"/>
                <w:noProof/>
                <w:sz w:val="20"/>
                <w:szCs w:val="20"/>
                <w:lang w:val="en-IE"/>
              </w:rPr>
              <w:t xml:space="preserve"> (</w:t>
            </w:r>
            <w:r w:rsidRPr="586E19CB">
              <w:rPr>
                <w:rFonts w:ascii="Times New Roman" w:hAnsi="Times New Roman" w:cs="Times New Roman"/>
                <w:noProof/>
                <w:sz w:val="20"/>
                <w:szCs w:val="20"/>
                <w:lang w:val="en-IE"/>
              </w:rPr>
              <w:t>NMR</w:t>
            </w:r>
            <w:r w:rsidR="68849AC4" w:rsidRPr="586E19CB">
              <w:rPr>
                <w:rFonts w:ascii="Times New Roman" w:hAnsi="Times New Roman" w:cs="Times New Roman"/>
                <w:noProof/>
                <w:sz w:val="20"/>
                <w:szCs w:val="20"/>
                <w:lang w:val="en-IE"/>
              </w:rPr>
              <w:t>)</w:t>
            </w:r>
            <w:r w:rsidRPr="586E19CB">
              <w:rPr>
                <w:rFonts w:ascii="Times New Roman" w:hAnsi="Times New Roman" w:cs="Times New Roman"/>
                <w:noProof/>
                <w:sz w:val="20"/>
                <w:szCs w:val="20"/>
                <w:lang w:val="en-IE"/>
              </w:rPr>
              <w:t xml:space="preserve">, the determination of bio carbon content by </w:t>
            </w:r>
            <w:r w:rsidR="00E351B3">
              <w:rPr>
                <w:rFonts w:ascii="Times New Roman" w:hAnsi="Times New Roman" w:cs="Times New Roman"/>
                <w:noProof/>
                <w:sz w:val="20"/>
                <w:szCs w:val="20"/>
                <w:lang w:val="en-IE"/>
              </w:rPr>
              <w:t>l</w:t>
            </w:r>
            <w:r w:rsidR="28062655" w:rsidRPr="00E351B3">
              <w:rPr>
                <w:rFonts w:ascii="Times New Roman" w:hAnsi="Times New Roman" w:cs="Times New Roman"/>
                <w:noProof/>
                <w:sz w:val="20"/>
                <w:szCs w:val="20"/>
                <w:lang w:val="en-IE"/>
              </w:rPr>
              <w:t xml:space="preserve">iquid </w:t>
            </w:r>
            <w:r w:rsidR="00E351B3">
              <w:rPr>
                <w:rFonts w:ascii="Times New Roman" w:hAnsi="Times New Roman" w:cs="Times New Roman"/>
                <w:noProof/>
                <w:sz w:val="20"/>
                <w:szCs w:val="20"/>
                <w:lang w:val="en-IE"/>
              </w:rPr>
              <w:t>s</w:t>
            </w:r>
            <w:r w:rsidR="28062655" w:rsidRPr="00E351B3">
              <w:rPr>
                <w:rFonts w:ascii="Times New Roman" w:hAnsi="Times New Roman" w:cs="Times New Roman"/>
                <w:noProof/>
                <w:sz w:val="20"/>
                <w:szCs w:val="20"/>
                <w:lang w:val="en-IE"/>
              </w:rPr>
              <w:t xml:space="preserve">cintillation </w:t>
            </w:r>
            <w:r w:rsidR="00E351B3">
              <w:rPr>
                <w:rFonts w:ascii="Times New Roman" w:hAnsi="Times New Roman" w:cs="Times New Roman"/>
                <w:noProof/>
                <w:sz w:val="20"/>
                <w:szCs w:val="20"/>
                <w:lang w:val="en-IE"/>
              </w:rPr>
              <w:t>c</w:t>
            </w:r>
            <w:r w:rsidR="28062655" w:rsidRPr="00E351B3">
              <w:rPr>
                <w:rFonts w:ascii="Times New Roman" w:hAnsi="Times New Roman" w:cs="Times New Roman"/>
                <w:noProof/>
                <w:sz w:val="20"/>
                <w:szCs w:val="20"/>
                <w:lang w:val="en-IE"/>
              </w:rPr>
              <w:t>ounting</w:t>
            </w:r>
            <w:r w:rsidR="28062655" w:rsidRPr="586E19CB">
              <w:rPr>
                <w:rFonts w:ascii="Times New Roman" w:hAnsi="Times New Roman" w:cs="Times New Roman"/>
                <w:noProof/>
                <w:sz w:val="20"/>
                <w:szCs w:val="20"/>
                <w:lang w:val="en-IE"/>
              </w:rPr>
              <w:t xml:space="preserve"> </w:t>
            </w:r>
            <w:r w:rsidR="5C7D3177" w:rsidRPr="586E19CB">
              <w:rPr>
                <w:rFonts w:ascii="Times New Roman" w:hAnsi="Times New Roman" w:cs="Times New Roman"/>
                <w:noProof/>
                <w:sz w:val="20"/>
                <w:szCs w:val="20"/>
                <w:lang w:val="en-IE"/>
              </w:rPr>
              <w:t>(</w:t>
            </w:r>
            <w:r w:rsidRPr="586E19CB">
              <w:rPr>
                <w:rFonts w:ascii="Times New Roman" w:hAnsi="Times New Roman" w:cs="Times New Roman"/>
                <w:noProof/>
                <w:sz w:val="20"/>
                <w:szCs w:val="20"/>
                <w:lang w:val="en-IE"/>
              </w:rPr>
              <w:t>LSC</w:t>
            </w:r>
            <w:r w:rsidR="78679C3C" w:rsidRPr="586E19CB">
              <w:rPr>
                <w:rFonts w:ascii="Times New Roman" w:hAnsi="Times New Roman" w:cs="Times New Roman"/>
                <w:noProof/>
                <w:sz w:val="20"/>
                <w:szCs w:val="20"/>
                <w:lang w:val="en-IE"/>
              </w:rPr>
              <w:t>)</w:t>
            </w:r>
            <w:r w:rsidRPr="586E19CB">
              <w:rPr>
                <w:rFonts w:ascii="Times New Roman" w:hAnsi="Times New Roman" w:cs="Times New Roman"/>
                <w:noProof/>
                <w:sz w:val="20"/>
                <w:szCs w:val="20"/>
                <w:lang w:val="en-IE"/>
              </w:rPr>
              <w:t>, the analysis of minerals</w:t>
            </w:r>
            <w:r w:rsidR="0BB6A359" w:rsidRPr="586E19CB">
              <w:rPr>
                <w:rFonts w:ascii="Times New Roman" w:hAnsi="Times New Roman" w:cs="Times New Roman"/>
                <w:noProof/>
                <w:sz w:val="20"/>
                <w:szCs w:val="20"/>
                <w:lang w:val="en-IE"/>
              </w:rPr>
              <w:t xml:space="preserve"> in</w:t>
            </w:r>
            <w:r w:rsidRPr="586E19CB">
              <w:rPr>
                <w:rFonts w:ascii="Times New Roman" w:hAnsi="Times New Roman" w:cs="Times New Roman"/>
                <w:noProof/>
                <w:sz w:val="20"/>
                <w:szCs w:val="20"/>
                <w:lang w:val="en-IE"/>
              </w:rPr>
              <w:t xml:space="preserve"> cigarettes, the determination of wood species by microscopy, etc. A mobile laboratory can be brought for example nearby the Eastern border to analyse  fuels.</w:t>
            </w:r>
          </w:p>
          <w:p w14:paraId="57295ACF" w14:textId="477020AF"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The team will primarily provide analysis of samples based on requests from other members of the expert team or from other </w:t>
            </w:r>
            <w:r w:rsidR="00876BF2">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ustoms laboratories (approx. 600 over the project duration). The network will then mutualise the use of analysis equipment and techniques, and will provide as a network a larger range of analytical tools, compared with a single laboratory.</w:t>
            </w:r>
          </w:p>
          <w:p w14:paraId="688D93A9" w14:textId="77777777"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p>
          <w:p w14:paraId="1A6699C8" w14:textId="77777777" w:rsidR="001F3DF2" w:rsidRPr="009A33E1" w:rsidRDefault="001F3DF2" w:rsidP="001F3DF2">
            <w:pPr>
              <w:keepLines/>
              <w:numPr>
                <w:ilvl w:val="0"/>
                <w:numId w:val="38"/>
              </w:numPr>
              <w:spacing w:after="200" w:line="276" w:lineRule="auto"/>
              <w:contextualSpacing/>
              <w:jc w:val="both"/>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Share results of analysis at EU level</w:t>
            </w:r>
          </w:p>
          <w:p w14:paraId="6D2649E5" w14:textId="77777777"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The expert team will contribute to the creation, management and feeding of a database gathering the results of the analysis, to be shared and used at EU level.</w:t>
            </w:r>
          </w:p>
          <w:p w14:paraId="70EDD7E4" w14:textId="77777777"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The common database of results, available at EU level, could potentially also reveal abnormal results and therefore potential frauds.</w:t>
            </w:r>
          </w:p>
          <w:p w14:paraId="6F802FD9" w14:textId="77777777" w:rsidR="001F3DF2" w:rsidRPr="009A33E1" w:rsidRDefault="001F3DF2" w:rsidP="00B4586B">
            <w:pPr>
              <w:keepLines/>
              <w:spacing w:after="200" w:line="276" w:lineRule="auto"/>
              <w:contextualSpacing/>
              <w:rPr>
                <w:rFonts w:ascii="Times New Roman" w:hAnsi="Times New Roman" w:cs="Times New Roman"/>
                <w:noProof/>
                <w:sz w:val="20"/>
                <w:szCs w:val="20"/>
                <w:lang w:val="en-IE"/>
              </w:rPr>
            </w:pPr>
          </w:p>
          <w:p w14:paraId="23B898EF" w14:textId="77777777" w:rsidR="001F3DF2" w:rsidRPr="009A33E1" w:rsidRDefault="001F3DF2" w:rsidP="001F3DF2">
            <w:pPr>
              <w:keepLines/>
              <w:numPr>
                <w:ilvl w:val="0"/>
                <w:numId w:val="38"/>
              </w:numPr>
              <w:spacing w:after="200" w:line="276" w:lineRule="auto"/>
              <w:contextualSpacing/>
              <w:jc w:val="both"/>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Prepare other activities</w:t>
            </w:r>
          </w:p>
          <w:p w14:paraId="7BCFE176"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In addition to the analysis, the expert team will suggest operational common/harmonised approaches for analysis and tariff classification problems. Incidentally, the expert team will also contribute to develop approaches (e.g. methods and techniques) and guidelines based on the results of their analysis. As results of analysis will be shared for the benefit of all, the need for new methodologies, tools, guidelines, could possibly emerge and the expert team could then suggest new activities to the CLEN.</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9677F"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30 months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46841" w14:textId="11CB60CE"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Italy, Austria, Belgium, Cyprus, Czech Republic, France, Greece, Hungary, the Netherlands, Spain</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B0357E" w14:textId="51A36DEB" w:rsidR="001F3DF2" w:rsidRPr="009A33E1" w:rsidRDefault="001F3DF2" w:rsidP="00B4586B">
            <w:pPr>
              <w:keepLines/>
              <w:spacing w:after="200" w:line="276" w:lineRule="auto"/>
              <w:contextualSpacing/>
              <w:jc w:val="both"/>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Analysis of a large number of potentially dangerous substances or of products representing an important loss of revenue for EU and M</w:t>
            </w:r>
            <w:r w:rsidR="004B0002">
              <w:rPr>
                <w:rFonts w:ascii="Times New Roman" w:hAnsi="Times New Roman" w:cs="Times New Roman"/>
                <w:noProof/>
                <w:sz w:val="20"/>
                <w:szCs w:val="20"/>
                <w:lang w:val="en-IE"/>
              </w:rPr>
              <w:t xml:space="preserve">ember </w:t>
            </w:r>
            <w:r w:rsidRPr="009A33E1">
              <w:rPr>
                <w:rFonts w:ascii="Times New Roman" w:hAnsi="Times New Roman" w:cs="Times New Roman"/>
                <w:noProof/>
                <w:sz w:val="20"/>
                <w:szCs w:val="20"/>
                <w:lang w:val="en-IE"/>
              </w:rPr>
              <w:t>S</w:t>
            </w:r>
            <w:r w:rsidR="004B0002">
              <w:rPr>
                <w:rFonts w:ascii="Times New Roman" w:hAnsi="Times New Roman" w:cs="Times New Roman"/>
                <w:noProof/>
                <w:sz w:val="20"/>
                <w:szCs w:val="20"/>
                <w:lang w:val="en-IE"/>
              </w:rPr>
              <w:t>tates</w:t>
            </w:r>
            <w:r w:rsidRPr="009A33E1">
              <w:rPr>
                <w:rFonts w:ascii="Times New Roman" w:hAnsi="Times New Roman" w:cs="Times New Roman"/>
                <w:noProof/>
                <w:sz w:val="20"/>
                <w:szCs w:val="20"/>
                <w:lang w:val="en-IE"/>
              </w:rPr>
              <w:t xml:space="preserve"> budgets.</w:t>
            </w:r>
          </w:p>
          <w:p w14:paraId="6600FF3C" w14:textId="77777777" w:rsidR="001F3DF2" w:rsidRPr="009A33E1" w:rsidRDefault="001F3DF2" w:rsidP="00B4586B">
            <w:pPr>
              <w:keepLines/>
              <w:spacing w:after="200" w:line="276" w:lineRule="auto"/>
              <w:contextualSpacing/>
              <w:jc w:val="both"/>
              <w:rPr>
                <w:rFonts w:ascii="Times New Roman" w:hAnsi="Times New Roman" w:cs="Times New Roman"/>
                <w:noProof/>
                <w:sz w:val="20"/>
                <w:szCs w:val="20"/>
                <w:lang w:val="en-IE"/>
              </w:rPr>
            </w:pPr>
          </w:p>
          <w:p w14:paraId="4F4C802E" w14:textId="748D01A1" w:rsidR="001F3DF2" w:rsidRPr="009A33E1" w:rsidRDefault="001F3DF2" w:rsidP="00B4586B">
            <w:pPr>
              <w:keepLines/>
              <w:spacing w:after="200" w:line="276" w:lineRule="auto"/>
              <w:contextualSpacing/>
              <w:jc w:val="both"/>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Sharing of results of analysis at EU level by setting up and maintaining a common database </w:t>
            </w:r>
            <w:r w:rsidR="00E351B3">
              <w:rPr>
                <w:rFonts w:ascii="Times New Roman" w:hAnsi="Times New Roman" w:cs="Times New Roman"/>
                <w:noProof/>
                <w:sz w:val="20"/>
                <w:szCs w:val="20"/>
                <w:lang w:val="en-IE"/>
              </w:rPr>
              <w:t>that</w:t>
            </w:r>
            <w:r w:rsidR="00E351B3" w:rsidRPr="009A33E1">
              <w:rPr>
                <w:rFonts w:ascii="Times New Roman" w:hAnsi="Times New Roman" w:cs="Times New Roman"/>
                <w:noProof/>
                <w:sz w:val="20"/>
                <w:szCs w:val="20"/>
                <w:lang w:val="en-IE"/>
              </w:rPr>
              <w:t xml:space="preserve"> </w:t>
            </w:r>
            <w:r w:rsidRPr="009A33E1">
              <w:rPr>
                <w:rFonts w:ascii="Times New Roman" w:hAnsi="Times New Roman" w:cs="Times New Roman"/>
                <w:noProof/>
                <w:sz w:val="20"/>
                <w:szCs w:val="20"/>
                <w:lang w:val="en-IE"/>
              </w:rPr>
              <w:t xml:space="preserve">includes analysis results, data, and spectra of a large number of samples. This could be used as a documentation management </w:t>
            </w:r>
            <w:r w:rsidR="00564EC9" w:rsidRPr="009A33E1">
              <w:rPr>
                <w:rFonts w:ascii="Times New Roman" w:hAnsi="Times New Roman" w:cs="Times New Roman"/>
                <w:noProof/>
                <w:sz w:val="20"/>
                <w:szCs w:val="20"/>
                <w:lang w:val="en-IE"/>
              </w:rPr>
              <w:t>centre</w:t>
            </w:r>
            <w:r w:rsidRPr="009A33E1">
              <w:rPr>
                <w:rFonts w:ascii="Times New Roman" w:hAnsi="Times New Roman" w:cs="Times New Roman"/>
                <w:noProof/>
                <w:sz w:val="20"/>
                <w:szCs w:val="20"/>
                <w:lang w:val="en-IE"/>
              </w:rPr>
              <w:t xml:space="preserve"> and as a common reference for the </w:t>
            </w:r>
            <w:r w:rsidR="00876BF2">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ustoms laboratories in order, for example, to compare data or to complement the assessment of samples detected at the borders.</w:t>
            </w:r>
          </w:p>
          <w:p w14:paraId="44DE4751" w14:textId="77777777" w:rsidR="001F3DF2" w:rsidRPr="009A33E1" w:rsidRDefault="001F3DF2" w:rsidP="00B4586B">
            <w:pPr>
              <w:rPr>
                <w:rFonts w:ascii="Times New Roman" w:hAnsi="Times New Roman" w:cs="Times New Roman"/>
                <w:noProof/>
                <w:sz w:val="20"/>
                <w:szCs w:val="20"/>
                <w:lang w:val="en-IE"/>
              </w:rPr>
            </w:pPr>
          </w:p>
        </w:tc>
      </w:tr>
      <w:tr w:rsidR="001F3DF2" w:rsidRPr="009A33E1" w14:paraId="68E9DEB4" w14:textId="77777777" w:rsidTr="00E351B3">
        <w:tc>
          <w:tcPr>
            <w:tcW w:w="12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E327CA" w14:textId="477A9C1C" w:rsidR="001F3DF2" w:rsidRPr="009A33E1" w:rsidRDefault="001F3DF2" w:rsidP="00BD2E52">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Expert Team on </w:t>
            </w:r>
            <w:r w:rsidR="00BD2E52">
              <w:rPr>
                <w:rFonts w:ascii="Times New Roman" w:hAnsi="Times New Roman" w:cs="Times New Roman"/>
                <w:noProof/>
                <w:sz w:val="20"/>
                <w:szCs w:val="20"/>
                <w:lang w:val="en-IE"/>
              </w:rPr>
              <w:t>N</w:t>
            </w:r>
            <w:r w:rsidRPr="009A33E1">
              <w:rPr>
                <w:rFonts w:ascii="Times New Roman" w:hAnsi="Times New Roman" w:cs="Times New Roman"/>
                <w:noProof/>
                <w:sz w:val="20"/>
                <w:szCs w:val="20"/>
                <w:lang w:val="en-IE"/>
              </w:rPr>
              <w:t xml:space="preserve">ew </w:t>
            </w:r>
            <w:r w:rsidR="00BD2E52">
              <w:rPr>
                <w:rFonts w:ascii="Times New Roman" w:hAnsi="Times New Roman" w:cs="Times New Roman"/>
                <w:noProof/>
                <w:sz w:val="20"/>
                <w:szCs w:val="20"/>
                <w:lang w:val="en-IE"/>
              </w:rPr>
              <w:t>A</w:t>
            </w:r>
            <w:r w:rsidRPr="009A33E1">
              <w:rPr>
                <w:rFonts w:ascii="Times New Roman" w:hAnsi="Times New Roman" w:cs="Times New Roman"/>
                <w:noProof/>
                <w:sz w:val="20"/>
                <w:szCs w:val="20"/>
                <w:lang w:val="en-IE"/>
              </w:rPr>
              <w:t xml:space="preserve">pproaches to </w:t>
            </w:r>
            <w:r w:rsidR="00BD2E52">
              <w:rPr>
                <w:rFonts w:ascii="Times New Roman" w:hAnsi="Times New Roman" w:cs="Times New Roman"/>
                <w:noProof/>
                <w:sz w:val="20"/>
                <w:szCs w:val="20"/>
                <w:lang w:val="en-IE"/>
              </w:rPr>
              <w:t>D</w:t>
            </w:r>
            <w:r w:rsidRPr="009A33E1">
              <w:rPr>
                <w:rFonts w:ascii="Times New Roman" w:hAnsi="Times New Roman" w:cs="Times New Roman"/>
                <w:noProof/>
                <w:sz w:val="20"/>
                <w:szCs w:val="20"/>
                <w:lang w:val="en-IE"/>
              </w:rPr>
              <w:t xml:space="preserve">evelop and </w:t>
            </w:r>
            <w:r w:rsidR="00BD2E52">
              <w:rPr>
                <w:rFonts w:ascii="Times New Roman" w:hAnsi="Times New Roman" w:cs="Times New Roman"/>
                <w:noProof/>
                <w:sz w:val="20"/>
                <w:szCs w:val="20"/>
                <w:lang w:val="en-IE"/>
              </w:rPr>
              <w:t>O</w:t>
            </w:r>
            <w:r w:rsidRPr="009A33E1">
              <w:rPr>
                <w:rFonts w:ascii="Times New Roman" w:hAnsi="Times New Roman" w:cs="Times New Roman"/>
                <w:noProof/>
                <w:sz w:val="20"/>
                <w:szCs w:val="20"/>
                <w:lang w:val="en-IE"/>
              </w:rPr>
              <w:t xml:space="preserve">perate Customs IT </w:t>
            </w:r>
            <w:r w:rsidR="00BD2E52">
              <w:rPr>
                <w:rFonts w:ascii="Times New Roman" w:hAnsi="Times New Roman" w:cs="Times New Roman"/>
                <w:noProof/>
                <w:sz w:val="20"/>
                <w:szCs w:val="20"/>
                <w:lang w:val="en-IE"/>
              </w:rPr>
              <w:t>S</w:t>
            </w:r>
            <w:r w:rsidRPr="009A33E1">
              <w:rPr>
                <w:rFonts w:ascii="Times New Roman" w:hAnsi="Times New Roman" w:cs="Times New Roman"/>
                <w:noProof/>
                <w:sz w:val="20"/>
                <w:szCs w:val="20"/>
                <w:lang w:val="en-IE"/>
              </w:rPr>
              <w:t>ystem 2 - ETCIT 2</w:t>
            </w:r>
          </w:p>
        </w:tc>
        <w:tc>
          <w:tcPr>
            <w:tcW w:w="56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7A4413" w14:textId="2AB2F863"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The aim of ETCIT II is to provide participating Member States with necessary support in developing IT systems in a collaborative way and input in order to start t</w:t>
            </w:r>
            <w:r w:rsidR="009D45BF">
              <w:rPr>
                <w:rFonts w:ascii="Times New Roman" w:hAnsi="Times New Roman" w:cs="Times New Roman"/>
                <w:noProof/>
                <w:sz w:val="20"/>
                <w:szCs w:val="20"/>
                <w:lang w:val="en-IE"/>
              </w:rPr>
              <w:t>he pilot project(s) to develop c</w:t>
            </w:r>
            <w:r w:rsidRPr="009A33E1">
              <w:rPr>
                <w:rFonts w:ascii="Times New Roman" w:hAnsi="Times New Roman" w:cs="Times New Roman"/>
                <w:noProof/>
                <w:sz w:val="20"/>
                <w:szCs w:val="20"/>
                <w:lang w:val="en-IE"/>
              </w:rPr>
              <w:t>ustoms IT systems.</w:t>
            </w:r>
          </w:p>
          <w:p w14:paraId="1C9288FC" w14:textId="6DC4A13B" w:rsidR="001F3DF2" w:rsidRPr="009A33E1" w:rsidRDefault="001F3DF2" w:rsidP="00BD2E52">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The Expert Team would meet the expectations from the Member States and the Commission in continuation the work of the ETCIT I and preparation of one or several </w:t>
            </w:r>
            <w:r w:rsidR="00BD2E52">
              <w:rPr>
                <w:rFonts w:ascii="Times New Roman" w:hAnsi="Times New Roman" w:cs="Times New Roman"/>
                <w:noProof/>
                <w:sz w:val="20"/>
                <w:szCs w:val="20"/>
                <w:lang w:val="en-IE"/>
              </w:rPr>
              <w:t>p</w:t>
            </w:r>
            <w:r w:rsidRPr="009A33E1">
              <w:rPr>
                <w:rFonts w:ascii="Times New Roman" w:hAnsi="Times New Roman" w:cs="Times New Roman"/>
                <w:noProof/>
                <w:sz w:val="20"/>
                <w:szCs w:val="20"/>
                <w:lang w:val="en-IE"/>
              </w:rPr>
              <w:t xml:space="preserve">ilot </w:t>
            </w:r>
            <w:r w:rsidR="00BD2E52">
              <w:rPr>
                <w:rFonts w:ascii="Times New Roman" w:hAnsi="Times New Roman" w:cs="Times New Roman"/>
                <w:noProof/>
                <w:sz w:val="20"/>
                <w:szCs w:val="20"/>
                <w:lang w:val="en-IE"/>
              </w:rPr>
              <w:t>p</w:t>
            </w:r>
            <w:r w:rsidRPr="009A33E1">
              <w:rPr>
                <w:rFonts w:ascii="Times New Roman" w:hAnsi="Times New Roman" w:cs="Times New Roman"/>
                <w:noProof/>
                <w:sz w:val="20"/>
                <w:szCs w:val="20"/>
                <w:lang w:val="en-IE"/>
              </w:rPr>
              <w:t xml:space="preserve">rojects (or </w:t>
            </w:r>
            <w:r w:rsidR="00BD2E52">
              <w:rPr>
                <w:rFonts w:ascii="Times New Roman" w:hAnsi="Times New Roman" w:cs="Times New Roman"/>
                <w:noProof/>
                <w:sz w:val="20"/>
                <w:szCs w:val="20"/>
                <w:lang w:val="en-IE"/>
              </w:rPr>
              <w:t>p</w:t>
            </w:r>
            <w:r w:rsidRPr="009A33E1">
              <w:rPr>
                <w:rFonts w:ascii="Times New Roman" w:hAnsi="Times New Roman" w:cs="Times New Roman"/>
                <w:noProof/>
                <w:sz w:val="20"/>
                <w:szCs w:val="20"/>
                <w:lang w:val="en-IE"/>
              </w:rPr>
              <w:t>roof</w:t>
            </w:r>
            <w:r w:rsidR="00BD2E52">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of</w:t>
            </w:r>
            <w:r w:rsidR="00BD2E52">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 xml:space="preserve">oncept) and delivering the final recommendations and suggestions for new approaches on improving the efficiency of development of </w:t>
            </w:r>
            <w:r w:rsidR="00BD2E52">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ustoms IT systems post 2025.</w:t>
            </w:r>
          </w:p>
        </w:tc>
        <w:tc>
          <w:tcPr>
            <w:tcW w:w="10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9DFD98" w14:textId="77777777" w:rsidR="001F3DF2" w:rsidRPr="009A33E1" w:rsidRDefault="001F3DF2" w:rsidP="00B4586B">
            <w:pPr>
              <w:rPr>
                <w:rFonts w:ascii="Times New Roman" w:hAnsi="Times New Roman" w:cs="Times New Roman"/>
                <w:b/>
                <w:bCs/>
                <w:noProof/>
                <w:sz w:val="20"/>
                <w:szCs w:val="20"/>
                <w:u w:val="single"/>
                <w:lang w:val="en-IE"/>
              </w:rPr>
            </w:pPr>
            <w:r w:rsidRPr="009A33E1">
              <w:rPr>
                <w:rFonts w:ascii="Times New Roman" w:hAnsi="Times New Roman" w:cs="Times New Roman"/>
                <w:noProof/>
                <w:sz w:val="20"/>
                <w:szCs w:val="20"/>
                <w:lang w:val="en-IE"/>
              </w:rPr>
              <w:t>27 months</w:t>
            </w:r>
          </w:p>
        </w:tc>
        <w:tc>
          <w:tcPr>
            <w:tcW w:w="19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168617" w14:textId="77777777" w:rsidR="001F3DF2" w:rsidRPr="009A33E1" w:rsidRDefault="001F3DF2" w:rsidP="00B4586B">
            <w:pPr>
              <w:rPr>
                <w:rFonts w:ascii="Times New Roman" w:hAnsi="Times New Roman" w:cs="Times New Roman"/>
                <w:b/>
                <w:bCs/>
                <w:noProof/>
                <w:sz w:val="20"/>
                <w:szCs w:val="20"/>
                <w:u w:val="single"/>
                <w:lang w:val="en-IE"/>
              </w:rPr>
            </w:pPr>
            <w:r w:rsidRPr="009A33E1">
              <w:rPr>
                <w:rFonts w:ascii="Times New Roman" w:hAnsi="Times New Roman" w:cs="Times New Roman"/>
                <w:noProof/>
                <w:sz w:val="20"/>
                <w:szCs w:val="20"/>
                <w:lang w:val="en-IE"/>
              </w:rPr>
              <w:t>Portugal, Belgium, Czechia, Germany, Estonia, France, Italy, Cyprus, Lithuania, Luxemburg, Hungary, Malta, Netherlands,  Romania, Slovakia Sweden</w:t>
            </w:r>
          </w:p>
        </w:tc>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22D9FA" w14:textId="566CA66B"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Use of pooling of resources in customs IT development, maintenance and operation (EU-wide or between Member States) explored and assessed, pros and cons analysed, especially from the angle of efficiency and cost-savings</w:t>
            </w:r>
            <w:r w:rsidR="004B0002">
              <w:rPr>
                <w:rFonts w:ascii="Times New Roman" w:hAnsi="Times New Roman" w:cs="Times New Roman"/>
                <w:noProof/>
                <w:sz w:val="20"/>
                <w:szCs w:val="20"/>
                <w:lang w:val="en-IE"/>
              </w:rPr>
              <w:t>.</w:t>
            </w:r>
          </w:p>
          <w:p w14:paraId="37111972" w14:textId="21393D27"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Technical aspects of use of pooling of resources in customs IT development explored and assessed</w:t>
            </w:r>
            <w:r w:rsidR="004B0002">
              <w:rPr>
                <w:rFonts w:ascii="Times New Roman" w:hAnsi="Times New Roman" w:cs="Times New Roman"/>
                <w:noProof/>
                <w:sz w:val="20"/>
                <w:szCs w:val="20"/>
                <w:lang w:val="en-IE"/>
              </w:rPr>
              <w:t>.</w:t>
            </w:r>
          </w:p>
          <w:p w14:paraId="260A0B26" w14:textId="2BEBB253"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Preparedness to provide advisory services for future initiatives using pooling of resources</w:t>
            </w:r>
            <w:r w:rsidR="004B0002">
              <w:rPr>
                <w:rFonts w:ascii="Times New Roman" w:hAnsi="Times New Roman" w:cs="Times New Roman"/>
                <w:noProof/>
                <w:sz w:val="20"/>
                <w:szCs w:val="20"/>
                <w:lang w:val="en-IE"/>
              </w:rPr>
              <w:t>.</w:t>
            </w:r>
          </w:p>
          <w:p w14:paraId="6A5A7763" w14:textId="0C24D3A0"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Finalisation of the starting phases of the pilot project(s)</w:t>
            </w:r>
            <w:r w:rsidR="004B0002">
              <w:rPr>
                <w:rFonts w:ascii="Times New Roman" w:hAnsi="Times New Roman" w:cs="Times New Roman"/>
                <w:noProof/>
                <w:sz w:val="20"/>
                <w:szCs w:val="20"/>
                <w:lang w:val="en-IE"/>
              </w:rPr>
              <w:t>.</w:t>
            </w:r>
          </w:p>
          <w:p w14:paraId="2BA2EEDA" w14:textId="7BD760D0"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Finalisation of the cost-benefit analyses</w:t>
            </w:r>
            <w:r w:rsidR="004B0002">
              <w:rPr>
                <w:rFonts w:ascii="Times New Roman" w:hAnsi="Times New Roman" w:cs="Times New Roman"/>
                <w:noProof/>
                <w:sz w:val="20"/>
                <w:szCs w:val="20"/>
                <w:lang w:val="en-IE"/>
              </w:rPr>
              <w:t>.</w:t>
            </w:r>
          </w:p>
          <w:p w14:paraId="24B1EB87" w14:textId="10A9F48A"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Business case, implementation plan, IT architecture and design documents of the pilot project(s)</w:t>
            </w:r>
            <w:r w:rsidR="004B0002">
              <w:rPr>
                <w:rFonts w:ascii="Times New Roman" w:hAnsi="Times New Roman" w:cs="Times New Roman"/>
                <w:noProof/>
                <w:sz w:val="20"/>
                <w:szCs w:val="20"/>
                <w:lang w:val="en-IE"/>
              </w:rPr>
              <w:t>.</w:t>
            </w:r>
          </w:p>
          <w:p w14:paraId="58A554B6" w14:textId="6317180A"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Training documentation to support IT Projects</w:t>
            </w:r>
            <w:r w:rsidR="004B0002">
              <w:rPr>
                <w:rFonts w:ascii="Times New Roman" w:hAnsi="Times New Roman" w:cs="Times New Roman"/>
                <w:noProof/>
                <w:sz w:val="20"/>
                <w:szCs w:val="20"/>
                <w:lang w:val="en-IE"/>
              </w:rPr>
              <w:t>.</w:t>
            </w:r>
          </w:p>
          <w:p w14:paraId="59AFAC92" w14:textId="08022389"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Customs IT Collaborative Portal that promotes </w:t>
            </w:r>
            <w:r w:rsidR="00593048">
              <w:rPr>
                <w:rFonts w:ascii="Times New Roman" w:hAnsi="Times New Roman" w:cs="Times New Roman"/>
                <w:noProof/>
                <w:sz w:val="20"/>
                <w:szCs w:val="20"/>
                <w:lang w:val="en-IE"/>
              </w:rPr>
              <w:t>c</w:t>
            </w:r>
            <w:r w:rsidRPr="009A33E1">
              <w:rPr>
                <w:rFonts w:ascii="Times New Roman" w:hAnsi="Times New Roman" w:cs="Times New Roman"/>
                <w:noProof/>
                <w:sz w:val="20"/>
                <w:szCs w:val="20"/>
                <w:lang w:val="en-IE"/>
              </w:rPr>
              <w:t>ustoms IT collaborative projects among Member States</w:t>
            </w:r>
            <w:r w:rsidR="004B0002">
              <w:rPr>
                <w:rFonts w:ascii="Times New Roman" w:hAnsi="Times New Roman" w:cs="Times New Roman"/>
                <w:noProof/>
                <w:sz w:val="20"/>
                <w:szCs w:val="20"/>
                <w:lang w:val="en-IE"/>
              </w:rPr>
              <w:t>.</w:t>
            </w:r>
          </w:p>
          <w:p w14:paraId="437C50CE" w14:textId="5519E176" w:rsidR="001F3DF2" w:rsidRPr="009A33E1" w:rsidRDefault="001F3DF2" w:rsidP="00B4586B">
            <w:pPr>
              <w:spacing w:after="120" w:line="240" w:lineRule="atLeast"/>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Continuous updates and presentations to different fora on the progress of ETCIT</w:t>
            </w:r>
            <w:r w:rsidR="004B0002">
              <w:rPr>
                <w:rFonts w:ascii="Times New Roman" w:hAnsi="Times New Roman" w:cs="Times New Roman"/>
                <w:noProof/>
                <w:sz w:val="20"/>
                <w:szCs w:val="20"/>
                <w:lang w:val="en-IE"/>
              </w:rPr>
              <w:t>.</w:t>
            </w:r>
          </w:p>
          <w:p w14:paraId="1334BAAB"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Establishment of mechanisms that identifies and supports future collaborative activities between Member States.</w:t>
            </w:r>
          </w:p>
        </w:tc>
      </w:tr>
      <w:tr w:rsidR="001F3DF2" w:rsidRPr="009A33E1" w14:paraId="02136CC0" w14:textId="77777777" w:rsidTr="00E351B3">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17C26"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Customs Eastern and South-Eastern Land Border Expert Team 3 -  CELBET 3 </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D4B911" w14:textId="77777777" w:rsidR="001F3DF2" w:rsidRPr="009A33E1" w:rsidRDefault="001F3DF2" w:rsidP="00B4586B">
            <w:pPr>
              <w:spacing w:after="240"/>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The aim of CELBET 3 is to enable high quality customs control at the EU Eastern and South Eastern land border through co-operation and networks.</w:t>
            </w:r>
          </w:p>
          <w:p w14:paraId="57CC6D02" w14:textId="77777777" w:rsidR="001F3DF2" w:rsidRPr="009A33E1" w:rsidRDefault="001F3DF2" w:rsidP="00B4586B">
            <w:pPr>
              <w:rPr>
                <w:rFonts w:ascii="Times New Roman" w:hAnsi="Times New Roman" w:cs="Times New Roman"/>
                <w:noProof/>
                <w:sz w:val="20"/>
                <w:szCs w:val="20"/>
                <w:lang w:val="en-IE"/>
              </w:rPr>
            </w:pP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EC988" w14:textId="77777777"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36 months</w:t>
            </w: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63E26" w14:textId="25CE2A8A"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 xml:space="preserve">Estonia, Finland, Latvia, </w:t>
            </w:r>
            <w:r w:rsidR="004A3EAF" w:rsidRPr="009A33E1">
              <w:rPr>
                <w:rFonts w:ascii="Times New Roman" w:hAnsi="Times New Roman" w:cs="Times New Roman"/>
                <w:noProof/>
                <w:sz w:val="20"/>
                <w:szCs w:val="20"/>
                <w:lang w:val="en-IE"/>
              </w:rPr>
              <w:t>Lithuania</w:t>
            </w:r>
            <w:r w:rsidRPr="009A33E1">
              <w:rPr>
                <w:rFonts w:ascii="Times New Roman" w:hAnsi="Times New Roman" w:cs="Times New Roman"/>
                <w:noProof/>
                <w:sz w:val="20"/>
                <w:szCs w:val="20"/>
                <w:lang w:val="en-IE"/>
              </w:rPr>
              <w:t>, Poland, Slovakia, Hungary, Croatia, Romania, Bulgaria, Greece</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B062D" w14:textId="49709BD4"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ab/>
            </w:r>
            <w:r w:rsidR="004B0002">
              <w:rPr>
                <w:rFonts w:ascii="Times New Roman" w:hAnsi="Times New Roman" w:cs="Times New Roman"/>
                <w:noProof/>
                <w:sz w:val="20"/>
                <w:szCs w:val="20"/>
                <w:lang w:val="en-IE"/>
              </w:rPr>
              <w:t>R</w:t>
            </w:r>
            <w:r w:rsidRPr="009A33E1">
              <w:rPr>
                <w:rFonts w:ascii="Times New Roman" w:hAnsi="Times New Roman" w:cs="Times New Roman"/>
                <w:noProof/>
                <w:sz w:val="20"/>
                <w:szCs w:val="20"/>
                <w:lang w:val="en-IE"/>
              </w:rPr>
              <w:t>esults directly linked to the activities of the seven teams and of the horizontal management activity together with the B</w:t>
            </w:r>
            <w:r w:rsidR="00F64683">
              <w:rPr>
                <w:rFonts w:ascii="Times New Roman" w:hAnsi="Times New Roman" w:cs="Times New Roman"/>
                <w:noProof/>
                <w:sz w:val="20"/>
                <w:szCs w:val="20"/>
                <w:lang w:val="en-IE"/>
              </w:rPr>
              <w:t xml:space="preserve">order </w:t>
            </w:r>
            <w:r w:rsidRPr="009A33E1">
              <w:rPr>
                <w:rFonts w:ascii="Times New Roman" w:hAnsi="Times New Roman" w:cs="Times New Roman"/>
                <w:noProof/>
                <w:sz w:val="20"/>
                <w:szCs w:val="20"/>
                <w:lang w:val="en-IE"/>
              </w:rPr>
              <w:t>C</w:t>
            </w:r>
            <w:r w:rsidR="00F64683">
              <w:rPr>
                <w:rFonts w:ascii="Times New Roman" w:hAnsi="Times New Roman" w:cs="Times New Roman"/>
                <w:noProof/>
                <w:sz w:val="20"/>
                <w:szCs w:val="20"/>
                <w:lang w:val="en-IE"/>
              </w:rPr>
              <w:t xml:space="preserve">rossing </w:t>
            </w:r>
            <w:r w:rsidRPr="009A33E1">
              <w:rPr>
                <w:rFonts w:ascii="Times New Roman" w:hAnsi="Times New Roman" w:cs="Times New Roman"/>
                <w:noProof/>
                <w:sz w:val="20"/>
                <w:szCs w:val="20"/>
                <w:lang w:val="en-IE"/>
              </w:rPr>
              <w:t>P</w:t>
            </w:r>
            <w:r w:rsidR="00F64683">
              <w:rPr>
                <w:rFonts w:ascii="Times New Roman" w:hAnsi="Times New Roman" w:cs="Times New Roman"/>
                <w:noProof/>
                <w:sz w:val="20"/>
                <w:szCs w:val="20"/>
                <w:lang w:val="en-IE"/>
              </w:rPr>
              <w:t>oint</w:t>
            </w:r>
            <w:r w:rsidRPr="009A33E1">
              <w:rPr>
                <w:rFonts w:ascii="Times New Roman" w:hAnsi="Times New Roman" w:cs="Times New Roman"/>
                <w:noProof/>
                <w:sz w:val="20"/>
                <w:szCs w:val="20"/>
                <w:lang w:val="en-IE"/>
              </w:rPr>
              <w:t xml:space="preserve"> Network: these deliverables can be of different natures (reports, recommendations, guidelines, minutes of meetings, workshop presentations, etc.)</w:t>
            </w:r>
            <w:r w:rsidR="004B0002">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 xml:space="preserve"> </w:t>
            </w:r>
          </w:p>
          <w:p w14:paraId="7D78EC66" w14:textId="0D9DFA7B"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ab/>
            </w:r>
            <w:r w:rsidR="004B0002">
              <w:rPr>
                <w:rFonts w:ascii="Times New Roman" w:hAnsi="Times New Roman" w:cs="Times New Roman"/>
                <w:noProof/>
                <w:sz w:val="20"/>
                <w:szCs w:val="20"/>
                <w:lang w:val="en-IE"/>
              </w:rPr>
              <w:t>R</w:t>
            </w:r>
            <w:r w:rsidRPr="009A33E1">
              <w:rPr>
                <w:rFonts w:ascii="Times New Roman" w:hAnsi="Times New Roman" w:cs="Times New Roman"/>
                <w:noProof/>
                <w:sz w:val="20"/>
                <w:szCs w:val="20"/>
                <w:lang w:val="en-IE"/>
              </w:rPr>
              <w:t>esults linked to the coordination and management of the project itself (progress reports, risk management, change/deviation mitigation procedures, etc.)</w:t>
            </w:r>
            <w:r w:rsidR="004B0002">
              <w:rPr>
                <w:rFonts w:ascii="Times New Roman" w:hAnsi="Times New Roman" w:cs="Times New Roman"/>
                <w:noProof/>
                <w:sz w:val="20"/>
                <w:szCs w:val="20"/>
                <w:lang w:val="en-IE"/>
              </w:rPr>
              <w:t>.</w:t>
            </w:r>
          </w:p>
          <w:p w14:paraId="2311EF3B" w14:textId="009EF24B" w:rsidR="001F3DF2" w:rsidRPr="009A33E1" w:rsidRDefault="001F3DF2" w:rsidP="00B4586B">
            <w:pPr>
              <w:rPr>
                <w:rFonts w:ascii="Times New Roman" w:hAnsi="Times New Roman" w:cs="Times New Roman"/>
                <w:noProof/>
                <w:sz w:val="20"/>
                <w:szCs w:val="20"/>
                <w:lang w:val="en-IE"/>
              </w:rPr>
            </w:pPr>
            <w:r w:rsidRPr="009A33E1">
              <w:rPr>
                <w:rFonts w:ascii="Times New Roman" w:hAnsi="Times New Roman" w:cs="Times New Roman"/>
                <w:noProof/>
                <w:sz w:val="20"/>
                <w:szCs w:val="20"/>
                <w:lang w:val="en-IE"/>
              </w:rPr>
              <w:t>•</w:t>
            </w:r>
            <w:r w:rsidRPr="009A33E1">
              <w:rPr>
                <w:rFonts w:ascii="Times New Roman" w:hAnsi="Times New Roman" w:cs="Times New Roman"/>
                <w:noProof/>
                <w:sz w:val="20"/>
                <w:szCs w:val="20"/>
                <w:lang w:val="en-IE"/>
              </w:rPr>
              <w:tab/>
            </w:r>
            <w:r w:rsidR="004B0002">
              <w:rPr>
                <w:rFonts w:ascii="Times New Roman" w:hAnsi="Times New Roman" w:cs="Times New Roman"/>
                <w:noProof/>
                <w:sz w:val="20"/>
                <w:szCs w:val="20"/>
                <w:lang w:val="en-IE"/>
              </w:rPr>
              <w:t>R</w:t>
            </w:r>
            <w:r w:rsidRPr="009A33E1">
              <w:rPr>
                <w:rFonts w:ascii="Times New Roman" w:hAnsi="Times New Roman" w:cs="Times New Roman"/>
                <w:noProof/>
                <w:sz w:val="20"/>
                <w:szCs w:val="20"/>
                <w:lang w:val="en-IE"/>
              </w:rPr>
              <w:t>esults linked to the reporting and monitoring activities either for the Commission or for the partners.</w:t>
            </w:r>
          </w:p>
        </w:tc>
      </w:tr>
    </w:tbl>
    <w:p w14:paraId="430F83D4" w14:textId="77777777" w:rsidR="00516716" w:rsidRDefault="00516716" w:rsidP="001F3DF2">
      <w:pPr>
        <w:rPr>
          <w:rFonts w:ascii="Times New Roman" w:hAnsi="Times New Roman" w:cs="Times New Roman"/>
          <w:noProof/>
          <w:lang w:val="en-IE"/>
        </w:rPr>
        <w:sectPr w:rsidR="00516716" w:rsidSect="00E351B3">
          <w:headerReference w:type="even" r:id="rId28"/>
          <w:headerReference w:type="default" r:id="rId29"/>
          <w:footerReference w:type="even" r:id="rId30"/>
          <w:footerReference w:type="default" r:id="rId31"/>
          <w:headerReference w:type="first" r:id="rId32"/>
          <w:footerReference w:type="first" r:id="rId33"/>
          <w:pgSz w:w="15840" w:h="12240" w:orient="landscape"/>
          <w:pgMar w:top="1440" w:right="1440" w:bottom="1440" w:left="567" w:header="709" w:footer="709" w:gutter="0"/>
          <w:cols w:space="720"/>
          <w:docGrid w:linePitch="360"/>
        </w:sectPr>
      </w:pPr>
    </w:p>
    <w:p w14:paraId="332919C8" w14:textId="450745DA" w:rsidR="001F3DF2" w:rsidRPr="003C289C" w:rsidRDefault="001F3DF2" w:rsidP="001F3DF2">
      <w:pPr>
        <w:rPr>
          <w:rFonts w:ascii="Times New Roman" w:hAnsi="Times New Roman" w:cs="Times New Roman"/>
          <w:noProof/>
          <w:color w:val="2E74B5" w:themeColor="accent1" w:themeShade="BF"/>
          <w:lang w:val="en-IE"/>
        </w:rPr>
      </w:pPr>
    </w:p>
    <w:p w14:paraId="7B43CAF5" w14:textId="72A18229" w:rsidR="001F3DF2" w:rsidRPr="000166FC" w:rsidRDefault="001F3DF2" w:rsidP="005F4C9A">
      <w:pPr>
        <w:ind w:left="-426"/>
        <w:rPr>
          <w:rFonts w:ascii="Times New Roman" w:hAnsi="Times New Roman" w:cs="Times New Roman"/>
          <w:b/>
          <w:bCs/>
          <w:noProof/>
          <w:color w:val="2E74B5" w:themeColor="accent1" w:themeShade="BF"/>
          <w:lang w:val="en-IE"/>
        </w:rPr>
      </w:pPr>
      <w:r w:rsidRPr="003C289C">
        <w:rPr>
          <w:rFonts w:ascii="Times New Roman" w:hAnsi="Times New Roman" w:cs="Times New Roman"/>
          <w:b/>
          <w:bCs/>
          <w:noProof/>
          <w:color w:val="2E74B5" w:themeColor="accent1" w:themeShade="BF"/>
          <w:lang w:val="en-IE"/>
        </w:rPr>
        <w:t>4: Key performance indicators for European Information S</w:t>
      </w:r>
      <w:r w:rsidR="000166FC">
        <w:rPr>
          <w:rFonts w:ascii="Times New Roman" w:hAnsi="Times New Roman" w:cs="Times New Roman"/>
          <w:b/>
          <w:bCs/>
          <w:noProof/>
          <w:color w:val="2E74B5" w:themeColor="accent1" w:themeShade="BF"/>
          <w:lang w:val="en-IE"/>
        </w:rPr>
        <w:t xml:space="preserve">ystems C2020 output indicators </w:t>
      </w:r>
    </w:p>
    <w:p w14:paraId="72CE0CD7" w14:textId="7142A52E" w:rsidR="001F3DF2" w:rsidRPr="003C289C" w:rsidRDefault="001F3DF2" w:rsidP="005F4C9A">
      <w:pPr>
        <w:ind w:left="-426"/>
        <w:rPr>
          <w:rFonts w:ascii="Times New Roman" w:hAnsi="Times New Roman" w:cs="Times New Roman"/>
          <w:b/>
          <w:bCs/>
          <w:noProof/>
          <w:lang w:val="en-IE"/>
        </w:rPr>
      </w:pPr>
      <w:r w:rsidRPr="003C289C">
        <w:rPr>
          <w:rFonts w:ascii="Times New Roman" w:hAnsi="Times New Roman" w:cs="Times New Roman"/>
          <w:b/>
          <w:bCs/>
          <w:noProof/>
          <w:lang w:val="en-IE"/>
        </w:rPr>
        <w:t>Table 3</w:t>
      </w:r>
      <w:r w:rsidR="00A1516F" w:rsidRPr="003C289C">
        <w:rPr>
          <w:rFonts w:ascii="Times New Roman" w:hAnsi="Times New Roman" w:cs="Times New Roman"/>
          <w:b/>
          <w:bCs/>
          <w:noProof/>
          <w:lang w:val="en-IE"/>
        </w:rPr>
        <w:t>: K</w:t>
      </w:r>
      <w:r w:rsidR="004935DB" w:rsidRPr="003C289C">
        <w:rPr>
          <w:rFonts w:ascii="Times New Roman" w:hAnsi="Times New Roman" w:cs="Times New Roman"/>
          <w:b/>
          <w:bCs/>
          <w:noProof/>
          <w:lang w:val="en-IE"/>
        </w:rPr>
        <w:t xml:space="preserve">ey </w:t>
      </w:r>
      <w:r w:rsidR="00A1516F" w:rsidRPr="003C289C">
        <w:rPr>
          <w:rFonts w:ascii="Times New Roman" w:hAnsi="Times New Roman" w:cs="Times New Roman"/>
          <w:b/>
          <w:bCs/>
          <w:noProof/>
          <w:lang w:val="en-IE"/>
        </w:rPr>
        <w:t>P</w:t>
      </w:r>
      <w:r w:rsidR="004935DB" w:rsidRPr="003C289C">
        <w:rPr>
          <w:rFonts w:ascii="Times New Roman" w:hAnsi="Times New Roman" w:cs="Times New Roman"/>
          <w:b/>
          <w:bCs/>
          <w:noProof/>
          <w:lang w:val="en-IE"/>
        </w:rPr>
        <w:t xml:space="preserve">erformance </w:t>
      </w:r>
      <w:r w:rsidR="00A1516F" w:rsidRPr="003C289C">
        <w:rPr>
          <w:rFonts w:ascii="Times New Roman" w:hAnsi="Times New Roman" w:cs="Times New Roman"/>
          <w:b/>
          <w:bCs/>
          <w:noProof/>
          <w:lang w:val="en-IE"/>
        </w:rPr>
        <w:t>I</w:t>
      </w:r>
      <w:r w:rsidR="004935DB" w:rsidRPr="003C289C">
        <w:rPr>
          <w:rFonts w:ascii="Times New Roman" w:hAnsi="Times New Roman" w:cs="Times New Roman"/>
          <w:b/>
          <w:bCs/>
          <w:noProof/>
          <w:lang w:val="en-IE"/>
        </w:rPr>
        <w:t>ndicators</w:t>
      </w:r>
    </w:p>
    <w:tbl>
      <w:tblPr>
        <w:tblStyle w:val="TableGrid2"/>
        <w:tblW w:w="10349" w:type="dxa"/>
        <w:tblInd w:w="-318" w:type="dxa"/>
        <w:tblLayout w:type="fixed"/>
        <w:tblLook w:val="04A0" w:firstRow="1" w:lastRow="0" w:firstColumn="1" w:lastColumn="0" w:noHBand="0" w:noVBand="1"/>
      </w:tblPr>
      <w:tblGrid>
        <w:gridCol w:w="8223"/>
        <w:gridCol w:w="2126"/>
      </w:tblGrid>
      <w:tr w:rsidR="001F3DF2" w:rsidRPr="00692395" w14:paraId="16F423D5"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5CF8D6A" w14:textId="77777777" w:rsidR="001F3DF2" w:rsidRPr="00692395" w:rsidRDefault="001F3DF2" w:rsidP="00B4586B">
            <w:pPr>
              <w:suppressAutoHyphens/>
              <w:autoSpaceDE w:val="0"/>
              <w:autoSpaceDN w:val="0"/>
              <w:adjustRightInd w:val="0"/>
              <w:spacing w:before="0" w:after="0" w:line="240" w:lineRule="auto"/>
              <w:ind w:right="-28"/>
              <w:textAlignment w:val="center"/>
              <w:rPr>
                <w:b/>
                <w:bCs/>
                <w:noProof/>
                <w:color w:val="000000" w:themeColor="text1"/>
                <w:lang w:val="en-IE"/>
              </w:rPr>
            </w:pPr>
            <w:r w:rsidRPr="00692395">
              <w:rPr>
                <w:b/>
                <w:bCs/>
                <w:noProof/>
                <w:color w:val="000000" w:themeColor="text1"/>
                <w:lang w:val="en-IE"/>
              </w:rPr>
              <w:t>C2020 output indicators – New IT systems for customs</w:t>
            </w:r>
          </w:p>
        </w:tc>
        <w:tc>
          <w:tcPr>
            <w:tcW w:w="2126"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6670F858" w14:textId="77777777" w:rsidR="001F3DF2" w:rsidRPr="00692395" w:rsidRDefault="001F3DF2" w:rsidP="00B4586B">
            <w:pPr>
              <w:suppressAutoHyphens/>
              <w:autoSpaceDE w:val="0"/>
              <w:autoSpaceDN w:val="0"/>
              <w:adjustRightInd w:val="0"/>
              <w:spacing w:before="0" w:after="0" w:line="240" w:lineRule="auto"/>
              <w:ind w:right="-28"/>
              <w:jc w:val="center"/>
              <w:textAlignment w:val="center"/>
              <w:rPr>
                <w:b/>
                <w:bCs/>
                <w:noProof/>
                <w:color w:val="4472C4" w:themeColor="accent5"/>
                <w:lang w:val="en-IE"/>
              </w:rPr>
            </w:pPr>
            <w:r w:rsidRPr="00692395">
              <w:rPr>
                <w:b/>
                <w:bCs/>
                <w:noProof/>
                <w:lang w:val="en-IE"/>
              </w:rPr>
              <w:t>2021</w:t>
            </w:r>
          </w:p>
        </w:tc>
      </w:tr>
      <w:tr w:rsidR="001F3DF2" w:rsidRPr="00692395" w14:paraId="6E05121E"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0F7061"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Number of IT projects in the research phase (PP)</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571672"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3</w:t>
            </w:r>
            <w:r w:rsidRPr="00692395">
              <w:rPr>
                <w:rStyle w:val="FootnoteReference"/>
                <w:noProof/>
                <w:color w:val="000000" w:themeColor="text1"/>
                <w:lang w:val="en-IE"/>
              </w:rPr>
              <w:footnoteReference w:id="43"/>
            </w:r>
          </w:p>
        </w:tc>
      </w:tr>
      <w:tr w:rsidR="001F3DF2" w:rsidRPr="00692395" w14:paraId="33271365"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4E8BB"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Number of IT projects in the development phase (P)</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13410"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11</w:t>
            </w:r>
            <w:r w:rsidRPr="00692395">
              <w:rPr>
                <w:rStyle w:val="FootnoteReference"/>
                <w:noProof/>
                <w:color w:val="000000" w:themeColor="text1"/>
                <w:lang w:val="en-IE"/>
              </w:rPr>
              <w:footnoteReference w:id="44"/>
            </w:r>
          </w:p>
        </w:tc>
      </w:tr>
      <w:tr w:rsidR="001F3DF2" w:rsidRPr="00692395" w14:paraId="54C069DC"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1FCB66"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Number of new IT systems in operations (PROD)</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CB13B9"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4</w:t>
            </w:r>
            <w:r w:rsidRPr="00692395">
              <w:rPr>
                <w:rStyle w:val="FootnoteReference"/>
                <w:noProof/>
                <w:color w:val="000000" w:themeColor="text1"/>
                <w:lang w:val="en-IE"/>
              </w:rPr>
              <w:footnoteReference w:id="45"/>
            </w:r>
          </w:p>
        </w:tc>
      </w:tr>
      <w:tr w:rsidR="001F3DF2" w:rsidRPr="00692395" w14:paraId="3CC9521D"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A0BF6"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lang w:val="en-IE"/>
              </w:rPr>
              <w:t>Ratio of IT projects in status "Green" (refer to MASP-C 2017) (%)</w:t>
            </w:r>
            <w:r w:rsidRPr="00692395">
              <w:rPr>
                <w:noProof/>
                <w:color w:val="000000"/>
                <w:vertAlign w:val="superscript"/>
                <w:lang w:val="en-IE"/>
              </w:rPr>
              <w:footnoteReference w:id="46"/>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9E3EA"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60%</w:t>
            </w:r>
            <w:r w:rsidRPr="00692395">
              <w:rPr>
                <w:rStyle w:val="FootnoteReference"/>
                <w:noProof/>
                <w:color w:val="000000" w:themeColor="text1"/>
                <w:lang w:val="en-IE"/>
              </w:rPr>
              <w:footnoteReference w:id="47"/>
            </w:r>
          </w:p>
        </w:tc>
      </w:tr>
      <w:tr w:rsidR="001F3DF2" w:rsidRPr="00692395" w14:paraId="77CEE241"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5FEEAA"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Ratio of IT projects in status "Green" (refer to MASP-C 2019) (%)</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53B838" w14:textId="24C7C6A1"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70</w:t>
            </w:r>
            <w:r w:rsidR="00CE61CC" w:rsidRPr="00692395">
              <w:rPr>
                <w:noProof/>
                <w:color w:val="000000" w:themeColor="text1"/>
                <w:lang w:val="en-IE"/>
              </w:rPr>
              <w:t>.</w:t>
            </w:r>
            <w:r w:rsidRPr="00692395">
              <w:rPr>
                <w:noProof/>
                <w:color w:val="000000" w:themeColor="text1"/>
                <w:lang w:val="en-IE"/>
              </w:rPr>
              <w:t>59%</w:t>
            </w:r>
            <w:r w:rsidRPr="00692395">
              <w:rPr>
                <w:rStyle w:val="FootnoteReference"/>
                <w:noProof/>
                <w:color w:val="000000" w:themeColor="text1"/>
                <w:lang w:val="en-IE"/>
              </w:rPr>
              <w:footnoteReference w:id="48"/>
            </w:r>
          </w:p>
        </w:tc>
      </w:tr>
      <w:tr w:rsidR="001F3DF2" w:rsidRPr="00692395" w14:paraId="05B825E0"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6CAD45E" w14:textId="77777777" w:rsidR="001F3DF2" w:rsidRPr="00692395" w:rsidRDefault="001F3DF2" w:rsidP="00B4586B">
            <w:pPr>
              <w:suppressAutoHyphens/>
              <w:autoSpaceDE w:val="0"/>
              <w:autoSpaceDN w:val="0"/>
              <w:adjustRightInd w:val="0"/>
              <w:spacing w:before="0" w:after="0" w:line="240" w:lineRule="auto"/>
              <w:ind w:right="-28"/>
              <w:textAlignment w:val="center"/>
              <w:rPr>
                <w:b/>
                <w:bCs/>
                <w:noProof/>
                <w:color w:val="000000" w:themeColor="text1"/>
                <w:lang w:val="en-IE"/>
              </w:rPr>
            </w:pPr>
            <w:r w:rsidRPr="00692395">
              <w:rPr>
                <w:b/>
                <w:bCs/>
                <w:noProof/>
                <w:color w:val="000000" w:themeColor="text1"/>
                <w:lang w:val="en-IE"/>
              </w:rPr>
              <w:t>C2020 output indicators – Existing IT systems for customs</w:t>
            </w:r>
          </w:p>
        </w:tc>
        <w:tc>
          <w:tcPr>
            <w:tcW w:w="2126"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3E42049F" w14:textId="77777777" w:rsidR="001F3DF2" w:rsidRPr="00692395" w:rsidRDefault="001F3DF2" w:rsidP="004A3EAF">
            <w:pPr>
              <w:suppressAutoHyphens/>
              <w:autoSpaceDE w:val="0"/>
              <w:autoSpaceDN w:val="0"/>
              <w:adjustRightInd w:val="0"/>
              <w:spacing w:before="0" w:after="0" w:line="240" w:lineRule="auto"/>
              <w:ind w:right="-28"/>
              <w:jc w:val="center"/>
              <w:textAlignment w:val="center"/>
              <w:rPr>
                <w:b/>
                <w:bCs/>
                <w:noProof/>
                <w:color w:val="000000" w:themeColor="text1"/>
                <w:lang w:val="en-IE"/>
              </w:rPr>
            </w:pPr>
            <w:r w:rsidRPr="00692395">
              <w:rPr>
                <w:b/>
                <w:bCs/>
                <w:noProof/>
                <w:color w:val="000000" w:themeColor="text1"/>
                <w:lang w:val="en-IE"/>
              </w:rPr>
              <w:t>2021</w:t>
            </w:r>
          </w:p>
        </w:tc>
      </w:tr>
      <w:tr w:rsidR="001F3DF2" w:rsidRPr="00692395" w14:paraId="72F20F2A"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91BB40"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Number of European Information Systems in operations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348E"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61</w:t>
            </w:r>
          </w:p>
        </w:tc>
      </w:tr>
      <w:tr w:rsidR="001F3DF2" w:rsidRPr="00692395" w14:paraId="6ABC3916"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CA775"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Number of modifications on IT systems in operation following business requests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10E3D"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473</w:t>
            </w:r>
          </w:p>
        </w:tc>
      </w:tr>
      <w:tr w:rsidR="001F3DF2" w:rsidRPr="00692395" w14:paraId="149587C1"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E6F5CE" w14:textId="77777777" w:rsidR="001F3DF2" w:rsidRPr="00692395" w:rsidRDefault="001F3DF2" w:rsidP="00B4586B">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Number of modifications on IT systems in operation following corrections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70C07F"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357</w:t>
            </w:r>
          </w:p>
        </w:tc>
      </w:tr>
      <w:tr w:rsidR="001F3DF2" w:rsidRPr="00692395" w14:paraId="5A5D0E83"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5B2C2" w14:textId="77777777" w:rsidR="001F3DF2" w:rsidRPr="00692395" w:rsidRDefault="001F3DF2" w:rsidP="00B4586B">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Number of occurrences where the service desk is not reachable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7866E"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0</w:t>
            </w:r>
          </w:p>
        </w:tc>
      </w:tr>
      <w:tr w:rsidR="001F3DF2" w:rsidRPr="00692395" w14:paraId="371B1762"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02AECD" w14:textId="36AF93E5" w:rsidR="001F3DF2" w:rsidRPr="00692395" w:rsidRDefault="005A4B4A" w:rsidP="00B4586B">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Percentage of service</w:t>
            </w:r>
            <w:r w:rsidR="001F3DF2" w:rsidRPr="00692395">
              <w:rPr>
                <w:noProof/>
                <w:color w:val="000000" w:themeColor="text1"/>
                <w:lang w:val="en-IE"/>
              </w:rPr>
              <w:t xml:space="preserve"> calls answered on time</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F8C7EF" w14:textId="77777777"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99.40%</w:t>
            </w:r>
          </w:p>
        </w:tc>
      </w:tr>
      <w:tr w:rsidR="001F3DF2" w:rsidRPr="00692395" w14:paraId="38E3D32B"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55CD23C" w14:textId="77777777" w:rsidR="001F3DF2" w:rsidRPr="00692395" w:rsidRDefault="001F3DF2" w:rsidP="00B4586B">
            <w:pPr>
              <w:keepNext/>
              <w:suppressAutoHyphens/>
              <w:autoSpaceDE w:val="0"/>
              <w:autoSpaceDN w:val="0"/>
              <w:adjustRightInd w:val="0"/>
              <w:spacing w:before="0" w:after="0" w:line="240" w:lineRule="auto"/>
              <w:ind w:right="-28"/>
              <w:textAlignment w:val="center"/>
              <w:rPr>
                <w:noProof/>
                <w:color w:val="000000" w:themeColor="text1"/>
                <w:lang w:val="en-IE"/>
              </w:rPr>
            </w:pPr>
            <w:r w:rsidRPr="00692395">
              <w:rPr>
                <w:b/>
                <w:bCs/>
                <w:noProof/>
                <w:color w:val="000000" w:themeColor="text1"/>
                <w:lang w:val="en-IE"/>
              </w:rPr>
              <w:t>C2020 result indicators – European Information Systems</w:t>
            </w:r>
          </w:p>
        </w:tc>
        <w:tc>
          <w:tcPr>
            <w:tcW w:w="2126"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4FA1425" w14:textId="77777777" w:rsidR="001F3DF2" w:rsidRPr="00692395" w:rsidRDefault="001F3DF2" w:rsidP="004A3EAF">
            <w:pPr>
              <w:keepNext/>
              <w:suppressAutoHyphens/>
              <w:autoSpaceDE w:val="0"/>
              <w:autoSpaceDN w:val="0"/>
              <w:adjustRightInd w:val="0"/>
              <w:spacing w:before="0" w:after="0" w:line="240" w:lineRule="auto"/>
              <w:ind w:right="-28"/>
              <w:jc w:val="center"/>
              <w:textAlignment w:val="center"/>
              <w:rPr>
                <w:noProof/>
                <w:color w:val="000000" w:themeColor="text1"/>
                <w:lang w:val="en-IE"/>
              </w:rPr>
            </w:pPr>
            <w:r w:rsidRPr="00692395">
              <w:rPr>
                <w:b/>
                <w:bCs/>
                <w:noProof/>
                <w:color w:val="000000" w:themeColor="text1"/>
                <w:lang w:val="en-IE"/>
              </w:rPr>
              <w:t>2021</w:t>
            </w:r>
          </w:p>
        </w:tc>
      </w:tr>
      <w:tr w:rsidR="001F3DF2" w:rsidRPr="00692395" w14:paraId="4567BF22"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28D8B0"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Availability of the Common Communication Network (CCN), Common Systems Interface (CSI) (%)</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0D9708" w14:textId="1F1BDE24" w:rsidR="001F3DF2" w:rsidRPr="00692395" w:rsidRDefault="29F51BA1" w:rsidP="004A3EAF">
            <w:pPr>
              <w:keepNext/>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99.9</w:t>
            </w:r>
            <w:r w:rsidR="3170A0FF" w:rsidRPr="00692395">
              <w:rPr>
                <w:noProof/>
                <w:color w:val="000000" w:themeColor="text1"/>
                <w:lang w:val="en-IE"/>
              </w:rPr>
              <w:t>0</w:t>
            </w:r>
            <w:r w:rsidRPr="00692395">
              <w:rPr>
                <w:noProof/>
                <w:color w:val="000000" w:themeColor="text1"/>
                <w:lang w:val="en-IE"/>
              </w:rPr>
              <w:t>%</w:t>
            </w:r>
          </w:p>
        </w:tc>
      </w:tr>
      <w:tr w:rsidR="001F3DF2" w:rsidRPr="00692395" w14:paraId="591D2C6E"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C6227" w14:textId="77777777" w:rsidR="001F3DF2" w:rsidRPr="00692395" w:rsidRDefault="001F3DF2" w:rsidP="00B4586B">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Availability of centralised IT customs applications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E541A" w14:textId="0EE4C3AA"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99.2</w:t>
            </w:r>
            <w:r w:rsidR="00B70C07" w:rsidRPr="00692395">
              <w:rPr>
                <w:noProof/>
                <w:color w:val="000000" w:themeColor="text1"/>
                <w:lang w:val="en-IE"/>
              </w:rPr>
              <w:t>0</w:t>
            </w:r>
            <w:r w:rsidRPr="00692395">
              <w:rPr>
                <w:noProof/>
                <w:color w:val="000000" w:themeColor="text1"/>
                <w:lang w:val="en-IE"/>
              </w:rPr>
              <w:t>%</w:t>
            </w:r>
          </w:p>
        </w:tc>
      </w:tr>
      <w:tr w:rsidR="001F3DF2" w:rsidRPr="00692395" w14:paraId="6390062E" w14:textId="77777777" w:rsidTr="00692395">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3E60A3"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Availability of New Computerised Transit System (NCTS), Export Control System (ECS), Import Control System (ICS) (%)</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0E1D8A" w14:textId="5B859CA6"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99.28%</w:t>
            </w:r>
          </w:p>
        </w:tc>
      </w:tr>
      <w:tr w:rsidR="001F3DF2" w:rsidRPr="00692395" w14:paraId="5EEAE4FF" w14:textId="77777777" w:rsidTr="00692395">
        <w:trPr>
          <w:trHeight w:val="195"/>
        </w:trPr>
        <w:tc>
          <w:tcPr>
            <w:tcW w:w="8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A04C1"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Availability of the Single Portal for Entry or Exit of Data (SPEED2)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D33DA" w14:textId="271A750F"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99.94%</w:t>
            </w:r>
          </w:p>
        </w:tc>
      </w:tr>
      <w:tr w:rsidR="001F3DF2" w:rsidRPr="00692395" w14:paraId="105A71CD" w14:textId="77777777" w:rsidTr="00692395">
        <w:trPr>
          <w:trHeight w:val="127"/>
        </w:trPr>
        <w:tc>
          <w:tcPr>
            <w:tcW w:w="8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5FEA51" w14:textId="77777777" w:rsidR="001F3DF2" w:rsidRPr="00692395" w:rsidRDefault="001F3DF2" w:rsidP="00B4586B">
            <w:pPr>
              <w:suppressAutoHyphens/>
              <w:autoSpaceDE w:val="0"/>
              <w:autoSpaceDN w:val="0"/>
              <w:adjustRightInd w:val="0"/>
              <w:spacing w:before="0" w:after="0" w:line="240" w:lineRule="auto"/>
              <w:ind w:right="-28"/>
              <w:jc w:val="both"/>
              <w:textAlignment w:val="center"/>
              <w:rPr>
                <w:noProof/>
                <w:color w:val="000000" w:themeColor="text1"/>
                <w:lang w:val="en-IE"/>
              </w:rPr>
            </w:pPr>
            <w:r w:rsidRPr="00692395">
              <w:rPr>
                <w:noProof/>
                <w:color w:val="000000" w:themeColor="text1"/>
                <w:lang w:val="en-IE"/>
              </w:rPr>
              <w:t>Activity indicators (application data volumes and number of messages CCN Network)</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AD23E8" w14:textId="64DAEB81"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65.90</w:t>
            </w:r>
            <w:r w:rsidR="00DA0A96" w:rsidRPr="00692395">
              <w:rPr>
                <w:noProof/>
                <w:color w:val="000000" w:themeColor="text1"/>
                <w:lang w:val="en-IE"/>
              </w:rPr>
              <w:t xml:space="preserve"> </w:t>
            </w:r>
            <w:r w:rsidRPr="00692395">
              <w:rPr>
                <w:noProof/>
                <w:color w:val="000000" w:themeColor="text1"/>
                <w:lang w:val="en-IE"/>
              </w:rPr>
              <w:t>Terabytes</w:t>
            </w:r>
          </w:p>
          <w:p w14:paraId="73474622" w14:textId="26D8F28B" w:rsidR="001F3DF2" w:rsidRPr="00692395" w:rsidRDefault="001F3DF2" w:rsidP="004A3EAF">
            <w:pPr>
              <w:suppressAutoHyphens/>
              <w:autoSpaceDE w:val="0"/>
              <w:autoSpaceDN w:val="0"/>
              <w:adjustRightInd w:val="0"/>
              <w:spacing w:before="0" w:after="0" w:line="240" w:lineRule="auto"/>
              <w:ind w:right="-28"/>
              <w:textAlignment w:val="center"/>
              <w:rPr>
                <w:noProof/>
                <w:color w:val="000000" w:themeColor="text1"/>
                <w:lang w:val="en-IE"/>
              </w:rPr>
            </w:pPr>
            <w:r w:rsidRPr="00692395">
              <w:rPr>
                <w:noProof/>
                <w:color w:val="000000" w:themeColor="text1"/>
                <w:lang w:val="en-IE"/>
              </w:rPr>
              <w:t>7</w:t>
            </w:r>
            <w:r w:rsidR="006F3191" w:rsidRPr="00692395">
              <w:rPr>
                <w:noProof/>
                <w:color w:val="000000" w:themeColor="text1"/>
                <w:lang w:val="en-IE"/>
              </w:rPr>
              <w:t> </w:t>
            </w:r>
            <w:r w:rsidRPr="00692395">
              <w:rPr>
                <w:noProof/>
                <w:color w:val="000000" w:themeColor="text1"/>
                <w:lang w:val="en-IE"/>
              </w:rPr>
              <w:t>860 million messages</w:t>
            </w:r>
          </w:p>
        </w:tc>
      </w:tr>
    </w:tbl>
    <w:p w14:paraId="25BB32C9" w14:textId="77777777" w:rsidR="000166FC" w:rsidRDefault="000166FC" w:rsidP="000166FC">
      <w:pPr>
        <w:rPr>
          <w:rFonts w:ascii="Times New Roman" w:hAnsi="Times New Roman" w:cs="Times New Roman"/>
          <w:b/>
          <w:bCs/>
          <w:noProof/>
          <w:color w:val="2E74B5" w:themeColor="accent1" w:themeShade="BF"/>
          <w:lang w:val="en-IE"/>
        </w:rPr>
      </w:pPr>
    </w:p>
    <w:p w14:paraId="643723D6" w14:textId="57319F5A" w:rsidR="00291CBC" w:rsidRPr="003C289C" w:rsidRDefault="001F3DF2" w:rsidP="005F4C9A">
      <w:pPr>
        <w:ind w:left="-426"/>
        <w:rPr>
          <w:rFonts w:ascii="Times New Roman" w:hAnsi="Times New Roman" w:cs="Times New Roman"/>
          <w:b/>
          <w:bCs/>
          <w:noProof/>
          <w:color w:val="2E74B5" w:themeColor="accent1" w:themeShade="BF"/>
          <w:lang w:val="en-IE"/>
        </w:rPr>
      </w:pPr>
      <w:r w:rsidRPr="003C289C">
        <w:rPr>
          <w:rFonts w:ascii="Times New Roman" w:hAnsi="Times New Roman" w:cs="Times New Roman"/>
          <w:b/>
          <w:bCs/>
          <w:noProof/>
          <w:color w:val="2E74B5" w:themeColor="accent1" w:themeShade="BF"/>
          <w:lang w:val="en-IE"/>
        </w:rPr>
        <w:t>5: Joint actions with national customs authorities in the area of IT</w:t>
      </w:r>
    </w:p>
    <w:p w14:paraId="3D52D479" w14:textId="6C41A3FE" w:rsidR="00291CBC" w:rsidRPr="003C289C" w:rsidRDefault="00291CBC" w:rsidP="005F4C9A">
      <w:pPr>
        <w:ind w:left="-426"/>
        <w:rPr>
          <w:rFonts w:ascii="Times New Roman" w:hAnsi="Times New Roman" w:cs="Times New Roman"/>
          <w:b/>
          <w:bCs/>
          <w:noProof/>
          <w:lang w:val="en-IE"/>
        </w:rPr>
      </w:pPr>
      <w:r w:rsidRPr="003C289C">
        <w:rPr>
          <w:rFonts w:ascii="Times New Roman" w:hAnsi="Times New Roman" w:cs="Times New Roman"/>
          <w:b/>
          <w:bCs/>
          <w:noProof/>
          <w:lang w:val="en-IE"/>
        </w:rPr>
        <w:t>Table 4</w:t>
      </w:r>
      <w:r w:rsidR="00A1516F" w:rsidRPr="003C289C">
        <w:rPr>
          <w:rFonts w:ascii="Times New Roman" w:hAnsi="Times New Roman" w:cs="Times New Roman"/>
          <w:b/>
          <w:bCs/>
          <w:noProof/>
          <w:lang w:val="en-IE"/>
        </w:rPr>
        <w:t>: Joint actions in IT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57"/>
        <w:gridCol w:w="850"/>
      </w:tblGrid>
      <w:tr w:rsidR="00291CBC" w:rsidRPr="00692395" w14:paraId="55E35923" w14:textId="77777777" w:rsidTr="586E19CB">
        <w:trPr>
          <w:trHeight w:val="140"/>
          <w:tblHeader/>
        </w:trPr>
        <w:tc>
          <w:tcPr>
            <w:tcW w:w="9357"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4D758685" w14:textId="77777777" w:rsidR="00291CBC" w:rsidRPr="00692395" w:rsidRDefault="00291CBC" w:rsidP="00D17A25">
            <w:pPr>
              <w:spacing w:after="0"/>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850"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61F6D8AD" w14:textId="77777777" w:rsidR="00291CBC" w:rsidRPr="00692395" w:rsidRDefault="00291CBC" w:rsidP="007276B4">
            <w:pPr>
              <w:spacing w:after="0"/>
              <w:jc w:val="cente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291CBC" w:rsidRPr="00692395" w14:paraId="63687FEA" w14:textId="77777777" w:rsidTr="586E19CB">
        <w:trPr>
          <w:trHeight w:val="305"/>
        </w:trPr>
        <w:tc>
          <w:tcPr>
            <w:tcW w:w="935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DF69F6" w14:textId="77777777" w:rsidR="00291CBC" w:rsidRPr="00692395" w:rsidRDefault="00291CBC" w:rsidP="007276B4">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JAs (that sought to enhance the availability, reliability and/or quality of (specific) Union components of EIS) have achieved their intended result(s), as reported by action managers: average score on the scale of 0 (not achieved) to 4 (fully achieved)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C45A3" w14:textId="77777777" w:rsidR="00291CBC" w:rsidRPr="00692395" w:rsidRDefault="00291CBC" w:rsidP="006F319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3.00*</w:t>
            </w:r>
          </w:p>
        </w:tc>
      </w:tr>
      <w:tr w:rsidR="00291CBC" w:rsidRPr="00692395" w14:paraId="663DB4A2" w14:textId="77777777" w:rsidTr="586E19CB">
        <w:trPr>
          <w:trHeight w:val="305"/>
        </w:trPr>
        <w:tc>
          <w:tcPr>
            <w:tcW w:w="93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01E08" w14:textId="6BEBC9AA" w:rsidR="00291CBC" w:rsidRPr="00692395" w:rsidRDefault="1BC3AAE2" w:rsidP="007276B4">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 JA (that sought to enhance the availability, reliability and/or quality of (specific) Union components of EIS) (has) achieved its intended result(s) (percentage of those who replied 'fully' or 'to large extent')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8F9A3" w14:textId="04D74C02" w:rsidR="00291CBC" w:rsidRPr="00692395" w:rsidRDefault="00CB301D" w:rsidP="006F319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bidi="he-IL"/>
              </w:rPr>
              <w:t>93.2</w:t>
            </w:r>
            <w:r w:rsidR="00291CBC" w:rsidRPr="00692395">
              <w:rPr>
                <w:rFonts w:ascii="Times New Roman" w:hAnsi="Times New Roman" w:cs="Times New Roman"/>
                <w:noProof/>
                <w:sz w:val="20"/>
                <w:szCs w:val="20"/>
                <w:lang w:val="en-IE" w:bidi="he-IL"/>
              </w:rPr>
              <w:t xml:space="preserve">% </w:t>
            </w:r>
          </w:p>
        </w:tc>
      </w:tr>
      <w:tr w:rsidR="00291CBC" w:rsidRPr="00692395" w14:paraId="37F12E99" w14:textId="77777777" w:rsidTr="586E19CB">
        <w:trPr>
          <w:trHeight w:val="305"/>
        </w:trPr>
        <w:tc>
          <w:tcPr>
            <w:tcW w:w="935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47A38F" w14:textId="77777777" w:rsidR="00291CBC" w:rsidRPr="00692395" w:rsidRDefault="00291CBC" w:rsidP="007276B4">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an event met their expectations (percentage of those who replied 'fully' or 'to large extent')</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53D3CC" w14:textId="00C50E6B" w:rsidR="00291CBC" w:rsidRPr="00692395" w:rsidRDefault="00CB301D" w:rsidP="006F319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bidi="he-IL"/>
              </w:rPr>
              <w:t>90.9</w:t>
            </w:r>
            <w:r w:rsidR="00291CBC" w:rsidRPr="00692395">
              <w:rPr>
                <w:rFonts w:ascii="Times New Roman" w:hAnsi="Times New Roman" w:cs="Times New Roman"/>
                <w:noProof/>
                <w:sz w:val="20"/>
                <w:szCs w:val="20"/>
                <w:lang w:val="en-IE" w:bidi="he-IL"/>
              </w:rPr>
              <w:t>%</w:t>
            </w:r>
          </w:p>
        </w:tc>
      </w:tr>
      <w:tr w:rsidR="00291CBC" w:rsidRPr="00692395" w14:paraId="787AFB3E" w14:textId="77777777" w:rsidTr="586E19CB">
        <w:trPr>
          <w:trHeight w:val="135"/>
        </w:trPr>
        <w:tc>
          <w:tcPr>
            <w:tcW w:w="93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5763B" w14:textId="77777777" w:rsidR="00291CBC" w:rsidRPr="00692395" w:rsidRDefault="00291CBC" w:rsidP="007276B4">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usefulness of an event (percentage of those who replied 'very useful' or 'useful')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90D2C" w14:textId="33D05ED4" w:rsidR="00291CBC" w:rsidRPr="00692395" w:rsidRDefault="00CB301D" w:rsidP="006F319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98.4</w:t>
            </w:r>
            <w:r w:rsidR="00291CBC" w:rsidRPr="00692395">
              <w:rPr>
                <w:rFonts w:ascii="Times New Roman" w:hAnsi="Times New Roman" w:cs="Times New Roman"/>
                <w:noProof/>
                <w:sz w:val="20"/>
                <w:szCs w:val="20"/>
                <w:lang w:val="en-IE"/>
              </w:rPr>
              <w:t xml:space="preserve">% </w:t>
            </w:r>
          </w:p>
        </w:tc>
      </w:tr>
    </w:tbl>
    <w:p w14:paraId="503DF142" w14:textId="0CF6A988" w:rsidR="000D2726" w:rsidRPr="001F183D" w:rsidRDefault="00291CBC" w:rsidP="009D07ED">
      <w:pPr>
        <w:ind w:left="-426"/>
        <w:rPr>
          <w:rFonts w:ascii="Times New Roman" w:hAnsi="Times New Roman" w:cs="Times New Roman"/>
          <w:noProof/>
          <w:sz w:val="18"/>
          <w:szCs w:val="18"/>
          <w:lang w:val="en-IE"/>
        </w:rPr>
      </w:pPr>
      <w:r w:rsidRPr="001F183D">
        <w:rPr>
          <w:rFonts w:ascii="Times New Roman" w:hAnsi="Times New Roman" w:cs="Times New Roman"/>
          <w:noProof/>
          <w:sz w:val="18"/>
          <w:szCs w:val="18"/>
          <w:lang w:val="en-IE"/>
        </w:rPr>
        <w:t>*Non-representative data due to limited feedback received in AFF</w:t>
      </w:r>
      <w:r w:rsidR="000D2726">
        <w:rPr>
          <w:rFonts w:ascii="Times New Roman" w:hAnsi="Times New Roman" w:cs="Times New Roman"/>
          <w:noProof/>
          <w:sz w:val="18"/>
          <w:szCs w:val="18"/>
          <w:lang w:val="en-IE"/>
        </w:rPr>
        <w:t>s for 2021 from action managers.</w:t>
      </w:r>
    </w:p>
    <w:p w14:paraId="4D3A685A" w14:textId="69CAD859" w:rsidR="00291CBC" w:rsidRPr="003C289C" w:rsidRDefault="00291CBC" w:rsidP="005F4C9A">
      <w:pPr>
        <w:spacing w:after="240"/>
        <w:ind w:left="-284"/>
        <w:rPr>
          <w:rFonts w:ascii="Times New Roman" w:hAnsi="Times New Roman" w:cs="Times New Roman"/>
          <w:b/>
          <w:bCs/>
          <w:noProof/>
          <w:color w:val="2E74B5" w:themeColor="accent1" w:themeShade="BF"/>
          <w:lang w:val="en-IE"/>
        </w:rPr>
      </w:pPr>
      <w:r w:rsidRPr="003C289C">
        <w:rPr>
          <w:rFonts w:ascii="Times New Roman" w:hAnsi="Times New Roman" w:cs="Times New Roman"/>
          <w:b/>
          <w:bCs/>
          <w:noProof/>
          <w:color w:val="2E74B5" w:themeColor="accent1" w:themeShade="BF"/>
          <w:lang w:val="en-IE"/>
        </w:rPr>
        <w:t>6: Cross-cut indicators of collaboration robustness between programme stakeholders</w:t>
      </w:r>
    </w:p>
    <w:p w14:paraId="35AD045B" w14:textId="15EC0FF2" w:rsidR="00291CBC" w:rsidRPr="003C289C" w:rsidRDefault="00291CBC" w:rsidP="005F4C9A">
      <w:pPr>
        <w:spacing w:after="240"/>
        <w:ind w:left="-284"/>
        <w:rPr>
          <w:rFonts w:ascii="Times New Roman" w:hAnsi="Times New Roman" w:cs="Times New Roman"/>
          <w:b/>
          <w:bCs/>
          <w:noProof/>
          <w:lang w:val="en-IE"/>
        </w:rPr>
      </w:pPr>
      <w:r w:rsidRPr="003C289C">
        <w:rPr>
          <w:rFonts w:ascii="Times New Roman" w:hAnsi="Times New Roman" w:cs="Times New Roman"/>
          <w:b/>
          <w:bCs/>
          <w:noProof/>
          <w:lang w:val="en-IE"/>
        </w:rPr>
        <w:t>Table 5</w:t>
      </w:r>
      <w:r w:rsidR="00A1516F" w:rsidRPr="003C289C">
        <w:rPr>
          <w:rFonts w:ascii="Times New Roman" w:hAnsi="Times New Roman" w:cs="Times New Roman"/>
          <w:b/>
          <w:bCs/>
          <w:noProof/>
          <w:lang w:val="en-IE"/>
        </w:rPr>
        <w:t>: Collaboration</w:t>
      </w:r>
    </w:p>
    <w:tbl>
      <w:tblPr>
        <w:tblpPr w:leftFromText="181" w:rightFromText="181" w:bottomFromText="159" w:vertAnchor="text" w:horzAnchor="margin" w:tblpX="-17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073"/>
        <w:gridCol w:w="992"/>
      </w:tblGrid>
      <w:tr w:rsidR="00291CBC" w:rsidRPr="00692395" w14:paraId="2E6EE765" w14:textId="77777777" w:rsidTr="00B10C5C">
        <w:trPr>
          <w:trHeight w:val="140"/>
          <w:tblHeader/>
        </w:trPr>
        <w:tc>
          <w:tcPr>
            <w:tcW w:w="9073"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498CF398"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ED86386"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CD5A23" w:rsidRPr="00692395" w14:paraId="3810FB3F" w14:textId="77777777" w:rsidTr="009D07ED">
        <w:trPr>
          <w:trHeight w:val="709"/>
        </w:trPr>
        <w:tc>
          <w:tcPr>
            <w:tcW w:w="90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AFCDC1" w14:textId="4E1D7543" w:rsidR="00CD5A23" w:rsidRPr="00692395" w:rsidRDefault="00CD5A23"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JA (that sought to enhance collaboration between participating countries, their administrations and officials in the field of customs) have achieved their intended result(s), as reported by action managers: average score on the scale of 0 (not achieved) to 4 (fully achieved)</w:t>
            </w:r>
          </w:p>
        </w:tc>
        <w:tc>
          <w:tcPr>
            <w:tcW w:w="992" w:type="dxa"/>
            <w:tcBorders>
              <w:top w:val="single" w:sz="4" w:space="0" w:color="auto"/>
              <w:left w:val="single" w:sz="4" w:space="0" w:color="auto"/>
              <w:right w:val="single" w:sz="4" w:space="0" w:color="auto"/>
            </w:tcBorders>
            <w:shd w:val="clear" w:color="auto" w:fill="DEEAF6" w:themeFill="accent1" w:themeFillTint="33"/>
            <w:vAlign w:val="center"/>
          </w:tcPr>
          <w:p w14:paraId="0D8B56B7" w14:textId="77777777" w:rsidR="00CD5A23" w:rsidRPr="00692395" w:rsidRDefault="00CD5A23"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3.67*</w:t>
            </w:r>
          </w:p>
          <w:p w14:paraId="1CBA746B" w14:textId="00C8EF8F" w:rsidR="00CD5A23" w:rsidRPr="00692395" w:rsidRDefault="00CD5A23" w:rsidP="00496C6E">
            <w:pPr>
              <w:rPr>
                <w:rFonts w:ascii="Times New Roman" w:hAnsi="Times New Roman" w:cs="Times New Roman"/>
                <w:noProof/>
                <w:sz w:val="20"/>
                <w:szCs w:val="20"/>
                <w:lang w:val="en-IE"/>
              </w:rPr>
            </w:pPr>
          </w:p>
        </w:tc>
      </w:tr>
      <w:tr w:rsidR="00291CBC" w:rsidRPr="00692395" w14:paraId="146256AE"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7B862" w14:textId="77777777" w:rsidR="00291CBC" w:rsidRPr="00692395" w:rsidRDefault="00291CBC"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the target audience is aware of the programme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A35E4" w14:textId="77777777" w:rsidR="00291CBC" w:rsidRPr="00692395" w:rsidRDefault="00291CBC"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46.23 %</w:t>
            </w:r>
          </w:p>
        </w:tc>
      </w:tr>
      <w:tr w:rsidR="00291CBC" w:rsidRPr="00692395" w14:paraId="4215F524"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1BA40570"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 Degree of networking generated by programme activities</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F224DF7"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291CBC" w:rsidRPr="00692395" w14:paraId="39147872"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6A3BF2" w14:textId="2FDEB4CC" w:rsidR="00291CBC" w:rsidRPr="00692395" w:rsidRDefault="1BC3AAE2"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Q 1: Did the activity provide you a good opportunity to expand your network of and contacts with officials abroad? (</w:t>
            </w:r>
            <w:r w:rsidR="691E6BA1" w:rsidRPr="00692395">
              <w:rPr>
                <w:rFonts w:ascii="Times New Roman" w:hAnsi="Times New Roman" w:cs="Times New Roman"/>
                <w:noProof/>
                <w:sz w:val="20"/>
                <w:szCs w:val="20"/>
                <w:lang w:val="en-IE"/>
              </w:rPr>
              <w:t>Percentage</w:t>
            </w:r>
            <w:r w:rsidRPr="00692395">
              <w:rPr>
                <w:rFonts w:ascii="Times New Roman" w:hAnsi="Times New Roman" w:cs="Times New Roman"/>
                <w:noProof/>
                <w:sz w:val="20"/>
                <w:szCs w:val="20"/>
                <w:lang w:val="en-IE"/>
              </w:rPr>
              <w:t xml:space="preserve"> agreeing)</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24F2F" w14:textId="77777777" w:rsidR="00291CBC" w:rsidRPr="00692395" w:rsidRDefault="00291CBC" w:rsidP="00B10C5C">
            <w:pPr>
              <w:rPr>
                <w:rFonts w:ascii="Times New Roman" w:hAnsi="Times New Roman" w:cs="Times New Roman"/>
                <w:b/>
                <w:noProof/>
                <w:sz w:val="20"/>
                <w:szCs w:val="20"/>
                <w:lang w:val="en-IE"/>
              </w:rPr>
            </w:pPr>
            <w:r w:rsidRPr="00692395">
              <w:rPr>
                <w:rFonts w:ascii="Times New Roman" w:hAnsi="Times New Roman" w:cs="Times New Roman"/>
                <w:noProof/>
                <w:sz w:val="20"/>
                <w:szCs w:val="20"/>
                <w:lang w:val="en-IE"/>
              </w:rPr>
              <w:t>81.1%</w:t>
            </w:r>
          </w:p>
        </w:tc>
      </w:tr>
      <w:tr w:rsidR="00291CBC" w:rsidRPr="00692395" w14:paraId="05A223C3"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D73FF" w14:textId="0DCABCB2" w:rsidR="00291CBC" w:rsidRPr="00692395" w:rsidRDefault="1BC3AAE2"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Q2: Have you been in contact for work purposes with the officials you met during this activity since the activity ended? (</w:t>
            </w:r>
            <w:r w:rsidR="347CD73B" w:rsidRPr="00692395">
              <w:rPr>
                <w:rFonts w:ascii="Times New Roman" w:hAnsi="Times New Roman" w:cs="Times New Roman"/>
                <w:noProof/>
                <w:sz w:val="20"/>
                <w:szCs w:val="20"/>
                <w:lang w:val="en-IE"/>
              </w:rPr>
              <w:t>Percentage</w:t>
            </w:r>
            <w:r w:rsidRPr="00692395">
              <w:rPr>
                <w:rFonts w:ascii="Times New Roman" w:hAnsi="Times New Roman" w:cs="Times New Roman"/>
                <w:noProof/>
                <w:sz w:val="20"/>
                <w:szCs w:val="20"/>
                <w:lang w:val="en-IE"/>
              </w:rPr>
              <w:t xml:space="preserve"> agreeing)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6E02" w14:textId="77777777" w:rsidR="00291CBC" w:rsidRPr="00692395" w:rsidRDefault="00291CBC" w:rsidP="00B10C5C">
            <w:pPr>
              <w:rPr>
                <w:rFonts w:ascii="Times New Roman" w:hAnsi="Times New Roman" w:cs="Times New Roman"/>
                <w:b/>
                <w:noProof/>
                <w:sz w:val="20"/>
                <w:szCs w:val="20"/>
                <w:lang w:val="en-IE"/>
              </w:rPr>
            </w:pPr>
            <w:r w:rsidRPr="00692395">
              <w:rPr>
                <w:rFonts w:ascii="Times New Roman" w:hAnsi="Times New Roman" w:cs="Times New Roman"/>
                <w:noProof/>
                <w:sz w:val="20"/>
                <w:szCs w:val="20"/>
                <w:lang w:val="en-IE"/>
              </w:rPr>
              <w:t>54.9%</w:t>
            </w:r>
          </w:p>
        </w:tc>
      </w:tr>
      <w:tr w:rsidR="00291CBC" w:rsidRPr="00692395" w14:paraId="621CBB80" w14:textId="77777777" w:rsidTr="00B10C5C">
        <w:trPr>
          <w:trHeight w:val="16"/>
        </w:trPr>
        <w:tc>
          <w:tcPr>
            <w:tcW w:w="9073"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3842ABEF"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  Extent to which programme outputs (e.g. guidelines or training material) are shared within national administrations</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CCA25E6" w14:textId="77777777" w:rsidR="00291CBC" w:rsidRPr="00692395" w:rsidRDefault="00291CBC" w:rsidP="00B10C5C">
            <w:pP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291CBC" w:rsidRPr="00692395" w14:paraId="61585749"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51FA44" w14:textId="5EC663E2" w:rsidR="00291CBC" w:rsidRPr="00692395" w:rsidRDefault="00195500"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Q 1</w:t>
            </w:r>
            <w:r w:rsidR="1BC3AAE2" w:rsidRPr="00692395">
              <w:rPr>
                <w:rFonts w:ascii="Times New Roman" w:hAnsi="Times New Roman" w:cs="Times New Roman"/>
                <w:noProof/>
                <w:sz w:val="20"/>
                <w:szCs w:val="20"/>
                <w:lang w:val="en-IE"/>
              </w:rPr>
              <w:t>: Were the outputs of the action shared in national administrations? (</w:t>
            </w:r>
            <w:r w:rsidR="4B8BE84B" w:rsidRPr="00692395">
              <w:rPr>
                <w:rFonts w:ascii="Times New Roman" w:hAnsi="Times New Roman" w:cs="Times New Roman"/>
                <w:noProof/>
                <w:sz w:val="20"/>
                <w:szCs w:val="20"/>
                <w:lang w:val="en-IE"/>
              </w:rPr>
              <w:t>Percentage</w:t>
            </w:r>
            <w:r w:rsidR="1BC3AAE2" w:rsidRPr="00692395">
              <w:rPr>
                <w:rFonts w:ascii="Times New Roman" w:hAnsi="Times New Roman" w:cs="Times New Roman"/>
                <w:noProof/>
                <w:sz w:val="20"/>
                <w:szCs w:val="20"/>
                <w:lang w:val="en-IE"/>
              </w:rPr>
              <w:t xml:space="preserve"> agreeing)</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E1CEB" w14:textId="53577DA5" w:rsidR="00291CBC" w:rsidRPr="00692395" w:rsidRDefault="00B24CEF" w:rsidP="00B10C5C">
            <w:pPr>
              <w:rPr>
                <w:rFonts w:ascii="Times New Roman" w:hAnsi="Times New Roman" w:cs="Times New Roman"/>
                <w:bCs/>
                <w:noProof/>
                <w:sz w:val="20"/>
                <w:szCs w:val="20"/>
                <w:lang w:val="en-IE"/>
              </w:rPr>
            </w:pPr>
            <w:r w:rsidRPr="00692395">
              <w:rPr>
                <w:rFonts w:ascii="Times New Roman" w:hAnsi="Times New Roman" w:cs="Times New Roman"/>
                <w:bCs/>
                <w:noProof/>
                <w:sz w:val="20"/>
                <w:szCs w:val="20"/>
                <w:lang w:val="en-IE"/>
              </w:rPr>
              <w:t>71.43</w:t>
            </w:r>
            <w:r w:rsidR="000D2726" w:rsidRPr="00692395">
              <w:rPr>
                <w:rFonts w:ascii="Times New Roman" w:hAnsi="Times New Roman" w:cs="Times New Roman"/>
                <w:bCs/>
                <w:noProof/>
                <w:sz w:val="20"/>
                <w:szCs w:val="20"/>
                <w:lang w:val="en-IE"/>
              </w:rPr>
              <w:t>%</w:t>
            </w:r>
            <w:r w:rsidRPr="00692395">
              <w:rPr>
                <w:rFonts w:ascii="Times New Roman" w:hAnsi="Times New Roman" w:cs="Times New Roman"/>
                <w:bCs/>
                <w:noProof/>
                <w:sz w:val="20"/>
                <w:szCs w:val="20"/>
                <w:lang w:val="en-IE"/>
              </w:rPr>
              <w:t>*</w:t>
            </w:r>
          </w:p>
        </w:tc>
      </w:tr>
      <w:tr w:rsidR="00291CBC" w:rsidRPr="00692395" w14:paraId="71B01665" w14:textId="77777777" w:rsidTr="00B10C5C">
        <w:trPr>
          <w:trHeight w:val="304"/>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9655D" w14:textId="41609BB9" w:rsidR="00291CBC" w:rsidRPr="00692395" w:rsidRDefault="00195500" w:rsidP="00B10C5C">
            <w:pPr>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Q 2</w:t>
            </w:r>
            <w:r w:rsidR="1BC3AAE2" w:rsidRPr="00692395">
              <w:rPr>
                <w:rFonts w:ascii="Times New Roman" w:hAnsi="Times New Roman" w:cs="Times New Roman"/>
                <w:noProof/>
                <w:sz w:val="20"/>
                <w:szCs w:val="20"/>
                <w:lang w:val="en-IE"/>
              </w:rPr>
              <w:t>: Further to your participation in this activity, did you share with colleagues what you learned? (</w:t>
            </w:r>
            <w:r w:rsidR="3CE4FDA6" w:rsidRPr="00692395">
              <w:rPr>
                <w:rFonts w:ascii="Times New Roman" w:hAnsi="Times New Roman" w:cs="Times New Roman"/>
                <w:noProof/>
                <w:sz w:val="20"/>
                <w:szCs w:val="20"/>
                <w:lang w:val="en-IE"/>
              </w:rPr>
              <w:t>Percentage</w:t>
            </w:r>
            <w:r w:rsidR="1BC3AAE2" w:rsidRPr="00692395">
              <w:rPr>
                <w:rFonts w:ascii="Times New Roman" w:hAnsi="Times New Roman" w:cs="Times New Roman"/>
                <w:noProof/>
                <w:sz w:val="20"/>
                <w:szCs w:val="20"/>
                <w:lang w:val="en-IE"/>
              </w:rPr>
              <w:t xml:space="preserve"> agreeing)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E0E1C" w14:textId="1F626AAD" w:rsidR="00291CBC" w:rsidRPr="00692395" w:rsidRDefault="0014421C" w:rsidP="00B10C5C">
            <w:pPr>
              <w:rPr>
                <w:rFonts w:ascii="Times New Roman" w:hAnsi="Times New Roman" w:cs="Times New Roman"/>
                <w:b/>
                <w:bCs/>
                <w:noProof/>
                <w:sz w:val="20"/>
                <w:szCs w:val="20"/>
                <w:lang w:val="en-IE"/>
              </w:rPr>
            </w:pPr>
            <w:r w:rsidRPr="00692395">
              <w:rPr>
                <w:rFonts w:ascii="Times New Roman" w:hAnsi="Times New Roman" w:cs="Times New Roman"/>
                <w:noProof/>
                <w:sz w:val="20"/>
                <w:szCs w:val="20"/>
                <w:lang w:val="en-IE"/>
              </w:rPr>
              <w:t>82.77</w:t>
            </w:r>
            <w:r w:rsidR="00291CBC" w:rsidRPr="00692395">
              <w:rPr>
                <w:rFonts w:ascii="Times New Roman" w:hAnsi="Times New Roman" w:cs="Times New Roman"/>
                <w:noProof/>
                <w:sz w:val="20"/>
                <w:szCs w:val="20"/>
                <w:lang w:val="en-IE"/>
              </w:rPr>
              <w:t xml:space="preserve">% </w:t>
            </w:r>
          </w:p>
        </w:tc>
      </w:tr>
    </w:tbl>
    <w:p w14:paraId="58A63471" w14:textId="108657E8" w:rsidR="001F3DF2" w:rsidRDefault="00291CBC" w:rsidP="00AF7B58">
      <w:pPr>
        <w:spacing w:after="0"/>
        <w:ind w:left="-284"/>
        <w:rPr>
          <w:rFonts w:ascii="Times New Roman" w:hAnsi="Times New Roman" w:cs="Times New Roman"/>
          <w:noProof/>
          <w:sz w:val="18"/>
          <w:szCs w:val="18"/>
          <w:lang w:val="en-IE"/>
        </w:rPr>
      </w:pPr>
      <w:r w:rsidRPr="004E4945">
        <w:rPr>
          <w:rFonts w:ascii="Times New Roman" w:hAnsi="Times New Roman" w:cs="Times New Roman"/>
          <w:noProof/>
          <w:sz w:val="18"/>
          <w:szCs w:val="18"/>
          <w:lang w:val="en-IE"/>
        </w:rPr>
        <w:t>*Non-representative data due to limited feedback received in AFFs for 2021 from action managers.</w:t>
      </w:r>
    </w:p>
    <w:p w14:paraId="0CE7130F" w14:textId="77777777" w:rsidR="00AF7B58" w:rsidRPr="00AF7B58" w:rsidRDefault="00AF7B58" w:rsidP="00AF7B58">
      <w:pPr>
        <w:spacing w:after="0"/>
        <w:ind w:left="-284"/>
        <w:rPr>
          <w:rFonts w:ascii="Times New Roman" w:hAnsi="Times New Roman" w:cs="Times New Roman"/>
          <w:noProof/>
          <w:sz w:val="18"/>
          <w:szCs w:val="18"/>
          <w:lang w:val="en-IE"/>
        </w:rPr>
      </w:pPr>
    </w:p>
    <w:p w14:paraId="7C28F1C6" w14:textId="749940B6" w:rsidR="001F3DF2" w:rsidRPr="000166FC" w:rsidRDefault="001F3DF2" w:rsidP="005F4C9A">
      <w:pPr>
        <w:ind w:left="-284"/>
        <w:rPr>
          <w:rFonts w:ascii="Times New Roman" w:hAnsi="Times New Roman" w:cs="Times New Roman"/>
          <w:b/>
          <w:bCs/>
          <w:noProof/>
          <w:color w:val="2E74B5" w:themeColor="accent1" w:themeShade="BF"/>
          <w:lang w:val="en-IE"/>
        </w:rPr>
      </w:pPr>
      <w:r w:rsidRPr="003C289C">
        <w:rPr>
          <w:rFonts w:ascii="Times New Roman" w:hAnsi="Times New Roman" w:cs="Times New Roman"/>
          <w:b/>
          <w:bCs/>
          <w:noProof/>
          <w:color w:val="2E74B5" w:themeColor="accent1" w:themeShade="BF"/>
          <w:lang w:val="en-IE"/>
        </w:rPr>
        <w:t>7:  Improve cooperation between customs authorities and international organizations, third countries, other governmental authorities, including Union and national market surveillance authorities,</w:t>
      </w:r>
      <w:r w:rsidR="000166FC">
        <w:rPr>
          <w:rFonts w:ascii="Times New Roman" w:hAnsi="Times New Roman" w:cs="Times New Roman"/>
          <w:b/>
          <w:bCs/>
          <w:noProof/>
          <w:color w:val="2E74B5" w:themeColor="accent1" w:themeShade="BF"/>
          <w:lang w:val="en-IE"/>
        </w:rPr>
        <w:t xml:space="preserve"> as well as economic operators </w:t>
      </w:r>
    </w:p>
    <w:p w14:paraId="49D0225B" w14:textId="07459F3D" w:rsidR="001F3DF2" w:rsidRPr="003C289C" w:rsidRDefault="001F3DF2" w:rsidP="005F4C9A">
      <w:pPr>
        <w:ind w:left="-284"/>
        <w:rPr>
          <w:rFonts w:ascii="Times New Roman" w:hAnsi="Times New Roman" w:cs="Times New Roman"/>
          <w:b/>
          <w:bCs/>
          <w:noProof/>
          <w:lang w:val="en-IE"/>
        </w:rPr>
      </w:pPr>
      <w:r w:rsidRPr="003C289C">
        <w:rPr>
          <w:rFonts w:ascii="Times New Roman" w:hAnsi="Times New Roman" w:cs="Times New Roman"/>
          <w:b/>
          <w:bCs/>
          <w:noProof/>
          <w:lang w:val="en-IE"/>
        </w:rPr>
        <w:t>Table 6: Joint Actions</w:t>
      </w: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39"/>
        <w:gridCol w:w="992"/>
      </w:tblGrid>
      <w:tr w:rsidR="00291CBC" w:rsidRPr="00692395" w14:paraId="33DC317C" w14:textId="77777777" w:rsidTr="586E19CB">
        <w:trPr>
          <w:trHeight w:val="140"/>
          <w:tblHeader/>
        </w:trPr>
        <w:tc>
          <w:tcPr>
            <w:tcW w:w="9039"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0C2C66A" w14:textId="77777777" w:rsidR="00291CBC" w:rsidRPr="00692395" w:rsidRDefault="00291CBC" w:rsidP="00B4586B">
            <w:pPr>
              <w:spacing w:after="0"/>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68E1584" w14:textId="77777777" w:rsidR="00291CBC" w:rsidRPr="00692395" w:rsidRDefault="00291CBC" w:rsidP="00B4586B">
            <w:pPr>
              <w:spacing w:after="0"/>
              <w:jc w:val="cente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291CBC" w:rsidRPr="00692395" w14:paraId="3E095F6C"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63354B"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JAs (that sought to support cooperation between customs authorities and IOs, third countries, other governmental authorities, economic operators) have achieved their intended result(s), as reported by action managers: average score on the scale of 0 (not achieved) to 4 (fully achieved)</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2D43" w14:textId="77777777" w:rsidR="00291CBC" w:rsidRPr="00692395" w:rsidRDefault="00291CBC" w:rsidP="005C26E0">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2.00*</w:t>
            </w:r>
          </w:p>
        </w:tc>
      </w:tr>
      <w:tr w:rsidR="00291CBC" w:rsidRPr="00692395" w14:paraId="5F5D3AE2"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E8449" w14:textId="14FAA341" w:rsidR="00291CBC" w:rsidRPr="00692395" w:rsidRDefault="1BC3AAE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 JA (that sought to support cooperation between customs authorities and IOs, third countries, other governmental authorities, economic operators) (has) achieved its intended result(s)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8A2A" w14:textId="354C88A8" w:rsidR="00291CBC" w:rsidRPr="00692395" w:rsidRDefault="00386CEB" w:rsidP="00386CE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93.7</w:t>
            </w:r>
            <w:r w:rsidR="00291CBC" w:rsidRPr="00692395">
              <w:rPr>
                <w:rFonts w:ascii="Times New Roman" w:hAnsi="Times New Roman" w:cs="Times New Roman"/>
                <w:noProof/>
                <w:sz w:val="20"/>
                <w:szCs w:val="20"/>
                <w:lang w:val="en-IE"/>
              </w:rPr>
              <w:t>%</w:t>
            </w:r>
          </w:p>
        </w:tc>
      </w:tr>
      <w:tr w:rsidR="00291CBC" w:rsidRPr="00692395" w14:paraId="124D47F7"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A8D0D6"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an event met their expectations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F160A" w14:textId="1D3D0BBB" w:rsidR="00291CBC" w:rsidRPr="00692395" w:rsidRDefault="00386CEB" w:rsidP="005C26E0">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81</w:t>
            </w:r>
            <w:r w:rsidR="00291CBC" w:rsidRPr="00692395">
              <w:rPr>
                <w:rFonts w:ascii="Times New Roman" w:hAnsi="Times New Roman" w:cs="Times New Roman"/>
                <w:noProof/>
                <w:sz w:val="20"/>
                <w:szCs w:val="20"/>
                <w:lang w:val="en-IE"/>
              </w:rPr>
              <w:t>.2%</w:t>
            </w:r>
          </w:p>
        </w:tc>
      </w:tr>
      <w:tr w:rsidR="00291CBC" w:rsidRPr="00692395" w14:paraId="573C421A"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E8966"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usefulness of an event (percentage of those who replied 'very useful' or 'useful')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C9EFE" w14:textId="68711332" w:rsidR="00291CBC" w:rsidRPr="00692395" w:rsidRDefault="00386CEB" w:rsidP="00386CE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100</w:t>
            </w:r>
            <w:r w:rsidR="00291CBC" w:rsidRPr="00692395">
              <w:rPr>
                <w:rFonts w:ascii="Times New Roman" w:hAnsi="Times New Roman" w:cs="Times New Roman"/>
                <w:noProof/>
                <w:sz w:val="20"/>
                <w:szCs w:val="20"/>
                <w:lang w:val="en-IE"/>
              </w:rPr>
              <w:t xml:space="preserve">% </w:t>
            </w:r>
          </w:p>
        </w:tc>
      </w:tr>
      <w:tr w:rsidR="00291CBC" w:rsidRPr="00692395" w14:paraId="0F700F60"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C0B264"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programme actions supporting the operational objective relating to cooperation with third parties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19DE40" w14:textId="77777777" w:rsidR="00291CBC" w:rsidRPr="00692395" w:rsidRDefault="00291CBC" w:rsidP="005C26E0">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3</w:t>
            </w:r>
          </w:p>
        </w:tc>
      </w:tr>
      <w:tr w:rsidR="00291CBC" w:rsidRPr="00692395" w14:paraId="3FCAC278" w14:textId="77777777" w:rsidTr="586E19CB">
        <w:trPr>
          <w:trHeight w:val="304"/>
        </w:trPr>
        <w:tc>
          <w:tcPr>
            <w:tcW w:w="9039" w:type="dxa"/>
            <w:tcBorders>
              <w:top w:val="single" w:sz="4" w:space="0" w:color="auto"/>
              <w:left w:val="single" w:sz="4" w:space="0" w:color="auto"/>
              <w:bottom w:val="single" w:sz="4" w:space="0" w:color="auto"/>
              <w:right w:val="single" w:sz="4" w:space="0" w:color="auto"/>
            </w:tcBorders>
            <w:hideMark/>
          </w:tcPr>
          <w:p w14:paraId="590A8C59" w14:textId="1C0AA011"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partner countries that the </w:t>
            </w:r>
            <w:r w:rsidR="00B90ADA" w:rsidRPr="00692395">
              <w:rPr>
                <w:rFonts w:ascii="Times New Roman" w:hAnsi="Times New Roman" w:cs="Times New Roman"/>
                <w:noProof/>
                <w:sz w:val="20"/>
                <w:szCs w:val="20"/>
                <w:lang w:val="en-IE"/>
              </w:rPr>
              <w:t>c</w:t>
            </w:r>
            <w:r w:rsidRPr="00692395">
              <w:rPr>
                <w:rFonts w:ascii="Times New Roman" w:hAnsi="Times New Roman" w:cs="Times New Roman"/>
                <w:noProof/>
                <w:sz w:val="20"/>
                <w:szCs w:val="20"/>
                <w:lang w:val="en-IE"/>
              </w:rPr>
              <w:t xml:space="preserve">ustoms </w:t>
            </w:r>
            <w:r w:rsidR="00B90ADA" w:rsidRPr="00692395">
              <w:rPr>
                <w:rFonts w:ascii="Times New Roman" w:hAnsi="Times New Roman" w:cs="Times New Roman"/>
                <w:noProof/>
                <w:sz w:val="20"/>
                <w:szCs w:val="20"/>
                <w:lang w:val="en-IE"/>
              </w:rPr>
              <w:t>u</w:t>
            </w:r>
            <w:r w:rsidRPr="00692395">
              <w:rPr>
                <w:rFonts w:ascii="Times New Roman" w:hAnsi="Times New Roman" w:cs="Times New Roman"/>
                <w:noProof/>
                <w:sz w:val="20"/>
                <w:szCs w:val="20"/>
                <w:lang w:val="en-IE"/>
              </w:rPr>
              <w:t>nion exchanges information with via IT systems</w:t>
            </w:r>
          </w:p>
        </w:tc>
        <w:tc>
          <w:tcPr>
            <w:tcW w:w="992" w:type="dxa"/>
            <w:tcBorders>
              <w:top w:val="single" w:sz="4" w:space="0" w:color="auto"/>
              <w:left w:val="single" w:sz="4" w:space="0" w:color="auto"/>
              <w:bottom w:val="single" w:sz="4" w:space="0" w:color="auto"/>
              <w:right w:val="single" w:sz="4" w:space="0" w:color="auto"/>
            </w:tcBorders>
            <w:vAlign w:val="center"/>
          </w:tcPr>
          <w:p w14:paraId="7DA86229" w14:textId="77777777" w:rsidR="00291CBC" w:rsidRPr="00692395" w:rsidRDefault="00291CBC" w:rsidP="005C26E0">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14</w:t>
            </w:r>
          </w:p>
        </w:tc>
      </w:tr>
    </w:tbl>
    <w:p w14:paraId="0E21A996" w14:textId="0D6423F2" w:rsidR="001F3DF2" w:rsidRPr="00FC01D3" w:rsidRDefault="001F3DF2" w:rsidP="001926AE">
      <w:pPr>
        <w:ind w:left="-142"/>
        <w:rPr>
          <w:rFonts w:ascii="Times New Roman" w:hAnsi="Times New Roman" w:cs="Times New Roman"/>
          <w:noProof/>
          <w:sz w:val="18"/>
          <w:szCs w:val="18"/>
          <w:lang w:val="en-IE"/>
        </w:rPr>
      </w:pPr>
      <w:r w:rsidRPr="004E4945">
        <w:rPr>
          <w:rFonts w:ascii="Times New Roman" w:hAnsi="Times New Roman" w:cs="Times New Roman"/>
          <w:noProof/>
          <w:sz w:val="18"/>
          <w:szCs w:val="18"/>
          <w:lang w:val="en-IE"/>
        </w:rPr>
        <w:t>*Non-representative data due to limited feedback received in AFFs</w:t>
      </w:r>
      <w:r w:rsidR="00FC01D3">
        <w:rPr>
          <w:rFonts w:ascii="Times New Roman" w:hAnsi="Times New Roman" w:cs="Times New Roman"/>
          <w:noProof/>
          <w:sz w:val="18"/>
          <w:szCs w:val="18"/>
          <w:lang w:val="en-IE"/>
        </w:rPr>
        <w:t xml:space="preserve"> for 2021 from action managers.</w:t>
      </w:r>
    </w:p>
    <w:p w14:paraId="3C739837" w14:textId="77777777" w:rsidR="001F3DF2" w:rsidRPr="000166FC" w:rsidRDefault="001F3DF2" w:rsidP="000166FC">
      <w:pPr>
        <w:rPr>
          <w:rFonts w:ascii="Times New Roman" w:hAnsi="Times New Roman" w:cs="Times New Roman"/>
          <w:b/>
          <w:bCs/>
          <w:noProof/>
          <w:color w:val="2E74B5" w:themeColor="accent1" w:themeShade="BF"/>
          <w:lang w:val="en-IE"/>
        </w:rPr>
      </w:pPr>
      <w:r w:rsidRPr="000166FC">
        <w:rPr>
          <w:rFonts w:ascii="Times New Roman" w:hAnsi="Times New Roman" w:cs="Times New Roman"/>
          <w:b/>
          <w:bCs/>
          <w:noProof/>
          <w:color w:val="2E74B5" w:themeColor="accent1" w:themeShade="BF"/>
          <w:lang w:val="en-IE"/>
        </w:rPr>
        <w:t xml:space="preserve">8: Support the preparation, coherent application and effective implementation of Union law and policy in the field of customs </w:t>
      </w:r>
    </w:p>
    <w:p w14:paraId="465CFDF0" w14:textId="6A7F434A" w:rsidR="001F3DF2" w:rsidRPr="000166FC" w:rsidRDefault="001F3DF2" w:rsidP="000166FC">
      <w:pPr>
        <w:rPr>
          <w:rFonts w:ascii="Times New Roman" w:hAnsi="Times New Roman" w:cs="Times New Roman"/>
          <w:b/>
          <w:bCs/>
          <w:noProof/>
          <w:lang w:val="en-IE"/>
        </w:rPr>
      </w:pPr>
      <w:r w:rsidRPr="000166FC">
        <w:rPr>
          <w:rFonts w:ascii="Times New Roman" w:hAnsi="Times New Roman" w:cs="Times New Roman"/>
          <w:b/>
          <w:bCs/>
          <w:noProof/>
          <w:lang w:val="en-IE"/>
        </w:rPr>
        <w:t>Table 7</w:t>
      </w:r>
      <w:r w:rsidR="00AB58DB" w:rsidRPr="000166FC">
        <w:rPr>
          <w:rFonts w:ascii="Times New Roman" w:hAnsi="Times New Roman" w:cs="Times New Roman"/>
          <w:b/>
          <w:bCs/>
          <w:noProof/>
          <w:lang w:val="en-IE"/>
        </w:rPr>
        <w:t xml:space="preserve">: Application of </w:t>
      </w:r>
      <w:r w:rsidR="00A76D6C" w:rsidRPr="000166FC">
        <w:rPr>
          <w:rFonts w:ascii="Times New Roman" w:hAnsi="Times New Roman" w:cs="Times New Roman"/>
          <w:b/>
          <w:bCs/>
          <w:noProof/>
          <w:lang w:val="en-IE"/>
        </w:rPr>
        <w:t>c</w:t>
      </w:r>
      <w:r w:rsidR="00AB58DB" w:rsidRPr="000166FC">
        <w:rPr>
          <w:rFonts w:ascii="Times New Roman" w:hAnsi="Times New Roman" w:cs="Times New Roman"/>
          <w:b/>
          <w:bCs/>
          <w:noProof/>
          <w:lang w:val="en-IE"/>
        </w:rPr>
        <w:t>ustoms law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789"/>
        <w:gridCol w:w="992"/>
      </w:tblGrid>
      <w:tr w:rsidR="00291CBC" w:rsidRPr="00692395" w14:paraId="1D0D4D26" w14:textId="77777777" w:rsidTr="586E19CB">
        <w:trPr>
          <w:trHeight w:val="140"/>
          <w:tblHeader/>
        </w:trPr>
        <w:tc>
          <w:tcPr>
            <w:tcW w:w="8789"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886C8A2" w14:textId="77777777" w:rsidR="00291CBC" w:rsidRPr="00692395" w:rsidRDefault="00291CBC" w:rsidP="00B4586B">
            <w:pPr>
              <w:spacing w:after="0"/>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CCF701F" w14:textId="77777777" w:rsidR="00291CBC" w:rsidRPr="00692395" w:rsidRDefault="00291CBC" w:rsidP="00B4586B">
            <w:pPr>
              <w:spacing w:after="0"/>
              <w:jc w:val="cente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291CBC" w:rsidRPr="00692395" w14:paraId="683C93E4"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557642"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JA (that sought to support/ facilitate the preparation, application and/or implementation of a specific piece of new (or revised) customs law or policy) have achieved their intended result(s), as reported by action managers: average score on the scale of 0 (not achieved) to 4 (fully achieved)</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3186A" w14:textId="77777777" w:rsidR="00291CBC" w:rsidRPr="00692395" w:rsidRDefault="00291CBC"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3.19*</w:t>
            </w:r>
          </w:p>
        </w:tc>
      </w:tr>
      <w:tr w:rsidR="00291CBC" w:rsidRPr="00692395" w14:paraId="02A70873"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2758E" w14:textId="1B82A01B" w:rsidR="00291CBC" w:rsidRPr="00692395" w:rsidRDefault="1BC3AAE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 JA (that sought to support/ facilitate the preparation, application and/or implementation of a specific piece of new (or revised) customs law or policy) (has) achieved its intended results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EDB" w14:textId="48CC7EDC" w:rsidR="00291CBC" w:rsidRPr="00692395" w:rsidRDefault="00291CBC" w:rsidP="00091A92">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9</w:t>
            </w:r>
            <w:r w:rsidR="00091A92" w:rsidRPr="00692395">
              <w:rPr>
                <w:rFonts w:ascii="Times New Roman" w:hAnsi="Times New Roman" w:cs="Times New Roman"/>
                <w:noProof/>
                <w:sz w:val="20"/>
                <w:szCs w:val="20"/>
                <w:lang w:val="en-IE"/>
              </w:rPr>
              <w:t>4.5</w:t>
            </w:r>
            <w:r w:rsidRPr="00692395">
              <w:rPr>
                <w:rFonts w:ascii="Times New Roman" w:hAnsi="Times New Roman" w:cs="Times New Roman"/>
                <w:noProof/>
                <w:sz w:val="20"/>
                <w:szCs w:val="20"/>
                <w:lang w:val="en-IE"/>
              </w:rPr>
              <w:t>%</w:t>
            </w:r>
          </w:p>
        </w:tc>
      </w:tr>
      <w:tr w:rsidR="00291CBC" w:rsidRPr="00692395" w14:paraId="5D30EF64"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FBE2CA"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an event met their expectations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565612" w14:textId="2F5831DC" w:rsidR="00291CBC" w:rsidRPr="00692395" w:rsidRDefault="00091A92"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89.1</w:t>
            </w:r>
            <w:r w:rsidR="00291CBC" w:rsidRPr="00692395">
              <w:rPr>
                <w:rFonts w:ascii="Times New Roman" w:hAnsi="Times New Roman" w:cs="Times New Roman"/>
                <w:noProof/>
                <w:sz w:val="20"/>
                <w:szCs w:val="20"/>
                <w:lang w:val="en-IE"/>
              </w:rPr>
              <w:t>%</w:t>
            </w:r>
          </w:p>
        </w:tc>
      </w:tr>
      <w:tr w:rsidR="00291CBC" w:rsidRPr="00692395" w14:paraId="38E27760"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CBD19"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usefulness of an event (percentage of those who replied 'very useful' or 'useful')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9258D" w14:textId="3E0B36F6" w:rsidR="00291CBC" w:rsidRPr="00692395" w:rsidRDefault="00091A92"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99.0</w:t>
            </w:r>
            <w:r w:rsidR="00291CBC" w:rsidRPr="00692395">
              <w:rPr>
                <w:rFonts w:ascii="Times New Roman" w:hAnsi="Times New Roman" w:cs="Times New Roman"/>
                <w:noProof/>
                <w:sz w:val="20"/>
                <w:szCs w:val="20"/>
                <w:lang w:val="en-IE"/>
              </w:rPr>
              <w:t>%</w:t>
            </w:r>
          </w:p>
        </w:tc>
      </w:tr>
      <w:tr w:rsidR="00291CBC" w:rsidRPr="00692395" w14:paraId="2420A0E3" w14:textId="77777777" w:rsidTr="586E19CB">
        <w:trPr>
          <w:trHeight w:val="26"/>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0A801B" w14:textId="77777777" w:rsidR="00291CBC" w:rsidRPr="00692395" w:rsidRDefault="00291CBC"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actions (JA) that have supported or facilitated the implementation, preparation or application of (a specific piece of new or revised) customs law</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C5FA4F" w14:textId="77777777" w:rsidR="00291CBC" w:rsidRPr="00692395" w:rsidRDefault="00291CBC"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29</w:t>
            </w:r>
          </w:p>
        </w:tc>
      </w:tr>
      <w:tr w:rsidR="00291CBC" w:rsidRPr="00692395" w14:paraId="1E95E648" w14:textId="77777777" w:rsidTr="586E19CB">
        <w:trPr>
          <w:trHeight w:val="26"/>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8E56E" w14:textId="49384DF7" w:rsidR="00291CBC" w:rsidRPr="00692395" w:rsidRDefault="1BC3AAE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recommendations (R) / guidelines (G)  /other outputs (O) issued further to a JA (under this objective)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47A6B" w14:textId="2C1FD9F2" w:rsidR="00291CBC" w:rsidRPr="00692395" w:rsidRDefault="00915699"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w:t>
            </w:r>
            <w:r w:rsidR="00291CBC" w:rsidRPr="00692395">
              <w:rPr>
                <w:rFonts w:ascii="Times New Roman" w:hAnsi="Times New Roman" w:cs="Times New Roman"/>
                <w:noProof/>
                <w:sz w:val="20"/>
                <w:szCs w:val="20"/>
                <w:lang w:val="en-IE"/>
              </w:rPr>
              <w:t xml:space="preserve"> (R)*</w:t>
            </w:r>
          </w:p>
          <w:p w14:paraId="36191FCE" w14:textId="5AB94000" w:rsidR="00291CBC" w:rsidRPr="00692395" w:rsidRDefault="00915699"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w:t>
            </w:r>
            <w:r w:rsidR="00291CBC" w:rsidRPr="00692395">
              <w:rPr>
                <w:rFonts w:ascii="Times New Roman" w:hAnsi="Times New Roman" w:cs="Times New Roman"/>
                <w:noProof/>
                <w:sz w:val="20"/>
                <w:szCs w:val="20"/>
                <w:lang w:val="en-IE"/>
              </w:rPr>
              <w:t xml:space="preserve"> (G)*</w:t>
            </w:r>
          </w:p>
          <w:p w14:paraId="7CE5FFDE" w14:textId="2A4A6AB6" w:rsidR="00291CBC" w:rsidRPr="00692395" w:rsidRDefault="00915699" w:rsidP="0011607E">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w:t>
            </w:r>
            <w:r w:rsidR="00291CBC" w:rsidRPr="00692395">
              <w:rPr>
                <w:rFonts w:ascii="Times New Roman" w:hAnsi="Times New Roman" w:cs="Times New Roman"/>
                <w:noProof/>
                <w:sz w:val="20"/>
                <w:szCs w:val="20"/>
                <w:lang w:val="en-IE"/>
              </w:rPr>
              <w:t xml:space="preserve"> (O)*</w:t>
            </w:r>
          </w:p>
        </w:tc>
      </w:tr>
    </w:tbl>
    <w:p w14:paraId="77B00ABB" w14:textId="77777777" w:rsidR="001F3DF2" w:rsidRPr="004E4945" w:rsidRDefault="001F3DF2" w:rsidP="001F3DF2">
      <w:pPr>
        <w:rPr>
          <w:rFonts w:ascii="Times New Roman" w:hAnsi="Times New Roman" w:cs="Times New Roman"/>
          <w:noProof/>
          <w:sz w:val="18"/>
          <w:szCs w:val="18"/>
          <w:lang w:val="en-IE"/>
        </w:rPr>
      </w:pPr>
      <w:r w:rsidRPr="004E4945">
        <w:rPr>
          <w:rFonts w:ascii="Times New Roman" w:hAnsi="Times New Roman" w:cs="Times New Roman"/>
          <w:noProof/>
          <w:sz w:val="18"/>
          <w:szCs w:val="18"/>
          <w:lang w:val="en-IE"/>
        </w:rPr>
        <w:t>*Non-representative data due to limited feedback received in AFFs for 2021 from action managers.</w:t>
      </w:r>
    </w:p>
    <w:p w14:paraId="37989913" w14:textId="77777777" w:rsidR="001F3DF2" w:rsidRPr="009A33E1" w:rsidRDefault="001F3DF2" w:rsidP="00AF7B58">
      <w:pPr>
        <w:pStyle w:val="Heading2"/>
        <w:numPr>
          <w:ilvl w:val="0"/>
          <w:numId w:val="0"/>
        </w:numPr>
        <w:rPr>
          <w:noProof/>
        </w:rPr>
      </w:pPr>
    </w:p>
    <w:p w14:paraId="74355287" w14:textId="77777777" w:rsidR="001F3DF2" w:rsidRPr="000166FC" w:rsidRDefault="001F3DF2" w:rsidP="000166FC">
      <w:pPr>
        <w:rPr>
          <w:rFonts w:ascii="Times New Roman" w:hAnsi="Times New Roman" w:cs="Times New Roman"/>
          <w:b/>
          <w:bCs/>
          <w:noProof/>
          <w:color w:val="2E74B5" w:themeColor="accent1" w:themeShade="BF"/>
          <w:lang w:val="en-IE"/>
        </w:rPr>
      </w:pPr>
      <w:r w:rsidRPr="000166FC">
        <w:rPr>
          <w:rFonts w:ascii="Times New Roman" w:hAnsi="Times New Roman" w:cs="Times New Roman"/>
          <w:b/>
          <w:bCs/>
          <w:noProof/>
          <w:color w:val="2E74B5" w:themeColor="accent1" w:themeShade="BF"/>
          <w:lang w:val="en-IE"/>
        </w:rPr>
        <w:t xml:space="preserve">9: Identify, develop, share and apply best working practices and administrative procedures </w:t>
      </w:r>
    </w:p>
    <w:p w14:paraId="3CAC0313" w14:textId="40F7BE96" w:rsidR="001F3DF2" w:rsidRPr="000166FC" w:rsidRDefault="001F3DF2" w:rsidP="000166FC">
      <w:pPr>
        <w:rPr>
          <w:rFonts w:ascii="Times New Roman" w:hAnsi="Times New Roman" w:cs="Times New Roman"/>
          <w:b/>
          <w:bCs/>
          <w:noProof/>
          <w:lang w:val="en-IE"/>
        </w:rPr>
      </w:pPr>
      <w:r w:rsidRPr="000166FC">
        <w:rPr>
          <w:rFonts w:ascii="Times New Roman" w:hAnsi="Times New Roman" w:cs="Times New Roman"/>
          <w:b/>
          <w:bCs/>
          <w:noProof/>
          <w:lang w:val="en-IE"/>
        </w:rPr>
        <w:t>Table 8</w:t>
      </w:r>
      <w:r w:rsidR="001378EA" w:rsidRPr="000166FC">
        <w:rPr>
          <w:rFonts w:ascii="Times New Roman" w:hAnsi="Times New Roman" w:cs="Times New Roman"/>
          <w:b/>
          <w:bCs/>
          <w:noProof/>
          <w:lang w:val="en-IE"/>
        </w:rPr>
        <w:t>: Best practices and 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789"/>
        <w:gridCol w:w="992"/>
      </w:tblGrid>
      <w:tr w:rsidR="000B649E" w:rsidRPr="00692395" w14:paraId="54A12AD6" w14:textId="77777777" w:rsidTr="586E19CB">
        <w:trPr>
          <w:trHeight w:val="140"/>
          <w:tblHeader/>
        </w:trPr>
        <w:tc>
          <w:tcPr>
            <w:tcW w:w="8789"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DFEB776" w14:textId="77777777" w:rsidR="000B649E" w:rsidRPr="00692395" w:rsidRDefault="000B649E" w:rsidP="00B4586B">
            <w:pPr>
              <w:spacing w:after="0"/>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D774BBC" w14:textId="77777777" w:rsidR="000B649E" w:rsidRPr="00692395" w:rsidRDefault="000B649E" w:rsidP="00B4586B">
            <w:pPr>
              <w:spacing w:after="0"/>
              <w:jc w:val="cente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0B649E" w:rsidRPr="00692395" w14:paraId="02278AC2"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F52EC8" w14:textId="1013E7E2" w:rsidR="000B649E" w:rsidRPr="00692395" w:rsidRDefault="3EE053C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Extent to which JAs (that sought to extend working practices and/or administrative procedures/guidelines in a given area to other participating countries) have achieved their intended result(s), as reported by action managers: average score on the scale of 0 (not achieved) to 4 (fully achieved)</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8DF61E" w14:textId="77777777"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w:t>
            </w:r>
          </w:p>
        </w:tc>
      </w:tr>
      <w:tr w:rsidR="000B649E" w:rsidRPr="00692395" w14:paraId="1C0B2CB3"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2EE3F" w14:textId="0D495C41" w:rsidR="000B649E" w:rsidRPr="00692395" w:rsidRDefault="3EE053C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 JA (that sought to extend working practices and/or administrative procedures/guidelines in a given area to other participating countries) (has) achieved its intended result(s)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2A545" w14:textId="201CA6CA" w:rsidR="000B649E" w:rsidRPr="00692395" w:rsidRDefault="005C00FC" w:rsidP="007662A1">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78.3</w:t>
            </w:r>
            <w:r w:rsidR="000B649E" w:rsidRPr="00692395">
              <w:rPr>
                <w:rFonts w:ascii="Times New Roman" w:hAnsi="Times New Roman" w:cs="Times New Roman"/>
                <w:noProof/>
                <w:sz w:val="20"/>
                <w:szCs w:val="20"/>
                <w:lang w:val="en-IE"/>
              </w:rPr>
              <w:t>%</w:t>
            </w:r>
          </w:p>
        </w:tc>
      </w:tr>
      <w:tr w:rsidR="000B649E" w:rsidRPr="00692395" w14:paraId="2B8B5A30"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BE8054"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extent to which an event met their expectations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74268" w14:textId="6035D5A5" w:rsidR="000B649E" w:rsidRPr="00692395" w:rsidRDefault="005C00FC" w:rsidP="007662A1">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88</w:t>
            </w:r>
            <w:r w:rsidR="000B649E" w:rsidRPr="00692395">
              <w:rPr>
                <w:rFonts w:ascii="Times New Roman" w:hAnsi="Times New Roman" w:cs="Times New Roman"/>
                <w:noProof/>
                <w:sz w:val="20"/>
                <w:szCs w:val="20"/>
                <w:lang w:val="en-IE"/>
              </w:rPr>
              <w:t>.2%</w:t>
            </w:r>
          </w:p>
        </w:tc>
      </w:tr>
      <w:tr w:rsidR="000B649E" w:rsidRPr="00692395" w14:paraId="5A97347E"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FA514"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Participants’ views on the usefulness of an event (percentage of those who replied 'very useful' or 'useful')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EF9EF" w14:textId="1CE773AB" w:rsidR="000B649E" w:rsidRPr="00692395" w:rsidRDefault="000B649E" w:rsidP="005C00FC">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9</w:t>
            </w:r>
            <w:r w:rsidR="005C00FC" w:rsidRPr="00692395">
              <w:rPr>
                <w:rFonts w:ascii="Times New Roman" w:hAnsi="Times New Roman" w:cs="Times New Roman"/>
                <w:noProof/>
                <w:sz w:val="20"/>
                <w:szCs w:val="20"/>
                <w:lang w:val="en-IE"/>
              </w:rPr>
              <w:t>7.2</w:t>
            </w:r>
            <w:r w:rsidRPr="00692395">
              <w:rPr>
                <w:rFonts w:ascii="Times New Roman" w:hAnsi="Times New Roman" w:cs="Times New Roman"/>
                <w:noProof/>
                <w:sz w:val="20"/>
                <w:szCs w:val="20"/>
                <w:lang w:val="en-IE"/>
              </w:rPr>
              <w:t>%</w:t>
            </w:r>
          </w:p>
        </w:tc>
      </w:tr>
      <w:tr w:rsidR="000B649E" w:rsidRPr="00692395" w14:paraId="53A8BF45"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C5AA8D" w14:textId="5264DB4A" w:rsidR="000B649E" w:rsidRPr="00692395" w:rsidRDefault="3EE053C2"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Percentage of participants that disseminated a working practice and/or administrative procedure/guideline developed/shared produced with the support of the programme in their national administration</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212C2E" w14:textId="5B0AF593" w:rsidR="000B649E" w:rsidRPr="00692395" w:rsidRDefault="005C00FC" w:rsidP="005C00FC">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32.4</w:t>
            </w:r>
            <w:r w:rsidR="000B649E" w:rsidRPr="00692395">
              <w:rPr>
                <w:rFonts w:ascii="Times New Roman" w:hAnsi="Times New Roman" w:cs="Times New Roman"/>
                <w:noProof/>
                <w:sz w:val="20"/>
                <w:szCs w:val="20"/>
                <w:lang w:val="en-IE"/>
              </w:rPr>
              <w:t>%</w:t>
            </w:r>
          </w:p>
        </w:tc>
      </w:tr>
      <w:tr w:rsidR="000B649E" w:rsidRPr="00692395" w14:paraId="41D8570F"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E9CC0"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Percentage of participants which declare that an administrative procedure/working practice/guideline developed/shared under the programme led to a change in their national administration’s working practices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5C520" w14:textId="77D1A6F0" w:rsidR="000B649E" w:rsidRPr="00692395" w:rsidRDefault="005C00FC" w:rsidP="005C00FC">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97</w:t>
            </w:r>
            <w:r w:rsidR="000B649E" w:rsidRPr="00692395">
              <w:rPr>
                <w:rFonts w:ascii="Times New Roman" w:hAnsi="Times New Roman" w:cs="Times New Roman"/>
                <w:noProof/>
                <w:sz w:val="20"/>
                <w:szCs w:val="20"/>
                <w:lang w:val="en-IE"/>
              </w:rPr>
              <w:t>.</w:t>
            </w:r>
            <w:r w:rsidRPr="00692395">
              <w:rPr>
                <w:rFonts w:ascii="Times New Roman" w:hAnsi="Times New Roman" w:cs="Times New Roman"/>
                <w:noProof/>
                <w:sz w:val="20"/>
                <w:szCs w:val="20"/>
                <w:lang w:val="en-IE"/>
              </w:rPr>
              <w:t>2</w:t>
            </w:r>
            <w:r w:rsidR="000B649E" w:rsidRPr="00692395">
              <w:rPr>
                <w:rFonts w:ascii="Times New Roman" w:hAnsi="Times New Roman" w:cs="Times New Roman"/>
                <w:noProof/>
                <w:sz w:val="20"/>
                <w:szCs w:val="20"/>
                <w:lang w:val="en-IE"/>
              </w:rPr>
              <w:t>%</w:t>
            </w:r>
          </w:p>
        </w:tc>
      </w:tr>
      <w:tr w:rsidR="000B649E" w:rsidRPr="00692395" w14:paraId="5C093CC5"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90ACCC"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actions under the programme organized in this area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415FE8" w14:textId="77777777" w:rsidR="000B649E" w:rsidRPr="00692395" w:rsidRDefault="000B649E" w:rsidP="007662A1">
            <w:pPr>
              <w:spacing w:after="0"/>
              <w:rPr>
                <w:rFonts w:ascii="Times New Roman" w:hAnsi="Times New Roman" w:cs="Times New Roman"/>
                <w:noProof/>
                <w:sz w:val="20"/>
                <w:szCs w:val="20"/>
                <w:highlight w:val="yellow"/>
                <w:lang w:val="en-IE"/>
              </w:rPr>
            </w:pPr>
            <w:r w:rsidRPr="00692395">
              <w:rPr>
                <w:rFonts w:ascii="Times New Roman" w:hAnsi="Times New Roman" w:cs="Times New Roman"/>
                <w:noProof/>
                <w:sz w:val="20"/>
                <w:szCs w:val="20"/>
                <w:lang w:val="en-IE"/>
              </w:rPr>
              <w:t>5</w:t>
            </w:r>
          </w:p>
        </w:tc>
      </w:tr>
      <w:tr w:rsidR="000B649E" w:rsidRPr="00692395" w14:paraId="128E681A"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D3299" w14:textId="15FC9CF8" w:rsidR="000B649E" w:rsidRPr="00692395" w:rsidRDefault="000B649E" w:rsidP="00BB25FF">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working practices/administrative procedures developed/shared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1F08" w14:textId="72E99317" w:rsidR="000B649E" w:rsidRPr="00692395" w:rsidRDefault="00FA1581" w:rsidP="007662A1">
            <w:pPr>
              <w:spacing w:after="0" w:line="360" w:lineRule="auto"/>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w:t>
            </w:r>
            <w:r w:rsidR="000B649E" w:rsidRPr="00692395">
              <w:rPr>
                <w:rFonts w:ascii="Times New Roman" w:hAnsi="Times New Roman" w:cs="Times New Roman"/>
                <w:noProof/>
                <w:sz w:val="20"/>
                <w:szCs w:val="20"/>
                <w:lang w:val="en-IE"/>
              </w:rPr>
              <w:t>*</w:t>
            </w:r>
          </w:p>
        </w:tc>
      </w:tr>
      <w:tr w:rsidR="000B649E" w:rsidRPr="00692395" w14:paraId="32306D4C"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3C5A06"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actions which had outputs used for a benchmarking activity as declared by the action managers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90D461" w14:textId="77777777" w:rsidR="000B649E" w:rsidRPr="00692395" w:rsidRDefault="000B649E" w:rsidP="007662A1">
            <w:pPr>
              <w:spacing w:after="0"/>
              <w:ind w:right="-28" w:hanging="4"/>
              <w:contextualSpacing/>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w:t>
            </w:r>
          </w:p>
        </w:tc>
      </w:tr>
      <w:tr w:rsidR="000B649E" w:rsidRPr="00692395" w14:paraId="05F755A8"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DD135" w14:textId="70C31357" w:rsidR="000B649E" w:rsidRPr="00692395" w:rsidRDefault="3EE053C2" w:rsidP="00EE4082">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w:t>
            </w:r>
            <w:r w:rsidR="532F4440" w:rsidRPr="00692395">
              <w:rPr>
                <w:rFonts w:ascii="Times New Roman" w:hAnsi="Times New Roman" w:cs="Times New Roman"/>
                <w:noProof/>
                <w:sz w:val="20"/>
                <w:szCs w:val="20"/>
                <w:lang w:val="en-IE"/>
              </w:rPr>
              <w:t>face-to-face</w:t>
            </w:r>
            <w:r w:rsidRPr="00692395">
              <w:rPr>
                <w:rFonts w:ascii="Times New Roman" w:hAnsi="Times New Roman" w:cs="Times New Roman"/>
                <w:noProof/>
                <w:sz w:val="20"/>
                <w:szCs w:val="20"/>
                <w:lang w:val="en-IE"/>
              </w:rPr>
              <w:t xml:space="preserve"> meetings (</w:t>
            </w:r>
            <w:r w:rsidR="00EE4082" w:rsidRPr="00692395">
              <w:rPr>
                <w:rFonts w:ascii="Times New Roman" w:hAnsi="Times New Roman" w:cs="Times New Roman"/>
                <w:noProof/>
                <w:sz w:val="20"/>
                <w:szCs w:val="20"/>
                <w:lang w:val="en-IE"/>
              </w:rPr>
              <w:t>physical meetings</w:t>
            </w:r>
            <w:r w:rsidRPr="00692395">
              <w:rPr>
                <w:rFonts w:ascii="Times New Roman" w:hAnsi="Times New Roman" w:cs="Times New Roman"/>
                <w:noProof/>
                <w:sz w:val="20"/>
                <w:szCs w:val="20"/>
                <w:lang w:val="en-IE"/>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0DFD3" w14:textId="2BDF5DF6"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20</w:t>
            </w:r>
            <w:r w:rsidR="00EE4082" w:rsidRPr="00692395">
              <w:rPr>
                <w:rStyle w:val="FootnoteReference"/>
                <w:rFonts w:ascii="Times New Roman" w:hAnsi="Times New Roman" w:cs="Times New Roman"/>
                <w:noProof/>
                <w:sz w:val="20"/>
                <w:szCs w:val="20"/>
                <w:lang w:val="en-IE"/>
              </w:rPr>
              <w:footnoteReference w:id="49"/>
            </w:r>
          </w:p>
        </w:tc>
      </w:tr>
      <w:tr w:rsidR="000B649E" w:rsidRPr="00692395" w14:paraId="7D86F938"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9DC3C0"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on-line collaboration groups (PICS) (total for the platform)</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CDEA9" w14:textId="77777777"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240</w:t>
            </w:r>
          </w:p>
        </w:tc>
      </w:tr>
      <w:tr w:rsidR="000B649E" w:rsidRPr="00692395" w14:paraId="154D7910"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3D50D"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downloaded files from PICS (total for the platform)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CC639" w14:textId="294256E1"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465</w:t>
            </w:r>
            <w:r w:rsidR="006F3191" w:rsidRPr="00692395">
              <w:rPr>
                <w:rFonts w:ascii="Times New Roman" w:hAnsi="Times New Roman" w:cs="Times New Roman"/>
                <w:noProof/>
                <w:sz w:val="20"/>
                <w:szCs w:val="20"/>
                <w:lang w:val="en-IE"/>
              </w:rPr>
              <w:t> </w:t>
            </w:r>
            <w:r w:rsidRPr="00692395">
              <w:rPr>
                <w:rFonts w:ascii="Times New Roman" w:hAnsi="Times New Roman" w:cs="Times New Roman"/>
                <w:noProof/>
                <w:sz w:val="20"/>
                <w:szCs w:val="20"/>
                <w:lang w:val="en-IE"/>
              </w:rPr>
              <w:t>538</w:t>
            </w:r>
          </w:p>
        </w:tc>
      </w:tr>
      <w:tr w:rsidR="000B649E" w:rsidRPr="00692395" w14:paraId="2A67C2DD" w14:textId="77777777" w:rsidTr="586E19CB">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2A1422"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uploaded files on PICS (total for the platform)</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10AA72" w14:textId="6B253008"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 59</w:t>
            </w:r>
            <w:r w:rsidR="006F3191" w:rsidRPr="00692395">
              <w:rPr>
                <w:rFonts w:ascii="Times New Roman" w:hAnsi="Times New Roman" w:cs="Times New Roman"/>
                <w:noProof/>
                <w:sz w:val="20"/>
                <w:szCs w:val="20"/>
                <w:lang w:val="en-IE"/>
              </w:rPr>
              <w:t> </w:t>
            </w:r>
            <w:r w:rsidRPr="00692395">
              <w:rPr>
                <w:rFonts w:ascii="Times New Roman" w:hAnsi="Times New Roman" w:cs="Times New Roman"/>
                <w:noProof/>
                <w:sz w:val="20"/>
                <w:szCs w:val="20"/>
                <w:lang w:val="en-IE"/>
              </w:rPr>
              <w:t xml:space="preserve">348 </w:t>
            </w:r>
          </w:p>
        </w:tc>
      </w:tr>
    </w:tbl>
    <w:p w14:paraId="6E3DEA36" w14:textId="32E5E51D" w:rsidR="001F3DF2" w:rsidRPr="00E615D8" w:rsidRDefault="001F3DF2" w:rsidP="00E615D8">
      <w:pPr>
        <w:rPr>
          <w:rFonts w:ascii="Times New Roman" w:hAnsi="Times New Roman" w:cs="Times New Roman"/>
          <w:noProof/>
          <w:sz w:val="18"/>
          <w:szCs w:val="18"/>
          <w:lang w:val="en-IE"/>
        </w:rPr>
      </w:pPr>
      <w:r w:rsidRPr="001C4413">
        <w:rPr>
          <w:rFonts w:ascii="Times New Roman" w:hAnsi="Times New Roman" w:cs="Times New Roman"/>
          <w:noProof/>
          <w:sz w:val="18"/>
          <w:szCs w:val="18"/>
          <w:lang w:val="en-IE"/>
        </w:rPr>
        <w:t>*Non-representative data due to limited feedback received in AFFs</w:t>
      </w:r>
      <w:r w:rsidR="00E615D8">
        <w:rPr>
          <w:rFonts w:ascii="Times New Roman" w:hAnsi="Times New Roman" w:cs="Times New Roman"/>
          <w:noProof/>
          <w:sz w:val="18"/>
          <w:szCs w:val="18"/>
          <w:lang w:val="en-IE"/>
        </w:rPr>
        <w:t xml:space="preserve"> for 2021 from action managers.</w:t>
      </w:r>
    </w:p>
    <w:p w14:paraId="584F1985" w14:textId="77777777" w:rsidR="001F3DF2" w:rsidRPr="000166FC" w:rsidRDefault="001F3DF2" w:rsidP="000166FC">
      <w:pPr>
        <w:rPr>
          <w:rFonts w:ascii="Times New Roman" w:hAnsi="Times New Roman" w:cs="Times New Roman"/>
          <w:b/>
          <w:bCs/>
          <w:noProof/>
          <w:color w:val="2E74B5" w:themeColor="accent1" w:themeShade="BF"/>
          <w:lang w:val="en-IE"/>
        </w:rPr>
      </w:pPr>
      <w:r w:rsidRPr="000166FC">
        <w:rPr>
          <w:rFonts w:ascii="Times New Roman" w:hAnsi="Times New Roman" w:cs="Times New Roman"/>
          <w:b/>
          <w:bCs/>
          <w:noProof/>
          <w:color w:val="2E74B5" w:themeColor="accent1" w:themeShade="BF"/>
          <w:lang w:val="en-IE"/>
        </w:rPr>
        <w:t xml:space="preserve">10: Reinforce skills and competences of customs officials </w:t>
      </w:r>
    </w:p>
    <w:p w14:paraId="3D0A85F8" w14:textId="1AB043E1" w:rsidR="009408A4" w:rsidRPr="000166FC" w:rsidRDefault="001F3DF2" w:rsidP="000166FC">
      <w:pPr>
        <w:rPr>
          <w:rFonts w:ascii="Times New Roman" w:hAnsi="Times New Roman" w:cs="Times New Roman"/>
          <w:b/>
          <w:bCs/>
          <w:noProof/>
          <w:lang w:val="en-IE"/>
        </w:rPr>
      </w:pPr>
      <w:r w:rsidRPr="000166FC">
        <w:rPr>
          <w:rFonts w:ascii="Times New Roman" w:hAnsi="Times New Roman" w:cs="Times New Roman"/>
          <w:b/>
          <w:bCs/>
          <w:noProof/>
          <w:lang w:val="en-IE"/>
        </w:rPr>
        <w:t>Table 9</w:t>
      </w:r>
      <w:r w:rsidR="00AB58DB" w:rsidRPr="000166FC">
        <w:rPr>
          <w:rFonts w:ascii="Times New Roman" w:hAnsi="Times New Roman" w:cs="Times New Roman"/>
          <w:b/>
          <w:bCs/>
          <w:noProof/>
          <w:lang w:val="en-IE"/>
        </w:rPr>
        <w:t>: Skills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785"/>
        <w:gridCol w:w="996"/>
      </w:tblGrid>
      <w:tr w:rsidR="000B649E" w:rsidRPr="00692395" w14:paraId="55DDB3F1" w14:textId="77777777" w:rsidTr="00E66015">
        <w:trPr>
          <w:trHeight w:val="140"/>
          <w:tblHeader/>
        </w:trPr>
        <w:tc>
          <w:tcPr>
            <w:tcW w:w="8789"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6971511" w14:textId="77777777" w:rsidR="000B649E" w:rsidRPr="00692395" w:rsidRDefault="000B649E" w:rsidP="005C00FC">
            <w:pPr>
              <w:spacing w:after="0"/>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Indicator</w:t>
            </w:r>
          </w:p>
        </w:tc>
        <w:tc>
          <w:tcPr>
            <w:tcW w:w="992"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85A939C" w14:textId="77777777" w:rsidR="000B649E" w:rsidRPr="00692395" w:rsidRDefault="000B649E" w:rsidP="00B4586B">
            <w:pPr>
              <w:spacing w:after="0"/>
              <w:jc w:val="center"/>
              <w:rPr>
                <w:rFonts w:ascii="Times New Roman" w:hAnsi="Times New Roman" w:cs="Times New Roman"/>
                <w:b/>
                <w:bCs/>
                <w:noProof/>
                <w:sz w:val="20"/>
                <w:szCs w:val="20"/>
                <w:lang w:val="en-IE"/>
              </w:rPr>
            </w:pPr>
            <w:r w:rsidRPr="00692395">
              <w:rPr>
                <w:rFonts w:ascii="Times New Roman" w:hAnsi="Times New Roman" w:cs="Times New Roman"/>
                <w:b/>
                <w:bCs/>
                <w:noProof/>
                <w:sz w:val="20"/>
                <w:szCs w:val="20"/>
                <w:lang w:val="en-IE"/>
              </w:rPr>
              <w:t>2021</w:t>
            </w:r>
          </w:p>
        </w:tc>
      </w:tr>
      <w:tr w:rsidR="000B649E" w:rsidRPr="00692395" w14:paraId="7EAFD46B"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4D1073"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EU eLearning modules produced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FDCD0B" w14:textId="77777777"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88</w:t>
            </w:r>
            <w:r w:rsidRPr="00692395">
              <w:rPr>
                <w:rStyle w:val="FootnoteReference"/>
                <w:rFonts w:ascii="Times New Roman" w:hAnsi="Times New Roman" w:cs="Times New Roman"/>
                <w:noProof/>
                <w:sz w:val="20"/>
                <w:szCs w:val="20"/>
                <w:lang w:val="en-IE"/>
              </w:rPr>
              <w:footnoteReference w:id="50"/>
            </w:r>
          </w:p>
        </w:tc>
      </w:tr>
      <w:tr w:rsidR="000B649E" w:rsidRPr="00692395" w14:paraId="5B83B213"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4FA44"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EU eLearning  modules used by participating countries (combined number of all modules used in each country)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053D" w14:textId="77777777"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285</w:t>
            </w:r>
          </w:p>
        </w:tc>
      </w:tr>
      <w:tr w:rsidR="000B649E" w:rsidRPr="00692395" w14:paraId="40B49144"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537697"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customs officials trained by using EU common training material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75855" w14:textId="5D6C2A39" w:rsidR="000B649E" w:rsidRPr="00692395" w:rsidRDefault="000B649E" w:rsidP="007662A1">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384</w:t>
            </w:r>
            <w:r w:rsidR="006F3191" w:rsidRPr="00692395">
              <w:rPr>
                <w:rFonts w:ascii="Times New Roman" w:hAnsi="Times New Roman" w:cs="Times New Roman"/>
                <w:noProof/>
                <w:sz w:val="20"/>
                <w:szCs w:val="20"/>
                <w:lang w:val="en-IE"/>
              </w:rPr>
              <w:t> </w:t>
            </w:r>
            <w:r w:rsidRPr="00692395">
              <w:rPr>
                <w:rFonts w:ascii="Times New Roman" w:hAnsi="Times New Roman" w:cs="Times New Roman"/>
                <w:noProof/>
                <w:sz w:val="20"/>
                <w:szCs w:val="20"/>
                <w:lang w:val="en-IE"/>
              </w:rPr>
              <w:t>696</w:t>
            </w:r>
            <w:r w:rsidRPr="00692395">
              <w:rPr>
                <w:rStyle w:val="FootnoteReference"/>
                <w:rFonts w:ascii="Times New Roman" w:hAnsi="Times New Roman" w:cs="Times New Roman"/>
                <w:noProof/>
                <w:sz w:val="20"/>
                <w:szCs w:val="20"/>
                <w:lang w:val="en-IE"/>
              </w:rPr>
              <w:footnoteReference w:id="51"/>
            </w:r>
          </w:p>
        </w:tc>
      </w:tr>
      <w:tr w:rsidR="000B649E" w:rsidRPr="00692395" w14:paraId="6D857576"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5B61E"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times publically available EU eLearning modules were downloaded from Europa.eu website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6C16" w14:textId="26E1E09E" w:rsidR="000B649E" w:rsidRPr="00692395" w:rsidRDefault="000B649E" w:rsidP="007662A1">
            <w:pPr>
              <w:spacing w:after="0"/>
              <w:ind w:right="-28"/>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10</w:t>
            </w:r>
            <w:r w:rsidR="006F3191" w:rsidRPr="00692395">
              <w:rPr>
                <w:rFonts w:ascii="Times New Roman" w:hAnsi="Times New Roman" w:cs="Times New Roman"/>
                <w:noProof/>
                <w:sz w:val="20"/>
                <w:szCs w:val="20"/>
                <w:lang w:val="en-IE"/>
              </w:rPr>
              <w:t> </w:t>
            </w:r>
            <w:r w:rsidRPr="00692395">
              <w:rPr>
                <w:rFonts w:ascii="Times New Roman" w:hAnsi="Times New Roman" w:cs="Times New Roman"/>
                <w:noProof/>
                <w:sz w:val="20"/>
                <w:szCs w:val="20"/>
                <w:lang w:val="en-IE"/>
              </w:rPr>
              <w:t>877</w:t>
            </w:r>
          </w:p>
        </w:tc>
      </w:tr>
      <w:tr w:rsidR="000B649E" w:rsidRPr="00692395" w14:paraId="1A524B46"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F8182B"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Average training quality score by customs officials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DFA1E3" w14:textId="77777777" w:rsidR="000B649E" w:rsidRPr="00692395" w:rsidRDefault="000B649E" w:rsidP="007662A1">
            <w:pPr>
              <w:pStyle w:val="ListParagraph"/>
              <w:ind w:left="0" w:right="-28" w:hanging="4"/>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74.7</w:t>
            </w:r>
          </w:p>
        </w:tc>
      </w:tr>
      <w:tr w:rsidR="000B649E" w:rsidRPr="00692395" w14:paraId="1699326A"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E6CAF"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 xml:space="preserve">Number of IT training sessions organised for given systems / components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CE8BB" w14:textId="77777777" w:rsidR="000B649E" w:rsidRPr="00692395" w:rsidRDefault="000B649E" w:rsidP="007662A1">
            <w:pPr>
              <w:pStyle w:val="ListParagraph"/>
              <w:ind w:left="0" w:right="-28" w:hanging="4"/>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18</w:t>
            </w:r>
          </w:p>
        </w:tc>
      </w:tr>
      <w:tr w:rsidR="000B649E" w:rsidRPr="00692395" w14:paraId="4B55E7BE"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2FD63E"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Number of customs officials trained in IT trainings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C42F42" w14:textId="77777777" w:rsidR="000B649E" w:rsidRPr="00692395" w:rsidRDefault="000B649E" w:rsidP="007662A1">
            <w:pPr>
              <w:pStyle w:val="ListParagraph"/>
              <w:ind w:left="0" w:right="-28" w:hanging="4"/>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217</w:t>
            </w:r>
          </w:p>
        </w:tc>
      </w:tr>
      <w:tr w:rsidR="000B649E" w:rsidRPr="00692395" w14:paraId="2A71BBDE"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84C06"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Percentage of customs officials who found that the IT training met their expectations (percentage of those who replied 'fully' or 'to large extent')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7875BB" w14:textId="77777777" w:rsidR="000B649E" w:rsidRPr="00692395" w:rsidRDefault="000B649E" w:rsidP="007662A1">
            <w:pPr>
              <w:pStyle w:val="ListParagraph"/>
              <w:ind w:left="0" w:right="-28" w:hanging="4"/>
              <w:rPr>
                <w:rFonts w:ascii="Times New Roman" w:hAnsi="Times New Roman" w:cs="Times New Roman"/>
                <w:noProof/>
                <w:sz w:val="20"/>
                <w:szCs w:val="20"/>
                <w:lang w:val="en-IE"/>
              </w:rPr>
            </w:pPr>
          </w:p>
          <w:p w14:paraId="2F494F3E" w14:textId="61FC6163" w:rsidR="000B649E" w:rsidRPr="00692395" w:rsidRDefault="000B649E" w:rsidP="007662A1">
            <w:pPr>
              <w:pStyle w:val="ListParagraph"/>
              <w:ind w:left="0" w:right="-28" w:hanging="4"/>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89</w:t>
            </w:r>
            <w:r w:rsidR="009408A4" w:rsidRPr="00692395">
              <w:rPr>
                <w:rFonts w:ascii="Times New Roman" w:hAnsi="Times New Roman" w:cs="Times New Roman"/>
                <w:noProof/>
                <w:sz w:val="20"/>
                <w:szCs w:val="20"/>
                <w:lang w:val="en-IE"/>
              </w:rPr>
              <w:t>.</w:t>
            </w:r>
            <w:r w:rsidRPr="00692395">
              <w:rPr>
                <w:rFonts w:ascii="Times New Roman" w:hAnsi="Times New Roman" w:cs="Times New Roman"/>
                <w:noProof/>
                <w:sz w:val="20"/>
                <w:szCs w:val="20"/>
                <w:lang w:val="en-IE"/>
              </w:rPr>
              <w:t>1%</w:t>
            </w:r>
          </w:p>
        </w:tc>
      </w:tr>
      <w:tr w:rsidR="000B649E" w:rsidRPr="00692395" w14:paraId="7684B76F" w14:textId="77777777" w:rsidTr="00E66015">
        <w:trPr>
          <w:trHeight w:val="304"/>
        </w:trPr>
        <w:tc>
          <w:tcPr>
            <w:tcW w:w="8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40EBEB" w14:textId="77777777" w:rsidR="000B649E" w:rsidRPr="00692395" w:rsidRDefault="000B649E" w:rsidP="00B4586B">
            <w:pPr>
              <w:spacing w:after="0"/>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Percentage of customs officials who found the IT training to be useful (percentage of those who replied 'very useful' or 'useful')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6CC33" w14:textId="234D2A03" w:rsidR="000B649E" w:rsidRPr="00692395" w:rsidRDefault="00875BDB" w:rsidP="007662A1">
            <w:pPr>
              <w:ind w:right="-28"/>
              <w:rPr>
                <w:rFonts w:ascii="Times New Roman" w:hAnsi="Times New Roman" w:cs="Times New Roman"/>
                <w:noProof/>
                <w:sz w:val="20"/>
                <w:szCs w:val="20"/>
                <w:lang w:val="en-IE"/>
              </w:rPr>
            </w:pPr>
            <w:r w:rsidRPr="00692395">
              <w:rPr>
                <w:rFonts w:ascii="Times New Roman" w:hAnsi="Times New Roman" w:cs="Times New Roman"/>
                <w:noProof/>
                <w:sz w:val="20"/>
                <w:szCs w:val="20"/>
                <w:lang w:val="en-IE"/>
              </w:rPr>
              <w:t>100</w:t>
            </w:r>
            <w:r w:rsidR="000B649E" w:rsidRPr="00692395">
              <w:rPr>
                <w:rFonts w:ascii="Times New Roman" w:hAnsi="Times New Roman" w:cs="Times New Roman"/>
                <w:noProof/>
                <w:sz w:val="20"/>
                <w:szCs w:val="20"/>
                <w:lang w:val="en-IE"/>
              </w:rPr>
              <w:t>%</w:t>
            </w:r>
          </w:p>
        </w:tc>
      </w:tr>
    </w:tbl>
    <w:p w14:paraId="5C7E27A4" w14:textId="77777777" w:rsidR="001F3DF2" w:rsidRPr="009A33E1" w:rsidRDefault="001F3DF2" w:rsidP="001F3DF2">
      <w:pPr>
        <w:keepNext/>
        <w:keepLines/>
        <w:spacing w:after="240"/>
        <w:jc w:val="center"/>
        <w:outlineLvl w:val="0"/>
        <w:rPr>
          <w:rFonts w:ascii="Times New Roman" w:eastAsiaTheme="majorEastAsia" w:hAnsi="Times New Roman" w:cs="Times New Roman"/>
          <w:b/>
          <w:noProof/>
          <w:color w:val="2E74B5" w:themeColor="accent1" w:themeShade="BF"/>
          <w:sz w:val="28"/>
          <w:szCs w:val="28"/>
          <w:u w:val="single"/>
          <w:lang w:val="en-IE"/>
        </w:rPr>
      </w:pPr>
    </w:p>
    <w:p w14:paraId="6EC3A467" w14:textId="77777777" w:rsidR="001F3DF2" w:rsidRPr="009A33E1" w:rsidRDefault="001F3DF2" w:rsidP="001F3DF2">
      <w:pPr>
        <w:rPr>
          <w:rFonts w:ascii="Times New Roman" w:hAnsi="Times New Roman" w:cs="Times New Roman"/>
          <w:noProof/>
          <w:lang w:val="en-IE"/>
        </w:rPr>
      </w:pPr>
    </w:p>
    <w:p w14:paraId="61694E51" w14:textId="461A715F" w:rsidR="001F3DF2" w:rsidRPr="009A33E1" w:rsidRDefault="001F3DF2">
      <w:pPr>
        <w:rPr>
          <w:rFonts w:ascii="Times New Roman" w:hAnsi="Times New Roman" w:cs="Times New Roman"/>
          <w:noProof/>
          <w:lang w:val="en-IE"/>
        </w:rPr>
      </w:pPr>
      <w:r w:rsidRPr="009A33E1">
        <w:rPr>
          <w:rFonts w:ascii="Times New Roman" w:hAnsi="Times New Roman" w:cs="Times New Roman"/>
          <w:noProof/>
          <w:lang w:val="en-IE"/>
        </w:rPr>
        <w:br w:type="page"/>
      </w:r>
    </w:p>
    <w:p w14:paraId="53E99C64" w14:textId="32E801C6" w:rsidR="001F3DF2" w:rsidRPr="00AF7B58" w:rsidRDefault="001F3DF2" w:rsidP="00AF7B58">
      <w:pPr>
        <w:pStyle w:val="Heading2"/>
        <w:spacing w:after="240"/>
        <w:rPr>
          <w:noProof/>
        </w:rPr>
      </w:pPr>
      <w:bookmarkStart w:id="20" w:name="_Toc96082088"/>
      <w:bookmarkStart w:id="21" w:name="_Toc96083197"/>
      <w:r w:rsidRPr="00AF7B58">
        <w:rPr>
          <w:rStyle w:val="Heading2Char"/>
          <w:b/>
          <w:bCs/>
          <w:noProof/>
        </w:rPr>
        <w:t>Annex 3: Customs programme’s budget</w:t>
      </w:r>
      <w:r w:rsidR="00F02707" w:rsidRPr="00AF7B58">
        <w:rPr>
          <w:rStyle w:val="Heading2Char"/>
          <w:b/>
          <w:bCs/>
          <w:noProof/>
        </w:rPr>
        <w:t>,</w:t>
      </w:r>
      <w:r w:rsidRPr="00AF7B58">
        <w:rPr>
          <w:rStyle w:val="Heading2Char"/>
          <w:b/>
          <w:bCs/>
          <w:noProof/>
        </w:rPr>
        <w:t xml:space="preserve"> performance indicators</w:t>
      </w:r>
      <w:r w:rsidR="00F02707" w:rsidRPr="00AF7B58">
        <w:rPr>
          <w:rStyle w:val="Heading2Char"/>
          <w:b/>
          <w:bCs/>
          <w:noProof/>
        </w:rPr>
        <w:t xml:space="preserve"> and supplementary information</w:t>
      </w:r>
      <w:r w:rsidRPr="00AF7B58">
        <w:rPr>
          <w:rFonts w:ascii="Times New Roman Bold" w:hAnsi="Times New Roman Bold"/>
          <w:noProof/>
          <w:vertAlign w:val="superscript"/>
        </w:rPr>
        <w:footnoteReference w:id="52"/>
      </w:r>
      <w:bookmarkEnd w:id="20"/>
      <w:bookmarkEnd w:id="21"/>
      <w:r w:rsidRPr="00AF7B58">
        <w:rPr>
          <w:rFonts w:ascii="Times New Roman Bold" w:hAnsi="Times New Roman Bold"/>
          <w:noProof/>
          <w:vertAlign w:val="superscript"/>
        </w:rPr>
        <w:t xml:space="preserve"> </w:t>
      </w:r>
    </w:p>
    <w:p w14:paraId="05F18D87" w14:textId="14F7FDC9" w:rsidR="0012426A" w:rsidRPr="002B0B4B" w:rsidRDefault="001F3DF2" w:rsidP="002B0B4B">
      <w:pPr>
        <w:rPr>
          <w:rFonts w:ascii="Times New Roman" w:hAnsi="Times New Roman" w:cs="Times New Roman"/>
          <w:b/>
          <w:bCs/>
          <w:noProof/>
          <w:color w:val="2E74B5" w:themeColor="accent1" w:themeShade="BF"/>
          <w:lang w:val="en-IE"/>
        </w:rPr>
      </w:pPr>
      <w:r w:rsidRPr="009A33E1">
        <w:rPr>
          <w:rFonts w:ascii="Times New Roman" w:eastAsiaTheme="majorEastAsia" w:hAnsi="Times New Roman" w:cs="Times New Roman"/>
          <w:b/>
          <w:bCs/>
          <w:noProof/>
          <w:color w:val="2E74B5" w:themeColor="accent1" w:themeShade="BF"/>
          <w:sz w:val="24"/>
          <w:szCs w:val="24"/>
          <w:lang w:val="en-IE"/>
        </w:rPr>
        <w:t xml:space="preserve"> </w:t>
      </w:r>
      <w:r w:rsidRPr="002B0B4B">
        <w:rPr>
          <w:rFonts w:ascii="Times New Roman" w:hAnsi="Times New Roman" w:cs="Times New Roman"/>
          <w:b/>
          <w:bCs/>
          <w:noProof/>
          <w:color w:val="2E74B5" w:themeColor="accent1" w:themeShade="BF"/>
          <w:lang w:val="en-IE"/>
        </w:rPr>
        <w:t>1: Customs programme</w:t>
      </w:r>
      <w:r w:rsidR="009D45BF" w:rsidRPr="002B0B4B">
        <w:rPr>
          <w:rFonts w:ascii="Times New Roman" w:hAnsi="Times New Roman" w:cs="Times New Roman"/>
          <w:b/>
          <w:bCs/>
          <w:noProof/>
          <w:color w:val="2E74B5" w:themeColor="accent1" w:themeShade="BF"/>
          <w:lang w:val="en-IE"/>
        </w:rPr>
        <w:t xml:space="preserve"> budget</w:t>
      </w:r>
      <w:r w:rsidR="00861985" w:rsidRPr="002B0B4B">
        <w:rPr>
          <w:rFonts w:ascii="Times New Roman" w:hAnsi="Times New Roman" w:cs="Times New Roman"/>
          <w:b/>
          <w:bCs/>
          <w:noProof/>
          <w:color w:val="2E74B5" w:themeColor="accent1" w:themeShade="BF"/>
          <w:lang w:val="en-IE"/>
        </w:rPr>
        <w:t xml:space="preserve"> </w:t>
      </w:r>
    </w:p>
    <w:p w14:paraId="5454DFC0" w14:textId="2DC76517" w:rsidR="001F3DF2" w:rsidRPr="009A33E1" w:rsidRDefault="001F3DF2" w:rsidP="00370162">
      <w:pPr>
        <w:rPr>
          <w:rFonts w:ascii="Times New Roman" w:hAnsi="Times New Roman" w:cs="Times New Roman"/>
          <w:noProof/>
          <w:lang w:val="en-IE"/>
        </w:rPr>
      </w:pPr>
      <w:r w:rsidRPr="009A33E1">
        <w:rPr>
          <w:rFonts w:ascii="Times New Roman" w:hAnsi="Times New Roman" w:cs="Times New Roman"/>
          <w:b/>
          <w:bCs/>
          <w:noProof/>
          <w:sz w:val="20"/>
          <w:szCs w:val="20"/>
          <w:lang w:val="en-IE"/>
        </w:rPr>
        <w:t>T</w:t>
      </w:r>
      <w:r w:rsidRPr="002B0B4B">
        <w:rPr>
          <w:rFonts w:ascii="Times New Roman" w:hAnsi="Times New Roman" w:cs="Times New Roman"/>
          <w:b/>
          <w:bCs/>
          <w:noProof/>
          <w:lang w:val="en-IE"/>
        </w:rPr>
        <w:t>able 1: Committed expenses per year and main action categories under the programme</w:t>
      </w:r>
    </w:p>
    <w:tbl>
      <w:tblPr>
        <w:tblW w:w="9498" w:type="dxa"/>
        <w:tblInd w:w="108" w:type="dxa"/>
        <w:tblLayout w:type="fixed"/>
        <w:tblCellMar>
          <w:left w:w="0" w:type="dxa"/>
          <w:right w:w="0" w:type="dxa"/>
        </w:tblCellMar>
        <w:tblLook w:val="04A0" w:firstRow="1" w:lastRow="0" w:firstColumn="1" w:lastColumn="0" w:noHBand="0" w:noVBand="1"/>
      </w:tblPr>
      <w:tblGrid>
        <w:gridCol w:w="4678"/>
        <w:gridCol w:w="4820"/>
      </w:tblGrid>
      <w:tr w:rsidR="00B4586B" w:rsidRPr="005F4C9A" w14:paraId="109C1398" w14:textId="77777777" w:rsidTr="00B4586B">
        <w:trPr>
          <w:trHeight w:val="271"/>
        </w:trPr>
        <w:tc>
          <w:tcPr>
            <w:tcW w:w="4678" w:type="dxa"/>
            <w:tcBorders>
              <w:top w:val="single" w:sz="8" w:space="0" w:color="auto"/>
              <w:left w:val="single" w:sz="8" w:space="0" w:color="auto"/>
              <w:bottom w:val="single" w:sz="8" w:space="0" w:color="auto"/>
              <w:right w:val="single" w:sz="8" w:space="0" w:color="auto"/>
            </w:tcBorders>
            <w:shd w:val="clear" w:color="auto" w:fill="5B9BD5" w:themeFill="accent1"/>
            <w:tcMar>
              <w:top w:w="0" w:type="dxa"/>
              <w:left w:w="108" w:type="dxa"/>
              <w:bottom w:w="0" w:type="dxa"/>
              <w:right w:w="108" w:type="dxa"/>
            </w:tcMar>
            <w:vAlign w:val="center"/>
            <w:hideMark/>
          </w:tcPr>
          <w:p w14:paraId="5718A3B6" w14:textId="38E1FA54" w:rsidR="00B4586B" w:rsidRPr="005F4C9A" w:rsidRDefault="00B4586B" w:rsidP="00692395">
            <w:pPr>
              <w:spacing w:after="0" w:line="260" w:lineRule="atLeast"/>
              <w:ind w:right="-28"/>
              <w:rPr>
                <w:rFonts w:ascii="Times New Roman" w:eastAsiaTheme="minorEastAsia" w:hAnsi="Times New Roman" w:cs="Times New Roman"/>
                <w:b/>
                <w:noProof/>
                <w:sz w:val="20"/>
                <w:szCs w:val="20"/>
                <w:lang w:val="en-IE" w:eastAsia="en-GB"/>
              </w:rPr>
            </w:pPr>
            <w:r w:rsidRPr="005F4C9A">
              <w:rPr>
                <w:rFonts w:ascii="Times New Roman" w:eastAsia="Times New Roman" w:hAnsi="Times New Roman" w:cs="Times New Roman"/>
                <w:b/>
                <w:noProof/>
                <w:sz w:val="20"/>
                <w:szCs w:val="20"/>
                <w:lang w:val="en-IE" w:eastAsia="en-GB"/>
              </w:rPr>
              <w:t> </w:t>
            </w:r>
            <w:r w:rsidR="00692395" w:rsidRPr="005F4C9A">
              <w:rPr>
                <w:rFonts w:ascii="Times New Roman" w:eastAsia="Times New Roman" w:hAnsi="Times New Roman" w:cs="Times New Roman"/>
                <w:b/>
                <w:bCs/>
                <w:noProof/>
                <w:sz w:val="20"/>
                <w:szCs w:val="20"/>
                <w:lang w:val="en-IE" w:eastAsia="en-GB"/>
              </w:rPr>
              <w:t>Action category</w:t>
            </w:r>
          </w:p>
        </w:tc>
        <w:tc>
          <w:tcPr>
            <w:tcW w:w="4820" w:type="dxa"/>
            <w:tcBorders>
              <w:top w:val="single" w:sz="8" w:space="0" w:color="auto"/>
              <w:left w:val="nil"/>
              <w:bottom w:val="single" w:sz="8" w:space="0" w:color="auto"/>
              <w:right w:val="single" w:sz="8" w:space="0" w:color="auto"/>
            </w:tcBorders>
            <w:shd w:val="clear" w:color="auto" w:fill="5B9BD5" w:themeFill="accent1"/>
            <w:hideMark/>
          </w:tcPr>
          <w:p w14:paraId="1FFEE4CB" w14:textId="77777777" w:rsidR="00B4586B" w:rsidRPr="005F4C9A" w:rsidRDefault="00B4586B" w:rsidP="00B4586B">
            <w:pPr>
              <w:spacing w:after="0" w:line="260" w:lineRule="atLeast"/>
              <w:ind w:right="-28"/>
              <w:jc w:val="center"/>
              <w:rPr>
                <w:rFonts w:ascii="Times New Roman" w:eastAsia="Times New Roman" w:hAnsi="Times New Roman" w:cs="Times New Roman"/>
                <w:b/>
                <w:bCs/>
                <w:noProof/>
                <w:sz w:val="20"/>
                <w:szCs w:val="20"/>
                <w:lang w:val="en-IE" w:eastAsia="en-GB"/>
              </w:rPr>
            </w:pPr>
            <w:r w:rsidRPr="005F4C9A">
              <w:rPr>
                <w:rFonts w:ascii="Times New Roman" w:eastAsia="Times New Roman" w:hAnsi="Times New Roman" w:cs="Times New Roman"/>
                <w:b/>
                <w:bCs/>
                <w:noProof/>
                <w:sz w:val="20"/>
                <w:szCs w:val="20"/>
                <w:lang w:val="en-IE" w:eastAsia="en-GB"/>
              </w:rPr>
              <w:t>2021</w:t>
            </w:r>
          </w:p>
        </w:tc>
      </w:tr>
      <w:tr w:rsidR="00B4586B" w:rsidRPr="005F4C9A" w14:paraId="798D3EA3"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4EA86B82" w14:textId="77777777" w:rsidR="00B4586B" w:rsidRPr="005F4C9A" w:rsidRDefault="00B4586B" w:rsidP="00B4586B">
            <w:pPr>
              <w:spacing w:after="0" w:line="260" w:lineRule="atLeast"/>
              <w:ind w:right="-28"/>
              <w:rPr>
                <w:rFonts w:ascii="Times New Roman" w:eastAsia="Times New Roman" w:hAnsi="Times New Roman" w:cs="Times New Roman"/>
                <w:bCs/>
                <w:noProof/>
                <w:sz w:val="20"/>
                <w:szCs w:val="20"/>
                <w:lang w:val="en-IE" w:eastAsia="en-GB"/>
              </w:rPr>
            </w:pPr>
            <w:r w:rsidRPr="005F4C9A">
              <w:rPr>
                <w:rFonts w:ascii="Times New Roman" w:eastAsia="Times New Roman" w:hAnsi="Times New Roman" w:cs="Times New Roman"/>
                <w:bCs/>
                <w:noProof/>
                <w:sz w:val="20"/>
                <w:szCs w:val="20"/>
                <w:lang w:val="en-IE" w:eastAsia="en-GB"/>
              </w:rPr>
              <w:t>European Electronic Systems</w:t>
            </w:r>
          </w:p>
        </w:tc>
        <w:tc>
          <w:tcPr>
            <w:tcW w:w="4820" w:type="dxa"/>
            <w:tcBorders>
              <w:top w:val="nil"/>
              <w:left w:val="nil"/>
              <w:bottom w:val="single" w:sz="8" w:space="0" w:color="auto"/>
              <w:right w:val="single" w:sz="8" w:space="0" w:color="auto"/>
            </w:tcBorders>
          </w:tcPr>
          <w:p w14:paraId="33FFDB4F" w14:textId="54AFC9DA" w:rsidR="00B4586B" w:rsidRPr="005F4C9A" w:rsidRDefault="006F3191" w:rsidP="00E66015">
            <w:pPr>
              <w:spacing w:after="0" w:line="260" w:lineRule="atLeast"/>
              <w:rPr>
                <w:rFonts w:ascii="Times New Roman" w:eastAsia="Times New Roman" w:hAnsi="Times New Roman" w:cs="Times New Roman"/>
                <w:noProof/>
                <w:color w:val="000000"/>
                <w:sz w:val="20"/>
                <w:szCs w:val="20"/>
                <w:lang w:val="en-IE" w:eastAsia="en-GB"/>
              </w:rPr>
            </w:pPr>
            <w:r w:rsidRPr="005F4C9A">
              <w:rPr>
                <w:rFonts w:ascii="Times New Roman" w:eastAsia="Times New Roman" w:hAnsi="Times New Roman" w:cs="Times New Roman"/>
                <w:noProof/>
                <w:color w:val="000000"/>
                <w:sz w:val="20"/>
                <w:szCs w:val="20"/>
                <w:lang w:val="en-IE" w:eastAsia="en-GB"/>
              </w:rPr>
              <w:t>EUR 116 533 </w:t>
            </w:r>
            <w:r w:rsidR="00E66015" w:rsidRPr="005F4C9A">
              <w:rPr>
                <w:rFonts w:ascii="Times New Roman" w:eastAsia="Times New Roman" w:hAnsi="Times New Roman" w:cs="Times New Roman"/>
                <w:noProof/>
                <w:color w:val="000000"/>
                <w:sz w:val="20"/>
                <w:szCs w:val="20"/>
                <w:lang w:val="en-IE" w:eastAsia="en-GB"/>
              </w:rPr>
              <w:t>046.</w:t>
            </w:r>
            <w:r w:rsidR="00B4586B" w:rsidRPr="005F4C9A">
              <w:rPr>
                <w:rFonts w:ascii="Times New Roman" w:eastAsia="Times New Roman" w:hAnsi="Times New Roman" w:cs="Times New Roman"/>
                <w:noProof/>
                <w:color w:val="000000"/>
                <w:sz w:val="20"/>
                <w:szCs w:val="20"/>
                <w:lang w:val="en-IE" w:eastAsia="en-GB"/>
              </w:rPr>
              <w:t>11</w:t>
            </w:r>
          </w:p>
        </w:tc>
      </w:tr>
      <w:tr w:rsidR="00B4586B" w:rsidRPr="005F4C9A" w14:paraId="64786FDD"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AA8E45B" w14:textId="77777777" w:rsidR="00B4586B" w:rsidRPr="005F4C9A" w:rsidRDefault="00B4586B" w:rsidP="00B4586B">
            <w:pPr>
              <w:spacing w:after="0" w:line="260" w:lineRule="atLeast"/>
              <w:ind w:right="-28"/>
              <w:rPr>
                <w:rFonts w:ascii="Times New Roman" w:eastAsiaTheme="minorEastAsia" w:hAnsi="Times New Roman" w:cs="Times New Roman"/>
                <w:bCs/>
                <w:noProof/>
                <w:sz w:val="20"/>
                <w:szCs w:val="20"/>
                <w:lang w:val="en-IE" w:eastAsia="en-GB"/>
              </w:rPr>
            </w:pPr>
            <w:r w:rsidRPr="005F4C9A">
              <w:rPr>
                <w:rFonts w:ascii="Times New Roman" w:hAnsi="Times New Roman" w:cs="Times New Roman"/>
                <w:bCs/>
                <w:noProof/>
                <w:sz w:val="20"/>
                <w:szCs w:val="20"/>
                <w:lang w:val="en-IE"/>
              </w:rPr>
              <w:t xml:space="preserve">Collaboration activities </w:t>
            </w:r>
            <w:r w:rsidRPr="005F4C9A">
              <w:rPr>
                <w:rFonts w:ascii="Times New Roman" w:eastAsia="Times New Roman" w:hAnsi="Times New Roman" w:cs="Times New Roman"/>
                <w:bCs/>
                <w:noProof/>
                <w:sz w:val="20"/>
                <w:szCs w:val="20"/>
                <w:lang w:val="en-IE" w:eastAsia="en-GB"/>
              </w:rPr>
              <w:t>(including expert teams)</w:t>
            </w:r>
          </w:p>
        </w:tc>
        <w:tc>
          <w:tcPr>
            <w:tcW w:w="4820" w:type="dxa"/>
            <w:tcBorders>
              <w:top w:val="nil"/>
              <w:left w:val="nil"/>
              <w:bottom w:val="single" w:sz="8" w:space="0" w:color="auto"/>
              <w:right w:val="single" w:sz="8" w:space="0" w:color="auto"/>
            </w:tcBorders>
          </w:tcPr>
          <w:p w14:paraId="3EC3469B" w14:textId="0D1E7999" w:rsidR="00B4586B" w:rsidRPr="005F4C9A" w:rsidRDefault="00E66015" w:rsidP="006F3191">
            <w:pPr>
              <w:spacing w:after="0" w:line="260" w:lineRule="atLeast"/>
              <w:ind w:right="-28"/>
              <w:rPr>
                <w:rFonts w:ascii="Times New Roman" w:eastAsia="Times New Roman" w:hAnsi="Times New Roman" w:cs="Times New Roman"/>
                <w:noProof/>
                <w:color w:val="000000"/>
                <w:sz w:val="20"/>
                <w:szCs w:val="20"/>
                <w:lang w:val="en-IE" w:eastAsia="en-GB"/>
              </w:rPr>
            </w:pPr>
            <w:r w:rsidRPr="005F4C9A">
              <w:rPr>
                <w:rFonts w:ascii="Times New Roman" w:eastAsia="Times New Roman" w:hAnsi="Times New Roman" w:cs="Times New Roman"/>
                <w:noProof/>
                <w:color w:val="000000"/>
                <w:sz w:val="20"/>
                <w:szCs w:val="20"/>
                <w:lang w:val="en-IE" w:eastAsia="en-GB"/>
              </w:rPr>
              <w:t>EUR</w:t>
            </w:r>
            <w:r w:rsidR="006F3191" w:rsidRPr="005F4C9A">
              <w:rPr>
                <w:rFonts w:ascii="Times New Roman" w:eastAsia="Times New Roman" w:hAnsi="Times New Roman" w:cs="Times New Roman"/>
                <w:noProof/>
                <w:color w:val="000000"/>
                <w:sz w:val="20"/>
                <w:szCs w:val="20"/>
                <w:lang w:val="en-IE" w:eastAsia="en-GB"/>
              </w:rPr>
              <w:t> </w:t>
            </w:r>
            <w:r w:rsidR="00B4586B" w:rsidRPr="005F4C9A">
              <w:rPr>
                <w:rFonts w:ascii="Times New Roman" w:eastAsia="Times New Roman" w:hAnsi="Times New Roman" w:cs="Times New Roman"/>
                <w:noProof/>
                <w:color w:val="000000"/>
                <w:sz w:val="20"/>
                <w:szCs w:val="20"/>
                <w:lang w:val="en-IE" w:eastAsia="en-GB"/>
              </w:rPr>
              <w:t>5</w:t>
            </w:r>
            <w:r w:rsidR="006F3191" w:rsidRPr="005F4C9A">
              <w:rPr>
                <w:rFonts w:ascii="Times New Roman" w:eastAsia="Times New Roman" w:hAnsi="Times New Roman" w:cs="Times New Roman"/>
                <w:noProof/>
                <w:color w:val="000000"/>
                <w:sz w:val="20"/>
                <w:szCs w:val="20"/>
                <w:lang w:val="en-IE" w:eastAsia="en-GB"/>
              </w:rPr>
              <w:t> 600 </w:t>
            </w:r>
            <w:r w:rsidR="00B4586B" w:rsidRPr="005F4C9A">
              <w:rPr>
                <w:rFonts w:ascii="Times New Roman" w:eastAsia="Times New Roman" w:hAnsi="Times New Roman" w:cs="Times New Roman"/>
                <w:noProof/>
                <w:color w:val="000000"/>
                <w:sz w:val="20"/>
                <w:szCs w:val="20"/>
                <w:lang w:val="en-IE" w:eastAsia="en-GB"/>
              </w:rPr>
              <w:t>000</w:t>
            </w:r>
          </w:p>
        </w:tc>
      </w:tr>
      <w:tr w:rsidR="00B4586B" w:rsidRPr="005F4C9A" w14:paraId="6925DEC6"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B685D07" w14:textId="77777777" w:rsidR="00B4586B" w:rsidRPr="005F4C9A" w:rsidRDefault="00B4586B" w:rsidP="00B4586B">
            <w:pPr>
              <w:spacing w:after="0" w:line="260" w:lineRule="atLeast"/>
              <w:ind w:right="-28"/>
              <w:rPr>
                <w:rFonts w:ascii="Times New Roman" w:eastAsiaTheme="minorEastAsia" w:hAnsi="Times New Roman" w:cs="Times New Roman"/>
                <w:bCs/>
                <w:noProof/>
                <w:sz w:val="20"/>
                <w:szCs w:val="20"/>
                <w:lang w:val="en-IE" w:eastAsia="en-GB"/>
              </w:rPr>
            </w:pPr>
            <w:r w:rsidRPr="005F4C9A">
              <w:rPr>
                <w:rFonts w:ascii="Times New Roman" w:eastAsia="Times New Roman" w:hAnsi="Times New Roman" w:cs="Times New Roman"/>
                <w:bCs/>
                <w:noProof/>
                <w:sz w:val="20"/>
                <w:szCs w:val="20"/>
                <w:lang w:val="en-IE" w:eastAsia="en-GB"/>
              </w:rPr>
              <w:t>Other service contracts</w:t>
            </w:r>
            <w:r w:rsidRPr="005F4C9A">
              <w:rPr>
                <w:rStyle w:val="FootnoteReference"/>
                <w:rFonts w:ascii="Times New Roman" w:eastAsia="Times New Roman" w:hAnsi="Times New Roman" w:cs="Times New Roman"/>
                <w:noProof/>
                <w:sz w:val="20"/>
                <w:szCs w:val="20"/>
                <w:lang w:val="en-IE" w:eastAsia="en-GB"/>
              </w:rPr>
              <w:footnoteReference w:id="53"/>
            </w:r>
            <w:r w:rsidRPr="005F4C9A">
              <w:rPr>
                <w:rFonts w:ascii="Times New Roman" w:eastAsia="Times New Roman" w:hAnsi="Times New Roman" w:cs="Times New Roman"/>
                <w:bCs/>
                <w:noProof/>
                <w:sz w:val="20"/>
                <w:szCs w:val="20"/>
                <w:lang w:val="en-IE" w:eastAsia="en-GB"/>
              </w:rPr>
              <w:t xml:space="preserve"> </w:t>
            </w:r>
          </w:p>
        </w:tc>
        <w:tc>
          <w:tcPr>
            <w:tcW w:w="4820" w:type="dxa"/>
            <w:tcBorders>
              <w:top w:val="nil"/>
              <w:left w:val="nil"/>
              <w:bottom w:val="single" w:sz="8" w:space="0" w:color="auto"/>
              <w:right w:val="single" w:sz="8" w:space="0" w:color="auto"/>
            </w:tcBorders>
          </w:tcPr>
          <w:p w14:paraId="398973A2" w14:textId="45BE5C5A" w:rsidR="00B4586B" w:rsidRPr="005F4C9A" w:rsidRDefault="006F3191" w:rsidP="009408A4">
            <w:pPr>
              <w:spacing w:after="0" w:line="260" w:lineRule="atLeast"/>
              <w:ind w:right="-28"/>
              <w:rPr>
                <w:rFonts w:ascii="Times New Roman" w:eastAsiaTheme="minorEastAsia" w:hAnsi="Times New Roman" w:cs="Times New Roman"/>
                <w:noProof/>
                <w:color w:val="000000"/>
                <w:sz w:val="20"/>
                <w:szCs w:val="20"/>
                <w:lang w:val="en-IE" w:eastAsia="en-GB"/>
              </w:rPr>
            </w:pPr>
            <w:r w:rsidRPr="005F4C9A">
              <w:rPr>
                <w:rFonts w:ascii="Times New Roman" w:eastAsiaTheme="minorEastAsia" w:hAnsi="Times New Roman" w:cs="Times New Roman"/>
                <w:noProof/>
                <w:color w:val="000000"/>
                <w:sz w:val="20"/>
                <w:szCs w:val="20"/>
                <w:lang w:val="en-IE" w:eastAsia="en-GB"/>
              </w:rPr>
              <w:t>EUR 2 884 </w:t>
            </w:r>
            <w:r w:rsidR="009408A4" w:rsidRPr="005F4C9A">
              <w:rPr>
                <w:rFonts w:ascii="Times New Roman" w:eastAsiaTheme="minorEastAsia" w:hAnsi="Times New Roman" w:cs="Times New Roman"/>
                <w:noProof/>
                <w:color w:val="000000"/>
                <w:sz w:val="20"/>
                <w:szCs w:val="20"/>
                <w:lang w:val="en-IE" w:eastAsia="en-GB"/>
              </w:rPr>
              <w:t xml:space="preserve">091.36 </w:t>
            </w:r>
          </w:p>
        </w:tc>
      </w:tr>
      <w:tr w:rsidR="00B4586B" w:rsidRPr="005F4C9A" w14:paraId="0A60501C"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6CE0325C" w14:textId="77777777" w:rsidR="00B4586B" w:rsidRPr="005F4C9A" w:rsidRDefault="00B4586B" w:rsidP="00B4586B">
            <w:pPr>
              <w:spacing w:after="0" w:line="260" w:lineRule="atLeast"/>
              <w:ind w:right="-28"/>
              <w:rPr>
                <w:rFonts w:ascii="Times New Roman" w:eastAsia="Times New Roman" w:hAnsi="Times New Roman" w:cs="Times New Roman"/>
                <w:bCs/>
                <w:noProof/>
                <w:sz w:val="20"/>
                <w:szCs w:val="20"/>
                <w:lang w:val="en-IE" w:eastAsia="en-GB"/>
              </w:rPr>
            </w:pPr>
            <w:r w:rsidRPr="005F4C9A">
              <w:rPr>
                <w:rFonts w:ascii="Times New Roman" w:eastAsia="Times New Roman" w:hAnsi="Times New Roman" w:cs="Times New Roman"/>
                <w:bCs/>
                <w:noProof/>
                <w:sz w:val="20"/>
                <w:szCs w:val="20"/>
                <w:lang w:val="en-IE" w:eastAsia="en-GB"/>
              </w:rPr>
              <w:t>External experts</w:t>
            </w:r>
          </w:p>
        </w:tc>
        <w:tc>
          <w:tcPr>
            <w:tcW w:w="4820" w:type="dxa"/>
            <w:tcBorders>
              <w:top w:val="nil"/>
              <w:left w:val="nil"/>
              <w:bottom w:val="single" w:sz="8" w:space="0" w:color="auto"/>
              <w:right w:val="single" w:sz="8" w:space="0" w:color="auto"/>
            </w:tcBorders>
          </w:tcPr>
          <w:p w14:paraId="3B56C214" w14:textId="11C6CDAB" w:rsidR="00B4586B" w:rsidRPr="005F4C9A" w:rsidRDefault="000679C8" w:rsidP="006F3191">
            <w:pPr>
              <w:spacing w:after="0" w:line="260" w:lineRule="atLeast"/>
              <w:ind w:right="-28"/>
              <w:rPr>
                <w:rFonts w:ascii="Times New Roman" w:eastAsia="Times New Roman" w:hAnsi="Times New Roman" w:cs="Times New Roman"/>
                <w:noProof/>
                <w:color w:val="000000"/>
                <w:sz w:val="20"/>
                <w:szCs w:val="20"/>
                <w:lang w:val="en-IE" w:eastAsia="en-GB"/>
              </w:rPr>
            </w:pPr>
            <w:r w:rsidRPr="005F4C9A">
              <w:rPr>
                <w:rFonts w:ascii="Times New Roman" w:eastAsia="Times New Roman" w:hAnsi="Times New Roman" w:cs="Times New Roman"/>
                <w:noProof/>
                <w:color w:val="000000"/>
                <w:sz w:val="20"/>
                <w:szCs w:val="20"/>
                <w:lang w:val="en-IE" w:eastAsia="en-GB"/>
              </w:rPr>
              <w:t>EUR</w:t>
            </w:r>
            <w:r w:rsidR="006F3191" w:rsidRPr="005F4C9A">
              <w:rPr>
                <w:rFonts w:ascii="Times New Roman" w:eastAsia="Times New Roman" w:hAnsi="Times New Roman" w:cs="Times New Roman"/>
                <w:noProof/>
                <w:color w:val="000000"/>
                <w:sz w:val="20"/>
                <w:szCs w:val="20"/>
                <w:lang w:val="en-IE" w:eastAsia="en-GB"/>
              </w:rPr>
              <w:t> </w:t>
            </w:r>
            <w:r w:rsidR="00B4586B" w:rsidRPr="005F4C9A">
              <w:rPr>
                <w:rFonts w:ascii="Times New Roman" w:eastAsia="Times New Roman" w:hAnsi="Times New Roman" w:cs="Times New Roman"/>
                <w:noProof/>
                <w:color w:val="000000"/>
                <w:sz w:val="20"/>
                <w:szCs w:val="20"/>
                <w:lang w:val="en-IE" w:eastAsia="en-GB"/>
              </w:rPr>
              <w:t>200</w:t>
            </w:r>
            <w:r w:rsidR="006F3191" w:rsidRPr="005F4C9A">
              <w:rPr>
                <w:rFonts w:ascii="Times New Roman" w:eastAsia="Times New Roman" w:hAnsi="Times New Roman" w:cs="Times New Roman"/>
                <w:noProof/>
                <w:color w:val="000000"/>
                <w:sz w:val="20"/>
                <w:szCs w:val="20"/>
                <w:lang w:val="en-IE" w:eastAsia="en-GB"/>
              </w:rPr>
              <w:t> </w:t>
            </w:r>
            <w:r w:rsidR="00B4586B" w:rsidRPr="005F4C9A">
              <w:rPr>
                <w:rFonts w:ascii="Times New Roman" w:eastAsia="Times New Roman" w:hAnsi="Times New Roman" w:cs="Times New Roman"/>
                <w:noProof/>
                <w:color w:val="000000"/>
                <w:sz w:val="20"/>
                <w:szCs w:val="20"/>
                <w:lang w:val="en-IE" w:eastAsia="en-GB"/>
              </w:rPr>
              <w:t>000</w:t>
            </w:r>
          </w:p>
        </w:tc>
      </w:tr>
      <w:tr w:rsidR="00B4586B" w:rsidRPr="005F4C9A" w14:paraId="4A265DFB"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BEE09A8" w14:textId="77777777" w:rsidR="00B4586B" w:rsidRPr="005F4C9A" w:rsidRDefault="00B4586B" w:rsidP="00B4586B">
            <w:pPr>
              <w:spacing w:after="0" w:line="260" w:lineRule="atLeast"/>
              <w:ind w:right="-28"/>
              <w:rPr>
                <w:rFonts w:ascii="Times New Roman" w:eastAsiaTheme="minorEastAsia" w:hAnsi="Times New Roman" w:cs="Times New Roman"/>
                <w:b/>
                <w:bCs/>
                <w:noProof/>
                <w:sz w:val="20"/>
                <w:szCs w:val="20"/>
                <w:lang w:val="en-IE" w:eastAsia="en-GB"/>
              </w:rPr>
            </w:pPr>
            <w:r w:rsidRPr="005F4C9A">
              <w:rPr>
                <w:rFonts w:ascii="Times New Roman" w:eastAsia="Times New Roman" w:hAnsi="Times New Roman" w:cs="Times New Roman"/>
                <w:b/>
                <w:bCs/>
                <w:noProof/>
                <w:sz w:val="20"/>
                <w:szCs w:val="20"/>
                <w:lang w:val="en-IE" w:eastAsia="en-GB"/>
              </w:rPr>
              <w:t>TOTAL</w:t>
            </w:r>
          </w:p>
        </w:tc>
        <w:tc>
          <w:tcPr>
            <w:tcW w:w="4820" w:type="dxa"/>
            <w:tcBorders>
              <w:top w:val="nil"/>
              <w:left w:val="nil"/>
              <w:bottom w:val="single" w:sz="8" w:space="0" w:color="auto"/>
              <w:right w:val="single" w:sz="8" w:space="0" w:color="auto"/>
            </w:tcBorders>
          </w:tcPr>
          <w:p w14:paraId="0A506B05" w14:textId="6512C516" w:rsidR="00B4586B" w:rsidRPr="005F4C9A" w:rsidRDefault="006F3191" w:rsidP="006F3191">
            <w:pPr>
              <w:spacing w:after="0" w:line="260" w:lineRule="atLeast"/>
              <w:ind w:right="-28"/>
              <w:rPr>
                <w:rFonts w:ascii="Times New Roman" w:eastAsiaTheme="minorEastAsia" w:hAnsi="Times New Roman" w:cs="Times New Roman"/>
                <w:b/>
                <w:noProof/>
                <w:color w:val="000000"/>
                <w:sz w:val="20"/>
                <w:szCs w:val="20"/>
                <w:lang w:val="en-IE" w:eastAsia="en-GB"/>
              </w:rPr>
            </w:pPr>
            <w:r w:rsidRPr="005F4C9A">
              <w:rPr>
                <w:rFonts w:ascii="Times New Roman" w:eastAsiaTheme="minorEastAsia" w:hAnsi="Times New Roman" w:cs="Times New Roman"/>
                <w:b/>
                <w:noProof/>
                <w:color w:val="000000"/>
                <w:sz w:val="20"/>
                <w:szCs w:val="20"/>
                <w:lang w:val="en-IE" w:eastAsia="en-GB"/>
              </w:rPr>
              <w:t>EUR 125 </w:t>
            </w:r>
            <w:r w:rsidR="000679C8" w:rsidRPr="005F4C9A">
              <w:rPr>
                <w:rFonts w:ascii="Times New Roman" w:eastAsiaTheme="minorEastAsia" w:hAnsi="Times New Roman" w:cs="Times New Roman"/>
                <w:b/>
                <w:noProof/>
                <w:color w:val="000000"/>
                <w:sz w:val="20"/>
                <w:szCs w:val="20"/>
                <w:lang w:val="en-IE" w:eastAsia="en-GB"/>
              </w:rPr>
              <w:t>217</w:t>
            </w:r>
            <w:r w:rsidRPr="005F4C9A">
              <w:rPr>
                <w:rFonts w:ascii="Times New Roman" w:eastAsiaTheme="minorEastAsia" w:hAnsi="Times New Roman" w:cs="Times New Roman"/>
                <w:b/>
                <w:noProof/>
                <w:color w:val="000000"/>
                <w:sz w:val="20"/>
                <w:szCs w:val="20"/>
                <w:lang w:val="en-IE" w:eastAsia="en-GB"/>
              </w:rPr>
              <w:t> </w:t>
            </w:r>
            <w:r w:rsidR="000679C8" w:rsidRPr="005F4C9A">
              <w:rPr>
                <w:rFonts w:ascii="Times New Roman" w:eastAsiaTheme="minorEastAsia" w:hAnsi="Times New Roman" w:cs="Times New Roman"/>
                <w:b/>
                <w:noProof/>
                <w:color w:val="000000"/>
                <w:sz w:val="20"/>
                <w:szCs w:val="20"/>
                <w:lang w:val="en-IE" w:eastAsia="en-GB"/>
              </w:rPr>
              <w:t>137.</w:t>
            </w:r>
            <w:r w:rsidR="00B4586B" w:rsidRPr="005F4C9A">
              <w:rPr>
                <w:rFonts w:ascii="Times New Roman" w:eastAsiaTheme="minorEastAsia" w:hAnsi="Times New Roman" w:cs="Times New Roman"/>
                <w:b/>
                <w:noProof/>
                <w:color w:val="000000"/>
                <w:sz w:val="20"/>
                <w:szCs w:val="20"/>
                <w:lang w:val="en-IE" w:eastAsia="en-GB"/>
              </w:rPr>
              <w:t>47</w:t>
            </w:r>
          </w:p>
        </w:tc>
      </w:tr>
      <w:tr w:rsidR="00B4586B" w:rsidRPr="005F4C9A" w14:paraId="159CE87F" w14:textId="77777777" w:rsidTr="00B4586B">
        <w:trPr>
          <w:trHeight w:val="271"/>
        </w:trPr>
        <w:tc>
          <w:tcPr>
            <w:tcW w:w="4678"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CF044BE" w14:textId="77777777" w:rsidR="00B4586B" w:rsidRPr="005F4C9A" w:rsidRDefault="00B4586B" w:rsidP="00B4586B">
            <w:pPr>
              <w:spacing w:after="0" w:line="260" w:lineRule="atLeast"/>
              <w:ind w:right="-28"/>
              <w:rPr>
                <w:rFonts w:ascii="Times New Roman" w:eastAsiaTheme="minorEastAsia" w:hAnsi="Times New Roman" w:cs="Times New Roman"/>
                <w:bCs/>
                <w:noProof/>
                <w:sz w:val="20"/>
                <w:szCs w:val="20"/>
                <w:lang w:val="en-IE" w:eastAsia="en-GB"/>
              </w:rPr>
            </w:pPr>
            <w:r w:rsidRPr="005F4C9A">
              <w:rPr>
                <w:rFonts w:ascii="Times New Roman" w:eastAsia="Times New Roman" w:hAnsi="Times New Roman" w:cs="Times New Roman"/>
                <w:bCs/>
                <w:noProof/>
                <w:sz w:val="20"/>
                <w:szCs w:val="20"/>
                <w:lang w:val="en-IE" w:eastAsia="en-GB"/>
              </w:rPr>
              <w:t>MAWP-Financing Decision</w:t>
            </w:r>
            <w:r w:rsidRPr="005F4C9A">
              <w:rPr>
                <w:rStyle w:val="FootnoteReference"/>
                <w:rFonts w:ascii="Times New Roman" w:eastAsia="Times New Roman" w:hAnsi="Times New Roman" w:cs="Times New Roman"/>
                <w:noProof/>
                <w:sz w:val="20"/>
                <w:szCs w:val="20"/>
                <w:lang w:val="en-IE" w:eastAsia="en-GB"/>
              </w:rPr>
              <w:footnoteReference w:id="54"/>
            </w:r>
          </w:p>
        </w:tc>
        <w:tc>
          <w:tcPr>
            <w:tcW w:w="4820" w:type="dxa"/>
            <w:tcBorders>
              <w:top w:val="nil"/>
              <w:left w:val="nil"/>
              <w:bottom w:val="single" w:sz="8" w:space="0" w:color="auto"/>
              <w:right w:val="single" w:sz="8" w:space="0" w:color="auto"/>
            </w:tcBorders>
          </w:tcPr>
          <w:p w14:paraId="13894EB3" w14:textId="03343D6C" w:rsidR="00B4586B" w:rsidRPr="005F4C9A" w:rsidRDefault="006F3191" w:rsidP="00E66015">
            <w:pPr>
              <w:spacing w:after="0" w:line="260" w:lineRule="atLeast"/>
              <w:ind w:right="-28"/>
              <w:rPr>
                <w:rFonts w:ascii="Times New Roman" w:eastAsiaTheme="minorEastAsia" w:hAnsi="Times New Roman" w:cs="Times New Roman"/>
                <w:noProof/>
                <w:color w:val="000000"/>
                <w:sz w:val="20"/>
                <w:szCs w:val="20"/>
                <w:lang w:val="en-IE" w:eastAsia="en-GB"/>
              </w:rPr>
            </w:pPr>
            <w:r w:rsidRPr="005F4C9A">
              <w:rPr>
                <w:rFonts w:ascii="Times New Roman" w:eastAsiaTheme="minorEastAsia" w:hAnsi="Times New Roman" w:cs="Times New Roman"/>
                <w:noProof/>
                <w:color w:val="000000"/>
                <w:sz w:val="20"/>
                <w:szCs w:val="20"/>
                <w:lang w:val="en-IE" w:eastAsia="en-GB"/>
              </w:rPr>
              <w:t>EUR 126 587 </w:t>
            </w:r>
            <w:r w:rsidR="00B4586B" w:rsidRPr="005F4C9A">
              <w:rPr>
                <w:rFonts w:ascii="Times New Roman" w:eastAsiaTheme="minorEastAsia" w:hAnsi="Times New Roman" w:cs="Times New Roman"/>
                <w:noProof/>
                <w:color w:val="000000"/>
                <w:sz w:val="20"/>
                <w:szCs w:val="20"/>
                <w:lang w:val="en-IE" w:eastAsia="en-GB"/>
              </w:rPr>
              <w:t>000</w:t>
            </w:r>
          </w:p>
        </w:tc>
      </w:tr>
    </w:tbl>
    <w:p w14:paraId="3F8FFDD8" w14:textId="77777777" w:rsidR="001F3DF2" w:rsidRPr="009A33E1" w:rsidRDefault="001F3DF2" w:rsidP="001F3DF2">
      <w:pPr>
        <w:keepNext/>
        <w:keepLines/>
        <w:spacing w:before="40" w:after="0"/>
        <w:outlineLvl w:val="1"/>
        <w:rPr>
          <w:rFonts w:ascii="Times New Roman" w:eastAsiaTheme="majorEastAsia" w:hAnsi="Times New Roman" w:cs="Times New Roman"/>
          <w:b/>
          <w:noProof/>
          <w:color w:val="2E74B5" w:themeColor="accent1" w:themeShade="BF"/>
          <w:sz w:val="24"/>
          <w:szCs w:val="24"/>
          <w:lang w:val="en-IE"/>
        </w:rPr>
      </w:pPr>
    </w:p>
    <w:p w14:paraId="28877290" w14:textId="1EB86C94" w:rsidR="001F3DF2" w:rsidRPr="00173E46" w:rsidRDefault="001F3DF2" w:rsidP="001F3DF2">
      <w:pPr>
        <w:rPr>
          <w:rFonts w:ascii="Times New Roman" w:hAnsi="Times New Roman" w:cs="Times New Roman"/>
          <w:b/>
          <w:bCs/>
          <w:noProof/>
          <w:color w:val="2E74B5" w:themeColor="accent1" w:themeShade="BF"/>
          <w:lang w:val="en-IE"/>
        </w:rPr>
      </w:pPr>
      <w:r w:rsidRPr="00173E46">
        <w:rPr>
          <w:rFonts w:ascii="Times New Roman" w:hAnsi="Times New Roman" w:cs="Times New Roman"/>
          <w:b/>
          <w:bCs/>
          <w:noProof/>
          <w:color w:val="2E74B5" w:themeColor="accent1" w:themeShade="BF"/>
          <w:lang w:val="en-IE"/>
        </w:rPr>
        <w:t xml:space="preserve">2: General collaborative actions </w:t>
      </w:r>
      <w:r w:rsidR="00363A6F" w:rsidRPr="00173E46">
        <w:rPr>
          <w:rFonts w:ascii="Times New Roman" w:hAnsi="Times New Roman" w:cs="Times New Roman"/>
          <w:b/>
          <w:bCs/>
          <w:noProof/>
          <w:color w:val="2E74B5" w:themeColor="accent1" w:themeShade="BF"/>
          <w:lang w:val="en-IE"/>
        </w:rPr>
        <w:t>(excluding expert teams)</w:t>
      </w:r>
    </w:p>
    <w:p w14:paraId="721AA575" w14:textId="05CB7610" w:rsidR="001F3DF2" w:rsidRPr="00173E46" w:rsidRDefault="001F3DF2" w:rsidP="001F3DF2">
      <w:pPr>
        <w:rPr>
          <w:rFonts w:ascii="Times New Roman" w:hAnsi="Times New Roman" w:cs="Times New Roman"/>
          <w:b/>
          <w:bCs/>
          <w:noProof/>
          <w:lang w:val="en-IE"/>
        </w:rPr>
      </w:pPr>
      <w:r w:rsidRPr="00173E46">
        <w:rPr>
          <w:rFonts w:ascii="Times New Roman" w:hAnsi="Times New Roman" w:cs="Times New Roman"/>
          <w:b/>
          <w:bCs/>
          <w:noProof/>
          <w:lang w:val="en-IE"/>
        </w:rPr>
        <w:t>Figure 1: Overview of participants per country in 2021 (al</w:t>
      </w:r>
      <w:r w:rsidR="00845F27" w:rsidRPr="00173E46">
        <w:rPr>
          <w:rFonts w:ascii="Times New Roman" w:hAnsi="Times New Roman" w:cs="Times New Roman"/>
          <w:b/>
          <w:bCs/>
          <w:noProof/>
          <w:lang w:val="en-IE"/>
        </w:rPr>
        <w:t>l joint actions all objectives)</w:t>
      </w:r>
    </w:p>
    <w:p w14:paraId="5F3B207D" w14:textId="58EA9666" w:rsidR="00374730" w:rsidRPr="00173E46" w:rsidRDefault="00374730" w:rsidP="001F3DF2">
      <w:pPr>
        <w:rPr>
          <w:rFonts w:ascii="Times New Roman" w:hAnsi="Times New Roman" w:cs="Times New Roman"/>
          <w:bCs/>
          <w:noProof/>
          <w:lang w:val="en-IE"/>
        </w:rPr>
      </w:pPr>
      <w:r w:rsidRPr="00173E46">
        <w:rPr>
          <w:rFonts w:ascii="Times New Roman" w:hAnsi="Times New Roman" w:cs="Times New Roman"/>
          <w:bCs/>
          <w:noProof/>
          <w:lang w:val="en-IE"/>
        </w:rPr>
        <w:t>Total number of participants in g</w:t>
      </w:r>
      <w:r w:rsidR="00F26325" w:rsidRPr="00173E46">
        <w:rPr>
          <w:rFonts w:ascii="Times New Roman" w:hAnsi="Times New Roman" w:cs="Times New Roman"/>
          <w:bCs/>
          <w:noProof/>
          <w:lang w:val="en-IE"/>
        </w:rPr>
        <w:t>ener</w:t>
      </w:r>
      <w:r w:rsidR="002A1638" w:rsidRPr="00173E46">
        <w:rPr>
          <w:rFonts w:ascii="Times New Roman" w:hAnsi="Times New Roman" w:cs="Times New Roman"/>
          <w:bCs/>
          <w:noProof/>
          <w:lang w:val="en-IE"/>
        </w:rPr>
        <w:t>al collaborative actions: 85</w:t>
      </w:r>
      <w:r w:rsidR="00496C6E" w:rsidRPr="00173E46">
        <w:rPr>
          <w:rStyle w:val="FootnoteReference"/>
          <w:rFonts w:ascii="Times New Roman" w:hAnsi="Times New Roman" w:cs="Times New Roman"/>
          <w:bCs/>
          <w:noProof/>
          <w:lang w:val="en-IE"/>
        </w:rPr>
        <w:footnoteReference w:id="55"/>
      </w:r>
      <w:r w:rsidRPr="00173E46">
        <w:rPr>
          <w:rFonts w:ascii="Times New Roman" w:hAnsi="Times New Roman" w:cs="Times New Roman"/>
          <w:bCs/>
          <w:noProof/>
          <w:lang w:val="en-IE"/>
        </w:rPr>
        <w:t>.</w:t>
      </w:r>
    </w:p>
    <w:p w14:paraId="034A79B6" w14:textId="6CCF0A43" w:rsidR="001F3DF2" w:rsidRPr="009A33E1" w:rsidRDefault="002A1638" w:rsidP="00433EC6">
      <w:pPr>
        <w:rPr>
          <w:rFonts w:ascii="Times New Roman" w:eastAsiaTheme="majorEastAsia" w:hAnsi="Times New Roman" w:cs="Times New Roman"/>
          <w:b/>
          <w:noProof/>
          <w:color w:val="2E74B5" w:themeColor="accent1" w:themeShade="BF"/>
          <w:sz w:val="24"/>
          <w:szCs w:val="24"/>
          <w:lang w:val="en-IE"/>
        </w:rPr>
      </w:pPr>
      <w:bookmarkStart w:id="22" w:name="_Toc96082089"/>
      <w:bookmarkStart w:id="23" w:name="_Toc96083198"/>
      <w:r>
        <w:rPr>
          <w:noProof/>
          <w:lang w:val="en-GB" w:eastAsia="en-GB"/>
        </w:rPr>
        <w:drawing>
          <wp:inline distT="0" distB="0" distL="0" distR="0" wp14:anchorId="5DC9A6FF" wp14:editId="757911A7">
            <wp:extent cx="5879087" cy="274320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End w:id="22"/>
      <w:bookmarkEnd w:id="23"/>
    </w:p>
    <w:p w14:paraId="051CA261" w14:textId="77777777" w:rsidR="006D15DB" w:rsidRDefault="006D15DB" w:rsidP="001F3DF2">
      <w:pPr>
        <w:rPr>
          <w:rFonts w:ascii="Times New Roman" w:hAnsi="Times New Roman" w:cs="Times New Roman"/>
          <w:b/>
          <w:bCs/>
          <w:noProof/>
          <w:sz w:val="20"/>
          <w:szCs w:val="20"/>
          <w:lang w:val="en-IE"/>
        </w:rPr>
      </w:pPr>
    </w:p>
    <w:p w14:paraId="4296BB15" w14:textId="7A0C71B8" w:rsidR="006D15DB" w:rsidRDefault="006D15DB" w:rsidP="001F3DF2">
      <w:pPr>
        <w:rPr>
          <w:rFonts w:ascii="Times New Roman" w:hAnsi="Times New Roman" w:cs="Times New Roman"/>
          <w:b/>
          <w:bCs/>
          <w:noProof/>
          <w:sz w:val="20"/>
          <w:szCs w:val="20"/>
          <w:lang w:val="en-IE"/>
        </w:rPr>
      </w:pPr>
    </w:p>
    <w:p w14:paraId="4A739EB2" w14:textId="77777777" w:rsidR="00173E46" w:rsidRDefault="00173E46" w:rsidP="001F3DF2">
      <w:pPr>
        <w:rPr>
          <w:rFonts w:ascii="Times New Roman" w:hAnsi="Times New Roman" w:cs="Times New Roman"/>
          <w:b/>
          <w:bCs/>
          <w:noProof/>
          <w:sz w:val="20"/>
          <w:szCs w:val="20"/>
          <w:lang w:val="en-IE"/>
        </w:rPr>
      </w:pPr>
    </w:p>
    <w:p w14:paraId="7B12E0C6" w14:textId="77777777" w:rsidR="006F2C02" w:rsidRDefault="006F2C02" w:rsidP="001F3DF2">
      <w:pPr>
        <w:rPr>
          <w:rFonts w:ascii="Times New Roman" w:hAnsi="Times New Roman" w:cs="Times New Roman"/>
          <w:b/>
          <w:bCs/>
          <w:noProof/>
          <w:sz w:val="20"/>
          <w:szCs w:val="20"/>
          <w:lang w:val="en-IE"/>
        </w:rPr>
      </w:pPr>
    </w:p>
    <w:p w14:paraId="5B2BE680" w14:textId="2BA52F43" w:rsidR="001F3DF2" w:rsidRPr="00173E46" w:rsidRDefault="001F3DF2" w:rsidP="001F3DF2">
      <w:pPr>
        <w:rPr>
          <w:rFonts w:ascii="Times New Roman" w:hAnsi="Times New Roman" w:cs="Times New Roman"/>
          <w:b/>
          <w:bCs/>
          <w:noProof/>
          <w:lang w:val="en-IE"/>
        </w:rPr>
      </w:pPr>
      <w:r w:rsidRPr="00173E46">
        <w:rPr>
          <w:rFonts w:ascii="Times New Roman" w:hAnsi="Times New Roman" w:cs="Times New Roman"/>
          <w:b/>
          <w:bCs/>
          <w:noProof/>
          <w:lang w:val="en-IE"/>
        </w:rPr>
        <w:t xml:space="preserve">Figure 2: Overview of activity types and number of participants per activity type </w:t>
      </w:r>
    </w:p>
    <w:p w14:paraId="628BD365" w14:textId="398D5ACA" w:rsidR="00845F27" w:rsidRPr="009A33E1" w:rsidRDefault="00F43AF4" w:rsidP="001F3DF2">
      <w:pPr>
        <w:rPr>
          <w:rFonts w:ascii="Times New Roman" w:hAnsi="Times New Roman" w:cs="Times New Roman"/>
          <w:b/>
          <w:bCs/>
          <w:noProof/>
          <w:sz w:val="20"/>
          <w:szCs w:val="20"/>
          <w:lang w:val="en-IE"/>
        </w:rPr>
      </w:pPr>
      <w:r>
        <w:rPr>
          <w:noProof/>
          <w:lang w:val="en-GB" w:eastAsia="en-GB"/>
        </w:rPr>
        <w:drawing>
          <wp:inline distT="0" distB="0" distL="0" distR="0" wp14:anchorId="7EE0CF1F" wp14:editId="03ACF2E9">
            <wp:extent cx="5407863" cy="1351915"/>
            <wp:effectExtent l="0" t="0" r="254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88A5F34" w14:textId="5060556A" w:rsidR="00845F27" w:rsidRPr="00173E46" w:rsidRDefault="00242534" w:rsidP="001F3DF2">
      <w:pPr>
        <w:rPr>
          <w:rFonts w:ascii="Times New Roman" w:hAnsi="Times New Roman" w:cs="Times New Roman"/>
          <w:b/>
          <w:bCs/>
          <w:noProof/>
          <w:lang w:val="en-IE"/>
        </w:rPr>
      </w:pPr>
      <w:r w:rsidRPr="00173E46">
        <w:rPr>
          <w:rFonts w:ascii="Times New Roman" w:hAnsi="Times New Roman" w:cs="Times New Roman"/>
          <w:b/>
          <w:bCs/>
          <w:noProof/>
          <w:lang w:val="en-IE"/>
        </w:rPr>
        <w:t>Figure 3</w:t>
      </w:r>
      <w:r w:rsidR="00A0483C" w:rsidRPr="00173E46">
        <w:rPr>
          <w:rFonts w:ascii="Times New Roman" w:hAnsi="Times New Roman" w:cs="Times New Roman"/>
          <w:b/>
          <w:bCs/>
          <w:noProof/>
          <w:lang w:val="en-IE"/>
        </w:rPr>
        <w:t>: Number of general collaborative actions (excluding expert teams)</w:t>
      </w:r>
      <w:r w:rsidR="00CC3247" w:rsidRPr="00173E46">
        <w:rPr>
          <w:rFonts w:ascii="Times New Roman" w:hAnsi="Times New Roman" w:cs="Times New Roman"/>
          <w:b/>
          <w:bCs/>
          <w:noProof/>
          <w:lang w:val="en-IE"/>
        </w:rPr>
        <w:t xml:space="preserve"> active in December 2021</w:t>
      </w:r>
    </w:p>
    <w:p w14:paraId="1AB9A2BF" w14:textId="2D17729A" w:rsidR="001873EF" w:rsidRPr="00173E46" w:rsidRDefault="005F2FF5" w:rsidP="001F3DF2">
      <w:pPr>
        <w:rPr>
          <w:rFonts w:ascii="Times New Roman" w:hAnsi="Times New Roman" w:cs="Times New Roman"/>
          <w:bCs/>
          <w:noProof/>
          <w:lang w:val="en-IE"/>
        </w:rPr>
      </w:pPr>
      <w:r w:rsidRPr="00173E46">
        <w:rPr>
          <w:rFonts w:ascii="Times New Roman" w:hAnsi="Times New Roman" w:cs="Times New Roman"/>
          <w:bCs/>
          <w:noProof/>
          <w:lang w:val="en-IE"/>
        </w:rPr>
        <w:t>The number of collaborative activities active in December 2021 is 3.</w:t>
      </w:r>
    </w:p>
    <w:p w14:paraId="25BF9F39" w14:textId="2A36934A" w:rsidR="00E8089F" w:rsidRPr="009A33E1" w:rsidRDefault="00C72A9A" w:rsidP="001F3DF2">
      <w:pPr>
        <w:rPr>
          <w:rFonts w:ascii="Times New Roman" w:hAnsi="Times New Roman" w:cs="Times New Roman"/>
          <w:b/>
          <w:bCs/>
          <w:noProof/>
          <w:sz w:val="20"/>
          <w:szCs w:val="20"/>
          <w:lang w:val="en-IE"/>
        </w:rPr>
      </w:pPr>
      <w:r>
        <w:rPr>
          <w:noProof/>
          <w:lang w:val="en-GB" w:eastAsia="en-GB"/>
        </w:rPr>
        <w:drawing>
          <wp:inline distT="0" distB="0" distL="0" distR="0" wp14:anchorId="2E6A5D40" wp14:editId="2A56B17F">
            <wp:extent cx="5418455" cy="1530985"/>
            <wp:effectExtent l="0" t="0" r="1079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E369CDC" w14:textId="413AE70B" w:rsidR="001F3DF2" w:rsidRPr="00173E46" w:rsidRDefault="001F3DF2" w:rsidP="001F3DF2">
      <w:pPr>
        <w:rPr>
          <w:rFonts w:ascii="Times New Roman" w:hAnsi="Times New Roman" w:cs="Times New Roman"/>
          <w:b/>
          <w:bCs/>
          <w:noProof/>
          <w:lang w:val="en-IE"/>
        </w:rPr>
      </w:pPr>
      <w:r w:rsidRPr="00173E46">
        <w:rPr>
          <w:rFonts w:ascii="Times New Roman" w:hAnsi="Times New Roman" w:cs="Times New Roman"/>
          <w:b/>
          <w:bCs/>
          <w:noProof/>
          <w:lang w:val="en-IE"/>
        </w:rPr>
        <w:t xml:space="preserve">Figure 3: Number of new </w:t>
      </w:r>
      <w:r w:rsidR="001873EF" w:rsidRPr="00173E46">
        <w:rPr>
          <w:rFonts w:ascii="Times New Roman" w:hAnsi="Times New Roman" w:cs="Times New Roman"/>
          <w:b/>
          <w:bCs/>
          <w:noProof/>
          <w:lang w:val="en-IE"/>
        </w:rPr>
        <w:t>general collaborative action</w:t>
      </w:r>
      <w:r w:rsidR="005F2FF5" w:rsidRPr="00173E46">
        <w:rPr>
          <w:rFonts w:ascii="Times New Roman" w:hAnsi="Times New Roman" w:cs="Times New Roman"/>
          <w:b/>
          <w:bCs/>
          <w:noProof/>
          <w:lang w:val="en-IE"/>
        </w:rPr>
        <w:t xml:space="preserve"> initiatives during</w:t>
      </w:r>
      <w:r w:rsidRPr="00173E46">
        <w:rPr>
          <w:rFonts w:ascii="Times New Roman" w:hAnsi="Times New Roman" w:cs="Times New Roman"/>
          <w:b/>
          <w:bCs/>
          <w:noProof/>
          <w:lang w:val="en-IE"/>
        </w:rPr>
        <w:t xml:space="preserve"> 2021</w:t>
      </w:r>
      <w:r w:rsidR="00CC3247" w:rsidRPr="00173E46">
        <w:rPr>
          <w:rFonts w:ascii="Times New Roman" w:hAnsi="Times New Roman" w:cs="Times New Roman"/>
          <w:b/>
          <w:bCs/>
          <w:noProof/>
          <w:lang w:val="en-IE"/>
        </w:rPr>
        <w:t xml:space="preserve"> (December 2021)</w:t>
      </w:r>
      <w:r w:rsidRPr="00173E46">
        <w:rPr>
          <w:rFonts w:ascii="Times New Roman" w:hAnsi="Times New Roman" w:cs="Times New Roman"/>
          <w:b/>
          <w:bCs/>
          <w:noProof/>
          <w:lang w:val="en-IE"/>
        </w:rPr>
        <w:t xml:space="preserve"> </w:t>
      </w:r>
    </w:p>
    <w:p w14:paraId="430F7CE3" w14:textId="688588DB" w:rsidR="001873EF" w:rsidRPr="00173E46" w:rsidRDefault="001873EF" w:rsidP="001F3DF2">
      <w:pPr>
        <w:rPr>
          <w:rFonts w:ascii="Times New Roman" w:hAnsi="Times New Roman" w:cs="Times New Roman"/>
          <w:b/>
          <w:bCs/>
          <w:noProof/>
          <w:lang w:val="en-IE"/>
        </w:rPr>
      </w:pPr>
      <w:r w:rsidRPr="00173E46">
        <w:rPr>
          <w:rFonts w:ascii="Times New Roman" w:hAnsi="Times New Roman" w:cs="Times New Roman"/>
          <w:bCs/>
          <w:noProof/>
          <w:lang w:val="en-IE"/>
        </w:rPr>
        <w:t xml:space="preserve">Number of </w:t>
      </w:r>
      <w:r w:rsidR="005F2FF5" w:rsidRPr="00173E46">
        <w:rPr>
          <w:rFonts w:ascii="Times New Roman" w:hAnsi="Times New Roman" w:cs="Times New Roman"/>
          <w:bCs/>
          <w:noProof/>
          <w:lang w:val="en-IE"/>
        </w:rPr>
        <w:t xml:space="preserve">action initiatives </w:t>
      </w:r>
      <w:r w:rsidR="009A69DC" w:rsidRPr="00173E46">
        <w:rPr>
          <w:rFonts w:ascii="Times New Roman" w:hAnsi="Times New Roman" w:cs="Times New Roman"/>
          <w:bCs/>
          <w:noProof/>
          <w:lang w:val="en-IE"/>
        </w:rPr>
        <w:t xml:space="preserve">in December 2021 </w:t>
      </w:r>
      <w:r w:rsidR="005F2FF5" w:rsidRPr="00173E46">
        <w:rPr>
          <w:rFonts w:ascii="Times New Roman" w:hAnsi="Times New Roman" w:cs="Times New Roman"/>
          <w:bCs/>
          <w:noProof/>
          <w:lang w:val="en-IE"/>
        </w:rPr>
        <w:t>is 3.</w:t>
      </w:r>
      <w:r w:rsidR="005F2FF5" w:rsidRPr="00173E46">
        <w:rPr>
          <w:rFonts w:ascii="Times New Roman" w:hAnsi="Times New Roman" w:cs="Times New Roman"/>
          <w:b/>
          <w:bCs/>
          <w:noProof/>
          <w:lang w:val="en-IE"/>
        </w:rPr>
        <w:t xml:space="preserve"> </w:t>
      </w:r>
    </w:p>
    <w:p w14:paraId="502C8507" w14:textId="59F076CB" w:rsidR="001F3DF2" w:rsidRPr="009A33E1" w:rsidRDefault="00E8089F" w:rsidP="001F3DF2">
      <w:pPr>
        <w:rPr>
          <w:rFonts w:ascii="Times New Roman" w:hAnsi="Times New Roman" w:cs="Times New Roman"/>
          <w:b/>
          <w:noProof/>
          <w:sz w:val="20"/>
          <w:szCs w:val="20"/>
          <w:lang w:val="en-IE"/>
        </w:rPr>
      </w:pPr>
      <w:r w:rsidRPr="009A33E1">
        <w:rPr>
          <w:noProof/>
          <w:lang w:val="en-GB" w:eastAsia="en-GB"/>
        </w:rPr>
        <w:drawing>
          <wp:inline distT="0" distB="0" distL="0" distR="0" wp14:anchorId="790A32DE" wp14:editId="7D5ABF87">
            <wp:extent cx="2923953" cy="1403498"/>
            <wp:effectExtent l="0" t="0" r="1016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7ACA50A" w14:textId="77777777" w:rsidR="00C52170" w:rsidRDefault="00C52170" w:rsidP="001F3DF2">
      <w:pPr>
        <w:keepNext/>
        <w:keepLines/>
        <w:spacing w:before="40" w:after="0"/>
        <w:outlineLvl w:val="1"/>
        <w:rPr>
          <w:rFonts w:ascii="Times New Roman" w:eastAsiaTheme="majorEastAsia" w:hAnsi="Times New Roman" w:cs="Times New Roman"/>
          <w:b/>
          <w:bCs/>
          <w:noProof/>
          <w:color w:val="2E74B5" w:themeColor="accent1" w:themeShade="BF"/>
          <w:sz w:val="24"/>
          <w:szCs w:val="24"/>
          <w:lang w:val="en-IE"/>
        </w:rPr>
        <w:sectPr w:rsidR="00C52170" w:rsidSect="000D2726">
          <w:headerReference w:type="even" r:id="rId38"/>
          <w:headerReference w:type="default" r:id="rId39"/>
          <w:footerReference w:type="even" r:id="rId40"/>
          <w:footerReference w:type="default" r:id="rId41"/>
          <w:headerReference w:type="first" r:id="rId42"/>
          <w:footerReference w:type="first" r:id="rId43"/>
          <w:pgSz w:w="12240" w:h="15840"/>
          <w:pgMar w:top="1134" w:right="1440" w:bottom="567" w:left="1440" w:header="708" w:footer="708" w:gutter="0"/>
          <w:cols w:space="720"/>
          <w:docGrid w:linePitch="360"/>
        </w:sectPr>
      </w:pPr>
    </w:p>
    <w:p w14:paraId="56F846F7" w14:textId="7859CA23" w:rsidR="001F3DF2" w:rsidRPr="00173E46" w:rsidRDefault="001F3DF2" w:rsidP="00173E46">
      <w:pPr>
        <w:rPr>
          <w:rFonts w:ascii="Times New Roman" w:hAnsi="Times New Roman" w:cs="Times New Roman"/>
          <w:b/>
          <w:bCs/>
          <w:noProof/>
          <w:color w:val="2E74B5" w:themeColor="accent1" w:themeShade="BF"/>
          <w:lang w:val="en-IE"/>
        </w:rPr>
      </w:pPr>
      <w:r w:rsidRPr="00173E46">
        <w:rPr>
          <w:rFonts w:ascii="Times New Roman" w:hAnsi="Times New Roman" w:cs="Times New Roman"/>
          <w:b/>
          <w:bCs/>
          <w:noProof/>
          <w:color w:val="2E74B5" w:themeColor="accent1" w:themeShade="BF"/>
          <w:lang w:val="en-IE"/>
        </w:rPr>
        <w:t>3: Expert teams</w:t>
      </w:r>
    </w:p>
    <w:p w14:paraId="0DC76161" w14:textId="58D29CC2" w:rsidR="001F3DF2" w:rsidRPr="00173E46" w:rsidRDefault="001F3DF2" w:rsidP="00173E46">
      <w:pPr>
        <w:rPr>
          <w:rFonts w:ascii="Times New Roman" w:hAnsi="Times New Roman" w:cs="Times New Roman"/>
          <w:b/>
          <w:bCs/>
          <w:noProof/>
          <w:lang w:val="en-IE"/>
        </w:rPr>
      </w:pPr>
      <w:r w:rsidRPr="00173E46">
        <w:rPr>
          <w:rFonts w:ascii="Times New Roman" w:hAnsi="Times New Roman" w:cs="Times New Roman"/>
          <w:b/>
          <w:bCs/>
          <w:noProof/>
          <w:lang w:val="en-IE"/>
        </w:rPr>
        <w:t>Table 2</w:t>
      </w:r>
      <w:r w:rsidR="00586891" w:rsidRPr="00173E46">
        <w:rPr>
          <w:rFonts w:ascii="Times New Roman" w:hAnsi="Times New Roman" w:cs="Times New Roman"/>
          <w:b/>
          <w:bCs/>
          <w:noProof/>
          <w:lang w:val="en-IE"/>
        </w:rPr>
        <w:t>: Expert teams</w:t>
      </w:r>
    </w:p>
    <w:p w14:paraId="34EF6C14" w14:textId="77777777" w:rsidR="001F3DF2" w:rsidRPr="009A33E1" w:rsidRDefault="001F3DF2" w:rsidP="001F3DF2">
      <w:pPr>
        <w:keepNext/>
        <w:keepLines/>
        <w:spacing w:before="40" w:after="0"/>
        <w:outlineLvl w:val="2"/>
        <w:rPr>
          <w:rFonts w:ascii="Times New Roman" w:eastAsiaTheme="majorEastAsia" w:hAnsi="Times New Roman" w:cs="Times New Roman"/>
          <w:b/>
          <w:noProof/>
          <w:color w:val="1F4D78" w:themeColor="accent1" w:themeShade="7F"/>
          <w:sz w:val="20"/>
          <w:szCs w:val="20"/>
          <w:lang w:val="en-IE"/>
        </w:rPr>
      </w:pPr>
      <w:r w:rsidRPr="009A33E1">
        <w:rPr>
          <w:rFonts w:ascii="Times New Roman" w:eastAsiaTheme="majorEastAsia" w:hAnsi="Times New Roman" w:cs="Times New Roman"/>
          <w:b/>
          <w:noProof/>
          <w:sz w:val="20"/>
          <w:szCs w:val="20"/>
          <w:lang w:val="en-IE"/>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5014"/>
        <w:gridCol w:w="1134"/>
        <w:gridCol w:w="1559"/>
        <w:gridCol w:w="5387"/>
      </w:tblGrid>
      <w:tr w:rsidR="001F3DF2" w:rsidRPr="009328FC" w14:paraId="796CFF01" w14:textId="77777777" w:rsidTr="00BA749B">
        <w:tc>
          <w:tcPr>
            <w:tcW w:w="161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0120AB0" w14:textId="77777777" w:rsidR="001F3DF2" w:rsidRPr="009328FC" w:rsidRDefault="001F3DF2" w:rsidP="00B4586B">
            <w:pPr>
              <w:rPr>
                <w:rFonts w:ascii="Times New Roman" w:hAnsi="Times New Roman" w:cs="Times New Roman"/>
                <w:b/>
                <w:bCs/>
                <w:noProof/>
                <w:sz w:val="18"/>
                <w:szCs w:val="18"/>
                <w:lang w:val="en-IE"/>
              </w:rPr>
            </w:pPr>
            <w:r w:rsidRPr="009328FC">
              <w:rPr>
                <w:rFonts w:ascii="Times New Roman" w:hAnsi="Times New Roman" w:cs="Times New Roman"/>
                <w:b/>
                <w:bCs/>
                <w:noProof/>
                <w:sz w:val="18"/>
                <w:szCs w:val="18"/>
                <w:lang w:val="en-IE"/>
              </w:rPr>
              <w:t xml:space="preserve">Expert team </w:t>
            </w:r>
          </w:p>
        </w:tc>
        <w:tc>
          <w:tcPr>
            <w:tcW w:w="501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F30F075" w14:textId="77777777" w:rsidR="001F3DF2" w:rsidRPr="009328FC" w:rsidRDefault="001F3DF2" w:rsidP="00B4586B">
            <w:pPr>
              <w:rPr>
                <w:rFonts w:ascii="Times New Roman" w:hAnsi="Times New Roman" w:cs="Times New Roman"/>
                <w:b/>
                <w:bCs/>
                <w:noProof/>
                <w:sz w:val="18"/>
                <w:szCs w:val="18"/>
                <w:lang w:val="en-IE"/>
              </w:rPr>
            </w:pPr>
            <w:r w:rsidRPr="009328FC">
              <w:rPr>
                <w:rFonts w:ascii="Times New Roman" w:hAnsi="Times New Roman" w:cs="Times New Roman"/>
                <w:b/>
                <w:bCs/>
                <w:noProof/>
                <w:sz w:val="18"/>
                <w:szCs w:val="18"/>
                <w:lang w:val="en-IE"/>
              </w:rPr>
              <w:t xml:space="preserve">Objective  </w:t>
            </w:r>
          </w:p>
        </w:tc>
        <w:tc>
          <w:tcPr>
            <w:tcW w:w="113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3858F46" w14:textId="77777777" w:rsidR="001F3DF2" w:rsidRPr="009328FC" w:rsidRDefault="001F3DF2" w:rsidP="00B4586B">
            <w:pPr>
              <w:rPr>
                <w:rFonts w:ascii="Times New Roman" w:hAnsi="Times New Roman" w:cs="Times New Roman"/>
                <w:b/>
                <w:bCs/>
                <w:noProof/>
                <w:sz w:val="18"/>
                <w:szCs w:val="18"/>
                <w:lang w:val="en-IE"/>
              </w:rPr>
            </w:pPr>
            <w:r w:rsidRPr="009328FC">
              <w:rPr>
                <w:rFonts w:ascii="Times New Roman" w:hAnsi="Times New Roman" w:cs="Times New Roman"/>
                <w:b/>
                <w:bCs/>
                <w:noProof/>
                <w:sz w:val="18"/>
                <w:szCs w:val="18"/>
                <w:lang w:val="en-IE"/>
              </w:rPr>
              <w:t xml:space="preserve">Duration </w:t>
            </w:r>
          </w:p>
        </w:tc>
        <w:tc>
          <w:tcPr>
            <w:tcW w:w="1559"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5D630F2" w14:textId="77777777" w:rsidR="001F3DF2" w:rsidRPr="009328FC" w:rsidRDefault="001F3DF2" w:rsidP="00B4586B">
            <w:pPr>
              <w:rPr>
                <w:rFonts w:ascii="Times New Roman" w:hAnsi="Times New Roman" w:cs="Times New Roman"/>
                <w:b/>
                <w:bCs/>
                <w:noProof/>
                <w:sz w:val="18"/>
                <w:szCs w:val="18"/>
                <w:lang w:val="en-IE"/>
              </w:rPr>
            </w:pPr>
            <w:r w:rsidRPr="009328FC">
              <w:rPr>
                <w:rFonts w:ascii="Times New Roman" w:hAnsi="Times New Roman" w:cs="Times New Roman"/>
                <w:b/>
                <w:bCs/>
                <w:noProof/>
                <w:sz w:val="18"/>
                <w:szCs w:val="18"/>
                <w:lang w:val="en-IE"/>
              </w:rPr>
              <w:t xml:space="preserve">Participating countries </w:t>
            </w:r>
          </w:p>
        </w:tc>
        <w:tc>
          <w:tcPr>
            <w:tcW w:w="5387"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5207673" w14:textId="77777777" w:rsidR="001F3DF2" w:rsidRPr="009328FC" w:rsidRDefault="001F3DF2" w:rsidP="00B4586B">
            <w:pPr>
              <w:spacing w:after="0" w:line="240" w:lineRule="auto"/>
              <w:rPr>
                <w:rFonts w:ascii="Times New Roman" w:hAnsi="Times New Roman" w:cs="Times New Roman"/>
                <w:b/>
                <w:bCs/>
                <w:noProof/>
                <w:sz w:val="18"/>
                <w:szCs w:val="18"/>
                <w:lang w:val="en-IE"/>
              </w:rPr>
            </w:pPr>
            <w:r w:rsidRPr="009328FC">
              <w:rPr>
                <w:rFonts w:ascii="Times New Roman" w:hAnsi="Times New Roman" w:cs="Times New Roman"/>
                <w:b/>
                <w:bCs/>
                <w:noProof/>
                <w:sz w:val="18"/>
                <w:szCs w:val="18"/>
                <w:lang w:val="en-IE"/>
              </w:rPr>
              <w:t>Main outputs</w:t>
            </w:r>
          </w:p>
        </w:tc>
      </w:tr>
      <w:tr w:rsidR="001F3DF2" w:rsidRPr="009328FC" w14:paraId="5799D7E0" w14:textId="77777777" w:rsidTr="00BA749B">
        <w:tc>
          <w:tcPr>
            <w:tcW w:w="16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57FB27C" w14:textId="15C41DE1" w:rsidR="001F3DF2" w:rsidRPr="009328FC" w:rsidRDefault="001F3DF2" w:rsidP="00586891">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 xml:space="preserve">Expert team for pooling and sharing specific analytical expertise of Customs Laboratories at European Union level - CLET </w:t>
            </w:r>
            <w:r w:rsidR="00586891" w:rsidRPr="009328FC">
              <w:rPr>
                <w:rFonts w:ascii="Times New Roman" w:hAnsi="Times New Roman" w:cs="Times New Roman"/>
                <w:noProof/>
                <w:sz w:val="18"/>
                <w:szCs w:val="18"/>
                <w:lang w:val="en-IE"/>
              </w:rPr>
              <w:t>3</w:t>
            </w:r>
          </w:p>
        </w:tc>
        <w:tc>
          <w:tcPr>
            <w:tcW w:w="50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EF3941" w14:textId="5AFC57B0"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The scope of the Customs Laboratories Expert Team is to pool the expertise and equipment in a network of 10 EU customs laboratories, to analyse samples, to share results of analysis at EU level, to elaborate an operational common/harmonised approach for analysis and to test and promote new equipment and working methods. Consequently, it help</w:t>
            </w:r>
            <w:r w:rsidR="00F242CF" w:rsidRPr="009328FC">
              <w:rPr>
                <w:rFonts w:ascii="Times New Roman" w:hAnsi="Times New Roman" w:cs="Times New Roman"/>
                <w:noProof/>
                <w:sz w:val="18"/>
                <w:szCs w:val="18"/>
                <w:lang w:val="en-IE"/>
              </w:rPr>
              <w:t>s</w:t>
            </w:r>
            <w:r w:rsidRPr="009328FC">
              <w:rPr>
                <w:rFonts w:ascii="Times New Roman" w:hAnsi="Times New Roman" w:cs="Times New Roman"/>
                <w:noProof/>
                <w:sz w:val="18"/>
                <w:szCs w:val="18"/>
                <w:lang w:val="en-IE"/>
              </w:rPr>
              <w:t xml:space="preserve"> to control the trade flows, implement correctly the EU policies. Incidentally, it can provide best practice for solving tariff classification problems, suggestions f</w:t>
            </w:r>
            <w:r w:rsidR="00F242CF" w:rsidRPr="009328FC">
              <w:rPr>
                <w:rFonts w:ascii="Times New Roman" w:hAnsi="Times New Roman" w:cs="Times New Roman"/>
                <w:noProof/>
                <w:sz w:val="18"/>
                <w:szCs w:val="18"/>
                <w:lang w:val="en-IE"/>
              </w:rPr>
              <w:t>or better implementation of EU R</w:t>
            </w:r>
            <w:r w:rsidRPr="009328FC">
              <w:rPr>
                <w:rFonts w:ascii="Times New Roman" w:hAnsi="Times New Roman" w:cs="Times New Roman"/>
                <w:noProof/>
                <w:sz w:val="18"/>
                <w:szCs w:val="18"/>
                <w:lang w:val="en-IE"/>
              </w:rPr>
              <w:t>egulations, etc.</w:t>
            </w:r>
          </w:p>
          <w:p w14:paraId="6A745644" w14:textId="51E879F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 xml:space="preserve">The expert </w:t>
            </w:r>
            <w:r w:rsidR="00F242CF" w:rsidRPr="009328FC">
              <w:rPr>
                <w:rFonts w:ascii="Times New Roman" w:hAnsi="Times New Roman" w:cs="Times New Roman"/>
                <w:noProof/>
                <w:sz w:val="18"/>
                <w:szCs w:val="18"/>
                <w:lang w:val="en-IE"/>
              </w:rPr>
              <w:t xml:space="preserve">team </w:t>
            </w:r>
            <w:r w:rsidRPr="009328FC">
              <w:rPr>
                <w:rFonts w:ascii="Times New Roman" w:hAnsi="Times New Roman" w:cs="Times New Roman"/>
                <w:noProof/>
                <w:sz w:val="18"/>
                <w:szCs w:val="18"/>
                <w:lang w:val="en-IE"/>
              </w:rPr>
              <w:t>pool</w:t>
            </w:r>
            <w:r w:rsidR="00586891" w:rsidRPr="009328FC">
              <w:rPr>
                <w:rFonts w:ascii="Times New Roman" w:hAnsi="Times New Roman" w:cs="Times New Roman"/>
                <w:noProof/>
                <w:sz w:val="18"/>
                <w:szCs w:val="18"/>
                <w:lang w:val="en-IE"/>
              </w:rPr>
              <w:t>s</w:t>
            </w:r>
            <w:r w:rsidRPr="009328FC">
              <w:rPr>
                <w:rFonts w:ascii="Times New Roman" w:hAnsi="Times New Roman" w:cs="Times New Roman"/>
                <w:noProof/>
                <w:sz w:val="18"/>
                <w:szCs w:val="18"/>
                <w:lang w:val="en-IE"/>
              </w:rPr>
              <w:t xml:space="preserve"> the participating customs laboratories experience to increase the best practices spreading and sharing.</w:t>
            </w:r>
          </w:p>
          <w:p w14:paraId="0C1E5F06" w14:textId="77777777" w:rsidR="001F3DF2" w:rsidRPr="009328FC" w:rsidRDefault="001F3DF2" w:rsidP="00B4586B">
            <w:pPr>
              <w:rPr>
                <w:rFonts w:ascii="Times New Roman" w:hAnsi="Times New Roman" w:cs="Times New Roman"/>
                <w:noProof/>
                <w:sz w:val="18"/>
                <w:szCs w:val="18"/>
                <w:lang w:val="en-IE"/>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302760" w14:textId="7777777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36 months</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633836" w14:textId="486F8112"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 xml:space="preserve">Italy, Belgium, Cyprus, The Czech Republic, Spain, Finland, Hungary, The Netherlands, Greece, France </w:t>
            </w:r>
            <w:r w:rsidR="00FA60DD">
              <w:rPr>
                <w:rStyle w:val="FootnoteReference"/>
                <w:rFonts w:ascii="Times New Roman" w:hAnsi="Times New Roman" w:cs="Times New Roman"/>
                <w:noProof/>
                <w:sz w:val="18"/>
                <w:szCs w:val="18"/>
                <w:lang w:val="en-IE"/>
              </w:rPr>
              <w:footnoteReference w:id="56"/>
            </w:r>
          </w:p>
        </w:tc>
        <w:tc>
          <w:tcPr>
            <w:tcW w:w="53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703B25" w14:textId="497C27D5" w:rsidR="001F3DF2" w:rsidRPr="009328FC" w:rsidRDefault="001F3DF2" w:rsidP="00FA60DD">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 xml:space="preserve">The results are mainly used in the requesting country, in its routine controls or its affairs in </w:t>
            </w:r>
            <w:r w:rsidR="00FA60DD">
              <w:rPr>
                <w:rFonts w:ascii="Times New Roman" w:hAnsi="Times New Roman" w:cs="Times New Roman"/>
                <w:noProof/>
                <w:sz w:val="18"/>
                <w:szCs w:val="18"/>
                <w:lang w:val="en-IE"/>
              </w:rPr>
              <w:t>c</w:t>
            </w:r>
            <w:r w:rsidRPr="009328FC">
              <w:rPr>
                <w:rFonts w:ascii="Times New Roman" w:hAnsi="Times New Roman" w:cs="Times New Roman"/>
                <w:noProof/>
                <w:sz w:val="18"/>
                <w:szCs w:val="18"/>
                <w:lang w:val="en-IE"/>
              </w:rPr>
              <w:t xml:space="preserve">ourt of </w:t>
            </w:r>
            <w:r w:rsidR="00FA60DD">
              <w:rPr>
                <w:rFonts w:ascii="Times New Roman" w:hAnsi="Times New Roman" w:cs="Times New Roman"/>
                <w:noProof/>
                <w:sz w:val="18"/>
                <w:szCs w:val="18"/>
                <w:lang w:val="en-IE"/>
              </w:rPr>
              <w:t>j</w:t>
            </w:r>
            <w:r w:rsidRPr="009328FC">
              <w:rPr>
                <w:rFonts w:ascii="Times New Roman" w:hAnsi="Times New Roman" w:cs="Times New Roman"/>
                <w:noProof/>
                <w:sz w:val="18"/>
                <w:szCs w:val="18"/>
                <w:lang w:val="en-IE"/>
              </w:rPr>
              <w:t xml:space="preserve">ustice. </w:t>
            </w:r>
          </w:p>
        </w:tc>
      </w:tr>
      <w:tr w:rsidR="001F3DF2" w:rsidRPr="009328FC" w14:paraId="41013B9F" w14:textId="77777777" w:rsidTr="00BA749B">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B999F" w14:textId="60780014"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I</w:t>
            </w:r>
            <w:r w:rsidR="00F242CF" w:rsidRPr="009328FC">
              <w:rPr>
                <w:rFonts w:ascii="Times New Roman" w:hAnsi="Times New Roman" w:cs="Times New Roman"/>
                <w:noProof/>
                <w:sz w:val="18"/>
                <w:szCs w:val="18"/>
                <w:lang w:val="en-IE"/>
              </w:rPr>
              <w:t xml:space="preserve">mport </w:t>
            </w:r>
            <w:r w:rsidRPr="009328FC">
              <w:rPr>
                <w:rFonts w:ascii="Times New Roman" w:hAnsi="Times New Roman" w:cs="Times New Roman"/>
                <w:noProof/>
                <w:sz w:val="18"/>
                <w:szCs w:val="18"/>
                <w:lang w:val="en-IE"/>
              </w:rPr>
              <w:t>C</w:t>
            </w:r>
            <w:r w:rsidR="00F242CF" w:rsidRPr="009328FC">
              <w:rPr>
                <w:rFonts w:ascii="Times New Roman" w:hAnsi="Times New Roman" w:cs="Times New Roman"/>
                <w:noProof/>
                <w:sz w:val="18"/>
                <w:szCs w:val="18"/>
                <w:lang w:val="en-IE"/>
              </w:rPr>
              <w:t xml:space="preserve">ontrol </w:t>
            </w:r>
            <w:r w:rsidRPr="009328FC">
              <w:rPr>
                <w:rFonts w:ascii="Times New Roman" w:hAnsi="Times New Roman" w:cs="Times New Roman"/>
                <w:noProof/>
                <w:sz w:val="18"/>
                <w:szCs w:val="18"/>
                <w:lang w:val="en-IE"/>
              </w:rPr>
              <w:t>S</w:t>
            </w:r>
            <w:r w:rsidR="00F242CF" w:rsidRPr="009328FC">
              <w:rPr>
                <w:rFonts w:ascii="Times New Roman" w:hAnsi="Times New Roman" w:cs="Times New Roman"/>
                <w:noProof/>
                <w:sz w:val="18"/>
                <w:szCs w:val="18"/>
                <w:lang w:val="en-IE"/>
              </w:rPr>
              <w:t xml:space="preserve">ystem </w:t>
            </w:r>
            <w:r w:rsidRPr="009328FC">
              <w:rPr>
                <w:rFonts w:ascii="Times New Roman" w:hAnsi="Times New Roman" w:cs="Times New Roman"/>
                <w:noProof/>
                <w:sz w:val="18"/>
                <w:szCs w:val="18"/>
                <w:lang w:val="en-IE"/>
              </w:rPr>
              <w:t>2 S</w:t>
            </w:r>
            <w:r w:rsidR="00F242CF" w:rsidRPr="009328FC">
              <w:rPr>
                <w:rFonts w:ascii="Times New Roman" w:hAnsi="Times New Roman" w:cs="Times New Roman"/>
                <w:noProof/>
                <w:sz w:val="18"/>
                <w:szCs w:val="18"/>
                <w:lang w:val="en-IE"/>
              </w:rPr>
              <w:t xml:space="preserve">afety and </w:t>
            </w:r>
            <w:r w:rsidRPr="009328FC">
              <w:rPr>
                <w:rFonts w:ascii="Times New Roman" w:hAnsi="Times New Roman" w:cs="Times New Roman"/>
                <w:noProof/>
                <w:sz w:val="18"/>
                <w:szCs w:val="18"/>
                <w:lang w:val="en-IE"/>
              </w:rPr>
              <w:t>S</w:t>
            </w:r>
            <w:r w:rsidR="00F242CF" w:rsidRPr="009328FC">
              <w:rPr>
                <w:rFonts w:ascii="Times New Roman" w:hAnsi="Times New Roman" w:cs="Times New Roman"/>
                <w:noProof/>
                <w:sz w:val="18"/>
                <w:szCs w:val="18"/>
                <w:lang w:val="en-IE"/>
              </w:rPr>
              <w:t xml:space="preserve">ecurity </w:t>
            </w:r>
            <w:r w:rsidRPr="009328FC">
              <w:rPr>
                <w:rFonts w:ascii="Times New Roman" w:hAnsi="Times New Roman" w:cs="Times New Roman"/>
                <w:noProof/>
                <w:sz w:val="18"/>
                <w:szCs w:val="18"/>
                <w:lang w:val="en-IE"/>
              </w:rPr>
              <w:t>A</w:t>
            </w:r>
            <w:r w:rsidR="00F242CF" w:rsidRPr="009328FC">
              <w:rPr>
                <w:rFonts w:ascii="Times New Roman" w:hAnsi="Times New Roman" w:cs="Times New Roman"/>
                <w:noProof/>
                <w:sz w:val="18"/>
                <w:szCs w:val="18"/>
                <w:lang w:val="en-IE"/>
              </w:rPr>
              <w:t>nalytics</w:t>
            </w:r>
            <w:r w:rsidRPr="009328FC">
              <w:rPr>
                <w:rFonts w:ascii="Times New Roman" w:hAnsi="Times New Roman" w:cs="Times New Roman"/>
                <w:noProof/>
                <w:sz w:val="18"/>
                <w:szCs w:val="18"/>
                <w:lang w:val="en-IE"/>
              </w:rPr>
              <w:t xml:space="preserve"> Expert Team</w:t>
            </w:r>
            <w:r w:rsidR="00F242CF" w:rsidRPr="009328FC">
              <w:rPr>
                <w:rFonts w:ascii="Times New Roman" w:hAnsi="Times New Roman" w:cs="Times New Roman"/>
                <w:noProof/>
                <w:sz w:val="18"/>
                <w:szCs w:val="18"/>
                <w:lang w:val="en-IE"/>
              </w:rPr>
              <w:t xml:space="preserve"> (ICS2 SSA)</w:t>
            </w:r>
          </w:p>
        </w:tc>
        <w:tc>
          <w:tcPr>
            <w:tcW w:w="50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13C29" w14:textId="0F3ACD3A" w:rsidR="001F3DF2" w:rsidRPr="009328FC" w:rsidRDefault="00F242CF"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The e</w:t>
            </w:r>
            <w:r w:rsidR="001F3DF2" w:rsidRPr="009328FC">
              <w:rPr>
                <w:rFonts w:ascii="Times New Roman" w:hAnsi="Times New Roman" w:cs="Times New Roman"/>
                <w:noProof/>
                <w:sz w:val="18"/>
                <w:szCs w:val="18"/>
                <w:lang w:val="en-IE"/>
              </w:rPr>
              <w:t xml:space="preserve">xpert team forms part of the work done on ICS2.  The ICS2 SSA is a new strategic platform for customs risk management. It brings new and improved advanced cargo data flows (Entry Summary Declarations – ENS) - introducing a new requirement for advance cargo data on postal parcels from 15 March 2021, and introducing “multiple filing” requirements to bring better advance cargo data in air cargo (March 2023), maritime, road and rail modes of transport (from March 2024). It introduces new real-time collaboration between customs across the European Union, underpinned by a common repository that orchestrates the operational sharing of declared data and the results of risk analysis and controls. </w:t>
            </w:r>
          </w:p>
          <w:p w14:paraId="2FADAABE" w14:textId="7777777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The ICS2 programme provides a strategic “first line of defence” in the protection of the citizens and Internal Market of the EU, enabling the collaborative identification of threats before goods arrive at the external borders of the EU or (in the case of serious security threats) before they are loaded in third countries.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BF731" w14:textId="7777777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12 months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6E72C" w14:textId="7777777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Belgium, France, Italy, Portugal, Poland, The Netherlands</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F4AB0" w14:textId="77777777" w:rsidR="001F3DF2" w:rsidRPr="009328FC" w:rsidRDefault="001F3DF2" w:rsidP="00B4586B">
            <w:pPr>
              <w:rPr>
                <w:rFonts w:ascii="Times New Roman" w:hAnsi="Times New Roman" w:cs="Times New Roman"/>
                <w:noProof/>
                <w:sz w:val="18"/>
                <w:szCs w:val="18"/>
                <w:lang w:val="en-IE"/>
              </w:rPr>
            </w:pPr>
            <w:r w:rsidRPr="009328FC">
              <w:rPr>
                <w:rFonts w:ascii="Times New Roman" w:hAnsi="Times New Roman" w:cs="Times New Roman"/>
                <w:noProof/>
                <w:sz w:val="18"/>
                <w:szCs w:val="18"/>
                <w:lang w:val="en-IE"/>
              </w:rPr>
              <w:t>It brings forward a Safety and Security Analytics (SSA) capability to enable the Member States and the Commission to work together with the support of additional tools and working methods, leveraging the common repository and ICS2 business processes.</w:t>
            </w:r>
          </w:p>
        </w:tc>
      </w:tr>
    </w:tbl>
    <w:p w14:paraId="46A7E41D" w14:textId="77777777" w:rsidR="00C52170" w:rsidRDefault="00C52170" w:rsidP="001F3DF2">
      <w:pPr>
        <w:rPr>
          <w:rFonts w:ascii="Times New Roman" w:hAnsi="Times New Roman" w:cs="Times New Roman"/>
          <w:noProof/>
          <w:sz w:val="20"/>
          <w:szCs w:val="20"/>
          <w:lang w:val="en-IE"/>
        </w:rPr>
        <w:sectPr w:rsidR="00C52170" w:rsidSect="00BA749B">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567" w:header="709" w:footer="709" w:gutter="0"/>
          <w:cols w:space="720"/>
          <w:docGrid w:linePitch="360"/>
        </w:sectPr>
      </w:pPr>
    </w:p>
    <w:p w14:paraId="609412A6" w14:textId="76E9AB44" w:rsidR="001F3DF2" w:rsidRPr="00173E46" w:rsidRDefault="001F3DF2" w:rsidP="00173E46">
      <w:pPr>
        <w:rPr>
          <w:rFonts w:ascii="Times New Roman" w:hAnsi="Times New Roman" w:cs="Times New Roman"/>
          <w:b/>
          <w:bCs/>
          <w:noProof/>
          <w:color w:val="2E74B5" w:themeColor="accent1" w:themeShade="BF"/>
          <w:lang w:val="en-IE"/>
        </w:rPr>
      </w:pPr>
      <w:r w:rsidRPr="00173E46">
        <w:rPr>
          <w:rFonts w:ascii="Times New Roman" w:hAnsi="Times New Roman" w:cs="Times New Roman"/>
          <w:b/>
          <w:bCs/>
          <w:noProof/>
          <w:color w:val="2E74B5" w:themeColor="accent1" w:themeShade="BF"/>
          <w:lang w:val="en-IE"/>
        </w:rPr>
        <w:t xml:space="preserve">4: Customs </w:t>
      </w:r>
      <w:r w:rsidR="009D45BF" w:rsidRPr="00173E46">
        <w:rPr>
          <w:rFonts w:ascii="Times New Roman" w:hAnsi="Times New Roman" w:cs="Times New Roman"/>
          <w:b/>
          <w:bCs/>
          <w:noProof/>
          <w:color w:val="2E74B5" w:themeColor="accent1" w:themeShade="BF"/>
          <w:lang w:val="en-IE"/>
        </w:rPr>
        <w:t xml:space="preserve">programme </w:t>
      </w:r>
      <w:r w:rsidRPr="00173E46">
        <w:rPr>
          <w:rFonts w:ascii="Times New Roman" w:hAnsi="Times New Roman" w:cs="Times New Roman"/>
          <w:b/>
          <w:bCs/>
          <w:noProof/>
          <w:color w:val="2E74B5" w:themeColor="accent1" w:themeShade="BF"/>
          <w:lang w:val="en-IE"/>
        </w:rPr>
        <w:t xml:space="preserve">performance indicators </w:t>
      </w:r>
    </w:p>
    <w:p w14:paraId="75CFE378" w14:textId="2C93F5A6" w:rsidR="001F3DF2" w:rsidRPr="00173E46" w:rsidRDefault="003E08ED" w:rsidP="003E08ED">
      <w:pPr>
        <w:rPr>
          <w:rFonts w:ascii="Times New Roman" w:hAnsi="Times New Roman" w:cs="Times New Roman"/>
          <w:b/>
          <w:bCs/>
          <w:noProof/>
          <w:lang w:val="en-IE"/>
        </w:rPr>
      </w:pPr>
      <w:r w:rsidRPr="00173E46">
        <w:rPr>
          <w:rFonts w:ascii="Times New Roman" w:hAnsi="Times New Roman" w:cs="Times New Roman"/>
          <w:b/>
          <w:bCs/>
          <w:noProof/>
          <w:lang w:val="en-IE"/>
        </w:rPr>
        <w:t>Table 3: Output indicators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13"/>
      </w:tblGrid>
      <w:tr w:rsidR="000B649E" w:rsidRPr="009A33E1" w14:paraId="6D74F88C"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5B9BD5" w:themeFill="accent1"/>
            <w:tcMar>
              <w:top w:w="15" w:type="dxa"/>
              <w:left w:w="108" w:type="dxa"/>
              <w:bottom w:w="15" w:type="dxa"/>
              <w:right w:w="108" w:type="dxa"/>
            </w:tcMar>
            <w:vAlign w:val="center"/>
            <w:hideMark/>
          </w:tcPr>
          <w:p w14:paraId="43567053"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Indicator </w:t>
            </w:r>
          </w:p>
        </w:tc>
        <w:tc>
          <w:tcPr>
            <w:tcW w:w="1521" w:type="pct"/>
            <w:tcBorders>
              <w:top w:val="single" w:sz="4" w:space="0" w:color="auto"/>
              <w:left w:val="single" w:sz="4" w:space="0" w:color="auto"/>
              <w:bottom w:val="single" w:sz="4" w:space="0" w:color="auto"/>
              <w:right w:val="single" w:sz="4" w:space="0" w:color="auto"/>
            </w:tcBorders>
            <w:shd w:val="clear" w:color="auto" w:fill="5B9BD5" w:themeFill="accent1"/>
            <w:tcMar>
              <w:top w:w="15" w:type="dxa"/>
              <w:left w:w="108" w:type="dxa"/>
              <w:bottom w:w="15" w:type="dxa"/>
              <w:right w:w="108" w:type="dxa"/>
            </w:tcMar>
            <w:vAlign w:val="center"/>
            <w:hideMark/>
          </w:tcPr>
          <w:p w14:paraId="729B6464" w14:textId="77777777" w:rsidR="000B649E" w:rsidRPr="00173E46" w:rsidRDefault="000B649E" w:rsidP="00B4586B">
            <w:pPr>
              <w:spacing w:after="0"/>
              <w:jc w:val="center"/>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Contributions</w:t>
            </w:r>
          </w:p>
          <w:p w14:paraId="4E6756AD" w14:textId="77777777" w:rsidR="000B649E" w:rsidRPr="00173E46" w:rsidRDefault="000B649E" w:rsidP="00B4586B">
            <w:pPr>
              <w:spacing w:after="0"/>
              <w:jc w:val="center"/>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Data of 2021</w:t>
            </w:r>
          </w:p>
        </w:tc>
      </w:tr>
      <w:tr w:rsidR="000B649E" w:rsidRPr="009A33E1" w14:paraId="4DF7A89C"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hideMark/>
          </w:tcPr>
          <w:p w14:paraId="3B6FFA90" w14:textId="22707F3D"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 xml:space="preserve">OP </w:t>
            </w:r>
            <w:r w:rsidR="00AA0A1F" w:rsidRPr="00173E46">
              <w:rPr>
                <w:rFonts w:ascii="Times New Roman" w:hAnsi="Times New Roman" w:cs="Times New Roman"/>
                <w:b/>
                <w:bCs/>
                <w:noProof/>
                <w:sz w:val="20"/>
                <w:szCs w:val="20"/>
                <w:lang w:val="en-IE"/>
              </w:rPr>
              <w:t>1.1. Development of the common components of the</w:t>
            </w:r>
            <w:r w:rsidRPr="00173E46">
              <w:rPr>
                <w:rFonts w:ascii="Times New Roman" w:hAnsi="Times New Roman" w:cs="Times New Roman"/>
                <w:b/>
                <w:bCs/>
                <w:noProof/>
                <w:sz w:val="20"/>
                <w:szCs w:val="20"/>
                <w:lang w:val="en-IE"/>
              </w:rPr>
              <w:t xml:space="preserve"> EES</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6BE51230"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9A33E1" w14:paraId="0A4A1C12"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310C352D" w14:textId="3B10ED26"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 xml:space="preserve">OP 1.1. Sub-indicator 2: Number of IT projects in </w:t>
            </w:r>
            <w:r w:rsidR="000334DA" w:rsidRPr="00173E46">
              <w:rPr>
                <w:rFonts w:ascii="Times New Roman" w:hAnsi="Times New Roman" w:cs="Times New Roman"/>
                <w:noProof/>
                <w:sz w:val="20"/>
                <w:szCs w:val="20"/>
                <w:lang w:val="en-IE"/>
              </w:rPr>
              <w:t>i</w:t>
            </w:r>
            <w:r w:rsidRPr="00173E46">
              <w:rPr>
                <w:rFonts w:ascii="Times New Roman" w:hAnsi="Times New Roman" w:cs="Times New Roman"/>
                <w:noProof/>
                <w:sz w:val="20"/>
                <w:szCs w:val="20"/>
                <w:lang w:val="en-IE"/>
              </w:rPr>
              <w:t>nitiating phase</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6756DC30" w14:textId="77777777" w:rsidR="000B649E" w:rsidRPr="00173E46" w:rsidRDefault="000B649E" w:rsidP="00592A77">
            <w:pPr>
              <w:spacing w:after="0"/>
              <w:rPr>
                <w:rFonts w:ascii="Times New Roman" w:hAnsi="Times New Roman" w:cs="Times New Roman"/>
                <w:noProof/>
                <w:sz w:val="20"/>
                <w:szCs w:val="20"/>
                <w:highlight w:val="yellow"/>
                <w:lang w:val="en-IE"/>
              </w:rPr>
            </w:pPr>
            <w:r w:rsidRPr="00173E46">
              <w:rPr>
                <w:rFonts w:ascii="Times New Roman" w:hAnsi="Times New Roman" w:cs="Times New Roman"/>
                <w:noProof/>
                <w:sz w:val="20"/>
                <w:szCs w:val="20"/>
                <w:lang w:val="en-IE"/>
              </w:rPr>
              <w:t>4</w:t>
            </w:r>
            <w:r w:rsidRPr="00173E46">
              <w:rPr>
                <w:rStyle w:val="FootnoteReference"/>
                <w:rFonts w:ascii="Times New Roman" w:hAnsi="Times New Roman" w:cs="Times New Roman"/>
                <w:noProof/>
                <w:sz w:val="20"/>
                <w:szCs w:val="20"/>
                <w:lang w:val="en-IE"/>
              </w:rPr>
              <w:footnoteReference w:id="57"/>
            </w:r>
            <w:r w:rsidRPr="00173E46">
              <w:rPr>
                <w:rFonts w:ascii="Times New Roman" w:hAnsi="Times New Roman" w:cs="Times New Roman"/>
                <w:noProof/>
                <w:sz w:val="20"/>
                <w:szCs w:val="20"/>
                <w:lang w:val="en-IE"/>
              </w:rPr>
              <w:t xml:space="preserve"> (completed) and 1 yet to start</w:t>
            </w:r>
          </w:p>
        </w:tc>
      </w:tr>
      <w:tr w:rsidR="000B649E" w:rsidRPr="009A33E1" w14:paraId="2AD258CD"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582390F7" w14:textId="13668B52"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 xml:space="preserve">OP 1.1. Sub-indicator 2: Number of IT projects in </w:t>
            </w:r>
            <w:r w:rsidR="000334DA" w:rsidRPr="00173E46">
              <w:rPr>
                <w:rFonts w:ascii="Times New Roman" w:hAnsi="Times New Roman" w:cs="Times New Roman"/>
                <w:noProof/>
                <w:sz w:val="20"/>
                <w:szCs w:val="20"/>
                <w:lang w:val="en-IE"/>
              </w:rPr>
              <w:t>e</w:t>
            </w:r>
            <w:r w:rsidRPr="00173E46">
              <w:rPr>
                <w:rFonts w:ascii="Times New Roman" w:hAnsi="Times New Roman" w:cs="Times New Roman"/>
                <w:noProof/>
                <w:sz w:val="20"/>
                <w:szCs w:val="20"/>
                <w:lang w:val="en-IE"/>
              </w:rPr>
              <w:t>xecuting phase</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49B15B8B" w14:textId="77777777" w:rsidR="000B649E" w:rsidRPr="00173E46" w:rsidRDefault="000B649E" w:rsidP="00592A77">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Ongoing: 14</w:t>
            </w:r>
            <w:r w:rsidRPr="00173E46">
              <w:rPr>
                <w:rStyle w:val="FootnoteReference"/>
                <w:rFonts w:ascii="Times New Roman" w:hAnsi="Times New Roman" w:cs="Times New Roman"/>
                <w:noProof/>
                <w:sz w:val="20"/>
                <w:szCs w:val="20"/>
                <w:lang w:val="en-IE"/>
              </w:rPr>
              <w:footnoteReference w:id="58"/>
            </w:r>
          </w:p>
          <w:p w14:paraId="3411D2D7" w14:textId="77777777" w:rsidR="000B649E" w:rsidRPr="00173E46" w:rsidRDefault="000B649E" w:rsidP="00592A77">
            <w:pPr>
              <w:spacing w:after="0"/>
              <w:rPr>
                <w:rFonts w:ascii="Times New Roman" w:hAnsi="Times New Roman" w:cs="Times New Roman"/>
                <w:noProof/>
                <w:sz w:val="20"/>
                <w:szCs w:val="20"/>
                <w:highlight w:val="yellow"/>
                <w:lang w:val="en-IE"/>
              </w:rPr>
            </w:pPr>
            <w:r w:rsidRPr="00173E46">
              <w:rPr>
                <w:rFonts w:ascii="Times New Roman" w:hAnsi="Times New Roman" w:cs="Times New Roman"/>
                <w:noProof/>
                <w:sz w:val="20"/>
                <w:szCs w:val="20"/>
                <w:lang w:val="en-IE"/>
              </w:rPr>
              <w:t>Completed: 8</w:t>
            </w:r>
            <w:r w:rsidRPr="00173E46">
              <w:rPr>
                <w:rStyle w:val="FootnoteReference"/>
                <w:rFonts w:ascii="Times New Roman" w:hAnsi="Times New Roman" w:cs="Times New Roman"/>
                <w:noProof/>
                <w:sz w:val="20"/>
                <w:szCs w:val="20"/>
                <w:lang w:val="en-IE"/>
              </w:rPr>
              <w:footnoteReference w:id="59"/>
            </w:r>
          </w:p>
        </w:tc>
      </w:tr>
      <w:tr w:rsidR="000B649E" w:rsidRPr="009A33E1" w14:paraId="49EC67EB"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62A56A04" w14:textId="2345D6CF" w:rsidR="000B649E" w:rsidRPr="00173E46" w:rsidRDefault="00AA0A1F"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OP 1.2. Delivery of the common components of the</w:t>
            </w:r>
            <w:r w:rsidR="000B649E" w:rsidRPr="00173E46">
              <w:rPr>
                <w:rFonts w:ascii="Times New Roman" w:hAnsi="Times New Roman" w:cs="Times New Roman"/>
                <w:b/>
                <w:bCs/>
                <w:noProof/>
                <w:sz w:val="20"/>
                <w:szCs w:val="20"/>
                <w:lang w:val="en-IE"/>
              </w:rPr>
              <w:t xml:space="preserve"> EES </w:t>
            </w:r>
          </w:p>
        </w:tc>
        <w:tc>
          <w:tcPr>
            <w:tcW w:w="152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1A0EEED0"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9A33E1" w14:paraId="2D10C2DA" w14:textId="77777777" w:rsidTr="009328FC">
        <w:trPr>
          <w:trHeight w:val="51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hideMark/>
          </w:tcPr>
          <w:p w14:paraId="0D5B91B8"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1.2. Sub-indicator 1: Number of IT projects released to production as requested in the Regulation</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3897A7E5" w14:textId="5FFB8B53" w:rsidR="000B649E" w:rsidRPr="00173E46" w:rsidRDefault="000B649E" w:rsidP="00730F39">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1 (eCommerce)</w:t>
            </w:r>
          </w:p>
        </w:tc>
      </w:tr>
      <w:tr w:rsidR="000B649E" w:rsidRPr="009A33E1" w14:paraId="155BC4A4" w14:textId="77777777" w:rsidTr="009328FC">
        <w:trPr>
          <w:trHeight w:val="510"/>
        </w:trPr>
        <w:tc>
          <w:tcPr>
            <w:tcW w:w="347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770FE3AF" w14:textId="6D25875E" w:rsidR="000B649E" w:rsidRPr="00173E46" w:rsidRDefault="000B649E" w:rsidP="00986EAE">
            <w:pPr>
              <w:spacing w:after="0"/>
              <w:ind w:left="315"/>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 xml:space="preserve">OP 1.2. Sub-indicator 4: UCC </w:t>
            </w:r>
            <w:r w:rsidR="000334DA" w:rsidRPr="00173E46">
              <w:rPr>
                <w:rFonts w:ascii="Times New Roman" w:hAnsi="Times New Roman" w:cs="Times New Roman"/>
                <w:noProof/>
                <w:sz w:val="20"/>
                <w:szCs w:val="20"/>
                <w:lang w:val="en-IE"/>
              </w:rPr>
              <w:t>c</w:t>
            </w:r>
            <w:r w:rsidRPr="00173E46">
              <w:rPr>
                <w:rFonts w:ascii="Times New Roman" w:hAnsi="Times New Roman" w:cs="Times New Roman"/>
                <w:noProof/>
                <w:sz w:val="20"/>
                <w:szCs w:val="20"/>
                <w:lang w:val="en-IE"/>
              </w:rPr>
              <w:t>ompletion rate</w:t>
            </w:r>
          </w:p>
        </w:tc>
        <w:tc>
          <w:tcPr>
            <w:tcW w:w="152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5AFF75EC" w14:textId="77777777" w:rsidR="000B649E" w:rsidRPr="00173E46" w:rsidRDefault="000B649E" w:rsidP="00730F39">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 xml:space="preserve">82% </w:t>
            </w:r>
          </w:p>
        </w:tc>
      </w:tr>
      <w:tr w:rsidR="000B649E" w:rsidRPr="009A33E1" w14:paraId="468655DC" w14:textId="77777777" w:rsidTr="009328FC">
        <w:trPr>
          <w:trHeight w:val="51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7C937C40" w14:textId="32DBC2A3" w:rsidR="000B649E" w:rsidRPr="00173E46" w:rsidRDefault="000B649E" w:rsidP="007601B1">
            <w:pPr>
              <w:spacing w:after="0"/>
              <w:rPr>
                <w:rFonts w:ascii="Times New Roman" w:hAnsi="Times New Roman" w:cs="Times New Roman"/>
                <w:b/>
                <w:noProof/>
                <w:sz w:val="20"/>
                <w:szCs w:val="20"/>
                <w:lang w:val="en-IE"/>
              </w:rPr>
            </w:pPr>
            <w:r w:rsidRPr="00173E46">
              <w:rPr>
                <w:rFonts w:ascii="Times New Roman" w:hAnsi="Times New Roman" w:cs="Times New Roman"/>
                <w:b/>
                <w:noProof/>
                <w:sz w:val="20"/>
                <w:szCs w:val="20"/>
                <w:lang w:val="en-IE"/>
              </w:rPr>
              <w:t xml:space="preserve">OP 1.3. Reliability of the common </w:t>
            </w:r>
            <w:r w:rsidR="007601B1" w:rsidRPr="00173E46">
              <w:rPr>
                <w:rFonts w:ascii="Times New Roman" w:hAnsi="Times New Roman" w:cs="Times New Roman"/>
                <w:b/>
                <w:noProof/>
                <w:sz w:val="20"/>
                <w:szCs w:val="20"/>
                <w:lang w:val="en-IE"/>
              </w:rPr>
              <w:t>components of the</w:t>
            </w:r>
            <w:r w:rsidRPr="00173E46">
              <w:rPr>
                <w:rFonts w:ascii="Times New Roman" w:hAnsi="Times New Roman" w:cs="Times New Roman"/>
                <w:b/>
                <w:noProof/>
                <w:sz w:val="20"/>
                <w:szCs w:val="20"/>
                <w:lang w:val="en-IE"/>
              </w:rPr>
              <w:t xml:space="preserve"> EES</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01521F45" w14:textId="77777777" w:rsidR="000B649E" w:rsidRPr="00173E46" w:rsidRDefault="000B649E" w:rsidP="00730F39">
            <w:pPr>
              <w:spacing w:after="0"/>
              <w:rPr>
                <w:rFonts w:ascii="Times New Roman" w:hAnsi="Times New Roman" w:cs="Times New Roman"/>
                <w:noProof/>
                <w:sz w:val="20"/>
                <w:szCs w:val="20"/>
                <w:lang w:val="en-IE"/>
              </w:rPr>
            </w:pPr>
          </w:p>
        </w:tc>
      </w:tr>
      <w:tr w:rsidR="000B649E" w:rsidRPr="009A33E1" w14:paraId="03DF356A" w14:textId="77777777" w:rsidTr="009328FC">
        <w:trPr>
          <w:trHeight w:val="510"/>
        </w:trPr>
        <w:tc>
          <w:tcPr>
            <w:tcW w:w="347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2A98B0D1" w14:textId="4E6DFDE3" w:rsidR="000B649E" w:rsidRPr="00173E46" w:rsidRDefault="000B649E" w:rsidP="002C3013">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1.3. Sub-indicator 1: Availability of the Common Communication Network (CCN</w:t>
            </w:r>
            <w:r w:rsidR="002C3013" w:rsidRPr="00173E46">
              <w:rPr>
                <w:rFonts w:ascii="Times New Roman" w:hAnsi="Times New Roman" w:cs="Times New Roman"/>
                <w:noProof/>
                <w:sz w:val="20"/>
                <w:szCs w:val="20"/>
                <w:lang w:val="en-IE"/>
              </w:rPr>
              <w:t>/CCN2)</w:t>
            </w:r>
          </w:p>
        </w:tc>
        <w:tc>
          <w:tcPr>
            <w:tcW w:w="152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00C0EA0A" w14:textId="77777777" w:rsidR="000B649E" w:rsidRPr="00173E46" w:rsidRDefault="000B649E" w:rsidP="00730F39">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99.99%</w:t>
            </w:r>
          </w:p>
        </w:tc>
      </w:tr>
      <w:tr w:rsidR="000B649E" w:rsidRPr="009A33E1" w14:paraId="1754D64C"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hideMark/>
          </w:tcPr>
          <w:p w14:paraId="2510C454"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1.3. Sub-indicator 3: Availability of the European Electronic Systems  </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70057419" w14:textId="1AAC2B3F" w:rsidR="000B649E" w:rsidRPr="00173E46" w:rsidRDefault="009328FC" w:rsidP="000253C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Central / Common S</w:t>
            </w:r>
            <w:r w:rsidR="000B649E" w:rsidRPr="00173E46">
              <w:rPr>
                <w:rFonts w:ascii="Times New Roman" w:eastAsiaTheme="minorEastAsia" w:hAnsi="Times New Roman" w:cs="Times New Roman"/>
                <w:noProof/>
                <w:szCs w:val="20"/>
                <w:lang w:val="en-IE"/>
              </w:rPr>
              <w:t>ystem</w:t>
            </w:r>
            <w:r w:rsidRPr="00173E46">
              <w:rPr>
                <w:rFonts w:ascii="Times New Roman" w:eastAsiaTheme="minorEastAsia" w:hAnsi="Times New Roman" w:cs="Times New Roman"/>
                <w:noProof/>
                <w:szCs w:val="20"/>
                <w:lang w:val="en-IE"/>
              </w:rPr>
              <w:t xml:space="preserve"> </w:t>
            </w:r>
            <w:r w:rsidR="000B649E" w:rsidRPr="00173E46">
              <w:rPr>
                <w:rFonts w:ascii="Times New Roman" w:eastAsiaTheme="minorEastAsia" w:hAnsi="Times New Roman" w:cs="Times New Roman"/>
                <w:noProof/>
                <w:szCs w:val="20"/>
                <w:lang w:val="en-IE"/>
              </w:rPr>
              <w:t>/</w:t>
            </w:r>
            <w:r w:rsidRPr="00173E46">
              <w:rPr>
                <w:rFonts w:ascii="Times New Roman" w:eastAsiaTheme="minorEastAsia" w:hAnsi="Times New Roman" w:cs="Times New Roman"/>
                <w:noProof/>
                <w:szCs w:val="20"/>
                <w:lang w:val="en-IE"/>
              </w:rPr>
              <w:t xml:space="preserve"> </w:t>
            </w:r>
            <w:r w:rsidR="000B649E" w:rsidRPr="00173E46">
              <w:rPr>
                <w:rFonts w:ascii="Times New Roman" w:eastAsiaTheme="minorEastAsia" w:hAnsi="Times New Roman" w:cs="Times New Roman"/>
                <w:noProof/>
                <w:szCs w:val="20"/>
                <w:lang w:val="en-IE"/>
              </w:rPr>
              <w:t>Services</w:t>
            </w:r>
            <w:r w:rsidRPr="00173E46">
              <w:rPr>
                <w:rFonts w:ascii="Times New Roman" w:eastAsiaTheme="minorEastAsia" w:hAnsi="Times New Roman" w:cs="Times New Roman"/>
                <w:noProof/>
                <w:szCs w:val="20"/>
                <w:lang w:val="en-IE"/>
              </w:rPr>
              <w:t xml:space="preserve">  </w:t>
            </w:r>
            <w:r w:rsidR="000B649E" w:rsidRPr="00173E46">
              <w:rPr>
                <w:rFonts w:ascii="Times New Roman" w:eastAsiaTheme="minorEastAsia" w:hAnsi="Times New Roman" w:cs="Times New Roman"/>
                <w:noProof/>
                <w:szCs w:val="20"/>
                <w:lang w:val="en-IE"/>
              </w:rPr>
              <w:t>Reference Data 2 (CS/RD2) – 100%</w:t>
            </w:r>
          </w:p>
          <w:p w14:paraId="1C43D9A9" w14:textId="77777777"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Economic Operator Systems (EOS) – 99.92%</w:t>
            </w:r>
          </w:p>
          <w:p w14:paraId="7201D9EB" w14:textId="77777777"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Economic Operator Identification and Registration (EORI), Registered Exporters (REX) and central Customs Decision System (CDS) – 99.99%</w:t>
            </w:r>
          </w:p>
          <w:p w14:paraId="4C120F0C" w14:textId="77777777" w:rsidR="000B649E" w:rsidRPr="00173E46" w:rsidRDefault="000B649E" w:rsidP="001F3DF2">
            <w:pPr>
              <w:pStyle w:val="ListBullet"/>
              <w:numPr>
                <w:ilvl w:val="0"/>
                <w:numId w:val="40"/>
              </w:numPr>
              <w:spacing w:before="60" w:after="12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Customs Customer Reference Services (CRS) – 100%</w:t>
            </w:r>
          </w:p>
          <w:p w14:paraId="6BD810CE" w14:textId="1931B7D4" w:rsidR="000B649E" w:rsidRPr="00173E46" w:rsidRDefault="000B649E" w:rsidP="001F3DF2">
            <w:pPr>
              <w:pStyle w:val="ListBullet"/>
              <w:numPr>
                <w:ilvl w:val="0"/>
                <w:numId w:val="40"/>
              </w:numPr>
              <w:spacing w:before="60" w:after="12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The Integrated tariff of the European Union (TARIC) – TARIC3 – 99.99%, TARIC transmissions</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99.80%</w:t>
            </w:r>
          </w:p>
          <w:p w14:paraId="5B0999AF" w14:textId="236601F4"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New Computerised Transit System (NCTS</w:t>
            </w:r>
            <w:r w:rsidRPr="00173E46">
              <w:rPr>
                <w:rStyle w:val="FootnoteReference"/>
                <w:rFonts w:ascii="Times New Roman" w:eastAsiaTheme="minorEastAsia" w:hAnsi="Times New Roman" w:cs="Times New Roman"/>
                <w:noProof/>
                <w:szCs w:val="20"/>
                <w:lang w:val="en-IE"/>
              </w:rPr>
              <w:footnoteReference w:id="60"/>
            </w:r>
            <w:r w:rsidRPr="00173E46">
              <w:rPr>
                <w:rFonts w:ascii="Times New Roman" w:eastAsiaTheme="minorEastAsia" w:hAnsi="Times New Roman" w:cs="Times New Roman"/>
                <w:noProof/>
                <w:szCs w:val="20"/>
                <w:lang w:val="en-IE"/>
              </w:rPr>
              <w:t>)</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99.48%</w:t>
            </w:r>
          </w:p>
          <w:p w14:paraId="1A59A951" w14:textId="1B65C17D"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Automated Export System (AES</w:t>
            </w:r>
            <w:r w:rsidRPr="00173E46">
              <w:rPr>
                <w:rStyle w:val="FootnoteReference"/>
                <w:rFonts w:ascii="Times New Roman" w:eastAsiaTheme="minorEastAsia" w:hAnsi="Times New Roman" w:cs="Times New Roman"/>
                <w:noProof/>
                <w:szCs w:val="20"/>
                <w:lang w:val="en-IE"/>
              </w:rPr>
              <w:footnoteReference w:id="61"/>
            </w:r>
            <w:r w:rsidRPr="00173E46">
              <w:rPr>
                <w:rFonts w:ascii="Times New Roman" w:eastAsiaTheme="minorEastAsia" w:hAnsi="Times New Roman" w:cs="Times New Roman"/>
                <w:noProof/>
                <w:szCs w:val="20"/>
                <w:lang w:val="en-IE"/>
              </w:rPr>
              <w:t>/ECS)</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99.48%.</w:t>
            </w:r>
          </w:p>
          <w:p w14:paraId="7CC13AA0" w14:textId="29BC95B4"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Import Control System (ICS2)</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99.59%</w:t>
            </w:r>
          </w:p>
          <w:p w14:paraId="1BF300CA" w14:textId="42C7E432"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color w:val="172B4D"/>
                <w:szCs w:val="20"/>
                <w:lang w:val="en-IE"/>
              </w:rPr>
            </w:pPr>
            <w:r w:rsidRPr="00173E46">
              <w:rPr>
                <w:rFonts w:ascii="Times New Roman" w:eastAsiaTheme="minorEastAsia" w:hAnsi="Times New Roman" w:cs="Times New Roman"/>
                <w:noProof/>
                <w:szCs w:val="20"/>
                <w:lang w:val="en-IE"/>
              </w:rPr>
              <w:t>System allowing the direct communication between Member States concerning tariff quotas (Quota)</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99.95%</w:t>
            </w:r>
          </w:p>
          <w:p w14:paraId="5472182D" w14:textId="77777777"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color w:val="172B4D"/>
                <w:szCs w:val="20"/>
                <w:lang w:val="en-IE"/>
              </w:rPr>
            </w:pPr>
            <w:r w:rsidRPr="00173E46">
              <w:rPr>
                <w:rFonts w:ascii="Times New Roman" w:eastAsiaTheme="minorEastAsia" w:hAnsi="Times New Roman" w:cs="Times New Roman"/>
                <w:noProof/>
                <w:szCs w:val="20"/>
                <w:lang w:val="en-IE"/>
              </w:rPr>
              <w:t>UCC Standardised Exchange of Information (INF) for Special Procedures – 100%</w:t>
            </w:r>
          </w:p>
          <w:p w14:paraId="38166B89" w14:textId="098A28C9" w:rsidR="000B649E" w:rsidRPr="00212880"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de-DE"/>
              </w:rPr>
            </w:pPr>
            <w:r w:rsidRPr="00212880">
              <w:rPr>
                <w:rFonts w:ascii="Times New Roman" w:eastAsiaTheme="minorEastAsia" w:hAnsi="Times New Roman" w:cs="Times New Roman"/>
                <w:noProof/>
                <w:szCs w:val="20"/>
                <w:lang w:val="de-DE"/>
              </w:rPr>
              <w:t>European Binding Tariff Information (EBTI)</w:t>
            </w:r>
            <w:r w:rsidR="0030209F" w:rsidRPr="00212880">
              <w:rPr>
                <w:rFonts w:ascii="Times New Roman" w:eastAsiaTheme="minorEastAsia" w:hAnsi="Times New Roman" w:cs="Times New Roman"/>
                <w:noProof/>
                <w:szCs w:val="20"/>
                <w:lang w:val="de-DE"/>
              </w:rPr>
              <w:t xml:space="preserve"> – </w:t>
            </w:r>
            <w:r w:rsidRPr="00212880">
              <w:rPr>
                <w:rFonts w:ascii="Times New Roman" w:eastAsiaTheme="minorEastAsia" w:hAnsi="Times New Roman" w:cs="Times New Roman"/>
                <w:noProof/>
                <w:szCs w:val="20"/>
                <w:lang w:val="de-DE"/>
              </w:rPr>
              <w:t>100%</w:t>
            </w:r>
          </w:p>
          <w:p w14:paraId="4F2843E8" w14:textId="144B5999"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User Manual and Digital Signature system (UUMDS)</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99.92%</w:t>
            </w:r>
          </w:p>
          <w:p w14:paraId="56C1ECA7" w14:textId="29B90D5D"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UCC Centralised Clearance of Import (CCI)</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N.A.</w:t>
            </w:r>
          </w:p>
          <w:p w14:paraId="68A0A68C" w14:textId="3B4266E7"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UCC Proof of Union Status (PoUS)</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N.A.</w:t>
            </w:r>
          </w:p>
          <w:p w14:paraId="76222791" w14:textId="7D7275A5" w:rsidR="000B649E" w:rsidRPr="00173E46" w:rsidRDefault="000B649E" w:rsidP="001F3DF2">
            <w:pPr>
              <w:pStyle w:val="ListBullet"/>
              <w:numPr>
                <w:ilvl w:val="0"/>
                <w:numId w:val="40"/>
              </w:numPr>
              <w:spacing w:before="60" w:line="276" w:lineRule="auto"/>
              <w:rPr>
                <w:rFonts w:ascii="Times New Roman" w:eastAsiaTheme="minorEastAsia" w:hAnsi="Times New Roman" w:cs="Times New Roman"/>
                <w:noProof/>
                <w:szCs w:val="20"/>
                <w:lang w:val="en-IE"/>
              </w:rPr>
            </w:pPr>
            <w:r w:rsidRPr="00173E46">
              <w:rPr>
                <w:rFonts w:ascii="Times New Roman" w:eastAsiaTheme="minorEastAsia" w:hAnsi="Times New Roman" w:cs="Times New Roman"/>
                <w:noProof/>
                <w:szCs w:val="20"/>
                <w:lang w:val="en-IE"/>
              </w:rPr>
              <w:t>Single Window Certificates for Export (CERTEX)</w:t>
            </w:r>
            <w:r w:rsidR="0030209F" w:rsidRPr="00173E46">
              <w:rPr>
                <w:rFonts w:ascii="Times New Roman" w:eastAsiaTheme="minorEastAsia" w:hAnsi="Times New Roman" w:cs="Times New Roman"/>
                <w:noProof/>
                <w:szCs w:val="20"/>
                <w:lang w:val="en-IE"/>
              </w:rPr>
              <w:t xml:space="preserve"> – </w:t>
            </w:r>
            <w:r w:rsidRPr="00173E46">
              <w:rPr>
                <w:rFonts w:ascii="Times New Roman" w:eastAsiaTheme="minorEastAsia" w:hAnsi="Times New Roman" w:cs="Times New Roman"/>
                <w:noProof/>
                <w:szCs w:val="20"/>
                <w:lang w:val="en-IE"/>
              </w:rPr>
              <w:t>99.96%</w:t>
            </w:r>
          </w:p>
        </w:tc>
      </w:tr>
      <w:tr w:rsidR="000B649E" w:rsidRPr="009A33E1" w14:paraId="3A5ED5D7"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2CADD563"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OP 2.1. Level of capacity building support provided through collaborative actions </w:t>
            </w:r>
          </w:p>
        </w:tc>
        <w:tc>
          <w:tcPr>
            <w:tcW w:w="152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6325C0B5"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9A33E1" w14:paraId="663325FA"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633E7D22" w14:textId="1AD4A21C"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2.1. Sub-indicator 1: Number of collaborative actions organised</w:t>
            </w:r>
            <w:r w:rsidR="00E719B8" w:rsidRPr="00173E46">
              <w:rPr>
                <w:rFonts w:ascii="Times New Roman" w:hAnsi="Times New Roman" w:cs="Times New Roman"/>
                <w:noProof/>
                <w:sz w:val="20"/>
                <w:szCs w:val="20"/>
                <w:lang w:val="en-IE"/>
              </w:rPr>
              <w:t xml:space="preserve"> (including expert teams)</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6EAFB802" w14:textId="120C6190" w:rsidR="000B649E" w:rsidRPr="00173E46" w:rsidRDefault="00E719B8" w:rsidP="00EE4082">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5</w:t>
            </w:r>
          </w:p>
        </w:tc>
      </w:tr>
      <w:tr w:rsidR="000B649E" w:rsidRPr="009A33E1" w14:paraId="68C94E5E"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44CE65"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2.1. Sub-indicator 2: Number of face-to-face and virtual meetings </w:t>
            </w:r>
          </w:p>
        </w:tc>
        <w:tc>
          <w:tcPr>
            <w:tcW w:w="1521"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A3B0F9" w14:textId="77777777" w:rsidR="000B649E" w:rsidRPr="00173E46" w:rsidRDefault="000B649E" w:rsidP="00EE4082">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7</w:t>
            </w:r>
            <w:r w:rsidRPr="00173E46">
              <w:rPr>
                <w:rStyle w:val="FootnoteReference"/>
                <w:rFonts w:ascii="Times New Roman" w:hAnsi="Times New Roman" w:cs="Times New Roman"/>
                <w:noProof/>
                <w:sz w:val="20"/>
                <w:szCs w:val="20"/>
                <w:lang w:val="en-IE"/>
              </w:rPr>
              <w:footnoteReference w:id="62"/>
            </w:r>
          </w:p>
        </w:tc>
      </w:tr>
      <w:tr w:rsidR="000B649E" w:rsidRPr="009A33E1" w14:paraId="2AD8AC9B" w14:textId="77777777" w:rsidTr="009328FC">
        <w:trPr>
          <w:trHeight w:val="765"/>
        </w:trPr>
        <w:tc>
          <w:tcPr>
            <w:tcW w:w="3479"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hideMark/>
          </w:tcPr>
          <w:p w14:paraId="0DD06D8E"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2.1. Sub-indicator 3: Number of working practices, guidelines or recommendations issued following actions organised under the programmes </w:t>
            </w:r>
          </w:p>
        </w:tc>
        <w:tc>
          <w:tcPr>
            <w:tcW w:w="1521"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0C04AFCB" w14:textId="3A862ACE" w:rsidR="000B649E" w:rsidRPr="00173E46" w:rsidRDefault="002604A5" w:rsidP="002604A5">
            <w:pPr>
              <w:spacing w:after="0"/>
              <w:rPr>
                <w:rFonts w:ascii="Times New Roman" w:hAnsi="Times New Roman" w:cs="Times New Roman"/>
                <w:noProof/>
                <w:sz w:val="20"/>
                <w:szCs w:val="20"/>
                <w:highlight w:val="yellow"/>
                <w:lang w:val="en-IE"/>
              </w:rPr>
            </w:pPr>
            <w:r w:rsidRPr="00173E46">
              <w:rPr>
                <w:rFonts w:ascii="Times New Roman" w:hAnsi="Times New Roman" w:cs="Times New Roman"/>
                <w:noProof/>
                <w:sz w:val="20"/>
                <w:szCs w:val="20"/>
                <w:lang w:val="en-IE"/>
              </w:rPr>
              <w:t>N.A.</w:t>
            </w:r>
            <w:r w:rsidRPr="00173E46">
              <w:rPr>
                <w:rStyle w:val="FootnoteReference"/>
                <w:rFonts w:ascii="Times New Roman" w:hAnsi="Times New Roman" w:cs="Times New Roman"/>
                <w:noProof/>
                <w:sz w:val="20"/>
                <w:szCs w:val="20"/>
                <w:lang w:val="en-IE"/>
              </w:rPr>
              <w:footnoteReference w:id="63"/>
            </w:r>
          </w:p>
        </w:tc>
      </w:tr>
      <w:tr w:rsidR="000B649E" w:rsidRPr="009A33E1" w14:paraId="1573A590"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55627014"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OP 2.2. Learning index </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1144BF82" w14:textId="77777777" w:rsidR="000B649E" w:rsidRPr="00173E46" w:rsidRDefault="000B649E" w:rsidP="00EE4082">
            <w:pPr>
              <w:spacing w:after="0"/>
              <w:rPr>
                <w:rFonts w:ascii="Times New Roman" w:hAnsi="Times New Roman" w:cs="Times New Roman"/>
                <w:b/>
                <w:bCs/>
                <w:noProof/>
                <w:sz w:val="20"/>
                <w:szCs w:val="20"/>
                <w:lang w:val="en-IE"/>
              </w:rPr>
            </w:pPr>
          </w:p>
        </w:tc>
      </w:tr>
      <w:tr w:rsidR="000B649E" w:rsidRPr="009A33E1" w14:paraId="704C9F6F"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08" w:type="dxa"/>
              <w:bottom w:w="15" w:type="dxa"/>
              <w:right w:w="108" w:type="dxa"/>
            </w:tcMar>
            <w:vAlign w:val="center"/>
            <w:hideMark/>
          </w:tcPr>
          <w:p w14:paraId="10A335CB"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OP 2.2. Sub-indicator 1: Number of learning modules used</w:t>
            </w:r>
          </w:p>
        </w:tc>
        <w:tc>
          <w:tcPr>
            <w:tcW w:w="152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08" w:type="dxa"/>
              <w:bottom w:w="15" w:type="dxa"/>
              <w:right w:w="108" w:type="dxa"/>
            </w:tcMar>
            <w:vAlign w:val="center"/>
          </w:tcPr>
          <w:p w14:paraId="7C9EB9D8" w14:textId="77777777" w:rsidR="000B649E" w:rsidRPr="00173E46" w:rsidRDefault="000B649E" w:rsidP="00EE4082">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N.A.</w:t>
            </w:r>
            <w:r w:rsidRPr="00173E46">
              <w:rPr>
                <w:rStyle w:val="FootnoteReference"/>
                <w:rFonts w:ascii="Times New Roman" w:hAnsi="Times New Roman" w:cs="Times New Roman"/>
                <w:noProof/>
                <w:sz w:val="20"/>
                <w:szCs w:val="20"/>
                <w:lang w:val="en-IE"/>
              </w:rPr>
              <w:footnoteReference w:id="64"/>
            </w:r>
          </w:p>
        </w:tc>
      </w:tr>
      <w:tr w:rsidR="000B649E" w:rsidRPr="009A33E1" w14:paraId="08AD90F2"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468D4ADA" w14:textId="77777777" w:rsidR="000B649E" w:rsidRPr="000253C2" w:rsidRDefault="000B649E" w:rsidP="00B4586B">
            <w:pPr>
              <w:spacing w:after="0"/>
              <w:ind w:left="284"/>
              <w:rPr>
                <w:rFonts w:ascii="Times New Roman" w:hAnsi="Times New Roman" w:cs="Times New Roman"/>
                <w:noProof/>
                <w:sz w:val="18"/>
                <w:szCs w:val="18"/>
                <w:lang w:val="en-IE"/>
              </w:rPr>
            </w:pPr>
            <w:r w:rsidRPr="000253C2">
              <w:rPr>
                <w:rFonts w:ascii="Times New Roman" w:hAnsi="Times New Roman" w:cs="Times New Roman"/>
                <w:noProof/>
                <w:sz w:val="18"/>
                <w:szCs w:val="18"/>
                <w:lang w:val="en-IE"/>
              </w:rPr>
              <w:t>OP 2.2. Sub-indicator 2: Number of professionals trained</w:t>
            </w:r>
            <w:r w:rsidRPr="000253C2">
              <w:rPr>
                <w:rStyle w:val="FootnoteReference"/>
                <w:rFonts w:ascii="Times New Roman" w:hAnsi="Times New Roman" w:cs="Times New Roman"/>
                <w:noProof/>
                <w:sz w:val="18"/>
                <w:szCs w:val="18"/>
                <w:lang w:val="en-IE"/>
              </w:rPr>
              <w:footnoteReference w:id="65"/>
            </w:r>
            <w:r w:rsidRPr="000253C2">
              <w:rPr>
                <w:rFonts w:ascii="Times New Roman" w:hAnsi="Times New Roman" w:cs="Times New Roman"/>
                <w:noProof/>
                <w:sz w:val="18"/>
                <w:szCs w:val="18"/>
                <w:lang w:val="en-IE"/>
              </w:rPr>
              <w:t> </w:t>
            </w:r>
          </w:p>
        </w:tc>
        <w:tc>
          <w:tcPr>
            <w:tcW w:w="15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tcPr>
          <w:p w14:paraId="279E8DAB" w14:textId="3A2A0EF1" w:rsidR="000B649E" w:rsidRPr="000253C2" w:rsidRDefault="00C90FDC" w:rsidP="00EE4082">
            <w:pPr>
              <w:spacing w:after="0"/>
              <w:rPr>
                <w:rFonts w:ascii="Times New Roman" w:hAnsi="Times New Roman" w:cs="Times New Roman"/>
                <w:noProof/>
                <w:sz w:val="18"/>
                <w:szCs w:val="18"/>
                <w:lang w:val="en-IE"/>
              </w:rPr>
            </w:pPr>
            <w:r>
              <w:rPr>
                <w:rFonts w:ascii="Times New Roman" w:hAnsi="Times New Roman" w:cs="Times New Roman"/>
                <w:noProof/>
                <w:sz w:val="18"/>
                <w:szCs w:val="18"/>
                <w:lang w:val="en-IE"/>
              </w:rPr>
              <w:t>1 232 480</w:t>
            </w:r>
          </w:p>
        </w:tc>
      </w:tr>
      <w:tr w:rsidR="000B649E" w:rsidRPr="009A33E1" w14:paraId="41A67203" w14:textId="77777777" w:rsidTr="009328FC">
        <w:trPr>
          <w:trHeight w:val="300"/>
        </w:trPr>
        <w:tc>
          <w:tcPr>
            <w:tcW w:w="347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08" w:type="dxa"/>
              <w:bottom w:w="15" w:type="dxa"/>
              <w:right w:w="108" w:type="dxa"/>
            </w:tcMar>
            <w:vAlign w:val="center"/>
            <w:hideMark/>
          </w:tcPr>
          <w:p w14:paraId="059E53C2" w14:textId="77777777" w:rsidR="000B649E" w:rsidRPr="000253C2" w:rsidRDefault="000B649E" w:rsidP="00B4586B">
            <w:pPr>
              <w:spacing w:after="0"/>
              <w:ind w:left="284"/>
              <w:rPr>
                <w:rFonts w:ascii="Times New Roman" w:hAnsi="Times New Roman" w:cs="Times New Roman"/>
                <w:noProof/>
                <w:sz w:val="18"/>
                <w:szCs w:val="18"/>
                <w:lang w:val="en-IE"/>
              </w:rPr>
            </w:pPr>
            <w:r w:rsidRPr="000253C2">
              <w:rPr>
                <w:rFonts w:ascii="Times New Roman" w:hAnsi="Times New Roman" w:cs="Times New Roman"/>
                <w:noProof/>
                <w:sz w:val="18"/>
                <w:szCs w:val="18"/>
                <w:lang w:val="en-IE"/>
              </w:rPr>
              <w:t>OP 2.2. Sub-indicator 3: Quality of e-learning courses </w:t>
            </w:r>
          </w:p>
        </w:tc>
        <w:tc>
          <w:tcPr>
            <w:tcW w:w="152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08" w:type="dxa"/>
              <w:bottom w:w="15" w:type="dxa"/>
              <w:right w:w="108" w:type="dxa"/>
            </w:tcMar>
            <w:vAlign w:val="center"/>
          </w:tcPr>
          <w:p w14:paraId="64CDAE59" w14:textId="77777777" w:rsidR="000B649E" w:rsidRPr="000253C2" w:rsidRDefault="000B649E" w:rsidP="00EE4082">
            <w:pPr>
              <w:spacing w:after="0"/>
              <w:rPr>
                <w:rFonts w:ascii="Times New Roman" w:hAnsi="Times New Roman" w:cs="Times New Roman"/>
                <w:noProof/>
                <w:sz w:val="18"/>
                <w:szCs w:val="18"/>
                <w:lang w:val="en-IE"/>
              </w:rPr>
            </w:pPr>
            <w:r w:rsidRPr="000253C2">
              <w:rPr>
                <w:rFonts w:ascii="Times New Roman" w:hAnsi="Times New Roman" w:cs="Times New Roman"/>
                <w:noProof/>
                <w:sz w:val="18"/>
                <w:szCs w:val="18"/>
                <w:lang w:val="en-IE"/>
              </w:rPr>
              <w:t xml:space="preserve">N.A. </w:t>
            </w:r>
          </w:p>
        </w:tc>
      </w:tr>
    </w:tbl>
    <w:p w14:paraId="2970A339" w14:textId="77777777" w:rsidR="001F3DF2" w:rsidRPr="009A33E1" w:rsidRDefault="001F3DF2" w:rsidP="001F3DF2">
      <w:pPr>
        <w:keepNext/>
        <w:rPr>
          <w:rFonts w:ascii="Times New Roman" w:hAnsi="Times New Roman" w:cs="Times New Roman"/>
          <w:b/>
          <w:bCs/>
          <w:noProof/>
          <w:sz w:val="24"/>
          <w:szCs w:val="24"/>
          <w:u w:val="single"/>
          <w:lang w:val="en-IE"/>
        </w:rPr>
      </w:pPr>
    </w:p>
    <w:p w14:paraId="61329C25" w14:textId="77777777" w:rsidR="001F3DF2" w:rsidRPr="00173E46" w:rsidRDefault="001F3DF2" w:rsidP="00173E46">
      <w:pPr>
        <w:keepNext/>
        <w:ind w:left="-142"/>
        <w:rPr>
          <w:rFonts w:ascii="Times New Roman" w:hAnsi="Times New Roman" w:cs="Times New Roman"/>
          <w:b/>
          <w:bCs/>
          <w:noProof/>
          <w:u w:val="single"/>
          <w:lang w:val="en-IE"/>
        </w:rPr>
      </w:pPr>
      <w:r w:rsidRPr="00173E46">
        <w:rPr>
          <w:rFonts w:ascii="Times New Roman" w:hAnsi="Times New Roman" w:cs="Times New Roman"/>
          <w:b/>
          <w:bCs/>
          <w:noProof/>
          <w:u w:val="single"/>
          <w:lang w:val="en-IE"/>
        </w:rPr>
        <w:t>Result indicators</w:t>
      </w:r>
    </w:p>
    <w:tbl>
      <w:tblPr>
        <w:tblW w:w="49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34"/>
      </w:tblGrid>
      <w:tr w:rsidR="000B649E" w:rsidRPr="00173E46" w14:paraId="63C43AD1" w14:textId="77777777" w:rsidTr="00592A77">
        <w:trPr>
          <w:trHeight w:val="510"/>
        </w:trPr>
        <w:tc>
          <w:tcPr>
            <w:tcW w:w="3508" w:type="pct"/>
            <w:tcBorders>
              <w:top w:val="single" w:sz="4" w:space="0" w:color="auto"/>
              <w:left w:val="single" w:sz="4" w:space="0" w:color="auto"/>
              <w:bottom w:val="single" w:sz="4" w:space="0" w:color="auto"/>
              <w:right w:val="single" w:sz="4" w:space="0" w:color="auto"/>
            </w:tcBorders>
            <w:shd w:val="clear" w:color="auto" w:fill="5B9BD5" w:themeFill="accent1"/>
            <w:tcMar>
              <w:top w:w="15" w:type="dxa"/>
              <w:left w:w="108" w:type="dxa"/>
              <w:bottom w:w="15" w:type="dxa"/>
              <w:right w:w="108" w:type="dxa"/>
            </w:tcMar>
            <w:vAlign w:val="center"/>
            <w:hideMark/>
          </w:tcPr>
          <w:p w14:paraId="6D9D1A7F" w14:textId="77777777" w:rsidR="000B649E" w:rsidRPr="00173E46" w:rsidRDefault="000B649E" w:rsidP="00B4586B">
            <w:pPr>
              <w:keepNext/>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Indicator </w:t>
            </w:r>
          </w:p>
        </w:tc>
        <w:tc>
          <w:tcPr>
            <w:tcW w:w="1492" w:type="pct"/>
            <w:tcBorders>
              <w:top w:val="single" w:sz="4" w:space="0" w:color="auto"/>
              <w:left w:val="single" w:sz="4" w:space="0" w:color="auto"/>
              <w:bottom w:val="single" w:sz="4" w:space="0" w:color="auto"/>
              <w:right w:val="single" w:sz="4" w:space="0" w:color="auto"/>
            </w:tcBorders>
            <w:shd w:val="clear" w:color="auto" w:fill="5B9BD5" w:themeFill="accent1"/>
            <w:tcMar>
              <w:top w:w="15" w:type="dxa"/>
              <w:left w:w="108" w:type="dxa"/>
              <w:bottom w:w="15" w:type="dxa"/>
              <w:right w:w="108" w:type="dxa"/>
            </w:tcMar>
            <w:vAlign w:val="center"/>
            <w:hideMark/>
          </w:tcPr>
          <w:p w14:paraId="24762709" w14:textId="77777777" w:rsidR="000B649E" w:rsidRPr="00173E46" w:rsidRDefault="000B649E" w:rsidP="00B4586B">
            <w:pPr>
              <w:keepNext/>
              <w:spacing w:after="0"/>
              <w:jc w:val="center"/>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Contributions</w:t>
            </w:r>
          </w:p>
        </w:tc>
      </w:tr>
      <w:tr w:rsidR="000B649E" w:rsidRPr="00173E46" w14:paraId="551BE880"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7A1146C1"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RES 1. Level of coherence of tax/customs legislation and policy and their implementation</w:t>
            </w:r>
          </w:p>
        </w:tc>
        <w:tc>
          <w:tcPr>
            <w:tcW w:w="1492"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023562CC"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173E46" w14:paraId="74004B80"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2AB35FC7" w14:textId="77777777" w:rsidR="000B649E" w:rsidRPr="00173E46" w:rsidRDefault="000B649E" w:rsidP="00B4586B">
            <w:pPr>
              <w:spacing w:after="0"/>
              <w:ind w:left="315"/>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RES 1. Sub-indicator 1:  Percentage of national officials reporting that their authorities made use of a working practice, guideline or recommendation developed with the support of the programmes</w:t>
            </w:r>
          </w:p>
        </w:tc>
        <w:tc>
          <w:tcPr>
            <w:tcW w:w="1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22F389F5" w14:textId="05113C23" w:rsidR="000B649E" w:rsidRPr="00173E46" w:rsidRDefault="00FB0008" w:rsidP="0020431D">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N.A.</w:t>
            </w:r>
            <w:r w:rsidRPr="00173E46">
              <w:rPr>
                <w:rStyle w:val="FootnoteReference"/>
                <w:rFonts w:ascii="Times New Roman" w:hAnsi="Times New Roman" w:cs="Times New Roman"/>
                <w:bCs/>
                <w:noProof/>
                <w:sz w:val="20"/>
                <w:szCs w:val="20"/>
                <w:lang w:val="en-IE"/>
              </w:rPr>
              <w:footnoteReference w:id="66"/>
            </w:r>
            <w:r w:rsidR="000B649E" w:rsidRPr="00173E46">
              <w:rPr>
                <w:rFonts w:ascii="Times New Roman" w:hAnsi="Times New Roman" w:cs="Times New Roman"/>
                <w:bCs/>
                <w:noProof/>
                <w:sz w:val="20"/>
                <w:szCs w:val="20"/>
                <w:lang w:val="en-IE"/>
              </w:rPr>
              <w:t xml:space="preserve"> </w:t>
            </w:r>
          </w:p>
        </w:tc>
      </w:tr>
      <w:tr w:rsidR="000B649E" w:rsidRPr="00173E46" w14:paraId="4B703345"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4A5D62FD"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RES 2.1. Use of key European Electronic Systems aimed at increasing interconnectivity and exchanging information</w:t>
            </w:r>
          </w:p>
        </w:tc>
        <w:tc>
          <w:tcPr>
            <w:tcW w:w="1492"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77246CD6"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173E46" w14:paraId="2D6DB53A"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2A6BBCB4" w14:textId="77777777" w:rsidR="000B649E" w:rsidRPr="00173E46" w:rsidRDefault="000B649E" w:rsidP="00B4586B">
            <w:pPr>
              <w:spacing w:after="0"/>
              <w:ind w:left="315"/>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RES 2.1. Sub-indicator 1: Number of consultations carried out in the different common (components of the) European Electronic Systems</w:t>
            </w:r>
          </w:p>
        </w:tc>
        <w:tc>
          <w:tcPr>
            <w:tcW w:w="1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7AE0B307" w14:textId="626CA77C"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CDS: 154</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280</w:t>
            </w:r>
          </w:p>
          <w:p w14:paraId="1941201D" w14:textId="51D03026"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Customs Offices database: 5</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355</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360</w:t>
            </w:r>
          </w:p>
          <w:p w14:paraId="7279B9CC" w14:textId="307EB2DF"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EBTI: 51</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010</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347</w:t>
            </w:r>
          </w:p>
          <w:p w14:paraId="42D9A8F7" w14:textId="6437ABD4"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MRN follow-up: 96</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843</w:t>
            </w:r>
          </w:p>
          <w:p w14:paraId="3333EE43" w14:textId="06DF4F06"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QUOTA: 8</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155</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933</w:t>
            </w:r>
          </w:p>
          <w:p w14:paraId="6A4854B5" w14:textId="1F30FCCB"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TARIC: 25</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188</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978</w:t>
            </w:r>
          </w:p>
          <w:p w14:paraId="73E691D2" w14:textId="1157BB33" w:rsidR="000B649E" w:rsidRPr="00173E46" w:rsidRDefault="00592A77"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 xml:space="preserve">CLASS: </w:t>
            </w:r>
            <w:r w:rsidR="000B649E" w:rsidRPr="00173E46">
              <w:rPr>
                <w:rFonts w:ascii="Times New Roman" w:hAnsi="Times New Roman" w:cs="Times New Roman"/>
                <w:bCs/>
                <w:noProof/>
                <w:sz w:val="20"/>
                <w:szCs w:val="20"/>
                <w:lang w:val="en-IE"/>
              </w:rPr>
              <w:t>63</w:t>
            </w:r>
            <w:r w:rsidRPr="00173E46">
              <w:rPr>
                <w:rFonts w:ascii="Times New Roman" w:hAnsi="Times New Roman" w:cs="Times New Roman"/>
                <w:bCs/>
                <w:noProof/>
                <w:sz w:val="20"/>
                <w:szCs w:val="20"/>
                <w:lang w:val="en-IE"/>
              </w:rPr>
              <w:t> </w:t>
            </w:r>
            <w:r w:rsidR="000B649E" w:rsidRPr="00173E46">
              <w:rPr>
                <w:rFonts w:ascii="Times New Roman" w:hAnsi="Times New Roman" w:cs="Times New Roman"/>
                <w:bCs/>
                <w:noProof/>
                <w:sz w:val="20"/>
                <w:szCs w:val="20"/>
                <w:lang w:val="en-IE"/>
              </w:rPr>
              <w:t>301</w:t>
            </w:r>
          </w:p>
          <w:p w14:paraId="6F751EF8" w14:textId="790F073C"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DDS2-EO: 17</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585</w:t>
            </w:r>
            <w:r w:rsidR="00673F81" w:rsidRPr="00173E46">
              <w:rPr>
                <w:rFonts w:ascii="Times New Roman" w:hAnsi="Times New Roman" w:cs="Times New Roman"/>
                <w:bCs/>
                <w:noProof/>
                <w:sz w:val="20"/>
                <w:szCs w:val="20"/>
                <w:lang w:val="en-IE"/>
              </w:rPr>
              <w:t xml:space="preserve"> </w:t>
            </w:r>
            <w:r w:rsidRPr="00173E46">
              <w:rPr>
                <w:rFonts w:ascii="Times New Roman" w:hAnsi="Times New Roman" w:cs="Times New Roman"/>
                <w:bCs/>
                <w:noProof/>
                <w:sz w:val="20"/>
                <w:szCs w:val="20"/>
                <w:lang w:val="en-IE"/>
              </w:rPr>
              <w:t>853</w:t>
            </w:r>
          </w:p>
          <w:p w14:paraId="7B320FB1" w14:textId="0B9E7317"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ECICS2:</w:t>
            </w:r>
            <w:r w:rsidR="00F5161C" w:rsidRPr="00173E46">
              <w:rPr>
                <w:rFonts w:ascii="Times New Roman" w:hAnsi="Times New Roman" w:cs="Times New Roman"/>
                <w:bCs/>
                <w:noProof/>
                <w:sz w:val="20"/>
                <w:szCs w:val="20"/>
                <w:lang w:val="en-IE"/>
              </w:rPr>
              <w:t xml:space="preserve"> </w:t>
            </w:r>
            <w:r w:rsidRPr="00173E46">
              <w:rPr>
                <w:rFonts w:ascii="Times New Roman" w:hAnsi="Times New Roman" w:cs="Times New Roman"/>
                <w:bCs/>
                <w:noProof/>
                <w:sz w:val="20"/>
                <w:szCs w:val="20"/>
                <w:lang w:val="en-IE"/>
              </w:rPr>
              <w:t>10</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884</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228</w:t>
            </w:r>
          </w:p>
          <w:p w14:paraId="4A910664" w14:textId="5D9905CE"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SUSP: 101</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602</w:t>
            </w:r>
          </w:p>
          <w:p w14:paraId="38AF055E" w14:textId="1532C726"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Surveillance:</w:t>
            </w:r>
            <w:r w:rsidR="00F5161C" w:rsidRPr="00173E46">
              <w:rPr>
                <w:rFonts w:ascii="Times New Roman" w:hAnsi="Times New Roman" w:cs="Times New Roman"/>
                <w:bCs/>
                <w:noProof/>
                <w:sz w:val="20"/>
                <w:szCs w:val="20"/>
                <w:lang w:val="en-IE"/>
              </w:rPr>
              <w:t xml:space="preserve"> </w:t>
            </w:r>
            <w:r w:rsidRPr="00173E46">
              <w:rPr>
                <w:rFonts w:ascii="Times New Roman" w:hAnsi="Times New Roman" w:cs="Times New Roman"/>
                <w:bCs/>
                <w:noProof/>
                <w:sz w:val="20"/>
                <w:szCs w:val="20"/>
                <w:lang w:val="en-IE"/>
              </w:rPr>
              <w:t>276</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481</w:t>
            </w:r>
          </w:p>
        </w:tc>
      </w:tr>
      <w:tr w:rsidR="000B649E" w:rsidRPr="00173E46" w14:paraId="64E2AD47"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64CE2FE2" w14:textId="77777777" w:rsidR="000B649E" w:rsidRPr="00173E46" w:rsidRDefault="000B649E" w:rsidP="00B4586B">
            <w:pPr>
              <w:spacing w:after="0"/>
              <w:ind w:left="315"/>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RES 2.1. Sub-indicator 2: Number of system-to-system messages exchanged</w:t>
            </w:r>
          </w:p>
        </w:tc>
        <w:tc>
          <w:tcPr>
            <w:tcW w:w="1492"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5ED178B5" w14:textId="68245BDB"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Total number of messages in ECS: 68 million (68</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365</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473)</w:t>
            </w:r>
          </w:p>
          <w:p w14:paraId="25109351" w14:textId="38D412EE"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Total n</w:t>
            </w:r>
            <w:r w:rsidR="00592A77" w:rsidRPr="00173E46">
              <w:rPr>
                <w:rFonts w:ascii="Times New Roman" w:hAnsi="Times New Roman" w:cs="Times New Roman"/>
                <w:bCs/>
                <w:noProof/>
                <w:sz w:val="20"/>
                <w:szCs w:val="20"/>
                <w:lang w:val="en-IE"/>
              </w:rPr>
              <w:t>umber of ENS in ICS:        81 million</w:t>
            </w:r>
            <w:r w:rsidR="0043639F" w:rsidRPr="00173E46">
              <w:rPr>
                <w:rFonts w:ascii="Times New Roman" w:hAnsi="Times New Roman" w:cs="Times New Roman"/>
                <w:bCs/>
                <w:noProof/>
                <w:sz w:val="20"/>
                <w:szCs w:val="20"/>
                <w:lang w:val="en-IE"/>
              </w:rPr>
              <w:t xml:space="preserve"> </w:t>
            </w:r>
            <w:r w:rsidRPr="00173E46">
              <w:rPr>
                <w:rFonts w:ascii="Times New Roman" w:hAnsi="Times New Roman" w:cs="Times New Roman"/>
                <w:bCs/>
                <w:noProof/>
                <w:sz w:val="20"/>
                <w:szCs w:val="20"/>
                <w:lang w:val="en-IE"/>
              </w:rPr>
              <w:t>(81</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293</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523)</w:t>
            </w:r>
          </w:p>
          <w:p w14:paraId="07F062EB" w14:textId="09B0DEFA"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Total</w:t>
            </w:r>
            <w:r w:rsidR="00592A77" w:rsidRPr="00173E46">
              <w:rPr>
                <w:rFonts w:ascii="Times New Roman" w:hAnsi="Times New Roman" w:cs="Times New Roman"/>
                <w:bCs/>
                <w:noProof/>
                <w:sz w:val="20"/>
                <w:szCs w:val="20"/>
                <w:lang w:val="en-IE"/>
              </w:rPr>
              <w:t xml:space="preserve"> number of messages of NCTS: 87.6 </w:t>
            </w:r>
            <w:r w:rsidRPr="00173E46">
              <w:rPr>
                <w:rFonts w:ascii="Times New Roman" w:hAnsi="Times New Roman" w:cs="Times New Roman"/>
                <w:bCs/>
                <w:noProof/>
                <w:sz w:val="20"/>
                <w:szCs w:val="20"/>
                <w:lang w:val="en-IE"/>
              </w:rPr>
              <w:t>million (87</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612</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 xml:space="preserve">358)   </w:t>
            </w:r>
          </w:p>
          <w:p w14:paraId="2C0F98B4" w14:textId="26D29D41" w:rsidR="000B649E" w:rsidRPr="00173E46" w:rsidRDefault="000B649E" w:rsidP="00B4586B">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 xml:space="preserve">Total number of SDRs (including SRDS) in Surveillance (SURV-Recapp): </w:t>
            </w:r>
            <w:r w:rsidR="00592A77" w:rsidRPr="00173E46">
              <w:rPr>
                <w:rFonts w:ascii="Times New Roman" w:hAnsi="Times New Roman" w:cs="Times New Roman"/>
                <w:bCs/>
                <w:noProof/>
                <w:sz w:val="20"/>
                <w:szCs w:val="20"/>
                <w:lang w:val="en-IE"/>
              </w:rPr>
              <w:t>1.4 </w:t>
            </w:r>
            <w:r w:rsidRPr="00173E46">
              <w:rPr>
                <w:rFonts w:ascii="Times New Roman" w:hAnsi="Times New Roman" w:cs="Times New Roman"/>
                <w:bCs/>
                <w:noProof/>
                <w:sz w:val="20"/>
                <w:szCs w:val="20"/>
                <w:lang w:val="en-IE"/>
              </w:rPr>
              <w:t>billion (1</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399</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463</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855)</w:t>
            </w:r>
          </w:p>
          <w:p w14:paraId="6D62083B" w14:textId="24ECD60E" w:rsidR="000B649E" w:rsidRPr="00173E46" w:rsidRDefault="000B649E" w:rsidP="00592A77">
            <w:pPr>
              <w:spacing w:after="0"/>
              <w:rPr>
                <w:rFonts w:ascii="Times New Roman" w:hAnsi="Times New Roman" w:cs="Times New Roman"/>
                <w:bCs/>
                <w:noProof/>
                <w:sz w:val="20"/>
                <w:szCs w:val="20"/>
                <w:lang w:val="en-IE"/>
              </w:rPr>
            </w:pPr>
            <w:r w:rsidRPr="00173E46">
              <w:rPr>
                <w:rFonts w:ascii="Times New Roman" w:hAnsi="Times New Roman" w:cs="Times New Roman"/>
                <w:bCs/>
                <w:noProof/>
                <w:sz w:val="20"/>
                <w:szCs w:val="20"/>
                <w:lang w:val="en-IE"/>
              </w:rPr>
              <w:t>T</w:t>
            </w:r>
            <w:r w:rsidR="00592A77" w:rsidRPr="00173E46">
              <w:rPr>
                <w:rFonts w:ascii="Times New Roman" w:hAnsi="Times New Roman" w:cs="Times New Roman"/>
                <w:bCs/>
                <w:noProof/>
                <w:sz w:val="20"/>
                <w:szCs w:val="20"/>
                <w:lang w:val="en-IE"/>
              </w:rPr>
              <w:t>otal number of ENS in ICS2: 122.4 </w:t>
            </w:r>
            <w:r w:rsidRPr="00173E46">
              <w:rPr>
                <w:rFonts w:ascii="Times New Roman" w:hAnsi="Times New Roman" w:cs="Times New Roman"/>
                <w:bCs/>
                <w:noProof/>
                <w:sz w:val="20"/>
                <w:szCs w:val="20"/>
                <w:lang w:val="en-IE"/>
              </w:rPr>
              <w:t>million (122</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398</w:t>
            </w:r>
            <w:r w:rsidR="00592A77" w:rsidRPr="00173E46">
              <w:rPr>
                <w:rFonts w:ascii="Times New Roman" w:hAnsi="Times New Roman" w:cs="Times New Roman"/>
                <w:bCs/>
                <w:noProof/>
                <w:sz w:val="20"/>
                <w:szCs w:val="20"/>
                <w:lang w:val="en-IE"/>
              </w:rPr>
              <w:t> </w:t>
            </w:r>
            <w:r w:rsidRPr="00173E46">
              <w:rPr>
                <w:rFonts w:ascii="Times New Roman" w:hAnsi="Times New Roman" w:cs="Times New Roman"/>
                <w:bCs/>
                <w:noProof/>
                <w:sz w:val="20"/>
                <w:szCs w:val="20"/>
                <w:lang w:val="en-IE"/>
              </w:rPr>
              <w:t>274)</w:t>
            </w:r>
          </w:p>
        </w:tc>
      </w:tr>
      <w:tr w:rsidR="000B649E" w:rsidRPr="00173E46" w14:paraId="7517DAC5" w14:textId="77777777" w:rsidTr="00592A77">
        <w:trPr>
          <w:trHeight w:val="300"/>
        </w:trPr>
        <w:tc>
          <w:tcPr>
            <w:tcW w:w="3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671E61B8" w14:textId="77777777" w:rsidR="000B649E" w:rsidRPr="00173E46" w:rsidRDefault="000B649E" w:rsidP="00B4586B">
            <w:pPr>
              <w:spacing w:after="0"/>
              <w:rPr>
                <w:rFonts w:ascii="Times New Roman" w:hAnsi="Times New Roman" w:cs="Times New Roman"/>
                <w:b/>
                <w:bCs/>
                <w:noProof/>
                <w:sz w:val="20"/>
                <w:szCs w:val="20"/>
                <w:lang w:val="en-IE"/>
              </w:rPr>
            </w:pPr>
            <w:r w:rsidRPr="00173E46">
              <w:rPr>
                <w:rFonts w:ascii="Times New Roman" w:hAnsi="Times New Roman" w:cs="Times New Roman"/>
                <w:b/>
                <w:bCs/>
                <w:noProof/>
                <w:sz w:val="20"/>
                <w:szCs w:val="20"/>
                <w:lang w:val="en-IE"/>
              </w:rPr>
              <w:t>RES 2.2. Level of operational cooperation between national authorities </w:t>
            </w:r>
          </w:p>
        </w:tc>
        <w:tc>
          <w:tcPr>
            <w:tcW w:w="1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402F63E3" w14:textId="77777777" w:rsidR="000B649E" w:rsidRPr="00173E46" w:rsidRDefault="000B649E" w:rsidP="00B4586B">
            <w:pPr>
              <w:spacing w:after="0"/>
              <w:jc w:val="center"/>
              <w:rPr>
                <w:rFonts w:ascii="Times New Roman" w:hAnsi="Times New Roman" w:cs="Times New Roman"/>
                <w:b/>
                <w:bCs/>
                <w:noProof/>
                <w:sz w:val="20"/>
                <w:szCs w:val="20"/>
                <w:lang w:val="en-IE"/>
              </w:rPr>
            </w:pPr>
          </w:p>
        </w:tc>
      </w:tr>
      <w:tr w:rsidR="000B649E" w:rsidRPr="00173E46" w14:paraId="427FA95B" w14:textId="77777777" w:rsidTr="00592A77">
        <w:trPr>
          <w:trHeight w:val="510"/>
        </w:trPr>
        <w:tc>
          <w:tcPr>
            <w:tcW w:w="3508"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hideMark/>
          </w:tcPr>
          <w:p w14:paraId="2F30B991"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RES 2.2. Sub-indicator 2: Number of online collaboration groups on the collaborative platform that are active </w:t>
            </w:r>
          </w:p>
        </w:tc>
        <w:tc>
          <w:tcPr>
            <w:tcW w:w="1492" w:type="pct"/>
            <w:tcBorders>
              <w:top w:val="single" w:sz="4" w:space="0" w:color="auto"/>
              <w:left w:val="single" w:sz="4" w:space="0" w:color="auto"/>
              <w:bottom w:val="single" w:sz="4" w:space="0" w:color="auto"/>
              <w:right w:val="single" w:sz="4" w:space="0" w:color="auto"/>
            </w:tcBorders>
            <w:shd w:val="clear" w:color="auto" w:fill="DDEBF7"/>
            <w:tcMar>
              <w:top w:w="15" w:type="dxa"/>
              <w:left w:w="108" w:type="dxa"/>
              <w:bottom w:w="15" w:type="dxa"/>
              <w:right w:w="108" w:type="dxa"/>
            </w:tcMar>
            <w:vAlign w:val="center"/>
          </w:tcPr>
          <w:p w14:paraId="265914CC" w14:textId="77777777" w:rsidR="000B649E" w:rsidRPr="00173E46" w:rsidRDefault="000B649E" w:rsidP="0020431D">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 xml:space="preserve"> 240 </w:t>
            </w:r>
          </w:p>
        </w:tc>
      </w:tr>
      <w:tr w:rsidR="000B649E" w:rsidRPr="00173E46" w14:paraId="42F3B09D" w14:textId="77777777" w:rsidTr="00592A77">
        <w:trPr>
          <w:trHeight w:val="1020"/>
        </w:trPr>
        <w:tc>
          <w:tcPr>
            <w:tcW w:w="3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hideMark/>
          </w:tcPr>
          <w:p w14:paraId="3690DA55" w14:textId="77777777" w:rsidR="000B649E" w:rsidRPr="00173E46" w:rsidRDefault="000B649E" w:rsidP="00B4586B">
            <w:pPr>
              <w:spacing w:after="0"/>
              <w:ind w:left="284"/>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RES 2.2. Sub-indicator 6: Degree of networking generated </w:t>
            </w:r>
          </w:p>
        </w:tc>
        <w:tc>
          <w:tcPr>
            <w:tcW w:w="1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15" w:type="dxa"/>
              <w:right w:w="108" w:type="dxa"/>
            </w:tcMar>
            <w:vAlign w:val="center"/>
          </w:tcPr>
          <w:p w14:paraId="2B2EF181" w14:textId="77777777" w:rsidR="000B649E" w:rsidRPr="00173E46" w:rsidRDefault="000B649E" w:rsidP="0020431D">
            <w:pPr>
              <w:spacing w:after="0"/>
              <w:rPr>
                <w:rFonts w:ascii="Times New Roman" w:hAnsi="Times New Roman" w:cs="Times New Roman"/>
                <w:noProof/>
                <w:sz w:val="20"/>
                <w:szCs w:val="20"/>
                <w:lang w:val="en-IE"/>
              </w:rPr>
            </w:pPr>
            <w:r w:rsidRPr="00173E46">
              <w:rPr>
                <w:rFonts w:ascii="Times New Roman" w:hAnsi="Times New Roman" w:cs="Times New Roman"/>
                <w:noProof/>
                <w:sz w:val="20"/>
                <w:szCs w:val="20"/>
                <w:lang w:val="en-IE"/>
              </w:rPr>
              <w:t>81%</w:t>
            </w:r>
            <w:r w:rsidRPr="00173E46">
              <w:rPr>
                <w:rStyle w:val="FootnoteReference"/>
                <w:rFonts w:ascii="Times New Roman" w:hAnsi="Times New Roman" w:cs="Times New Roman"/>
                <w:noProof/>
                <w:sz w:val="20"/>
                <w:szCs w:val="20"/>
                <w:lang w:val="en-IE"/>
              </w:rPr>
              <w:footnoteReference w:id="67"/>
            </w:r>
          </w:p>
        </w:tc>
      </w:tr>
    </w:tbl>
    <w:p w14:paraId="19CB4D35" w14:textId="77777777" w:rsidR="001F3DF2" w:rsidRPr="009A33E1" w:rsidRDefault="001F3DF2" w:rsidP="001F3DF2">
      <w:pPr>
        <w:rPr>
          <w:rFonts w:ascii="Times New Roman" w:hAnsi="Times New Roman" w:cs="Times New Roman"/>
          <w:b/>
          <w:noProof/>
          <w:sz w:val="24"/>
          <w:u w:val="single"/>
          <w:lang w:val="en-IE"/>
        </w:rPr>
      </w:pPr>
    </w:p>
    <w:p w14:paraId="546672D3" w14:textId="464C7AA2" w:rsidR="001F3DF2" w:rsidRPr="0024714F" w:rsidRDefault="001F3DF2" w:rsidP="0024714F">
      <w:pPr>
        <w:pStyle w:val="Heading2"/>
        <w:rPr>
          <w:noProof/>
        </w:rPr>
      </w:pPr>
      <w:bookmarkStart w:id="24" w:name="_Toc96082090"/>
      <w:bookmarkStart w:id="25" w:name="_Toc96083199"/>
      <w:r w:rsidRPr="0024714F">
        <w:rPr>
          <w:rStyle w:val="Heading2Char"/>
          <w:b/>
          <w:bCs/>
          <w:noProof/>
        </w:rPr>
        <w:t xml:space="preserve">Annex 4: European Electronic Systems financed under Customs 2020 and </w:t>
      </w:r>
      <w:r w:rsidR="00176A72" w:rsidRPr="0024714F">
        <w:rPr>
          <w:rStyle w:val="Heading2Char"/>
          <w:b/>
          <w:bCs/>
          <w:noProof/>
        </w:rPr>
        <w:t xml:space="preserve">the </w:t>
      </w:r>
      <w:r w:rsidRPr="0024714F">
        <w:rPr>
          <w:rStyle w:val="Heading2Char"/>
          <w:b/>
          <w:bCs/>
          <w:noProof/>
        </w:rPr>
        <w:t>new Customs programme</w:t>
      </w:r>
      <w:r w:rsidRPr="0024714F">
        <w:rPr>
          <w:rFonts w:ascii="Times New Roman Bold" w:hAnsi="Times New Roman Bold"/>
          <w:b w:val="0"/>
          <w:noProof/>
          <w:vertAlign w:val="superscript"/>
        </w:rPr>
        <w:footnoteReference w:id="68"/>
      </w:r>
      <w:bookmarkEnd w:id="24"/>
      <w:bookmarkEnd w:id="25"/>
    </w:p>
    <w:p w14:paraId="794FEF4D" w14:textId="77777777" w:rsidR="001F3DF2" w:rsidRPr="009A33E1" w:rsidRDefault="001F3DF2" w:rsidP="001F3DF2">
      <w:pPr>
        <w:rPr>
          <w:rFonts w:ascii="Times New Roman" w:hAnsi="Times New Roman" w:cs="Times New Roman"/>
          <w:noProof/>
          <w:lang w:val="en-IE"/>
        </w:rPr>
      </w:pPr>
      <w:r w:rsidRPr="009A33E1">
        <w:rPr>
          <w:rFonts w:ascii="Times New Roman" w:hAnsi="Times New Roman" w:cs="Times New Roman"/>
          <w:noProof/>
          <w:lang w:val="en-IE"/>
        </w:rPr>
        <w:t xml:space="preserve"> </w:t>
      </w:r>
    </w:p>
    <w:tbl>
      <w:tblPr>
        <w:tblStyle w:val="TableGrid"/>
        <w:tblW w:w="0" w:type="auto"/>
        <w:tblInd w:w="113" w:type="dxa"/>
        <w:tblLook w:val="04A0" w:firstRow="1" w:lastRow="0" w:firstColumn="1" w:lastColumn="0" w:noHBand="0" w:noVBand="1"/>
      </w:tblPr>
      <w:tblGrid>
        <w:gridCol w:w="3541"/>
        <w:gridCol w:w="5922"/>
      </w:tblGrid>
      <w:tr w:rsidR="001F3DF2" w:rsidRPr="009A33E1" w14:paraId="67858A9A" w14:textId="77777777" w:rsidTr="586E19CB">
        <w:trPr>
          <w:trHeight w:val="290"/>
        </w:trPr>
        <w:tc>
          <w:tcPr>
            <w:tcW w:w="3720" w:type="dxa"/>
            <w:noWrap/>
            <w:hideMark/>
          </w:tcPr>
          <w:p w14:paraId="0A9C5756" w14:textId="77777777" w:rsidR="001F3DF2" w:rsidRPr="009A33E1" w:rsidRDefault="001F3DF2" w:rsidP="00B4586B">
            <w:pPr>
              <w:rPr>
                <w:rFonts w:ascii="Times New Roman" w:hAnsi="Times New Roman" w:cs="Times New Roman"/>
                <w:b/>
                <w:bCs/>
                <w:noProof/>
                <w:lang w:val="en-IE"/>
              </w:rPr>
            </w:pPr>
            <w:r w:rsidRPr="009A33E1">
              <w:rPr>
                <w:rFonts w:ascii="Times New Roman" w:hAnsi="Times New Roman" w:cs="Times New Roman"/>
                <w:b/>
                <w:bCs/>
                <w:noProof/>
                <w:lang w:val="en-IE"/>
              </w:rPr>
              <w:t xml:space="preserve">EES Acronym </w:t>
            </w:r>
          </w:p>
        </w:tc>
        <w:tc>
          <w:tcPr>
            <w:tcW w:w="6228" w:type="dxa"/>
            <w:noWrap/>
            <w:hideMark/>
          </w:tcPr>
          <w:p w14:paraId="2ACF232F" w14:textId="77777777" w:rsidR="001F3DF2" w:rsidRPr="009A33E1" w:rsidRDefault="001F3DF2" w:rsidP="00B4586B">
            <w:pPr>
              <w:rPr>
                <w:rFonts w:ascii="Times New Roman" w:hAnsi="Times New Roman" w:cs="Times New Roman"/>
                <w:b/>
                <w:bCs/>
                <w:noProof/>
                <w:lang w:val="en-IE"/>
              </w:rPr>
            </w:pPr>
            <w:r w:rsidRPr="009A33E1">
              <w:rPr>
                <w:rFonts w:ascii="Times New Roman" w:hAnsi="Times New Roman" w:cs="Times New Roman"/>
                <w:b/>
                <w:bCs/>
                <w:noProof/>
                <w:lang w:val="en-IE"/>
              </w:rPr>
              <w:t>EES (full name)</w:t>
            </w:r>
          </w:p>
        </w:tc>
      </w:tr>
      <w:tr w:rsidR="001F3DF2" w:rsidRPr="009A33E1" w14:paraId="3D99B855" w14:textId="77777777" w:rsidTr="586E19CB">
        <w:trPr>
          <w:trHeight w:val="290"/>
        </w:trPr>
        <w:tc>
          <w:tcPr>
            <w:tcW w:w="3720" w:type="dxa"/>
            <w:noWrap/>
            <w:hideMark/>
          </w:tcPr>
          <w:p w14:paraId="09232F8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AES</w:t>
            </w:r>
          </w:p>
        </w:tc>
        <w:tc>
          <w:tcPr>
            <w:tcW w:w="6228" w:type="dxa"/>
            <w:noWrap/>
            <w:hideMark/>
          </w:tcPr>
          <w:p w14:paraId="25E42CD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Automated Export System</w:t>
            </w:r>
          </w:p>
        </w:tc>
      </w:tr>
      <w:tr w:rsidR="001F3DF2" w:rsidRPr="009A33E1" w14:paraId="3F65FE6B" w14:textId="77777777" w:rsidTr="586E19CB">
        <w:trPr>
          <w:trHeight w:val="290"/>
        </w:trPr>
        <w:tc>
          <w:tcPr>
            <w:tcW w:w="3720" w:type="dxa"/>
            <w:noWrap/>
            <w:hideMark/>
          </w:tcPr>
          <w:p w14:paraId="4D41688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ARIS (Modeler Publisher)</w:t>
            </w:r>
          </w:p>
        </w:tc>
        <w:tc>
          <w:tcPr>
            <w:tcW w:w="6228" w:type="dxa"/>
            <w:noWrap/>
            <w:hideMark/>
          </w:tcPr>
          <w:p w14:paraId="6152C53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Architecture of Integrated Information Systems</w:t>
            </w:r>
          </w:p>
        </w:tc>
      </w:tr>
      <w:tr w:rsidR="001F3DF2" w:rsidRPr="009A33E1" w14:paraId="7026E41C" w14:textId="77777777" w:rsidTr="586E19CB">
        <w:trPr>
          <w:trHeight w:val="290"/>
        </w:trPr>
        <w:tc>
          <w:tcPr>
            <w:tcW w:w="3720" w:type="dxa"/>
            <w:noWrap/>
            <w:hideMark/>
          </w:tcPr>
          <w:p w14:paraId="46DE245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ART2</w:t>
            </w:r>
          </w:p>
        </w:tc>
        <w:tc>
          <w:tcPr>
            <w:tcW w:w="6228" w:type="dxa"/>
            <w:noWrap/>
            <w:hideMark/>
          </w:tcPr>
          <w:p w14:paraId="5325E74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Activity Reporting Tool 2</w:t>
            </w:r>
          </w:p>
        </w:tc>
      </w:tr>
      <w:tr w:rsidR="001F3DF2" w:rsidRPr="009A33E1" w14:paraId="197BE4AB" w14:textId="77777777" w:rsidTr="586E19CB">
        <w:trPr>
          <w:trHeight w:val="290"/>
        </w:trPr>
        <w:tc>
          <w:tcPr>
            <w:tcW w:w="3720" w:type="dxa"/>
            <w:noWrap/>
            <w:hideMark/>
          </w:tcPr>
          <w:p w14:paraId="1F0A0B6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CALISTO</w:t>
            </w:r>
          </w:p>
        </w:tc>
        <w:tc>
          <w:tcPr>
            <w:tcW w:w="6228" w:type="dxa"/>
            <w:noWrap/>
            <w:hideMark/>
          </w:tcPr>
          <w:p w14:paraId="5F63FA0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Calisto </w:t>
            </w:r>
          </w:p>
        </w:tc>
      </w:tr>
      <w:tr w:rsidR="001F3DF2" w:rsidRPr="009A33E1" w14:paraId="2B978D5A" w14:textId="77777777" w:rsidTr="586E19CB">
        <w:trPr>
          <w:trHeight w:val="290"/>
        </w:trPr>
        <w:tc>
          <w:tcPr>
            <w:tcW w:w="3720" w:type="dxa"/>
            <w:noWrap/>
            <w:hideMark/>
          </w:tcPr>
          <w:p w14:paraId="41002CD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CCN/CSI</w:t>
            </w:r>
          </w:p>
        </w:tc>
        <w:tc>
          <w:tcPr>
            <w:tcW w:w="6228" w:type="dxa"/>
            <w:noWrap/>
            <w:hideMark/>
          </w:tcPr>
          <w:p w14:paraId="3EC5213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Common Communications Network/Common Systems Interface</w:t>
            </w:r>
          </w:p>
        </w:tc>
      </w:tr>
      <w:tr w:rsidR="001F3DF2" w:rsidRPr="009A33E1" w14:paraId="3689452D" w14:textId="77777777" w:rsidTr="586E19CB">
        <w:trPr>
          <w:trHeight w:val="290"/>
        </w:trPr>
        <w:tc>
          <w:tcPr>
            <w:tcW w:w="3720" w:type="dxa"/>
            <w:noWrap/>
            <w:hideMark/>
          </w:tcPr>
          <w:p w14:paraId="701677C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CCN2</w:t>
            </w:r>
          </w:p>
        </w:tc>
        <w:tc>
          <w:tcPr>
            <w:tcW w:w="6228" w:type="dxa"/>
            <w:noWrap/>
            <w:hideMark/>
          </w:tcPr>
          <w:p w14:paraId="28FE157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Common Communication Network 2</w:t>
            </w:r>
          </w:p>
        </w:tc>
      </w:tr>
      <w:tr w:rsidR="001F3DF2" w:rsidRPr="009A33E1" w14:paraId="6870E9B2" w14:textId="77777777" w:rsidTr="586E19CB">
        <w:trPr>
          <w:trHeight w:val="290"/>
        </w:trPr>
        <w:tc>
          <w:tcPr>
            <w:tcW w:w="3720" w:type="dxa"/>
            <w:noWrap/>
            <w:hideMark/>
          </w:tcPr>
          <w:p w14:paraId="4B2FA0D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CDS</w:t>
            </w:r>
          </w:p>
        </w:tc>
        <w:tc>
          <w:tcPr>
            <w:tcW w:w="6228" w:type="dxa"/>
            <w:noWrap/>
            <w:hideMark/>
          </w:tcPr>
          <w:p w14:paraId="7D3B567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Customs Decisions System </w:t>
            </w:r>
          </w:p>
        </w:tc>
      </w:tr>
      <w:tr w:rsidR="001F3DF2" w:rsidRPr="009A33E1" w14:paraId="1F90A79C" w14:textId="77777777" w:rsidTr="586E19CB">
        <w:trPr>
          <w:trHeight w:val="290"/>
        </w:trPr>
        <w:tc>
          <w:tcPr>
            <w:tcW w:w="3720" w:type="dxa"/>
            <w:noWrap/>
            <w:hideMark/>
          </w:tcPr>
          <w:p w14:paraId="4EC2432E"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CLASS</w:t>
            </w:r>
          </w:p>
        </w:tc>
        <w:tc>
          <w:tcPr>
            <w:tcW w:w="6228" w:type="dxa"/>
            <w:noWrap/>
            <w:hideMark/>
          </w:tcPr>
          <w:p w14:paraId="0D981CA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Classification Information System </w:t>
            </w:r>
          </w:p>
        </w:tc>
      </w:tr>
      <w:tr w:rsidR="001F3DF2" w:rsidRPr="009A33E1" w14:paraId="0FF98DDE" w14:textId="77777777" w:rsidTr="586E19CB">
        <w:trPr>
          <w:trHeight w:val="290"/>
        </w:trPr>
        <w:tc>
          <w:tcPr>
            <w:tcW w:w="3720" w:type="dxa"/>
            <w:noWrap/>
            <w:hideMark/>
          </w:tcPr>
          <w:p w14:paraId="0B7ADD3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CN</w:t>
            </w:r>
          </w:p>
        </w:tc>
        <w:tc>
          <w:tcPr>
            <w:tcW w:w="6228" w:type="dxa"/>
            <w:noWrap/>
            <w:hideMark/>
          </w:tcPr>
          <w:p w14:paraId="0384929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Combined Nomenclature System </w:t>
            </w:r>
          </w:p>
        </w:tc>
      </w:tr>
      <w:tr w:rsidR="001F3DF2" w:rsidRPr="009A33E1" w14:paraId="1C61A0AB" w14:textId="77777777" w:rsidTr="586E19CB">
        <w:trPr>
          <w:trHeight w:val="290"/>
        </w:trPr>
        <w:tc>
          <w:tcPr>
            <w:tcW w:w="3720" w:type="dxa"/>
            <w:noWrap/>
            <w:hideMark/>
          </w:tcPr>
          <w:p w14:paraId="73C448A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COPIS</w:t>
            </w:r>
          </w:p>
        </w:tc>
        <w:tc>
          <w:tcPr>
            <w:tcW w:w="6228" w:type="dxa"/>
            <w:noWrap/>
            <w:hideMark/>
          </w:tcPr>
          <w:p w14:paraId="4C2401B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Counterfeiting and Piracy System</w:t>
            </w:r>
          </w:p>
        </w:tc>
      </w:tr>
      <w:tr w:rsidR="001F3DF2" w:rsidRPr="009A33E1" w14:paraId="6F3F0040" w14:textId="77777777" w:rsidTr="586E19CB">
        <w:trPr>
          <w:trHeight w:val="290"/>
        </w:trPr>
        <w:tc>
          <w:tcPr>
            <w:tcW w:w="3720" w:type="dxa"/>
            <w:noWrap/>
            <w:hideMark/>
          </w:tcPr>
          <w:p w14:paraId="685D90E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CRMS2</w:t>
            </w:r>
          </w:p>
        </w:tc>
        <w:tc>
          <w:tcPr>
            <w:tcW w:w="6228" w:type="dxa"/>
            <w:noWrap/>
            <w:hideMark/>
          </w:tcPr>
          <w:p w14:paraId="688C73A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Customs Risk Management System 2 </w:t>
            </w:r>
          </w:p>
        </w:tc>
      </w:tr>
      <w:tr w:rsidR="001F3DF2" w:rsidRPr="009A33E1" w14:paraId="1BF565F1" w14:textId="77777777" w:rsidTr="586E19CB">
        <w:trPr>
          <w:trHeight w:val="290"/>
        </w:trPr>
        <w:tc>
          <w:tcPr>
            <w:tcW w:w="3720" w:type="dxa"/>
            <w:noWrap/>
            <w:hideMark/>
          </w:tcPr>
          <w:p w14:paraId="5EF984DE"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CS/MIS</w:t>
            </w:r>
          </w:p>
        </w:tc>
        <w:tc>
          <w:tcPr>
            <w:tcW w:w="6228" w:type="dxa"/>
            <w:noWrap/>
            <w:hideMark/>
          </w:tcPr>
          <w:p w14:paraId="256B2EF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Central Services/Management Information System</w:t>
            </w:r>
          </w:p>
        </w:tc>
      </w:tr>
      <w:tr w:rsidR="001F3DF2" w:rsidRPr="009A33E1" w14:paraId="5E0E61F7" w14:textId="77777777" w:rsidTr="586E19CB">
        <w:trPr>
          <w:trHeight w:val="290"/>
        </w:trPr>
        <w:tc>
          <w:tcPr>
            <w:tcW w:w="3720" w:type="dxa"/>
            <w:noWrap/>
            <w:hideMark/>
          </w:tcPr>
          <w:p w14:paraId="30548879"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CS/MIS2</w:t>
            </w:r>
          </w:p>
        </w:tc>
        <w:tc>
          <w:tcPr>
            <w:tcW w:w="6228" w:type="dxa"/>
            <w:noWrap/>
            <w:hideMark/>
          </w:tcPr>
          <w:p w14:paraId="36044D1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Central Services/Management Information System 2</w:t>
            </w:r>
          </w:p>
        </w:tc>
      </w:tr>
      <w:tr w:rsidR="001F3DF2" w:rsidRPr="009A33E1" w14:paraId="2531F371" w14:textId="77777777" w:rsidTr="586E19CB">
        <w:trPr>
          <w:trHeight w:val="290"/>
        </w:trPr>
        <w:tc>
          <w:tcPr>
            <w:tcW w:w="3720" w:type="dxa"/>
            <w:noWrap/>
            <w:hideMark/>
          </w:tcPr>
          <w:p w14:paraId="68D12F2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CS/RD2</w:t>
            </w:r>
          </w:p>
        </w:tc>
        <w:tc>
          <w:tcPr>
            <w:tcW w:w="6228" w:type="dxa"/>
            <w:noWrap/>
            <w:hideMark/>
          </w:tcPr>
          <w:p w14:paraId="3C0BA12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Central Services/Reference Data 2 </w:t>
            </w:r>
          </w:p>
        </w:tc>
      </w:tr>
      <w:tr w:rsidR="001F3DF2" w:rsidRPr="009A33E1" w14:paraId="5D8AA570" w14:textId="77777777" w:rsidTr="586E19CB">
        <w:trPr>
          <w:trHeight w:val="290"/>
        </w:trPr>
        <w:tc>
          <w:tcPr>
            <w:tcW w:w="3720" w:type="dxa"/>
            <w:noWrap/>
            <w:hideMark/>
          </w:tcPr>
          <w:p w14:paraId="0854F837"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CSI Bridge</w:t>
            </w:r>
          </w:p>
        </w:tc>
        <w:tc>
          <w:tcPr>
            <w:tcW w:w="6228" w:type="dxa"/>
            <w:noWrap/>
            <w:hideMark/>
          </w:tcPr>
          <w:p w14:paraId="3EC3185E"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Communication System Interface - Bridge</w:t>
            </w:r>
          </w:p>
        </w:tc>
      </w:tr>
      <w:tr w:rsidR="001F3DF2" w:rsidRPr="009A33E1" w14:paraId="5E8484A5" w14:textId="77777777" w:rsidTr="586E19CB">
        <w:trPr>
          <w:trHeight w:val="290"/>
        </w:trPr>
        <w:tc>
          <w:tcPr>
            <w:tcW w:w="3720" w:type="dxa"/>
            <w:noWrap/>
            <w:hideMark/>
          </w:tcPr>
          <w:p w14:paraId="2AF9AAFB"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CTA</w:t>
            </w:r>
          </w:p>
        </w:tc>
        <w:tc>
          <w:tcPr>
            <w:tcW w:w="6228" w:type="dxa"/>
            <w:noWrap/>
            <w:hideMark/>
          </w:tcPr>
          <w:p w14:paraId="47212B3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Conformance Testing Application</w:t>
            </w:r>
          </w:p>
        </w:tc>
      </w:tr>
      <w:tr w:rsidR="001F3DF2" w:rsidRPr="009A33E1" w14:paraId="008A7AB5" w14:textId="77777777" w:rsidTr="586E19CB">
        <w:trPr>
          <w:trHeight w:val="290"/>
        </w:trPr>
        <w:tc>
          <w:tcPr>
            <w:tcW w:w="3720" w:type="dxa"/>
            <w:noWrap/>
            <w:hideMark/>
          </w:tcPr>
          <w:p w14:paraId="1CE1A4B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DDS2-CM</w:t>
            </w:r>
          </w:p>
        </w:tc>
        <w:tc>
          <w:tcPr>
            <w:tcW w:w="6228" w:type="dxa"/>
            <w:noWrap/>
            <w:hideMark/>
          </w:tcPr>
          <w:p w14:paraId="17786369"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Data Dissemination System 2 - Common Module </w:t>
            </w:r>
          </w:p>
        </w:tc>
      </w:tr>
      <w:tr w:rsidR="001F3DF2" w:rsidRPr="009A33E1" w14:paraId="75FE7682" w14:textId="77777777" w:rsidTr="586E19CB">
        <w:trPr>
          <w:trHeight w:val="290"/>
        </w:trPr>
        <w:tc>
          <w:tcPr>
            <w:tcW w:w="3720" w:type="dxa"/>
            <w:noWrap/>
            <w:hideMark/>
          </w:tcPr>
          <w:p w14:paraId="5B9210C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DDS2-COL</w:t>
            </w:r>
          </w:p>
        </w:tc>
        <w:tc>
          <w:tcPr>
            <w:tcW w:w="6228" w:type="dxa"/>
            <w:noWrap/>
            <w:hideMark/>
          </w:tcPr>
          <w:p w14:paraId="0D9A5D6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Data Dissemination System - Customs offices list </w:t>
            </w:r>
          </w:p>
        </w:tc>
      </w:tr>
      <w:tr w:rsidR="001F3DF2" w:rsidRPr="009A33E1" w14:paraId="03A85632" w14:textId="77777777" w:rsidTr="586E19CB">
        <w:trPr>
          <w:trHeight w:val="290"/>
        </w:trPr>
        <w:tc>
          <w:tcPr>
            <w:tcW w:w="3720" w:type="dxa"/>
            <w:noWrap/>
            <w:hideMark/>
          </w:tcPr>
          <w:p w14:paraId="3E15529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DDS2-EBTI</w:t>
            </w:r>
          </w:p>
        </w:tc>
        <w:tc>
          <w:tcPr>
            <w:tcW w:w="6228" w:type="dxa"/>
            <w:noWrap/>
            <w:hideMark/>
          </w:tcPr>
          <w:p w14:paraId="530F0E67"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European Binding Tariff Information</w:t>
            </w:r>
          </w:p>
        </w:tc>
      </w:tr>
      <w:tr w:rsidR="001F3DF2" w:rsidRPr="009A33E1" w14:paraId="7F36BF5A" w14:textId="77777777" w:rsidTr="586E19CB">
        <w:trPr>
          <w:trHeight w:val="290"/>
        </w:trPr>
        <w:tc>
          <w:tcPr>
            <w:tcW w:w="3720" w:type="dxa"/>
            <w:noWrap/>
            <w:hideMark/>
          </w:tcPr>
          <w:p w14:paraId="6BFF684B"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DDS2-ECICS</w:t>
            </w:r>
          </w:p>
        </w:tc>
        <w:tc>
          <w:tcPr>
            <w:tcW w:w="6228" w:type="dxa"/>
            <w:noWrap/>
            <w:hideMark/>
          </w:tcPr>
          <w:p w14:paraId="405104E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European Customs Inventory</w:t>
            </w:r>
          </w:p>
        </w:tc>
      </w:tr>
      <w:tr w:rsidR="001F3DF2" w:rsidRPr="009A33E1" w14:paraId="3D2AE2D1" w14:textId="77777777" w:rsidTr="586E19CB">
        <w:trPr>
          <w:trHeight w:val="290"/>
        </w:trPr>
        <w:tc>
          <w:tcPr>
            <w:tcW w:w="3720" w:type="dxa"/>
            <w:noWrap/>
            <w:hideMark/>
          </w:tcPr>
          <w:p w14:paraId="7257D5EE"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DDS2-EOS</w:t>
            </w:r>
          </w:p>
        </w:tc>
        <w:tc>
          <w:tcPr>
            <w:tcW w:w="6228" w:type="dxa"/>
            <w:noWrap/>
            <w:hideMark/>
          </w:tcPr>
          <w:p w14:paraId="2EB6FD9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Economic Operators</w:t>
            </w:r>
          </w:p>
        </w:tc>
      </w:tr>
      <w:tr w:rsidR="001F3DF2" w:rsidRPr="009A33E1" w14:paraId="48E46151" w14:textId="77777777" w:rsidTr="586E19CB">
        <w:trPr>
          <w:trHeight w:val="290"/>
        </w:trPr>
        <w:tc>
          <w:tcPr>
            <w:tcW w:w="3720" w:type="dxa"/>
            <w:noWrap/>
            <w:hideMark/>
          </w:tcPr>
          <w:p w14:paraId="314C53C7"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DDS2-EXPORT - MRN Follow-up</w:t>
            </w:r>
          </w:p>
        </w:tc>
        <w:tc>
          <w:tcPr>
            <w:tcW w:w="6228" w:type="dxa"/>
            <w:noWrap/>
            <w:hideMark/>
          </w:tcPr>
          <w:p w14:paraId="5836C9B1"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EXPORT - MRN Follow-up</w:t>
            </w:r>
          </w:p>
        </w:tc>
      </w:tr>
      <w:tr w:rsidR="001F3DF2" w:rsidRPr="009A33E1" w14:paraId="161F5B1D" w14:textId="77777777" w:rsidTr="586E19CB">
        <w:trPr>
          <w:trHeight w:val="290"/>
        </w:trPr>
        <w:tc>
          <w:tcPr>
            <w:tcW w:w="3720" w:type="dxa"/>
            <w:noWrap/>
            <w:hideMark/>
          </w:tcPr>
          <w:p w14:paraId="7C764E5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DDS2-QUOTA2</w:t>
            </w:r>
          </w:p>
        </w:tc>
        <w:tc>
          <w:tcPr>
            <w:tcW w:w="6228" w:type="dxa"/>
            <w:noWrap/>
            <w:hideMark/>
          </w:tcPr>
          <w:p w14:paraId="61A871B7"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QUOTA2</w:t>
            </w:r>
          </w:p>
        </w:tc>
      </w:tr>
      <w:tr w:rsidR="001F3DF2" w:rsidRPr="009A33E1" w14:paraId="1978814B" w14:textId="77777777" w:rsidTr="586E19CB">
        <w:trPr>
          <w:trHeight w:val="290"/>
        </w:trPr>
        <w:tc>
          <w:tcPr>
            <w:tcW w:w="3720" w:type="dxa"/>
            <w:noWrap/>
            <w:hideMark/>
          </w:tcPr>
          <w:p w14:paraId="4BF7350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DDS2-Surveillance</w:t>
            </w:r>
          </w:p>
        </w:tc>
        <w:tc>
          <w:tcPr>
            <w:tcW w:w="6228" w:type="dxa"/>
            <w:noWrap/>
            <w:hideMark/>
          </w:tcPr>
          <w:p w14:paraId="65B986E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Surveillance</w:t>
            </w:r>
          </w:p>
        </w:tc>
      </w:tr>
      <w:tr w:rsidR="001F3DF2" w:rsidRPr="009A33E1" w14:paraId="6A9CDB51" w14:textId="77777777" w:rsidTr="586E19CB">
        <w:trPr>
          <w:trHeight w:val="290"/>
        </w:trPr>
        <w:tc>
          <w:tcPr>
            <w:tcW w:w="3720" w:type="dxa"/>
            <w:noWrap/>
            <w:hideMark/>
          </w:tcPr>
          <w:p w14:paraId="3F04D10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DDS2-Suspensions</w:t>
            </w:r>
          </w:p>
        </w:tc>
        <w:tc>
          <w:tcPr>
            <w:tcW w:w="6228" w:type="dxa"/>
            <w:noWrap/>
            <w:hideMark/>
          </w:tcPr>
          <w:p w14:paraId="36D37E3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 Suspensions</w:t>
            </w:r>
          </w:p>
        </w:tc>
      </w:tr>
      <w:tr w:rsidR="001F3DF2" w:rsidRPr="009A33E1" w14:paraId="7A33C528" w14:textId="77777777" w:rsidTr="586E19CB">
        <w:trPr>
          <w:trHeight w:val="290"/>
        </w:trPr>
        <w:tc>
          <w:tcPr>
            <w:tcW w:w="3720" w:type="dxa"/>
            <w:noWrap/>
            <w:hideMark/>
          </w:tcPr>
          <w:p w14:paraId="1E96912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DDS2-TARIC</w:t>
            </w:r>
          </w:p>
        </w:tc>
        <w:tc>
          <w:tcPr>
            <w:tcW w:w="6228" w:type="dxa"/>
            <w:noWrap/>
            <w:hideMark/>
          </w:tcPr>
          <w:p w14:paraId="114AB5F9"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Data Dissemination System 2 -TARIC</w:t>
            </w:r>
          </w:p>
        </w:tc>
      </w:tr>
      <w:tr w:rsidR="001F3DF2" w:rsidRPr="009A33E1" w14:paraId="39EF9CBF" w14:textId="77777777" w:rsidTr="586E19CB">
        <w:trPr>
          <w:trHeight w:val="290"/>
        </w:trPr>
        <w:tc>
          <w:tcPr>
            <w:tcW w:w="3720" w:type="dxa"/>
            <w:noWrap/>
            <w:hideMark/>
          </w:tcPr>
          <w:p w14:paraId="2F1F761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DDS2-TRANSIT</w:t>
            </w:r>
          </w:p>
        </w:tc>
        <w:tc>
          <w:tcPr>
            <w:tcW w:w="6228" w:type="dxa"/>
            <w:noWrap/>
            <w:hideMark/>
          </w:tcPr>
          <w:p w14:paraId="6502DD4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Data Dissemination System-TRANSIT </w:t>
            </w:r>
          </w:p>
        </w:tc>
      </w:tr>
      <w:tr w:rsidR="001F3DF2" w:rsidRPr="009A33E1" w14:paraId="66ED8B6A" w14:textId="77777777" w:rsidTr="586E19CB">
        <w:trPr>
          <w:trHeight w:val="290"/>
        </w:trPr>
        <w:tc>
          <w:tcPr>
            <w:tcW w:w="3720" w:type="dxa"/>
            <w:noWrap/>
            <w:hideMark/>
          </w:tcPr>
          <w:p w14:paraId="385D2ED1"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eAEO STP</w:t>
            </w:r>
          </w:p>
        </w:tc>
        <w:tc>
          <w:tcPr>
            <w:tcW w:w="6228" w:type="dxa"/>
            <w:noWrap/>
            <w:hideMark/>
          </w:tcPr>
          <w:p w14:paraId="69D9E330" w14:textId="1972CA04" w:rsidR="001F3DF2" w:rsidRPr="009A33E1" w:rsidRDefault="29F51BA1" w:rsidP="00B4586B">
            <w:pPr>
              <w:rPr>
                <w:rFonts w:ascii="Times New Roman" w:hAnsi="Times New Roman" w:cs="Times New Roman"/>
                <w:noProof/>
                <w:lang w:val="en-IE"/>
              </w:rPr>
            </w:pPr>
            <w:r w:rsidRPr="586E19CB">
              <w:rPr>
                <w:rFonts w:ascii="Times New Roman" w:hAnsi="Times New Roman" w:cs="Times New Roman"/>
                <w:noProof/>
                <w:lang w:val="en-IE"/>
              </w:rPr>
              <w:t>Electronic Aut</w:t>
            </w:r>
            <w:r w:rsidR="248B3C82" w:rsidRPr="586E19CB">
              <w:rPr>
                <w:rFonts w:ascii="Times New Roman" w:hAnsi="Times New Roman" w:cs="Times New Roman"/>
                <w:noProof/>
                <w:lang w:val="en-IE"/>
              </w:rPr>
              <w:t>h</w:t>
            </w:r>
            <w:r w:rsidRPr="586E19CB">
              <w:rPr>
                <w:rFonts w:ascii="Times New Roman" w:hAnsi="Times New Roman" w:cs="Times New Roman"/>
                <w:noProof/>
                <w:lang w:val="en-IE"/>
              </w:rPr>
              <w:t>orised Economic Operator - Specific Trader Portal</w:t>
            </w:r>
          </w:p>
        </w:tc>
      </w:tr>
      <w:tr w:rsidR="001F3DF2" w:rsidRPr="009A33E1" w14:paraId="2D7B77BA" w14:textId="77777777" w:rsidTr="586E19CB">
        <w:trPr>
          <w:trHeight w:val="290"/>
        </w:trPr>
        <w:tc>
          <w:tcPr>
            <w:tcW w:w="3720" w:type="dxa"/>
            <w:noWrap/>
            <w:hideMark/>
          </w:tcPr>
          <w:p w14:paraId="420A5FB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EBTI3</w:t>
            </w:r>
          </w:p>
        </w:tc>
        <w:tc>
          <w:tcPr>
            <w:tcW w:w="6228" w:type="dxa"/>
            <w:noWrap/>
            <w:hideMark/>
          </w:tcPr>
          <w:p w14:paraId="2305B84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European Binding Tariff Information </w:t>
            </w:r>
          </w:p>
        </w:tc>
      </w:tr>
      <w:tr w:rsidR="001F3DF2" w:rsidRPr="009A33E1" w14:paraId="1DA50406" w14:textId="77777777" w:rsidTr="586E19CB">
        <w:trPr>
          <w:trHeight w:val="290"/>
        </w:trPr>
        <w:tc>
          <w:tcPr>
            <w:tcW w:w="3720" w:type="dxa"/>
            <w:noWrap/>
            <w:hideMark/>
          </w:tcPr>
          <w:p w14:paraId="74ACDEA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EBTI-STP</w:t>
            </w:r>
          </w:p>
        </w:tc>
        <w:tc>
          <w:tcPr>
            <w:tcW w:w="6228" w:type="dxa"/>
            <w:noWrap/>
            <w:hideMark/>
          </w:tcPr>
          <w:p w14:paraId="26E7975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European Binding Tariff Information - Specific Trader Portal</w:t>
            </w:r>
          </w:p>
        </w:tc>
      </w:tr>
      <w:tr w:rsidR="001F3DF2" w:rsidRPr="009A33E1" w14:paraId="297D8B58" w14:textId="77777777" w:rsidTr="586E19CB">
        <w:trPr>
          <w:trHeight w:val="290"/>
        </w:trPr>
        <w:tc>
          <w:tcPr>
            <w:tcW w:w="3720" w:type="dxa"/>
            <w:noWrap/>
            <w:hideMark/>
          </w:tcPr>
          <w:p w14:paraId="5E982ED9"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ECICS2</w:t>
            </w:r>
          </w:p>
        </w:tc>
        <w:tc>
          <w:tcPr>
            <w:tcW w:w="6228" w:type="dxa"/>
            <w:noWrap/>
            <w:hideMark/>
          </w:tcPr>
          <w:p w14:paraId="0F4A1E6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European Customs Inventory of Chemical Substances</w:t>
            </w:r>
          </w:p>
        </w:tc>
      </w:tr>
      <w:tr w:rsidR="001F3DF2" w:rsidRPr="009A33E1" w14:paraId="534DC117" w14:textId="77777777" w:rsidTr="586E19CB">
        <w:trPr>
          <w:trHeight w:val="580"/>
        </w:trPr>
        <w:tc>
          <w:tcPr>
            <w:tcW w:w="3720" w:type="dxa"/>
            <w:noWrap/>
            <w:hideMark/>
          </w:tcPr>
          <w:p w14:paraId="505789B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ECS</w:t>
            </w:r>
          </w:p>
        </w:tc>
        <w:tc>
          <w:tcPr>
            <w:tcW w:w="6228" w:type="dxa"/>
            <w:hideMark/>
          </w:tcPr>
          <w:p w14:paraId="494ABD5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Export Control System</w:t>
            </w:r>
          </w:p>
        </w:tc>
      </w:tr>
      <w:tr w:rsidR="001F3DF2" w:rsidRPr="009A33E1" w14:paraId="775AC384" w14:textId="77777777" w:rsidTr="586E19CB">
        <w:trPr>
          <w:trHeight w:val="290"/>
        </w:trPr>
        <w:tc>
          <w:tcPr>
            <w:tcW w:w="3720" w:type="dxa"/>
            <w:noWrap/>
            <w:hideMark/>
          </w:tcPr>
          <w:p w14:paraId="68F5621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EOS</w:t>
            </w:r>
          </w:p>
        </w:tc>
        <w:tc>
          <w:tcPr>
            <w:tcW w:w="6228" w:type="dxa"/>
            <w:noWrap/>
            <w:hideMark/>
          </w:tcPr>
          <w:p w14:paraId="28C0612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Economic Operator System </w:t>
            </w:r>
          </w:p>
        </w:tc>
      </w:tr>
      <w:tr w:rsidR="001F3DF2" w:rsidRPr="009A33E1" w14:paraId="15DB1C21" w14:textId="77777777" w:rsidTr="586E19CB">
        <w:trPr>
          <w:trHeight w:val="290"/>
        </w:trPr>
        <w:tc>
          <w:tcPr>
            <w:tcW w:w="3720" w:type="dxa"/>
            <w:noWrap/>
            <w:hideMark/>
          </w:tcPr>
          <w:p w14:paraId="700B965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EOS MRA</w:t>
            </w:r>
          </w:p>
        </w:tc>
        <w:tc>
          <w:tcPr>
            <w:tcW w:w="6228" w:type="dxa"/>
            <w:noWrap/>
            <w:hideMark/>
          </w:tcPr>
          <w:p w14:paraId="0792628B"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Economic Operator System - Mutual Recognition Agreement</w:t>
            </w:r>
          </w:p>
        </w:tc>
      </w:tr>
      <w:tr w:rsidR="001F3DF2" w:rsidRPr="009A33E1" w14:paraId="20F9FDA6" w14:textId="77777777" w:rsidTr="586E19CB">
        <w:trPr>
          <w:trHeight w:val="290"/>
        </w:trPr>
        <w:tc>
          <w:tcPr>
            <w:tcW w:w="3720" w:type="dxa"/>
            <w:noWrap/>
            <w:hideMark/>
          </w:tcPr>
          <w:p w14:paraId="11D2E93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EU CSW-CERTEX</w:t>
            </w:r>
          </w:p>
        </w:tc>
        <w:tc>
          <w:tcPr>
            <w:tcW w:w="6228" w:type="dxa"/>
            <w:noWrap/>
            <w:hideMark/>
          </w:tcPr>
          <w:p w14:paraId="6349CAE7" w14:textId="63BCB1A0" w:rsidR="001F3DF2" w:rsidRPr="009A33E1" w:rsidRDefault="001F3DF2" w:rsidP="0020431D">
            <w:pPr>
              <w:rPr>
                <w:rFonts w:ascii="Times New Roman" w:hAnsi="Times New Roman" w:cs="Times New Roman"/>
                <w:noProof/>
                <w:lang w:val="en-IE"/>
              </w:rPr>
            </w:pPr>
            <w:r w:rsidRPr="009A33E1">
              <w:rPr>
                <w:rFonts w:ascii="Times New Roman" w:hAnsi="Times New Roman" w:cs="Times New Roman"/>
                <w:noProof/>
                <w:lang w:val="en-IE"/>
              </w:rPr>
              <w:t xml:space="preserve">EU Single Window - </w:t>
            </w:r>
            <w:r w:rsidR="0020431D" w:rsidRPr="009A33E1">
              <w:rPr>
                <w:rFonts w:ascii="Times New Roman" w:hAnsi="Times New Roman" w:cs="Times New Roman"/>
                <w:noProof/>
                <w:lang w:val="en-IE"/>
              </w:rPr>
              <w:t>C</w:t>
            </w:r>
            <w:r w:rsidR="0020431D">
              <w:rPr>
                <w:rFonts w:ascii="Times New Roman" w:hAnsi="Times New Roman" w:cs="Times New Roman"/>
                <w:noProof/>
                <w:lang w:val="en-IE"/>
              </w:rPr>
              <w:t>ert</w:t>
            </w:r>
            <w:r w:rsidR="0020431D" w:rsidRPr="009A33E1">
              <w:rPr>
                <w:rFonts w:ascii="Times New Roman" w:hAnsi="Times New Roman" w:cs="Times New Roman"/>
                <w:noProof/>
                <w:lang w:val="en-IE"/>
              </w:rPr>
              <w:t xml:space="preserve">ificates </w:t>
            </w:r>
            <w:r w:rsidRPr="009A33E1">
              <w:rPr>
                <w:rFonts w:ascii="Times New Roman" w:hAnsi="Times New Roman" w:cs="Times New Roman"/>
                <w:noProof/>
                <w:lang w:val="en-IE"/>
              </w:rPr>
              <w:t xml:space="preserve">Exchange </w:t>
            </w:r>
          </w:p>
        </w:tc>
      </w:tr>
      <w:tr w:rsidR="001F3DF2" w:rsidRPr="009A33E1" w14:paraId="6BDE1D83" w14:textId="77777777" w:rsidTr="586E19CB">
        <w:trPr>
          <w:trHeight w:val="290"/>
        </w:trPr>
        <w:tc>
          <w:tcPr>
            <w:tcW w:w="3720" w:type="dxa"/>
            <w:noWrap/>
            <w:hideMark/>
          </w:tcPr>
          <w:p w14:paraId="31849B3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EU SW-CVED</w:t>
            </w:r>
          </w:p>
        </w:tc>
        <w:tc>
          <w:tcPr>
            <w:tcW w:w="6228" w:type="dxa"/>
            <w:noWrap/>
            <w:hideMark/>
          </w:tcPr>
          <w:p w14:paraId="4742E1D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EU Single Window - Common Veterinary Entry Document  </w:t>
            </w:r>
          </w:p>
        </w:tc>
      </w:tr>
      <w:tr w:rsidR="001F3DF2" w:rsidRPr="009A33E1" w14:paraId="6ACA35EA" w14:textId="77777777" w:rsidTr="586E19CB">
        <w:trPr>
          <w:trHeight w:val="290"/>
        </w:trPr>
        <w:tc>
          <w:tcPr>
            <w:tcW w:w="3720" w:type="dxa"/>
            <w:noWrap/>
            <w:hideMark/>
          </w:tcPr>
          <w:p w14:paraId="431F1DD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EUCTP</w:t>
            </w:r>
          </w:p>
        </w:tc>
        <w:tc>
          <w:tcPr>
            <w:tcW w:w="6228" w:type="dxa"/>
            <w:noWrap/>
            <w:hideMark/>
          </w:tcPr>
          <w:p w14:paraId="1BC835F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EU Customs Trader Portal </w:t>
            </w:r>
          </w:p>
        </w:tc>
      </w:tr>
      <w:tr w:rsidR="001F3DF2" w:rsidRPr="009A33E1" w14:paraId="25C6FEBC" w14:textId="77777777" w:rsidTr="586E19CB">
        <w:trPr>
          <w:trHeight w:val="290"/>
        </w:trPr>
        <w:tc>
          <w:tcPr>
            <w:tcW w:w="3720" w:type="dxa"/>
            <w:noWrap/>
            <w:hideMark/>
          </w:tcPr>
          <w:p w14:paraId="6A834A4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HTTP Bridge</w:t>
            </w:r>
          </w:p>
        </w:tc>
        <w:tc>
          <w:tcPr>
            <w:tcW w:w="6228" w:type="dxa"/>
            <w:noWrap/>
            <w:hideMark/>
          </w:tcPr>
          <w:p w14:paraId="49C5011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Hyper Text Transfer Protocol Bridge</w:t>
            </w:r>
          </w:p>
        </w:tc>
      </w:tr>
      <w:tr w:rsidR="001F3DF2" w:rsidRPr="009A33E1" w14:paraId="0C4BDC49" w14:textId="77777777" w:rsidTr="586E19CB">
        <w:trPr>
          <w:trHeight w:val="290"/>
        </w:trPr>
        <w:tc>
          <w:tcPr>
            <w:tcW w:w="3720" w:type="dxa"/>
            <w:noWrap/>
            <w:hideMark/>
          </w:tcPr>
          <w:p w14:paraId="5E273B0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ICS</w:t>
            </w:r>
          </w:p>
        </w:tc>
        <w:tc>
          <w:tcPr>
            <w:tcW w:w="6228" w:type="dxa"/>
            <w:noWrap/>
            <w:hideMark/>
          </w:tcPr>
          <w:p w14:paraId="221149E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Import Control System</w:t>
            </w:r>
          </w:p>
        </w:tc>
      </w:tr>
      <w:tr w:rsidR="001F3DF2" w:rsidRPr="009A33E1" w14:paraId="0B5D8EBE" w14:textId="77777777" w:rsidTr="586E19CB">
        <w:trPr>
          <w:trHeight w:val="290"/>
        </w:trPr>
        <w:tc>
          <w:tcPr>
            <w:tcW w:w="3720" w:type="dxa"/>
            <w:noWrap/>
            <w:hideMark/>
          </w:tcPr>
          <w:p w14:paraId="554EA20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ICS2 CR</w:t>
            </w:r>
          </w:p>
        </w:tc>
        <w:tc>
          <w:tcPr>
            <w:tcW w:w="6228" w:type="dxa"/>
            <w:noWrap/>
            <w:hideMark/>
          </w:tcPr>
          <w:p w14:paraId="44ABBC24" w14:textId="2B1830F4"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Import Control System Central Repository </w:t>
            </w:r>
          </w:p>
        </w:tc>
      </w:tr>
      <w:tr w:rsidR="001F3DF2" w:rsidRPr="009A33E1" w14:paraId="4F6D8488" w14:textId="77777777" w:rsidTr="586E19CB">
        <w:trPr>
          <w:trHeight w:val="580"/>
        </w:trPr>
        <w:tc>
          <w:tcPr>
            <w:tcW w:w="3720" w:type="dxa"/>
            <w:noWrap/>
            <w:hideMark/>
          </w:tcPr>
          <w:p w14:paraId="1F39C47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ICS2 STI and MON</w:t>
            </w:r>
          </w:p>
        </w:tc>
        <w:tc>
          <w:tcPr>
            <w:tcW w:w="6228" w:type="dxa"/>
            <w:hideMark/>
          </w:tcPr>
          <w:p w14:paraId="063236D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Import Control System - Shared Trader Interface and Monitoring Tool </w:t>
            </w:r>
          </w:p>
        </w:tc>
      </w:tr>
      <w:tr w:rsidR="001F3DF2" w:rsidRPr="009A33E1" w14:paraId="3E0DD113" w14:textId="77777777" w:rsidTr="586E19CB">
        <w:trPr>
          <w:trHeight w:val="580"/>
        </w:trPr>
        <w:tc>
          <w:tcPr>
            <w:tcW w:w="3720" w:type="dxa"/>
            <w:noWrap/>
            <w:hideMark/>
          </w:tcPr>
          <w:p w14:paraId="37822D5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INF SP  </w:t>
            </w:r>
          </w:p>
        </w:tc>
        <w:tc>
          <w:tcPr>
            <w:tcW w:w="6228" w:type="dxa"/>
            <w:hideMark/>
          </w:tcPr>
          <w:p w14:paraId="181378CB" w14:textId="58F72D7A"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UCC </w:t>
            </w:r>
            <w:r w:rsidR="000A005B" w:rsidRPr="009A33E1">
              <w:rPr>
                <w:rFonts w:ascii="Times New Roman" w:hAnsi="Times New Roman" w:cs="Times New Roman"/>
                <w:noProof/>
                <w:lang w:val="en-IE"/>
              </w:rPr>
              <w:t>standardised</w:t>
            </w:r>
            <w:r w:rsidRPr="009A33E1">
              <w:rPr>
                <w:rFonts w:ascii="Times New Roman" w:hAnsi="Times New Roman" w:cs="Times New Roman"/>
                <w:noProof/>
                <w:lang w:val="en-IE"/>
              </w:rPr>
              <w:t xml:space="preserve"> exchange of information system for special procedures</w:t>
            </w:r>
          </w:p>
        </w:tc>
      </w:tr>
      <w:tr w:rsidR="001F3DF2" w:rsidRPr="009A33E1" w14:paraId="65696DAA" w14:textId="77777777" w:rsidTr="586E19CB">
        <w:trPr>
          <w:trHeight w:val="580"/>
        </w:trPr>
        <w:tc>
          <w:tcPr>
            <w:tcW w:w="3720" w:type="dxa"/>
            <w:noWrap/>
            <w:hideMark/>
          </w:tcPr>
          <w:p w14:paraId="331A8AC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INF SP STP</w:t>
            </w:r>
          </w:p>
        </w:tc>
        <w:tc>
          <w:tcPr>
            <w:tcW w:w="6228" w:type="dxa"/>
            <w:hideMark/>
          </w:tcPr>
          <w:p w14:paraId="1C4A31E9" w14:textId="7E6BDD8B" w:rsidR="001F3DF2" w:rsidRPr="009A33E1" w:rsidRDefault="001F3DF2" w:rsidP="000A005B">
            <w:pPr>
              <w:rPr>
                <w:rFonts w:ascii="Times New Roman" w:hAnsi="Times New Roman" w:cs="Times New Roman"/>
                <w:noProof/>
                <w:lang w:val="en-IE"/>
              </w:rPr>
            </w:pPr>
            <w:r w:rsidRPr="009A33E1">
              <w:rPr>
                <w:rFonts w:ascii="Times New Roman" w:hAnsi="Times New Roman" w:cs="Times New Roman"/>
                <w:noProof/>
                <w:lang w:val="en-IE"/>
              </w:rPr>
              <w:t xml:space="preserve">UCC </w:t>
            </w:r>
            <w:r w:rsidR="000A005B" w:rsidRPr="009A33E1">
              <w:rPr>
                <w:rFonts w:ascii="Times New Roman" w:hAnsi="Times New Roman" w:cs="Times New Roman"/>
                <w:noProof/>
                <w:lang w:val="en-IE"/>
              </w:rPr>
              <w:t>standardised</w:t>
            </w:r>
            <w:r w:rsidRPr="009A33E1">
              <w:rPr>
                <w:rFonts w:ascii="Times New Roman" w:hAnsi="Times New Roman" w:cs="Times New Roman"/>
                <w:noProof/>
                <w:lang w:val="en-IE"/>
              </w:rPr>
              <w:t xml:space="preserve"> exchange of information system for </w:t>
            </w:r>
            <w:r w:rsidR="000A005B">
              <w:rPr>
                <w:rFonts w:ascii="Times New Roman" w:hAnsi="Times New Roman" w:cs="Times New Roman"/>
                <w:noProof/>
                <w:lang w:val="en-IE"/>
              </w:rPr>
              <w:t>S</w:t>
            </w:r>
            <w:r w:rsidRPr="009A33E1">
              <w:rPr>
                <w:rFonts w:ascii="Times New Roman" w:hAnsi="Times New Roman" w:cs="Times New Roman"/>
                <w:noProof/>
                <w:lang w:val="en-IE"/>
              </w:rPr>
              <w:t xml:space="preserve">pecial Procedures - Specific Trader Portal </w:t>
            </w:r>
          </w:p>
        </w:tc>
      </w:tr>
      <w:tr w:rsidR="001F3DF2" w:rsidRPr="009A33E1" w14:paraId="5B9C3219" w14:textId="77777777" w:rsidTr="586E19CB">
        <w:trPr>
          <w:trHeight w:val="347"/>
        </w:trPr>
        <w:tc>
          <w:tcPr>
            <w:tcW w:w="3720" w:type="dxa"/>
            <w:noWrap/>
            <w:hideMark/>
          </w:tcPr>
          <w:p w14:paraId="18A1118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ITSM Portal</w:t>
            </w:r>
          </w:p>
        </w:tc>
        <w:tc>
          <w:tcPr>
            <w:tcW w:w="6228" w:type="dxa"/>
            <w:hideMark/>
          </w:tcPr>
          <w:p w14:paraId="762A9B7E" w14:textId="3884BA5D"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IT Service Management Portal </w:t>
            </w:r>
          </w:p>
        </w:tc>
      </w:tr>
      <w:tr w:rsidR="001F3DF2" w:rsidRPr="009A33E1" w14:paraId="4A91074E" w14:textId="77777777" w:rsidTr="586E19CB">
        <w:trPr>
          <w:trHeight w:val="290"/>
        </w:trPr>
        <w:tc>
          <w:tcPr>
            <w:tcW w:w="3720" w:type="dxa"/>
            <w:noWrap/>
            <w:hideMark/>
          </w:tcPr>
          <w:p w14:paraId="123AD6B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NCTS</w:t>
            </w:r>
          </w:p>
        </w:tc>
        <w:tc>
          <w:tcPr>
            <w:tcW w:w="6228" w:type="dxa"/>
            <w:noWrap/>
            <w:hideMark/>
          </w:tcPr>
          <w:p w14:paraId="764B874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New Computerised Transit System</w:t>
            </w:r>
          </w:p>
        </w:tc>
      </w:tr>
      <w:tr w:rsidR="001F3DF2" w:rsidRPr="009A33E1" w14:paraId="650B22AE" w14:textId="77777777" w:rsidTr="586E19CB">
        <w:trPr>
          <w:trHeight w:val="290"/>
        </w:trPr>
        <w:tc>
          <w:tcPr>
            <w:tcW w:w="3720" w:type="dxa"/>
            <w:noWrap/>
            <w:hideMark/>
          </w:tcPr>
          <w:p w14:paraId="38D21FD1"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NCTS P5</w:t>
            </w:r>
          </w:p>
        </w:tc>
        <w:tc>
          <w:tcPr>
            <w:tcW w:w="6228" w:type="dxa"/>
            <w:noWrap/>
            <w:hideMark/>
          </w:tcPr>
          <w:p w14:paraId="701B5EA7" w14:textId="7667FE12"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New Computerised Transit System P</w:t>
            </w:r>
            <w:r w:rsidR="000A005B">
              <w:rPr>
                <w:rFonts w:ascii="Times New Roman" w:hAnsi="Times New Roman" w:cs="Times New Roman"/>
                <w:noProof/>
                <w:lang w:val="en-IE"/>
              </w:rPr>
              <w:t xml:space="preserve">hase </w:t>
            </w:r>
            <w:r w:rsidRPr="009A33E1">
              <w:rPr>
                <w:rFonts w:ascii="Times New Roman" w:hAnsi="Times New Roman" w:cs="Times New Roman"/>
                <w:noProof/>
                <w:lang w:val="en-IE"/>
              </w:rPr>
              <w:t>5</w:t>
            </w:r>
          </w:p>
        </w:tc>
      </w:tr>
      <w:tr w:rsidR="001F3DF2" w:rsidRPr="009A33E1" w14:paraId="27FC226C" w14:textId="77777777" w:rsidTr="586E19CB">
        <w:trPr>
          <w:trHeight w:val="290"/>
        </w:trPr>
        <w:tc>
          <w:tcPr>
            <w:tcW w:w="3720" w:type="dxa"/>
            <w:noWrap/>
            <w:hideMark/>
          </w:tcPr>
          <w:p w14:paraId="773E4A5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PICS</w:t>
            </w:r>
          </w:p>
        </w:tc>
        <w:tc>
          <w:tcPr>
            <w:tcW w:w="6228" w:type="dxa"/>
            <w:noWrap/>
            <w:hideMark/>
          </w:tcPr>
          <w:p w14:paraId="2BB709B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Programme Information and Collaboration Space</w:t>
            </w:r>
          </w:p>
        </w:tc>
      </w:tr>
      <w:tr w:rsidR="001F3DF2" w:rsidRPr="009A33E1" w14:paraId="0E336855" w14:textId="77777777" w:rsidTr="586E19CB">
        <w:trPr>
          <w:trHeight w:val="290"/>
        </w:trPr>
        <w:tc>
          <w:tcPr>
            <w:tcW w:w="3720" w:type="dxa"/>
            <w:noWrap/>
            <w:hideMark/>
          </w:tcPr>
          <w:p w14:paraId="0EC14F8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QUOTA2</w:t>
            </w:r>
          </w:p>
        </w:tc>
        <w:tc>
          <w:tcPr>
            <w:tcW w:w="6228" w:type="dxa"/>
            <w:noWrap/>
            <w:hideMark/>
          </w:tcPr>
          <w:p w14:paraId="29146354"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System for Managing Tariff Quotas 2</w:t>
            </w:r>
          </w:p>
        </w:tc>
      </w:tr>
      <w:tr w:rsidR="001F3DF2" w:rsidRPr="009A33E1" w14:paraId="64CE6B03" w14:textId="77777777" w:rsidTr="586E19CB">
        <w:trPr>
          <w:trHeight w:val="381"/>
        </w:trPr>
        <w:tc>
          <w:tcPr>
            <w:tcW w:w="3720" w:type="dxa"/>
            <w:noWrap/>
            <w:hideMark/>
          </w:tcPr>
          <w:p w14:paraId="65363E0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REX</w:t>
            </w:r>
          </w:p>
        </w:tc>
        <w:tc>
          <w:tcPr>
            <w:tcW w:w="6228" w:type="dxa"/>
            <w:hideMark/>
          </w:tcPr>
          <w:p w14:paraId="6CF742E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Registered Exporters </w:t>
            </w:r>
          </w:p>
        </w:tc>
      </w:tr>
      <w:tr w:rsidR="001F3DF2" w:rsidRPr="009A33E1" w14:paraId="376D3C08" w14:textId="77777777" w:rsidTr="586E19CB">
        <w:trPr>
          <w:trHeight w:val="290"/>
        </w:trPr>
        <w:tc>
          <w:tcPr>
            <w:tcW w:w="3720" w:type="dxa"/>
            <w:noWrap/>
            <w:hideMark/>
          </w:tcPr>
          <w:p w14:paraId="5DEC3CDC"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REX-STP</w:t>
            </w:r>
          </w:p>
        </w:tc>
        <w:tc>
          <w:tcPr>
            <w:tcW w:w="6228" w:type="dxa"/>
            <w:noWrap/>
            <w:hideMark/>
          </w:tcPr>
          <w:p w14:paraId="4AE7BDE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Registered Exporters - Specific Trader Portal</w:t>
            </w:r>
          </w:p>
        </w:tc>
      </w:tr>
      <w:tr w:rsidR="001F3DF2" w:rsidRPr="009A33E1" w14:paraId="754E7945" w14:textId="77777777" w:rsidTr="586E19CB">
        <w:trPr>
          <w:trHeight w:val="290"/>
        </w:trPr>
        <w:tc>
          <w:tcPr>
            <w:tcW w:w="3720" w:type="dxa"/>
            <w:noWrap/>
            <w:hideMark/>
          </w:tcPr>
          <w:p w14:paraId="74A4D51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SMS</w:t>
            </w:r>
          </w:p>
        </w:tc>
        <w:tc>
          <w:tcPr>
            <w:tcW w:w="6228" w:type="dxa"/>
            <w:noWrap/>
            <w:hideMark/>
          </w:tcPr>
          <w:p w14:paraId="728F0F6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Specimen Management System </w:t>
            </w:r>
          </w:p>
        </w:tc>
      </w:tr>
      <w:tr w:rsidR="001F3DF2" w:rsidRPr="009A33E1" w14:paraId="4FF9AD60" w14:textId="77777777" w:rsidTr="586E19CB">
        <w:trPr>
          <w:trHeight w:val="290"/>
        </w:trPr>
        <w:tc>
          <w:tcPr>
            <w:tcW w:w="3720" w:type="dxa"/>
            <w:noWrap/>
            <w:hideMark/>
          </w:tcPr>
          <w:p w14:paraId="5E8F3557"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SPEED2</w:t>
            </w:r>
          </w:p>
        </w:tc>
        <w:tc>
          <w:tcPr>
            <w:tcW w:w="6228" w:type="dxa"/>
            <w:noWrap/>
            <w:hideMark/>
          </w:tcPr>
          <w:p w14:paraId="36FE2C63"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Single Portal for Entry or Exit of Data 2</w:t>
            </w:r>
          </w:p>
        </w:tc>
      </w:tr>
      <w:tr w:rsidR="001F3DF2" w:rsidRPr="009A33E1" w14:paraId="7C531AE1" w14:textId="77777777" w:rsidTr="586E19CB">
        <w:trPr>
          <w:trHeight w:val="290"/>
        </w:trPr>
        <w:tc>
          <w:tcPr>
            <w:tcW w:w="3720" w:type="dxa"/>
            <w:noWrap/>
            <w:hideMark/>
          </w:tcPr>
          <w:p w14:paraId="387D2CCB"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SSTA</w:t>
            </w:r>
          </w:p>
        </w:tc>
        <w:tc>
          <w:tcPr>
            <w:tcW w:w="6228" w:type="dxa"/>
            <w:noWrap/>
            <w:hideMark/>
          </w:tcPr>
          <w:p w14:paraId="352C375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Standard SPEED Test Application</w:t>
            </w:r>
          </w:p>
        </w:tc>
      </w:tr>
      <w:tr w:rsidR="001F3DF2" w:rsidRPr="009A33E1" w14:paraId="5985F29B" w14:textId="77777777" w:rsidTr="586E19CB">
        <w:trPr>
          <w:trHeight w:val="290"/>
        </w:trPr>
        <w:tc>
          <w:tcPr>
            <w:tcW w:w="3720" w:type="dxa"/>
            <w:noWrap/>
            <w:hideMark/>
          </w:tcPr>
          <w:p w14:paraId="1B3B1EA1"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Surveillance3</w:t>
            </w:r>
          </w:p>
        </w:tc>
        <w:tc>
          <w:tcPr>
            <w:tcW w:w="6228" w:type="dxa"/>
            <w:noWrap/>
            <w:hideMark/>
          </w:tcPr>
          <w:p w14:paraId="4612C7C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Surveillance 3</w:t>
            </w:r>
          </w:p>
        </w:tc>
      </w:tr>
      <w:tr w:rsidR="001F3DF2" w:rsidRPr="009A33E1" w14:paraId="046B4E40" w14:textId="77777777" w:rsidTr="586E19CB">
        <w:trPr>
          <w:trHeight w:val="290"/>
        </w:trPr>
        <w:tc>
          <w:tcPr>
            <w:tcW w:w="3720" w:type="dxa"/>
            <w:noWrap/>
            <w:hideMark/>
          </w:tcPr>
          <w:p w14:paraId="02B906B2"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Surv-Recapp</w:t>
            </w:r>
          </w:p>
        </w:tc>
        <w:tc>
          <w:tcPr>
            <w:tcW w:w="6228" w:type="dxa"/>
            <w:noWrap/>
            <w:hideMark/>
          </w:tcPr>
          <w:p w14:paraId="0F427ABD"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Surveillance Reception Application</w:t>
            </w:r>
          </w:p>
        </w:tc>
      </w:tr>
      <w:tr w:rsidR="001F3DF2" w:rsidRPr="009A33E1" w14:paraId="1D11EDF4" w14:textId="77777777" w:rsidTr="586E19CB">
        <w:trPr>
          <w:trHeight w:val="290"/>
        </w:trPr>
        <w:tc>
          <w:tcPr>
            <w:tcW w:w="3720" w:type="dxa"/>
            <w:noWrap/>
            <w:hideMark/>
          </w:tcPr>
          <w:p w14:paraId="23A5B076"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Suspensions</w:t>
            </w:r>
          </w:p>
        </w:tc>
        <w:tc>
          <w:tcPr>
            <w:tcW w:w="6228" w:type="dxa"/>
            <w:noWrap/>
            <w:hideMark/>
          </w:tcPr>
          <w:p w14:paraId="266F7616" w14:textId="098BBB6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Su</w:t>
            </w:r>
            <w:r w:rsidR="000A005B">
              <w:rPr>
                <w:rFonts w:ascii="Times New Roman" w:hAnsi="Times New Roman" w:cs="Times New Roman"/>
                <w:noProof/>
                <w:lang w:val="en-IE"/>
              </w:rPr>
              <w:t>s</w:t>
            </w:r>
            <w:r w:rsidRPr="009A33E1">
              <w:rPr>
                <w:rFonts w:ascii="Times New Roman" w:hAnsi="Times New Roman" w:cs="Times New Roman"/>
                <w:noProof/>
                <w:lang w:val="en-IE"/>
              </w:rPr>
              <w:t xml:space="preserve">pensions </w:t>
            </w:r>
          </w:p>
        </w:tc>
      </w:tr>
      <w:tr w:rsidR="001F3DF2" w:rsidRPr="009A33E1" w14:paraId="5C093B8D" w14:textId="77777777" w:rsidTr="586E19CB">
        <w:trPr>
          <w:trHeight w:val="290"/>
        </w:trPr>
        <w:tc>
          <w:tcPr>
            <w:tcW w:w="3720" w:type="dxa"/>
            <w:noWrap/>
            <w:hideMark/>
          </w:tcPr>
          <w:p w14:paraId="53E279D0"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Synergia (SMT)</w:t>
            </w:r>
          </w:p>
        </w:tc>
        <w:tc>
          <w:tcPr>
            <w:tcW w:w="6228" w:type="dxa"/>
            <w:noWrap/>
            <w:hideMark/>
          </w:tcPr>
          <w:p w14:paraId="3268080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Service Management Tool</w:t>
            </w:r>
          </w:p>
        </w:tc>
      </w:tr>
      <w:tr w:rsidR="001F3DF2" w:rsidRPr="009A33E1" w14:paraId="7BB04AF1" w14:textId="77777777" w:rsidTr="586E19CB">
        <w:trPr>
          <w:trHeight w:val="290"/>
        </w:trPr>
        <w:tc>
          <w:tcPr>
            <w:tcW w:w="3720" w:type="dxa"/>
            <w:noWrap/>
            <w:hideMark/>
          </w:tcPr>
          <w:p w14:paraId="693E7AD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TARIC3</w:t>
            </w:r>
          </w:p>
        </w:tc>
        <w:tc>
          <w:tcPr>
            <w:tcW w:w="6228" w:type="dxa"/>
            <w:noWrap/>
            <w:hideMark/>
          </w:tcPr>
          <w:p w14:paraId="1CFB9C8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Integrated Customs Tariff of the Community 3</w:t>
            </w:r>
          </w:p>
        </w:tc>
      </w:tr>
      <w:tr w:rsidR="001F3DF2" w:rsidRPr="009A33E1" w14:paraId="226270DD" w14:textId="77777777" w:rsidTr="586E19CB">
        <w:trPr>
          <w:trHeight w:val="290"/>
        </w:trPr>
        <w:tc>
          <w:tcPr>
            <w:tcW w:w="3720" w:type="dxa"/>
            <w:noWrap/>
            <w:hideMark/>
          </w:tcPr>
          <w:p w14:paraId="3537FB5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TTA</w:t>
            </w:r>
          </w:p>
        </w:tc>
        <w:tc>
          <w:tcPr>
            <w:tcW w:w="6228" w:type="dxa"/>
            <w:noWrap/>
            <w:hideMark/>
          </w:tcPr>
          <w:p w14:paraId="3FB1C86A"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Transit Test Application</w:t>
            </w:r>
          </w:p>
        </w:tc>
      </w:tr>
      <w:tr w:rsidR="001F3DF2" w:rsidRPr="009A33E1" w14:paraId="68A20B33" w14:textId="77777777" w:rsidTr="00FC0EFF">
        <w:trPr>
          <w:trHeight w:val="233"/>
        </w:trPr>
        <w:tc>
          <w:tcPr>
            <w:tcW w:w="3720" w:type="dxa"/>
            <w:noWrap/>
            <w:hideMark/>
          </w:tcPr>
          <w:p w14:paraId="35908668"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UM</w:t>
            </w:r>
          </w:p>
        </w:tc>
        <w:tc>
          <w:tcPr>
            <w:tcW w:w="6228" w:type="dxa"/>
            <w:noWrap/>
            <w:hideMark/>
          </w:tcPr>
          <w:p w14:paraId="04811F7F"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User Management </w:t>
            </w:r>
          </w:p>
        </w:tc>
      </w:tr>
      <w:tr w:rsidR="001F3DF2" w:rsidRPr="009A33E1" w14:paraId="51BD7EBB" w14:textId="77777777" w:rsidTr="586E19CB">
        <w:trPr>
          <w:trHeight w:val="290"/>
        </w:trPr>
        <w:tc>
          <w:tcPr>
            <w:tcW w:w="3720" w:type="dxa"/>
            <w:noWrap/>
            <w:hideMark/>
          </w:tcPr>
          <w:p w14:paraId="2B9488FB"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UUM&amp;DS</w:t>
            </w:r>
          </w:p>
        </w:tc>
        <w:tc>
          <w:tcPr>
            <w:tcW w:w="6228" w:type="dxa"/>
            <w:noWrap/>
            <w:hideMark/>
          </w:tcPr>
          <w:p w14:paraId="7C57DCC5" w14:textId="77777777" w:rsidR="001F3DF2" w:rsidRPr="009A33E1" w:rsidRDefault="001F3DF2" w:rsidP="00B4586B">
            <w:pPr>
              <w:rPr>
                <w:rFonts w:ascii="Times New Roman" w:hAnsi="Times New Roman" w:cs="Times New Roman"/>
                <w:noProof/>
                <w:lang w:val="en-IE"/>
              </w:rPr>
            </w:pPr>
            <w:r w:rsidRPr="009A33E1">
              <w:rPr>
                <w:rFonts w:ascii="Times New Roman" w:hAnsi="Times New Roman" w:cs="Times New Roman"/>
                <w:noProof/>
                <w:lang w:val="en-IE"/>
              </w:rPr>
              <w:t xml:space="preserve">Uniform User Management &amp; Digital Signature </w:t>
            </w:r>
          </w:p>
        </w:tc>
      </w:tr>
    </w:tbl>
    <w:p w14:paraId="6DB3ADDD" w14:textId="77777777" w:rsidR="001F3DF2" w:rsidRPr="009A33E1" w:rsidRDefault="001F3DF2" w:rsidP="001F3DF2">
      <w:pPr>
        <w:rPr>
          <w:rFonts w:ascii="Times New Roman" w:hAnsi="Times New Roman" w:cs="Times New Roman"/>
          <w:noProof/>
          <w:lang w:val="en-IE"/>
        </w:rPr>
      </w:pPr>
    </w:p>
    <w:p w14:paraId="179AEE73" w14:textId="77777777" w:rsidR="006264C1" w:rsidRPr="009A33E1" w:rsidRDefault="006264C1" w:rsidP="001F3DF2">
      <w:pPr>
        <w:pStyle w:val="ListParagraph"/>
        <w:jc w:val="both"/>
        <w:rPr>
          <w:rFonts w:ascii="Times New Roman" w:hAnsi="Times New Roman" w:cs="Times New Roman"/>
          <w:noProof/>
          <w:lang w:val="en-IE"/>
        </w:rPr>
      </w:pPr>
    </w:p>
    <w:sectPr w:rsidR="006264C1" w:rsidRPr="009A33E1" w:rsidSect="00882987">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567"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9521" w14:textId="77777777" w:rsidR="00F8296C" w:rsidRDefault="00F8296C" w:rsidP="005A7A65">
      <w:pPr>
        <w:spacing w:after="0" w:line="240" w:lineRule="auto"/>
      </w:pPr>
      <w:r>
        <w:separator/>
      </w:r>
    </w:p>
  </w:endnote>
  <w:endnote w:type="continuationSeparator" w:id="0">
    <w:p w14:paraId="01EA9708" w14:textId="77777777" w:rsidR="00F8296C" w:rsidRDefault="00F8296C" w:rsidP="005A7A65">
      <w:pPr>
        <w:spacing w:after="0" w:line="240" w:lineRule="auto"/>
      </w:pPr>
      <w:r>
        <w:continuationSeparator/>
      </w:r>
    </w:p>
  </w:endnote>
  <w:endnote w:type="continuationNotice" w:id="1">
    <w:p w14:paraId="5BF772C4" w14:textId="77777777" w:rsidR="00F8296C" w:rsidRDefault="00F82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3EDE" w14:textId="77777777" w:rsidR="00595D87" w:rsidRPr="00595D87" w:rsidRDefault="00595D87" w:rsidP="00595D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E2D5" w14:textId="77777777" w:rsidR="00F8296C" w:rsidRDefault="00F829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87189"/>
      <w:docPartObj>
        <w:docPartGallery w:val="Page Numbers (Bottom of Page)"/>
        <w:docPartUnique/>
      </w:docPartObj>
    </w:sdtPr>
    <w:sdtEndPr>
      <w:rPr>
        <w:noProof/>
      </w:rPr>
    </w:sdtEndPr>
    <w:sdtContent>
      <w:p w14:paraId="09711853" w14:textId="7513E5B8" w:rsidR="00F8296C" w:rsidRDefault="00F8296C">
        <w:pPr>
          <w:pStyle w:val="Footer"/>
          <w:jc w:val="right"/>
        </w:pPr>
        <w:r>
          <w:fldChar w:fldCharType="begin"/>
        </w:r>
        <w:r>
          <w:instrText xml:space="preserve"> PAGE   \* MERGEFORMAT </w:instrText>
        </w:r>
        <w:r>
          <w:fldChar w:fldCharType="separate"/>
        </w:r>
        <w:r w:rsidR="00595D87">
          <w:rPr>
            <w:noProof/>
          </w:rPr>
          <w:t>24</w:t>
        </w:r>
        <w:r>
          <w:rPr>
            <w:noProof/>
          </w:rPr>
          <w:fldChar w:fldCharType="end"/>
        </w:r>
      </w:p>
    </w:sdtContent>
  </w:sdt>
  <w:p w14:paraId="52BECBBE" w14:textId="77777777" w:rsidR="00F8296C" w:rsidRDefault="00F829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C671" w14:textId="77777777" w:rsidR="00F8296C" w:rsidRDefault="00F8296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B2E2" w14:textId="77777777" w:rsidR="00F8296C" w:rsidRDefault="00F829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428765"/>
      <w:docPartObj>
        <w:docPartGallery w:val="Page Numbers (Bottom of Page)"/>
        <w:docPartUnique/>
      </w:docPartObj>
    </w:sdtPr>
    <w:sdtEndPr>
      <w:rPr>
        <w:noProof/>
      </w:rPr>
    </w:sdtEndPr>
    <w:sdtContent>
      <w:p w14:paraId="59FB0DDC" w14:textId="0D6AC031" w:rsidR="00F8296C" w:rsidRDefault="00F8296C">
        <w:pPr>
          <w:pStyle w:val="Footer"/>
          <w:jc w:val="right"/>
        </w:pPr>
        <w:r>
          <w:fldChar w:fldCharType="begin"/>
        </w:r>
        <w:r>
          <w:instrText xml:space="preserve"> PAGE   \* MERGEFORMAT </w:instrText>
        </w:r>
        <w:r>
          <w:fldChar w:fldCharType="separate"/>
        </w:r>
        <w:r w:rsidR="00595D87">
          <w:rPr>
            <w:noProof/>
          </w:rPr>
          <w:t>26</w:t>
        </w:r>
        <w:r>
          <w:rPr>
            <w:noProof/>
          </w:rPr>
          <w:fldChar w:fldCharType="end"/>
        </w:r>
      </w:p>
    </w:sdtContent>
  </w:sdt>
  <w:p w14:paraId="0F4FA5E3" w14:textId="77777777" w:rsidR="00F8296C" w:rsidRDefault="00F8296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4AAE" w14:textId="77777777" w:rsidR="00F8296C" w:rsidRDefault="00F8296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FC21" w14:textId="77777777" w:rsidR="00F8296C" w:rsidRDefault="00F8296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78216"/>
      <w:docPartObj>
        <w:docPartGallery w:val="Page Numbers (Bottom of Page)"/>
        <w:docPartUnique/>
      </w:docPartObj>
    </w:sdtPr>
    <w:sdtEndPr>
      <w:rPr>
        <w:noProof/>
      </w:rPr>
    </w:sdtEndPr>
    <w:sdtContent>
      <w:p w14:paraId="725D8B6F" w14:textId="3F3E4FDB" w:rsidR="00F8296C" w:rsidRDefault="00F8296C">
        <w:pPr>
          <w:pStyle w:val="Footer"/>
          <w:jc w:val="right"/>
        </w:pPr>
        <w:r>
          <w:fldChar w:fldCharType="begin"/>
        </w:r>
        <w:r>
          <w:instrText xml:space="preserve"> PAGE   \* MERGEFORMAT </w:instrText>
        </w:r>
        <w:r>
          <w:fldChar w:fldCharType="separate"/>
        </w:r>
        <w:r w:rsidR="00000379">
          <w:rPr>
            <w:noProof/>
          </w:rPr>
          <w:t>29</w:t>
        </w:r>
        <w:r>
          <w:rPr>
            <w:noProof/>
          </w:rPr>
          <w:fldChar w:fldCharType="end"/>
        </w:r>
      </w:p>
    </w:sdtContent>
  </w:sdt>
  <w:p w14:paraId="09BB068E" w14:textId="77777777" w:rsidR="00F8296C" w:rsidRDefault="00F8296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8DBC" w14:textId="77777777" w:rsidR="00F8296C" w:rsidRDefault="00F8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FC8D" w14:textId="211350DC" w:rsidR="00B55AC2" w:rsidRPr="00595D87" w:rsidRDefault="00595D87" w:rsidP="00595D87">
    <w:pPr>
      <w:pStyle w:val="FooterCoverPage"/>
      <w:rPr>
        <w:rFonts w:ascii="Arial" w:hAnsi="Arial" w:cs="Arial"/>
        <w:b/>
        <w:sz w:val="48"/>
      </w:rPr>
    </w:pPr>
    <w:r w:rsidRPr="00595D87">
      <w:rPr>
        <w:rFonts w:ascii="Arial" w:hAnsi="Arial" w:cs="Arial"/>
        <w:b/>
        <w:sz w:val="48"/>
      </w:rPr>
      <w:t>EN</w:t>
    </w:r>
    <w:r w:rsidRPr="00595D87">
      <w:rPr>
        <w:rFonts w:ascii="Arial" w:hAnsi="Arial" w:cs="Arial"/>
        <w:b/>
        <w:sz w:val="48"/>
      </w:rPr>
      <w:tab/>
    </w:r>
    <w:r w:rsidRPr="00595D87">
      <w:rPr>
        <w:rFonts w:ascii="Arial" w:hAnsi="Arial" w:cs="Arial"/>
        <w:b/>
        <w:sz w:val="48"/>
      </w:rPr>
      <w:tab/>
    </w:r>
    <w:r w:rsidRPr="00595D87">
      <w:tab/>
    </w:r>
    <w:r w:rsidRPr="00595D8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E610" w14:textId="77777777" w:rsidR="00595D87" w:rsidRPr="00595D87" w:rsidRDefault="00595D87" w:rsidP="00595D8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B190" w14:textId="77777777" w:rsidR="00F8296C" w:rsidRDefault="00F82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82041"/>
      <w:docPartObj>
        <w:docPartGallery w:val="Page Numbers (Bottom of Page)"/>
        <w:docPartUnique/>
      </w:docPartObj>
    </w:sdtPr>
    <w:sdtEndPr>
      <w:rPr>
        <w:noProof/>
      </w:rPr>
    </w:sdtEndPr>
    <w:sdtContent>
      <w:p w14:paraId="4B1C0E2C" w14:textId="3B20B834" w:rsidR="00F8296C" w:rsidRDefault="00F8296C">
        <w:pPr>
          <w:pStyle w:val="Footer"/>
          <w:jc w:val="right"/>
        </w:pPr>
        <w:r>
          <w:fldChar w:fldCharType="begin"/>
        </w:r>
        <w:r>
          <w:instrText xml:space="preserve"> PAGE   \* MERGEFORMAT </w:instrText>
        </w:r>
        <w:r>
          <w:fldChar w:fldCharType="separate"/>
        </w:r>
        <w:r w:rsidR="00595D87">
          <w:rPr>
            <w:noProof/>
          </w:rPr>
          <w:t>1</w:t>
        </w:r>
        <w:r>
          <w:rPr>
            <w:noProof/>
          </w:rPr>
          <w:fldChar w:fldCharType="end"/>
        </w:r>
      </w:p>
    </w:sdtContent>
  </w:sdt>
  <w:p w14:paraId="3885494D" w14:textId="77777777" w:rsidR="00F8296C" w:rsidRDefault="00F829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CABF" w14:textId="77777777" w:rsidR="00F8296C" w:rsidRDefault="00F829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7DBC" w14:textId="77777777" w:rsidR="00F8296C" w:rsidRDefault="00F829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49300"/>
      <w:docPartObj>
        <w:docPartGallery w:val="Page Numbers (Bottom of Page)"/>
        <w:docPartUnique/>
      </w:docPartObj>
    </w:sdtPr>
    <w:sdtEndPr>
      <w:rPr>
        <w:noProof/>
      </w:rPr>
    </w:sdtEndPr>
    <w:sdtContent>
      <w:p w14:paraId="368F490F" w14:textId="4A7DB8DA" w:rsidR="00F8296C" w:rsidRDefault="00F8296C">
        <w:pPr>
          <w:pStyle w:val="Footer"/>
          <w:jc w:val="right"/>
        </w:pPr>
        <w:r>
          <w:fldChar w:fldCharType="begin"/>
        </w:r>
        <w:r>
          <w:instrText xml:space="preserve"> PAGE   \* MERGEFORMAT </w:instrText>
        </w:r>
        <w:r>
          <w:fldChar w:fldCharType="separate"/>
        </w:r>
        <w:r w:rsidR="00595D87">
          <w:rPr>
            <w:noProof/>
          </w:rPr>
          <w:t>18</w:t>
        </w:r>
        <w:r>
          <w:rPr>
            <w:noProof/>
          </w:rPr>
          <w:fldChar w:fldCharType="end"/>
        </w:r>
      </w:p>
    </w:sdtContent>
  </w:sdt>
  <w:p w14:paraId="31F29081" w14:textId="77777777" w:rsidR="00F8296C" w:rsidRDefault="00F829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917E" w14:textId="77777777" w:rsidR="00F8296C" w:rsidRDefault="00F8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25EE" w14:textId="77777777" w:rsidR="00F8296C" w:rsidRDefault="00F8296C" w:rsidP="005A7A65">
      <w:pPr>
        <w:spacing w:after="0" w:line="240" w:lineRule="auto"/>
      </w:pPr>
      <w:r>
        <w:separator/>
      </w:r>
    </w:p>
  </w:footnote>
  <w:footnote w:type="continuationSeparator" w:id="0">
    <w:p w14:paraId="012246FF" w14:textId="77777777" w:rsidR="00F8296C" w:rsidRDefault="00F8296C" w:rsidP="005A7A65">
      <w:pPr>
        <w:spacing w:after="0" w:line="240" w:lineRule="auto"/>
      </w:pPr>
      <w:r>
        <w:continuationSeparator/>
      </w:r>
    </w:p>
  </w:footnote>
  <w:footnote w:type="continuationNotice" w:id="1">
    <w:p w14:paraId="77983A0F" w14:textId="77777777" w:rsidR="00F8296C" w:rsidRDefault="00F8296C">
      <w:pPr>
        <w:spacing w:after="0" w:line="240" w:lineRule="auto"/>
      </w:pPr>
    </w:p>
  </w:footnote>
  <w:footnote w:id="2">
    <w:p w14:paraId="5B520BBD" w14:textId="029F20A0" w:rsidR="00F8296C" w:rsidRPr="002D2E25" w:rsidRDefault="00F8296C" w:rsidP="16305A4A">
      <w:pPr>
        <w:pStyle w:val="FootnoteText"/>
        <w:jc w:val="both"/>
        <w:rPr>
          <w:rFonts w:ascii="Times New Roman" w:hAnsi="Times New Roman" w:cs="Times New Roman"/>
          <w:sz w:val="16"/>
          <w:szCs w:val="16"/>
          <w:lang w:val="en-GB"/>
        </w:rPr>
      </w:pPr>
      <w:r w:rsidRPr="002D2E25">
        <w:rPr>
          <w:rStyle w:val="FootnoteReference"/>
          <w:rFonts w:ascii="Times New Roman" w:hAnsi="Times New Roman" w:cs="Times New Roman"/>
          <w:sz w:val="16"/>
          <w:szCs w:val="16"/>
        </w:rPr>
        <w:footnoteRef/>
      </w:r>
      <w:r w:rsidRPr="002D2E25">
        <w:rPr>
          <w:rFonts w:ascii="Times New Roman" w:hAnsi="Times New Roman" w:cs="Times New Roman"/>
          <w:sz w:val="16"/>
          <w:szCs w:val="16"/>
        </w:rPr>
        <w:t xml:space="preserve"> Council Regulation (EU, Euratom) 2020/2093 of 17 December 2020 laying down the multiannual financial framework for the years 2021 to 2027, OJ L 433I , 22.12.2020, p. 11</w:t>
      </w:r>
    </w:p>
  </w:footnote>
  <w:footnote w:id="3">
    <w:p w14:paraId="5E51D395" w14:textId="5D896C0F" w:rsidR="00F8296C" w:rsidRPr="002D2E25"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2D2E25">
        <w:rPr>
          <w:rFonts w:ascii="Times New Roman" w:hAnsi="Times New Roman" w:cs="Times New Roman"/>
          <w:sz w:val="16"/>
          <w:szCs w:val="16"/>
        </w:rPr>
        <w:t>Regulation (EU) No 1294/2013 of the European Parliament and of the Council of 11 December 2013 establishing an action programme for customs in the European Union for the period 2014-2020 (Customs 2020) and repealing Decision No 624/2007/EC, OJ L 347, 20.12.2013, p. 209.</w:t>
      </w:r>
    </w:p>
  </w:footnote>
  <w:footnote w:id="4">
    <w:p w14:paraId="17B3B543" w14:textId="49102853" w:rsidR="00F8296C" w:rsidRPr="002D2E25"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2D2E25">
        <w:rPr>
          <w:rFonts w:ascii="Times New Roman" w:hAnsi="Times New Roman" w:cs="Times New Roman"/>
          <w:sz w:val="16"/>
          <w:szCs w:val="16"/>
        </w:rPr>
        <w:t>Regulation (EU) 2021/444 of the European Parliament and of the Council of 11 March 2021 establishing the Customs programme for cooperation in the field of customs and repealing Regulation (EU) No 1294/2013, OJ L 87, 15.3.2021, p. 1.</w:t>
      </w:r>
    </w:p>
  </w:footnote>
  <w:footnote w:id="5">
    <w:p w14:paraId="1E7139AA" w14:textId="7740676E" w:rsidR="00F8296C" w:rsidRPr="00B43070" w:rsidRDefault="00F8296C" w:rsidP="16305A4A">
      <w:pPr>
        <w:pStyle w:val="FootnoteText"/>
        <w:jc w:val="both"/>
        <w:rPr>
          <w:rFonts w:ascii="Times New Roman" w:hAnsi="Times New Roman" w:cs="Times New Roman"/>
          <w:lang w:val="en-GB"/>
        </w:rPr>
      </w:pPr>
      <w:r w:rsidRPr="00AB0D28">
        <w:rPr>
          <w:rStyle w:val="FootnoteReference"/>
          <w:rFonts w:ascii="Times New Roman" w:hAnsi="Times New Roman" w:cs="Times New Roman"/>
          <w:sz w:val="16"/>
          <w:szCs w:val="16"/>
        </w:rPr>
        <w:footnoteRef/>
      </w:r>
      <w:r w:rsidRPr="00AB0D28">
        <w:rPr>
          <w:rFonts w:ascii="Times New Roman" w:hAnsi="Times New Roman" w:cs="Times New Roman"/>
          <w:sz w:val="16"/>
          <w:szCs w:val="16"/>
        </w:rPr>
        <w:t xml:space="preserve"> COM(2020) 581 final </w:t>
      </w:r>
      <w:r>
        <w:rPr>
          <w:rFonts w:ascii="Times New Roman" w:hAnsi="Times New Roman" w:cs="Times New Roman"/>
          <w:sz w:val="16"/>
          <w:szCs w:val="16"/>
        </w:rPr>
        <w:t>–</w:t>
      </w:r>
      <w:r w:rsidRPr="00AB0D28">
        <w:rPr>
          <w:rFonts w:ascii="Times New Roman" w:hAnsi="Times New Roman" w:cs="Times New Roman"/>
          <w:sz w:val="16"/>
          <w:szCs w:val="16"/>
        </w:rPr>
        <w:t xml:space="preserve"> </w:t>
      </w:r>
      <w:r>
        <w:rPr>
          <w:rFonts w:ascii="Times New Roman" w:hAnsi="Times New Roman" w:cs="Times New Roman"/>
          <w:sz w:val="16"/>
          <w:szCs w:val="16"/>
        </w:rPr>
        <w:t xml:space="preserve">Communication from the Commission to the European Parliament, the Council and the European Economic and Social Committee </w:t>
      </w:r>
      <w:r w:rsidRPr="00AB0D28">
        <w:rPr>
          <w:rFonts w:ascii="Times New Roman" w:hAnsi="Times New Roman" w:cs="Times New Roman"/>
          <w:sz w:val="16"/>
          <w:szCs w:val="16"/>
        </w:rPr>
        <w:t xml:space="preserve"> - Taking the Customs Union to the Next Level: a Plan for Action</w:t>
      </w:r>
    </w:p>
  </w:footnote>
  <w:footnote w:id="6">
    <w:p w14:paraId="537B0667" w14:textId="5C666632" w:rsidR="00F8296C" w:rsidRPr="0012465A" w:rsidRDefault="00F8296C" w:rsidP="00C21973">
      <w:pPr>
        <w:pStyle w:val="FootnoteText"/>
        <w:jc w:val="both"/>
        <w:rPr>
          <w:rFonts w:ascii="Times New Roman" w:hAnsi="Times New Roman" w:cs="Times New Roman"/>
          <w:sz w:val="16"/>
          <w:szCs w:val="16"/>
        </w:rPr>
      </w:pPr>
      <w:r w:rsidRPr="00C21973">
        <w:rPr>
          <w:rStyle w:val="FootnoteReference"/>
        </w:rPr>
        <w:footnoteRef/>
      </w:r>
      <w:r w:rsidRPr="00C21973">
        <w:rPr>
          <w:rStyle w:val="FootnoteReference"/>
        </w:rPr>
        <w:t xml:space="preserve"> </w:t>
      </w:r>
      <w:hyperlink r:id="rId1" w:history="1">
        <w:r w:rsidRPr="005E67E9">
          <w:rPr>
            <w:rStyle w:val="Hyperlink"/>
            <w:rFonts w:ascii="Times New Roman" w:hAnsi="Times New Roman" w:cs="Times New Roman"/>
            <w:sz w:val="16"/>
            <w:szCs w:val="16"/>
          </w:rPr>
          <w:t>https://ec.europa.eu/info/publications/strategic-plan-2020-2024-taxation-and-customs-union_en</w:t>
        </w:r>
      </w:hyperlink>
      <w:r>
        <w:rPr>
          <w:rFonts w:ascii="Times New Roman" w:hAnsi="Times New Roman" w:cs="Times New Roman"/>
          <w:sz w:val="16"/>
          <w:szCs w:val="16"/>
        </w:rPr>
        <w:t xml:space="preserve"> </w:t>
      </w:r>
    </w:p>
  </w:footnote>
  <w:footnote w:id="7">
    <w:p w14:paraId="6189D02F" w14:textId="4D8124BB" w:rsidR="00F8296C" w:rsidRPr="0059168F" w:rsidRDefault="00F8296C" w:rsidP="00C21973">
      <w:pPr>
        <w:pStyle w:val="FootnoteText"/>
        <w:jc w:val="both"/>
        <w:rPr>
          <w:rFonts w:ascii="Times New Roman" w:hAnsi="Times New Roman" w:cs="Times New Roman"/>
          <w:sz w:val="16"/>
          <w:szCs w:val="16"/>
          <w:lang w:val="en-GB"/>
        </w:rPr>
      </w:pPr>
      <w:r w:rsidRPr="00C21973">
        <w:rPr>
          <w:rFonts w:ascii="Times New Roman" w:hAnsi="Times New Roman" w:cs="Times New Roman"/>
          <w:sz w:val="16"/>
          <w:szCs w:val="16"/>
          <w:vertAlign w:val="superscript"/>
        </w:rPr>
        <w:footnoteRef/>
      </w:r>
      <w:r w:rsidRPr="007370E2">
        <w:rPr>
          <w:rFonts w:ascii="Times New Roman" w:hAnsi="Times New Roman" w:cs="Times New Roman"/>
          <w:sz w:val="16"/>
          <w:szCs w:val="16"/>
        </w:rPr>
        <w:t xml:space="preserve"> </w:t>
      </w:r>
      <w:hyperlink r:id="rId2" w:history="1">
        <w:r w:rsidRPr="005E67E9">
          <w:rPr>
            <w:rStyle w:val="Hyperlink"/>
            <w:rFonts w:ascii="Times New Roman" w:hAnsi="Times New Roman" w:cs="Times New Roman"/>
            <w:sz w:val="16"/>
            <w:szCs w:val="16"/>
          </w:rPr>
          <w:t>https://ec.europa.eu/info/publications/management-plan-2021-taxation-and-customs-union_en</w:t>
        </w:r>
      </w:hyperlink>
      <w:r>
        <w:rPr>
          <w:rFonts w:ascii="Times New Roman" w:hAnsi="Times New Roman" w:cs="Times New Roman"/>
          <w:sz w:val="16"/>
          <w:szCs w:val="16"/>
        </w:rPr>
        <w:t xml:space="preserve"> </w:t>
      </w:r>
    </w:p>
  </w:footnote>
  <w:footnote w:id="8">
    <w:p w14:paraId="077B783F" w14:textId="3CCF0731" w:rsidR="00F8296C" w:rsidRPr="00681B3F" w:rsidRDefault="00F8296C">
      <w:pPr>
        <w:pStyle w:val="FootnoteText"/>
        <w:rPr>
          <w:rFonts w:ascii="Times New Roman" w:hAnsi="Times New Roman" w:cs="Times New Roman"/>
          <w:sz w:val="16"/>
          <w:szCs w:val="16"/>
        </w:rPr>
      </w:pPr>
      <w:r w:rsidRPr="005F12B6">
        <w:rPr>
          <w:rStyle w:val="FootnoteReference"/>
          <w:rFonts w:ascii="Times New Roman" w:hAnsi="Times New Roman" w:cs="Times New Roman"/>
          <w:sz w:val="16"/>
          <w:szCs w:val="16"/>
        </w:rPr>
        <w:footnoteRef/>
      </w:r>
      <w:r w:rsidRPr="005F12B6">
        <w:rPr>
          <w:rFonts w:ascii="Times New Roman" w:hAnsi="Times New Roman" w:cs="Times New Roman"/>
          <w:sz w:val="16"/>
          <w:szCs w:val="16"/>
        </w:rPr>
        <w:t xml:space="preserve"> </w:t>
      </w:r>
      <w:r w:rsidRPr="00681B3F">
        <w:rPr>
          <w:rFonts w:ascii="Times New Roman" w:hAnsi="Times New Roman" w:cs="Times New Roman"/>
          <w:sz w:val="16"/>
          <w:szCs w:val="16"/>
        </w:rPr>
        <w:t>Special report no 26/2018: A series of delays in Customs IT systems: what went wrong?</w:t>
      </w:r>
      <w:r>
        <w:rPr>
          <w:rFonts w:ascii="Times New Roman" w:hAnsi="Times New Roman" w:cs="Times New Roman"/>
          <w:sz w:val="16"/>
          <w:szCs w:val="16"/>
        </w:rPr>
        <w:t xml:space="preserve"> </w:t>
      </w:r>
      <w:hyperlink r:id="rId3" w:history="1">
        <w:r w:rsidRPr="005E67E9">
          <w:rPr>
            <w:rStyle w:val="Hyperlink"/>
            <w:rFonts w:ascii="Times New Roman" w:hAnsi="Times New Roman" w:cs="Times New Roman"/>
            <w:sz w:val="16"/>
            <w:szCs w:val="16"/>
          </w:rPr>
          <w:t>https://www.eca.europa.eu/en/Pages/DocItem.aspx?did=47201</w:t>
        </w:r>
      </w:hyperlink>
      <w:r>
        <w:rPr>
          <w:rFonts w:ascii="Times New Roman" w:hAnsi="Times New Roman" w:cs="Times New Roman"/>
          <w:sz w:val="16"/>
          <w:szCs w:val="16"/>
        </w:rPr>
        <w:t xml:space="preserve"> </w:t>
      </w:r>
    </w:p>
  </w:footnote>
  <w:footnote w:id="9">
    <w:p w14:paraId="7408E709" w14:textId="77EE121E" w:rsidR="00F8296C" w:rsidRPr="00BA108F" w:rsidRDefault="00F8296C" w:rsidP="16305A4A">
      <w:pPr>
        <w:pStyle w:val="FootnoteText"/>
        <w:jc w:val="both"/>
        <w:rPr>
          <w:rFonts w:ascii="Times New Roman" w:hAnsi="Times New Roman" w:cs="Times New Roman"/>
          <w:sz w:val="16"/>
          <w:szCs w:val="16"/>
        </w:rPr>
      </w:pPr>
      <w:r w:rsidRPr="00C21973">
        <w:rPr>
          <w:rFonts w:ascii="Times New Roman" w:hAnsi="Times New Roman" w:cs="Times New Roman"/>
          <w:sz w:val="16"/>
          <w:szCs w:val="16"/>
          <w:vertAlign w:val="superscript"/>
        </w:rPr>
        <w:footnoteRef/>
      </w:r>
      <w:r w:rsidRPr="00BA108F">
        <w:rPr>
          <w:rFonts w:ascii="Times New Roman" w:hAnsi="Times New Roman" w:cs="Times New Roman"/>
          <w:sz w:val="16"/>
          <w:szCs w:val="16"/>
        </w:rPr>
        <w:t xml:space="preserve"> </w:t>
      </w:r>
      <w:hyperlink r:id="rId4" w:history="1">
        <w:r w:rsidRPr="007C5202">
          <w:rPr>
            <w:rStyle w:val="Hyperlink"/>
            <w:rFonts w:ascii="Times New Roman" w:hAnsi="Times New Roman" w:cs="Times New Roman"/>
            <w:sz w:val="16"/>
            <w:szCs w:val="16"/>
          </w:rPr>
          <w:t>https://ec.europa.eu/transparency/expert-groups-register/screen/expert-groups/consult?lang=en&amp;groupID=3835</w:t>
        </w:r>
      </w:hyperlink>
      <w:r>
        <w:rPr>
          <w:rFonts w:ascii="Times New Roman" w:hAnsi="Times New Roman" w:cs="Times New Roman"/>
          <w:sz w:val="16"/>
          <w:szCs w:val="16"/>
        </w:rPr>
        <w:t xml:space="preserve"> </w:t>
      </w:r>
    </w:p>
  </w:footnote>
  <w:footnote w:id="10">
    <w:p w14:paraId="611D5E07" w14:textId="24128314" w:rsidR="00F8296C" w:rsidRPr="000820E0" w:rsidRDefault="00F8296C" w:rsidP="16305A4A">
      <w:pPr>
        <w:pStyle w:val="FootnoteText"/>
        <w:jc w:val="both"/>
        <w:rPr>
          <w:rFonts w:ascii="Times New Roman" w:hAnsi="Times New Roman" w:cs="Times New Roman"/>
          <w:sz w:val="16"/>
          <w:szCs w:val="16"/>
          <w:lang w:val="en-GB"/>
        </w:rPr>
      </w:pPr>
      <w:r w:rsidRPr="000820E0">
        <w:rPr>
          <w:rStyle w:val="FootnoteReference"/>
          <w:rFonts w:ascii="Times New Roman" w:hAnsi="Times New Roman" w:cs="Times New Roman"/>
          <w:sz w:val="16"/>
          <w:szCs w:val="16"/>
        </w:rPr>
        <w:footnoteRef/>
      </w:r>
      <w:r w:rsidRPr="000820E0">
        <w:rPr>
          <w:rFonts w:ascii="Times New Roman" w:hAnsi="Times New Roman" w:cs="Times New Roman"/>
          <w:sz w:val="16"/>
          <w:szCs w:val="16"/>
        </w:rPr>
        <w:t xml:space="preserve"> The ICARUS group had one meeting in February 2021, the LFCG met once in 2021 (January) and the port groups stopped collaboration under the Customs 2020/Customs programmes in 2021.</w:t>
      </w:r>
    </w:p>
  </w:footnote>
  <w:footnote w:id="11">
    <w:p w14:paraId="7309488D" w14:textId="5C0B4D2A" w:rsidR="00F8296C" w:rsidRPr="00C21973" w:rsidRDefault="00F8296C" w:rsidP="00C21973">
      <w:pPr>
        <w:pStyle w:val="FootnoteText"/>
        <w:jc w:val="both"/>
        <w:rPr>
          <w:rFonts w:ascii="Times New Roman" w:hAnsi="Times New Roman" w:cs="Times New Roman"/>
          <w:sz w:val="16"/>
          <w:szCs w:val="16"/>
        </w:rPr>
      </w:pPr>
      <w:r w:rsidRPr="00C21973">
        <w:rPr>
          <w:rFonts w:ascii="Times New Roman" w:hAnsi="Times New Roman" w:cs="Times New Roman"/>
          <w:sz w:val="16"/>
          <w:szCs w:val="16"/>
          <w:vertAlign w:val="superscript"/>
        </w:rPr>
        <w:footnoteRef/>
      </w:r>
      <w:r w:rsidRPr="00C21973">
        <w:rPr>
          <w:rFonts w:ascii="Times New Roman" w:hAnsi="Times New Roman" w:cs="Times New Roman"/>
          <w:sz w:val="16"/>
          <w:szCs w:val="16"/>
        </w:rPr>
        <w:t xml:space="preserve"> https://ec.europa.eu/transparency/expert-groups-register/screen/expert-groups/consult?do=groupDetail.groupDetail&amp;groupID=944</w:t>
      </w:r>
    </w:p>
  </w:footnote>
  <w:footnote w:id="12">
    <w:p w14:paraId="72FDFC88" w14:textId="276C3C97" w:rsidR="00F8296C" w:rsidRPr="00C21973" w:rsidRDefault="00F8296C" w:rsidP="00C21973">
      <w:pPr>
        <w:pStyle w:val="FootnoteText"/>
        <w:jc w:val="both"/>
        <w:rPr>
          <w:rFonts w:ascii="Times New Roman" w:hAnsi="Times New Roman" w:cs="Times New Roman"/>
          <w:sz w:val="16"/>
          <w:szCs w:val="16"/>
        </w:rPr>
      </w:pPr>
      <w:r w:rsidRPr="00C21973">
        <w:rPr>
          <w:rFonts w:ascii="Times New Roman" w:hAnsi="Times New Roman" w:cs="Times New Roman"/>
          <w:sz w:val="16"/>
          <w:szCs w:val="16"/>
          <w:vertAlign w:val="superscript"/>
        </w:rPr>
        <w:footnoteRef/>
      </w:r>
      <w:r w:rsidRPr="00C21973">
        <w:rPr>
          <w:rFonts w:ascii="Times New Roman" w:hAnsi="Times New Roman" w:cs="Times New Roman"/>
          <w:sz w:val="16"/>
          <w:szCs w:val="16"/>
        </w:rPr>
        <w:t xml:space="preserve"> https://ec.europa.eu/taxation_customs/customs-4/wise-persons-group-challenges-facing-customs-union-wpg_en</w:t>
      </w:r>
    </w:p>
  </w:footnote>
  <w:footnote w:id="13">
    <w:p w14:paraId="4BB1DD7B" w14:textId="0D64144A" w:rsidR="00F8296C" w:rsidRDefault="00F8296C" w:rsidP="00C21973">
      <w:pPr>
        <w:pStyle w:val="FootnoteText"/>
        <w:jc w:val="both"/>
      </w:pPr>
      <w:r w:rsidRPr="00807F1E">
        <w:rPr>
          <w:rStyle w:val="FootnoteReference"/>
          <w:rFonts w:ascii="Times New Roman" w:hAnsi="Times New Roman" w:cs="Times New Roman"/>
          <w:sz w:val="16"/>
          <w:szCs w:val="16"/>
        </w:rPr>
        <w:footnoteRef/>
      </w:r>
      <w:r w:rsidRPr="00807F1E">
        <w:rPr>
          <w:rFonts w:ascii="Times New Roman" w:hAnsi="Times New Roman" w:cs="Times New Roman"/>
          <w:sz w:val="16"/>
          <w:szCs w:val="16"/>
        </w:rPr>
        <w:t xml:space="preserve"> </w:t>
      </w:r>
      <w:r w:rsidRPr="009041EB">
        <w:rPr>
          <w:rFonts w:ascii="Times New Roman" w:hAnsi="Times New Roman" w:cs="Times New Roman"/>
          <w:sz w:val="16"/>
          <w:szCs w:val="16"/>
        </w:rPr>
        <w:t>A list of all EES systems in the customs area funded by the Customs programmes is in Annex 4</w:t>
      </w:r>
      <w:r>
        <w:rPr>
          <w:sz w:val="16"/>
          <w:szCs w:val="16"/>
        </w:rPr>
        <w:t>.</w:t>
      </w:r>
      <w:r w:rsidRPr="00C21973">
        <w:rPr>
          <w:sz w:val="16"/>
          <w:szCs w:val="16"/>
        </w:rPr>
        <w:t xml:space="preserve"> </w:t>
      </w:r>
    </w:p>
  </w:footnote>
  <w:footnote w:id="14">
    <w:p w14:paraId="606C6EE2" w14:textId="2CD7F3CE" w:rsidR="00F8296C" w:rsidRPr="00185744" w:rsidRDefault="00F8296C">
      <w:pPr>
        <w:pStyle w:val="FootnoteText"/>
      </w:pPr>
      <w:r w:rsidRPr="00185744">
        <w:rPr>
          <w:rStyle w:val="FootnoteReference"/>
          <w:rFonts w:ascii="Times New Roman" w:hAnsi="Times New Roman" w:cs="Times New Roman"/>
          <w:sz w:val="16"/>
          <w:szCs w:val="16"/>
        </w:rPr>
        <w:footnoteRef/>
      </w:r>
      <w:r>
        <w:t xml:space="preserve"> </w:t>
      </w:r>
      <w:r w:rsidRPr="00C5025F">
        <w:rPr>
          <w:rFonts w:ascii="Times New Roman" w:hAnsi="Times New Roman" w:cs="Times New Roman"/>
          <w:sz w:val="16"/>
          <w:szCs w:val="16"/>
        </w:rPr>
        <w:t>Commission Implementing Decision (EU) 2019/2151 of 13 December 2019 establishing the work programme relating to the development and deployment of the electronic systems provided for in the Union Customs Code</w:t>
      </w:r>
      <w:r>
        <w:rPr>
          <w:rFonts w:ascii="Times New Roman" w:hAnsi="Times New Roman" w:cs="Times New Roman"/>
          <w:sz w:val="16"/>
          <w:szCs w:val="16"/>
        </w:rPr>
        <w:t xml:space="preserve">, </w:t>
      </w:r>
      <w:r w:rsidRPr="00185744">
        <w:rPr>
          <w:rFonts w:ascii="Times New Roman" w:hAnsi="Times New Roman" w:cs="Times New Roman"/>
          <w:sz w:val="16"/>
          <w:szCs w:val="16"/>
        </w:rPr>
        <w:t>C/2019/8803</w:t>
      </w:r>
    </w:p>
  </w:footnote>
  <w:footnote w:id="15">
    <w:p w14:paraId="0FB9E664" w14:textId="41293123" w:rsidR="00F8296C" w:rsidRPr="00417601" w:rsidRDefault="00F8296C">
      <w:pPr>
        <w:pStyle w:val="FootnoteText"/>
        <w:rPr>
          <w:rFonts w:ascii="Times New Roman" w:hAnsi="Times New Roman" w:cs="Times New Roman"/>
          <w:sz w:val="16"/>
          <w:szCs w:val="16"/>
        </w:rPr>
      </w:pPr>
      <w:r w:rsidRPr="007706BF">
        <w:rPr>
          <w:rStyle w:val="FootnoteReference"/>
          <w:rFonts w:ascii="Times New Roman" w:hAnsi="Times New Roman" w:cs="Times New Roman"/>
          <w:sz w:val="16"/>
          <w:szCs w:val="16"/>
        </w:rPr>
        <w:footnoteRef/>
      </w:r>
      <w:r>
        <w:t xml:space="preserve"> </w:t>
      </w:r>
      <w:hyperlink r:id="rId5" w:history="1">
        <w:r w:rsidRPr="005E67E9">
          <w:rPr>
            <w:rStyle w:val="Hyperlink"/>
            <w:rFonts w:ascii="Times New Roman" w:hAnsi="Times New Roman" w:cs="Times New Roman"/>
            <w:sz w:val="16"/>
            <w:szCs w:val="16"/>
          </w:rPr>
          <w:t>https://ec.europa.eu/taxation_customs/news/ucc-work-programme-progress-report-2021-2022-01-24_en</w:t>
        </w:r>
      </w:hyperlink>
      <w:r>
        <w:rPr>
          <w:rFonts w:ascii="Times New Roman" w:hAnsi="Times New Roman" w:cs="Times New Roman"/>
          <w:sz w:val="16"/>
          <w:szCs w:val="16"/>
        </w:rPr>
        <w:t xml:space="preserve"> </w:t>
      </w:r>
    </w:p>
  </w:footnote>
  <w:footnote w:id="16">
    <w:p w14:paraId="41CD4EAA" w14:textId="5F61B991" w:rsidR="00F8296C" w:rsidRPr="00386572" w:rsidRDefault="00F8296C" w:rsidP="00386572">
      <w:pPr>
        <w:pStyle w:val="FootnoteText"/>
        <w:jc w:val="both"/>
        <w:rPr>
          <w:rFonts w:ascii="Times New Roman" w:hAnsi="Times New Roman" w:cs="Times New Roman"/>
          <w:sz w:val="16"/>
          <w:szCs w:val="16"/>
          <w:lang w:val="en-IE"/>
        </w:rPr>
      </w:pPr>
      <w:r w:rsidRPr="004972FD">
        <w:rPr>
          <w:rStyle w:val="FootnoteReference"/>
          <w:rFonts w:ascii="Times New Roman" w:hAnsi="Times New Roman" w:cs="Times New Roman"/>
          <w:sz w:val="16"/>
          <w:szCs w:val="16"/>
        </w:rPr>
        <w:footnoteRef/>
      </w:r>
      <w:r>
        <w:t xml:space="preserve"> </w:t>
      </w:r>
      <w:r w:rsidRPr="00386572">
        <w:rPr>
          <w:rFonts w:ascii="Times New Roman" w:hAnsi="Times New Roman" w:cs="Times New Roman"/>
          <w:sz w:val="16"/>
          <w:szCs w:val="16"/>
          <w:lang w:val="en-IE"/>
        </w:rPr>
        <w:t>Regulation (EU) 2016/679 of the European Parliament and of the Council of 27 April 2016 on the protection of natural persons with regard to the processing of personal data and on the free movement of such data, and repealing Directive 95/46/EC (Gene</w:t>
      </w:r>
      <w:r>
        <w:rPr>
          <w:rFonts w:ascii="Times New Roman" w:hAnsi="Times New Roman" w:cs="Times New Roman"/>
          <w:sz w:val="16"/>
          <w:szCs w:val="16"/>
          <w:lang w:val="en-IE"/>
        </w:rPr>
        <w:t>ral Data Protection Regulation), OJ L 119, 4.5.2016, p. 1.</w:t>
      </w:r>
    </w:p>
  </w:footnote>
  <w:footnote w:id="17">
    <w:p w14:paraId="7CA38CBE" w14:textId="77777777" w:rsidR="00F8296C" w:rsidRPr="00D518C1" w:rsidRDefault="00F8296C" w:rsidP="16305A4A">
      <w:pPr>
        <w:pStyle w:val="FootnoteText"/>
        <w:rPr>
          <w:rFonts w:ascii="Times New Roman" w:hAnsi="Times New Roman" w:cs="Times New Roman"/>
          <w:sz w:val="16"/>
          <w:szCs w:val="16"/>
        </w:rPr>
      </w:pPr>
      <w:r w:rsidRPr="00C15A03">
        <w:rPr>
          <w:rFonts w:ascii="Times New Roman" w:hAnsi="Times New Roman" w:cs="Times New Roman"/>
          <w:sz w:val="16"/>
          <w:szCs w:val="16"/>
          <w:vertAlign w:val="superscript"/>
        </w:rPr>
        <w:footnoteRef/>
      </w:r>
      <w:r w:rsidRPr="00D518C1">
        <w:rPr>
          <w:rFonts w:ascii="Times New Roman" w:hAnsi="Times New Roman" w:cs="Times New Roman"/>
          <w:sz w:val="16"/>
          <w:szCs w:val="16"/>
        </w:rPr>
        <w:t xml:space="preserve"> </w:t>
      </w:r>
      <w:r>
        <w:rPr>
          <w:rFonts w:ascii="Times New Roman" w:hAnsi="Times New Roman" w:cs="Times New Roman"/>
          <w:sz w:val="16"/>
          <w:szCs w:val="16"/>
        </w:rPr>
        <w:t>T</w:t>
      </w:r>
      <w:r w:rsidRPr="00D518C1">
        <w:rPr>
          <w:rFonts w:ascii="Times New Roman" w:hAnsi="Times New Roman" w:cs="Times New Roman"/>
          <w:sz w:val="16"/>
          <w:szCs w:val="16"/>
        </w:rPr>
        <w:t>utorial</w:t>
      </w:r>
      <w:r>
        <w:rPr>
          <w:rFonts w:ascii="Times New Roman" w:hAnsi="Times New Roman" w:cs="Times New Roman"/>
          <w:sz w:val="16"/>
          <w:szCs w:val="16"/>
        </w:rPr>
        <w:t xml:space="preserve">s </w:t>
      </w:r>
      <w:r w:rsidRPr="00D518C1">
        <w:rPr>
          <w:rFonts w:ascii="Times New Roman" w:hAnsi="Times New Roman" w:cs="Times New Roman"/>
          <w:sz w:val="16"/>
          <w:szCs w:val="16"/>
        </w:rPr>
        <w:t>designed to learn a given subject in a</w:t>
      </w:r>
      <w:r>
        <w:rPr>
          <w:rFonts w:ascii="Times New Roman" w:hAnsi="Times New Roman" w:cs="Times New Roman"/>
          <w:sz w:val="16"/>
          <w:szCs w:val="16"/>
        </w:rPr>
        <w:t xml:space="preserve"> maximum 5 </w:t>
      </w:r>
      <w:r w:rsidRPr="00D518C1">
        <w:rPr>
          <w:rFonts w:ascii="Times New Roman" w:hAnsi="Times New Roman" w:cs="Times New Roman"/>
          <w:sz w:val="16"/>
          <w:szCs w:val="16"/>
        </w:rPr>
        <w:t>minute</w:t>
      </w:r>
      <w:r>
        <w:rPr>
          <w:rFonts w:ascii="Times New Roman" w:hAnsi="Times New Roman" w:cs="Times New Roman"/>
          <w:sz w:val="16"/>
          <w:szCs w:val="16"/>
        </w:rPr>
        <w:t>s’</w:t>
      </w:r>
      <w:r w:rsidRPr="00D518C1">
        <w:rPr>
          <w:rFonts w:ascii="Times New Roman" w:hAnsi="Times New Roman" w:cs="Times New Roman"/>
          <w:sz w:val="16"/>
          <w:szCs w:val="16"/>
        </w:rPr>
        <w:t xml:space="preserve"> timeframe using electronic media</w:t>
      </w:r>
      <w:r>
        <w:rPr>
          <w:rFonts w:ascii="Times New Roman" w:hAnsi="Times New Roman" w:cs="Times New Roman"/>
          <w:sz w:val="16"/>
          <w:szCs w:val="16"/>
        </w:rPr>
        <w:t>.</w:t>
      </w:r>
    </w:p>
  </w:footnote>
  <w:footnote w:id="18">
    <w:p w14:paraId="265283B0" w14:textId="077BD08F"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C21973">
        <w:rPr>
          <w:rFonts w:ascii="Times New Roman" w:hAnsi="Times New Roman" w:cs="Times New Roman"/>
          <w:sz w:val="16"/>
          <w:szCs w:val="16"/>
          <w:lang w:val="en-IE"/>
        </w:rPr>
        <w:t xml:space="preserve">The Customs programme introduced the objective of innovation as a separate target. </w:t>
      </w:r>
      <w:r w:rsidRPr="00C21973">
        <w:rPr>
          <w:rFonts w:ascii="Times New Roman" w:hAnsi="Times New Roman" w:cs="Times New Roman"/>
          <w:sz w:val="16"/>
          <w:szCs w:val="16"/>
        </w:rPr>
        <w:t>While the Customs 2020 programme did not specifically identify innovation as a dedicated objective, it also indirectly identified the need to innovate by setting part of the general objective to the modernisation of the customs union.</w:t>
      </w:r>
    </w:p>
  </w:footnote>
  <w:footnote w:id="19">
    <w:p w14:paraId="69DC221F" w14:textId="31DC07EA"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3A1D44EF">
        <w:t xml:space="preserve"> </w:t>
      </w:r>
      <w:r w:rsidRPr="00C21973">
        <w:rPr>
          <w:rFonts w:ascii="Times New Roman" w:hAnsi="Times New Roman" w:cs="Times New Roman"/>
          <w:sz w:val="16"/>
          <w:szCs w:val="16"/>
        </w:rPr>
        <w:t>Regulation (EU) 2021/847 of the European Parliament and of the Council of 20 May 2021 establishing the ‘Fiscalis’ programme for cooperation in the field of taxation and repealing Regulation (EU) No 1286/2013, OJ L 188, 28.5.2021, p. 1.</w:t>
      </w:r>
    </w:p>
  </w:footnote>
  <w:footnote w:id="20">
    <w:p w14:paraId="382640D0" w14:textId="664E35A1"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4F038C">
        <w:rPr>
          <w:rFonts w:ascii="Times New Roman" w:hAnsi="Times New Roman" w:cs="Times New Roman"/>
          <w:sz w:val="16"/>
          <w:szCs w:val="16"/>
        </w:rPr>
        <w:t>Regulation (EU) 2021/1077 of the European Parliament and of the Council of 24 June 2021 establishing, as part of the Integrated Border Management Fund, the instrument for financial support for customs control equipment, OJ L 234, 2.7.2021, p. 1.</w:t>
      </w:r>
    </w:p>
  </w:footnote>
  <w:footnote w:id="21">
    <w:p w14:paraId="30E9A7DF" w14:textId="77777777" w:rsidR="00F8296C" w:rsidRPr="00F21E44" w:rsidRDefault="00F8296C" w:rsidP="16305A4A">
      <w:pPr>
        <w:pStyle w:val="FootnoteText"/>
        <w:jc w:val="both"/>
        <w:rPr>
          <w:rFonts w:ascii="Times New Roman" w:hAnsi="Times New Roman" w:cs="Times New Roman"/>
          <w:sz w:val="16"/>
          <w:szCs w:val="16"/>
        </w:rPr>
      </w:pPr>
      <w:r w:rsidRPr="004F038C">
        <w:rPr>
          <w:rStyle w:val="FootnoteReference"/>
          <w:rFonts w:ascii="Times New Roman" w:hAnsi="Times New Roman" w:cs="Times New Roman"/>
          <w:sz w:val="16"/>
          <w:szCs w:val="16"/>
        </w:rPr>
        <w:footnoteRef/>
      </w:r>
      <w:r w:rsidRPr="004F038C">
        <w:rPr>
          <w:rFonts w:ascii="Times New Roman" w:hAnsi="Times New Roman" w:cs="Times New Roman"/>
          <w:sz w:val="16"/>
          <w:szCs w:val="16"/>
        </w:rPr>
        <w:t xml:space="preserve"> </w:t>
      </w:r>
      <w:r w:rsidRPr="00F21E44">
        <w:rPr>
          <w:rFonts w:ascii="Times New Roman" w:hAnsi="Times New Roman" w:cs="Times New Roman"/>
          <w:sz w:val="16"/>
          <w:szCs w:val="16"/>
        </w:rPr>
        <w:t>Regulation (EU) 2021/785 of the European Parliament and of the Council of 29 April 2021 establishing the Union Anti-Fraud Programme and repeal</w:t>
      </w:r>
      <w:r>
        <w:rPr>
          <w:rFonts w:ascii="Times New Roman" w:hAnsi="Times New Roman" w:cs="Times New Roman"/>
          <w:sz w:val="16"/>
          <w:szCs w:val="16"/>
        </w:rPr>
        <w:t xml:space="preserve">ing Regulation (EU) No 250/2014, </w:t>
      </w:r>
      <w:r w:rsidRPr="00F21E44">
        <w:rPr>
          <w:rFonts w:ascii="Times New Roman" w:hAnsi="Times New Roman" w:cs="Times New Roman"/>
          <w:sz w:val="16"/>
          <w:szCs w:val="16"/>
        </w:rPr>
        <w:t>OJ L 172, 17.5.2021, p. 110</w:t>
      </w:r>
      <w:r>
        <w:rPr>
          <w:rFonts w:ascii="Times New Roman" w:hAnsi="Times New Roman" w:cs="Times New Roman"/>
          <w:sz w:val="16"/>
          <w:szCs w:val="16"/>
        </w:rPr>
        <w:t>.</w:t>
      </w:r>
    </w:p>
  </w:footnote>
  <w:footnote w:id="22">
    <w:p w14:paraId="56E5AEC5" w14:textId="2FD7506F"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Regulation (EU) 2021/1148 of the European Parliament and of the Council of 7 July 2021 establishing, as part of the Integrated Border Management Fund, the Instrument for Financial Support for Border Management and Visa Policy, OJ L 251, 15.7.2021, p. 48</w:t>
      </w:r>
      <w:r>
        <w:rPr>
          <w:rFonts w:ascii="Times New Roman" w:hAnsi="Times New Roman" w:cs="Times New Roman"/>
          <w:sz w:val="16"/>
          <w:szCs w:val="16"/>
        </w:rPr>
        <w:t>.</w:t>
      </w:r>
    </w:p>
  </w:footnote>
  <w:footnote w:id="23">
    <w:p w14:paraId="7BCF6DEC" w14:textId="7262F610"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Regulation (EU) 2021/1149 of the European Parliament and of the Council of 7 July 2021 establishing t</w:t>
      </w:r>
      <w:r w:rsidRPr="00961FD1">
        <w:rPr>
          <w:rFonts w:ascii="Times New Roman" w:hAnsi="Times New Roman" w:cs="Times New Roman"/>
          <w:sz w:val="16"/>
          <w:szCs w:val="16"/>
        </w:rPr>
        <w:t>he Internal Security Fund</w:t>
      </w:r>
      <w:r>
        <w:rPr>
          <w:rFonts w:ascii="Times New Roman" w:hAnsi="Times New Roman" w:cs="Times New Roman"/>
          <w:sz w:val="16"/>
          <w:szCs w:val="16"/>
        </w:rPr>
        <w:t xml:space="preserve">, </w:t>
      </w:r>
      <w:r w:rsidRPr="00C21973">
        <w:rPr>
          <w:rFonts w:ascii="Times New Roman" w:hAnsi="Times New Roman" w:cs="Times New Roman"/>
          <w:sz w:val="16"/>
          <w:szCs w:val="16"/>
        </w:rPr>
        <w:t>OJ L 251, 15.7.2021, p. 94</w:t>
      </w:r>
      <w:r>
        <w:rPr>
          <w:rFonts w:ascii="Times New Roman" w:hAnsi="Times New Roman" w:cs="Times New Roman"/>
          <w:sz w:val="16"/>
          <w:szCs w:val="16"/>
        </w:rPr>
        <w:t>.</w:t>
      </w:r>
    </w:p>
  </w:footnote>
  <w:footnote w:id="24">
    <w:p w14:paraId="53E1473E" w14:textId="4550D9FB"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252077">
        <w:rPr>
          <w:rFonts w:ascii="Times New Roman" w:hAnsi="Times New Roman" w:cs="Times New Roman"/>
          <w:sz w:val="16"/>
          <w:szCs w:val="16"/>
        </w:rPr>
        <w:t>Regulation (EU) 2021/690 of the European Parliament and of the Council of 28 April 2021 establishing a programme for the internal market, competitiveness of enterprises, including small and medium-sized enterprises, the area of plants, animals, food and feed, and European statistics (Single Market Programme) and repealing Regulations (EU) No 99/2013, (EU) No 1287/2013, (EU) No 254/2014 and (EU) No 652/2014 (Text with EEA relevance)</w:t>
      </w:r>
      <w:r>
        <w:rPr>
          <w:rFonts w:ascii="Times New Roman" w:hAnsi="Times New Roman" w:cs="Times New Roman"/>
          <w:sz w:val="16"/>
          <w:szCs w:val="16"/>
        </w:rPr>
        <w:t xml:space="preserve">, </w:t>
      </w:r>
      <w:r w:rsidRPr="00252077">
        <w:rPr>
          <w:rFonts w:ascii="Times New Roman" w:hAnsi="Times New Roman" w:cs="Times New Roman"/>
          <w:sz w:val="16"/>
          <w:szCs w:val="16"/>
        </w:rPr>
        <w:t>OJ L 153, 3.5.2021, p. 1</w:t>
      </w:r>
      <w:r>
        <w:rPr>
          <w:rFonts w:ascii="Times New Roman" w:hAnsi="Times New Roman" w:cs="Times New Roman"/>
          <w:sz w:val="16"/>
          <w:szCs w:val="16"/>
        </w:rPr>
        <w:t>.</w:t>
      </w:r>
    </w:p>
  </w:footnote>
  <w:footnote w:id="25">
    <w:p w14:paraId="61767F86" w14:textId="4DC2053F"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252077">
        <w:rPr>
          <w:rFonts w:ascii="Times New Roman" w:hAnsi="Times New Roman" w:cs="Times New Roman"/>
          <w:sz w:val="16"/>
          <w:szCs w:val="16"/>
        </w:rPr>
        <w:t>Regulation (EU) 2021/241 of the European Parliament and of the Council of 12 February 2021 establishing the Recovery and Resilience Facility</w:t>
      </w:r>
      <w:r>
        <w:rPr>
          <w:rFonts w:ascii="Times New Roman" w:hAnsi="Times New Roman" w:cs="Times New Roman"/>
          <w:sz w:val="16"/>
          <w:szCs w:val="16"/>
        </w:rPr>
        <w:t xml:space="preserve">, </w:t>
      </w:r>
      <w:r w:rsidRPr="00252077">
        <w:rPr>
          <w:rFonts w:ascii="Times New Roman" w:hAnsi="Times New Roman" w:cs="Times New Roman"/>
          <w:sz w:val="16"/>
          <w:szCs w:val="16"/>
        </w:rPr>
        <w:t>OJ L 57, 18.2.2021, p. 17</w:t>
      </w:r>
      <w:r>
        <w:rPr>
          <w:rFonts w:ascii="Times New Roman" w:hAnsi="Times New Roman" w:cs="Times New Roman"/>
          <w:sz w:val="16"/>
          <w:szCs w:val="16"/>
        </w:rPr>
        <w:t>.</w:t>
      </w:r>
    </w:p>
  </w:footnote>
  <w:footnote w:id="26">
    <w:p w14:paraId="53C1589E" w14:textId="5E94C659"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w:t>
      </w:r>
      <w:r w:rsidRPr="00252077">
        <w:rPr>
          <w:rFonts w:ascii="Times New Roman" w:hAnsi="Times New Roman" w:cs="Times New Roman"/>
          <w:sz w:val="16"/>
          <w:szCs w:val="16"/>
        </w:rPr>
        <w:t>Regulation (EU) 2021/240 of the European Parliament and of the Council of 10 February 2021 establishing a Technical Support Instrument</w:t>
      </w:r>
      <w:r>
        <w:rPr>
          <w:rFonts w:ascii="Times New Roman" w:hAnsi="Times New Roman" w:cs="Times New Roman"/>
          <w:sz w:val="16"/>
          <w:szCs w:val="16"/>
        </w:rPr>
        <w:t xml:space="preserve">, </w:t>
      </w:r>
      <w:r w:rsidRPr="00252077">
        <w:rPr>
          <w:rFonts w:ascii="Times New Roman" w:hAnsi="Times New Roman" w:cs="Times New Roman"/>
          <w:sz w:val="16"/>
          <w:szCs w:val="16"/>
        </w:rPr>
        <w:t>OJ L 57, 18.2.2021, p. 1</w:t>
      </w:r>
      <w:r>
        <w:rPr>
          <w:rFonts w:ascii="Times New Roman" w:hAnsi="Times New Roman" w:cs="Times New Roman"/>
          <w:sz w:val="16"/>
          <w:szCs w:val="16"/>
        </w:rPr>
        <w:t>.</w:t>
      </w:r>
    </w:p>
  </w:footnote>
  <w:footnote w:id="27">
    <w:p w14:paraId="7E420CBF" w14:textId="11FF0467" w:rsidR="00F8296C" w:rsidRPr="00563983" w:rsidRDefault="00F8296C">
      <w:pPr>
        <w:pStyle w:val="FootnoteText"/>
        <w:rPr>
          <w:rFonts w:ascii="Times New Roman" w:hAnsi="Times New Roman" w:cs="Times New Roman"/>
          <w:sz w:val="16"/>
          <w:szCs w:val="16"/>
        </w:rPr>
      </w:pPr>
      <w:r w:rsidRPr="00563983">
        <w:rPr>
          <w:rStyle w:val="FootnoteReference"/>
          <w:rFonts w:ascii="Times New Roman" w:hAnsi="Times New Roman" w:cs="Times New Roman"/>
          <w:sz w:val="16"/>
          <w:szCs w:val="16"/>
        </w:rPr>
        <w:footnoteRef/>
      </w:r>
      <w:r>
        <w:t xml:space="preserve"> </w:t>
      </w:r>
      <w:r w:rsidRPr="00563983">
        <w:rPr>
          <w:rFonts w:ascii="Times New Roman" w:hAnsi="Times New Roman" w:cs="Times New Roman"/>
          <w:sz w:val="16"/>
          <w:szCs w:val="16"/>
        </w:rPr>
        <w:t xml:space="preserve">Regulation (EU) 2021/1059 of the European Parliament and of the Council of 24 June 2021 on specific provisions for the European territorial cooperation goal (Interreg) supported by the European Regional Development Fund and external financing instruments OJ L 231, 30.6.2021, p. </w:t>
      </w:r>
      <w:r>
        <w:rPr>
          <w:rFonts w:ascii="Times New Roman" w:hAnsi="Times New Roman" w:cs="Times New Roman"/>
          <w:sz w:val="16"/>
          <w:szCs w:val="16"/>
        </w:rPr>
        <w:t xml:space="preserve"> </w:t>
      </w:r>
      <w:r w:rsidRPr="00563983">
        <w:rPr>
          <w:rFonts w:ascii="Times New Roman" w:hAnsi="Times New Roman" w:cs="Times New Roman"/>
          <w:sz w:val="16"/>
          <w:szCs w:val="16"/>
        </w:rPr>
        <w:t>94</w:t>
      </w:r>
      <w:r>
        <w:rPr>
          <w:rFonts w:ascii="Times New Roman" w:hAnsi="Times New Roman" w:cs="Times New Roman"/>
          <w:sz w:val="16"/>
          <w:szCs w:val="16"/>
        </w:rPr>
        <w:t>.</w:t>
      </w:r>
    </w:p>
  </w:footnote>
  <w:footnote w:id="28">
    <w:p w14:paraId="3B3E690C" w14:textId="43D0291F" w:rsidR="00F8296C" w:rsidRPr="00C21973" w:rsidRDefault="00F8296C" w:rsidP="16305A4A">
      <w:pPr>
        <w:pStyle w:val="FootnoteText"/>
        <w:jc w:val="both"/>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Style w:val="FootnoteReference"/>
          <w:rFonts w:ascii="Times New Roman" w:hAnsi="Times New Roman" w:cs="Times New Roman"/>
          <w:sz w:val="16"/>
          <w:szCs w:val="16"/>
        </w:rPr>
        <w:t xml:space="preserve"> </w:t>
      </w:r>
      <w:r w:rsidRPr="00C21973">
        <w:rPr>
          <w:rFonts w:ascii="Times New Roman" w:hAnsi="Times New Roman" w:cs="Times New Roman"/>
          <w:sz w:val="16"/>
          <w:szCs w:val="16"/>
        </w:rPr>
        <w:t>Regulation (EU) No 1286/2013 of the European Parliament and of the Council of 11 December 2013 establishing an action programme to improve the operation of taxation systems in the European Union for the period 2014-2020 (Fiscalis 2020) and repealing Decision No 1482/2007/EC, OJ L 347, 20.12.2013, p. 25.</w:t>
      </w:r>
    </w:p>
  </w:footnote>
  <w:footnote w:id="29">
    <w:p w14:paraId="5CE3E87B" w14:textId="16D334BA" w:rsidR="00F8296C" w:rsidRPr="00C21973" w:rsidRDefault="00F8296C" w:rsidP="16305A4A">
      <w:pPr>
        <w:pStyle w:val="FootnoteText"/>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Regulation (EU) 2021/1077 of the European Parliament and of the Council of 24 June 2021 establishing, as part of the Integrated Border Management Fund, the instrument for financial support for customs control equipment, OJ L 234, 2.7.2021, p. 1.</w:t>
      </w:r>
    </w:p>
  </w:footnote>
  <w:footnote w:id="30">
    <w:p w14:paraId="35257BC6" w14:textId="463A452F" w:rsidR="00F8296C" w:rsidRPr="00C21973" w:rsidRDefault="00F8296C" w:rsidP="16305A4A">
      <w:pPr>
        <w:pStyle w:val="FootnoteText"/>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Recital 16 of the CCEI Regulation. </w:t>
      </w:r>
    </w:p>
  </w:footnote>
  <w:footnote w:id="31">
    <w:p w14:paraId="531C5302" w14:textId="29649B9E" w:rsidR="00F8296C" w:rsidRPr="00C21973" w:rsidRDefault="00F8296C" w:rsidP="16305A4A">
      <w:pPr>
        <w:pStyle w:val="FootnoteText"/>
        <w:rPr>
          <w:rFonts w:ascii="Times New Roman" w:hAnsi="Times New Roman" w:cs="Times New Roman"/>
          <w:sz w:val="16"/>
          <w:szCs w:val="16"/>
        </w:rPr>
      </w:pPr>
      <w:r w:rsidRPr="00C21973">
        <w:rPr>
          <w:rStyle w:val="FootnoteReference"/>
          <w:rFonts w:ascii="Times New Roman" w:hAnsi="Times New Roman" w:cs="Times New Roman"/>
          <w:sz w:val="16"/>
          <w:szCs w:val="16"/>
        </w:rPr>
        <w:footnoteRef/>
      </w:r>
      <w:r w:rsidRPr="00C21973">
        <w:rPr>
          <w:rFonts w:ascii="Times New Roman" w:hAnsi="Times New Roman" w:cs="Times New Roman"/>
          <w:sz w:val="16"/>
          <w:szCs w:val="16"/>
        </w:rPr>
        <w:t xml:space="preserve"> Regulation (EU) No 250/2014 of the European Parliament and of the Council of 26 February 2014 establishing a programme to promote activities in the field of the protection of the financial interests of the European Union (Hercule III programme) and repealing Decision No 804/2004/EC</w:t>
      </w:r>
      <w:r>
        <w:rPr>
          <w:rFonts w:ascii="Times New Roman" w:hAnsi="Times New Roman" w:cs="Times New Roman"/>
          <w:sz w:val="16"/>
          <w:szCs w:val="16"/>
        </w:rPr>
        <w:t xml:space="preserve">, </w:t>
      </w:r>
      <w:r w:rsidRPr="00C21973">
        <w:rPr>
          <w:rFonts w:ascii="Times New Roman" w:hAnsi="Times New Roman" w:cs="Times New Roman"/>
          <w:sz w:val="16"/>
          <w:szCs w:val="16"/>
        </w:rPr>
        <w:t>OJ L 84, 20.3.2014, p. 6</w:t>
      </w:r>
      <w:r>
        <w:rPr>
          <w:rFonts w:ascii="Times New Roman" w:hAnsi="Times New Roman" w:cs="Times New Roman"/>
          <w:sz w:val="16"/>
          <w:szCs w:val="16"/>
        </w:rPr>
        <w:t>.</w:t>
      </w:r>
    </w:p>
  </w:footnote>
  <w:footnote w:id="32">
    <w:p w14:paraId="3A680A24" w14:textId="10F15D8E" w:rsidR="00F8296C" w:rsidRPr="00F21E44" w:rsidRDefault="00F8296C" w:rsidP="16305A4A">
      <w:pPr>
        <w:pStyle w:val="FootnoteText"/>
        <w:rPr>
          <w:rFonts w:ascii="Times New Roman" w:hAnsi="Times New Roman" w:cs="Times New Roman"/>
          <w:sz w:val="16"/>
          <w:szCs w:val="16"/>
        </w:rPr>
      </w:pPr>
      <w:r w:rsidRPr="00F21E44">
        <w:rPr>
          <w:rStyle w:val="FootnoteReference"/>
          <w:rFonts w:ascii="Times New Roman" w:hAnsi="Times New Roman" w:cs="Times New Roman"/>
          <w:sz w:val="16"/>
          <w:szCs w:val="16"/>
        </w:rPr>
        <w:footnoteRef/>
      </w:r>
      <w:r w:rsidRPr="00F21E44">
        <w:rPr>
          <w:rFonts w:ascii="Times New Roman" w:hAnsi="Times New Roman" w:cs="Times New Roman"/>
          <w:sz w:val="16"/>
          <w:szCs w:val="16"/>
        </w:rPr>
        <w:t xml:space="preserve"> </w:t>
      </w:r>
      <w:r>
        <w:rPr>
          <w:rFonts w:ascii="Times New Roman" w:hAnsi="Times New Roman" w:cs="Times New Roman"/>
          <w:sz w:val="16"/>
          <w:szCs w:val="16"/>
        </w:rPr>
        <w:t xml:space="preserve">Including primarily the </w:t>
      </w:r>
      <w:r w:rsidRPr="00F21E44">
        <w:rPr>
          <w:rFonts w:ascii="Times New Roman" w:hAnsi="Times New Roman" w:cs="Times New Roman"/>
          <w:sz w:val="16"/>
          <w:szCs w:val="16"/>
        </w:rPr>
        <w:t xml:space="preserve">Customs Information System </w:t>
      </w:r>
      <w:r>
        <w:rPr>
          <w:rFonts w:ascii="Times New Roman" w:hAnsi="Times New Roman" w:cs="Times New Roman"/>
          <w:sz w:val="16"/>
          <w:szCs w:val="16"/>
        </w:rPr>
        <w:t>(CIS).</w:t>
      </w:r>
    </w:p>
  </w:footnote>
  <w:footnote w:id="33">
    <w:p w14:paraId="7803ED1D" w14:textId="7AF861F4" w:rsidR="00F8296C" w:rsidRPr="00F57DF9" w:rsidRDefault="00F8296C">
      <w:pPr>
        <w:pStyle w:val="FootnoteText"/>
        <w:rPr>
          <w:rFonts w:ascii="Times New Roman" w:hAnsi="Times New Roman" w:cs="Times New Roman"/>
          <w:sz w:val="16"/>
          <w:szCs w:val="16"/>
        </w:rPr>
      </w:pPr>
      <w:r w:rsidRPr="004972FD">
        <w:rPr>
          <w:rStyle w:val="FootnoteReference"/>
          <w:rFonts w:ascii="Times New Roman" w:hAnsi="Times New Roman" w:cs="Times New Roman"/>
          <w:sz w:val="16"/>
          <w:szCs w:val="16"/>
        </w:rPr>
        <w:footnoteRef/>
      </w:r>
      <w:r>
        <w:t xml:space="preserve"> </w:t>
      </w:r>
      <w:r w:rsidRPr="00F57DF9">
        <w:rPr>
          <w:rFonts w:ascii="Times New Roman" w:hAnsi="Times New Roman" w:cs="Times New Roman"/>
          <w:sz w:val="16"/>
          <w:szCs w:val="16"/>
        </w:rPr>
        <w:t>Forest Law Enforcement, Governance and Trade</w:t>
      </w:r>
    </w:p>
  </w:footnote>
  <w:footnote w:id="34">
    <w:p w14:paraId="64134E3E" w14:textId="6E683907" w:rsidR="00F8296C" w:rsidRPr="00344B13" w:rsidRDefault="00F8296C" w:rsidP="16305A4A">
      <w:pPr>
        <w:pStyle w:val="FootnoteText"/>
        <w:rPr>
          <w:lang w:val="lv-LV"/>
        </w:rPr>
      </w:pPr>
      <w:r w:rsidRPr="004972FD">
        <w:rPr>
          <w:rStyle w:val="FootnoteReference"/>
          <w:rFonts w:ascii="Times New Roman" w:hAnsi="Times New Roman" w:cs="Times New Roman"/>
          <w:sz w:val="16"/>
          <w:szCs w:val="16"/>
        </w:rPr>
        <w:footnoteRef/>
      </w:r>
      <w:r w:rsidRPr="004972FD">
        <w:rPr>
          <w:rFonts w:ascii="Times New Roman" w:hAnsi="Times New Roman" w:cs="Times New Roman"/>
          <w:sz w:val="16"/>
          <w:szCs w:val="16"/>
        </w:rPr>
        <w:t xml:space="preserve"> </w:t>
      </w:r>
      <w:r w:rsidRPr="00DD14E3">
        <w:rPr>
          <w:rFonts w:ascii="Times New Roman" w:hAnsi="Times New Roman" w:cs="Times New Roman"/>
          <w:sz w:val="16"/>
          <w:szCs w:val="16"/>
        </w:rPr>
        <w:t>These platforms manage</w:t>
      </w:r>
      <w:r w:rsidRPr="00F208DC">
        <w:rPr>
          <w:rFonts w:ascii="Times New Roman" w:hAnsi="Times New Roman" w:cs="Times New Roman"/>
          <w:sz w:val="16"/>
          <w:szCs w:val="16"/>
          <w:lang w:val="lv-LV"/>
        </w:rPr>
        <w:t xml:space="preserve"> the Ozone Depleting Substances licenses and </w:t>
      </w:r>
      <w:r>
        <w:rPr>
          <w:rFonts w:ascii="Times New Roman" w:hAnsi="Times New Roman" w:cs="Times New Roman"/>
          <w:sz w:val="16"/>
          <w:szCs w:val="16"/>
          <w:lang w:val="lv-LV"/>
        </w:rPr>
        <w:t>fluorinated greenhouse gases (f-gas)</w:t>
      </w:r>
      <w:r w:rsidRPr="00F208DC">
        <w:rPr>
          <w:rFonts w:ascii="Times New Roman" w:hAnsi="Times New Roman" w:cs="Times New Roman"/>
          <w:sz w:val="16"/>
          <w:szCs w:val="16"/>
          <w:lang w:val="lv-LV"/>
        </w:rPr>
        <w:t xml:space="preserve"> authorisation/quotas.</w:t>
      </w:r>
    </w:p>
  </w:footnote>
  <w:footnote w:id="35">
    <w:p w14:paraId="55A8ED05" w14:textId="5A26163F" w:rsidR="00F8296C" w:rsidRPr="00703356" w:rsidRDefault="00F8296C">
      <w:pPr>
        <w:pStyle w:val="FootnoteText"/>
        <w:rPr>
          <w:rFonts w:ascii="Times New Roman" w:hAnsi="Times New Roman" w:cs="Times New Roman"/>
          <w:sz w:val="16"/>
          <w:szCs w:val="16"/>
        </w:rPr>
      </w:pPr>
      <w:r w:rsidRPr="004972FD">
        <w:rPr>
          <w:rStyle w:val="FootnoteReference"/>
          <w:rFonts w:ascii="Times New Roman" w:hAnsi="Times New Roman" w:cs="Times New Roman"/>
          <w:sz w:val="16"/>
          <w:szCs w:val="16"/>
        </w:rPr>
        <w:footnoteRef/>
      </w:r>
      <w:r w:rsidRPr="004972FD">
        <w:rPr>
          <w:rFonts w:ascii="Times New Roman" w:hAnsi="Times New Roman" w:cs="Times New Roman"/>
          <w:sz w:val="16"/>
          <w:szCs w:val="16"/>
        </w:rPr>
        <w:t xml:space="preserve"> </w:t>
      </w:r>
      <w:r w:rsidRPr="00703356">
        <w:rPr>
          <w:rFonts w:ascii="Times New Roman" w:hAnsi="Times New Roman" w:cs="Times New Roman"/>
          <w:sz w:val="16"/>
          <w:szCs w:val="16"/>
        </w:rPr>
        <w:t>Information and Communication System on Market Surveillance</w:t>
      </w:r>
      <w:r>
        <w:rPr>
          <w:rFonts w:ascii="Times New Roman" w:hAnsi="Times New Roman" w:cs="Times New Roman"/>
          <w:sz w:val="16"/>
          <w:szCs w:val="16"/>
        </w:rPr>
        <w:t xml:space="preserve"> (ICSMS)</w:t>
      </w:r>
    </w:p>
  </w:footnote>
  <w:footnote w:id="36">
    <w:p w14:paraId="5495EEE6" w14:textId="1C55BCAC" w:rsidR="00F8296C" w:rsidRPr="0026679F" w:rsidRDefault="00F8296C">
      <w:pPr>
        <w:pStyle w:val="FootnoteText"/>
        <w:rPr>
          <w:rFonts w:ascii="Times New Roman" w:hAnsi="Times New Roman" w:cs="Times New Roman"/>
          <w:sz w:val="16"/>
          <w:szCs w:val="16"/>
          <w:lang w:val="lv-LV"/>
        </w:rPr>
      </w:pPr>
      <w:r w:rsidRPr="004972FD">
        <w:rPr>
          <w:rStyle w:val="FootnoteReference"/>
          <w:rFonts w:ascii="Times New Roman" w:hAnsi="Times New Roman" w:cs="Times New Roman"/>
          <w:sz w:val="16"/>
          <w:szCs w:val="16"/>
        </w:rPr>
        <w:footnoteRef/>
      </w:r>
      <w:r>
        <w:t xml:space="preserve"> </w:t>
      </w:r>
      <w:r w:rsidRPr="0026679F">
        <w:rPr>
          <w:rFonts w:ascii="Times New Roman" w:hAnsi="Times New Roman" w:cs="Times New Roman"/>
          <w:sz w:val="16"/>
          <w:szCs w:val="16"/>
          <w:lang w:val="lv-LV"/>
        </w:rPr>
        <w:t>T</w:t>
      </w:r>
      <w:r>
        <w:rPr>
          <w:rFonts w:ascii="Times New Roman" w:hAnsi="Times New Roman" w:cs="Times New Roman"/>
          <w:sz w:val="16"/>
          <w:szCs w:val="16"/>
          <w:lang w:val="lv-LV"/>
        </w:rPr>
        <w:t>ra</w:t>
      </w:r>
      <w:r w:rsidRPr="0026679F">
        <w:rPr>
          <w:rFonts w:ascii="Times New Roman" w:hAnsi="Times New Roman" w:cs="Times New Roman"/>
          <w:sz w:val="16"/>
          <w:szCs w:val="16"/>
          <w:lang w:val="lv-LV"/>
        </w:rPr>
        <w:t>de Control and Expert System</w:t>
      </w:r>
    </w:p>
  </w:footnote>
  <w:footnote w:id="37">
    <w:p w14:paraId="541C074A" w14:textId="2A01BBA8" w:rsidR="00F8296C" w:rsidRPr="001F3DF2" w:rsidRDefault="00F8296C">
      <w:pPr>
        <w:pStyle w:val="FootnoteText"/>
        <w:rPr>
          <w:lang w:val="en-IE"/>
        </w:rPr>
      </w:pPr>
      <w:r w:rsidRPr="004972FD">
        <w:rPr>
          <w:rStyle w:val="FootnoteReference"/>
          <w:rFonts w:ascii="Times New Roman" w:hAnsi="Times New Roman" w:cs="Times New Roman"/>
          <w:sz w:val="16"/>
          <w:szCs w:val="16"/>
        </w:rPr>
        <w:footnoteRef/>
      </w:r>
      <w:r>
        <w:t xml:space="preserve"> </w:t>
      </w:r>
      <w:r w:rsidRPr="0034230A">
        <w:rPr>
          <w:rFonts w:ascii="Times New Roman" w:hAnsi="Times New Roman" w:cs="Times New Roman"/>
          <w:sz w:val="16"/>
          <w:szCs w:val="16"/>
          <w:lang w:val="lv-LV"/>
        </w:rPr>
        <w:t>The</w:t>
      </w:r>
      <w:r w:rsidRPr="001F3DF2">
        <w:rPr>
          <w:rFonts w:ascii="Times New Roman" w:hAnsi="Times New Roman" w:cs="Times New Roman"/>
          <w:sz w:val="16"/>
          <w:szCs w:val="16"/>
          <w:lang w:val="lv-LV"/>
        </w:rPr>
        <w:t xml:space="preserve"> interconnection</w:t>
      </w:r>
      <w:r>
        <w:rPr>
          <w:rFonts w:ascii="Times New Roman" w:hAnsi="Times New Roman" w:cs="Times New Roman"/>
          <w:sz w:val="16"/>
          <w:szCs w:val="16"/>
          <w:lang w:val="lv-LV"/>
        </w:rPr>
        <w:t>s</w:t>
      </w:r>
      <w:r w:rsidRPr="001F3DF2">
        <w:rPr>
          <w:rFonts w:ascii="Times New Roman" w:hAnsi="Times New Roman" w:cs="Times New Roman"/>
          <w:sz w:val="16"/>
          <w:szCs w:val="16"/>
          <w:lang w:val="lv-LV"/>
        </w:rPr>
        <w:t xml:space="preserve"> of the Single Window platform</w:t>
      </w:r>
      <w:r>
        <w:rPr>
          <w:rFonts w:ascii="Times New Roman" w:hAnsi="Times New Roman" w:cs="Times New Roman"/>
          <w:sz w:val="16"/>
          <w:szCs w:val="16"/>
          <w:lang w:val="lv-LV"/>
        </w:rPr>
        <w:t xml:space="preserve"> </w:t>
      </w:r>
      <w:r w:rsidRPr="001F3DF2">
        <w:rPr>
          <w:rFonts w:ascii="Times New Roman" w:hAnsi="Times New Roman" w:cs="Times New Roman"/>
          <w:sz w:val="16"/>
          <w:szCs w:val="16"/>
          <w:lang w:val="lv-LV"/>
        </w:rPr>
        <w:t>concern partner DGs CLIMA</w:t>
      </w:r>
      <w:r>
        <w:rPr>
          <w:rFonts w:ascii="Times New Roman" w:hAnsi="Times New Roman" w:cs="Times New Roman"/>
          <w:sz w:val="16"/>
          <w:szCs w:val="16"/>
          <w:lang w:val="lv-LV"/>
        </w:rPr>
        <w:t>,</w:t>
      </w:r>
      <w:r w:rsidRPr="001F3DF2">
        <w:rPr>
          <w:rFonts w:ascii="Times New Roman" w:hAnsi="Times New Roman" w:cs="Times New Roman"/>
          <w:sz w:val="16"/>
          <w:szCs w:val="16"/>
          <w:lang w:val="lv-LV"/>
        </w:rPr>
        <w:t xml:space="preserve"> SANTE and TRADE.</w:t>
      </w:r>
    </w:p>
  </w:footnote>
  <w:footnote w:id="38">
    <w:p w14:paraId="6EC4116C" w14:textId="188421DF" w:rsidR="00F8296C" w:rsidRPr="00A70B72" w:rsidRDefault="00F8296C">
      <w:pPr>
        <w:pStyle w:val="FootnoteText"/>
        <w:rPr>
          <w:rFonts w:ascii="Times New Roman" w:hAnsi="Times New Roman" w:cs="Times New Roman"/>
          <w:sz w:val="16"/>
          <w:szCs w:val="16"/>
        </w:rPr>
      </w:pPr>
      <w:r w:rsidRPr="00A70B72">
        <w:rPr>
          <w:rStyle w:val="FootnoteReference"/>
          <w:rFonts w:ascii="Times New Roman" w:hAnsi="Times New Roman" w:cs="Times New Roman"/>
          <w:sz w:val="16"/>
          <w:szCs w:val="16"/>
        </w:rPr>
        <w:footnoteRef/>
      </w:r>
      <w:r>
        <w:t xml:space="preserve"> </w:t>
      </w:r>
      <w:r w:rsidRPr="00A70B72">
        <w:rPr>
          <w:rFonts w:ascii="Times New Roman" w:hAnsi="Times New Roman" w:cs="Times New Roman"/>
          <w:sz w:val="16"/>
          <w:szCs w:val="16"/>
        </w:rPr>
        <w:t xml:space="preserve">Based on the Event assessment survey </w:t>
      </w:r>
    </w:p>
  </w:footnote>
  <w:footnote w:id="39">
    <w:p w14:paraId="52F0E951" w14:textId="5BCD2F92" w:rsidR="00F8296C" w:rsidRPr="00D528C1" w:rsidRDefault="00F8296C">
      <w:pPr>
        <w:pStyle w:val="FootnoteText"/>
        <w:rPr>
          <w:rFonts w:ascii="Times New Roman" w:hAnsi="Times New Roman" w:cs="Times New Roman"/>
          <w:sz w:val="16"/>
          <w:szCs w:val="16"/>
        </w:rPr>
      </w:pPr>
      <w:r w:rsidRPr="00A70B72">
        <w:rPr>
          <w:rStyle w:val="FootnoteReference"/>
          <w:rFonts w:ascii="Times New Roman" w:hAnsi="Times New Roman" w:cs="Times New Roman"/>
          <w:sz w:val="16"/>
          <w:szCs w:val="16"/>
        </w:rPr>
        <w:footnoteRef/>
      </w:r>
      <w:r w:rsidRPr="00A70B72">
        <w:rPr>
          <w:rFonts w:ascii="Times New Roman" w:hAnsi="Times New Roman" w:cs="Times New Roman"/>
          <w:sz w:val="16"/>
          <w:szCs w:val="16"/>
        </w:rPr>
        <w:t xml:space="preserve"> </w:t>
      </w:r>
      <w:r w:rsidRPr="00D528C1">
        <w:rPr>
          <w:rFonts w:ascii="Times New Roman" w:hAnsi="Times New Roman" w:cs="Times New Roman"/>
          <w:sz w:val="16"/>
          <w:szCs w:val="16"/>
        </w:rPr>
        <w:t xml:space="preserve">Special Report 04/2021: Customs controls: insufficient harmonisation hampers EU financial interests - </w:t>
      </w:r>
      <w:hyperlink r:id="rId6" w:history="1">
        <w:r w:rsidRPr="005E67E9">
          <w:rPr>
            <w:rStyle w:val="Hyperlink"/>
            <w:rFonts w:ascii="Times New Roman" w:hAnsi="Times New Roman" w:cs="Times New Roman"/>
            <w:sz w:val="16"/>
            <w:szCs w:val="16"/>
          </w:rPr>
          <w:t>https://www.eca.europa.eu/en/Pages/DocItem.aspx?did=58256</w:t>
        </w:r>
      </w:hyperlink>
      <w:r>
        <w:rPr>
          <w:rFonts w:ascii="Times New Roman" w:hAnsi="Times New Roman" w:cs="Times New Roman"/>
          <w:sz w:val="16"/>
          <w:szCs w:val="16"/>
        </w:rPr>
        <w:t xml:space="preserve"> </w:t>
      </w:r>
    </w:p>
  </w:footnote>
  <w:footnote w:id="40">
    <w:p w14:paraId="2C48283B" w14:textId="77777777" w:rsidR="00F8296C" w:rsidRPr="00291CBC" w:rsidRDefault="00F8296C" w:rsidP="0012426A">
      <w:pPr>
        <w:pStyle w:val="FootnoteText"/>
        <w:jc w:val="both"/>
        <w:rPr>
          <w:rFonts w:ascii="Times New Roman" w:hAnsi="Times New Roman" w:cs="Times New Roman"/>
          <w:sz w:val="16"/>
          <w:szCs w:val="16"/>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Expenses in the year 2021 were split between the Customs 2020 and the Customs programme’s budgets. For actions under the Customs 2020 budget, the previous Performance Measurement Framework (PMF) applies. Collaborative actions under Customs 2020 finished on 30 November 2021. Reporting for collaborative activities thus covers the period January-November 2021. Reporting for training and eLearning under Customs 2020 covers the period January-December 2021, since Member States report on an annual basis. Reporting for IT systems under Customs 2020 covers the period January-June 2021.</w:t>
      </w:r>
    </w:p>
  </w:footnote>
  <w:footnote w:id="41">
    <w:p w14:paraId="673C329A" w14:textId="56D64470" w:rsidR="00F8296C" w:rsidRPr="00373851" w:rsidRDefault="00F8296C" w:rsidP="0012426A">
      <w:pPr>
        <w:pStyle w:val="FootnoteText"/>
        <w:jc w:val="both"/>
        <w:rPr>
          <w:lang w:val="en-GB"/>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Including training</w:t>
      </w:r>
      <w:r>
        <w:rPr>
          <w:rFonts w:ascii="Times New Roman" w:hAnsi="Times New Roman" w:cs="Times New Roman"/>
          <w:sz w:val="16"/>
          <w:szCs w:val="16"/>
        </w:rPr>
        <w:t>-related procurement</w:t>
      </w:r>
      <w:r w:rsidRPr="00291CBC">
        <w:rPr>
          <w:rFonts w:ascii="Times New Roman" w:hAnsi="Times New Roman" w:cs="Times New Roman"/>
          <w:sz w:val="16"/>
          <w:szCs w:val="16"/>
        </w:rPr>
        <w:t>, studies, communication, information support, programme management support and IT collaboration support.</w:t>
      </w:r>
    </w:p>
  </w:footnote>
  <w:footnote w:id="42">
    <w:p w14:paraId="06F52149" w14:textId="798A43A9" w:rsidR="00F8296C" w:rsidRPr="00954F97" w:rsidRDefault="00F8296C">
      <w:pPr>
        <w:pStyle w:val="FootnoteText"/>
        <w:rPr>
          <w:rFonts w:ascii="Times New Roman" w:hAnsi="Times New Roman" w:cs="Times New Roman"/>
          <w:sz w:val="16"/>
          <w:szCs w:val="16"/>
        </w:rPr>
      </w:pPr>
      <w:r w:rsidRPr="00A70B72">
        <w:rPr>
          <w:rStyle w:val="FootnoteReference"/>
          <w:rFonts w:ascii="Times New Roman" w:hAnsi="Times New Roman" w:cs="Times New Roman"/>
          <w:sz w:val="16"/>
          <w:szCs w:val="16"/>
        </w:rPr>
        <w:footnoteRef/>
      </w:r>
      <w:r w:rsidRPr="00A70B72">
        <w:rPr>
          <w:rFonts w:ascii="Times New Roman" w:hAnsi="Times New Roman" w:cs="Times New Roman"/>
          <w:sz w:val="16"/>
          <w:szCs w:val="16"/>
        </w:rPr>
        <w:t xml:space="preserve"> </w:t>
      </w:r>
      <w:r w:rsidRPr="00954F97">
        <w:rPr>
          <w:rFonts w:ascii="Times New Roman" w:hAnsi="Times New Roman" w:cs="Times New Roman"/>
          <w:sz w:val="16"/>
          <w:szCs w:val="16"/>
        </w:rPr>
        <w:t>No commitments were made on AWP 2020 and the related Financing Decision</w:t>
      </w:r>
      <w:r>
        <w:rPr>
          <w:rFonts w:ascii="Times New Roman" w:hAnsi="Times New Roman" w:cs="Times New Roman"/>
          <w:sz w:val="16"/>
          <w:szCs w:val="16"/>
        </w:rPr>
        <w:t xml:space="preserve"> in year 2021. All the related commitments were made in 2020. </w:t>
      </w:r>
    </w:p>
  </w:footnote>
  <w:footnote w:id="43">
    <w:p w14:paraId="0B6E2F9D" w14:textId="77777777" w:rsidR="00F8296C" w:rsidRPr="00291CBC" w:rsidRDefault="00F8296C" w:rsidP="001F3DF2">
      <w:pPr>
        <w:pStyle w:val="FootnoteText"/>
        <w:rPr>
          <w:rFonts w:ascii="Times New Roman" w:hAnsi="Times New Roman" w:cs="Times New Roman"/>
          <w:sz w:val="16"/>
          <w:szCs w:val="16"/>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MASP-C Rev 2019 V1.1: UCC GUM, NCTS P6, CSW-CERTEX (Dual use – R3.0.0).</w:t>
      </w:r>
    </w:p>
  </w:footnote>
  <w:footnote w:id="44">
    <w:p w14:paraId="1D256291" w14:textId="77777777" w:rsidR="00F8296C" w:rsidRPr="00291CBC" w:rsidRDefault="00F8296C" w:rsidP="001F3DF2">
      <w:pPr>
        <w:pStyle w:val="FootnoteText"/>
        <w:rPr>
          <w:rFonts w:ascii="Times New Roman" w:hAnsi="Times New Roman" w:cs="Times New Roman"/>
          <w:sz w:val="16"/>
          <w:szCs w:val="16"/>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CLASS P2, UCC ICS 2.0 release 2, CRMS2, UCC CCI P1, UCC CCI P2, COPIS e-AFA, CUP-MIS, VAT e-Commerce Phase 2 IOSS, UCC PoUS P1, UCC PoUS P2, CSW-CERTEX (FGAS – R2.0.0).</w:t>
      </w:r>
    </w:p>
  </w:footnote>
  <w:footnote w:id="45">
    <w:p w14:paraId="3E4327EC" w14:textId="77777777" w:rsidR="00F8296C" w:rsidRPr="00291CBC" w:rsidRDefault="00F8296C" w:rsidP="001F3DF2">
      <w:pPr>
        <w:pStyle w:val="FootnoteText"/>
        <w:rPr>
          <w:rFonts w:ascii="Times New Roman" w:hAnsi="Times New Roman" w:cs="Times New Roman"/>
          <w:sz w:val="16"/>
          <w:szCs w:val="16"/>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UCC ICS 2.0 release 1, NCTS P5, UCC AES, REX3 (STP). </w:t>
      </w:r>
    </w:p>
  </w:footnote>
  <w:footnote w:id="46">
    <w:p w14:paraId="315F5B02" w14:textId="77777777" w:rsidR="00F8296C" w:rsidRPr="00291CBC" w:rsidRDefault="00F8296C" w:rsidP="001F3DF2">
      <w:pPr>
        <w:pStyle w:val="FootnoteText"/>
        <w:rPr>
          <w:rFonts w:ascii="Times New Roman" w:hAnsi="Times New Roman" w:cs="Times New Roman"/>
          <w:sz w:val="16"/>
          <w:szCs w:val="16"/>
          <w:lang w:val="en-GB"/>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Projects that are progressing in line with the requirements, time and budget limitations set-up. </w:t>
      </w:r>
    </w:p>
  </w:footnote>
  <w:footnote w:id="47">
    <w:p w14:paraId="32332023" w14:textId="77777777" w:rsidR="00F8296C" w:rsidRPr="00291CBC" w:rsidRDefault="00F8296C" w:rsidP="001F3DF2">
      <w:pPr>
        <w:pStyle w:val="FootnoteText"/>
        <w:rPr>
          <w:rFonts w:ascii="Times New Roman" w:hAnsi="Times New Roman" w:cs="Times New Roman"/>
          <w:sz w:val="16"/>
          <w:szCs w:val="16"/>
        </w:rPr>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Based on the MASP-C dashboard for ECCG73 : Green (6) – AES, NCTS P5, NCTS P6, COPIS eAFA, UCC CCI P2, High availability Gold Service; Amber (4): CRMS2, UCC GUM, UCC CCI P1, PoUS P1</w:t>
      </w:r>
    </w:p>
  </w:footnote>
  <w:footnote w:id="48">
    <w:p w14:paraId="6E64B255" w14:textId="77777777" w:rsidR="00F8296C" w:rsidRPr="00BA4B0A" w:rsidRDefault="00F8296C" w:rsidP="001F3DF2">
      <w:pPr>
        <w:pStyle w:val="FootnoteText"/>
      </w:pPr>
      <w:r w:rsidRPr="00291CBC">
        <w:rPr>
          <w:rStyle w:val="FootnoteReference"/>
          <w:rFonts w:ascii="Times New Roman" w:hAnsi="Times New Roman" w:cs="Times New Roman"/>
          <w:sz w:val="16"/>
          <w:szCs w:val="16"/>
        </w:rPr>
        <w:footnoteRef/>
      </w:r>
      <w:r w:rsidRPr="00291CBC">
        <w:rPr>
          <w:rFonts w:ascii="Times New Roman" w:hAnsi="Times New Roman" w:cs="Times New Roman"/>
          <w:sz w:val="16"/>
          <w:szCs w:val="16"/>
        </w:rPr>
        <w:t xml:space="preserve"> Based on the MASP-C dashboard for ECCG73 : Green (12) – AES, NCTS P5, NCTS P6, COPIS eAFA, High availability Gold Service, ICS2 R2, ICS R3, UCC CCI P1, UCC CCI P2, CUP-MIS, PoUS P1, PoUS P2; Amber (5) – EU SWC-Dual Use, CLASS P2, CLASS P3, CRMS2, UCC GUM.</w:t>
      </w:r>
      <w:r>
        <w:rPr>
          <w:sz w:val="16"/>
          <w:szCs w:val="16"/>
        </w:rPr>
        <w:t xml:space="preserve"> </w:t>
      </w:r>
    </w:p>
  </w:footnote>
  <w:footnote w:id="49">
    <w:p w14:paraId="33245E44" w14:textId="23F240AC" w:rsidR="00F8296C" w:rsidRPr="00EE4082" w:rsidRDefault="00F8296C">
      <w:pPr>
        <w:pStyle w:val="FootnoteText"/>
        <w:rPr>
          <w:rFonts w:ascii="Times New Roman" w:hAnsi="Times New Roman" w:cs="Times New Roman"/>
          <w:sz w:val="16"/>
          <w:szCs w:val="16"/>
        </w:rPr>
      </w:pPr>
      <w:r w:rsidRPr="00EE4082">
        <w:rPr>
          <w:rStyle w:val="FootnoteReference"/>
          <w:rFonts w:ascii="Times New Roman" w:hAnsi="Times New Roman" w:cs="Times New Roman"/>
          <w:sz w:val="16"/>
          <w:szCs w:val="16"/>
        </w:rPr>
        <w:footnoteRef/>
      </w:r>
      <w:r w:rsidRPr="00EE4082">
        <w:rPr>
          <w:rFonts w:ascii="Times New Roman" w:hAnsi="Times New Roman" w:cs="Times New Roman"/>
          <w:sz w:val="16"/>
          <w:szCs w:val="16"/>
        </w:rPr>
        <w:t xml:space="preserve"> Total number of meetings including the</w:t>
      </w:r>
      <w:r>
        <w:rPr>
          <w:rFonts w:ascii="Times New Roman" w:hAnsi="Times New Roman" w:cs="Times New Roman"/>
          <w:sz w:val="16"/>
          <w:szCs w:val="16"/>
        </w:rPr>
        <w:t xml:space="preserve"> virtual meetings is</w:t>
      </w:r>
      <w:r w:rsidRPr="00EE4082">
        <w:rPr>
          <w:rFonts w:ascii="Times New Roman" w:hAnsi="Times New Roman" w:cs="Times New Roman"/>
          <w:sz w:val="16"/>
          <w:szCs w:val="16"/>
        </w:rPr>
        <w:t xml:space="preserve"> 286.</w:t>
      </w:r>
    </w:p>
  </w:footnote>
  <w:footnote w:id="50">
    <w:p w14:paraId="281A5BFE" w14:textId="487A6BA9" w:rsidR="00F8296C" w:rsidRPr="005F1A86" w:rsidRDefault="00F8296C" w:rsidP="001F3DF2">
      <w:pPr>
        <w:pStyle w:val="FootnoteText"/>
        <w:rPr>
          <w:rFonts w:ascii="Times New Roman" w:hAnsi="Times New Roman" w:cs="Times New Roman"/>
          <w:sz w:val="16"/>
          <w:szCs w:val="16"/>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Corresponding to 2 new modules and the following language versions: 3 of Customs </w:t>
      </w:r>
      <w:r>
        <w:rPr>
          <w:rFonts w:ascii="Times New Roman" w:hAnsi="Times New Roman" w:cs="Times New Roman"/>
          <w:sz w:val="16"/>
          <w:szCs w:val="16"/>
        </w:rPr>
        <w:t>C</w:t>
      </w:r>
      <w:r w:rsidRPr="005F1A86">
        <w:rPr>
          <w:rFonts w:ascii="Times New Roman" w:hAnsi="Times New Roman" w:cs="Times New Roman"/>
          <w:sz w:val="16"/>
          <w:szCs w:val="16"/>
        </w:rPr>
        <w:t xml:space="preserve">ontrols: Prohibitions and Restrictions, 11 of the 2 modules on Radiation and Nuclear Detection, 5 of the 5 modules of Car Search Programme, 14 of Container Examination, 21 of UUM&amp;DS system and 21 of INF Special Procedures.  </w:t>
      </w:r>
    </w:p>
  </w:footnote>
  <w:footnote w:id="51">
    <w:p w14:paraId="1647F585" w14:textId="77777777" w:rsidR="00F8296C" w:rsidRPr="008A1370" w:rsidRDefault="00F8296C" w:rsidP="001F3DF2">
      <w:pPr>
        <w:pStyle w:val="FootnoteText"/>
        <w:rPr>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Customs officials from participating countries administrations that have completed an eLearning course on the Customs &amp; Tax EU Learning Portal and number of officials trained reported in the download of customs officials. In 2021, the number of customs officials trained as reported by national administrations since the Learning portal was launch in May 2021 was also accounted for.</w:t>
      </w:r>
    </w:p>
  </w:footnote>
  <w:footnote w:id="52">
    <w:p w14:paraId="5198D7B5" w14:textId="06EECB79" w:rsidR="00F8296C" w:rsidRPr="00E7026B" w:rsidRDefault="00F8296C" w:rsidP="001F3DF2">
      <w:pPr>
        <w:pStyle w:val="FootnoteText"/>
        <w:rPr>
          <w:rFonts w:ascii="Times New Roman" w:hAnsi="Times New Roman" w:cs="Times New Roman"/>
          <w:sz w:val="16"/>
          <w:szCs w:val="16"/>
          <w:lang w:val="en-GB"/>
        </w:rPr>
      </w:pPr>
      <w:r w:rsidRPr="00E7026B">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E7026B">
        <w:rPr>
          <w:rFonts w:ascii="Times New Roman" w:hAnsi="Times New Roman" w:cs="Times New Roman"/>
          <w:sz w:val="16"/>
          <w:szCs w:val="16"/>
        </w:rPr>
        <w:t>Expenses in the year 2021 were split between the Customs 2020 and the Customs programme’s budgets. Reporting covers the period of December 2021 for collaborative actions. For training and eLearning, the Customs 2020 reporting covers the period January-December 2021, since Member States report on an annual basis. Reporting for IT systems under the Customs programme covers the period July-December 2021.</w:t>
      </w:r>
    </w:p>
  </w:footnote>
  <w:footnote w:id="53">
    <w:p w14:paraId="6F981723" w14:textId="77777777" w:rsidR="00F8296C" w:rsidRPr="00E7026B" w:rsidRDefault="00F8296C" w:rsidP="001F3DF2">
      <w:pPr>
        <w:pStyle w:val="FootnoteText"/>
        <w:rPr>
          <w:rFonts w:ascii="Times New Roman" w:hAnsi="Times New Roman" w:cs="Times New Roman"/>
          <w:sz w:val="16"/>
          <w:szCs w:val="16"/>
        </w:rPr>
      </w:pPr>
      <w:r w:rsidRPr="00E7026B">
        <w:rPr>
          <w:rStyle w:val="FootnoteReference"/>
          <w:rFonts w:ascii="Times New Roman" w:hAnsi="Times New Roman" w:cs="Times New Roman"/>
          <w:sz w:val="16"/>
          <w:szCs w:val="16"/>
        </w:rPr>
        <w:footnoteRef/>
      </w:r>
      <w:r w:rsidRPr="00E7026B">
        <w:rPr>
          <w:rFonts w:ascii="Times New Roman" w:hAnsi="Times New Roman" w:cs="Times New Roman"/>
          <w:sz w:val="16"/>
          <w:szCs w:val="16"/>
        </w:rPr>
        <w:t xml:space="preserve"> Including training, studies, communication, information support, programme management support and IT collaboration support (as per section 3.2 of the MAWP). </w:t>
      </w:r>
    </w:p>
  </w:footnote>
  <w:footnote w:id="54">
    <w:p w14:paraId="38BC987F" w14:textId="299AFCF6" w:rsidR="00F8296C" w:rsidRPr="00E7026B" w:rsidRDefault="00F8296C" w:rsidP="001F3DF2">
      <w:pPr>
        <w:pStyle w:val="FootnoteText"/>
        <w:rPr>
          <w:rFonts w:ascii="Times New Roman" w:hAnsi="Times New Roman" w:cs="Times New Roman"/>
          <w:sz w:val="16"/>
          <w:szCs w:val="16"/>
          <w:lang w:val="en-GB"/>
        </w:rPr>
      </w:pPr>
      <w:r w:rsidRPr="00E7026B">
        <w:rPr>
          <w:rStyle w:val="FootnoteReference"/>
          <w:rFonts w:ascii="Times New Roman" w:hAnsi="Times New Roman" w:cs="Times New Roman"/>
          <w:sz w:val="16"/>
          <w:szCs w:val="16"/>
        </w:rPr>
        <w:footnoteRef/>
      </w:r>
      <w:r w:rsidRPr="00E7026B">
        <w:rPr>
          <w:rFonts w:ascii="Times New Roman" w:hAnsi="Times New Roman" w:cs="Times New Roman"/>
          <w:sz w:val="16"/>
          <w:szCs w:val="16"/>
        </w:rPr>
        <w:t xml:space="preserve"> </w:t>
      </w:r>
      <w:r w:rsidRPr="00E7026B">
        <w:rPr>
          <w:rFonts w:ascii="Times New Roman" w:hAnsi="Times New Roman" w:cs="Times New Roman"/>
          <w:sz w:val="16"/>
          <w:szCs w:val="16"/>
          <w:lang w:val="en-GB"/>
        </w:rPr>
        <w:t xml:space="preserve">The Multiannual Work Programme </w:t>
      </w:r>
      <w:r>
        <w:rPr>
          <w:rFonts w:ascii="Times New Roman" w:hAnsi="Times New Roman" w:cs="Times New Roman"/>
          <w:sz w:val="16"/>
          <w:szCs w:val="16"/>
          <w:lang w:val="en-GB"/>
        </w:rPr>
        <w:t>of the Customs programme</w:t>
      </w:r>
      <w:r w:rsidRPr="00E7026B">
        <w:rPr>
          <w:rFonts w:ascii="Times New Roman" w:hAnsi="Times New Roman" w:cs="Times New Roman"/>
          <w:sz w:val="16"/>
          <w:szCs w:val="16"/>
          <w:lang w:val="en-GB"/>
        </w:rPr>
        <w:t xml:space="preserve"> covers the period 2021 - 2022. The budgetary figures have been split per year based on the data provided for adopting the related Financing Decision. </w:t>
      </w:r>
    </w:p>
  </w:footnote>
  <w:footnote w:id="55">
    <w:p w14:paraId="598470EB" w14:textId="3880DD10" w:rsidR="00F8296C" w:rsidRPr="00496C6E" w:rsidRDefault="00F8296C">
      <w:pPr>
        <w:pStyle w:val="FootnoteText"/>
        <w:rPr>
          <w:rFonts w:ascii="Times New Roman" w:hAnsi="Times New Roman" w:cs="Times New Roman"/>
          <w:sz w:val="16"/>
          <w:szCs w:val="16"/>
          <w:lang w:val="en-GB"/>
        </w:rPr>
      </w:pPr>
      <w:r w:rsidRPr="00496C6E">
        <w:rPr>
          <w:rStyle w:val="FootnoteReference"/>
          <w:rFonts w:ascii="Times New Roman" w:hAnsi="Times New Roman" w:cs="Times New Roman"/>
          <w:sz w:val="16"/>
          <w:szCs w:val="16"/>
        </w:rPr>
        <w:footnoteRef/>
      </w:r>
      <w:r>
        <w:t xml:space="preserve"> </w:t>
      </w:r>
      <w:r w:rsidRPr="00496C6E">
        <w:rPr>
          <w:rFonts w:ascii="Times New Roman" w:hAnsi="Times New Roman" w:cs="Times New Roman"/>
          <w:sz w:val="16"/>
          <w:szCs w:val="16"/>
          <w:lang w:val="en-GB"/>
        </w:rPr>
        <w:t>The data</w:t>
      </w:r>
      <w:r>
        <w:rPr>
          <w:rFonts w:ascii="Times New Roman" w:hAnsi="Times New Roman" w:cs="Times New Roman"/>
          <w:sz w:val="16"/>
          <w:szCs w:val="16"/>
          <w:lang w:val="en-GB"/>
        </w:rPr>
        <w:t xml:space="preserve"> includes Denmark who will join the related grant retroactively. Croatia and France did not provide data input to the Commission and thus indicated with zero participants. Malta reported zero participants for the period. </w:t>
      </w:r>
    </w:p>
  </w:footnote>
  <w:footnote w:id="56">
    <w:p w14:paraId="78B77810" w14:textId="52D252C5" w:rsidR="00F8296C" w:rsidRPr="00FA60DD" w:rsidRDefault="00F8296C">
      <w:pPr>
        <w:pStyle w:val="FootnoteText"/>
        <w:rPr>
          <w:rFonts w:ascii="Times New Roman" w:hAnsi="Times New Roman" w:cs="Times New Roman"/>
          <w:sz w:val="16"/>
          <w:szCs w:val="16"/>
        </w:rPr>
      </w:pPr>
      <w:r w:rsidRPr="0083511A">
        <w:rPr>
          <w:rStyle w:val="FootnoteReference"/>
          <w:rFonts w:ascii="Times New Roman" w:hAnsi="Times New Roman" w:cs="Times New Roman"/>
          <w:sz w:val="16"/>
          <w:szCs w:val="16"/>
        </w:rPr>
        <w:footnoteRef/>
      </w:r>
      <w:r>
        <w:t xml:space="preserve"> </w:t>
      </w:r>
      <w:r w:rsidRPr="00FA60DD">
        <w:rPr>
          <w:rFonts w:ascii="Times New Roman" w:hAnsi="Times New Roman" w:cs="Times New Roman"/>
          <w:sz w:val="16"/>
          <w:szCs w:val="16"/>
        </w:rPr>
        <w:t>The expert team is not composed by all the 27 MS but by a pool of selected experts with specific expertise and equipment available. The same expertise or the same equipment can be proposed by several MS in order to provide more comprehensive knowledge and backup equipment (business continuity). However, all MS and candidate countries can request analysis to the expert team.</w:t>
      </w:r>
    </w:p>
  </w:footnote>
  <w:footnote w:id="57">
    <w:p w14:paraId="5DA70976" w14:textId="456DC60A" w:rsidR="00F8296C" w:rsidRPr="005F1A86" w:rsidRDefault="00F8296C" w:rsidP="001F3DF2">
      <w:pPr>
        <w:pStyle w:val="FootnoteText"/>
        <w:rPr>
          <w:rFonts w:ascii="Times New Roman" w:hAnsi="Times New Roman" w:cs="Times New Roman"/>
          <w:sz w:val="16"/>
          <w:szCs w:val="16"/>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UCC GUM Component 1, Import of cultural goods, UCC NCTS Phase 6 and EU SWE-C - Dual Use. Inception of EU Implementation of UNECE eTIR System has not started. </w:t>
      </w:r>
    </w:p>
  </w:footnote>
  <w:footnote w:id="58">
    <w:p w14:paraId="6C22E156" w14:textId="77777777" w:rsidR="00F8296C" w:rsidRPr="005F1A86" w:rsidRDefault="00F8296C" w:rsidP="001F3DF2">
      <w:pPr>
        <w:pStyle w:val="FootnoteText"/>
        <w:rPr>
          <w:rFonts w:ascii="Times New Roman" w:hAnsi="Times New Roman" w:cs="Times New Roman"/>
          <w:sz w:val="16"/>
          <w:szCs w:val="16"/>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AES, NCTS P5, CCI – Phase 1, CUP-MIS Release 1, PoUS Phase 1, PoUS Phase 2, High availability (Gold), CCI – Phase 2, ICS2 Release 2, NCTS Phase 6, EU SWE - Dual Use, CLASS P2, ICS2 Release 3, CCN2 Release ng2. UNECE eTIR has not started.</w:t>
      </w:r>
    </w:p>
  </w:footnote>
  <w:footnote w:id="59">
    <w:p w14:paraId="112B888C" w14:textId="77777777" w:rsidR="00F8296C" w:rsidRPr="00CF7D48" w:rsidRDefault="00F8296C" w:rsidP="001F3DF2">
      <w:pPr>
        <w:pStyle w:val="FootnoteText"/>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REX3, ICS2-R1, CS/MIS2, AEO MRA UK, e-Commerce - Phase 2: IOSS VAT e-Commerce, COPIS – eAFA, CRMS2 Release 1, EU SWE-C FGAS.</w:t>
      </w:r>
      <w:r w:rsidRPr="00CF7D48">
        <w:t xml:space="preserve"> </w:t>
      </w:r>
    </w:p>
  </w:footnote>
  <w:footnote w:id="60">
    <w:p w14:paraId="4E221057" w14:textId="77777777" w:rsidR="00F8296C" w:rsidRPr="005F1A86" w:rsidRDefault="00F8296C" w:rsidP="001F3DF2">
      <w:pPr>
        <w:pStyle w:val="FootnoteText"/>
        <w:rPr>
          <w:rFonts w:ascii="Times New Roman" w:hAnsi="Times New Roman" w:cs="Times New Roman"/>
          <w:sz w:val="16"/>
          <w:szCs w:val="16"/>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NCTS P4 data</w:t>
      </w:r>
    </w:p>
  </w:footnote>
  <w:footnote w:id="61">
    <w:p w14:paraId="0BD9BD43" w14:textId="4584C5C8" w:rsidR="00F8296C" w:rsidRPr="005F1A86" w:rsidRDefault="00F8296C" w:rsidP="001F3DF2">
      <w:pPr>
        <w:pStyle w:val="FootnoteText"/>
        <w:rPr>
          <w:rFonts w:ascii="Times New Roman" w:hAnsi="Times New Roman" w:cs="Times New Roman"/>
          <w:sz w:val="16"/>
          <w:szCs w:val="16"/>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Only NA-DE is in operation and not included in the calculation</w:t>
      </w:r>
      <w:r>
        <w:rPr>
          <w:rFonts w:ascii="Times New Roman" w:hAnsi="Times New Roman" w:cs="Times New Roman"/>
          <w:sz w:val="16"/>
          <w:szCs w:val="16"/>
        </w:rPr>
        <w:t>.</w:t>
      </w:r>
    </w:p>
  </w:footnote>
  <w:footnote w:id="62">
    <w:p w14:paraId="3B3E7D25" w14:textId="7E735009" w:rsidR="00F8296C" w:rsidRPr="001B0162" w:rsidRDefault="00F8296C" w:rsidP="001F3DF2">
      <w:pPr>
        <w:pStyle w:val="FootnoteText"/>
        <w:rPr>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w:t>
      </w:r>
      <w:r w:rsidRPr="005F1A86">
        <w:rPr>
          <w:rFonts w:ascii="Times New Roman" w:hAnsi="Times New Roman" w:cs="Times New Roman"/>
          <w:sz w:val="16"/>
          <w:szCs w:val="16"/>
          <w:lang w:val="en-IE"/>
        </w:rPr>
        <w:t xml:space="preserve">For the period </w:t>
      </w:r>
      <w:r w:rsidRPr="005F1A86">
        <w:rPr>
          <w:rFonts w:ascii="Times New Roman" w:hAnsi="Times New Roman" w:cs="Times New Roman"/>
          <w:sz w:val="16"/>
          <w:szCs w:val="16"/>
        </w:rPr>
        <w:t xml:space="preserve">1-31 December 2021. Corresponding only to general collaboration </w:t>
      </w:r>
      <w:r>
        <w:rPr>
          <w:rFonts w:ascii="Times New Roman" w:hAnsi="Times New Roman" w:cs="Times New Roman"/>
          <w:sz w:val="16"/>
          <w:szCs w:val="16"/>
        </w:rPr>
        <w:t xml:space="preserve">grant </w:t>
      </w:r>
      <w:r w:rsidRPr="005F1A86">
        <w:rPr>
          <w:rFonts w:ascii="Times New Roman" w:hAnsi="Times New Roman" w:cs="Times New Roman"/>
          <w:sz w:val="16"/>
          <w:szCs w:val="16"/>
        </w:rPr>
        <w:t>activities, not including expert team meetings.</w:t>
      </w:r>
      <w:r>
        <w:t xml:space="preserve"> </w:t>
      </w:r>
    </w:p>
  </w:footnote>
  <w:footnote w:id="63">
    <w:p w14:paraId="43B6F57B" w14:textId="01291A80" w:rsidR="00F8296C" w:rsidRPr="002604A5" w:rsidRDefault="00F8296C">
      <w:pPr>
        <w:pStyle w:val="FootnoteText"/>
        <w:rPr>
          <w:rFonts w:ascii="Times New Roman" w:hAnsi="Times New Roman" w:cs="Times New Roman"/>
          <w:sz w:val="16"/>
          <w:szCs w:val="16"/>
        </w:rPr>
      </w:pPr>
      <w:r w:rsidRPr="002604A5">
        <w:rPr>
          <w:rStyle w:val="FootnoteReference"/>
          <w:rFonts w:ascii="Times New Roman" w:hAnsi="Times New Roman" w:cs="Times New Roman"/>
          <w:sz w:val="16"/>
          <w:szCs w:val="16"/>
        </w:rPr>
        <w:footnoteRef/>
      </w:r>
      <w:r>
        <w:t xml:space="preserve"> </w:t>
      </w:r>
      <w:r w:rsidRPr="002604A5">
        <w:rPr>
          <w:rFonts w:ascii="Times New Roman" w:hAnsi="Times New Roman" w:cs="Times New Roman"/>
          <w:sz w:val="16"/>
          <w:szCs w:val="16"/>
        </w:rPr>
        <w:t xml:space="preserve">The data will be available in Q2 2022. </w:t>
      </w:r>
    </w:p>
  </w:footnote>
  <w:footnote w:id="64">
    <w:p w14:paraId="6753CB0E" w14:textId="68C4285D" w:rsidR="00F8296C" w:rsidRPr="005F1A86" w:rsidRDefault="00F8296C" w:rsidP="001F3DF2">
      <w:pPr>
        <w:pStyle w:val="FootnoteText"/>
        <w:rPr>
          <w:rFonts w:ascii="Times New Roman" w:hAnsi="Times New Roman" w:cs="Times New Roman"/>
          <w:sz w:val="16"/>
          <w:szCs w:val="16"/>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All learning activities were funded under the budget of Customs 2020</w:t>
      </w:r>
      <w:r>
        <w:rPr>
          <w:rFonts w:ascii="Times New Roman" w:hAnsi="Times New Roman" w:cs="Times New Roman"/>
          <w:sz w:val="16"/>
          <w:szCs w:val="16"/>
        </w:rPr>
        <w:t>.</w:t>
      </w:r>
      <w:r w:rsidRPr="005F1A86">
        <w:rPr>
          <w:rFonts w:ascii="Times New Roman" w:hAnsi="Times New Roman" w:cs="Times New Roman"/>
          <w:sz w:val="16"/>
          <w:szCs w:val="16"/>
        </w:rPr>
        <w:t xml:space="preserve"> </w:t>
      </w:r>
    </w:p>
  </w:footnote>
  <w:footnote w:id="65">
    <w:p w14:paraId="14A1D764" w14:textId="67F1C30A" w:rsidR="00F8296C" w:rsidRPr="005F1A86" w:rsidRDefault="00F8296C" w:rsidP="001F3DF2">
      <w:pPr>
        <w:pStyle w:val="FootnoteText"/>
        <w:rPr>
          <w:rFonts w:ascii="Times New Roman" w:hAnsi="Times New Roman" w:cs="Times New Roman"/>
          <w:sz w:val="16"/>
          <w:szCs w:val="16"/>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w:t>
      </w:r>
      <w:r w:rsidRPr="005F1A86">
        <w:rPr>
          <w:rFonts w:ascii="Times New Roman" w:hAnsi="Times New Roman" w:cs="Times New Roman"/>
          <w:sz w:val="16"/>
          <w:szCs w:val="16"/>
          <w:lang w:val="en-IE"/>
        </w:rPr>
        <w:t>Comprising economic operators (847</w:t>
      </w:r>
      <w:r>
        <w:rPr>
          <w:rFonts w:ascii="Times New Roman" w:hAnsi="Times New Roman" w:cs="Times New Roman"/>
          <w:sz w:val="16"/>
          <w:szCs w:val="16"/>
          <w:lang w:val="en-IE"/>
        </w:rPr>
        <w:t xml:space="preserve"> 784)</w:t>
      </w:r>
      <w:r w:rsidRPr="005F1A86">
        <w:rPr>
          <w:rFonts w:ascii="Times New Roman" w:hAnsi="Times New Roman" w:cs="Times New Roman"/>
          <w:sz w:val="16"/>
          <w:szCs w:val="16"/>
          <w:lang w:val="en-IE"/>
        </w:rPr>
        <w:t xml:space="preserve"> and officials (384</w:t>
      </w:r>
      <w:r>
        <w:rPr>
          <w:rFonts w:ascii="Times New Roman" w:hAnsi="Times New Roman" w:cs="Times New Roman"/>
          <w:sz w:val="16"/>
          <w:szCs w:val="16"/>
          <w:lang w:val="en-IE"/>
        </w:rPr>
        <w:t xml:space="preserve"> </w:t>
      </w:r>
      <w:r w:rsidRPr="005F1A86">
        <w:rPr>
          <w:rFonts w:ascii="Times New Roman" w:hAnsi="Times New Roman" w:cs="Times New Roman"/>
          <w:sz w:val="16"/>
          <w:szCs w:val="16"/>
          <w:lang w:val="en-IE"/>
        </w:rPr>
        <w:t>696) trained.</w:t>
      </w:r>
    </w:p>
  </w:footnote>
  <w:footnote w:id="66">
    <w:p w14:paraId="013CBEA5" w14:textId="19CB961E" w:rsidR="00F8296C" w:rsidRPr="00FB0008" w:rsidRDefault="00F8296C">
      <w:pPr>
        <w:pStyle w:val="FootnoteText"/>
      </w:pPr>
      <w:r w:rsidRPr="00FB0008">
        <w:rPr>
          <w:rStyle w:val="FootnoteReference"/>
          <w:rFonts w:ascii="Times New Roman" w:hAnsi="Times New Roman" w:cs="Times New Roman"/>
          <w:sz w:val="16"/>
          <w:szCs w:val="16"/>
        </w:rPr>
        <w:footnoteRef/>
      </w:r>
      <w:r>
        <w:t xml:space="preserve"> </w:t>
      </w:r>
      <w:r>
        <w:rPr>
          <w:rFonts w:ascii="Times New Roman" w:hAnsi="Times New Roman" w:cs="Times New Roman"/>
          <w:sz w:val="16"/>
          <w:szCs w:val="16"/>
          <w:lang w:val="en-IE"/>
        </w:rPr>
        <w:t>Th</w:t>
      </w:r>
      <w:r w:rsidRPr="00FB0008">
        <w:rPr>
          <w:rFonts w:ascii="Times New Roman" w:hAnsi="Times New Roman" w:cs="Times New Roman"/>
          <w:sz w:val="16"/>
          <w:szCs w:val="16"/>
          <w:lang w:val="en-IE"/>
        </w:rPr>
        <w:t>e data will be available in Q2 2022.</w:t>
      </w:r>
      <w:r>
        <w:t xml:space="preserve"> </w:t>
      </w:r>
    </w:p>
  </w:footnote>
  <w:footnote w:id="67">
    <w:p w14:paraId="1FD0E21C" w14:textId="77777777" w:rsidR="00F8296C" w:rsidRPr="005F1A86" w:rsidRDefault="00F8296C" w:rsidP="001F3DF2">
      <w:pPr>
        <w:pStyle w:val="FootnoteText"/>
        <w:rPr>
          <w:rFonts w:ascii="Times New Roman" w:hAnsi="Times New Roman" w:cs="Times New Roman"/>
          <w:sz w:val="16"/>
          <w:szCs w:val="16"/>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w:t>
      </w:r>
      <w:r w:rsidRPr="005F1A86">
        <w:rPr>
          <w:rFonts w:ascii="Times New Roman" w:hAnsi="Times New Roman" w:cs="Times New Roman"/>
          <w:sz w:val="16"/>
          <w:szCs w:val="16"/>
          <w:lang w:val="en-IE"/>
        </w:rPr>
        <w:t xml:space="preserve">Data from 2020 (Indicator 1 of the old PMF, equal to indicator 13 in new PMF). Next data to be reported from the programme polls to be launched in 2023 (every 18 months). </w:t>
      </w:r>
    </w:p>
  </w:footnote>
  <w:footnote w:id="68">
    <w:p w14:paraId="2121E0A3" w14:textId="77777777" w:rsidR="00F8296C" w:rsidRPr="005F1A86" w:rsidRDefault="00F8296C" w:rsidP="001F3DF2">
      <w:pPr>
        <w:pStyle w:val="FootnoteText"/>
        <w:rPr>
          <w:rFonts w:ascii="Times New Roman" w:hAnsi="Times New Roman" w:cs="Times New Roman"/>
          <w:sz w:val="16"/>
          <w:szCs w:val="16"/>
          <w:lang w:val="en-IE"/>
        </w:rPr>
      </w:pPr>
      <w:r w:rsidRPr="005F1A86">
        <w:rPr>
          <w:rStyle w:val="FootnoteReference"/>
          <w:rFonts w:ascii="Times New Roman" w:hAnsi="Times New Roman" w:cs="Times New Roman"/>
          <w:sz w:val="16"/>
          <w:szCs w:val="16"/>
        </w:rPr>
        <w:footnoteRef/>
      </w:r>
      <w:r w:rsidRPr="005F1A86">
        <w:rPr>
          <w:rFonts w:ascii="Times New Roman" w:hAnsi="Times New Roman" w:cs="Times New Roman"/>
          <w:sz w:val="16"/>
          <w:szCs w:val="16"/>
        </w:rPr>
        <w:t xml:space="preserve"> </w:t>
      </w:r>
      <w:r w:rsidRPr="005F1A86">
        <w:rPr>
          <w:rFonts w:ascii="Times New Roman" w:hAnsi="Times New Roman" w:cs="Times New Roman"/>
          <w:sz w:val="16"/>
          <w:szCs w:val="16"/>
          <w:lang w:val="en-IE"/>
        </w:rPr>
        <w:t>In line with Regulation 2021/444, the Commission shall publish and regularly update, for information purposes, an indicative list of the European electronic systems financed under the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0FB5" w14:textId="77777777" w:rsidR="00595D87" w:rsidRPr="00595D87" w:rsidRDefault="00595D87" w:rsidP="00595D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702E" w14:textId="77777777" w:rsidR="00F8296C" w:rsidRDefault="00F829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6EB3" w14:textId="77777777" w:rsidR="00F8296C" w:rsidRDefault="00F829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60EC" w14:textId="77777777" w:rsidR="00F8296C" w:rsidRDefault="00F829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1531" w14:textId="77777777" w:rsidR="00F8296C" w:rsidRDefault="00F829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95A9" w14:textId="77777777" w:rsidR="00F8296C" w:rsidRDefault="00F8296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7A6D" w14:textId="77777777" w:rsidR="00F8296C" w:rsidRDefault="00F8296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B0A9" w14:textId="77777777" w:rsidR="00F8296C" w:rsidRDefault="00F8296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6D51" w14:textId="77777777" w:rsidR="00F8296C" w:rsidRDefault="00F8296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CD26" w14:textId="77777777" w:rsidR="00F8296C" w:rsidRDefault="00F8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4E00" w14:textId="77777777" w:rsidR="00595D87" w:rsidRPr="00595D87" w:rsidRDefault="00595D87" w:rsidP="00595D8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EB0F" w14:textId="77777777" w:rsidR="00595D87" w:rsidRPr="00595D87" w:rsidRDefault="00595D87" w:rsidP="00595D8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8583" w14:textId="77777777" w:rsidR="00F8296C" w:rsidRDefault="00F829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6258" w14:textId="77777777" w:rsidR="00F8296C" w:rsidRDefault="00F829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B0A2" w14:textId="77777777" w:rsidR="00F8296C" w:rsidRDefault="00F829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AE48" w14:textId="77777777" w:rsidR="00F8296C" w:rsidRDefault="00F829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E1FB" w14:textId="77777777" w:rsidR="00F8296C" w:rsidRDefault="00F829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12F3" w14:textId="77777777" w:rsidR="00F8296C" w:rsidRDefault="00F8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D0BA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3459F"/>
    <w:multiLevelType w:val="hybridMultilevel"/>
    <w:tmpl w:val="565EE274"/>
    <w:lvl w:ilvl="0" w:tplc="048490BC">
      <w:start w:val="1"/>
      <w:numFmt w:val="bullet"/>
      <w:lvlText w:val=""/>
      <w:lvlJc w:val="left"/>
      <w:pPr>
        <w:ind w:left="720" w:hanging="360"/>
      </w:pPr>
      <w:rPr>
        <w:rFonts w:ascii="Symbol" w:hAnsi="Symbol" w:hint="default"/>
      </w:rPr>
    </w:lvl>
    <w:lvl w:ilvl="1" w:tplc="E95862C4">
      <w:start w:val="1"/>
      <w:numFmt w:val="bullet"/>
      <w:lvlText w:val="o"/>
      <w:lvlJc w:val="left"/>
      <w:pPr>
        <w:ind w:left="1440" w:hanging="360"/>
      </w:pPr>
      <w:rPr>
        <w:rFonts w:ascii="Courier New" w:hAnsi="Courier New" w:hint="default"/>
      </w:rPr>
    </w:lvl>
    <w:lvl w:ilvl="2" w:tplc="89D09270">
      <w:start w:val="1"/>
      <w:numFmt w:val="bullet"/>
      <w:lvlText w:val=""/>
      <w:lvlJc w:val="left"/>
      <w:pPr>
        <w:ind w:left="2160" w:hanging="360"/>
      </w:pPr>
      <w:rPr>
        <w:rFonts w:ascii="Wingdings" w:hAnsi="Wingdings" w:hint="default"/>
      </w:rPr>
    </w:lvl>
    <w:lvl w:ilvl="3" w:tplc="7E5C37A6">
      <w:start w:val="1"/>
      <w:numFmt w:val="bullet"/>
      <w:lvlText w:val=""/>
      <w:lvlJc w:val="left"/>
      <w:pPr>
        <w:ind w:left="2880" w:hanging="360"/>
      </w:pPr>
      <w:rPr>
        <w:rFonts w:ascii="Symbol" w:hAnsi="Symbol" w:hint="default"/>
      </w:rPr>
    </w:lvl>
    <w:lvl w:ilvl="4" w:tplc="27CE97BA">
      <w:start w:val="1"/>
      <w:numFmt w:val="bullet"/>
      <w:lvlText w:val="o"/>
      <w:lvlJc w:val="left"/>
      <w:pPr>
        <w:ind w:left="3600" w:hanging="360"/>
      </w:pPr>
      <w:rPr>
        <w:rFonts w:ascii="Courier New" w:hAnsi="Courier New" w:hint="default"/>
      </w:rPr>
    </w:lvl>
    <w:lvl w:ilvl="5" w:tplc="27182080">
      <w:start w:val="1"/>
      <w:numFmt w:val="bullet"/>
      <w:lvlText w:val=""/>
      <w:lvlJc w:val="left"/>
      <w:pPr>
        <w:ind w:left="4320" w:hanging="360"/>
      </w:pPr>
      <w:rPr>
        <w:rFonts w:ascii="Wingdings" w:hAnsi="Wingdings" w:hint="default"/>
      </w:rPr>
    </w:lvl>
    <w:lvl w:ilvl="6" w:tplc="3B04809A">
      <w:start w:val="1"/>
      <w:numFmt w:val="bullet"/>
      <w:lvlText w:val=""/>
      <w:lvlJc w:val="left"/>
      <w:pPr>
        <w:ind w:left="5040" w:hanging="360"/>
      </w:pPr>
      <w:rPr>
        <w:rFonts w:ascii="Symbol" w:hAnsi="Symbol" w:hint="default"/>
      </w:rPr>
    </w:lvl>
    <w:lvl w:ilvl="7" w:tplc="F5BE31CE">
      <w:start w:val="1"/>
      <w:numFmt w:val="bullet"/>
      <w:lvlText w:val="o"/>
      <w:lvlJc w:val="left"/>
      <w:pPr>
        <w:ind w:left="5760" w:hanging="360"/>
      </w:pPr>
      <w:rPr>
        <w:rFonts w:ascii="Courier New" w:hAnsi="Courier New" w:hint="default"/>
      </w:rPr>
    </w:lvl>
    <w:lvl w:ilvl="8" w:tplc="2B1C3120">
      <w:start w:val="1"/>
      <w:numFmt w:val="bullet"/>
      <w:lvlText w:val=""/>
      <w:lvlJc w:val="left"/>
      <w:pPr>
        <w:ind w:left="6480" w:hanging="360"/>
      </w:pPr>
      <w:rPr>
        <w:rFonts w:ascii="Wingdings" w:hAnsi="Wingdings" w:hint="default"/>
      </w:rPr>
    </w:lvl>
  </w:abstractNum>
  <w:abstractNum w:abstractNumId="2" w15:restartNumberingAfterBreak="0">
    <w:nsid w:val="029706A7"/>
    <w:multiLevelType w:val="hybridMultilevel"/>
    <w:tmpl w:val="BB58999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AE7C7A"/>
    <w:multiLevelType w:val="hybridMultilevel"/>
    <w:tmpl w:val="D2906952"/>
    <w:lvl w:ilvl="0" w:tplc="8014049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0723F"/>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73A2C"/>
    <w:multiLevelType w:val="hybridMultilevel"/>
    <w:tmpl w:val="DB3E767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15:restartNumberingAfterBreak="0">
    <w:nsid w:val="0A8A04BD"/>
    <w:multiLevelType w:val="hybridMultilevel"/>
    <w:tmpl w:val="F8021512"/>
    <w:lvl w:ilvl="0" w:tplc="D1A0A128">
      <w:start w:val="1"/>
      <w:numFmt w:val="bullet"/>
      <w:lvlText w:val="o"/>
      <w:lvlJc w:val="left"/>
      <w:pPr>
        <w:ind w:left="720" w:hanging="360"/>
      </w:pPr>
      <w:rPr>
        <w:rFonts w:ascii="Courier New" w:hAnsi="Courier New" w:hint="default"/>
      </w:rPr>
    </w:lvl>
    <w:lvl w:ilvl="1" w:tplc="F0DA7F36">
      <w:start w:val="1"/>
      <w:numFmt w:val="bullet"/>
      <w:lvlText w:val="o"/>
      <w:lvlJc w:val="left"/>
      <w:pPr>
        <w:ind w:left="1440" w:hanging="360"/>
      </w:pPr>
      <w:rPr>
        <w:rFonts w:ascii="Courier New" w:hAnsi="Courier New" w:hint="default"/>
      </w:rPr>
    </w:lvl>
    <w:lvl w:ilvl="2" w:tplc="A184E388">
      <w:start w:val="1"/>
      <w:numFmt w:val="bullet"/>
      <w:lvlText w:val=""/>
      <w:lvlJc w:val="left"/>
      <w:pPr>
        <w:ind w:left="2160" w:hanging="360"/>
      </w:pPr>
      <w:rPr>
        <w:rFonts w:ascii="Wingdings" w:hAnsi="Wingdings" w:hint="default"/>
      </w:rPr>
    </w:lvl>
    <w:lvl w:ilvl="3" w:tplc="909AC63A">
      <w:start w:val="1"/>
      <w:numFmt w:val="bullet"/>
      <w:lvlText w:val=""/>
      <w:lvlJc w:val="left"/>
      <w:pPr>
        <w:ind w:left="2880" w:hanging="360"/>
      </w:pPr>
      <w:rPr>
        <w:rFonts w:ascii="Symbol" w:hAnsi="Symbol" w:hint="default"/>
      </w:rPr>
    </w:lvl>
    <w:lvl w:ilvl="4" w:tplc="2932BD40">
      <w:start w:val="1"/>
      <w:numFmt w:val="bullet"/>
      <w:lvlText w:val="o"/>
      <w:lvlJc w:val="left"/>
      <w:pPr>
        <w:ind w:left="3600" w:hanging="360"/>
      </w:pPr>
      <w:rPr>
        <w:rFonts w:ascii="Courier New" w:hAnsi="Courier New" w:hint="default"/>
      </w:rPr>
    </w:lvl>
    <w:lvl w:ilvl="5" w:tplc="F0FCBCEA">
      <w:start w:val="1"/>
      <w:numFmt w:val="bullet"/>
      <w:lvlText w:val=""/>
      <w:lvlJc w:val="left"/>
      <w:pPr>
        <w:ind w:left="4320" w:hanging="360"/>
      </w:pPr>
      <w:rPr>
        <w:rFonts w:ascii="Wingdings" w:hAnsi="Wingdings" w:hint="default"/>
      </w:rPr>
    </w:lvl>
    <w:lvl w:ilvl="6" w:tplc="DE04F562">
      <w:start w:val="1"/>
      <w:numFmt w:val="bullet"/>
      <w:lvlText w:val=""/>
      <w:lvlJc w:val="left"/>
      <w:pPr>
        <w:ind w:left="5040" w:hanging="360"/>
      </w:pPr>
      <w:rPr>
        <w:rFonts w:ascii="Symbol" w:hAnsi="Symbol" w:hint="default"/>
      </w:rPr>
    </w:lvl>
    <w:lvl w:ilvl="7" w:tplc="3E7A401A">
      <w:start w:val="1"/>
      <w:numFmt w:val="bullet"/>
      <w:lvlText w:val="o"/>
      <w:lvlJc w:val="left"/>
      <w:pPr>
        <w:ind w:left="5760" w:hanging="360"/>
      </w:pPr>
      <w:rPr>
        <w:rFonts w:ascii="Courier New" w:hAnsi="Courier New" w:hint="default"/>
      </w:rPr>
    </w:lvl>
    <w:lvl w:ilvl="8" w:tplc="92427116">
      <w:start w:val="1"/>
      <w:numFmt w:val="bullet"/>
      <w:lvlText w:val=""/>
      <w:lvlJc w:val="left"/>
      <w:pPr>
        <w:ind w:left="6480" w:hanging="360"/>
      </w:pPr>
      <w:rPr>
        <w:rFonts w:ascii="Wingdings" w:hAnsi="Wingdings" w:hint="default"/>
      </w:rPr>
    </w:lvl>
  </w:abstractNum>
  <w:abstractNum w:abstractNumId="7" w15:restartNumberingAfterBreak="0">
    <w:nsid w:val="0B057A9E"/>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351B71"/>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01128A"/>
    <w:multiLevelType w:val="hybridMultilevel"/>
    <w:tmpl w:val="E748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DD421A"/>
    <w:multiLevelType w:val="hybridMultilevel"/>
    <w:tmpl w:val="1FB6FB20"/>
    <w:lvl w:ilvl="0" w:tplc="7F30DA60">
      <w:start w:val="1"/>
      <w:numFmt w:val="bullet"/>
      <w:lvlText w:val="o"/>
      <w:lvlJc w:val="left"/>
      <w:pPr>
        <w:ind w:left="720" w:hanging="360"/>
      </w:pPr>
      <w:rPr>
        <w:rFonts w:ascii="Courier New" w:hAnsi="Courier New" w:hint="default"/>
      </w:rPr>
    </w:lvl>
    <w:lvl w:ilvl="1" w:tplc="0FBACB6A">
      <w:start w:val="1"/>
      <w:numFmt w:val="bullet"/>
      <w:lvlText w:val="o"/>
      <w:lvlJc w:val="left"/>
      <w:pPr>
        <w:ind w:left="1440" w:hanging="360"/>
      </w:pPr>
      <w:rPr>
        <w:rFonts w:ascii="Courier New" w:hAnsi="Courier New" w:hint="default"/>
      </w:rPr>
    </w:lvl>
    <w:lvl w:ilvl="2" w:tplc="5C245052">
      <w:start w:val="1"/>
      <w:numFmt w:val="bullet"/>
      <w:lvlText w:val=""/>
      <w:lvlJc w:val="left"/>
      <w:pPr>
        <w:ind w:left="2160" w:hanging="360"/>
      </w:pPr>
      <w:rPr>
        <w:rFonts w:ascii="Wingdings" w:hAnsi="Wingdings" w:hint="default"/>
      </w:rPr>
    </w:lvl>
    <w:lvl w:ilvl="3" w:tplc="F438CB6C">
      <w:start w:val="1"/>
      <w:numFmt w:val="bullet"/>
      <w:lvlText w:val=""/>
      <w:lvlJc w:val="left"/>
      <w:pPr>
        <w:ind w:left="2880" w:hanging="360"/>
      </w:pPr>
      <w:rPr>
        <w:rFonts w:ascii="Symbol" w:hAnsi="Symbol" w:hint="default"/>
      </w:rPr>
    </w:lvl>
    <w:lvl w:ilvl="4" w:tplc="778A77E8">
      <w:start w:val="1"/>
      <w:numFmt w:val="bullet"/>
      <w:lvlText w:val="o"/>
      <w:lvlJc w:val="left"/>
      <w:pPr>
        <w:ind w:left="3600" w:hanging="360"/>
      </w:pPr>
      <w:rPr>
        <w:rFonts w:ascii="Courier New" w:hAnsi="Courier New" w:hint="default"/>
      </w:rPr>
    </w:lvl>
    <w:lvl w:ilvl="5" w:tplc="96A607B4">
      <w:start w:val="1"/>
      <w:numFmt w:val="bullet"/>
      <w:lvlText w:val=""/>
      <w:lvlJc w:val="left"/>
      <w:pPr>
        <w:ind w:left="4320" w:hanging="360"/>
      </w:pPr>
      <w:rPr>
        <w:rFonts w:ascii="Wingdings" w:hAnsi="Wingdings" w:hint="default"/>
      </w:rPr>
    </w:lvl>
    <w:lvl w:ilvl="6" w:tplc="EAA08BB0">
      <w:start w:val="1"/>
      <w:numFmt w:val="bullet"/>
      <w:lvlText w:val=""/>
      <w:lvlJc w:val="left"/>
      <w:pPr>
        <w:ind w:left="5040" w:hanging="360"/>
      </w:pPr>
      <w:rPr>
        <w:rFonts w:ascii="Symbol" w:hAnsi="Symbol" w:hint="default"/>
      </w:rPr>
    </w:lvl>
    <w:lvl w:ilvl="7" w:tplc="4E0ED1F0">
      <w:start w:val="1"/>
      <w:numFmt w:val="bullet"/>
      <w:lvlText w:val="o"/>
      <w:lvlJc w:val="left"/>
      <w:pPr>
        <w:ind w:left="5760" w:hanging="360"/>
      </w:pPr>
      <w:rPr>
        <w:rFonts w:ascii="Courier New" w:hAnsi="Courier New" w:hint="default"/>
      </w:rPr>
    </w:lvl>
    <w:lvl w:ilvl="8" w:tplc="A3C8BD7E">
      <w:start w:val="1"/>
      <w:numFmt w:val="bullet"/>
      <w:lvlText w:val=""/>
      <w:lvlJc w:val="left"/>
      <w:pPr>
        <w:ind w:left="6480" w:hanging="360"/>
      </w:pPr>
      <w:rPr>
        <w:rFonts w:ascii="Wingdings" w:hAnsi="Wingdings" w:hint="default"/>
      </w:rPr>
    </w:lvl>
  </w:abstractNum>
  <w:abstractNum w:abstractNumId="11" w15:restartNumberingAfterBreak="0">
    <w:nsid w:val="10DA2108"/>
    <w:multiLevelType w:val="hybridMultilevel"/>
    <w:tmpl w:val="EC029186"/>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2" w15:restartNumberingAfterBreak="0">
    <w:nsid w:val="136D7B44"/>
    <w:multiLevelType w:val="hybridMultilevel"/>
    <w:tmpl w:val="2960D26E"/>
    <w:lvl w:ilvl="0" w:tplc="08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3" w15:restartNumberingAfterBreak="0">
    <w:nsid w:val="139F73D9"/>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52F69"/>
    <w:multiLevelType w:val="hybridMultilevel"/>
    <w:tmpl w:val="FFC83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3C78B8"/>
    <w:multiLevelType w:val="multilevel"/>
    <w:tmpl w:val="2A6E4A4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b w:val="0"/>
        <w:i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20FE56B5"/>
    <w:multiLevelType w:val="hybridMultilevel"/>
    <w:tmpl w:val="546053E2"/>
    <w:lvl w:ilvl="0" w:tplc="853E1760">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014E42"/>
    <w:multiLevelType w:val="hybridMultilevel"/>
    <w:tmpl w:val="D9B0AFD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8" w15:restartNumberingAfterBreak="0">
    <w:nsid w:val="2D985E1D"/>
    <w:multiLevelType w:val="multilevel"/>
    <w:tmpl w:val="F63AA68E"/>
    <w:name w:val="ListDash2Numbering2"/>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4848" w:hanging="1440"/>
      </w:pPr>
      <w:rPr>
        <w:rFonts w:hint="default"/>
        <w:b/>
      </w:rPr>
    </w:lvl>
  </w:abstractNum>
  <w:abstractNum w:abstractNumId="19" w15:restartNumberingAfterBreak="0">
    <w:nsid w:val="2DDE5FC9"/>
    <w:multiLevelType w:val="hybridMultilevel"/>
    <w:tmpl w:val="E67A6BA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0" w15:restartNumberingAfterBreak="0">
    <w:nsid w:val="300321E1"/>
    <w:multiLevelType w:val="hybridMultilevel"/>
    <w:tmpl w:val="F30CBF82"/>
    <w:lvl w:ilvl="0" w:tplc="60CA8B6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7C717EA"/>
    <w:multiLevelType w:val="hybridMultilevel"/>
    <w:tmpl w:val="62B8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A602B"/>
    <w:multiLevelType w:val="hybridMultilevel"/>
    <w:tmpl w:val="CB5ABABE"/>
    <w:lvl w:ilvl="0" w:tplc="807A2A1A">
      <w:start w:val="1"/>
      <w:numFmt w:val="lowerLetter"/>
      <w:lvlText w:val="%1)"/>
      <w:lvlJc w:val="left"/>
      <w:pPr>
        <w:ind w:left="720" w:hanging="360"/>
      </w:pPr>
      <w:rPr>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4A1F55"/>
    <w:multiLevelType w:val="hybridMultilevel"/>
    <w:tmpl w:val="CC5C8E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315CFB"/>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77DB5"/>
    <w:multiLevelType w:val="hybridMultilevel"/>
    <w:tmpl w:val="9B325B7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67248"/>
    <w:multiLevelType w:val="hybridMultilevel"/>
    <w:tmpl w:val="F74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4153D"/>
    <w:multiLevelType w:val="multilevel"/>
    <w:tmpl w:val="1D7C6EBA"/>
    <w:name w:val="ListDash2Numbering"/>
    <w:lvl w:ilvl="0">
      <w:start w:val="1"/>
      <w:numFmt w:val="decimal"/>
      <w:pStyle w:val="Heading1"/>
      <w:lvlText w:val="%1."/>
      <w:lvlJc w:val="left"/>
      <w:pPr>
        <w:ind w:left="360" w:hanging="360"/>
      </w:pPr>
      <w:rPr>
        <w:b/>
      </w:rPr>
    </w:lvl>
    <w:lvl w:ilvl="1">
      <w:start w:val="1"/>
      <w:numFmt w:val="decimal"/>
      <w:pStyle w:val="Heading2"/>
      <w:lvlText w:val="%1.%2"/>
      <w:lvlJc w:val="left"/>
      <w:pPr>
        <w:ind w:left="786" w:hanging="360"/>
      </w:pPr>
      <w:rPr>
        <w:b/>
      </w:rPr>
    </w:lvl>
    <w:lvl w:ilvl="2">
      <w:start w:val="1"/>
      <w:numFmt w:val="decimal"/>
      <w:pStyle w:val="Heading3"/>
      <w:isLgl/>
      <w:lvlText w:val="%1.%2.%3"/>
      <w:lvlJc w:val="left"/>
      <w:pPr>
        <w:ind w:left="1572" w:hanging="720"/>
      </w:pPr>
      <w:rPr>
        <w:rFonts w:hint="default"/>
        <w:b w:val="0"/>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4848" w:hanging="1440"/>
      </w:pPr>
      <w:rPr>
        <w:rFonts w:hint="default"/>
        <w:b/>
      </w:rPr>
    </w:lvl>
  </w:abstractNum>
  <w:abstractNum w:abstractNumId="28" w15:restartNumberingAfterBreak="0">
    <w:nsid w:val="422B3F79"/>
    <w:multiLevelType w:val="hybridMultilevel"/>
    <w:tmpl w:val="7570A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9062FBE"/>
    <w:multiLevelType w:val="hybridMultilevel"/>
    <w:tmpl w:val="8F4019D2"/>
    <w:lvl w:ilvl="0" w:tplc="18090001">
      <w:start w:val="1"/>
      <w:numFmt w:val="bullet"/>
      <w:lvlText w:val=""/>
      <w:lvlJc w:val="left"/>
      <w:pPr>
        <w:ind w:left="1212" w:hanging="360"/>
      </w:pPr>
      <w:rPr>
        <w:rFonts w:ascii="Symbol" w:hAnsi="Symbol" w:hint="default"/>
      </w:rPr>
    </w:lvl>
    <w:lvl w:ilvl="1" w:tplc="18090003" w:tentative="1">
      <w:start w:val="1"/>
      <w:numFmt w:val="bullet"/>
      <w:lvlText w:val="o"/>
      <w:lvlJc w:val="left"/>
      <w:pPr>
        <w:ind w:left="1932" w:hanging="360"/>
      </w:pPr>
      <w:rPr>
        <w:rFonts w:ascii="Courier New" w:hAnsi="Courier New" w:cs="Courier New" w:hint="default"/>
      </w:rPr>
    </w:lvl>
    <w:lvl w:ilvl="2" w:tplc="18090005" w:tentative="1">
      <w:start w:val="1"/>
      <w:numFmt w:val="bullet"/>
      <w:lvlText w:val=""/>
      <w:lvlJc w:val="left"/>
      <w:pPr>
        <w:ind w:left="2652" w:hanging="360"/>
      </w:pPr>
      <w:rPr>
        <w:rFonts w:ascii="Wingdings" w:hAnsi="Wingdings" w:hint="default"/>
      </w:rPr>
    </w:lvl>
    <w:lvl w:ilvl="3" w:tplc="18090001" w:tentative="1">
      <w:start w:val="1"/>
      <w:numFmt w:val="bullet"/>
      <w:lvlText w:val=""/>
      <w:lvlJc w:val="left"/>
      <w:pPr>
        <w:ind w:left="3372" w:hanging="360"/>
      </w:pPr>
      <w:rPr>
        <w:rFonts w:ascii="Symbol" w:hAnsi="Symbol" w:hint="default"/>
      </w:rPr>
    </w:lvl>
    <w:lvl w:ilvl="4" w:tplc="18090003" w:tentative="1">
      <w:start w:val="1"/>
      <w:numFmt w:val="bullet"/>
      <w:lvlText w:val="o"/>
      <w:lvlJc w:val="left"/>
      <w:pPr>
        <w:ind w:left="4092" w:hanging="360"/>
      </w:pPr>
      <w:rPr>
        <w:rFonts w:ascii="Courier New" w:hAnsi="Courier New" w:cs="Courier New" w:hint="default"/>
      </w:rPr>
    </w:lvl>
    <w:lvl w:ilvl="5" w:tplc="18090005" w:tentative="1">
      <w:start w:val="1"/>
      <w:numFmt w:val="bullet"/>
      <w:lvlText w:val=""/>
      <w:lvlJc w:val="left"/>
      <w:pPr>
        <w:ind w:left="4812" w:hanging="360"/>
      </w:pPr>
      <w:rPr>
        <w:rFonts w:ascii="Wingdings" w:hAnsi="Wingdings" w:hint="default"/>
      </w:rPr>
    </w:lvl>
    <w:lvl w:ilvl="6" w:tplc="18090001" w:tentative="1">
      <w:start w:val="1"/>
      <w:numFmt w:val="bullet"/>
      <w:lvlText w:val=""/>
      <w:lvlJc w:val="left"/>
      <w:pPr>
        <w:ind w:left="5532" w:hanging="360"/>
      </w:pPr>
      <w:rPr>
        <w:rFonts w:ascii="Symbol" w:hAnsi="Symbol" w:hint="default"/>
      </w:rPr>
    </w:lvl>
    <w:lvl w:ilvl="7" w:tplc="18090003" w:tentative="1">
      <w:start w:val="1"/>
      <w:numFmt w:val="bullet"/>
      <w:lvlText w:val="o"/>
      <w:lvlJc w:val="left"/>
      <w:pPr>
        <w:ind w:left="6252" w:hanging="360"/>
      </w:pPr>
      <w:rPr>
        <w:rFonts w:ascii="Courier New" w:hAnsi="Courier New" w:cs="Courier New" w:hint="default"/>
      </w:rPr>
    </w:lvl>
    <w:lvl w:ilvl="8" w:tplc="18090005" w:tentative="1">
      <w:start w:val="1"/>
      <w:numFmt w:val="bullet"/>
      <w:lvlText w:val=""/>
      <w:lvlJc w:val="left"/>
      <w:pPr>
        <w:ind w:left="6972" w:hanging="360"/>
      </w:pPr>
      <w:rPr>
        <w:rFonts w:ascii="Wingdings" w:hAnsi="Wingdings" w:hint="default"/>
      </w:rPr>
    </w:lvl>
  </w:abstractNum>
  <w:abstractNum w:abstractNumId="30" w15:restartNumberingAfterBreak="0">
    <w:nsid w:val="4CCA1DA6"/>
    <w:multiLevelType w:val="hybridMultilevel"/>
    <w:tmpl w:val="21844AF6"/>
    <w:lvl w:ilvl="0" w:tplc="447E2A3C">
      <w:start w:val="1"/>
      <w:numFmt w:val="bullet"/>
      <w:lvlText w:val=""/>
      <w:lvlJc w:val="left"/>
      <w:pPr>
        <w:ind w:left="720" w:hanging="360"/>
      </w:pPr>
      <w:rPr>
        <w:rFonts w:ascii="Symbol" w:hAnsi="Symbol" w:hint="default"/>
      </w:rPr>
    </w:lvl>
    <w:lvl w:ilvl="1" w:tplc="C64249F4">
      <w:start w:val="1"/>
      <w:numFmt w:val="bullet"/>
      <w:lvlText w:val="o"/>
      <w:lvlJc w:val="left"/>
      <w:pPr>
        <w:ind w:left="1440" w:hanging="360"/>
      </w:pPr>
      <w:rPr>
        <w:rFonts w:ascii="Courier New" w:hAnsi="Courier New" w:hint="default"/>
      </w:rPr>
    </w:lvl>
    <w:lvl w:ilvl="2" w:tplc="623AC568">
      <w:start w:val="1"/>
      <w:numFmt w:val="bullet"/>
      <w:lvlText w:val=""/>
      <w:lvlJc w:val="left"/>
      <w:pPr>
        <w:ind w:left="2160" w:hanging="360"/>
      </w:pPr>
      <w:rPr>
        <w:rFonts w:ascii="Wingdings" w:hAnsi="Wingdings" w:hint="default"/>
      </w:rPr>
    </w:lvl>
    <w:lvl w:ilvl="3" w:tplc="B62063C8">
      <w:start w:val="1"/>
      <w:numFmt w:val="bullet"/>
      <w:lvlText w:val=""/>
      <w:lvlJc w:val="left"/>
      <w:pPr>
        <w:ind w:left="2880" w:hanging="360"/>
      </w:pPr>
      <w:rPr>
        <w:rFonts w:ascii="Symbol" w:hAnsi="Symbol" w:hint="default"/>
      </w:rPr>
    </w:lvl>
    <w:lvl w:ilvl="4" w:tplc="8884BC0C">
      <w:start w:val="1"/>
      <w:numFmt w:val="bullet"/>
      <w:lvlText w:val="o"/>
      <w:lvlJc w:val="left"/>
      <w:pPr>
        <w:ind w:left="3600" w:hanging="360"/>
      </w:pPr>
      <w:rPr>
        <w:rFonts w:ascii="Courier New" w:hAnsi="Courier New" w:hint="default"/>
      </w:rPr>
    </w:lvl>
    <w:lvl w:ilvl="5" w:tplc="B7AE04CA">
      <w:start w:val="1"/>
      <w:numFmt w:val="bullet"/>
      <w:lvlText w:val=""/>
      <w:lvlJc w:val="left"/>
      <w:pPr>
        <w:ind w:left="4320" w:hanging="360"/>
      </w:pPr>
      <w:rPr>
        <w:rFonts w:ascii="Wingdings" w:hAnsi="Wingdings" w:hint="default"/>
      </w:rPr>
    </w:lvl>
    <w:lvl w:ilvl="6" w:tplc="FF646E24">
      <w:start w:val="1"/>
      <w:numFmt w:val="bullet"/>
      <w:lvlText w:val=""/>
      <w:lvlJc w:val="left"/>
      <w:pPr>
        <w:ind w:left="5040" w:hanging="360"/>
      </w:pPr>
      <w:rPr>
        <w:rFonts w:ascii="Symbol" w:hAnsi="Symbol" w:hint="default"/>
      </w:rPr>
    </w:lvl>
    <w:lvl w:ilvl="7" w:tplc="BB74C82E">
      <w:start w:val="1"/>
      <w:numFmt w:val="bullet"/>
      <w:lvlText w:val="o"/>
      <w:lvlJc w:val="left"/>
      <w:pPr>
        <w:ind w:left="5760" w:hanging="360"/>
      </w:pPr>
      <w:rPr>
        <w:rFonts w:ascii="Courier New" w:hAnsi="Courier New" w:hint="default"/>
      </w:rPr>
    </w:lvl>
    <w:lvl w:ilvl="8" w:tplc="390E45C4">
      <w:start w:val="1"/>
      <w:numFmt w:val="bullet"/>
      <w:lvlText w:val=""/>
      <w:lvlJc w:val="left"/>
      <w:pPr>
        <w:ind w:left="6480" w:hanging="360"/>
      </w:pPr>
      <w:rPr>
        <w:rFonts w:ascii="Wingdings" w:hAnsi="Wingdings" w:hint="default"/>
      </w:rPr>
    </w:lvl>
  </w:abstractNum>
  <w:abstractNum w:abstractNumId="31" w15:restartNumberingAfterBreak="0">
    <w:nsid w:val="4CE77923"/>
    <w:multiLevelType w:val="hybridMultilevel"/>
    <w:tmpl w:val="16E83336"/>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2" w15:restartNumberingAfterBreak="0">
    <w:nsid w:val="517653B9"/>
    <w:multiLevelType w:val="hybridMultilevel"/>
    <w:tmpl w:val="6FA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21914"/>
    <w:multiLevelType w:val="hybridMultilevel"/>
    <w:tmpl w:val="7090C3F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D507EB8"/>
    <w:multiLevelType w:val="hybridMultilevel"/>
    <w:tmpl w:val="B5C27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F82BF4"/>
    <w:multiLevelType w:val="hybridMultilevel"/>
    <w:tmpl w:val="5E7C3EDE"/>
    <w:lvl w:ilvl="0" w:tplc="21809A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825165C"/>
    <w:multiLevelType w:val="hybridMultilevel"/>
    <w:tmpl w:val="F7729836"/>
    <w:lvl w:ilvl="0" w:tplc="FFFFFFFF">
      <w:start w:val="1"/>
      <w:numFmt w:val="bullet"/>
      <w:lvlText w:val=""/>
      <w:lvlJc w:val="left"/>
      <w:pPr>
        <w:ind w:left="471" w:hanging="358"/>
      </w:pPr>
      <w:rPr>
        <w:rFonts w:ascii="Symbol" w:hAnsi="Symbol" w:hint="default"/>
        <w:color w:val="003478"/>
      </w:rPr>
    </w:lvl>
    <w:lvl w:ilvl="1" w:tplc="18090003">
      <w:start w:val="1"/>
      <w:numFmt w:val="bullet"/>
      <w:lvlText w:val="o"/>
      <w:lvlJc w:val="left"/>
      <w:pPr>
        <w:ind w:left="833" w:hanging="362"/>
      </w:pPr>
      <w:rPr>
        <w:rFonts w:ascii="Courier New" w:hAnsi="Courier New" w:cs="Courier New" w:hint="default"/>
        <w:color w:val="003478"/>
      </w:rPr>
    </w:lvl>
    <w:lvl w:ilvl="2" w:tplc="8AF08E72">
      <w:start w:val="1"/>
      <w:numFmt w:val="bullet"/>
      <w:pStyle w:val="ListBullet3"/>
      <w:lvlText w:val="o"/>
      <w:lvlJc w:val="left"/>
      <w:pPr>
        <w:ind w:left="1191" w:hanging="358"/>
      </w:pPr>
      <w:rPr>
        <w:rFonts w:ascii="Courier New" w:hAnsi="Courier New" w:hint="default"/>
      </w:rPr>
    </w:lvl>
    <w:lvl w:ilvl="3" w:tplc="45C4F5D0">
      <w:start w:val="1"/>
      <w:numFmt w:val="bullet"/>
      <w:lvlText w:val="o"/>
      <w:lvlJc w:val="left"/>
      <w:pPr>
        <w:ind w:left="1440" w:hanging="360"/>
      </w:pPr>
      <w:rPr>
        <w:rFonts w:ascii="Courier New" w:hAnsi="Courier New" w:hint="default"/>
      </w:rPr>
    </w:lvl>
    <w:lvl w:ilvl="4" w:tplc="DD943488">
      <w:start w:val="1"/>
      <w:numFmt w:val="lowerLetter"/>
      <w:lvlText w:val="(%5)"/>
      <w:lvlJc w:val="left"/>
      <w:pPr>
        <w:ind w:left="1800" w:hanging="360"/>
      </w:pPr>
      <w:rPr>
        <w:rFonts w:hint="default"/>
      </w:rPr>
    </w:lvl>
    <w:lvl w:ilvl="5" w:tplc="C674D460">
      <w:start w:val="1"/>
      <w:numFmt w:val="lowerRoman"/>
      <w:lvlText w:val="(%6)"/>
      <w:lvlJc w:val="left"/>
      <w:pPr>
        <w:ind w:left="2160" w:hanging="360"/>
      </w:pPr>
      <w:rPr>
        <w:rFonts w:hint="default"/>
      </w:rPr>
    </w:lvl>
    <w:lvl w:ilvl="6" w:tplc="E0A49F8C">
      <w:start w:val="1"/>
      <w:numFmt w:val="decimal"/>
      <w:lvlText w:val="%7."/>
      <w:lvlJc w:val="left"/>
      <w:pPr>
        <w:ind w:left="2520" w:hanging="360"/>
      </w:pPr>
      <w:rPr>
        <w:rFonts w:hint="default"/>
      </w:rPr>
    </w:lvl>
    <w:lvl w:ilvl="7" w:tplc="5CBE6ADC">
      <w:start w:val="1"/>
      <w:numFmt w:val="lowerLetter"/>
      <w:lvlText w:val="%8."/>
      <w:lvlJc w:val="left"/>
      <w:pPr>
        <w:ind w:left="2880" w:hanging="360"/>
      </w:pPr>
      <w:rPr>
        <w:rFonts w:hint="default"/>
      </w:rPr>
    </w:lvl>
    <w:lvl w:ilvl="8" w:tplc="EB164C92">
      <w:start w:val="1"/>
      <w:numFmt w:val="lowerRoman"/>
      <w:lvlText w:val="%9."/>
      <w:lvlJc w:val="left"/>
      <w:pPr>
        <w:ind w:left="3240" w:hanging="360"/>
      </w:pPr>
      <w:rPr>
        <w:rFonts w:hint="default"/>
      </w:rPr>
    </w:lvl>
  </w:abstractNum>
  <w:abstractNum w:abstractNumId="37" w15:restartNumberingAfterBreak="0">
    <w:nsid w:val="688B6734"/>
    <w:multiLevelType w:val="hybridMultilevel"/>
    <w:tmpl w:val="E3F48934"/>
    <w:lvl w:ilvl="0" w:tplc="033445D2">
      <w:start w:val="1"/>
      <w:numFmt w:val="bullet"/>
      <w:lvlText w:val="o"/>
      <w:lvlJc w:val="left"/>
      <w:pPr>
        <w:ind w:left="720" w:hanging="360"/>
      </w:pPr>
      <w:rPr>
        <w:rFonts w:ascii="Courier New" w:hAnsi="Courier New" w:hint="default"/>
      </w:rPr>
    </w:lvl>
    <w:lvl w:ilvl="1" w:tplc="F1E806F4">
      <w:start w:val="1"/>
      <w:numFmt w:val="bullet"/>
      <w:lvlText w:val="o"/>
      <w:lvlJc w:val="left"/>
      <w:pPr>
        <w:ind w:left="1440" w:hanging="360"/>
      </w:pPr>
      <w:rPr>
        <w:rFonts w:ascii="Courier New" w:hAnsi="Courier New" w:hint="default"/>
      </w:rPr>
    </w:lvl>
    <w:lvl w:ilvl="2" w:tplc="1B46C80A">
      <w:start w:val="1"/>
      <w:numFmt w:val="bullet"/>
      <w:lvlText w:val=""/>
      <w:lvlJc w:val="left"/>
      <w:pPr>
        <w:ind w:left="2160" w:hanging="360"/>
      </w:pPr>
      <w:rPr>
        <w:rFonts w:ascii="Wingdings" w:hAnsi="Wingdings" w:hint="default"/>
      </w:rPr>
    </w:lvl>
    <w:lvl w:ilvl="3" w:tplc="DF66ECD4">
      <w:start w:val="1"/>
      <w:numFmt w:val="bullet"/>
      <w:lvlText w:val=""/>
      <w:lvlJc w:val="left"/>
      <w:pPr>
        <w:ind w:left="2880" w:hanging="360"/>
      </w:pPr>
      <w:rPr>
        <w:rFonts w:ascii="Symbol" w:hAnsi="Symbol" w:hint="default"/>
      </w:rPr>
    </w:lvl>
    <w:lvl w:ilvl="4" w:tplc="467C9AD2">
      <w:start w:val="1"/>
      <w:numFmt w:val="bullet"/>
      <w:lvlText w:val="o"/>
      <w:lvlJc w:val="left"/>
      <w:pPr>
        <w:ind w:left="3600" w:hanging="360"/>
      </w:pPr>
      <w:rPr>
        <w:rFonts w:ascii="Courier New" w:hAnsi="Courier New" w:hint="default"/>
      </w:rPr>
    </w:lvl>
    <w:lvl w:ilvl="5" w:tplc="FA982AA0">
      <w:start w:val="1"/>
      <w:numFmt w:val="bullet"/>
      <w:lvlText w:val=""/>
      <w:lvlJc w:val="left"/>
      <w:pPr>
        <w:ind w:left="4320" w:hanging="360"/>
      </w:pPr>
      <w:rPr>
        <w:rFonts w:ascii="Wingdings" w:hAnsi="Wingdings" w:hint="default"/>
      </w:rPr>
    </w:lvl>
    <w:lvl w:ilvl="6" w:tplc="B2D067F2">
      <w:start w:val="1"/>
      <w:numFmt w:val="bullet"/>
      <w:lvlText w:val=""/>
      <w:lvlJc w:val="left"/>
      <w:pPr>
        <w:ind w:left="5040" w:hanging="360"/>
      </w:pPr>
      <w:rPr>
        <w:rFonts w:ascii="Symbol" w:hAnsi="Symbol" w:hint="default"/>
      </w:rPr>
    </w:lvl>
    <w:lvl w:ilvl="7" w:tplc="307A0804">
      <w:start w:val="1"/>
      <w:numFmt w:val="bullet"/>
      <w:lvlText w:val="o"/>
      <w:lvlJc w:val="left"/>
      <w:pPr>
        <w:ind w:left="5760" w:hanging="360"/>
      </w:pPr>
      <w:rPr>
        <w:rFonts w:ascii="Courier New" w:hAnsi="Courier New" w:hint="default"/>
      </w:rPr>
    </w:lvl>
    <w:lvl w:ilvl="8" w:tplc="E9482C2A">
      <w:start w:val="1"/>
      <w:numFmt w:val="bullet"/>
      <w:lvlText w:val=""/>
      <w:lvlJc w:val="left"/>
      <w:pPr>
        <w:ind w:left="6480" w:hanging="360"/>
      </w:pPr>
      <w:rPr>
        <w:rFonts w:ascii="Wingdings" w:hAnsi="Wingdings" w:hint="default"/>
      </w:rPr>
    </w:lvl>
  </w:abstractNum>
  <w:abstractNum w:abstractNumId="38" w15:restartNumberingAfterBreak="0">
    <w:nsid w:val="6D174CF7"/>
    <w:multiLevelType w:val="hybridMultilevel"/>
    <w:tmpl w:val="A7E0A6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6892764"/>
    <w:multiLevelType w:val="multilevel"/>
    <w:tmpl w:val="243EAC58"/>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4848" w:hanging="1440"/>
      </w:pPr>
      <w:rPr>
        <w:rFonts w:hint="default"/>
        <w:b/>
      </w:rPr>
    </w:lvl>
  </w:abstractNum>
  <w:num w:numId="1">
    <w:abstractNumId w:val="1"/>
  </w:num>
  <w:num w:numId="2">
    <w:abstractNumId w:val="10"/>
  </w:num>
  <w:num w:numId="3">
    <w:abstractNumId w:val="6"/>
  </w:num>
  <w:num w:numId="4">
    <w:abstractNumId w:val="37"/>
  </w:num>
  <w:num w:numId="5">
    <w:abstractNumId w:val="30"/>
  </w:num>
  <w:num w:numId="6">
    <w:abstractNumId w:val="24"/>
  </w:num>
  <w:num w:numId="7">
    <w:abstractNumId w:val="8"/>
  </w:num>
  <w:num w:numId="8">
    <w:abstractNumId w:val="22"/>
  </w:num>
  <w:num w:numId="9">
    <w:abstractNumId w:val="21"/>
  </w:num>
  <w:num w:numId="10">
    <w:abstractNumId w:val="13"/>
  </w:num>
  <w:num w:numId="11">
    <w:abstractNumId w:val="7"/>
  </w:num>
  <w:num w:numId="12">
    <w:abstractNumId w:val="4"/>
  </w:num>
  <w:num w:numId="13">
    <w:abstractNumId w:val="25"/>
  </w:num>
  <w:num w:numId="14">
    <w:abstractNumId w:val="23"/>
  </w:num>
  <w:num w:numId="15">
    <w:abstractNumId w:val="32"/>
  </w:num>
  <w:num w:numId="16">
    <w:abstractNumId w:val="27"/>
  </w:num>
  <w:num w:numId="17">
    <w:abstractNumId w:val="35"/>
  </w:num>
  <w:num w:numId="18">
    <w:abstractNumId w:val="16"/>
  </w:num>
  <w:num w:numId="19">
    <w:abstractNumId w:val="3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7"/>
  </w:num>
  <w:num w:numId="24">
    <w:abstractNumId w:val="19"/>
  </w:num>
  <w:num w:numId="25">
    <w:abstractNumId w:val="34"/>
  </w:num>
  <w:num w:numId="26">
    <w:abstractNumId w:val="29"/>
  </w:num>
  <w:num w:numId="27">
    <w:abstractNumId w:val="12"/>
  </w:num>
  <w:num w:numId="28">
    <w:abstractNumId w:val="31"/>
  </w:num>
  <w:num w:numId="29">
    <w:abstractNumId w:val="5"/>
  </w:num>
  <w:num w:numId="30">
    <w:abstractNumId w:val="14"/>
  </w:num>
  <w:num w:numId="31">
    <w:abstractNumId w:val="2"/>
  </w:num>
  <w:num w:numId="32">
    <w:abstractNumId w:val="3"/>
  </w:num>
  <w:num w:numId="33">
    <w:abstractNumId w:val="11"/>
  </w:num>
  <w:num w:numId="34">
    <w:abstractNumId w:val="12"/>
  </w:num>
  <w:num w:numId="35">
    <w:abstractNumId w:val="38"/>
  </w:num>
  <w:num w:numId="36">
    <w:abstractNumId w:val="9"/>
  </w:num>
  <w:num w:numId="37">
    <w:abstractNumId w:val="26"/>
  </w:num>
  <w:num w:numId="38">
    <w:abstractNumId w:val="20"/>
  </w:num>
  <w:num w:numId="39">
    <w:abstractNumId w:val="28"/>
  </w:num>
  <w:num w:numId="40">
    <w:abstractNumId w:val="36"/>
  </w:num>
  <w:num w:numId="41">
    <w:abstractNumId w:val="0"/>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103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E158D9-9BFA-431E-98FE-E0A294175872"/>
    <w:docVar w:name="LW_COVERPAGE_TYPE" w:val="1"/>
    <w:docVar w:name="LW_CROSSREFERENCE" w:val="&lt;UNUSED&gt;"/>
    <w:docVar w:name="LW_DocType" w:val="NORMAL"/>
    <w:docVar w:name="LW_EMISSION" w:val="28.3.2022"/>
    <w:docVar w:name="LW_EMISSION_ISODATE" w:val="2022-03-28"/>
    <w:docVar w:name="LW_EMISSION_LOCATION" w:val="BRX"/>
    <w:docVar w:name="LW_EMISSION_PREFIX" w:val="Brussels, "/>
    <w:docVar w:name="LW_EMISSION_SUFFIX" w:val=" "/>
    <w:docVar w:name="LW_ID_DOCTYPE_NONLW" w:val="CP-02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SWD"/>
    <w:docVar w:name="LW_REF.INST.NEW_ADOPTED" w:val="final"/>
    <w:docVar w:name="LW_REF.INST.NEW_TEXT" w:val="(2022)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ustoms Programme Annual Progress Report on year 2021"/>
    <w:docVar w:name="LW_TYPE.DOC.CP" w:val="COMMISSION STAFF WORKING DOCUMENT"/>
    <w:docVar w:name="LwApiVersions" w:val="LW4CoDe 1.23.2.0; LW 8.0, Build 20211117"/>
  </w:docVars>
  <w:rsids>
    <w:rsidRoot w:val="00577B42"/>
    <w:rsid w:val="00000379"/>
    <w:rsid w:val="000021EF"/>
    <w:rsid w:val="00003ACE"/>
    <w:rsid w:val="00004821"/>
    <w:rsid w:val="00014A41"/>
    <w:rsid w:val="00015707"/>
    <w:rsid w:val="000163B3"/>
    <w:rsid w:val="000166FC"/>
    <w:rsid w:val="0002141C"/>
    <w:rsid w:val="000247D8"/>
    <w:rsid w:val="000253C2"/>
    <w:rsid w:val="000271F3"/>
    <w:rsid w:val="00027CF5"/>
    <w:rsid w:val="000309C1"/>
    <w:rsid w:val="00033369"/>
    <w:rsid w:val="000334DA"/>
    <w:rsid w:val="0004073D"/>
    <w:rsid w:val="00040986"/>
    <w:rsid w:val="00054575"/>
    <w:rsid w:val="0005488C"/>
    <w:rsid w:val="00054FD9"/>
    <w:rsid w:val="0006010B"/>
    <w:rsid w:val="00065AC2"/>
    <w:rsid w:val="000679C8"/>
    <w:rsid w:val="00071FE6"/>
    <w:rsid w:val="00072B82"/>
    <w:rsid w:val="000819B1"/>
    <w:rsid w:val="00081D81"/>
    <w:rsid w:val="000820E0"/>
    <w:rsid w:val="0008257E"/>
    <w:rsid w:val="000850EF"/>
    <w:rsid w:val="00085A6C"/>
    <w:rsid w:val="000917DD"/>
    <w:rsid w:val="00091A92"/>
    <w:rsid w:val="00096B61"/>
    <w:rsid w:val="00096C57"/>
    <w:rsid w:val="00097097"/>
    <w:rsid w:val="000A005B"/>
    <w:rsid w:val="000A37C3"/>
    <w:rsid w:val="000B31FA"/>
    <w:rsid w:val="000B3D68"/>
    <w:rsid w:val="000B472F"/>
    <w:rsid w:val="000B5493"/>
    <w:rsid w:val="000B5ED9"/>
    <w:rsid w:val="000B649E"/>
    <w:rsid w:val="000C044F"/>
    <w:rsid w:val="000C0C3B"/>
    <w:rsid w:val="000C4172"/>
    <w:rsid w:val="000C6A14"/>
    <w:rsid w:val="000C74AF"/>
    <w:rsid w:val="000D2726"/>
    <w:rsid w:val="000D7040"/>
    <w:rsid w:val="000D79EF"/>
    <w:rsid w:val="000F0DC0"/>
    <w:rsid w:val="000F1007"/>
    <w:rsid w:val="000F4CEC"/>
    <w:rsid w:val="000F5998"/>
    <w:rsid w:val="000F63FD"/>
    <w:rsid w:val="00102F3A"/>
    <w:rsid w:val="001117CB"/>
    <w:rsid w:val="0011607E"/>
    <w:rsid w:val="0012207B"/>
    <w:rsid w:val="0012426A"/>
    <w:rsid w:val="00124607"/>
    <w:rsid w:val="0012465A"/>
    <w:rsid w:val="001259BB"/>
    <w:rsid w:val="00126CF1"/>
    <w:rsid w:val="00126EC7"/>
    <w:rsid w:val="00131180"/>
    <w:rsid w:val="001315F1"/>
    <w:rsid w:val="001316FE"/>
    <w:rsid w:val="00133F32"/>
    <w:rsid w:val="00134C81"/>
    <w:rsid w:val="001373D0"/>
    <w:rsid w:val="001378EA"/>
    <w:rsid w:val="0014421C"/>
    <w:rsid w:val="00152550"/>
    <w:rsid w:val="00152D6E"/>
    <w:rsid w:val="00153A99"/>
    <w:rsid w:val="00153FAE"/>
    <w:rsid w:val="00167FC6"/>
    <w:rsid w:val="001723E5"/>
    <w:rsid w:val="00173E46"/>
    <w:rsid w:val="00176A72"/>
    <w:rsid w:val="001775D7"/>
    <w:rsid w:val="0018054E"/>
    <w:rsid w:val="001840BE"/>
    <w:rsid w:val="00185744"/>
    <w:rsid w:val="001873EF"/>
    <w:rsid w:val="00190E78"/>
    <w:rsid w:val="001926AE"/>
    <w:rsid w:val="00195500"/>
    <w:rsid w:val="001A0017"/>
    <w:rsid w:val="001A00F6"/>
    <w:rsid w:val="001A19C7"/>
    <w:rsid w:val="001A1A16"/>
    <w:rsid w:val="001A35A9"/>
    <w:rsid w:val="001A6022"/>
    <w:rsid w:val="001B2DE3"/>
    <w:rsid w:val="001B776B"/>
    <w:rsid w:val="001B7C83"/>
    <w:rsid w:val="001B7D3B"/>
    <w:rsid w:val="001C1047"/>
    <w:rsid w:val="001C1CB5"/>
    <w:rsid w:val="001C2518"/>
    <w:rsid w:val="001C4413"/>
    <w:rsid w:val="001C467B"/>
    <w:rsid w:val="001D059F"/>
    <w:rsid w:val="001E070A"/>
    <w:rsid w:val="001F183D"/>
    <w:rsid w:val="001F3DF2"/>
    <w:rsid w:val="001F601C"/>
    <w:rsid w:val="00201A11"/>
    <w:rsid w:val="0020431D"/>
    <w:rsid w:val="00206616"/>
    <w:rsid w:val="00207BED"/>
    <w:rsid w:val="00211FFE"/>
    <w:rsid w:val="00212880"/>
    <w:rsid w:val="0021545B"/>
    <w:rsid w:val="002172B4"/>
    <w:rsid w:val="00217DB5"/>
    <w:rsid w:val="002219DD"/>
    <w:rsid w:val="00221AA9"/>
    <w:rsid w:val="002221F4"/>
    <w:rsid w:val="002300EF"/>
    <w:rsid w:val="002301E8"/>
    <w:rsid w:val="00240FD0"/>
    <w:rsid w:val="00242534"/>
    <w:rsid w:val="00243CAD"/>
    <w:rsid w:val="00244EAB"/>
    <w:rsid w:val="00245339"/>
    <w:rsid w:val="00246BFE"/>
    <w:rsid w:val="0024714F"/>
    <w:rsid w:val="00251496"/>
    <w:rsid w:val="00252077"/>
    <w:rsid w:val="00252E73"/>
    <w:rsid w:val="00260492"/>
    <w:rsid w:val="002604A5"/>
    <w:rsid w:val="00261534"/>
    <w:rsid w:val="00261822"/>
    <w:rsid w:val="00265890"/>
    <w:rsid w:val="0026679F"/>
    <w:rsid w:val="00267122"/>
    <w:rsid w:val="0027048D"/>
    <w:rsid w:val="00271EBC"/>
    <w:rsid w:val="00272120"/>
    <w:rsid w:val="00277606"/>
    <w:rsid w:val="00281DEC"/>
    <w:rsid w:val="00284435"/>
    <w:rsid w:val="002848BA"/>
    <w:rsid w:val="00285E40"/>
    <w:rsid w:val="00290723"/>
    <w:rsid w:val="00291CBC"/>
    <w:rsid w:val="002920AC"/>
    <w:rsid w:val="00292136"/>
    <w:rsid w:val="00293F7D"/>
    <w:rsid w:val="002967F6"/>
    <w:rsid w:val="002A1638"/>
    <w:rsid w:val="002A1E08"/>
    <w:rsid w:val="002A2601"/>
    <w:rsid w:val="002B0B4B"/>
    <w:rsid w:val="002B1891"/>
    <w:rsid w:val="002B2569"/>
    <w:rsid w:val="002B3DDB"/>
    <w:rsid w:val="002B56F5"/>
    <w:rsid w:val="002B65CA"/>
    <w:rsid w:val="002C0578"/>
    <w:rsid w:val="002C3013"/>
    <w:rsid w:val="002C6E5B"/>
    <w:rsid w:val="002C72F0"/>
    <w:rsid w:val="002D1770"/>
    <w:rsid w:val="002D27D5"/>
    <w:rsid w:val="002D2E25"/>
    <w:rsid w:val="002D6E5D"/>
    <w:rsid w:val="002D7EBF"/>
    <w:rsid w:val="002E1692"/>
    <w:rsid w:val="002E2036"/>
    <w:rsid w:val="002E3B5C"/>
    <w:rsid w:val="002E7689"/>
    <w:rsid w:val="002E7B2F"/>
    <w:rsid w:val="002F00B8"/>
    <w:rsid w:val="002F14C2"/>
    <w:rsid w:val="002F18AB"/>
    <w:rsid w:val="0030209F"/>
    <w:rsid w:val="00302FEE"/>
    <w:rsid w:val="00303183"/>
    <w:rsid w:val="0031014E"/>
    <w:rsid w:val="003126A6"/>
    <w:rsid w:val="003140D9"/>
    <w:rsid w:val="003148CA"/>
    <w:rsid w:val="003243A2"/>
    <w:rsid w:val="003246A4"/>
    <w:rsid w:val="00325630"/>
    <w:rsid w:val="0033766E"/>
    <w:rsid w:val="003419EF"/>
    <w:rsid w:val="0034230A"/>
    <w:rsid w:val="0034328A"/>
    <w:rsid w:val="00343B09"/>
    <w:rsid w:val="003444DF"/>
    <w:rsid w:val="00344523"/>
    <w:rsid w:val="00344B13"/>
    <w:rsid w:val="0034665F"/>
    <w:rsid w:val="00351331"/>
    <w:rsid w:val="00352EC1"/>
    <w:rsid w:val="00352EDD"/>
    <w:rsid w:val="0035669F"/>
    <w:rsid w:val="00360733"/>
    <w:rsid w:val="00361F35"/>
    <w:rsid w:val="00362E3F"/>
    <w:rsid w:val="00363A6F"/>
    <w:rsid w:val="00364678"/>
    <w:rsid w:val="00365E14"/>
    <w:rsid w:val="00370162"/>
    <w:rsid w:val="00372596"/>
    <w:rsid w:val="00373350"/>
    <w:rsid w:val="00374730"/>
    <w:rsid w:val="0037476C"/>
    <w:rsid w:val="00375514"/>
    <w:rsid w:val="003770E0"/>
    <w:rsid w:val="00380E24"/>
    <w:rsid w:val="00384DF0"/>
    <w:rsid w:val="00386572"/>
    <w:rsid w:val="00386CEB"/>
    <w:rsid w:val="00391F40"/>
    <w:rsid w:val="0039221A"/>
    <w:rsid w:val="00392BE5"/>
    <w:rsid w:val="003932E2"/>
    <w:rsid w:val="00396C82"/>
    <w:rsid w:val="003A05F9"/>
    <w:rsid w:val="003A16D4"/>
    <w:rsid w:val="003A5D16"/>
    <w:rsid w:val="003A658D"/>
    <w:rsid w:val="003A6BED"/>
    <w:rsid w:val="003A7BFA"/>
    <w:rsid w:val="003B23F7"/>
    <w:rsid w:val="003B285D"/>
    <w:rsid w:val="003C01BF"/>
    <w:rsid w:val="003C289C"/>
    <w:rsid w:val="003C41A9"/>
    <w:rsid w:val="003C6A79"/>
    <w:rsid w:val="003C6D31"/>
    <w:rsid w:val="003D25DF"/>
    <w:rsid w:val="003D519C"/>
    <w:rsid w:val="003D64C3"/>
    <w:rsid w:val="003D7275"/>
    <w:rsid w:val="003D747C"/>
    <w:rsid w:val="003E0887"/>
    <w:rsid w:val="003E08ED"/>
    <w:rsid w:val="003E0DD2"/>
    <w:rsid w:val="003E1BD7"/>
    <w:rsid w:val="003E43C3"/>
    <w:rsid w:val="003E5721"/>
    <w:rsid w:val="003E680A"/>
    <w:rsid w:val="003F4E1E"/>
    <w:rsid w:val="003F78BC"/>
    <w:rsid w:val="00401134"/>
    <w:rsid w:val="00404503"/>
    <w:rsid w:val="00405E2A"/>
    <w:rsid w:val="00405FA7"/>
    <w:rsid w:val="0040685D"/>
    <w:rsid w:val="00406A4E"/>
    <w:rsid w:val="00414118"/>
    <w:rsid w:val="00415E9E"/>
    <w:rsid w:val="00417601"/>
    <w:rsid w:val="00417B9C"/>
    <w:rsid w:val="00420D50"/>
    <w:rsid w:val="00430916"/>
    <w:rsid w:val="00432700"/>
    <w:rsid w:val="00433EC6"/>
    <w:rsid w:val="0043639F"/>
    <w:rsid w:val="00441F46"/>
    <w:rsid w:val="004466B0"/>
    <w:rsid w:val="004512E9"/>
    <w:rsid w:val="00451F3C"/>
    <w:rsid w:val="00456BC9"/>
    <w:rsid w:val="00462381"/>
    <w:rsid w:val="00462743"/>
    <w:rsid w:val="00464D1C"/>
    <w:rsid w:val="004753B8"/>
    <w:rsid w:val="004821E3"/>
    <w:rsid w:val="004830B0"/>
    <w:rsid w:val="00483D06"/>
    <w:rsid w:val="00484BA9"/>
    <w:rsid w:val="00485461"/>
    <w:rsid w:val="004913B6"/>
    <w:rsid w:val="004935DB"/>
    <w:rsid w:val="00496C6E"/>
    <w:rsid w:val="00496F5B"/>
    <w:rsid w:val="004972FD"/>
    <w:rsid w:val="00497AE9"/>
    <w:rsid w:val="00497FF3"/>
    <w:rsid w:val="004A2E1C"/>
    <w:rsid w:val="004A3A9A"/>
    <w:rsid w:val="004A3EAF"/>
    <w:rsid w:val="004B0002"/>
    <w:rsid w:val="004B0DA0"/>
    <w:rsid w:val="004B46DB"/>
    <w:rsid w:val="004C6557"/>
    <w:rsid w:val="004D0696"/>
    <w:rsid w:val="004D08C6"/>
    <w:rsid w:val="004D1AA9"/>
    <w:rsid w:val="004D33B3"/>
    <w:rsid w:val="004D362F"/>
    <w:rsid w:val="004D3B50"/>
    <w:rsid w:val="004E4945"/>
    <w:rsid w:val="004E5838"/>
    <w:rsid w:val="004F20EA"/>
    <w:rsid w:val="004F3F72"/>
    <w:rsid w:val="004F56E0"/>
    <w:rsid w:val="004F60E2"/>
    <w:rsid w:val="005032EA"/>
    <w:rsid w:val="00504F32"/>
    <w:rsid w:val="005065B1"/>
    <w:rsid w:val="0050788F"/>
    <w:rsid w:val="00516716"/>
    <w:rsid w:val="0052267C"/>
    <w:rsid w:val="00523C88"/>
    <w:rsid w:val="00525ABA"/>
    <w:rsid w:val="00527740"/>
    <w:rsid w:val="00527C60"/>
    <w:rsid w:val="00534D46"/>
    <w:rsid w:val="005421CC"/>
    <w:rsid w:val="00542361"/>
    <w:rsid w:val="00543BEA"/>
    <w:rsid w:val="00550477"/>
    <w:rsid w:val="00550DDC"/>
    <w:rsid w:val="00551594"/>
    <w:rsid w:val="005515F2"/>
    <w:rsid w:val="00555309"/>
    <w:rsid w:val="00555688"/>
    <w:rsid w:val="005569EB"/>
    <w:rsid w:val="005610FE"/>
    <w:rsid w:val="00561343"/>
    <w:rsid w:val="00561D25"/>
    <w:rsid w:val="00563740"/>
    <w:rsid w:val="00563983"/>
    <w:rsid w:val="00564EC9"/>
    <w:rsid w:val="005703D1"/>
    <w:rsid w:val="00570628"/>
    <w:rsid w:val="0057071F"/>
    <w:rsid w:val="00570831"/>
    <w:rsid w:val="00570DF2"/>
    <w:rsid w:val="0057106A"/>
    <w:rsid w:val="00572265"/>
    <w:rsid w:val="005726DF"/>
    <w:rsid w:val="00573125"/>
    <w:rsid w:val="00576D39"/>
    <w:rsid w:val="0057732B"/>
    <w:rsid w:val="00577B42"/>
    <w:rsid w:val="00577EAF"/>
    <w:rsid w:val="00586891"/>
    <w:rsid w:val="0059136A"/>
    <w:rsid w:val="0059168F"/>
    <w:rsid w:val="005924D0"/>
    <w:rsid w:val="005926F0"/>
    <w:rsid w:val="00592A77"/>
    <w:rsid w:val="00593048"/>
    <w:rsid w:val="00595D87"/>
    <w:rsid w:val="00597BE9"/>
    <w:rsid w:val="005A11AF"/>
    <w:rsid w:val="005A1536"/>
    <w:rsid w:val="005A157C"/>
    <w:rsid w:val="005A4B4A"/>
    <w:rsid w:val="005A4BE3"/>
    <w:rsid w:val="005A7A65"/>
    <w:rsid w:val="005B21AF"/>
    <w:rsid w:val="005C00FC"/>
    <w:rsid w:val="005C210C"/>
    <w:rsid w:val="005C26E0"/>
    <w:rsid w:val="005C3562"/>
    <w:rsid w:val="005C48A1"/>
    <w:rsid w:val="005C5850"/>
    <w:rsid w:val="005C5BDF"/>
    <w:rsid w:val="005D2E71"/>
    <w:rsid w:val="005D4CFA"/>
    <w:rsid w:val="005E49D9"/>
    <w:rsid w:val="005E512A"/>
    <w:rsid w:val="005F12B6"/>
    <w:rsid w:val="005F1A86"/>
    <w:rsid w:val="005F2163"/>
    <w:rsid w:val="005F2FF5"/>
    <w:rsid w:val="005F4123"/>
    <w:rsid w:val="005F4C9A"/>
    <w:rsid w:val="005F72CB"/>
    <w:rsid w:val="00602BA8"/>
    <w:rsid w:val="00610AA7"/>
    <w:rsid w:val="006116BC"/>
    <w:rsid w:val="00613669"/>
    <w:rsid w:val="00615E32"/>
    <w:rsid w:val="00616362"/>
    <w:rsid w:val="00620087"/>
    <w:rsid w:val="00621E30"/>
    <w:rsid w:val="006256E8"/>
    <w:rsid w:val="006264C1"/>
    <w:rsid w:val="0064039C"/>
    <w:rsid w:val="00642F92"/>
    <w:rsid w:val="00647B80"/>
    <w:rsid w:val="00655996"/>
    <w:rsid w:val="00656E53"/>
    <w:rsid w:val="00661203"/>
    <w:rsid w:val="00666E6F"/>
    <w:rsid w:val="00667C90"/>
    <w:rsid w:val="00667D86"/>
    <w:rsid w:val="006700E4"/>
    <w:rsid w:val="00673F81"/>
    <w:rsid w:val="006762EE"/>
    <w:rsid w:val="00676A74"/>
    <w:rsid w:val="006804E1"/>
    <w:rsid w:val="00681B3F"/>
    <w:rsid w:val="0068298B"/>
    <w:rsid w:val="00682A27"/>
    <w:rsid w:val="00692395"/>
    <w:rsid w:val="006930A0"/>
    <w:rsid w:val="00693CB4"/>
    <w:rsid w:val="0069402E"/>
    <w:rsid w:val="00695353"/>
    <w:rsid w:val="006A07C8"/>
    <w:rsid w:val="006A4ED3"/>
    <w:rsid w:val="006A5115"/>
    <w:rsid w:val="006A6B7E"/>
    <w:rsid w:val="006A742B"/>
    <w:rsid w:val="006B1ECC"/>
    <w:rsid w:val="006B3B01"/>
    <w:rsid w:val="006C1817"/>
    <w:rsid w:val="006C2019"/>
    <w:rsid w:val="006C32AF"/>
    <w:rsid w:val="006C5D22"/>
    <w:rsid w:val="006C60A0"/>
    <w:rsid w:val="006C7486"/>
    <w:rsid w:val="006C787F"/>
    <w:rsid w:val="006D15DB"/>
    <w:rsid w:val="006D3463"/>
    <w:rsid w:val="006D38A1"/>
    <w:rsid w:val="006D65C1"/>
    <w:rsid w:val="006D6DDF"/>
    <w:rsid w:val="006E37DF"/>
    <w:rsid w:val="006E54AC"/>
    <w:rsid w:val="006E6EE7"/>
    <w:rsid w:val="006E7A4A"/>
    <w:rsid w:val="006F2C02"/>
    <w:rsid w:val="006F2FEA"/>
    <w:rsid w:val="006F3191"/>
    <w:rsid w:val="006F6EA1"/>
    <w:rsid w:val="0070093C"/>
    <w:rsid w:val="00701CA9"/>
    <w:rsid w:val="00703356"/>
    <w:rsid w:val="00703662"/>
    <w:rsid w:val="00705FA5"/>
    <w:rsid w:val="007119F7"/>
    <w:rsid w:val="00714495"/>
    <w:rsid w:val="007219EE"/>
    <w:rsid w:val="00721FCA"/>
    <w:rsid w:val="00722081"/>
    <w:rsid w:val="0072245D"/>
    <w:rsid w:val="00724276"/>
    <w:rsid w:val="00725381"/>
    <w:rsid w:val="007276B4"/>
    <w:rsid w:val="00727AD0"/>
    <w:rsid w:val="00730F39"/>
    <w:rsid w:val="00734648"/>
    <w:rsid w:val="007351E4"/>
    <w:rsid w:val="00736267"/>
    <w:rsid w:val="007370E2"/>
    <w:rsid w:val="00737ADD"/>
    <w:rsid w:val="00740BBE"/>
    <w:rsid w:val="00742093"/>
    <w:rsid w:val="00745201"/>
    <w:rsid w:val="007467FD"/>
    <w:rsid w:val="00746EED"/>
    <w:rsid w:val="00752776"/>
    <w:rsid w:val="0075733E"/>
    <w:rsid w:val="00760003"/>
    <w:rsid w:val="007601B1"/>
    <w:rsid w:val="007620A8"/>
    <w:rsid w:val="00763771"/>
    <w:rsid w:val="007662A1"/>
    <w:rsid w:val="007706BF"/>
    <w:rsid w:val="00777C06"/>
    <w:rsid w:val="00782951"/>
    <w:rsid w:val="00783BF3"/>
    <w:rsid w:val="00785352"/>
    <w:rsid w:val="0078625A"/>
    <w:rsid w:val="007868FD"/>
    <w:rsid w:val="0079071C"/>
    <w:rsid w:val="007A009E"/>
    <w:rsid w:val="007A02DC"/>
    <w:rsid w:val="007A21AF"/>
    <w:rsid w:val="007A4599"/>
    <w:rsid w:val="007A5DB8"/>
    <w:rsid w:val="007A625A"/>
    <w:rsid w:val="007B26F5"/>
    <w:rsid w:val="007B36AD"/>
    <w:rsid w:val="007B6C67"/>
    <w:rsid w:val="007C189B"/>
    <w:rsid w:val="007C1D95"/>
    <w:rsid w:val="007C1EF6"/>
    <w:rsid w:val="007C79A4"/>
    <w:rsid w:val="007D0F1E"/>
    <w:rsid w:val="007D5BAF"/>
    <w:rsid w:val="007D607F"/>
    <w:rsid w:val="007D66B9"/>
    <w:rsid w:val="007E047D"/>
    <w:rsid w:val="007E513A"/>
    <w:rsid w:val="007F2575"/>
    <w:rsid w:val="007F5A14"/>
    <w:rsid w:val="007F635D"/>
    <w:rsid w:val="00803F65"/>
    <w:rsid w:val="00807F1E"/>
    <w:rsid w:val="00813359"/>
    <w:rsid w:val="008136DB"/>
    <w:rsid w:val="00815B83"/>
    <w:rsid w:val="00817B29"/>
    <w:rsid w:val="0082088D"/>
    <w:rsid w:val="00821F2A"/>
    <w:rsid w:val="00822D0A"/>
    <w:rsid w:val="008231F1"/>
    <w:rsid w:val="00823241"/>
    <w:rsid w:val="008241CE"/>
    <w:rsid w:val="00830BF9"/>
    <w:rsid w:val="008315FC"/>
    <w:rsid w:val="008318FA"/>
    <w:rsid w:val="0083511A"/>
    <w:rsid w:val="00844E46"/>
    <w:rsid w:val="00845F27"/>
    <w:rsid w:val="00852655"/>
    <w:rsid w:val="00861985"/>
    <w:rsid w:val="008629D6"/>
    <w:rsid w:val="00862E6B"/>
    <w:rsid w:val="00864FBD"/>
    <w:rsid w:val="00866A9D"/>
    <w:rsid w:val="00867565"/>
    <w:rsid w:val="00871334"/>
    <w:rsid w:val="00872A55"/>
    <w:rsid w:val="0087324E"/>
    <w:rsid w:val="008737C9"/>
    <w:rsid w:val="00873A80"/>
    <w:rsid w:val="00875BDB"/>
    <w:rsid w:val="00876BF2"/>
    <w:rsid w:val="008803CC"/>
    <w:rsid w:val="00880BBD"/>
    <w:rsid w:val="00880F4E"/>
    <w:rsid w:val="00882987"/>
    <w:rsid w:val="00882AD4"/>
    <w:rsid w:val="00885AFD"/>
    <w:rsid w:val="0089271B"/>
    <w:rsid w:val="0089569B"/>
    <w:rsid w:val="00897790"/>
    <w:rsid w:val="008A1207"/>
    <w:rsid w:val="008A3EFD"/>
    <w:rsid w:val="008A6140"/>
    <w:rsid w:val="008A630E"/>
    <w:rsid w:val="008B3178"/>
    <w:rsid w:val="008B32B7"/>
    <w:rsid w:val="008B46CC"/>
    <w:rsid w:val="008B71EC"/>
    <w:rsid w:val="008C1D6E"/>
    <w:rsid w:val="008C587E"/>
    <w:rsid w:val="008C5CBA"/>
    <w:rsid w:val="008D0BBF"/>
    <w:rsid w:val="008D1FA6"/>
    <w:rsid w:val="008D4305"/>
    <w:rsid w:val="008D7217"/>
    <w:rsid w:val="008E2F99"/>
    <w:rsid w:val="008E6EC9"/>
    <w:rsid w:val="008F03AB"/>
    <w:rsid w:val="008F251B"/>
    <w:rsid w:val="008F396D"/>
    <w:rsid w:val="008F76B4"/>
    <w:rsid w:val="0090130F"/>
    <w:rsid w:val="00902AFD"/>
    <w:rsid w:val="009041EB"/>
    <w:rsid w:val="009077AD"/>
    <w:rsid w:val="0091345B"/>
    <w:rsid w:val="0091362F"/>
    <w:rsid w:val="00914D45"/>
    <w:rsid w:val="00915699"/>
    <w:rsid w:val="00915EDC"/>
    <w:rsid w:val="00917997"/>
    <w:rsid w:val="00920816"/>
    <w:rsid w:val="00925880"/>
    <w:rsid w:val="009328FC"/>
    <w:rsid w:val="00933945"/>
    <w:rsid w:val="009367ED"/>
    <w:rsid w:val="009408A4"/>
    <w:rsid w:val="00940A1B"/>
    <w:rsid w:val="00940F3B"/>
    <w:rsid w:val="00943997"/>
    <w:rsid w:val="009503B5"/>
    <w:rsid w:val="00952397"/>
    <w:rsid w:val="00954F97"/>
    <w:rsid w:val="0096022C"/>
    <w:rsid w:val="00961FD1"/>
    <w:rsid w:val="00970656"/>
    <w:rsid w:val="00974A31"/>
    <w:rsid w:val="00980DAE"/>
    <w:rsid w:val="00982897"/>
    <w:rsid w:val="0098353D"/>
    <w:rsid w:val="009858DA"/>
    <w:rsid w:val="00986EAE"/>
    <w:rsid w:val="00992AA9"/>
    <w:rsid w:val="00993403"/>
    <w:rsid w:val="00994629"/>
    <w:rsid w:val="009A285C"/>
    <w:rsid w:val="009A33E1"/>
    <w:rsid w:val="009A3504"/>
    <w:rsid w:val="009A69DC"/>
    <w:rsid w:val="009B0115"/>
    <w:rsid w:val="009B1D2F"/>
    <w:rsid w:val="009B3480"/>
    <w:rsid w:val="009B4151"/>
    <w:rsid w:val="009B415D"/>
    <w:rsid w:val="009B63C0"/>
    <w:rsid w:val="009B6D3F"/>
    <w:rsid w:val="009B789D"/>
    <w:rsid w:val="009C0680"/>
    <w:rsid w:val="009C1926"/>
    <w:rsid w:val="009C4323"/>
    <w:rsid w:val="009C4F70"/>
    <w:rsid w:val="009C6366"/>
    <w:rsid w:val="009D07ED"/>
    <w:rsid w:val="009D0860"/>
    <w:rsid w:val="009D2CD9"/>
    <w:rsid w:val="009D45BF"/>
    <w:rsid w:val="009D4EC5"/>
    <w:rsid w:val="009D6E50"/>
    <w:rsid w:val="009E03AD"/>
    <w:rsid w:val="009E0DA3"/>
    <w:rsid w:val="009E3C83"/>
    <w:rsid w:val="009F0373"/>
    <w:rsid w:val="009F1423"/>
    <w:rsid w:val="009F1568"/>
    <w:rsid w:val="009F396D"/>
    <w:rsid w:val="009F53E0"/>
    <w:rsid w:val="009F73A1"/>
    <w:rsid w:val="00A0483C"/>
    <w:rsid w:val="00A052A8"/>
    <w:rsid w:val="00A05534"/>
    <w:rsid w:val="00A055A8"/>
    <w:rsid w:val="00A058EE"/>
    <w:rsid w:val="00A05C30"/>
    <w:rsid w:val="00A062AA"/>
    <w:rsid w:val="00A06ABE"/>
    <w:rsid w:val="00A07BFE"/>
    <w:rsid w:val="00A104F1"/>
    <w:rsid w:val="00A1135B"/>
    <w:rsid w:val="00A15086"/>
    <w:rsid w:val="00A1516F"/>
    <w:rsid w:val="00A234FD"/>
    <w:rsid w:val="00A327D8"/>
    <w:rsid w:val="00A3546A"/>
    <w:rsid w:val="00A3695F"/>
    <w:rsid w:val="00A47118"/>
    <w:rsid w:val="00A47F74"/>
    <w:rsid w:val="00A50A4A"/>
    <w:rsid w:val="00A51B6A"/>
    <w:rsid w:val="00A53C71"/>
    <w:rsid w:val="00A54A73"/>
    <w:rsid w:val="00A55749"/>
    <w:rsid w:val="00A559C3"/>
    <w:rsid w:val="00A55A33"/>
    <w:rsid w:val="00A57C67"/>
    <w:rsid w:val="00A6504D"/>
    <w:rsid w:val="00A66203"/>
    <w:rsid w:val="00A70B72"/>
    <w:rsid w:val="00A7158B"/>
    <w:rsid w:val="00A76D6C"/>
    <w:rsid w:val="00A77110"/>
    <w:rsid w:val="00A77D9A"/>
    <w:rsid w:val="00A77E6F"/>
    <w:rsid w:val="00A820CC"/>
    <w:rsid w:val="00A82425"/>
    <w:rsid w:val="00A83D62"/>
    <w:rsid w:val="00A874ED"/>
    <w:rsid w:val="00A93FED"/>
    <w:rsid w:val="00AA0A1F"/>
    <w:rsid w:val="00AA0BEB"/>
    <w:rsid w:val="00AA237F"/>
    <w:rsid w:val="00AB0D28"/>
    <w:rsid w:val="00AB1F52"/>
    <w:rsid w:val="00AB2105"/>
    <w:rsid w:val="00AB2311"/>
    <w:rsid w:val="00AB2586"/>
    <w:rsid w:val="00AB58DB"/>
    <w:rsid w:val="00AB6D36"/>
    <w:rsid w:val="00AB7980"/>
    <w:rsid w:val="00AC0CA0"/>
    <w:rsid w:val="00AC321A"/>
    <w:rsid w:val="00AC4372"/>
    <w:rsid w:val="00AC6FA5"/>
    <w:rsid w:val="00AD2476"/>
    <w:rsid w:val="00AD48DC"/>
    <w:rsid w:val="00AE1D3F"/>
    <w:rsid w:val="00AE3E08"/>
    <w:rsid w:val="00AE4D46"/>
    <w:rsid w:val="00AE70B8"/>
    <w:rsid w:val="00AF0D92"/>
    <w:rsid w:val="00AF2E2B"/>
    <w:rsid w:val="00AF7763"/>
    <w:rsid w:val="00AF7B58"/>
    <w:rsid w:val="00B02D25"/>
    <w:rsid w:val="00B03E35"/>
    <w:rsid w:val="00B05A4B"/>
    <w:rsid w:val="00B06EFE"/>
    <w:rsid w:val="00B10286"/>
    <w:rsid w:val="00B10C5C"/>
    <w:rsid w:val="00B10E9C"/>
    <w:rsid w:val="00B2052E"/>
    <w:rsid w:val="00B24CEF"/>
    <w:rsid w:val="00B267C7"/>
    <w:rsid w:val="00B27595"/>
    <w:rsid w:val="00B31961"/>
    <w:rsid w:val="00B374CA"/>
    <w:rsid w:val="00B379D1"/>
    <w:rsid w:val="00B4006D"/>
    <w:rsid w:val="00B41E5E"/>
    <w:rsid w:val="00B43070"/>
    <w:rsid w:val="00B44393"/>
    <w:rsid w:val="00B4586B"/>
    <w:rsid w:val="00B46BB4"/>
    <w:rsid w:val="00B46CB9"/>
    <w:rsid w:val="00B53B44"/>
    <w:rsid w:val="00B54E44"/>
    <w:rsid w:val="00B5573C"/>
    <w:rsid w:val="00B55AC2"/>
    <w:rsid w:val="00B57FC7"/>
    <w:rsid w:val="00B62F96"/>
    <w:rsid w:val="00B640E0"/>
    <w:rsid w:val="00B64E7D"/>
    <w:rsid w:val="00B70C07"/>
    <w:rsid w:val="00B72766"/>
    <w:rsid w:val="00B74280"/>
    <w:rsid w:val="00B743EF"/>
    <w:rsid w:val="00B76DA1"/>
    <w:rsid w:val="00B77D74"/>
    <w:rsid w:val="00B77ECD"/>
    <w:rsid w:val="00B77F80"/>
    <w:rsid w:val="00B82EE5"/>
    <w:rsid w:val="00B8378B"/>
    <w:rsid w:val="00B8582C"/>
    <w:rsid w:val="00B90ADA"/>
    <w:rsid w:val="00B90B76"/>
    <w:rsid w:val="00B916DC"/>
    <w:rsid w:val="00B91C3A"/>
    <w:rsid w:val="00B93238"/>
    <w:rsid w:val="00BA108F"/>
    <w:rsid w:val="00BA3470"/>
    <w:rsid w:val="00BA361D"/>
    <w:rsid w:val="00BA3CE8"/>
    <w:rsid w:val="00BA749B"/>
    <w:rsid w:val="00BB0315"/>
    <w:rsid w:val="00BB25FF"/>
    <w:rsid w:val="00BB3A09"/>
    <w:rsid w:val="00BC073E"/>
    <w:rsid w:val="00BC2179"/>
    <w:rsid w:val="00BC4B9F"/>
    <w:rsid w:val="00BC4E02"/>
    <w:rsid w:val="00BC75D9"/>
    <w:rsid w:val="00BC7AB1"/>
    <w:rsid w:val="00BD2E52"/>
    <w:rsid w:val="00BD32D5"/>
    <w:rsid w:val="00BD4180"/>
    <w:rsid w:val="00BD7A56"/>
    <w:rsid w:val="00BD7F83"/>
    <w:rsid w:val="00BE0C75"/>
    <w:rsid w:val="00BE534A"/>
    <w:rsid w:val="00BE5B59"/>
    <w:rsid w:val="00BE5E4C"/>
    <w:rsid w:val="00BF6E95"/>
    <w:rsid w:val="00BF77C2"/>
    <w:rsid w:val="00C03B4A"/>
    <w:rsid w:val="00C049AB"/>
    <w:rsid w:val="00C06BFF"/>
    <w:rsid w:val="00C11433"/>
    <w:rsid w:val="00C1219C"/>
    <w:rsid w:val="00C15A23"/>
    <w:rsid w:val="00C175E4"/>
    <w:rsid w:val="00C20E90"/>
    <w:rsid w:val="00C2159C"/>
    <w:rsid w:val="00C21973"/>
    <w:rsid w:val="00C25C6C"/>
    <w:rsid w:val="00C30187"/>
    <w:rsid w:val="00C3031B"/>
    <w:rsid w:val="00C31984"/>
    <w:rsid w:val="00C32353"/>
    <w:rsid w:val="00C36BE1"/>
    <w:rsid w:val="00C3782D"/>
    <w:rsid w:val="00C407D0"/>
    <w:rsid w:val="00C40AE3"/>
    <w:rsid w:val="00C40D8D"/>
    <w:rsid w:val="00C433B6"/>
    <w:rsid w:val="00C450F8"/>
    <w:rsid w:val="00C475EA"/>
    <w:rsid w:val="00C5025F"/>
    <w:rsid w:val="00C50459"/>
    <w:rsid w:val="00C52170"/>
    <w:rsid w:val="00C5238D"/>
    <w:rsid w:val="00C5484D"/>
    <w:rsid w:val="00C703A0"/>
    <w:rsid w:val="00C72A9A"/>
    <w:rsid w:val="00C816BA"/>
    <w:rsid w:val="00C816F0"/>
    <w:rsid w:val="00C82546"/>
    <w:rsid w:val="00C8374F"/>
    <w:rsid w:val="00C83D9E"/>
    <w:rsid w:val="00C90FDC"/>
    <w:rsid w:val="00C922B4"/>
    <w:rsid w:val="00C925B1"/>
    <w:rsid w:val="00CA0E33"/>
    <w:rsid w:val="00CA3A7F"/>
    <w:rsid w:val="00CA4AE2"/>
    <w:rsid w:val="00CB301D"/>
    <w:rsid w:val="00CB3EFE"/>
    <w:rsid w:val="00CC1D4B"/>
    <w:rsid w:val="00CC3247"/>
    <w:rsid w:val="00CD5A23"/>
    <w:rsid w:val="00CD7174"/>
    <w:rsid w:val="00CE0C42"/>
    <w:rsid w:val="00CE2D69"/>
    <w:rsid w:val="00CE61CC"/>
    <w:rsid w:val="00CF0599"/>
    <w:rsid w:val="00CF2020"/>
    <w:rsid w:val="00CF6AA4"/>
    <w:rsid w:val="00CF7790"/>
    <w:rsid w:val="00CF7ADB"/>
    <w:rsid w:val="00D00B70"/>
    <w:rsid w:val="00D00BD8"/>
    <w:rsid w:val="00D03063"/>
    <w:rsid w:val="00D10DBB"/>
    <w:rsid w:val="00D11A4C"/>
    <w:rsid w:val="00D124A2"/>
    <w:rsid w:val="00D13028"/>
    <w:rsid w:val="00D14CBA"/>
    <w:rsid w:val="00D16DBB"/>
    <w:rsid w:val="00D17A25"/>
    <w:rsid w:val="00D311E6"/>
    <w:rsid w:val="00D32FAF"/>
    <w:rsid w:val="00D37D11"/>
    <w:rsid w:val="00D4721B"/>
    <w:rsid w:val="00D47B98"/>
    <w:rsid w:val="00D506A4"/>
    <w:rsid w:val="00D51198"/>
    <w:rsid w:val="00D518C1"/>
    <w:rsid w:val="00D528C1"/>
    <w:rsid w:val="00D576E8"/>
    <w:rsid w:val="00D672E8"/>
    <w:rsid w:val="00D75EC1"/>
    <w:rsid w:val="00D801D0"/>
    <w:rsid w:val="00D85304"/>
    <w:rsid w:val="00D85B89"/>
    <w:rsid w:val="00D915F6"/>
    <w:rsid w:val="00D91DA0"/>
    <w:rsid w:val="00D95FB9"/>
    <w:rsid w:val="00DA0A96"/>
    <w:rsid w:val="00DA0DF8"/>
    <w:rsid w:val="00DA19D1"/>
    <w:rsid w:val="00DA1E27"/>
    <w:rsid w:val="00DA6C74"/>
    <w:rsid w:val="00DA7D43"/>
    <w:rsid w:val="00DB1802"/>
    <w:rsid w:val="00DB214D"/>
    <w:rsid w:val="00DB2BB5"/>
    <w:rsid w:val="00DC0E8F"/>
    <w:rsid w:val="00DC2313"/>
    <w:rsid w:val="00DC5634"/>
    <w:rsid w:val="00DC7B76"/>
    <w:rsid w:val="00DD0DEB"/>
    <w:rsid w:val="00DD1492"/>
    <w:rsid w:val="00DD14E3"/>
    <w:rsid w:val="00DD79A8"/>
    <w:rsid w:val="00DE4434"/>
    <w:rsid w:val="00DE68B6"/>
    <w:rsid w:val="00DF5651"/>
    <w:rsid w:val="00DF5C04"/>
    <w:rsid w:val="00DF5E3E"/>
    <w:rsid w:val="00DF6C51"/>
    <w:rsid w:val="00E020D9"/>
    <w:rsid w:val="00E04612"/>
    <w:rsid w:val="00E05044"/>
    <w:rsid w:val="00E05A37"/>
    <w:rsid w:val="00E1199E"/>
    <w:rsid w:val="00E12E97"/>
    <w:rsid w:val="00E16F66"/>
    <w:rsid w:val="00E21C0E"/>
    <w:rsid w:val="00E22B9A"/>
    <w:rsid w:val="00E23EBA"/>
    <w:rsid w:val="00E31614"/>
    <w:rsid w:val="00E3349D"/>
    <w:rsid w:val="00E335CE"/>
    <w:rsid w:val="00E33AF5"/>
    <w:rsid w:val="00E33F87"/>
    <w:rsid w:val="00E344E5"/>
    <w:rsid w:val="00E35107"/>
    <w:rsid w:val="00E351B3"/>
    <w:rsid w:val="00E35E84"/>
    <w:rsid w:val="00E42F2C"/>
    <w:rsid w:val="00E46C30"/>
    <w:rsid w:val="00E5278B"/>
    <w:rsid w:val="00E5347F"/>
    <w:rsid w:val="00E615D8"/>
    <w:rsid w:val="00E61624"/>
    <w:rsid w:val="00E63128"/>
    <w:rsid w:val="00E66015"/>
    <w:rsid w:val="00E7026B"/>
    <w:rsid w:val="00E71246"/>
    <w:rsid w:val="00E719B8"/>
    <w:rsid w:val="00E7330B"/>
    <w:rsid w:val="00E73D5F"/>
    <w:rsid w:val="00E743AE"/>
    <w:rsid w:val="00E778AF"/>
    <w:rsid w:val="00E8089F"/>
    <w:rsid w:val="00E81731"/>
    <w:rsid w:val="00E843C8"/>
    <w:rsid w:val="00E85300"/>
    <w:rsid w:val="00E85C9A"/>
    <w:rsid w:val="00E86278"/>
    <w:rsid w:val="00E8751A"/>
    <w:rsid w:val="00E90912"/>
    <w:rsid w:val="00E913FF"/>
    <w:rsid w:val="00E91895"/>
    <w:rsid w:val="00E960FB"/>
    <w:rsid w:val="00EA0DB9"/>
    <w:rsid w:val="00EB0421"/>
    <w:rsid w:val="00EB4C52"/>
    <w:rsid w:val="00EB570D"/>
    <w:rsid w:val="00EB611D"/>
    <w:rsid w:val="00EB67AF"/>
    <w:rsid w:val="00EC2214"/>
    <w:rsid w:val="00EC3273"/>
    <w:rsid w:val="00EC61C3"/>
    <w:rsid w:val="00EC7A7A"/>
    <w:rsid w:val="00ED0125"/>
    <w:rsid w:val="00ED19BD"/>
    <w:rsid w:val="00ED22A8"/>
    <w:rsid w:val="00EE1D1F"/>
    <w:rsid w:val="00EE29B6"/>
    <w:rsid w:val="00EE4082"/>
    <w:rsid w:val="00EE40E8"/>
    <w:rsid w:val="00EE4FC1"/>
    <w:rsid w:val="00EE68B0"/>
    <w:rsid w:val="00EE6ECA"/>
    <w:rsid w:val="00EE6FD3"/>
    <w:rsid w:val="00EF6F12"/>
    <w:rsid w:val="00F01DD6"/>
    <w:rsid w:val="00F02707"/>
    <w:rsid w:val="00F03E64"/>
    <w:rsid w:val="00F04325"/>
    <w:rsid w:val="00F06C64"/>
    <w:rsid w:val="00F13DCE"/>
    <w:rsid w:val="00F13F59"/>
    <w:rsid w:val="00F16B30"/>
    <w:rsid w:val="00F208DC"/>
    <w:rsid w:val="00F21E44"/>
    <w:rsid w:val="00F23D10"/>
    <w:rsid w:val="00F242CF"/>
    <w:rsid w:val="00F25A11"/>
    <w:rsid w:val="00F260EC"/>
    <w:rsid w:val="00F26325"/>
    <w:rsid w:val="00F26D40"/>
    <w:rsid w:val="00F31E14"/>
    <w:rsid w:val="00F32ECF"/>
    <w:rsid w:val="00F43653"/>
    <w:rsid w:val="00F439A7"/>
    <w:rsid w:val="00F43AF4"/>
    <w:rsid w:val="00F44A29"/>
    <w:rsid w:val="00F45A6E"/>
    <w:rsid w:val="00F5161C"/>
    <w:rsid w:val="00F54BCD"/>
    <w:rsid w:val="00F55720"/>
    <w:rsid w:val="00F57DF9"/>
    <w:rsid w:val="00F6377C"/>
    <w:rsid w:val="00F64683"/>
    <w:rsid w:val="00F65B92"/>
    <w:rsid w:val="00F65CE5"/>
    <w:rsid w:val="00F6767C"/>
    <w:rsid w:val="00F717FB"/>
    <w:rsid w:val="00F72DEA"/>
    <w:rsid w:val="00F75737"/>
    <w:rsid w:val="00F8296C"/>
    <w:rsid w:val="00F83176"/>
    <w:rsid w:val="00F90CA0"/>
    <w:rsid w:val="00F91B03"/>
    <w:rsid w:val="00F97D67"/>
    <w:rsid w:val="00FA0DDA"/>
    <w:rsid w:val="00FA1581"/>
    <w:rsid w:val="00FA1C46"/>
    <w:rsid w:val="00FA1DE4"/>
    <w:rsid w:val="00FA31DC"/>
    <w:rsid w:val="00FA5D3A"/>
    <w:rsid w:val="00FA60DD"/>
    <w:rsid w:val="00FA66E5"/>
    <w:rsid w:val="00FA7F84"/>
    <w:rsid w:val="00FB0008"/>
    <w:rsid w:val="00FB23DB"/>
    <w:rsid w:val="00FB40FA"/>
    <w:rsid w:val="00FB78F7"/>
    <w:rsid w:val="00FC01D3"/>
    <w:rsid w:val="00FC0EFF"/>
    <w:rsid w:val="00FC52DE"/>
    <w:rsid w:val="00FC6741"/>
    <w:rsid w:val="00FD2461"/>
    <w:rsid w:val="00FD2E46"/>
    <w:rsid w:val="00FD7F25"/>
    <w:rsid w:val="00FE066C"/>
    <w:rsid w:val="00FE099F"/>
    <w:rsid w:val="00FE0CA1"/>
    <w:rsid w:val="00FE346C"/>
    <w:rsid w:val="00FE7999"/>
    <w:rsid w:val="00FF1227"/>
    <w:rsid w:val="00FF742E"/>
    <w:rsid w:val="017CB1F3"/>
    <w:rsid w:val="01F349F2"/>
    <w:rsid w:val="023F8F0C"/>
    <w:rsid w:val="030D26E2"/>
    <w:rsid w:val="034835CA"/>
    <w:rsid w:val="05B6F583"/>
    <w:rsid w:val="05D67F11"/>
    <w:rsid w:val="06A01330"/>
    <w:rsid w:val="06EDE6A2"/>
    <w:rsid w:val="072DFB8E"/>
    <w:rsid w:val="0751AC07"/>
    <w:rsid w:val="07B08275"/>
    <w:rsid w:val="08D81A04"/>
    <w:rsid w:val="0B043137"/>
    <w:rsid w:val="0B5E2EDC"/>
    <w:rsid w:val="0B744018"/>
    <w:rsid w:val="0BB6A359"/>
    <w:rsid w:val="0C0575AE"/>
    <w:rsid w:val="0C50D69B"/>
    <w:rsid w:val="0C9A3786"/>
    <w:rsid w:val="0CB8927D"/>
    <w:rsid w:val="0D3B49F0"/>
    <w:rsid w:val="0F145F21"/>
    <w:rsid w:val="1068A236"/>
    <w:rsid w:val="1102169C"/>
    <w:rsid w:val="117055A1"/>
    <w:rsid w:val="122B143B"/>
    <w:rsid w:val="1396F0BB"/>
    <w:rsid w:val="13E07A36"/>
    <w:rsid w:val="14C75870"/>
    <w:rsid w:val="16305A4A"/>
    <w:rsid w:val="164F5D08"/>
    <w:rsid w:val="16ED72C0"/>
    <w:rsid w:val="172FF50D"/>
    <w:rsid w:val="174FC151"/>
    <w:rsid w:val="17FB6F5F"/>
    <w:rsid w:val="18A63CF7"/>
    <w:rsid w:val="18F151CE"/>
    <w:rsid w:val="1954FF3C"/>
    <w:rsid w:val="1A9725B9"/>
    <w:rsid w:val="1ABA4B98"/>
    <w:rsid w:val="1AC3D4FF"/>
    <w:rsid w:val="1AC45F25"/>
    <w:rsid w:val="1B508564"/>
    <w:rsid w:val="1BC3AAE2"/>
    <w:rsid w:val="1C233274"/>
    <w:rsid w:val="1C602F86"/>
    <w:rsid w:val="1CC6BE29"/>
    <w:rsid w:val="1D0F4060"/>
    <w:rsid w:val="1D696887"/>
    <w:rsid w:val="1E81488F"/>
    <w:rsid w:val="1FC440C0"/>
    <w:rsid w:val="203FDDB6"/>
    <w:rsid w:val="2049E422"/>
    <w:rsid w:val="20A9C561"/>
    <w:rsid w:val="2193D658"/>
    <w:rsid w:val="2235D0E6"/>
    <w:rsid w:val="223FC33A"/>
    <w:rsid w:val="22ACE78B"/>
    <w:rsid w:val="22B1D648"/>
    <w:rsid w:val="248B3C82"/>
    <w:rsid w:val="2520481A"/>
    <w:rsid w:val="26AE40C6"/>
    <w:rsid w:val="274DA097"/>
    <w:rsid w:val="27F873D7"/>
    <w:rsid w:val="28062655"/>
    <w:rsid w:val="28DF4906"/>
    <w:rsid w:val="29F51BA1"/>
    <w:rsid w:val="2AF46B81"/>
    <w:rsid w:val="2DDD1425"/>
    <w:rsid w:val="2DDD7231"/>
    <w:rsid w:val="2E83515B"/>
    <w:rsid w:val="2FED0C43"/>
    <w:rsid w:val="302B6C76"/>
    <w:rsid w:val="31070E22"/>
    <w:rsid w:val="31270843"/>
    <w:rsid w:val="3170A0FF"/>
    <w:rsid w:val="3172A99F"/>
    <w:rsid w:val="31DCB185"/>
    <w:rsid w:val="32504425"/>
    <w:rsid w:val="337B4B55"/>
    <w:rsid w:val="337FD6F9"/>
    <w:rsid w:val="33AC1F85"/>
    <w:rsid w:val="347CD73B"/>
    <w:rsid w:val="34F76942"/>
    <w:rsid w:val="35AAD365"/>
    <w:rsid w:val="367E8813"/>
    <w:rsid w:val="36C2C9E2"/>
    <w:rsid w:val="370BBFD8"/>
    <w:rsid w:val="37469833"/>
    <w:rsid w:val="3782A502"/>
    <w:rsid w:val="386033D0"/>
    <w:rsid w:val="390D9611"/>
    <w:rsid w:val="3929CD1E"/>
    <w:rsid w:val="39451D69"/>
    <w:rsid w:val="3A1D44EF"/>
    <w:rsid w:val="3A439410"/>
    <w:rsid w:val="3AE636CF"/>
    <w:rsid w:val="3B63E83F"/>
    <w:rsid w:val="3B7D424D"/>
    <w:rsid w:val="3BD9F721"/>
    <w:rsid w:val="3CE4FDA6"/>
    <w:rsid w:val="3D9E1618"/>
    <w:rsid w:val="3DA82BB0"/>
    <w:rsid w:val="3EE053C2"/>
    <w:rsid w:val="3F0AAFA0"/>
    <w:rsid w:val="3F2BF4CA"/>
    <w:rsid w:val="3F3C1A1E"/>
    <w:rsid w:val="3F416B60"/>
    <w:rsid w:val="402D28B0"/>
    <w:rsid w:val="4074CA6F"/>
    <w:rsid w:val="40B602B8"/>
    <w:rsid w:val="410F0B81"/>
    <w:rsid w:val="41498EE3"/>
    <w:rsid w:val="414FF1E5"/>
    <w:rsid w:val="41CC25CA"/>
    <w:rsid w:val="42633579"/>
    <w:rsid w:val="43748134"/>
    <w:rsid w:val="4442DB47"/>
    <w:rsid w:val="44563D05"/>
    <w:rsid w:val="44E52216"/>
    <w:rsid w:val="44E65403"/>
    <w:rsid w:val="45C4FC57"/>
    <w:rsid w:val="48318C81"/>
    <w:rsid w:val="49417BE2"/>
    <w:rsid w:val="4A3E5FCC"/>
    <w:rsid w:val="4A9BF036"/>
    <w:rsid w:val="4B769C73"/>
    <w:rsid w:val="4B8BE84B"/>
    <w:rsid w:val="4CB48300"/>
    <w:rsid w:val="4CFE489F"/>
    <w:rsid w:val="4D201DB6"/>
    <w:rsid w:val="4DA492A2"/>
    <w:rsid w:val="4E2B250D"/>
    <w:rsid w:val="4FDA655E"/>
    <w:rsid w:val="505E862D"/>
    <w:rsid w:val="507A7AAE"/>
    <w:rsid w:val="50A32C26"/>
    <w:rsid w:val="515FE4A4"/>
    <w:rsid w:val="51D3B200"/>
    <w:rsid w:val="51D794CA"/>
    <w:rsid w:val="5272AA0B"/>
    <w:rsid w:val="52B5BAF9"/>
    <w:rsid w:val="532F4440"/>
    <w:rsid w:val="53E0BF75"/>
    <w:rsid w:val="54C1520A"/>
    <w:rsid w:val="555C66B1"/>
    <w:rsid w:val="561A48D6"/>
    <w:rsid w:val="56A36EF9"/>
    <w:rsid w:val="5755B3C0"/>
    <w:rsid w:val="5827D4EB"/>
    <w:rsid w:val="58679ED9"/>
    <w:rsid w:val="586E19CB"/>
    <w:rsid w:val="587D6D37"/>
    <w:rsid w:val="5965732B"/>
    <w:rsid w:val="5A01569B"/>
    <w:rsid w:val="5A564CB2"/>
    <w:rsid w:val="5C036303"/>
    <w:rsid w:val="5C7D3177"/>
    <w:rsid w:val="5C88557E"/>
    <w:rsid w:val="5D8856DE"/>
    <w:rsid w:val="5E64EEE9"/>
    <w:rsid w:val="602933DD"/>
    <w:rsid w:val="60B5D9AA"/>
    <w:rsid w:val="60F6648B"/>
    <w:rsid w:val="61644B9F"/>
    <w:rsid w:val="62558F3A"/>
    <w:rsid w:val="630CB992"/>
    <w:rsid w:val="63430A21"/>
    <w:rsid w:val="655EED3F"/>
    <w:rsid w:val="66D0BA68"/>
    <w:rsid w:val="68849AC4"/>
    <w:rsid w:val="691E6BA1"/>
    <w:rsid w:val="69734FF6"/>
    <w:rsid w:val="69842EC8"/>
    <w:rsid w:val="69BBC887"/>
    <w:rsid w:val="6A120E1D"/>
    <w:rsid w:val="6A5F394D"/>
    <w:rsid w:val="6B137630"/>
    <w:rsid w:val="6B5C24B0"/>
    <w:rsid w:val="6BCD0CE6"/>
    <w:rsid w:val="6BED505F"/>
    <w:rsid w:val="6BF6BCB6"/>
    <w:rsid w:val="6C4039D5"/>
    <w:rsid w:val="6D8A8186"/>
    <w:rsid w:val="6E0C3293"/>
    <w:rsid w:val="6E3654ED"/>
    <w:rsid w:val="6EFD1E6E"/>
    <w:rsid w:val="6F1704BA"/>
    <w:rsid w:val="6F3C001E"/>
    <w:rsid w:val="703AC21E"/>
    <w:rsid w:val="71F876F7"/>
    <w:rsid w:val="742ADB9C"/>
    <w:rsid w:val="743A10E3"/>
    <w:rsid w:val="74C647F5"/>
    <w:rsid w:val="74E3DBA0"/>
    <w:rsid w:val="758A0457"/>
    <w:rsid w:val="7620CC80"/>
    <w:rsid w:val="765CFE11"/>
    <w:rsid w:val="76620783"/>
    <w:rsid w:val="76A773EC"/>
    <w:rsid w:val="77581C4E"/>
    <w:rsid w:val="779037AB"/>
    <w:rsid w:val="77D2E373"/>
    <w:rsid w:val="78679C3C"/>
    <w:rsid w:val="793510A2"/>
    <w:rsid w:val="7982B5C1"/>
    <w:rsid w:val="799A8DF9"/>
    <w:rsid w:val="7A9F06F0"/>
    <w:rsid w:val="7AA58558"/>
    <w:rsid w:val="7AE2E685"/>
    <w:rsid w:val="7B44F64D"/>
    <w:rsid w:val="7B930A6A"/>
    <w:rsid w:val="7C287F6E"/>
    <w:rsid w:val="7C703B99"/>
    <w:rsid w:val="7DF561D4"/>
    <w:rsid w:val="7E17CD18"/>
    <w:rsid w:val="7EA81A70"/>
    <w:rsid w:val="7F7CC38A"/>
    <w:rsid w:val="7F96D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4A0DAB57"/>
  <w15:docId w15:val="{C6F0E61C-350C-4F79-9ED2-B31B0C8B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42"/>
  </w:style>
  <w:style w:type="paragraph" w:styleId="Heading1">
    <w:name w:val="heading 1"/>
    <w:basedOn w:val="ListParagraph"/>
    <w:next w:val="Normal"/>
    <w:link w:val="Heading1Char"/>
    <w:uiPriority w:val="9"/>
    <w:qFormat/>
    <w:rsid w:val="00DB2BB5"/>
    <w:pPr>
      <w:numPr>
        <w:numId w:val="16"/>
      </w:numPr>
      <w:spacing w:before="240"/>
      <w:jc w:val="both"/>
      <w:outlineLvl w:val="0"/>
    </w:pPr>
    <w:rPr>
      <w:rFonts w:ascii="Times New Roman" w:hAnsi="Times New Roman" w:cs="Times New Roman"/>
      <w:b/>
      <w:bCs/>
      <w:caps/>
      <w:lang w:val="en-IE"/>
    </w:rPr>
  </w:style>
  <w:style w:type="paragraph" w:styleId="Heading2">
    <w:name w:val="heading 2"/>
    <w:basedOn w:val="ListParagraph"/>
    <w:next w:val="Normal"/>
    <w:link w:val="Heading2Char"/>
    <w:uiPriority w:val="9"/>
    <w:unhideWhenUsed/>
    <w:qFormat/>
    <w:rsid w:val="00DB2BB5"/>
    <w:pPr>
      <w:numPr>
        <w:ilvl w:val="1"/>
        <w:numId w:val="16"/>
      </w:numPr>
      <w:spacing w:after="0" w:line="240" w:lineRule="auto"/>
      <w:jc w:val="both"/>
      <w:outlineLvl w:val="1"/>
    </w:pPr>
    <w:rPr>
      <w:rFonts w:ascii="Times New Roman" w:hAnsi="Times New Roman" w:cs="Times New Roman"/>
      <w:b/>
      <w:bCs/>
      <w:lang w:val="en-IE"/>
    </w:rPr>
  </w:style>
  <w:style w:type="paragraph" w:styleId="Heading3">
    <w:name w:val="heading 3"/>
    <w:basedOn w:val="ListParagraph"/>
    <w:next w:val="Normal"/>
    <w:link w:val="Heading3Char"/>
    <w:uiPriority w:val="9"/>
    <w:unhideWhenUsed/>
    <w:qFormat/>
    <w:rsid w:val="00DB2BB5"/>
    <w:pPr>
      <w:numPr>
        <w:ilvl w:val="2"/>
        <w:numId w:val="16"/>
      </w:numPr>
      <w:spacing w:line="240" w:lineRule="auto"/>
      <w:jc w:val="both"/>
      <w:outlineLvl w:val="2"/>
    </w:pPr>
    <w:rPr>
      <w:rFonts w:ascii="Times New Roman" w:hAnsi="Times New Roman" w:cs="Times New Roman"/>
      <w:bCs/>
      <w:i/>
      <w:lang w:val="en-IE"/>
    </w:rPr>
  </w:style>
  <w:style w:type="paragraph" w:styleId="Heading4">
    <w:name w:val="heading 4"/>
    <w:basedOn w:val="Normal"/>
    <w:next w:val="Normal"/>
    <w:link w:val="Heading4Char"/>
    <w:uiPriority w:val="9"/>
    <w:semiHidden/>
    <w:unhideWhenUsed/>
    <w:qFormat/>
    <w:rsid w:val="007A45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
    <w:basedOn w:val="Normal"/>
    <w:link w:val="ListParagraphChar"/>
    <w:uiPriority w:val="34"/>
    <w:qFormat/>
    <w:rsid w:val="00462381"/>
    <w:pPr>
      <w:ind w:left="720"/>
      <w:contextualSpacing/>
    </w:pPr>
  </w:style>
  <w:style w:type="character" w:styleId="CommentReference">
    <w:name w:val="annotation reference"/>
    <w:basedOn w:val="DefaultParagraphFont"/>
    <w:uiPriority w:val="99"/>
    <w:semiHidden/>
    <w:unhideWhenUsed/>
    <w:rsid w:val="00A50A4A"/>
    <w:rPr>
      <w:sz w:val="16"/>
      <w:szCs w:val="16"/>
    </w:rPr>
  </w:style>
  <w:style w:type="paragraph" w:styleId="CommentText">
    <w:name w:val="annotation text"/>
    <w:basedOn w:val="Normal"/>
    <w:link w:val="CommentTextChar"/>
    <w:uiPriority w:val="99"/>
    <w:unhideWhenUsed/>
    <w:rsid w:val="00A50A4A"/>
    <w:pPr>
      <w:spacing w:line="240" w:lineRule="auto"/>
    </w:pPr>
    <w:rPr>
      <w:sz w:val="20"/>
      <w:szCs w:val="20"/>
    </w:rPr>
  </w:style>
  <w:style w:type="character" w:customStyle="1" w:styleId="CommentTextChar">
    <w:name w:val="Comment Text Char"/>
    <w:basedOn w:val="DefaultParagraphFont"/>
    <w:link w:val="CommentText"/>
    <w:uiPriority w:val="99"/>
    <w:rsid w:val="00A50A4A"/>
    <w:rPr>
      <w:sz w:val="20"/>
      <w:szCs w:val="20"/>
    </w:rPr>
  </w:style>
  <w:style w:type="paragraph" w:styleId="CommentSubject">
    <w:name w:val="annotation subject"/>
    <w:basedOn w:val="CommentText"/>
    <w:next w:val="CommentText"/>
    <w:link w:val="CommentSubjectChar"/>
    <w:uiPriority w:val="99"/>
    <w:semiHidden/>
    <w:unhideWhenUsed/>
    <w:rsid w:val="00A50A4A"/>
    <w:rPr>
      <w:b/>
      <w:bCs/>
    </w:rPr>
  </w:style>
  <w:style w:type="character" w:customStyle="1" w:styleId="CommentSubjectChar">
    <w:name w:val="Comment Subject Char"/>
    <w:basedOn w:val="CommentTextChar"/>
    <w:link w:val="CommentSubject"/>
    <w:uiPriority w:val="99"/>
    <w:semiHidden/>
    <w:rsid w:val="00A50A4A"/>
    <w:rPr>
      <w:b/>
      <w:bCs/>
      <w:sz w:val="20"/>
      <w:szCs w:val="20"/>
    </w:rPr>
  </w:style>
  <w:style w:type="paragraph" w:styleId="BalloonText">
    <w:name w:val="Balloon Text"/>
    <w:basedOn w:val="Normal"/>
    <w:link w:val="BalloonTextChar"/>
    <w:uiPriority w:val="99"/>
    <w:semiHidden/>
    <w:unhideWhenUsed/>
    <w:rsid w:val="00A50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4A"/>
    <w:rPr>
      <w:rFonts w:ascii="Segoe UI" w:hAnsi="Segoe UI" w:cs="Segoe UI"/>
      <w:sz w:val="18"/>
      <w:szCs w:val="18"/>
    </w:rPr>
  </w:style>
  <w:style w:type="paragraph" w:customStyle="1" w:styleId="Default">
    <w:name w:val="Default"/>
    <w:rsid w:val="008136DB"/>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rsid w:val="0069402E"/>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
    <w:uiPriority w:val="99"/>
    <w:semiHidden/>
    <w:unhideWhenUsed/>
    <w:rsid w:val="005A7A65"/>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semiHidden/>
    <w:rsid w:val="005A7A65"/>
    <w:rPr>
      <w:sz w:val="20"/>
      <w:szCs w:val="20"/>
    </w:rPr>
  </w:style>
  <w:style w:type="character" w:styleId="FootnoteReference">
    <w:name w:val="footnote reference"/>
    <w:aliases w:val="Footnote symbol,Footnote reference number,Footnote,Times 10 Point,Exposant 3 Point,Ref,de nota al pie,note TESI,SUPERS,EN Footnote Reference,EN Footnote text"/>
    <w:basedOn w:val="DefaultParagraphFont"/>
    <w:semiHidden/>
    <w:unhideWhenUsed/>
    <w:rsid w:val="005A7A65"/>
    <w:rPr>
      <w:vertAlign w:val="superscript"/>
    </w:rPr>
  </w:style>
  <w:style w:type="paragraph" w:customStyle="1" w:styleId="Point0number">
    <w:name w:val="Point 0 (number)"/>
    <w:basedOn w:val="Normal"/>
    <w:rsid w:val="00303183"/>
    <w:pPr>
      <w:numPr>
        <w:numId w:val="20"/>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303183"/>
    <w:pPr>
      <w:numPr>
        <w:ilvl w:val="2"/>
        <w:numId w:val="20"/>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303183"/>
    <w:pPr>
      <w:numPr>
        <w:ilvl w:val="4"/>
        <w:numId w:val="20"/>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303183"/>
    <w:pPr>
      <w:numPr>
        <w:ilvl w:val="6"/>
        <w:numId w:val="20"/>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303183"/>
    <w:pPr>
      <w:numPr>
        <w:ilvl w:val="1"/>
        <w:numId w:val="20"/>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303183"/>
    <w:pPr>
      <w:numPr>
        <w:ilvl w:val="3"/>
        <w:numId w:val="20"/>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303183"/>
    <w:pPr>
      <w:numPr>
        <w:ilvl w:val="5"/>
        <w:numId w:val="20"/>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303183"/>
    <w:pPr>
      <w:numPr>
        <w:ilvl w:val="7"/>
        <w:numId w:val="20"/>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303183"/>
    <w:pPr>
      <w:numPr>
        <w:ilvl w:val="8"/>
        <w:numId w:val="20"/>
      </w:numPr>
      <w:spacing w:before="120" w:after="120" w:line="240" w:lineRule="auto"/>
      <w:jc w:val="both"/>
    </w:pPr>
    <w:rPr>
      <w:rFonts w:ascii="Times New Roman" w:hAnsi="Times New Roman" w:cs="Times New Roman"/>
      <w:sz w:val="24"/>
      <w:lang w:val="en-GB"/>
    </w:rPr>
  </w:style>
  <w:style w:type="character" w:customStyle="1" w:styleId="ListParagraphChar">
    <w:name w:val="List Paragraph Char"/>
    <w:aliases w:val="Table of contents numbered Char"/>
    <w:basedOn w:val="DefaultParagraphFont"/>
    <w:link w:val="ListParagraph"/>
    <w:uiPriority w:val="34"/>
    <w:qFormat/>
    <w:locked/>
    <w:rsid w:val="00F55720"/>
  </w:style>
  <w:style w:type="character" w:customStyle="1" w:styleId="Marker">
    <w:name w:val="Marker"/>
    <w:basedOn w:val="DefaultParagraphFont"/>
    <w:rsid w:val="00E3349D"/>
    <w:rPr>
      <w:color w:val="0000FF"/>
      <w:shd w:val="clear" w:color="auto" w:fill="auto"/>
    </w:rPr>
  </w:style>
  <w:style w:type="paragraph" w:customStyle="1" w:styleId="Pagedecouverture">
    <w:name w:val="Page de couverture"/>
    <w:basedOn w:val="Normal"/>
    <w:next w:val="Normal"/>
    <w:rsid w:val="00E3349D"/>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33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49D"/>
  </w:style>
  <w:style w:type="paragraph" w:styleId="Footer">
    <w:name w:val="footer"/>
    <w:basedOn w:val="Normal"/>
    <w:link w:val="FooterChar"/>
    <w:uiPriority w:val="99"/>
    <w:unhideWhenUsed/>
    <w:rsid w:val="00E33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49D"/>
  </w:style>
  <w:style w:type="paragraph" w:customStyle="1" w:styleId="FooterCoverPage">
    <w:name w:val="Footer Cover Page"/>
    <w:basedOn w:val="Normal"/>
    <w:link w:val="FooterCoverPageChar"/>
    <w:rsid w:val="00E3349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3349D"/>
    <w:rPr>
      <w:rFonts w:ascii="Times New Roman" w:hAnsi="Times New Roman" w:cs="Times New Roman"/>
      <w:sz w:val="24"/>
    </w:rPr>
  </w:style>
  <w:style w:type="paragraph" w:customStyle="1" w:styleId="FooterSensitivity">
    <w:name w:val="Footer Sensitivity"/>
    <w:basedOn w:val="Normal"/>
    <w:link w:val="FooterSensitivityChar"/>
    <w:rsid w:val="00E3349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3349D"/>
    <w:rPr>
      <w:rFonts w:ascii="Times New Roman" w:hAnsi="Times New Roman" w:cs="Times New Roman"/>
      <w:b/>
      <w:sz w:val="32"/>
    </w:rPr>
  </w:style>
  <w:style w:type="paragraph" w:customStyle="1" w:styleId="HeaderCoverPage">
    <w:name w:val="Header Cover Page"/>
    <w:basedOn w:val="Normal"/>
    <w:link w:val="HeaderCoverPageChar"/>
    <w:rsid w:val="00E3349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3349D"/>
    <w:rPr>
      <w:rFonts w:ascii="Times New Roman" w:hAnsi="Times New Roman" w:cs="Times New Roman"/>
      <w:sz w:val="24"/>
    </w:rPr>
  </w:style>
  <w:style w:type="paragraph" w:customStyle="1" w:styleId="HeaderSensitivity">
    <w:name w:val="Header Sensitivity"/>
    <w:basedOn w:val="Normal"/>
    <w:link w:val="HeaderSensitivityChar"/>
    <w:rsid w:val="00E3349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3349D"/>
    <w:rPr>
      <w:rFonts w:ascii="Times New Roman" w:hAnsi="Times New Roman" w:cs="Times New Roman"/>
      <w:b/>
      <w:sz w:val="32"/>
    </w:rPr>
  </w:style>
  <w:style w:type="paragraph" w:customStyle="1" w:styleId="HeaderSensitivityRight">
    <w:name w:val="Header Sensitivity Right"/>
    <w:basedOn w:val="Normal"/>
    <w:link w:val="HeaderSensitivityRightChar"/>
    <w:rsid w:val="00E3349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3349D"/>
    <w:rPr>
      <w:rFonts w:ascii="Times New Roman" w:hAnsi="Times New Roman" w:cs="Times New Roman"/>
      <w:sz w:val="28"/>
    </w:rPr>
  </w:style>
  <w:style w:type="character" w:customStyle="1" w:styleId="Heading1Char">
    <w:name w:val="Heading 1 Char"/>
    <w:basedOn w:val="DefaultParagraphFont"/>
    <w:link w:val="Heading1"/>
    <w:uiPriority w:val="9"/>
    <w:rsid w:val="00DB2BB5"/>
    <w:rPr>
      <w:rFonts w:ascii="Times New Roman" w:hAnsi="Times New Roman" w:cs="Times New Roman"/>
      <w:b/>
      <w:bCs/>
      <w:caps/>
      <w:lang w:val="en-IE"/>
    </w:rPr>
  </w:style>
  <w:style w:type="character" w:customStyle="1" w:styleId="Heading2Char">
    <w:name w:val="Heading 2 Char"/>
    <w:basedOn w:val="DefaultParagraphFont"/>
    <w:link w:val="Heading2"/>
    <w:uiPriority w:val="9"/>
    <w:rsid w:val="00DB2BB5"/>
    <w:rPr>
      <w:rFonts w:ascii="Times New Roman" w:hAnsi="Times New Roman" w:cs="Times New Roman"/>
      <w:b/>
      <w:bCs/>
      <w:lang w:val="en-IE"/>
    </w:rPr>
  </w:style>
  <w:style w:type="character" w:customStyle="1" w:styleId="Heading3Char">
    <w:name w:val="Heading 3 Char"/>
    <w:basedOn w:val="DefaultParagraphFont"/>
    <w:link w:val="Heading3"/>
    <w:uiPriority w:val="9"/>
    <w:rsid w:val="00DB2BB5"/>
    <w:rPr>
      <w:rFonts w:ascii="Times New Roman" w:hAnsi="Times New Roman" w:cs="Times New Roman"/>
      <w:bCs/>
      <w:i/>
      <w:lang w:val="en-IE"/>
    </w:rPr>
  </w:style>
  <w:style w:type="character" w:customStyle="1" w:styleId="Heading4Char">
    <w:name w:val="Heading 4 Char"/>
    <w:basedOn w:val="DefaultParagraphFont"/>
    <w:link w:val="Heading4"/>
    <w:uiPriority w:val="9"/>
    <w:semiHidden/>
    <w:rsid w:val="007A459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85E40"/>
    <w:rPr>
      <w:color w:val="0563C1" w:themeColor="hyperlink"/>
      <w:u w:val="single"/>
    </w:rPr>
  </w:style>
  <w:style w:type="table" w:styleId="TableGrid">
    <w:name w:val="Table Grid"/>
    <w:basedOn w:val="TableNormal"/>
    <w:uiPriority w:val="39"/>
    <w:rsid w:val="001F3D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F3DF2"/>
    <w:pPr>
      <w:spacing w:before="77" w:after="113" w:line="250" w:lineRule="exact"/>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
    <w:qFormat/>
    <w:rsid w:val="001F3DF2"/>
    <w:pPr>
      <w:numPr>
        <w:numId w:val="41"/>
      </w:numPr>
      <w:spacing w:after="60"/>
    </w:pPr>
    <w:rPr>
      <w:sz w:val="20"/>
      <w:lang w:val="en-GB"/>
    </w:rPr>
  </w:style>
  <w:style w:type="paragraph" w:styleId="ListBullet3">
    <w:name w:val="List Bullet 3"/>
    <w:basedOn w:val="Normal"/>
    <w:uiPriority w:val="9"/>
    <w:qFormat/>
    <w:rsid w:val="001F3DF2"/>
    <w:pPr>
      <w:numPr>
        <w:ilvl w:val="2"/>
        <w:numId w:val="40"/>
      </w:numPr>
      <w:spacing w:after="60"/>
    </w:pPr>
    <w:rPr>
      <w:sz w:val="20"/>
      <w:lang w:val="en-GB"/>
    </w:rPr>
  </w:style>
  <w:style w:type="paragraph" w:styleId="TOCHeading">
    <w:name w:val="TOC Heading"/>
    <w:basedOn w:val="Heading1"/>
    <w:next w:val="Normal"/>
    <w:uiPriority w:val="39"/>
    <w:unhideWhenUsed/>
    <w:qFormat/>
    <w:rsid w:val="002D7EBF"/>
    <w:pPr>
      <w:outlineLvl w:val="9"/>
    </w:pPr>
  </w:style>
  <w:style w:type="paragraph" w:styleId="TOC1">
    <w:name w:val="toc 1"/>
    <w:basedOn w:val="Normal"/>
    <w:next w:val="Normal"/>
    <w:autoRedefine/>
    <w:uiPriority w:val="39"/>
    <w:unhideWhenUsed/>
    <w:rsid w:val="002D7EBF"/>
    <w:pPr>
      <w:spacing w:after="100"/>
    </w:pPr>
  </w:style>
  <w:style w:type="paragraph" w:styleId="TOC2">
    <w:name w:val="toc 2"/>
    <w:basedOn w:val="Normal"/>
    <w:next w:val="Normal"/>
    <w:autoRedefine/>
    <w:uiPriority w:val="39"/>
    <w:unhideWhenUsed/>
    <w:rsid w:val="002D7EBF"/>
    <w:pPr>
      <w:spacing w:after="100"/>
      <w:ind w:left="220"/>
    </w:pPr>
  </w:style>
  <w:style w:type="paragraph" w:styleId="TOC3">
    <w:name w:val="toc 3"/>
    <w:basedOn w:val="Normal"/>
    <w:next w:val="Normal"/>
    <w:autoRedefine/>
    <w:uiPriority w:val="39"/>
    <w:unhideWhenUsed/>
    <w:rsid w:val="002D7E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6450">
      <w:bodyDiv w:val="1"/>
      <w:marLeft w:val="0"/>
      <w:marRight w:val="0"/>
      <w:marTop w:val="0"/>
      <w:marBottom w:val="0"/>
      <w:divBdr>
        <w:top w:val="none" w:sz="0" w:space="0" w:color="auto"/>
        <w:left w:val="none" w:sz="0" w:space="0" w:color="auto"/>
        <w:bottom w:val="none" w:sz="0" w:space="0" w:color="auto"/>
        <w:right w:val="none" w:sz="0" w:space="0" w:color="auto"/>
      </w:divBdr>
    </w:div>
    <w:div w:id="784691541">
      <w:bodyDiv w:val="1"/>
      <w:marLeft w:val="0"/>
      <w:marRight w:val="0"/>
      <w:marTop w:val="0"/>
      <w:marBottom w:val="0"/>
      <w:divBdr>
        <w:top w:val="none" w:sz="0" w:space="0" w:color="auto"/>
        <w:left w:val="none" w:sz="0" w:space="0" w:color="auto"/>
        <w:bottom w:val="none" w:sz="0" w:space="0" w:color="auto"/>
        <w:right w:val="none" w:sz="0" w:space="0" w:color="auto"/>
      </w:divBdr>
    </w:div>
    <w:div w:id="1094596624">
      <w:bodyDiv w:val="1"/>
      <w:marLeft w:val="0"/>
      <w:marRight w:val="0"/>
      <w:marTop w:val="0"/>
      <w:marBottom w:val="0"/>
      <w:divBdr>
        <w:top w:val="none" w:sz="0" w:space="0" w:color="auto"/>
        <w:left w:val="none" w:sz="0" w:space="0" w:color="auto"/>
        <w:bottom w:val="none" w:sz="0" w:space="0" w:color="auto"/>
        <w:right w:val="none" w:sz="0" w:space="0" w:color="auto"/>
      </w:divBdr>
    </w:div>
    <w:div w:id="1883593189">
      <w:bodyDiv w:val="1"/>
      <w:marLeft w:val="0"/>
      <w:marRight w:val="0"/>
      <w:marTop w:val="0"/>
      <w:marBottom w:val="0"/>
      <w:divBdr>
        <w:top w:val="none" w:sz="0" w:space="0" w:color="auto"/>
        <w:left w:val="none" w:sz="0" w:space="0" w:color="auto"/>
        <w:bottom w:val="none" w:sz="0" w:space="0" w:color="auto"/>
        <w:right w:val="none" w:sz="0" w:space="0" w:color="auto"/>
      </w:divBdr>
    </w:div>
    <w:div w:id="20309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chart" Target="charts/chart2.xml"/><Relationship Id="rId34" Type="http://schemas.openxmlformats.org/officeDocument/2006/relationships/chart" Target="charts/chart3.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header" Target="header8.xml"/><Relationship Id="rId41" Type="http://schemas.openxmlformats.org/officeDocument/2006/relationships/footer" Target="footer11.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chart" Target="charts/chart6.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chart" Target="charts/chart5.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chart" Target="charts/chart4.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ca.europa.eu/en/Pages/DocItem.aspx?did=47201" TargetMode="External"/><Relationship Id="rId2" Type="http://schemas.openxmlformats.org/officeDocument/2006/relationships/hyperlink" Target="https://ec.europa.eu/info/publications/management-plan-2021-taxation-and-customs-union_en" TargetMode="External"/><Relationship Id="rId1" Type="http://schemas.openxmlformats.org/officeDocument/2006/relationships/hyperlink" Target="https://ec.europa.eu/info/publications/strategic-plan-2020-2024-taxation-and-customs-union_en" TargetMode="External"/><Relationship Id="rId6" Type="http://schemas.openxmlformats.org/officeDocument/2006/relationships/hyperlink" Target="https://www.eca.europa.eu/en/Pages/DocItem.aspx?did=58256" TargetMode="External"/><Relationship Id="rId5" Type="http://schemas.openxmlformats.org/officeDocument/2006/relationships/hyperlink" Target="https://ec.europa.eu/taxation_customs/news/ucc-work-programme-progress-report-2021-2022-01-24_en" TargetMode="External"/><Relationship Id="rId4" Type="http://schemas.openxmlformats.org/officeDocument/2006/relationships/hyperlink" Target="https://ec.europa.eu/transparency/expert-groups-register/screen/expert-groups/consult?lang=en&amp;groupID=383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taxud\E\TAXUD-E3\4%20PROGRAMME%20SECTOR%20post-2020\006%20Evaluation%20and%20PMF\2021%20Progress%20Reports\On%202021\Customs%20programme%20APR%202021\data%20from%20ART%20december%202021\Customs_2021_Events_and_action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taxud\E\TAXUD-E3\4%20PROGRAMME%20SECTOR%20post-2020\006%20Evaluation%20and%20PMF\2021%20Progress%20Reports\On%202021\Customs%20programme%20APR%202021\data%20from%20ART%20december%202021\Customs_2021_Proposal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oleObject" Target="file:///\\net1.cec.eu.int\taxud\E\TAXUD-E3\4%20PROGRAMME%20SECTOR%20post-2020\002%20Customs%20Programme\007%20Annual%20Progress%20Report\APR%202021\07072021_Track%20changes%20version%20of%20APR%202021\Figures%20in%20Annex%20II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366266729628288"/>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Sheet2!$B$16</c:f>
              <c:strCache>
                <c:ptCount val="1"/>
                <c:pt idx="0">
                  <c:v>Joint actions operational 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Sheet2!$A$17:$A$19</c:f>
              <c:strCache>
                <c:ptCount val="3"/>
                <c:pt idx="0">
                  <c:v>Capacity building</c:v>
                </c:pt>
                <c:pt idx="1">
                  <c:v>Project group</c:v>
                </c:pt>
                <c:pt idx="2">
                  <c:v>Workshop</c:v>
                </c:pt>
              </c:strCache>
            </c:strRef>
          </c:cat>
          <c:val>
            <c:numRef>
              <c:f>Sheet2!$B$17:$B$19</c:f>
              <c:numCache>
                <c:formatCode>General</c:formatCode>
                <c:ptCount val="3"/>
                <c:pt idx="0">
                  <c:v>1</c:v>
                </c:pt>
                <c:pt idx="1">
                  <c:v>52</c:v>
                </c:pt>
                <c:pt idx="2">
                  <c:v>5</c:v>
                </c:pt>
              </c:numCache>
            </c:numRef>
          </c:val>
          <c:extLst>
            <c:ext xmlns:c16="http://schemas.microsoft.com/office/drawing/2014/chart" uri="{C3380CC4-5D6E-409C-BE32-E72D297353CC}">
              <c16:uniqueId val="{00000000-66AA-4B85-9F38-6205DB178398}"/>
            </c:ext>
          </c:extLst>
        </c:ser>
        <c:dLbls>
          <c:showLegendKey val="0"/>
          <c:showVal val="0"/>
          <c:showCatName val="0"/>
          <c:showSerName val="0"/>
          <c:showPercent val="0"/>
          <c:showBubbleSize val="0"/>
        </c:dLbls>
        <c:gapWidth val="182"/>
        <c:axId val="95868800"/>
        <c:axId val="95871360"/>
      </c:barChart>
      <c:catAx>
        <c:axId val="958688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71360"/>
        <c:crosses val="autoZero"/>
        <c:auto val="0"/>
        <c:lblAlgn val="ctr"/>
        <c:lblOffset val="100"/>
        <c:noMultiLvlLbl val="0"/>
      </c:catAx>
      <c:valAx>
        <c:axId val="95871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6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Number</a:t>
            </a:r>
            <a:r>
              <a:rPr lang="en-US" sz="1100" baseline="0"/>
              <a:t> of proposals submitted in 2021 per Member State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5679532922478108E-2"/>
          <c:y val="0.40863930885529159"/>
          <c:w val="0.92864093415504378"/>
          <c:h val="0.3736650737232359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Sheet1!$B$13:$B$14</c:f>
              <c:strCache>
                <c:ptCount val="2"/>
                <c:pt idx="0">
                  <c:v>HU</c:v>
                </c:pt>
                <c:pt idx="1">
                  <c:v>SI</c:v>
                </c:pt>
              </c:strCache>
            </c:strRef>
          </c:cat>
          <c:val>
            <c:numRef>
              <c:f>Sheet1!$C$13:$C$14</c:f>
              <c:numCache>
                <c:formatCode>General</c:formatCode>
                <c:ptCount val="2"/>
                <c:pt idx="0">
                  <c:v>1</c:v>
                </c:pt>
                <c:pt idx="1">
                  <c:v>1</c:v>
                </c:pt>
              </c:numCache>
            </c:numRef>
          </c:val>
          <c:extLst>
            <c:ext xmlns:c16="http://schemas.microsoft.com/office/drawing/2014/chart" uri="{C3380CC4-5D6E-409C-BE32-E72D297353CC}">
              <c16:uniqueId val="{00000000-99E9-4F50-851C-E15AF45ED6D0}"/>
            </c:ext>
          </c:extLst>
        </c:ser>
        <c:dLbls>
          <c:showLegendKey val="0"/>
          <c:showVal val="0"/>
          <c:showCatName val="0"/>
          <c:showSerName val="0"/>
          <c:showPercent val="0"/>
          <c:showBubbleSize val="0"/>
        </c:dLbls>
        <c:gapWidth val="219"/>
        <c:overlap val="-27"/>
        <c:axId val="98495488"/>
        <c:axId val="99673216"/>
      </c:barChart>
      <c:catAx>
        <c:axId val="9849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3216"/>
        <c:crosses val="autoZero"/>
        <c:auto val="1"/>
        <c:lblAlgn val="ctr"/>
        <c:lblOffset val="100"/>
        <c:noMultiLvlLbl val="0"/>
      </c:catAx>
      <c:valAx>
        <c:axId val="99673216"/>
        <c:scaling>
          <c:orientation val="minMax"/>
        </c:scaling>
        <c:delete val="1"/>
        <c:axPos val="l"/>
        <c:numFmt formatCode="General" sourceLinked="1"/>
        <c:majorTickMark val="none"/>
        <c:minorTickMark val="none"/>
        <c:tickLblPos val="nextTo"/>
        <c:crossAx val="9849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Number of participants</a:t>
            </a:r>
            <a:r>
              <a:rPr lang="en-IE" baseline="0"/>
              <a:t> in general collaborative actions (December 2021)</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AT </c:v>
                </c:pt>
                <c:pt idx="1">
                  <c:v>BE  </c:v>
                </c:pt>
                <c:pt idx="2">
                  <c:v>BG </c:v>
                </c:pt>
                <c:pt idx="3">
                  <c:v>CY </c:v>
                </c:pt>
                <c:pt idx="4">
                  <c:v>CZ </c:v>
                </c:pt>
                <c:pt idx="5">
                  <c:v>DE </c:v>
                </c:pt>
                <c:pt idx="6">
                  <c:v>DK  </c:v>
                </c:pt>
                <c:pt idx="7">
                  <c:v>EE </c:v>
                </c:pt>
                <c:pt idx="8">
                  <c:v>ES  </c:v>
                </c:pt>
                <c:pt idx="9">
                  <c:v>FI  </c:v>
                </c:pt>
                <c:pt idx="10">
                  <c:v>FR </c:v>
                </c:pt>
                <c:pt idx="11">
                  <c:v>GR </c:v>
                </c:pt>
                <c:pt idx="12">
                  <c:v>HR </c:v>
                </c:pt>
                <c:pt idx="13">
                  <c:v>HU </c:v>
                </c:pt>
                <c:pt idx="14">
                  <c:v>IE  </c:v>
                </c:pt>
                <c:pt idx="15">
                  <c:v>IT </c:v>
                </c:pt>
                <c:pt idx="16">
                  <c:v>LT</c:v>
                </c:pt>
                <c:pt idx="17">
                  <c:v>LU </c:v>
                </c:pt>
                <c:pt idx="18">
                  <c:v>LV  </c:v>
                </c:pt>
                <c:pt idx="19">
                  <c:v>MT </c:v>
                </c:pt>
                <c:pt idx="20">
                  <c:v>NL </c:v>
                </c:pt>
                <c:pt idx="21">
                  <c:v>PL </c:v>
                </c:pt>
                <c:pt idx="22">
                  <c:v>PT  </c:v>
                </c:pt>
                <c:pt idx="23">
                  <c:v>RO  </c:v>
                </c:pt>
                <c:pt idx="24">
                  <c:v>SE </c:v>
                </c:pt>
                <c:pt idx="25">
                  <c:v>SI </c:v>
                </c:pt>
                <c:pt idx="26">
                  <c:v>SK </c:v>
                </c:pt>
              </c:strCache>
            </c:strRef>
          </c:cat>
          <c:val>
            <c:numRef>
              <c:f>Sheet1!$B$2:$B$28</c:f>
              <c:numCache>
                <c:formatCode>General</c:formatCode>
                <c:ptCount val="27"/>
                <c:pt idx="0">
                  <c:v>3</c:v>
                </c:pt>
                <c:pt idx="1">
                  <c:v>3</c:v>
                </c:pt>
                <c:pt idx="2">
                  <c:v>1</c:v>
                </c:pt>
                <c:pt idx="3">
                  <c:v>1</c:v>
                </c:pt>
                <c:pt idx="4">
                  <c:v>2</c:v>
                </c:pt>
                <c:pt idx="5">
                  <c:v>6</c:v>
                </c:pt>
                <c:pt idx="6">
                  <c:v>5</c:v>
                </c:pt>
                <c:pt idx="7">
                  <c:v>1</c:v>
                </c:pt>
                <c:pt idx="8">
                  <c:v>5</c:v>
                </c:pt>
                <c:pt idx="9">
                  <c:v>3</c:v>
                </c:pt>
                <c:pt idx="10">
                  <c:v>0</c:v>
                </c:pt>
                <c:pt idx="11">
                  <c:v>3</c:v>
                </c:pt>
                <c:pt idx="12">
                  <c:v>0</c:v>
                </c:pt>
                <c:pt idx="13">
                  <c:v>1</c:v>
                </c:pt>
                <c:pt idx="14">
                  <c:v>11</c:v>
                </c:pt>
                <c:pt idx="15">
                  <c:v>2</c:v>
                </c:pt>
                <c:pt idx="16">
                  <c:v>2</c:v>
                </c:pt>
                <c:pt idx="17">
                  <c:v>3</c:v>
                </c:pt>
                <c:pt idx="18">
                  <c:v>6</c:v>
                </c:pt>
                <c:pt idx="19">
                  <c:v>0</c:v>
                </c:pt>
                <c:pt idx="20">
                  <c:v>6</c:v>
                </c:pt>
                <c:pt idx="21">
                  <c:v>5</c:v>
                </c:pt>
                <c:pt idx="22">
                  <c:v>3</c:v>
                </c:pt>
                <c:pt idx="23">
                  <c:v>3</c:v>
                </c:pt>
                <c:pt idx="24">
                  <c:v>2</c:v>
                </c:pt>
                <c:pt idx="25">
                  <c:v>4</c:v>
                </c:pt>
                <c:pt idx="26">
                  <c:v>4</c:v>
                </c:pt>
              </c:numCache>
            </c:numRef>
          </c:val>
          <c:extLst>
            <c:ext xmlns:c16="http://schemas.microsoft.com/office/drawing/2014/chart" uri="{C3380CC4-5D6E-409C-BE32-E72D297353CC}">
              <c16:uniqueId val="{00000000-0F03-43B5-889A-3D7448C9B189}"/>
            </c:ext>
          </c:extLst>
        </c:ser>
        <c:dLbls>
          <c:showLegendKey val="0"/>
          <c:showVal val="0"/>
          <c:showCatName val="0"/>
          <c:showSerName val="0"/>
          <c:showPercent val="0"/>
          <c:showBubbleSize val="0"/>
        </c:dLbls>
        <c:gapWidth val="219"/>
        <c:overlap val="-27"/>
        <c:axId val="120846592"/>
        <c:axId val="172572672"/>
      </c:barChart>
      <c:catAx>
        <c:axId val="12084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72672"/>
        <c:crosses val="autoZero"/>
        <c:auto val="1"/>
        <c:lblAlgn val="ctr"/>
        <c:lblOffset val="100"/>
        <c:noMultiLvlLbl val="0"/>
      </c:catAx>
      <c:valAx>
        <c:axId val="17257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4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Number of participants per general collaborative action</a:t>
            </a:r>
            <a:r>
              <a:rPr lang="en-IE" baseline="0"/>
              <a:t> types</a:t>
            </a:r>
            <a:r>
              <a:rPr lang="en-IE"/>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Sheet1!$C$34:$C$35</c:f>
              <c:strCache>
                <c:ptCount val="2"/>
                <c:pt idx="0">
                  <c:v>Capacity-building </c:v>
                </c:pt>
                <c:pt idx="1">
                  <c:v>Project-based structured collaboration</c:v>
                </c:pt>
              </c:strCache>
            </c:strRef>
          </c:cat>
          <c:val>
            <c:numRef>
              <c:f>Sheet1!$D$34:$D$35</c:f>
              <c:numCache>
                <c:formatCode>General</c:formatCode>
                <c:ptCount val="2"/>
                <c:pt idx="0">
                  <c:v>8</c:v>
                </c:pt>
                <c:pt idx="1">
                  <c:v>77</c:v>
                </c:pt>
              </c:numCache>
            </c:numRef>
          </c:val>
          <c:extLst>
            <c:ext xmlns:c16="http://schemas.microsoft.com/office/drawing/2014/chart" uri="{C3380CC4-5D6E-409C-BE32-E72D297353CC}">
              <c16:uniqueId val="{00000000-83F7-417C-A7AA-5A8E6739528E}"/>
            </c:ext>
          </c:extLst>
        </c:ser>
        <c:dLbls>
          <c:showLegendKey val="0"/>
          <c:showVal val="0"/>
          <c:showCatName val="0"/>
          <c:showSerName val="0"/>
          <c:showPercent val="0"/>
          <c:showBubbleSize val="0"/>
        </c:dLbls>
        <c:gapWidth val="182"/>
        <c:axId val="176834048"/>
        <c:axId val="177525888"/>
      </c:barChart>
      <c:catAx>
        <c:axId val="17683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25888"/>
        <c:crosses val="autoZero"/>
        <c:auto val="1"/>
        <c:lblAlgn val="ctr"/>
        <c:lblOffset val="100"/>
        <c:noMultiLvlLbl val="0"/>
      </c:catAx>
      <c:valAx>
        <c:axId val="17752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3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General collaborative</a:t>
            </a:r>
            <a:r>
              <a:rPr lang="en-IE" baseline="0"/>
              <a:t> actions operational (December 2021)</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spPr>
            <a:solidFill>
              <a:schemeClr val="accent1"/>
            </a:solidFill>
            <a:ln>
              <a:noFill/>
            </a:ln>
            <a:effectLst/>
          </c:spPr>
          <c:invertIfNegative val="0"/>
          <c:cat>
            <c:strRef>
              <c:f>'New proposals 2021'!$L$6:$L$7</c:f>
              <c:strCache>
                <c:ptCount val="2"/>
                <c:pt idx="0">
                  <c:v>Capacity-building </c:v>
                </c:pt>
                <c:pt idx="1">
                  <c:v>Project-based structured collaboration</c:v>
                </c:pt>
              </c:strCache>
            </c:strRef>
          </c:cat>
          <c:val>
            <c:numRef>
              <c:f>'New proposals 2021'!$N$6:$N$7</c:f>
              <c:numCache>
                <c:formatCode>General</c:formatCode>
                <c:ptCount val="2"/>
                <c:pt idx="0">
                  <c:v>1</c:v>
                </c:pt>
                <c:pt idx="1">
                  <c:v>2</c:v>
                </c:pt>
              </c:numCache>
            </c:numRef>
          </c:val>
          <c:extLst>
            <c:ext xmlns:c16="http://schemas.microsoft.com/office/drawing/2014/chart" uri="{C3380CC4-5D6E-409C-BE32-E72D297353CC}">
              <c16:uniqueId val="{00000000-6AB9-4469-863D-6315BB2EEF01}"/>
            </c:ext>
          </c:extLst>
        </c:ser>
        <c:dLbls>
          <c:showLegendKey val="0"/>
          <c:showVal val="0"/>
          <c:showCatName val="0"/>
          <c:showSerName val="0"/>
          <c:showPercent val="0"/>
          <c:showBubbleSize val="0"/>
        </c:dLbls>
        <c:gapWidth val="182"/>
        <c:axId val="95652480"/>
        <c:axId val="9565427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'New proposals 2021'!$L$6:$L$7</c15:sqref>
                        </c15:formulaRef>
                      </c:ext>
                    </c:extLst>
                    <c:strCache>
                      <c:ptCount val="2"/>
                      <c:pt idx="0">
                        <c:v>Capacity-building </c:v>
                      </c:pt>
                      <c:pt idx="1">
                        <c:v>Project-based structured collaboration</c:v>
                      </c:pt>
                    </c:strCache>
                  </c:strRef>
                </c:cat>
                <c:val>
                  <c:numRef>
                    <c:extLst>
                      <c:ext uri="{02D57815-91ED-43cb-92C2-25804820EDAC}">
                        <c15:formulaRef>
                          <c15:sqref>'New proposals 2021'!$M$6:$M$7</c15:sqref>
                        </c15:formulaRef>
                      </c:ext>
                    </c:extLst>
                    <c:numCache>
                      <c:formatCode>General</c:formatCode>
                      <c:ptCount val="2"/>
                    </c:numCache>
                  </c:numRef>
                </c:val>
                <c:extLst>
                  <c:ext xmlns:c16="http://schemas.microsoft.com/office/drawing/2014/chart" uri="{C3380CC4-5D6E-409C-BE32-E72D297353CC}">
                    <c16:uniqueId val="{00000001-6AB9-4469-863D-6315BB2EEF01}"/>
                  </c:ext>
                </c:extLst>
              </c15:ser>
            </c15:filteredBarSeries>
          </c:ext>
        </c:extLst>
      </c:barChart>
      <c:catAx>
        <c:axId val="95652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54272"/>
        <c:crosses val="autoZero"/>
        <c:auto val="1"/>
        <c:lblAlgn val="ctr"/>
        <c:lblOffset val="100"/>
        <c:noMultiLvlLbl val="0"/>
      </c:catAx>
      <c:valAx>
        <c:axId val="95654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5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Number</a:t>
            </a:r>
            <a:r>
              <a:rPr lang="en-US" sz="1200" baseline="0"/>
              <a:t> of action initiatives in 2021 per initiator (December 2021)</a:t>
            </a:r>
            <a:endParaRPr lang="en-US" sz="1200"/>
          </a:p>
        </c:rich>
      </c:tx>
      <c:layout>
        <c:manualLayout>
          <c:xMode val="edge"/>
          <c:yMode val="edge"/>
          <c:x val="0.11624073499613889"/>
          <c:y val="4.36004933718728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proposals 2021'!$A$2</c:f>
              <c:strCache>
                <c:ptCount val="1"/>
                <c:pt idx="0">
                  <c:v>EU</c:v>
                </c:pt>
              </c:strCache>
            </c:strRef>
          </c:cat>
          <c:val>
            <c:numRef>
              <c:f>'New proposals 2021'!$B$2</c:f>
              <c:numCache>
                <c:formatCode>General</c:formatCode>
                <c:ptCount val="1"/>
                <c:pt idx="0">
                  <c:v>3</c:v>
                </c:pt>
              </c:numCache>
            </c:numRef>
          </c:val>
          <c:extLst>
            <c:ext xmlns:c16="http://schemas.microsoft.com/office/drawing/2014/chart" uri="{C3380CC4-5D6E-409C-BE32-E72D297353CC}">
              <c16:uniqueId val="{00000000-C642-4BF7-A1F2-7599E0D50F04}"/>
            </c:ext>
          </c:extLst>
        </c:ser>
        <c:dLbls>
          <c:showLegendKey val="0"/>
          <c:showVal val="0"/>
          <c:showCatName val="0"/>
          <c:showSerName val="0"/>
          <c:showPercent val="0"/>
          <c:showBubbleSize val="0"/>
        </c:dLbls>
        <c:gapWidth val="219"/>
        <c:overlap val="-27"/>
        <c:axId val="95732864"/>
        <c:axId val="95734400"/>
      </c:barChart>
      <c:catAx>
        <c:axId val="957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34400"/>
        <c:crosses val="autoZero"/>
        <c:auto val="1"/>
        <c:lblAlgn val="ctr"/>
        <c:lblOffset val="100"/>
        <c:noMultiLvlLbl val="0"/>
      </c:catAx>
      <c:valAx>
        <c:axId val="9573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3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10" ma:contentTypeDescription="Create a new document." ma:contentTypeScope="" ma:versionID="01f61d7eee79277a82346b8d9ea5117a">
  <xsd:schema xmlns:xsd="http://www.w3.org/2001/XMLSchema" xmlns:xs="http://www.w3.org/2001/XMLSchema" xmlns:p="http://schemas.microsoft.com/office/2006/metadata/properties" xmlns:ns3="ba75fd84-9932-4f20-bd9a-caf75fd0bd51" xmlns:ns4="ffb6d218-e4ef-4c97-8942-1bf8159ddab9" targetNamespace="http://schemas.microsoft.com/office/2006/metadata/properties" ma:root="true" ma:fieldsID="ae8f40ef4747857a12555e82266c6fdd" ns3:_="" ns4:_="">
    <xsd:import namespace="ba75fd84-9932-4f20-bd9a-caf75fd0bd51"/>
    <xsd:import namespace="ffb6d218-e4ef-4c97-8942-1bf8159dda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2E5E-E9C0-47AE-82A9-DF66F522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fd84-9932-4f20-bd9a-caf75fd0bd51"/>
    <ds:schemaRef ds:uri="ffb6d218-e4ef-4c97-8942-1bf8159d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05BE7-C150-42C4-B381-6BBB887E2D7D}">
  <ds:schemaRefs>
    <ds:schemaRef ds:uri="http://schemas.microsoft.com/sharepoint/v3/contenttype/forms"/>
  </ds:schemaRefs>
</ds:datastoreItem>
</file>

<file path=customXml/itemProps3.xml><?xml version="1.0" encoding="utf-8"?>
<ds:datastoreItem xmlns:ds="http://schemas.openxmlformats.org/officeDocument/2006/customXml" ds:itemID="{8CD91E11-B2C0-48B4-9710-8634360AC9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75fd84-9932-4f20-bd9a-caf75fd0bd51"/>
    <ds:schemaRef ds:uri="http://purl.org/dc/elements/1.1/"/>
    <ds:schemaRef ds:uri="http://schemas.microsoft.com/office/2006/metadata/properties"/>
    <ds:schemaRef ds:uri="ffb6d218-e4ef-4c97-8942-1bf8159ddab9"/>
    <ds:schemaRef ds:uri="http://www.w3.org/XML/1998/namespace"/>
    <ds:schemaRef ds:uri="http://purl.org/dc/dcmitype/"/>
  </ds:schemaRefs>
</ds:datastoreItem>
</file>

<file path=customXml/itemProps4.xml><?xml version="1.0" encoding="utf-8"?>
<ds:datastoreItem xmlns:ds="http://schemas.openxmlformats.org/officeDocument/2006/customXml" ds:itemID="{0A6D6C65-0DC2-4220-9FE7-6D25BC94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9730</Words>
  <Characters>56051</Characters>
  <Application>Microsoft Office Word</Application>
  <DocSecurity>0</DocSecurity>
  <Lines>1401</Lines>
  <Paragraphs>783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Progress Report</cp:keywords>
  <dc:description/>
  <cp:lastModifiedBy>EC CoDe</cp:lastModifiedBy>
  <cp:revision>30</cp:revision>
  <cp:lastPrinted>2022-02-04T16:11:00Z</cp:lastPrinted>
  <dcterms:created xsi:type="dcterms:W3CDTF">2022-03-18T12:08:00Z</dcterms:created>
  <dcterms:modified xsi:type="dcterms:W3CDTF">2022-03-28T10:45:00Z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CP-024</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0x010100258AA79CEB83498886A3A086811232500046B2A85D96DA3748A7FCC7FBEBBF5BA0</vt:lpwstr>
  </property>
  <property fmtid="{D5CDD505-2E9C-101B-9397-08002B2CF9AE}" pid="10" name="ContentTypeId">
    <vt:lpwstr>0x0101003580FB2F397B3D448BFDC6DF71B5B186</vt:lpwstr>
  </property>
</Properties>
</file>